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atLeast"/>
        <w:jc w:val="center"/>
        <w:rPr>
          <w:rFonts w:ascii="宋体" w:hAnsi="宋体" w:cs="宋体"/>
          <w:b/>
          <w:sz w:val="44"/>
        </w:rPr>
      </w:pPr>
    </w:p>
    <w:p>
      <w:pPr>
        <w:snapToGrid w:val="0"/>
        <w:spacing w:line="360" w:lineRule="auto"/>
        <w:jc w:val="center"/>
        <w:rPr>
          <w:rFonts w:ascii="宋体" w:hAnsi="宋体" w:cs="宋体"/>
          <w:b/>
          <w:sz w:val="48"/>
          <w:szCs w:val="48"/>
        </w:rPr>
      </w:pPr>
      <w:r>
        <w:rPr>
          <w:rFonts w:hint="eastAsia" w:ascii="宋体" w:hAnsi="宋体" w:cs="宋体"/>
          <w:b/>
          <w:sz w:val="48"/>
          <w:szCs w:val="48"/>
        </w:rPr>
        <w:t>杭州市城乡建设委员会</w:t>
      </w:r>
    </w:p>
    <w:p>
      <w:pPr>
        <w:snapToGrid w:val="0"/>
        <w:spacing w:line="360" w:lineRule="auto"/>
        <w:jc w:val="center"/>
        <w:rPr>
          <w:rFonts w:ascii="宋体" w:hAnsi="宋体" w:cs="宋体"/>
          <w:b/>
          <w:sz w:val="36"/>
          <w:szCs w:val="36"/>
          <w:u w:val="single"/>
        </w:rPr>
      </w:pPr>
      <w:r>
        <w:rPr>
          <w:rFonts w:hint="eastAsia" w:ascii="宋体" w:hAnsi="宋体" w:cs="宋体"/>
          <w:b/>
          <w:sz w:val="48"/>
          <w:szCs w:val="48"/>
        </w:rPr>
        <w:t>CIM基础信息平台软件开发项目</w:t>
      </w:r>
    </w:p>
    <w:p>
      <w:pPr>
        <w:snapToGrid w:val="0"/>
        <w:spacing w:line="360" w:lineRule="auto"/>
        <w:jc w:val="center"/>
        <w:rPr>
          <w:rFonts w:ascii="宋体" w:hAnsi="宋体" w:cs="宋体"/>
          <w:b/>
          <w:sz w:val="84"/>
          <w:szCs w:val="84"/>
        </w:rPr>
      </w:pPr>
    </w:p>
    <w:p>
      <w:pPr>
        <w:snapToGrid w:val="0"/>
        <w:spacing w:line="360" w:lineRule="auto"/>
        <w:jc w:val="center"/>
        <w:rPr>
          <w:rFonts w:ascii="宋体" w:hAnsi="宋体" w:cs="宋体"/>
          <w:b/>
          <w:sz w:val="84"/>
          <w:szCs w:val="84"/>
        </w:rPr>
      </w:pPr>
      <w:r>
        <w:rPr>
          <w:rFonts w:hint="eastAsia" w:ascii="宋体" w:hAnsi="宋体" w:cs="宋体"/>
          <w:b/>
          <w:sz w:val="84"/>
          <w:szCs w:val="84"/>
        </w:rPr>
        <w:t>公开招标采购文件</w:t>
      </w:r>
    </w:p>
    <w:p>
      <w:pPr>
        <w:widowControl/>
        <w:spacing w:line="360" w:lineRule="auto"/>
        <w:ind w:right="-2"/>
        <w:jc w:val="center"/>
        <w:rPr>
          <w:rFonts w:ascii="宋体" w:hAnsi="宋体" w:cs="宋体"/>
          <w:b/>
          <w:sz w:val="36"/>
        </w:rPr>
      </w:pPr>
    </w:p>
    <w:p>
      <w:pPr>
        <w:widowControl/>
        <w:spacing w:line="360" w:lineRule="auto"/>
        <w:ind w:right="-2"/>
        <w:jc w:val="center"/>
        <w:rPr>
          <w:rFonts w:ascii="宋体" w:hAnsi="宋体" w:cs="宋体"/>
          <w:b/>
          <w:sz w:val="44"/>
          <w:szCs w:val="44"/>
        </w:rPr>
      </w:pPr>
      <w:r>
        <w:rPr>
          <w:rFonts w:hint="eastAsia" w:ascii="宋体" w:hAnsi="宋体" w:cs="宋体"/>
          <w:b/>
          <w:sz w:val="36"/>
        </w:rPr>
        <w:t>（线上电子招投标）</w:t>
      </w:r>
    </w:p>
    <w:p>
      <w:pPr>
        <w:pStyle w:val="14"/>
        <w:ind w:firstLine="210"/>
        <w:rPr>
          <w:rFonts w:ascii="宋体" w:hAnsi="宋体" w:cs="宋体"/>
        </w:rPr>
      </w:pPr>
    </w:p>
    <w:p>
      <w:pPr>
        <w:snapToGrid w:val="0"/>
        <w:spacing w:line="360" w:lineRule="auto"/>
        <w:ind w:firstLine="1785" w:firstLineChars="496"/>
        <w:rPr>
          <w:rFonts w:ascii="宋体" w:hAnsi="宋体" w:cs="宋体"/>
          <w:b/>
          <w:sz w:val="36"/>
        </w:rPr>
      </w:pPr>
    </w:p>
    <w:p>
      <w:pPr>
        <w:snapToGrid w:val="0"/>
        <w:spacing w:line="360" w:lineRule="auto"/>
        <w:jc w:val="center"/>
        <w:rPr>
          <w:rFonts w:ascii="宋体" w:hAnsi="宋体" w:cs="宋体"/>
          <w:b/>
          <w:bCs/>
          <w:sz w:val="32"/>
          <w:szCs w:val="32"/>
        </w:rPr>
      </w:pPr>
      <w:r>
        <w:rPr>
          <w:rFonts w:hint="eastAsia" w:ascii="宋体" w:hAnsi="宋体" w:cs="宋体"/>
          <w:b/>
          <w:bCs/>
          <w:sz w:val="32"/>
          <w:szCs w:val="32"/>
        </w:rPr>
        <w:t>项目编号：HXDI-2021-SJW001</w:t>
      </w:r>
    </w:p>
    <w:p>
      <w:pPr>
        <w:snapToGrid w:val="0"/>
        <w:spacing w:line="360" w:lineRule="auto"/>
        <w:ind w:firstLine="1785" w:firstLineChars="496"/>
        <w:rPr>
          <w:rFonts w:ascii="宋体" w:hAnsi="宋体" w:cs="宋体"/>
          <w:b/>
          <w:sz w:val="36"/>
        </w:rPr>
      </w:pPr>
    </w:p>
    <w:p>
      <w:pPr>
        <w:snapToGrid w:val="0"/>
        <w:spacing w:line="360" w:lineRule="auto"/>
        <w:ind w:firstLine="1785" w:firstLineChars="496"/>
        <w:rPr>
          <w:rFonts w:ascii="宋体" w:hAnsi="宋体" w:cs="宋体"/>
          <w:b/>
          <w:sz w:val="36"/>
        </w:rPr>
      </w:pPr>
    </w:p>
    <w:p>
      <w:pPr>
        <w:snapToGrid w:val="0"/>
        <w:spacing w:line="360" w:lineRule="auto"/>
        <w:jc w:val="center"/>
        <w:rPr>
          <w:rFonts w:ascii="宋体" w:hAnsi="宋体" w:cs="宋体"/>
          <w:sz w:val="32"/>
          <w:szCs w:val="32"/>
        </w:rPr>
      </w:pPr>
    </w:p>
    <w:p>
      <w:pPr>
        <w:snapToGrid w:val="0"/>
        <w:spacing w:line="360" w:lineRule="auto"/>
        <w:jc w:val="center"/>
        <w:rPr>
          <w:rFonts w:ascii="宋体" w:hAnsi="宋体" w:cs="宋体"/>
          <w:b/>
          <w:bCs/>
          <w:sz w:val="32"/>
          <w:szCs w:val="32"/>
        </w:rPr>
      </w:pPr>
      <w:r>
        <w:rPr>
          <w:rFonts w:hint="eastAsia" w:ascii="宋体" w:hAnsi="宋体" w:cs="宋体"/>
          <w:b/>
          <w:bCs/>
          <w:sz w:val="32"/>
          <w:szCs w:val="32"/>
        </w:rPr>
        <w:t>采购人：杭州市城乡建设委员会（盖章）</w:t>
      </w:r>
    </w:p>
    <w:p>
      <w:pPr>
        <w:snapToGrid w:val="0"/>
        <w:spacing w:line="360" w:lineRule="auto"/>
        <w:ind w:firstLine="320" w:firstLineChars="100"/>
        <w:rPr>
          <w:rFonts w:ascii="宋体" w:hAnsi="宋体" w:cs="宋体"/>
          <w:b/>
          <w:bCs/>
          <w:sz w:val="32"/>
          <w:szCs w:val="32"/>
        </w:rPr>
      </w:pPr>
      <w:r>
        <w:rPr>
          <w:rFonts w:hint="eastAsia" w:ascii="宋体" w:hAnsi="宋体" w:cs="宋体"/>
          <w:b/>
          <w:bCs/>
          <w:sz w:val="32"/>
          <w:szCs w:val="32"/>
        </w:rPr>
        <w:t>采购代理机构：华信咨询设计研究院有限公司（盖章）</w:t>
      </w:r>
    </w:p>
    <w:p>
      <w:pPr>
        <w:snapToGrid w:val="0"/>
        <w:spacing w:line="360" w:lineRule="auto"/>
        <w:jc w:val="center"/>
        <w:rPr>
          <w:rFonts w:ascii="宋体" w:hAnsi="宋体" w:cs="宋体"/>
          <w:b/>
          <w:bCs/>
          <w:sz w:val="32"/>
          <w:szCs w:val="32"/>
        </w:rPr>
        <w:sectPr>
          <w:headerReference r:id="rId4" w:type="first"/>
          <w:headerReference r:id="rId3" w:type="default"/>
          <w:footerReference r:id="rId5" w:type="default"/>
          <w:pgSz w:w="11850" w:h="16783"/>
          <w:pgMar w:top="1440" w:right="1800" w:bottom="1440" w:left="1800" w:header="851" w:footer="992" w:gutter="0"/>
          <w:cols w:space="720" w:num="1"/>
          <w:titlePg/>
          <w:docGrid w:type="linesAndChars" w:linePitch="312" w:charSpace="0"/>
        </w:sectPr>
      </w:pPr>
      <w:r>
        <w:rPr>
          <w:rFonts w:hint="eastAsia" w:ascii="宋体" w:hAnsi="宋体" w:cs="宋体"/>
          <w:b/>
          <w:bCs/>
          <w:sz w:val="32"/>
          <w:szCs w:val="32"/>
        </w:rPr>
        <w:t>二〇二一年</w:t>
      </w:r>
      <w:r>
        <w:rPr>
          <w:rFonts w:hint="eastAsia" w:ascii="宋体" w:hAnsi="宋体" w:cs="宋体"/>
          <w:b/>
          <w:bCs/>
          <w:sz w:val="32"/>
          <w:szCs w:val="32"/>
          <w:lang w:val="en-US" w:eastAsia="zh-CN"/>
        </w:rPr>
        <w:t>十</w:t>
      </w:r>
      <w:r>
        <w:rPr>
          <w:rFonts w:hint="eastAsia" w:ascii="宋体" w:hAnsi="宋体" w:cs="宋体"/>
          <w:b/>
          <w:bCs/>
          <w:sz w:val="32"/>
          <w:szCs w:val="32"/>
        </w:rPr>
        <w:t>月</w:t>
      </w:r>
    </w:p>
    <w:p>
      <w:pPr>
        <w:snapToGrid w:val="0"/>
        <w:spacing w:line="360" w:lineRule="auto"/>
        <w:jc w:val="center"/>
        <w:rPr>
          <w:rFonts w:ascii="宋体" w:hAnsi="宋体" w:cs="宋体"/>
          <w:b/>
          <w:bCs/>
          <w:sz w:val="44"/>
          <w:szCs w:val="44"/>
        </w:rPr>
      </w:pPr>
      <w:r>
        <w:rPr>
          <w:rFonts w:hint="eastAsia" w:ascii="宋体" w:hAnsi="宋体" w:cs="宋体"/>
          <w:b/>
          <w:bCs/>
          <w:sz w:val="44"/>
          <w:szCs w:val="44"/>
        </w:rPr>
        <w:t>目录</w:t>
      </w:r>
    </w:p>
    <w:p>
      <w:pPr>
        <w:snapToGrid w:val="0"/>
        <w:spacing w:line="360" w:lineRule="auto"/>
        <w:jc w:val="center"/>
        <w:rPr>
          <w:rFonts w:ascii="宋体" w:hAnsi="宋体" w:cs="宋体"/>
          <w:b/>
          <w:bCs/>
          <w:sz w:val="44"/>
          <w:szCs w:val="44"/>
        </w:rPr>
      </w:pPr>
    </w:p>
    <w:p>
      <w:pPr>
        <w:pStyle w:val="12"/>
        <w:tabs>
          <w:tab w:val="right" w:leader="dot" w:pos="8250"/>
          <w:tab w:val="clear" w:pos="9403"/>
        </w:tabs>
        <w:rPr>
          <w:rFonts w:ascii="宋体" w:hAnsi="宋体" w:cs="宋体"/>
        </w:rPr>
      </w:pPr>
      <w:r>
        <w:rPr>
          <w:rFonts w:hint="eastAsia" w:ascii="宋体" w:hAnsi="宋体" w:cs="宋体"/>
          <w:caps w:val="0"/>
          <w:sz w:val="24"/>
        </w:rPr>
        <w:fldChar w:fldCharType="begin"/>
      </w:r>
      <w:r>
        <w:rPr>
          <w:rFonts w:hint="eastAsia" w:ascii="宋体" w:hAnsi="宋体" w:cs="宋体"/>
          <w:caps w:val="0"/>
          <w:sz w:val="24"/>
        </w:rPr>
        <w:instrText xml:space="preserve"> TOC \o "1-2" \h \z </w:instrText>
      </w:r>
      <w:r>
        <w:rPr>
          <w:rFonts w:hint="eastAsia" w:ascii="宋体" w:hAnsi="宋体" w:cs="宋体"/>
          <w:caps w:val="0"/>
          <w:sz w:val="24"/>
        </w:rPr>
        <w:fldChar w:fldCharType="separate"/>
      </w:r>
      <w:r>
        <w:fldChar w:fldCharType="begin"/>
      </w:r>
      <w:r>
        <w:instrText xml:space="preserve"> HYPERLINK \l "_Toc12310" </w:instrText>
      </w:r>
      <w:r>
        <w:fldChar w:fldCharType="separate"/>
      </w:r>
      <w:r>
        <w:rPr>
          <w:rFonts w:hint="eastAsia" w:ascii="宋体" w:hAnsi="宋体" w:cs="宋体"/>
          <w:caps w:val="0"/>
        </w:rPr>
        <w:t>第一章  采购公告</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_Toc12310 \h </w:instrText>
      </w:r>
      <w:r>
        <w:rPr>
          <w:rFonts w:hint="eastAsia" w:ascii="宋体" w:hAnsi="宋体" w:cs="宋体"/>
        </w:rPr>
        <w:fldChar w:fldCharType="separate"/>
      </w:r>
      <w:r>
        <w:rPr>
          <w:rFonts w:hint="eastAsia" w:ascii="宋体" w:hAnsi="宋体" w:cs="宋体"/>
        </w:rPr>
        <w:t>1</w:t>
      </w:r>
      <w:r>
        <w:rPr>
          <w:rFonts w:hint="eastAsia" w:ascii="宋体" w:hAnsi="宋体" w:cs="宋体"/>
        </w:rPr>
        <w:fldChar w:fldCharType="end"/>
      </w:r>
      <w:r>
        <w:rPr>
          <w:rFonts w:hint="eastAsia" w:ascii="宋体" w:hAnsi="宋体" w:cs="宋体"/>
        </w:rPr>
        <w:fldChar w:fldCharType="end"/>
      </w:r>
    </w:p>
    <w:p>
      <w:pPr>
        <w:pStyle w:val="12"/>
        <w:tabs>
          <w:tab w:val="right" w:leader="dot" w:pos="8250"/>
          <w:tab w:val="clear" w:pos="9403"/>
        </w:tabs>
        <w:rPr>
          <w:rFonts w:ascii="宋体" w:hAnsi="宋体" w:cs="宋体"/>
        </w:rPr>
      </w:pPr>
      <w:r>
        <w:fldChar w:fldCharType="begin"/>
      </w:r>
      <w:r>
        <w:instrText xml:space="preserve"> HYPERLINK \l "_Toc12626" </w:instrText>
      </w:r>
      <w:r>
        <w:fldChar w:fldCharType="separate"/>
      </w:r>
      <w:r>
        <w:rPr>
          <w:rFonts w:hint="eastAsia" w:ascii="宋体" w:hAnsi="宋体" w:cs="宋体"/>
          <w:caps w:val="0"/>
        </w:rPr>
        <w:t>第二章  供应商须知前附表</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_Toc12626 \h </w:instrText>
      </w:r>
      <w:r>
        <w:rPr>
          <w:rFonts w:hint="eastAsia" w:ascii="宋体" w:hAnsi="宋体" w:cs="宋体"/>
        </w:rPr>
        <w:fldChar w:fldCharType="separate"/>
      </w:r>
      <w:r>
        <w:rPr>
          <w:rFonts w:hint="eastAsia" w:ascii="宋体" w:hAnsi="宋体" w:cs="宋体"/>
        </w:rPr>
        <w:t>4</w:t>
      </w:r>
      <w:r>
        <w:rPr>
          <w:rFonts w:hint="eastAsia" w:ascii="宋体" w:hAnsi="宋体" w:cs="宋体"/>
        </w:rPr>
        <w:fldChar w:fldCharType="end"/>
      </w:r>
      <w:r>
        <w:rPr>
          <w:rFonts w:hint="eastAsia" w:ascii="宋体" w:hAnsi="宋体" w:cs="宋体"/>
        </w:rPr>
        <w:fldChar w:fldCharType="end"/>
      </w:r>
    </w:p>
    <w:p>
      <w:pPr>
        <w:pStyle w:val="12"/>
        <w:tabs>
          <w:tab w:val="right" w:leader="dot" w:pos="8250"/>
          <w:tab w:val="clear" w:pos="9403"/>
        </w:tabs>
        <w:rPr>
          <w:rFonts w:ascii="宋体" w:hAnsi="宋体" w:cs="宋体"/>
        </w:rPr>
      </w:pPr>
      <w:r>
        <w:fldChar w:fldCharType="begin"/>
      </w:r>
      <w:r>
        <w:instrText xml:space="preserve"> HYPERLINK \l "_Toc17640" </w:instrText>
      </w:r>
      <w:r>
        <w:fldChar w:fldCharType="separate"/>
      </w:r>
      <w:r>
        <w:rPr>
          <w:rFonts w:hint="eastAsia" w:ascii="宋体" w:hAnsi="宋体" w:cs="宋体"/>
          <w:caps w:val="0"/>
        </w:rPr>
        <w:t>第三章  供应商须知</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_Toc17640 \h </w:instrText>
      </w:r>
      <w:r>
        <w:rPr>
          <w:rFonts w:hint="eastAsia" w:ascii="宋体" w:hAnsi="宋体" w:cs="宋体"/>
        </w:rPr>
        <w:fldChar w:fldCharType="separate"/>
      </w:r>
      <w:r>
        <w:rPr>
          <w:rFonts w:hint="eastAsia" w:ascii="宋体" w:hAnsi="宋体" w:cs="宋体"/>
        </w:rPr>
        <w:t>11</w:t>
      </w:r>
      <w:r>
        <w:rPr>
          <w:rFonts w:hint="eastAsia" w:ascii="宋体" w:hAnsi="宋体" w:cs="宋体"/>
        </w:rPr>
        <w:fldChar w:fldCharType="end"/>
      </w:r>
      <w:r>
        <w:rPr>
          <w:rFonts w:hint="eastAsia" w:ascii="宋体" w:hAnsi="宋体" w:cs="宋体"/>
        </w:rPr>
        <w:fldChar w:fldCharType="end"/>
      </w:r>
    </w:p>
    <w:p>
      <w:pPr>
        <w:pStyle w:val="12"/>
        <w:tabs>
          <w:tab w:val="right" w:leader="dot" w:pos="8250"/>
          <w:tab w:val="clear" w:pos="9403"/>
        </w:tabs>
        <w:rPr>
          <w:rFonts w:ascii="宋体" w:hAnsi="宋体" w:cs="宋体"/>
        </w:rPr>
      </w:pPr>
      <w:r>
        <w:fldChar w:fldCharType="begin"/>
      </w:r>
      <w:r>
        <w:instrText xml:space="preserve"> HYPERLINK \l "_Toc29749" </w:instrText>
      </w:r>
      <w:r>
        <w:fldChar w:fldCharType="separate"/>
      </w:r>
      <w:r>
        <w:rPr>
          <w:rFonts w:hint="eastAsia" w:ascii="宋体" w:hAnsi="宋体" w:cs="宋体"/>
        </w:rPr>
        <w:t>第四章  采购合同主要条款</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_Toc29749 \h </w:instrText>
      </w:r>
      <w:r>
        <w:rPr>
          <w:rFonts w:hint="eastAsia" w:ascii="宋体" w:hAnsi="宋体" w:cs="宋体"/>
        </w:rPr>
        <w:fldChar w:fldCharType="separate"/>
      </w:r>
      <w:r>
        <w:rPr>
          <w:rFonts w:hint="eastAsia" w:ascii="宋体" w:hAnsi="宋体" w:cs="宋体"/>
        </w:rPr>
        <w:t>24</w:t>
      </w:r>
      <w:r>
        <w:rPr>
          <w:rFonts w:hint="eastAsia" w:ascii="宋体" w:hAnsi="宋体" w:cs="宋体"/>
        </w:rPr>
        <w:fldChar w:fldCharType="end"/>
      </w:r>
      <w:r>
        <w:rPr>
          <w:rFonts w:hint="eastAsia" w:ascii="宋体" w:hAnsi="宋体" w:cs="宋体"/>
        </w:rPr>
        <w:fldChar w:fldCharType="end"/>
      </w:r>
    </w:p>
    <w:p>
      <w:pPr>
        <w:pStyle w:val="12"/>
        <w:tabs>
          <w:tab w:val="right" w:leader="dot" w:pos="8250"/>
          <w:tab w:val="clear" w:pos="9403"/>
        </w:tabs>
        <w:rPr>
          <w:rFonts w:ascii="宋体" w:hAnsi="宋体" w:cs="宋体"/>
        </w:rPr>
      </w:pPr>
      <w:r>
        <w:fldChar w:fldCharType="begin"/>
      </w:r>
      <w:r>
        <w:instrText xml:space="preserve"> HYPERLINK \l "_Toc22611" </w:instrText>
      </w:r>
      <w:r>
        <w:fldChar w:fldCharType="separate"/>
      </w:r>
      <w:r>
        <w:rPr>
          <w:rFonts w:hint="eastAsia" w:ascii="宋体" w:hAnsi="宋体" w:cs="宋体"/>
          <w:caps w:val="0"/>
        </w:rPr>
        <w:t>第五章  投标文件格式</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_Toc22611 \h </w:instrText>
      </w:r>
      <w:r>
        <w:rPr>
          <w:rFonts w:hint="eastAsia" w:ascii="宋体" w:hAnsi="宋体" w:cs="宋体"/>
        </w:rPr>
        <w:fldChar w:fldCharType="separate"/>
      </w:r>
      <w:r>
        <w:rPr>
          <w:rFonts w:hint="eastAsia" w:ascii="宋体" w:hAnsi="宋体" w:cs="宋体"/>
        </w:rPr>
        <w:t>36</w:t>
      </w:r>
      <w:r>
        <w:rPr>
          <w:rFonts w:hint="eastAsia" w:ascii="宋体" w:hAnsi="宋体" w:cs="宋体"/>
        </w:rPr>
        <w:fldChar w:fldCharType="end"/>
      </w:r>
      <w:r>
        <w:rPr>
          <w:rFonts w:hint="eastAsia" w:ascii="宋体" w:hAnsi="宋体" w:cs="宋体"/>
        </w:rPr>
        <w:fldChar w:fldCharType="end"/>
      </w:r>
    </w:p>
    <w:p>
      <w:pPr>
        <w:pStyle w:val="12"/>
        <w:tabs>
          <w:tab w:val="right" w:leader="dot" w:pos="8250"/>
          <w:tab w:val="clear" w:pos="9403"/>
        </w:tabs>
        <w:rPr>
          <w:rFonts w:ascii="宋体" w:hAnsi="宋体" w:cs="宋体"/>
        </w:rPr>
      </w:pPr>
      <w:r>
        <w:fldChar w:fldCharType="begin"/>
      </w:r>
      <w:r>
        <w:instrText xml:space="preserve"> HYPERLINK \l "_Toc28703" </w:instrText>
      </w:r>
      <w:r>
        <w:fldChar w:fldCharType="separate"/>
      </w:r>
      <w:r>
        <w:rPr>
          <w:rFonts w:hint="eastAsia" w:ascii="宋体" w:hAnsi="宋体" w:cs="宋体"/>
          <w:caps w:val="0"/>
        </w:rPr>
        <w:t>第六章  采购服务需求</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_Toc28703 \h </w:instrText>
      </w:r>
      <w:r>
        <w:rPr>
          <w:rFonts w:hint="eastAsia" w:ascii="宋体" w:hAnsi="宋体" w:cs="宋体"/>
        </w:rPr>
        <w:fldChar w:fldCharType="separate"/>
      </w:r>
      <w:r>
        <w:rPr>
          <w:rFonts w:hint="eastAsia" w:ascii="宋体" w:hAnsi="宋体" w:cs="宋体"/>
        </w:rPr>
        <w:t>69</w:t>
      </w:r>
      <w:r>
        <w:rPr>
          <w:rFonts w:hint="eastAsia" w:ascii="宋体" w:hAnsi="宋体" w:cs="宋体"/>
        </w:rPr>
        <w:fldChar w:fldCharType="end"/>
      </w:r>
      <w:r>
        <w:rPr>
          <w:rFonts w:hint="eastAsia" w:ascii="宋体" w:hAnsi="宋体" w:cs="宋体"/>
        </w:rPr>
        <w:fldChar w:fldCharType="end"/>
      </w:r>
    </w:p>
    <w:p>
      <w:pPr>
        <w:pStyle w:val="12"/>
        <w:tabs>
          <w:tab w:val="right" w:leader="dot" w:pos="8250"/>
          <w:tab w:val="clear" w:pos="9403"/>
        </w:tabs>
        <w:rPr>
          <w:rFonts w:ascii="宋体" w:hAnsi="宋体" w:cs="宋体"/>
        </w:rPr>
      </w:pPr>
      <w:r>
        <w:fldChar w:fldCharType="begin"/>
      </w:r>
      <w:r>
        <w:instrText xml:space="preserve"> HYPERLINK \l "_Toc12333" </w:instrText>
      </w:r>
      <w:r>
        <w:fldChar w:fldCharType="separate"/>
      </w:r>
      <w:r>
        <w:rPr>
          <w:rFonts w:hint="eastAsia" w:ascii="宋体" w:hAnsi="宋体" w:cs="宋体"/>
          <w:caps w:val="0"/>
        </w:rPr>
        <w:t>第七章  评标办法</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_Toc12333 \h </w:instrText>
      </w:r>
      <w:r>
        <w:rPr>
          <w:rFonts w:hint="eastAsia" w:ascii="宋体" w:hAnsi="宋体" w:cs="宋体"/>
        </w:rPr>
        <w:fldChar w:fldCharType="separate"/>
      </w:r>
      <w:r>
        <w:rPr>
          <w:rFonts w:hint="eastAsia" w:ascii="宋体" w:hAnsi="宋体" w:cs="宋体"/>
        </w:rPr>
        <w:t>83</w:t>
      </w:r>
      <w:r>
        <w:rPr>
          <w:rFonts w:hint="eastAsia" w:ascii="宋体" w:hAnsi="宋体" w:cs="宋体"/>
        </w:rPr>
        <w:fldChar w:fldCharType="end"/>
      </w:r>
      <w:r>
        <w:rPr>
          <w:rFonts w:hint="eastAsia" w:ascii="宋体" w:hAnsi="宋体" w:cs="宋体"/>
        </w:rPr>
        <w:fldChar w:fldCharType="end"/>
      </w:r>
    </w:p>
    <w:p>
      <w:pPr>
        <w:spacing w:line="400" w:lineRule="exact"/>
        <w:rPr>
          <w:rStyle w:val="19"/>
          <w:rFonts w:ascii="宋体" w:hAnsi="宋体" w:cs="宋体"/>
          <w:sz w:val="24"/>
        </w:rPr>
      </w:pPr>
      <w:r>
        <w:rPr>
          <w:rFonts w:hint="eastAsia" w:ascii="宋体" w:hAnsi="宋体" w:cs="宋体"/>
          <w:bCs/>
        </w:rPr>
        <w:fldChar w:fldCharType="end"/>
      </w:r>
    </w:p>
    <w:p>
      <w:pPr>
        <w:pStyle w:val="3"/>
        <w:rPr>
          <w:rFonts w:ascii="宋体" w:hAnsi="宋体" w:cs="宋体"/>
          <w:color w:val="auto"/>
        </w:rPr>
        <w:sectPr>
          <w:footerReference r:id="rId7" w:type="first"/>
          <w:footerReference r:id="rId6" w:type="default"/>
          <w:pgSz w:w="11850" w:h="16783"/>
          <w:pgMar w:top="1440" w:right="1800" w:bottom="1440" w:left="1800" w:header="851" w:footer="992" w:gutter="0"/>
          <w:pgNumType w:start="1"/>
          <w:cols w:space="720" w:num="1"/>
          <w:docGrid w:type="linesAndChars" w:linePitch="312" w:charSpace="0"/>
        </w:sectPr>
      </w:pPr>
      <w:bookmarkStart w:id="0" w:name="_Toc470431963"/>
      <w:bookmarkStart w:id="1" w:name="_Toc401236934"/>
      <w:bookmarkStart w:id="2" w:name="_Toc293343927"/>
      <w:bookmarkStart w:id="3" w:name="_Toc273624872"/>
      <w:bookmarkStart w:id="4" w:name="_Toc82338233"/>
      <w:bookmarkStart w:id="5" w:name="_Toc211745565"/>
      <w:bookmarkStart w:id="6" w:name="_Toc82873316"/>
    </w:p>
    <w:p>
      <w:pPr>
        <w:pStyle w:val="3"/>
        <w:rPr>
          <w:rFonts w:ascii="宋体" w:hAnsi="宋体" w:cs="宋体"/>
          <w:color w:val="auto"/>
        </w:rPr>
      </w:pPr>
      <w:bookmarkStart w:id="7" w:name="_Toc12310"/>
      <w:r>
        <w:rPr>
          <w:rFonts w:hint="eastAsia" w:ascii="宋体" w:hAnsi="宋体" w:cs="宋体"/>
          <w:color w:val="auto"/>
        </w:rPr>
        <w:t>第一章  采购公告</w:t>
      </w:r>
      <w:bookmarkEnd w:id="0"/>
      <w:bookmarkEnd w:id="1"/>
      <w:bookmarkEnd w:id="2"/>
      <w:bookmarkEnd w:id="7"/>
    </w:p>
    <w:p>
      <w:pPr>
        <w:pBdr>
          <w:top w:val="single" w:color="auto" w:sz="4" w:space="1"/>
          <w:left w:val="single" w:color="auto" w:sz="4" w:space="4"/>
          <w:bottom w:val="single" w:color="auto" w:sz="4" w:space="1"/>
          <w:right w:val="single" w:color="auto" w:sz="4" w:space="9"/>
        </w:pBdr>
        <w:spacing w:line="360" w:lineRule="auto"/>
        <w:ind w:firstLine="422" w:firstLineChars="200"/>
        <w:rPr>
          <w:rFonts w:ascii="宋体" w:hAnsi="宋体" w:cs="宋体"/>
          <w:b/>
          <w:bCs/>
          <w:szCs w:val="21"/>
        </w:rPr>
      </w:pPr>
      <w:bookmarkStart w:id="8" w:name="_Toc470431964"/>
      <w:r>
        <w:rPr>
          <w:rFonts w:hint="eastAsia" w:ascii="宋体" w:hAnsi="宋体" w:cs="宋体"/>
          <w:b/>
          <w:bCs/>
          <w:szCs w:val="21"/>
        </w:rPr>
        <w:t>项目概况</w:t>
      </w:r>
    </w:p>
    <w:p>
      <w:pPr>
        <w:pBdr>
          <w:top w:val="single" w:color="auto" w:sz="4" w:space="1"/>
          <w:left w:val="single" w:color="auto" w:sz="4" w:space="4"/>
          <w:bottom w:val="single" w:color="auto" w:sz="4" w:space="1"/>
          <w:right w:val="single" w:color="auto" w:sz="4" w:space="9"/>
        </w:pBdr>
        <w:spacing w:line="360" w:lineRule="auto"/>
        <w:ind w:firstLine="422" w:firstLineChars="200"/>
        <w:rPr>
          <w:rFonts w:ascii="宋体" w:hAnsi="宋体" w:cs="宋体"/>
          <w:b/>
          <w:bCs/>
          <w:szCs w:val="21"/>
        </w:rPr>
      </w:pPr>
      <w:r>
        <w:rPr>
          <w:rFonts w:hint="eastAsia" w:ascii="宋体" w:hAnsi="宋体" w:cs="宋体"/>
          <w:b/>
          <w:bCs/>
          <w:szCs w:val="21"/>
        </w:rPr>
        <w:t>杭州市城乡建设委员会CIM基础信息平台软件开发项目</w:t>
      </w:r>
      <w:r>
        <w:rPr>
          <w:rFonts w:hint="eastAsia" w:ascii="宋体" w:hAnsi="宋体" w:cs="宋体"/>
          <w:szCs w:val="21"/>
        </w:rPr>
        <w:t>的</w:t>
      </w:r>
      <w:r>
        <w:rPr>
          <w:rFonts w:hint="eastAsia" w:ascii="宋体" w:hAnsi="宋体" w:cs="宋体"/>
          <w:b/>
          <w:bCs/>
          <w:szCs w:val="21"/>
        </w:rPr>
        <w:t>潜在供应商</w:t>
      </w:r>
      <w:r>
        <w:rPr>
          <w:rFonts w:hint="eastAsia" w:ascii="宋体" w:hAnsi="宋体" w:cs="宋体"/>
          <w:szCs w:val="21"/>
        </w:rPr>
        <w:t>应在浙江政府采购云平台（http://zfcg.czt.zj.gov.cn）获取（下载）采购文件</w:t>
      </w:r>
      <w:r>
        <w:rPr>
          <w:rFonts w:hint="eastAsia" w:ascii="宋体" w:hAnsi="宋体" w:cs="宋体"/>
          <w:b/>
          <w:bCs/>
          <w:szCs w:val="21"/>
        </w:rPr>
        <w:t>，并于2021年</w:t>
      </w:r>
      <w:r>
        <w:rPr>
          <w:rFonts w:hint="eastAsia" w:ascii="宋体" w:hAnsi="宋体" w:cs="宋体"/>
          <w:b/>
          <w:bCs/>
          <w:szCs w:val="21"/>
          <w:lang w:val="en-US" w:eastAsia="zh-CN"/>
        </w:rPr>
        <w:t>10</w:t>
      </w:r>
      <w:r>
        <w:rPr>
          <w:rFonts w:hint="eastAsia" w:ascii="宋体" w:hAnsi="宋体" w:cs="宋体"/>
          <w:b/>
          <w:bCs/>
          <w:szCs w:val="21"/>
        </w:rPr>
        <w:t>月</w:t>
      </w:r>
      <w:r>
        <w:rPr>
          <w:rFonts w:hint="eastAsia" w:ascii="宋体" w:hAnsi="宋体" w:cs="宋体"/>
          <w:b/>
          <w:bCs/>
          <w:szCs w:val="21"/>
          <w:lang w:val="en-US" w:eastAsia="zh-CN"/>
        </w:rPr>
        <w:t>22</w:t>
      </w:r>
      <w:r>
        <w:rPr>
          <w:rFonts w:hint="eastAsia" w:ascii="宋体" w:hAnsi="宋体" w:cs="宋体"/>
          <w:b/>
          <w:bCs/>
          <w:szCs w:val="21"/>
        </w:rPr>
        <w:t>日9点00分（北京时间）前递交投标文件。</w:t>
      </w:r>
    </w:p>
    <w:p>
      <w:pPr>
        <w:spacing w:line="288" w:lineRule="auto"/>
        <w:outlineLvl w:val="1"/>
        <w:rPr>
          <w:rFonts w:ascii="宋体" w:hAnsi="宋体" w:cs="宋体"/>
          <w:b/>
          <w:sz w:val="24"/>
        </w:rPr>
      </w:pPr>
      <w:r>
        <w:rPr>
          <w:rFonts w:hint="eastAsia" w:ascii="宋体" w:hAnsi="宋体" w:cs="宋体"/>
          <w:b/>
          <w:sz w:val="24"/>
        </w:rPr>
        <w:t>一、项目基本情况</w:t>
      </w:r>
    </w:p>
    <w:p>
      <w:pPr>
        <w:spacing w:line="360" w:lineRule="auto"/>
        <w:ind w:firstLine="420" w:firstLineChars="200"/>
        <w:rPr>
          <w:rFonts w:ascii="宋体" w:hAnsi="宋体" w:cs="宋体"/>
          <w:bCs/>
          <w:szCs w:val="21"/>
        </w:rPr>
      </w:pPr>
      <w:r>
        <w:rPr>
          <w:rFonts w:hint="eastAsia" w:ascii="宋体" w:hAnsi="宋体" w:cs="宋体"/>
          <w:bCs/>
          <w:szCs w:val="21"/>
        </w:rPr>
        <w:t>项目编号：HXDI-2021-SJW001</w:t>
      </w:r>
    </w:p>
    <w:p>
      <w:pPr>
        <w:spacing w:line="360" w:lineRule="auto"/>
        <w:ind w:firstLine="420" w:firstLineChars="200"/>
        <w:rPr>
          <w:rFonts w:ascii="宋体" w:hAnsi="宋体" w:cs="宋体"/>
          <w:bCs/>
          <w:szCs w:val="21"/>
        </w:rPr>
      </w:pPr>
      <w:r>
        <w:rPr>
          <w:rFonts w:hint="eastAsia" w:ascii="宋体" w:hAnsi="宋体" w:cs="宋体"/>
          <w:bCs/>
          <w:szCs w:val="21"/>
        </w:rPr>
        <w:t>项目名称：杭州市城乡建设委员会CIM基础信息平台软件开发项目</w:t>
      </w:r>
    </w:p>
    <w:p>
      <w:pPr>
        <w:spacing w:line="360" w:lineRule="auto"/>
        <w:ind w:firstLine="420" w:firstLineChars="200"/>
        <w:rPr>
          <w:rFonts w:ascii="宋体" w:hAnsi="宋体" w:cs="宋体"/>
          <w:bCs/>
          <w:szCs w:val="21"/>
        </w:rPr>
      </w:pPr>
      <w:r>
        <w:rPr>
          <w:rFonts w:hint="eastAsia" w:ascii="宋体" w:hAnsi="宋体" w:cs="宋体"/>
          <w:bCs/>
          <w:szCs w:val="21"/>
        </w:rPr>
        <w:t>预算金额（元）：30000000</w:t>
      </w:r>
    </w:p>
    <w:p>
      <w:pPr>
        <w:spacing w:line="360" w:lineRule="auto"/>
        <w:ind w:firstLine="420" w:firstLineChars="200"/>
        <w:rPr>
          <w:rFonts w:ascii="宋体" w:hAnsi="宋体" w:cs="宋体"/>
          <w:bCs/>
          <w:szCs w:val="21"/>
        </w:rPr>
      </w:pPr>
      <w:r>
        <w:rPr>
          <w:rFonts w:hint="eastAsia" w:ascii="宋体" w:hAnsi="宋体" w:cs="宋体"/>
          <w:bCs/>
          <w:szCs w:val="21"/>
        </w:rPr>
        <w:t>最高限价（元）：30000000</w:t>
      </w:r>
    </w:p>
    <w:p>
      <w:pPr>
        <w:spacing w:line="360" w:lineRule="auto"/>
        <w:ind w:firstLine="420" w:firstLineChars="200"/>
        <w:rPr>
          <w:rFonts w:ascii="宋体" w:hAnsi="宋体" w:cs="宋体"/>
          <w:bCs/>
          <w:szCs w:val="21"/>
        </w:rPr>
      </w:pPr>
      <w:r>
        <w:rPr>
          <w:rFonts w:hint="eastAsia" w:ascii="宋体" w:hAnsi="宋体" w:cs="宋体"/>
          <w:bCs/>
          <w:szCs w:val="21"/>
        </w:rPr>
        <w:t>采购需求：</w:t>
      </w:r>
    </w:p>
    <w:p>
      <w:pPr>
        <w:spacing w:line="360" w:lineRule="auto"/>
        <w:ind w:firstLine="420" w:firstLineChars="200"/>
        <w:rPr>
          <w:rFonts w:ascii="宋体" w:hAnsi="宋体" w:cs="宋体"/>
          <w:szCs w:val="21"/>
        </w:rPr>
      </w:pPr>
      <w:r>
        <w:rPr>
          <w:rFonts w:hint="eastAsia" w:ascii="宋体" w:hAnsi="宋体" w:cs="宋体"/>
          <w:szCs w:val="21"/>
        </w:rPr>
        <w:t>标项一</w:t>
      </w:r>
    </w:p>
    <w:p>
      <w:pPr>
        <w:spacing w:line="360" w:lineRule="auto"/>
        <w:ind w:firstLine="420" w:firstLineChars="200"/>
        <w:rPr>
          <w:rFonts w:ascii="宋体" w:hAnsi="宋体" w:cs="宋体"/>
          <w:szCs w:val="21"/>
        </w:rPr>
      </w:pPr>
      <w:r>
        <w:rPr>
          <w:rFonts w:hint="eastAsia" w:ascii="宋体" w:hAnsi="宋体" w:cs="宋体"/>
          <w:szCs w:val="21"/>
        </w:rPr>
        <w:t>标项名称：杭州市城乡建设委员会CIM基础信息平台软件开发项目</w:t>
      </w:r>
    </w:p>
    <w:p>
      <w:pPr>
        <w:spacing w:line="360" w:lineRule="auto"/>
        <w:ind w:firstLine="420" w:firstLineChars="200"/>
        <w:rPr>
          <w:rFonts w:ascii="宋体" w:hAnsi="宋体" w:cs="宋体"/>
          <w:szCs w:val="21"/>
        </w:rPr>
      </w:pPr>
      <w:r>
        <w:rPr>
          <w:rFonts w:hint="eastAsia" w:ascii="宋体" w:hAnsi="宋体" w:cs="宋体"/>
          <w:szCs w:val="21"/>
        </w:rPr>
        <w:t>数量：1项</w:t>
      </w:r>
    </w:p>
    <w:p>
      <w:pPr>
        <w:spacing w:line="360" w:lineRule="auto"/>
        <w:ind w:firstLine="420" w:firstLineChars="200"/>
        <w:rPr>
          <w:rFonts w:ascii="宋体" w:hAnsi="宋体" w:cs="宋体"/>
          <w:szCs w:val="21"/>
        </w:rPr>
      </w:pPr>
      <w:r>
        <w:rPr>
          <w:rFonts w:hint="eastAsia" w:ascii="宋体" w:hAnsi="宋体" w:cs="宋体"/>
          <w:szCs w:val="21"/>
        </w:rPr>
        <w:t>预算金额（元）：30000000</w:t>
      </w:r>
    </w:p>
    <w:p>
      <w:pPr>
        <w:spacing w:line="360" w:lineRule="auto"/>
        <w:ind w:firstLine="420" w:firstLineChars="200"/>
        <w:rPr>
          <w:rFonts w:ascii="宋体" w:hAnsi="宋体" w:cs="宋体"/>
          <w:szCs w:val="21"/>
        </w:rPr>
      </w:pPr>
      <w:r>
        <w:rPr>
          <w:rFonts w:hint="eastAsia" w:ascii="宋体" w:hAnsi="宋体" w:cs="宋体"/>
          <w:szCs w:val="21"/>
        </w:rPr>
        <w:t>简要规格描述或项目基本概况介绍、用途：通过汇聚CIM数据资源，建设杭州市CIM基础信息平台，实现城市部分信息的二三维管理、业务协同及CIM+应用场景的试点应用，含标准规范体系、CIM数据资源中心、CIM基础信息平台、试点应用场景。</w:t>
      </w:r>
    </w:p>
    <w:p>
      <w:pPr>
        <w:spacing w:line="360" w:lineRule="auto"/>
        <w:ind w:firstLine="420" w:firstLineChars="200"/>
        <w:rPr>
          <w:rFonts w:ascii="宋体" w:hAnsi="宋体" w:cs="宋体"/>
          <w:szCs w:val="21"/>
        </w:rPr>
      </w:pPr>
      <w:r>
        <w:rPr>
          <w:rFonts w:hint="eastAsia" w:ascii="宋体" w:hAnsi="宋体" w:cs="宋体"/>
          <w:szCs w:val="21"/>
        </w:rPr>
        <w:t>备注：无。</w:t>
      </w:r>
    </w:p>
    <w:p>
      <w:pPr>
        <w:spacing w:line="360" w:lineRule="auto"/>
        <w:ind w:firstLine="420" w:firstLineChars="200"/>
        <w:rPr>
          <w:rFonts w:ascii="宋体" w:hAnsi="宋体" w:cs="宋体"/>
          <w:szCs w:val="21"/>
        </w:rPr>
      </w:pPr>
      <w:r>
        <w:rPr>
          <w:rFonts w:hint="eastAsia" w:ascii="宋体" w:hAnsi="宋体" w:cs="宋体"/>
          <w:szCs w:val="21"/>
        </w:rPr>
        <w:t>合同履行期限：标项 1，合同签订后1个月内完成主要功能开发，基本数据完成入库。</w:t>
      </w:r>
    </w:p>
    <w:p>
      <w:pPr>
        <w:spacing w:line="360" w:lineRule="auto"/>
        <w:ind w:firstLine="420" w:firstLineChars="200"/>
        <w:rPr>
          <w:rFonts w:ascii="宋体" w:hAnsi="宋体" w:cs="宋体"/>
          <w:szCs w:val="21"/>
        </w:rPr>
      </w:pPr>
      <w:r>
        <w:rPr>
          <w:rFonts w:hint="eastAsia" w:ascii="宋体" w:hAnsi="宋体" w:cs="宋体"/>
          <w:szCs w:val="21"/>
        </w:rPr>
        <w:t>本项目（否）接受联合体投标。</w:t>
      </w:r>
    </w:p>
    <w:p>
      <w:pPr>
        <w:spacing w:line="288" w:lineRule="auto"/>
        <w:outlineLvl w:val="1"/>
        <w:rPr>
          <w:rFonts w:ascii="宋体" w:hAnsi="宋体" w:cs="宋体"/>
          <w:b/>
          <w:sz w:val="24"/>
        </w:rPr>
      </w:pPr>
      <w:r>
        <w:rPr>
          <w:rFonts w:hint="eastAsia" w:ascii="宋体" w:hAnsi="宋体" w:cs="宋体"/>
          <w:b/>
          <w:sz w:val="24"/>
        </w:rPr>
        <w:t>二、申请人的资格要求</w:t>
      </w:r>
    </w:p>
    <w:p>
      <w:pPr>
        <w:autoSpaceDE w:val="0"/>
        <w:autoSpaceDN w:val="0"/>
        <w:adjustRightInd w:val="0"/>
        <w:snapToGrid w:val="0"/>
        <w:spacing w:line="360" w:lineRule="auto"/>
        <w:ind w:firstLine="420" w:firstLineChars="200"/>
        <w:textAlignment w:val="bottom"/>
        <w:rPr>
          <w:rFonts w:ascii="宋体" w:hAnsi="宋体" w:cs="宋体"/>
          <w:bCs/>
        </w:rPr>
      </w:pPr>
      <w:r>
        <w:rPr>
          <w:rFonts w:hint="eastAsia" w:ascii="宋体" w:hAnsi="宋体" w:cs="宋体"/>
          <w:bCs/>
        </w:rPr>
        <w:t>1、满足《中华人民共和国政府采购法》第二十二条规定；</w:t>
      </w:r>
      <w:r>
        <w:rPr>
          <w:rFonts w:hint="eastAsia" w:ascii="宋体" w:hAnsi="宋体" w:cs="宋体"/>
          <w:szCs w:val="21"/>
        </w:rPr>
        <w:t>未被“信用中国”（www.creditchina.gov.cn）、中国政府采购网（www.ccgp.gov.cn）列入失信被执行人、重大税收违法案件当事人名单、政府采购严重违法失信行为记录名单；</w:t>
      </w:r>
    </w:p>
    <w:p>
      <w:pPr>
        <w:adjustRightInd w:val="0"/>
        <w:snapToGrid w:val="0"/>
        <w:spacing w:line="360" w:lineRule="auto"/>
        <w:ind w:firstLine="420" w:firstLineChars="200"/>
        <w:rPr>
          <w:rFonts w:ascii="宋体" w:hAnsi="宋体" w:cs="宋体"/>
          <w:bCs/>
        </w:rPr>
      </w:pPr>
      <w:r>
        <w:rPr>
          <w:rFonts w:hint="eastAsia" w:ascii="宋体" w:hAnsi="宋体" w:cs="宋体"/>
          <w:bCs/>
        </w:rPr>
        <w:t>2、</w:t>
      </w:r>
      <w:r>
        <w:rPr>
          <w:rFonts w:hint="eastAsia" w:ascii="宋体" w:hAnsi="宋体" w:cs="宋体"/>
          <w:bCs/>
          <w:szCs w:val="21"/>
        </w:rPr>
        <w:t>落实政府采购政策需满足的资格</w:t>
      </w:r>
      <w:r>
        <w:rPr>
          <w:rFonts w:hint="eastAsia" w:ascii="宋体" w:hAnsi="宋体" w:cs="宋体"/>
          <w:bCs/>
        </w:rPr>
        <w:t>要求：无；</w:t>
      </w:r>
    </w:p>
    <w:p>
      <w:pPr>
        <w:adjustRightInd w:val="0"/>
        <w:snapToGrid w:val="0"/>
        <w:spacing w:line="360" w:lineRule="auto"/>
        <w:ind w:firstLine="420" w:firstLineChars="200"/>
        <w:rPr>
          <w:rFonts w:ascii="宋体" w:hAnsi="宋体" w:cs="宋体"/>
        </w:rPr>
      </w:pPr>
      <w:r>
        <w:rPr>
          <w:rFonts w:hint="eastAsia" w:ascii="宋体" w:hAnsi="宋体" w:cs="宋体"/>
          <w:bCs/>
          <w:szCs w:val="21"/>
        </w:rPr>
        <w:t>3</w:t>
      </w:r>
      <w:r>
        <w:rPr>
          <w:rFonts w:hint="eastAsia" w:ascii="宋体" w:hAnsi="宋体" w:cs="宋体"/>
          <w:bCs/>
        </w:rPr>
        <w:t>、</w:t>
      </w:r>
      <w:r>
        <w:rPr>
          <w:rFonts w:hint="eastAsia" w:ascii="宋体" w:hAnsi="宋体" w:cs="宋体"/>
          <w:bCs/>
          <w:szCs w:val="21"/>
        </w:rPr>
        <w:t>本项目的特定资格要求：无</w:t>
      </w:r>
      <w:r>
        <w:rPr>
          <w:rFonts w:hint="eastAsia" w:ascii="宋体" w:hAnsi="宋体" w:cs="宋体"/>
        </w:rPr>
        <w:t>。</w:t>
      </w:r>
    </w:p>
    <w:p>
      <w:pPr>
        <w:adjustRightInd w:val="0"/>
        <w:snapToGrid w:val="0"/>
        <w:spacing w:line="360" w:lineRule="auto"/>
        <w:outlineLvl w:val="1"/>
        <w:rPr>
          <w:rFonts w:ascii="宋体" w:hAnsi="宋体" w:cs="宋体"/>
          <w:b/>
          <w:sz w:val="24"/>
        </w:rPr>
      </w:pPr>
      <w:bookmarkStart w:id="9" w:name="_Toc35393792"/>
      <w:bookmarkStart w:id="10" w:name="_Toc35393623"/>
      <w:r>
        <w:rPr>
          <w:rFonts w:hint="eastAsia" w:ascii="宋体" w:hAnsi="宋体" w:cs="宋体"/>
          <w:b/>
          <w:sz w:val="24"/>
        </w:rPr>
        <w:t>三、获取采购文件</w:t>
      </w:r>
      <w:bookmarkEnd w:id="9"/>
      <w:bookmarkEnd w:id="10"/>
    </w:p>
    <w:p>
      <w:pPr>
        <w:widowControl/>
        <w:adjustRightInd w:val="0"/>
        <w:snapToGrid w:val="0"/>
        <w:spacing w:line="360" w:lineRule="auto"/>
        <w:ind w:firstLine="420" w:firstLineChars="200"/>
        <w:rPr>
          <w:rFonts w:ascii="宋体" w:hAnsi="宋体" w:cs="宋体"/>
          <w:bCs/>
          <w:szCs w:val="21"/>
        </w:rPr>
      </w:pPr>
      <w:r>
        <w:rPr>
          <w:rFonts w:hint="eastAsia" w:ascii="宋体" w:hAnsi="宋体" w:cs="宋体"/>
          <w:szCs w:val="21"/>
        </w:rPr>
        <w:t>1.时间：至2021年</w:t>
      </w:r>
      <w:r>
        <w:rPr>
          <w:rFonts w:hint="eastAsia" w:ascii="宋体" w:hAnsi="宋体" w:cs="宋体"/>
          <w:szCs w:val="21"/>
          <w:lang w:val="en-US" w:eastAsia="zh-CN"/>
        </w:rPr>
        <w:t>10</w:t>
      </w:r>
      <w:r>
        <w:rPr>
          <w:rFonts w:hint="eastAsia" w:ascii="宋体" w:hAnsi="宋体" w:cs="宋体"/>
          <w:szCs w:val="21"/>
        </w:rPr>
        <w:t>月</w:t>
      </w:r>
      <w:r>
        <w:rPr>
          <w:rFonts w:hint="eastAsia" w:ascii="宋体" w:hAnsi="宋体" w:cs="宋体"/>
          <w:szCs w:val="21"/>
          <w:lang w:val="en-US" w:eastAsia="zh-CN"/>
        </w:rPr>
        <w:t>22</w:t>
      </w:r>
      <w:r>
        <w:rPr>
          <w:rFonts w:hint="eastAsia" w:ascii="宋体" w:hAnsi="宋体" w:cs="宋体"/>
          <w:szCs w:val="21"/>
        </w:rPr>
        <w:t>日,每天上午0:00至12:00，下午12:00至23:59（北京时间，线上获取法定节假日均可，线下获取文件法定节假日除外）</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2.地点（网址）：浙江政府采购云平台（http://zfcg.czt.zj.gov.cn）</w:t>
      </w:r>
    </w:p>
    <w:p>
      <w:pPr>
        <w:pStyle w:val="14"/>
        <w:tabs>
          <w:tab w:val="left" w:pos="0"/>
        </w:tabs>
        <w:adjustRightInd w:val="0"/>
        <w:snapToGrid w:val="0"/>
        <w:spacing w:after="0" w:line="360" w:lineRule="auto"/>
        <w:ind w:firstLine="409" w:firstLineChars="195"/>
        <w:rPr>
          <w:rFonts w:ascii="宋体" w:hAnsi="宋体" w:cs="宋体"/>
          <w:bCs/>
          <w:szCs w:val="21"/>
        </w:rPr>
      </w:pPr>
      <w:r>
        <w:rPr>
          <w:rFonts w:hint="eastAsia" w:ascii="宋体" w:hAnsi="宋体" w:cs="宋体"/>
          <w:szCs w:val="21"/>
        </w:rPr>
        <w:t>3.方式：登录浙江政府采购网（http://zfcg.czt.zj.gov.cn）获取（潜在供应商登录政府采购云平台，进入“项目采购”，在“获取采购文件”菜单中选择项目后“申请获取采购文件”） </w:t>
      </w:r>
    </w:p>
    <w:p>
      <w:pPr>
        <w:adjustRightInd w:val="0"/>
        <w:snapToGrid w:val="0"/>
        <w:spacing w:line="360" w:lineRule="auto"/>
        <w:ind w:firstLine="420" w:firstLineChars="200"/>
        <w:rPr>
          <w:rFonts w:ascii="宋体" w:hAnsi="宋体" w:cs="宋体"/>
        </w:rPr>
      </w:pPr>
      <w:r>
        <w:rPr>
          <w:rFonts w:hint="eastAsia" w:ascii="宋体" w:hAnsi="宋体" w:cs="宋体"/>
          <w:szCs w:val="21"/>
        </w:rPr>
        <w:t>4.售价：0元</w:t>
      </w:r>
    </w:p>
    <w:p>
      <w:pPr>
        <w:spacing w:line="288" w:lineRule="auto"/>
        <w:outlineLvl w:val="1"/>
        <w:rPr>
          <w:rFonts w:ascii="宋体" w:hAnsi="宋体" w:cs="宋体"/>
          <w:b/>
          <w:sz w:val="24"/>
        </w:rPr>
      </w:pPr>
      <w:r>
        <w:rPr>
          <w:rFonts w:hint="eastAsia" w:ascii="宋体" w:hAnsi="宋体" w:cs="宋体"/>
          <w:b/>
          <w:sz w:val="24"/>
        </w:rPr>
        <w:t>四、递交投标文件截止时间、开标时间和地点</w:t>
      </w:r>
    </w:p>
    <w:p>
      <w:pPr>
        <w:spacing w:line="288" w:lineRule="auto"/>
        <w:ind w:firstLine="420" w:firstLineChars="200"/>
        <w:rPr>
          <w:rFonts w:ascii="宋体" w:hAnsi="宋体" w:cs="宋体"/>
          <w:szCs w:val="21"/>
        </w:rPr>
      </w:pPr>
      <w:r>
        <w:rPr>
          <w:rFonts w:hint="eastAsia" w:ascii="宋体" w:hAnsi="宋体" w:cs="宋体"/>
          <w:szCs w:val="21"/>
        </w:rPr>
        <w:t>递交投标文件截止时间：2021年</w:t>
      </w:r>
      <w:r>
        <w:rPr>
          <w:rFonts w:hint="eastAsia" w:ascii="宋体" w:hAnsi="宋体" w:cs="宋体"/>
          <w:szCs w:val="21"/>
          <w:lang w:val="en-US" w:eastAsia="zh-CN"/>
        </w:rPr>
        <w:t>10</w:t>
      </w:r>
      <w:r>
        <w:rPr>
          <w:rFonts w:hint="eastAsia" w:ascii="宋体" w:hAnsi="宋体" w:cs="宋体"/>
          <w:szCs w:val="21"/>
        </w:rPr>
        <w:t>月</w:t>
      </w:r>
      <w:r>
        <w:rPr>
          <w:rFonts w:hint="eastAsia" w:ascii="宋体" w:hAnsi="宋体" w:cs="宋体"/>
          <w:szCs w:val="21"/>
          <w:lang w:val="en-US" w:eastAsia="zh-CN"/>
        </w:rPr>
        <w:t>22</w:t>
      </w:r>
      <w:r>
        <w:rPr>
          <w:rFonts w:hint="eastAsia" w:ascii="宋体" w:hAnsi="宋体" w:cs="宋体"/>
          <w:szCs w:val="21"/>
        </w:rPr>
        <w:t>日9点00分（北京时间）</w:t>
      </w:r>
    </w:p>
    <w:p>
      <w:pPr>
        <w:spacing w:line="288" w:lineRule="auto"/>
        <w:ind w:firstLine="420" w:firstLineChars="200"/>
        <w:rPr>
          <w:rFonts w:ascii="宋体" w:hAnsi="宋体" w:cs="宋体"/>
          <w:szCs w:val="21"/>
        </w:rPr>
      </w:pPr>
      <w:r>
        <w:rPr>
          <w:rFonts w:hint="eastAsia" w:ascii="宋体" w:hAnsi="宋体" w:cs="宋体"/>
          <w:szCs w:val="21"/>
        </w:rPr>
        <w:t>地点（网址）：浙江政府采购云平台（http://zfcg.czt.zj.gov.cn）</w:t>
      </w:r>
    </w:p>
    <w:p>
      <w:pPr>
        <w:spacing w:line="288" w:lineRule="auto"/>
        <w:ind w:firstLine="420" w:firstLineChars="200"/>
        <w:rPr>
          <w:rFonts w:ascii="宋体" w:hAnsi="宋体" w:cs="宋体"/>
          <w:szCs w:val="21"/>
        </w:rPr>
      </w:pPr>
      <w:r>
        <w:rPr>
          <w:rFonts w:hint="eastAsia" w:ascii="宋体" w:hAnsi="宋体" w:cs="宋体"/>
          <w:szCs w:val="21"/>
        </w:rPr>
        <w:t>开标时间：2021年</w:t>
      </w:r>
      <w:r>
        <w:rPr>
          <w:rFonts w:hint="eastAsia" w:ascii="宋体" w:hAnsi="宋体" w:cs="宋体"/>
          <w:szCs w:val="21"/>
          <w:lang w:val="en-US" w:eastAsia="zh-CN"/>
        </w:rPr>
        <w:t>10</w:t>
      </w:r>
      <w:r>
        <w:rPr>
          <w:rFonts w:hint="eastAsia" w:ascii="宋体" w:hAnsi="宋体" w:cs="宋体"/>
          <w:szCs w:val="21"/>
        </w:rPr>
        <w:t>月</w:t>
      </w:r>
      <w:r>
        <w:rPr>
          <w:rFonts w:hint="eastAsia" w:ascii="宋体" w:hAnsi="宋体" w:cs="宋体"/>
          <w:szCs w:val="21"/>
          <w:lang w:val="en-US" w:eastAsia="zh-CN"/>
        </w:rPr>
        <w:t>22</w:t>
      </w:r>
      <w:r>
        <w:rPr>
          <w:rFonts w:hint="eastAsia" w:ascii="宋体" w:hAnsi="宋体" w:cs="宋体"/>
          <w:szCs w:val="21"/>
        </w:rPr>
        <w:t>日9点00分（北京时间）</w:t>
      </w:r>
    </w:p>
    <w:p>
      <w:pPr>
        <w:pStyle w:val="14"/>
        <w:ind w:firstLineChars="200"/>
        <w:rPr>
          <w:rFonts w:ascii="宋体" w:hAnsi="宋体" w:cs="宋体"/>
        </w:rPr>
      </w:pPr>
      <w:r>
        <w:rPr>
          <w:rFonts w:hint="eastAsia" w:ascii="宋体" w:hAnsi="宋体" w:cs="宋体"/>
        </w:rPr>
        <w:t>开标地点</w:t>
      </w:r>
      <w:r>
        <w:rPr>
          <w:rFonts w:hint="eastAsia" w:ascii="宋体" w:hAnsi="宋体" w:cs="宋体"/>
          <w:szCs w:val="21"/>
        </w:rPr>
        <w:t>（网址）：浙江政府采购云平台（http://zfcg.czt.zj.gov.cn）</w:t>
      </w:r>
    </w:p>
    <w:p>
      <w:pPr>
        <w:spacing w:line="288" w:lineRule="auto"/>
        <w:outlineLvl w:val="1"/>
        <w:rPr>
          <w:rFonts w:ascii="宋体" w:hAnsi="宋体" w:cs="宋体"/>
          <w:b/>
          <w:sz w:val="24"/>
        </w:rPr>
      </w:pPr>
      <w:r>
        <w:rPr>
          <w:rFonts w:hint="eastAsia" w:ascii="宋体" w:hAnsi="宋体" w:cs="宋体"/>
          <w:b/>
          <w:sz w:val="24"/>
        </w:rPr>
        <w:t>五、公告期限</w:t>
      </w:r>
    </w:p>
    <w:p>
      <w:pPr>
        <w:spacing w:line="288" w:lineRule="auto"/>
        <w:ind w:firstLine="420" w:firstLineChars="200"/>
        <w:rPr>
          <w:rFonts w:ascii="宋体" w:hAnsi="宋体" w:cs="宋体"/>
          <w:szCs w:val="21"/>
        </w:rPr>
      </w:pPr>
      <w:r>
        <w:rPr>
          <w:rFonts w:hint="eastAsia" w:ascii="宋体" w:hAnsi="宋体" w:cs="宋体"/>
          <w:szCs w:val="21"/>
        </w:rPr>
        <w:t>自本公告发布之日起5个工作日。</w:t>
      </w:r>
    </w:p>
    <w:p>
      <w:pPr>
        <w:spacing w:line="360" w:lineRule="auto"/>
        <w:outlineLvl w:val="1"/>
        <w:rPr>
          <w:rFonts w:ascii="宋体" w:hAnsi="宋体" w:cs="宋体"/>
          <w:b/>
          <w:sz w:val="24"/>
        </w:rPr>
      </w:pPr>
      <w:bookmarkStart w:id="11" w:name="_Toc35393795"/>
      <w:bookmarkStart w:id="12" w:name="_Toc35393626"/>
      <w:r>
        <w:rPr>
          <w:rFonts w:hint="eastAsia" w:ascii="宋体" w:hAnsi="宋体" w:cs="宋体"/>
          <w:b/>
          <w:sz w:val="24"/>
        </w:rPr>
        <w:t>六、其他补充事宜</w:t>
      </w:r>
      <w:bookmarkEnd w:id="11"/>
      <w:bookmarkEnd w:id="12"/>
    </w:p>
    <w:p>
      <w:pPr>
        <w:pStyle w:val="14"/>
        <w:adjustRightInd w:val="0"/>
        <w:snapToGrid w:val="0"/>
        <w:spacing w:after="0" w:line="360" w:lineRule="auto"/>
        <w:ind w:firstLine="415" w:firstLineChars="198"/>
        <w:rPr>
          <w:rFonts w:ascii="宋体" w:hAnsi="宋体" w:cs="宋体"/>
        </w:rPr>
      </w:pPr>
      <w:r>
        <w:rPr>
          <w:rFonts w:hint="eastAsia" w:ascii="宋体" w:hAnsi="宋体" w:cs="宋体"/>
        </w:rPr>
        <w:t>1、供应商认为采购文件使自己的权益受到损害的，可以自收到采购文件之日（获取截止日之后收到采购文件的，以获取截止日为准）或者采购文件公告期限届满之日（公告发布后的第6个工作日）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pStyle w:val="14"/>
        <w:adjustRightInd w:val="0"/>
        <w:snapToGrid w:val="0"/>
        <w:spacing w:after="0" w:line="360" w:lineRule="auto"/>
        <w:ind w:firstLine="415" w:firstLineChars="198"/>
        <w:rPr>
          <w:rFonts w:ascii="宋体" w:hAnsi="宋体" w:cs="宋体"/>
        </w:rPr>
      </w:pPr>
      <w:r>
        <w:rPr>
          <w:rFonts w:hint="eastAsia" w:ascii="宋体" w:hAnsi="宋体" w:cs="宋体"/>
        </w:rPr>
        <w:t>2、其他事项</w:t>
      </w:r>
    </w:p>
    <w:p>
      <w:pPr>
        <w:adjustRightInd w:val="0"/>
        <w:snapToGrid w:val="0"/>
        <w:spacing w:line="360" w:lineRule="auto"/>
        <w:ind w:firstLine="420" w:firstLineChars="200"/>
        <w:rPr>
          <w:rFonts w:ascii="宋体" w:hAnsi="宋体" w:cs="宋体"/>
          <w:bCs/>
          <w:szCs w:val="21"/>
        </w:rPr>
      </w:pPr>
      <w:r>
        <w:rPr>
          <w:rFonts w:hint="eastAsia" w:ascii="宋体" w:hAnsi="宋体" w:cs="宋体"/>
          <w:bCs/>
          <w:szCs w:val="21"/>
        </w:rPr>
        <w:t>①在线电子响应说明：</w:t>
      </w:r>
    </w:p>
    <w:p>
      <w:pPr>
        <w:widowControl/>
        <w:numPr>
          <w:ilvl w:val="0"/>
          <w:numId w:val="1"/>
        </w:numPr>
        <w:adjustRightInd w:val="0"/>
        <w:snapToGrid w:val="0"/>
        <w:spacing w:line="360" w:lineRule="auto"/>
        <w:ind w:firstLine="420" w:firstLineChars="200"/>
        <w:rPr>
          <w:rFonts w:ascii="宋体" w:hAnsi="宋体" w:cs="宋体"/>
          <w:szCs w:val="21"/>
        </w:rPr>
      </w:pPr>
      <w:r>
        <w:rPr>
          <w:rFonts w:hint="eastAsia" w:ascii="宋体" w:hAnsi="宋体" w:cs="宋体"/>
          <w:szCs w:val="21"/>
        </w:rPr>
        <w:t>本项目通过“浙江政府采购云平台（http://zfcg.czt.zj.gov.cn）”实行在线投标响应（电子投标），供应商应先安装“政采云电子交易客户端”，并按照本采购文件和“政府采购云平台”的要求，通过“政采云电子交易客户端”编制并加密投标文件。供应商未按规定加密的投标文件，“政府采购云平台”将予以拒收。</w:t>
      </w:r>
    </w:p>
    <w:p>
      <w:pPr>
        <w:widowControl/>
        <w:numPr>
          <w:ilvl w:val="0"/>
          <w:numId w:val="1"/>
        </w:numPr>
        <w:adjustRightInd w:val="0"/>
        <w:snapToGrid w:val="0"/>
        <w:spacing w:line="360" w:lineRule="auto"/>
        <w:ind w:firstLine="420" w:firstLineChars="200"/>
        <w:rPr>
          <w:rFonts w:ascii="宋体" w:hAnsi="宋体" w:cs="宋体"/>
          <w:szCs w:val="21"/>
        </w:rPr>
      </w:pPr>
      <w:r>
        <w:rPr>
          <w:rFonts w:hint="eastAsia" w:ascii="宋体" w:hAnsi="宋体" w:cs="宋体"/>
          <w:szCs w:val="21"/>
        </w:rPr>
        <w:t>请自行前往“浙江政府采购网-下载专区-电子交易客户端”下载“政采云电子交易客户端”；电子投标具体操作流程详见政采云平台《供应商项目采购-电子招投标操作指南》；通过“政府采购云平台”参与在线投标时如遇平台技术问题详询400-881-7190。</w:t>
      </w:r>
    </w:p>
    <w:p>
      <w:pPr>
        <w:widowControl/>
        <w:adjustRightInd w:val="0"/>
        <w:snapToGrid w:val="0"/>
        <w:spacing w:line="360" w:lineRule="auto"/>
        <w:ind w:firstLine="420" w:firstLineChars="200"/>
        <w:rPr>
          <w:rFonts w:ascii="宋体" w:hAnsi="宋体" w:cs="宋体"/>
          <w:szCs w:val="21"/>
        </w:rPr>
      </w:pPr>
      <w:r>
        <w:rPr>
          <w:rFonts w:hint="eastAsia" w:ascii="宋体" w:hAnsi="宋体" w:cs="宋体"/>
          <w:szCs w:val="21"/>
        </w:rPr>
        <w:t>（3）供应商应当在投标截止时间前，将生成的“电子加密投标文件”上传递交至“政府采购云平台”。投标截止时间以后上传递交的投标文件将被“政府采购云平台”拒收。</w:t>
      </w:r>
    </w:p>
    <w:p>
      <w:pPr>
        <w:adjustRightInd w:val="0"/>
        <w:snapToGrid w:val="0"/>
        <w:spacing w:line="360" w:lineRule="auto"/>
        <w:ind w:firstLine="420" w:firstLineChars="200"/>
        <w:rPr>
          <w:rFonts w:ascii="宋体" w:hAnsi="宋体" w:cs="宋体"/>
          <w:bCs/>
          <w:szCs w:val="21"/>
        </w:rPr>
      </w:pPr>
      <w:r>
        <w:rPr>
          <w:rFonts w:hint="eastAsia" w:ascii="宋体" w:hAnsi="宋体" w:cs="宋体"/>
          <w:bCs/>
          <w:szCs w:val="21"/>
        </w:rPr>
        <w:t>备注：供应商可通过浙江省“电子交易/不见面开评标”学习专题提前进行专题学习，熟悉操作，避免影响采购活动（</w:t>
      </w:r>
      <w:r>
        <w:rPr>
          <w:rFonts w:hint="eastAsia" w:ascii="宋体" w:hAnsi="宋体" w:cs="宋体"/>
          <w:szCs w:val="21"/>
        </w:rPr>
        <w:fldChar w:fldCharType="begin"/>
      </w:r>
      <w:r>
        <w:rPr>
          <w:rFonts w:hint="eastAsia" w:ascii="宋体" w:hAnsi="宋体" w:cs="宋体"/>
          <w:szCs w:val="21"/>
        </w:rPr>
        <w:instrText xml:space="preserve"> HYPERLINK "https://edu.zcygov.cn/luban/e-biding" </w:instrText>
      </w:r>
      <w:r>
        <w:rPr>
          <w:rFonts w:hint="eastAsia" w:ascii="宋体" w:hAnsi="宋体" w:cs="宋体"/>
          <w:szCs w:val="21"/>
        </w:rPr>
        <w:fldChar w:fldCharType="separate"/>
      </w:r>
      <w:r>
        <w:rPr>
          <w:rFonts w:hint="eastAsia" w:ascii="宋体" w:hAnsi="宋体" w:cs="宋体"/>
          <w:szCs w:val="21"/>
        </w:rPr>
        <w:t>https://edu.zcygov.cn/luban/e-biding</w:t>
      </w:r>
      <w:r>
        <w:rPr>
          <w:rFonts w:hint="eastAsia" w:ascii="宋体" w:hAnsi="宋体" w:cs="宋体"/>
          <w:szCs w:val="21"/>
        </w:rPr>
        <w:fldChar w:fldCharType="end"/>
      </w:r>
      <w:r>
        <w:rPr>
          <w:rFonts w:hint="eastAsia" w:ascii="宋体" w:hAnsi="宋体" w:cs="宋体"/>
          <w:bCs/>
          <w:szCs w:val="21"/>
        </w:rPr>
        <w:t>）。</w:t>
      </w:r>
    </w:p>
    <w:p>
      <w:pPr>
        <w:adjustRightInd w:val="0"/>
        <w:snapToGrid w:val="0"/>
        <w:spacing w:line="360" w:lineRule="auto"/>
        <w:ind w:firstLine="420" w:firstLineChars="200"/>
        <w:rPr>
          <w:rFonts w:ascii="宋体" w:hAnsi="宋体" w:cs="宋体"/>
          <w:b/>
          <w:szCs w:val="21"/>
        </w:rPr>
      </w:pPr>
      <w:r>
        <w:rPr>
          <w:rFonts w:hint="eastAsia" w:ascii="宋体" w:hAnsi="宋体" w:cs="宋体"/>
          <w:bCs/>
          <w:szCs w:val="21"/>
        </w:rPr>
        <w:t>②</w:t>
      </w:r>
      <w:r>
        <w:rPr>
          <w:rFonts w:hint="eastAsia" w:ascii="宋体" w:hAnsi="宋体" w:cs="宋体"/>
          <w:szCs w:val="21"/>
        </w:rPr>
        <w:t>采购项目需要落实的政府采购政策：促进中小企业（小型、微型）发展、支持监狱企业发展、促进残疾人就业、支持中小企业信用融资等政府采购政策。</w:t>
      </w:r>
    </w:p>
    <w:p>
      <w:pPr>
        <w:adjustRightInd w:val="0"/>
        <w:snapToGrid w:val="0"/>
        <w:spacing w:line="360" w:lineRule="auto"/>
        <w:ind w:firstLine="420" w:firstLineChars="200"/>
        <w:rPr>
          <w:rFonts w:ascii="宋体" w:hAnsi="宋体" w:cs="宋体"/>
          <w:szCs w:val="21"/>
        </w:rPr>
      </w:pPr>
      <w:bookmarkStart w:id="13" w:name="_Toc30654"/>
      <w:bookmarkEnd w:id="13"/>
      <w:r>
        <w:rPr>
          <w:rFonts w:hint="eastAsia" w:ascii="宋体" w:hAnsi="宋体" w:cs="宋体"/>
          <w:szCs w:val="21"/>
        </w:rPr>
        <w:t>③信用记录：</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根据财库[2016]125号《关于在政府采购活动中查询及使用信用记录有关问题的通知》要求，采购代理机构会对响应供应商信用记录进行查询并甄别。</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（1）信用信息查询的截止时点：投标响应文件提交截止时间；</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（2）查询渠道：“信用中国”（www.creditchina.gov.cn）、“中国政府采购网”（www.ccgp.gov.cn）；</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（3）信用信息查询记录和证据留存具体方式：采购代理机构将查询网页打印并与其他采购文件一并保存；</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（4）信用信息的使用规则：供应商存在不良信用记录的，其响应将被作为无效投标处理。</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（5）不良信用记录指：被列入失信被执行人、重大税收违法案件当事人名单、政府采购严重违法失信行为记录名单。</w:t>
      </w:r>
    </w:p>
    <w:p>
      <w:pPr>
        <w:pStyle w:val="14"/>
        <w:adjustRightInd w:val="0"/>
        <w:snapToGrid w:val="0"/>
        <w:spacing w:after="0" w:line="360" w:lineRule="auto"/>
        <w:ind w:firstLine="415" w:firstLineChars="198"/>
        <w:rPr>
          <w:rFonts w:ascii="宋体" w:hAnsi="宋体" w:cs="宋体"/>
        </w:rPr>
      </w:pPr>
      <w:r>
        <w:rPr>
          <w:rFonts w:hint="eastAsia" w:ascii="宋体" w:hAnsi="宋体" w:cs="宋体"/>
          <w:szCs w:val="21"/>
        </w:rPr>
        <w:t>④投标保证金：无。</w:t>
      </w:r>
    </w:p>
    <w:p>
      <w:pPr>
        <w:spacing w:line="288" w:lineRule="auto"/>
        <w:outlineLvl w:val="1"/>
        <w:rPr>
          <w:rFonts w:ascii="宋体" w:hAnsi="宋体" w:cs="宋体"/>
          <w:b/>
          <w:szCs w:val="21"/>
        </w:rPr>
      </w:pPr>
      <w:r>
        <w:rPr>
          <w:rFonts w:hint="eastAsia" w:ascii="宋体" w:hAnsi="宋体" w:cs="宋体"/>
          <w:b/>
          <w:szCs w:val="21"/>
        </w:rPr>
        <w:t>七、对本次招标提出询问、质疑、投诉，请按以下方式联系</w:t>
      </w:r>
    </w:p>
    <w:p>
      <w:pPr>
        <w:widowControl/>
        <w:spacing w:before="60" w:after="60" w:line="276" w:lineRule="auto"/>
        <w:ind w:right="60" w:firstLine="422" w:firstLineChars="200"/>
        <w:jc w:val="left"/>
        <w:outlineLvl w:val="2"/>
        <w:rPr>
          <w:rFonts w:ascii="宋体" w:hAnsi="宋体" w:cs="宋体"/>
          <w:b/>
          <w:bCs/>
          <w:szCs w:val="21"/>
        </w:rPr>
      </w:pPr>
      <w:r>
        <w:rPr>
          <w:rFonts w:hint="eastAsia" w:ascii="宋体" w:hAnsi="宋体" w:cs="宋体"/>
          <w:b/>
          <w:bCs/>
          <w:szCs w:val="21"/>
        </w:rPr>
        <w:t>1、采购人信息</w:t>
      </w:r>
    </w:p>
    <w:p>
      <w:pPr>
        <w:widowControl/>
        <w:spacing w:before="60" w:after="60" w:line="276" w:lineRule="auto"/>
        <w:ind w:right="60" w:firstLine="420" w:firstLineChars="200"/>
        <w:jc w:val="left"/>
        <w:rPr>
          <w:rFonts w:ascii="宋体" w:hAnsi="宋体" w:cs="宋体"/>
          <w:szCs w:val="21"/>
        </w:rPr>
      </w:pPr>
      <w:r>
        <w:rPr>
          <w:rFonts w:hint="eastAsia" w:ascii="宋体" w:hAnsi="宋体" w:cs="宋体"/>
          <w:szCs w:val="21"/>
        </w:rPr>
        <w:t>名称：杭州市城乡建设委员会</w:t>
      </w:r>
    </w:p>
    <w:p>
      <w:pPr>
        <w:widowControl/>
        <w:spacing w:before="60" w:after="60" w:line="276" w:lineRule="auto"/>
        <w:ind w:right="60" w:firstLine="420" w:firstLineChars="200"/>
        <w:jc w:val="left"/>
        <w:rPr>
          <w:rFonts w:ascii="宋体" w:hAnsi="宋体" w:cs="宋体"/>
        </w:rPr>
      </w:pPr>
      <w:r>
        <w:rPr>
          <w:rFonts w:hint="eastAsia" w:ascii="宋体" w:hAnsi="宋体" w:cs="宋体"/>
          <w:szCs w:val="21"/>
        </w:rPr>
        <w:t>地址：杭州市</w:t>
      </w:r>
      <w:r>
        <w:rPr>
          <w:rFonts w:hint="eastAsia" w:ascii="宋体" w:hAnsi="宋体" w:cs="宋体"/>
        </w:rPr>
        <w:t>市民中心D座</w:t>
      </w:r>
    </w:p>
    <w:p>
      <w:pPr>
        <w:widowControl/>
        <w:spacing w:before="60" w:after="60" w:line="276" w:lineRule="auto"/>
        <w:ind w:right="60" w:firstLine="420" w:firstLineChars="200"/>
        <w:jc w:val="left"/>
        <w:rPr>
          <w:rFonts w:ascii="宋体" w:hAnsi="宋体" w:cs="宋体"/>
        </w:rPr>
      </w:pPr>
      <w:r>
        <w:rPr>
          <w:rFonts w:hint="eastAsia" w:ascii="宋体" w:hAnsi="宋体" w:cs="宋体"/>
        </w:rPr>
        <w:t>项目联系人（询问）：储伟伟</w:t>
      </w:r>
    </w:p>
    <w:p>
      <w:pPr>
        <w:widowControl/>
        <w:spacing w:before="60" w:after="60" w:line="276" w:lineRule="auto"/>
        <w:ind w:right="60" w:firstLine="420" w:firstLineChars="200"/>
        <w:jc w:val="left"/>
        <w:rPr>
          <w:rFonts w:ascii="宋体" w:hAnsi="宋体" w:cs="宋体"/>
        </w:rPr>
      </w:pPr>
      <w:r>
        <w:rPr>
          <w:rFonts w:hint="eastAsia" w:ascii="宋体" w:hAnsi="宋体" w:cs="宋体"/>
        </w:rPr>
        <w:t>联系电话（询问）：13588184647</w:t>
      </w:r>
    </w:p>
    <w:p>
      <w:pPr>
        <w:widowControl/>
        <w:spacing w:before="60" w:after="60" w:line="276" w:lineRule="auto"/>
        <w:ind w:right="60" w:firstLine="420" w:firstLineChars="200"/>
        <w:jc w:val="left"/>
        <w:rPr>
          <w:rFonts w:ascii="宋体" w:hAnsi="宋体" w:cs="宋体"/>
        </w:rPr>
      </w:pPr>
      <w:r>
        <w:rPr>
          <w:rFonts w:hint="eastAsia" w:ascii="宋体" w:hAnsi="宋体" w:cs="宋体"/>
        </w:rPr>
        <w:t>质疑联系人：吴安定</w:t>
      </w:r>
    </w:p>
    <w:p>
      <w:pPr>
        <w:widowControl/>
        <w:spacing w:before="60" w:after="60" w:line="276" w:lineRule="auto"/>
        <w:ind w:right="60" w:firstLine="420" w:firstLineChars="200"/>
        <w:jc w:val="left"/>
        <w:rPr>
          <w:rFonts w:ascii="宋体" w:hAnsi="宋体" w:cs="宋体"/>
        </w:rPr>
      </w:pPr>
      <w:r>
        <w:rPr>
          <w:rFonts w:hint="eastAsia" w:ascii="宋体" w:hAnsi="宋体" w:cs="宋体"/>
        </w:rPr>
        <w:t>质疑联系方式：0571-87022820</w:t>
      </w:r>
    </w:p>
    <w:p>
      <w:pPr>
        <w:widowControl/>
        <w:spacing w:before="60" w:after="60" w:line="276" w:lineRule="auto"/>
        <w:ind w:right="60" w:firstLine="422" w:firstLineChars="200"/>
        <w:jc w:val="left"/>
        <w:outlineLvl w:val="2"/>
        <w:rPr>
          <w:rFonts w:ascii="宋体" w:hAnsi="宋体" w:cs="宋体"/>
          <w:b/>
          <w:bCs/>
          <w:szCs w:val="21"/>
        </w:rPr>
      </w:pPr>
      <w:r>
        <w:rPr>
          <w:rFonts w:hint="eastAsia" w:ascii="宋体" w:hAnsi="宋体" w:cs="宋体"/>
          <w:b/>
          <w:bCs/>
          <w:szCs w:val="21"/>
        </w:rPr>
        <w:t>2、采购代理机构信息</w:t>
      </w:r>
    </w:p>
    <w:p>
      <w:pPr>
        <w:widowControl/>
        <w:spacing w:before="60" w:after="60" w:line="276" w:lineRule="auto"/>
        <w:ind w:right="60" w:firstLine="420" w:firstLineChars="200"/>
        <w:jc w:val="left"/>
        <w:rPr>
          <w:rFonts w:ascii="宋体" w:hAnsi="宋体" w:cs="宋体"/>
          <w:szCs w:val="21"/>
        </w:rPr>
      </w:pPr>
      <w:r>
        <w:rPr>
          <w:rFonts w:hint="eastAsia" w:ascii="宋体" w:hAnsi="宋体" w:cs="宋体"/>
          <w:szCs w:val="21"/>
        </w:rPr>
        <w:t>名称：华信咨询设计研究院有限公司</w:t>
      </w:r>
    </w:p>
    <w:p>
      <w:pPr>
        <w:widowControl/>
        <w:spacing w:before="60" w:after="60" w:line="276" w:lineRule="auto"/>
        <w:ind w:right="60" w:firstLine="420" w:firstLineChars="200"/>
        <w:jc w:val="left"/>
        <w:rPr>
          <w:rFonts w:ascii="宋体" w:hAnsi="宋体" w:cs="宋体"/>
          <w:szCs w:val="21"/>
        </w:rPr>
      </w:pPr>
      <w:r>
        <w:rPr>
          <w:rFonts w:hint="eastAsia" w:ascii="宋体" w:hAnsi="宋体" w:cs="宋体"/>
          <w:szCs w:val="21"/>
        </w:rPr>
        <w:t>地点：杭州市滨江区春波路999号</w:t>
      </w:r>
    </w:p>
    <w:p>
      <w:pPr>
        <w:widowControl/>
        <w:spacing w:before="60" w:after="60" w:line="276" w:lineRule="auto"/>
        <w:ind w:right="60" w:firstLine="420" w:firstLineChars="200"/>
        <w:jc w:val="left"/>
        <w:rPr>
          <w:rFonts w:ascii="宋体" w:hAnsi="宋体" w:cs="宋体"/>
          <w:szCs w:val="21"/>
        </w:rPr>
      </w:pPr>
      <w:r>
        <w:rPr>
          <w:rFonts w:hint="eastAsia" w:ascii="宋体" w:hAnsi="宋体" w:cs="宋体"/>
          <w:szCs w:val="21"/>
        </w:rPr>
        <w:t>项目联系人（询问）：王鑫霖 杨敬武</w:t>
      </w:r>
    </w:p>
    <w:p>
      <w:pPr>
        <w:widowControl/>
        <w:spacing w:before="60" w:after="60" w:line="276" w:lineRule="auto"/>
        <w:ind w:right="60" w:firstLine="420" w:firstLineChars="200"/>
        <w:jc w:val="left"/>
        <w:rPr>
          <w:rFonts w:ascii="宋体" w:hAnsi="宋体" w:cs="宋体"/>
          <w:szCs w:val="21"/>
        </w:rPr>
      </w:pPr>
      <w:r>
        <w:rPr>
          <w:rFonts w:hint="eastAsia" w:ascii="宋体" w:hAnsi="宋体" w:cs="宋体"/>
          <w:szCs w:val="21"/>
        </w:rPr>
        <w:t>联系电话</w:t>
      </w:r>
      <w:r>
        <w:rPr>
          <w:rFonts w:hint="eastAsia" w:ascii="宋体" w:hAnsi="宋体" w:cs="宋体"/>
        </w:rPr>
        <w:t>（询问）</w:t>
      </w:r>
      <w:r>
        <w:rPr>
          <w:rFonts w:hint="eastAsia" w:ascii="宋体" w:hAnsi="宋体" w:cs="宋体"/>
          <w:szCs w:val="21"/>
        </w:rPr>
        <w:t>：18758271840</w:t>
      </w:r>
    </w:p>
    <w:p>
      <w:pPr>
        <w:widowControl/>
        <w:spacing w:before="60" w:after="60" w:line="276" w:lineRule="auto"/>
        <w:ind w:right="60" w:firstLine="420" w:firstLineChars="200"/>
        <w:jc w:val="left"/>
        <w:rPr>
          <w:rFonts w:ascii="宋体" w:hAnsi="宋体" w:cs="宋体"/>
          <w:szCs w:val="21"/>
        </w:rPr>
      </w:pPr>
      <w:r>
        <w:rPr>
          <w:rFonts w:hint="eastAsia" w:ascii="宋体" w:hAnsi="宋体" w:cs="宋体"/>
          <w:szCs w:val="21"/>
        </w:rPr>
        <w:t>质疑联系人：朱雨含</w:t>
      </w:r>
    </w:p>
    <w:p>
      <w:pPr>
        <w:widowControl/>
        <w:spacing w:before="60" w:after="60" w:line="276" w:lineRule="auto"/>
        <w:ind w:right="60" w:firstLine="420" w:firstLineChars="200"/>
        <w:jc w:val="left"/>
        <w:rPr>
          <w:rFonts w:ascii="宋体" w:hAnsi="宋体" w:cs="宋体"/>
          <w:szCs w:val="21"/>
        </w:rPr>
      </w:pPr>
      <w:r>
        <w:rPr>
          <w:rFonts w:hint="eastAsia" w:ascii="宋体" w:hAnsi="宋体" w:cs="宋体"/>
          <w:szCs w:val="21"/>
        </w:rPr>
        <w:t>联系电话：17376540928</w:t>
      </w:r>
    </w:p>
    <w:p>
      <w:pPr>
        <w:widowControl/>
        <w:spacing w:before="60" w:after="60" w:line="276" w:lineRule="auto"/>
        <w:ind w:right="60" w:firstLine="422" w:firstLineChars="200"/>
        <w:jc w:val="left"/>
        <w:outlineLvl w:val="2"/>
        <w:rPr>
          <w:rFonts w:ascii="宋体" w:hAnsi="宋体" w:cs="宋体"/>
          <w:b/>
          <w:bCs/>
          <w:szCs w:val="21"/>
        </w:rPr>
      </w:pPr>
      <w:r>
        <w:rPr>
          <w:rFonts w:hint="eastAsia" w:ascii="宋体" w:hAnsi="宋体" w:cs="宋体"/>
          <w:b/>
          <w:bCs/>
          <w:szCs w:val="21"/>
        </w:rPr>
        <w:t>3、同级政府采购监督管理部门</w:t>
      </w:r>
    </w:p>
    <w:p>
      <w:pPr>
        <w:widowControl/>
        <w:spacing w:before="60" w:after="60" w:line="276" w:lineRule="auto"/>
        <w:ind w:right="60" w:firstLine="420" w:firstLineChars="200"/>
        <w:jc w:val="left"/>
        <w:rPr>
          <w:rFonts w:ascii="宋体" w:hAnsi="宋体" w:cs="宋体"/>
          <w:szCs w:val="21"/>
        </w:rPr>
      </w:pPr>
      <w:r>
        <w:rPr>
          <w:rFonts w:hint="eastAsia" w:ascii="宋体" w:hAnsi="宋体" w:cs="宋体"/>
          <w:szCs w:val="21"/>
        </w:rPr>
        <w:t>名称：杭州市财政局</w:t>
      </w:r>
    </w:p>
    <w:p>
      <w:pPr>
        <w:widowControl/>
        <w:spacing w:before="60" w:after="60" w:line="276" w:lineRule="auto"/>
        <w:ind w:right="60" w:firstLine="420" w:firstLineChars="200"/>
        <w:jc w:val="left"/>
        <w:rPr>
          <w:rFonts w:ascii="宋体" w:hAnsi="宋体" w:cs="宋体"/>
          <w:szCs w:val="21"/>
        </w:rPr>
      </w:pPr>
      <w:r>
        <w:rPr>
          <w:rFonts w:hint="eastAsia" w:ascii="宋体" w:hAnsi="宋体" w:cs="宋体"/>
          <w:szCs w:val="21"/>
        </w:rPr>
        <w:t>地址：杭州市中河中路152号杭州市财税大楼</w:t>
      </w:r>
    </w:p>
    <w:p>
      <w:pPr>
        <w:widowControl/>
        <w:spacing w:before="60" w:after="60" w:line="276" w:lineRule="auto"/>
        <w:ind w:right="60" w:firstLine="420" w:firstLineChars="200"/>
        <w:jc w:val="left"/>
        <w:rPr>
          <w:rFonts w:ascii="宋体" w:hAnsi="宋体" w:cs="宋体"/>
          <w:szCs w:val="21"/>
        </w:rPr>
      </w:pPr>
      <w:r>
        <w:rPr>
          <w:rFonts w:hint="eastAsia" w:ascii="宋体" w:hAnsi="宋体" w:cs="宋体"/>
          <w:szCs w:val="21"/>
        </w:rPr>
        <w:t>联系人：吕先生</w:t>
      </w:r>
    </w:p>
    <w:p>
      <w:pPr>
        <w:widowControl/>
        <w:spacing w:before="60" w:after="60" w:line="276" w:lineRule="auto"/>
        <w:ind w:right="60" w:firstLine="420" w:firstLineChars="200"/>
        <w:jc w:val="left"/>
        <w:rPr>
          <w:rFonts w:ascii="宋体" w:hAnsi="宋体" w:cs="宋体"/>
          <w:szCs w:val="21"/>
        </w:rPr>
      </w:pPr>
      <w:r>
        <w:rPr>
          <w:rFonts w:hint="eastAsia" w:ascii="宋体" w:hAnsi="宋体" w:cs="宋体"/>
          <w:szCs w:val="21"/>
        </w:rPr>
        <w:t>联系电话：0571-87715261</w:t>
      </w:r>
    </w:p>
    <w:p>
      <w:pPr>
        <w:widowControl/>
        <w:spacing w:before="60" w:after="60" w:line="276" w:lineRule="auto"/>
        <w:ind w:right="60" w:firstLine="420" w:firstLineChars="200"/>
        <w:jc w:val="left"/>
        <w:rPr>
          <w:rFonts w:ascii="宋体" w:hAnsi="宋体" w:cs="宋体"/>
          <w:szCs w:val="21"/>
        </w:rPr>
      </w:pPr>
    </w:p>
    <w:p>
      <w:pPr>
        <w:spacing w:line="288" w:lineRule="auto"/>
        <w:ind w:firstLine="422" w:firstLineChars="200"/>
        <w:rPr>
          <w:rFonts w:ascii="宋体" w:hAnsi="宋体" w:cs="宋体"/>
          <w:b/>
          <w:bCs/>
          <w:szCs w:val="21"/>
        </w:rPr>
      </w:pPr>
      <w:r>
        <w:rPr>
          <w:rFonts w:hint="eastAsia" w:ascii="宋体" w:hAnsi="宋体" w:cs="宋体"/>
          <w:b/>
          <w:bCs/>
          <w:szCs w:val="21"/>
        </w:rPr>
        <w:t>若对项目采购电子交易系统操作有疑问，可登录政采云（https://www.zcygov.cn/），点击右侧咨询小采，获取采小蜜智能服务管家帮助，或拨打政采云服务热线400-881-7190获取热线服务帮助。</w:t>
      </w:r>
    </w:p>
    <w:p>
      <w:pPr>
        <w:spacing w:line="288" w:lineRule="auto"/>
        <w:ind w:firstLine="422" w:firstLineChars="200"/>
        <w:rPr>
          <w:rFonts w:ascii="宋体" w:hAnsi="宋体" w:cs="宋体"/>
          <w:b/>
          <w:bCs/>
          <w:szCs w:val="21"/>
        </w:rPr>
      </w:pPr>
      <w:r>
        <w:rPr>
          <w:rFonts w:hint="eastAsia" w:ascii="宋体" w:hAnsi="宋体" w:cs="宋体"/>
          <w:b/>
          <w:bCs/>
          <w:szCs w:val="21"/>
        </w:rPr>
        <w:t>CA问题联系电话（人工）：汇信CA400-888-4636；天谷CA400-087-8198。</w:t>
      </w:r>
    </w:p>
    <w:p>
      <w:pPr>
        <w:pStyle w:val="14"/>
        <w:ind w:firstLine="210"/>
        <w:rPr>
          <w:rFonts w:ascii="宋体" w:hAnsi="宋体" w:cs="宋体"/>
        </w:rPr>
      </w:pPr>
    </w:p>
    <w:p>
      <w:pPr>
        <w:pStyle w:val="3"/>
        <w:rPr>
          <w:rFonts w:ascii="宋体" w:hAnsi="宋体" w:cs="宋体"/>
          <w:color w:val="auto"/>
        </w:rPr>
      </w:pPr>
      <w:r>
        <w:rPr>
          <w:rFonts w:hint="eastAsia" w:ascii="宋体" w:hAnsi="宋体" w:cs="宋体"/>
          <w:color w:val="auto"/>
        </w:rPr>
        <w:br w:type="page"/>
      </w:r>
      <w:bookmarkStart w:id="14" w:name="_Toc12626"/>
      <w:r>
        <w:rPr>
          <w:rFonts w:hint="eastAsia" w:ascii="宋体" w:hAnsi="宋体" w:cs="宋体"/>
          <w:color w:val="auto"/>
        </w:rPr>
        <w:t>第二章  供应商须知前附表</w:t>
      </w:r>
      <w:bookmarkEnd w:id="8"/>
      <w:bookmarkEnd w:id="14"/>
    </w:p>
    <w:tbl>
      <w:tblPr>
        <w:tblStyle w:val="15"/>
        <w:tblW w:w="0" w:type="auto"/>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89"/>
        <w:gridCol w:w="1759"/>
        <w:gridCol w:w="6383"/>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cantSplit/>
          <w:trHeight w:val="431" w:hRule="atLeast"/>
          <w:tblHeader/>
          <w:jc w:val="center"/>
        </w:trPr>
        <w:tc>
          <w:tcPr>
            <w:tcW w:w="689" w:type="dxa"/>
            <w:vAlign w:val="center"/>
          </w:tcPr>
          <w:p>
            <w:pPr>
              <w:adjustRightInd w:val="0"/>
              <w:snapToGrid w:val="0"/>
              <w:jc w:val="center"/>
              <w:rPr>
                <w:rFonts w:ascii="宋体" w:hAnsi="宋体" w:cs="宋体"/>
                <w:szCs w:val="21"/>
              </w:rPr>
            </w:pPr>
            <w:r>
              <w:rPr>
                <w:rFonts w:hint="eastAsia" w:ascii="宋体" w:hAnsi="宋体" w:cs="宋体"/>
                <w:szCs w:val="21"/>
              </w:rPr>
              <w:t>序号</w:t>
            </w:r>
          </w:p>
        </w:tc>
        <w:tc>
          <w:tcPr>
            <w:tcW w:w="1759" w:type="dxa"/>
            <w:vAlign w:val="center"/>
          </w:tcPr>
          <w:p>
            <w:pPr>
              <w:adjustRightInd w:val="0"/>
              <w:snapToGrid w:val="0"/>
              <w:jc w:val="center"/>
              <w:rPr>
                <w:rFonts w:ascii="宋体" w:hAnsi="宋体" w:cs="宋体"/>
                <w:szCs w:val="21"/>
              </w:rPr>
            </w:pPr>
            <w:r>
              <w:rPr>
                <w:rFonts w:hint="eastAsia" w:ascii="宋体" w:hAnsi="宋体" w:cs="宋体"/>
                <w:szCs w:val="21"/>
              </w:rPr>
              <w:t>项目</w:t>
            </w:r>
          </w:p>
        </w:tc>
        <w:tc>
          <w:tcPr>
            <w:tcW w:w="6383" w:type="dxa"/>
            <w:vAlign w:val="center"/>
          </w:tcPr>
          <w:p>
            <w:pPr>
              <w:adjustRightInd w:val="0"/>
              <w:snapToGrid w:val="0"/>
              <w:jc w:val="center"/>
              <w:rPr>
                <w:rFonts w:ascii="宋体" w:hAnsi="宋体" w:cs="宋体"/>
                <w:szCs w:val="21"/>
              </w:rPr>
            </w:pPr>
            <w:r>
              <w:rPr>
                <w:rFonts w:hint="eastAsia" w:ascii="宋体" w:hAnsi="宋体" w:cs="宋体"/>
                <w:szCs w:val="21"/>
              </w:rPr>
              <w:t>内容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6" w:hRule="atLeast"/>
          <w:jc w:val="center"/>
        </w:trPr>
        <w:tc>
          <w:tcPr>
            <w:tcW w:w="689"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1</w:t>
            </w:r>
          </w:p>
        </w:tc>
        <w:tc>
          <w:tcPr>
            <w:tcW w:w="1759"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项目名称</w:t>
            </w:r>
          </w:p>
        </w:tc>
        <w:tc>
          <w:tcPr>
            <w:tcW w:w="6383" w:type="dxa"/>
            <w:vAlign w:val="center"/>
          </w:tcPr>
          <w:p>
            <w:pPr>
              <w:adjustRightInd w:val="0"/>
              <w:snapToGrid w:val="0"/>
              <w:spacing w:line="360" w:lineRule="auto"/>
              <w:jc w:val="left"/>
              <w:rPr>
                <w:rFonts w:ascii="宋体" w:hAnsi="宋体" w:cs="宋体"/>
                <w:szCs w:val="21"/>
              </w:rPr>
            </w:pPr>
            <w:r>
              <w:rPr>
                <w:rFonts w:hint="eastAsia" w:ascii="宋体" w:hAnsi="宋体" w:cs="宋体"/>
                <w:szCs w:val="21"/>
              </w:rPr>
              <w:t>杭州市城乡建设委员会CIM基础信息平台软件开发项目</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03" w:hRule="atLeast"/>
          <w:jc w:val="center"/>
        </w:trPr>
        <w:tc>
          <w:tcPr>
            <w:tcW w:w="689"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2</w:t>
            </w:r>
          </w:p>
        </w:tc>
        <w:tc>
          <w:tcPr>
            <w:tcW w:w="1759"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实施地点</w:t>
            </w:r>
          </w:p>
        </w:tc>
        <w:tc>
          <w:tcPr>
            <w:tcW w:w="6383" w:type="dxa"/>
            <w:vAlign w:val="center"/>
          </w:tcPr>
          <w:p>
            <w:pPr>
              <w:adjustRightInd w:val="0"/>
              <w:snapToGrid w:val="0"/>
              <w:spacing w:line="360" w:lineRule="auto"/>
              <w:rPr>
                <w:rFonts w:ascii="宋体" w:hAnsi="宋体" w:cs="宋体"/>
                <w:szCs w:val="21"/>
              </w:rPr>
            </w:pPr>
            <w:r>
              <w:rPr>
                <w:rFonts w:hint="eastAsia" w:ascii="宋体" w:hAnsi="宋体" w:cs="宋体"/>
                <w:szCs w:val="21"/>
              </w:rPr>
              <w:t>采购人指定地点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43" w:hRule="atLeast"/>
          <w:jc w:val="center"/>
        </w:trPr>
        <w:tc>
          <w:tcPr>
            <w:tcW w:w="689"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3</w:t>
            </w:r>
          </w:p>
        </w:tc>
        <w:tc>
          <w:tcPr>
            <w:tcW w:w="1759"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项目编号</w:t>
            </w:r>
          </w:p>
        </w:tc>
        <w:tc>
          <w:tcPr>
            <w:tcW w:w="6383" w:type="dxa"/>
            <w:vAlign w:val="center"/>
          </w:tcPr>
          <w:p>
            <w:pPr>
              <w:adjustRightInd w:val="0"/>
              <w:snapToGrid w:val="0"/>
              <w:spacing w:line="360" w:lineRule="auto"/>
              <w:rPr>
                <w:rFonts w:ascii="宋体" w:hAnsi="宋体" w:cs="宋体"/>
                <w:szCs w:val="21"/>
              </w:rPr>
            </w:pPr>
            <w:r>
              <w:rPr>
                <w:rFonts w:hint="eastAsia" w:ascii="宋体" w:hAnsi="宋体" w:cs="宋体"/>
                <w:szCs w:val="21"/>
              </w:rPr>
              <w:t>HXDI-2021-SJW001</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9"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4</w:t>
            </w:r>
          </w:p>
        </w:tc>
        <w:tc>
          <w:tcPr>
            <w:tcW w:w="1759"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采购方式</w:t>
            </w:r>
          </w:p>
        </w:tc>
        <w:tc>
          <w:tcPr>
            <w:tcW w:w="6383" w:type="dxa"/>
            <w:vAlign w:val="center"/>
          </w:tcPr>
          <w:p>
            <w:pPr>
              <w:adjustRightInd w:val="0"/>
              <w:snapToGrid w:val="0"/>
              <w:spacing w:line="360" w:lineRule="auto"/>
              <w:rPr>
                <w:rFonts w:ascii="宋体" w:hAnsi="宋体" w:cs="宋体"/>
                <w:szCs w:val="21"/>
              </w:rPr>
            </w:pPr>
            <w:r>
              <w:rPr>
                <w:rFonts w:hint="eastAsia" w:ascii="宋体" w:hAnsi="宋体" w:cs="宋体"/>
                <w:szCs w:val="21"/>
              </w:rPr>
              <w:t>公开招标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23" w:hRule="atLeast"/>
          <w:jc w:val="center"/>
        </w:trPr>
        <w:tc>
          <w:tcPr>
            <w:tcW w:w="689"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5</w:t>
            </w:r>
          </w:p>
        </w:tc>
        <w:tc>
          <w:tcPr>
            <w:tcW w:w="1759"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采购范围</w:t>
            </w:r>
          </w:p>
        </w:tc>
        <w:tc>
          <w:tcPr>
            <w:tcW w:w="6383" w:type="dxa"/>
            <w:vAlign w:val="center"/>
          </w:tcPr>
          <w:p>
            <w:pPr>
              <w:adjustRightInd w:val="0"/>
              <w:snapToGrid w:val="0"/>
              <w:spacing w:line="360" w:lineRule="auto"/>
              <w:rPr>
                <w:rFonts w:ascii="宋体" w:hAnsi="宋体" w:cs="宋体"/>
                <w:szCs w:val="21"/>
              </w:rPr>
            </w:pPr>
            <w:r>
              <w:rPr>
                <w:rFonts w:hint="eastAsia" w:ascii="宋体" w:hAnsi="宋体" w:cs="宋体"/>
              </w:rPr>
              <w:t>具体服务需求详见本采购文件第六章采购服务需求。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91" w:hRule="atLeast"/>
          <w:jc w:val="center"/>
        </w:trPr>
        <w:tc>
          <w:tcPr>
            <w:tcW w:w="689"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6</w:t>
            </w:r>
          </w:p>
        </w:tc>
        <w:tc>
          <w:tcPr>
            <w:tcW w:w="1759"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建设工期</w:t>
            </w:r>
          </w:p>
        </w:tc>
        <w:tc>
          <w:tcPr>
            <w:tcW w:w="6383" w:type="dxa"/>
            <w:vAlign w:val="center"/>
          </w:tcPr>
          <w:p>
            <w:pPr>
              <w:adjustRightInd w:val="0"/>
              <w:snapToGrid w:val="0"/>
              <w:spacing w:line="360" w:lineRule="auto"/>
              <w:rPr>
                <w:rFonts w:ascii="宋体" w:hAnsi="宋体" w:cs="宋体"/>
                <w:szCs w:val="21"/>
              </w:rPr>
            </w:pPr>
            <w:r>
              <w:rPr>
                <w:rFonts w:hint="eastAsia" w:ascii="宋体" w:hAnsi="宋体" w:cs="宋体"/>
                <w:szCs w:val="21"/>
              </w:rPr>
              <w:t>合同签订后1个月内完成主要功能开发，基本数据完成入库。</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20" w:hRule="atLeast"/>
          <w:jc w:val="center"/>
        </w:trPr>
        <w:tc>
          <w:tcPr>
            <w:tcW w:w="689"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7</w:t>
            </w:r>
          </w:p>
        </w:tc>
        <w:tc>
          <w:tcPr>
            <w:tcW w:w="1759"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资金来源</w:t>
            </w:r>
          </w:p>
        </w:tc>
        <w:tc>
          <w:tcPr>
            <w:tcW w:w="6383" w:type="dxa"/>
            <w:vAlign w:val="center"/>
          </w:tcPr>
          <w:p>
            <w:pPr>
              <w:adjustRightInd w:val="0"/>
              <w:snapToGrid w:val="0"/>
              <w:spacing w:line="360" w:lineRule="auto"/>
              <w:rPr>
                <w:rFonts w:ascii="宋体" w:hAnsi="宋体" w:cs="宋体"/>
                <w:szCs w:val="21"/>
              </w:rPr>
            </w:pPr>
            <w:r>
              <w:rPr>
                <w:rFonts w:hint="eastAsia" w:ascii="宋体" w:hAnsi="宋体" w:cs="宋体"/>
                <w:szCs w:val="21"/>
              </w:rPr>
              <w:t>100%财政资金</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56" w:hRule="atLeast"/>
          <w:jc w:val="center"/>
        </w:trPr>
        <w:tc>
          <w:tcPr>
            <w:tcW w:w="689"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8</w:t>
            </w:r>
          </w:p>
        </w:tc>
        <w:tc>
          <w:tcPr>
            <w:tcW w:w="1759"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资格审查方式</w:t>
            </w:r>
          </w:p>
        </w:tc>
        <w:tc>
          <w:tcPr>
            <w:tcW w:w="6383" w:type="dxa"/>
            <w:vAlign w:val="center"/>
          </w:tcPr>
          <w:p>
            <w:pPr>
              <w:adjustRightInd w:val="0"/>
              <w:snapToGrid w:val="0"/>
              <w:spacing w:line="360" w:lineRule="auto"/>
              <w:rPr>
                <w:rFonts w:ascii="宋体" w:hAnsi="宋体" w:cs="宋体"/>
                <w:szCs w:val="21"/>
              </w:rPr>
            </w:pPr>
            <w:r>
              <w:rPr>
                <w:rFonts w:hint="eastAsia" w:ascii="宋体" w:hAnsi="宋体" w:cs="宋体"/>
                <w:szCs w:val="21"/>
              </w:rPr>
              <w:t>资格后审，资格后审是指采购人或采购代理机构在开启商务技术响应文件后，根据采购文件的规定对供应商进行资格审查，资格审查未通过的供应商，不进入下一阶段开标。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17" w:hRule="atLeast"/>
          <w:jc w:val="center"/>
        </w:trPr>
        <w:tc>
          <w:tcPr>
            <w:tcW w:w="689"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9</w:t>
            </w:r>
          </w:p>
        </w:tc>
        <w:tc>
          <w:tcPr>
            <w:tcW w:w="1759"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踏勘现场</w:t>
            </w:r>
          </w:p>
        </w:tc>
        <w:tc>
          <w:tcPr>
            <w:tcW w:w="6383" w:type="dxa"/>
            <w:vAlign w:val="center"/>
          </w:tcPr>
          <w:p>
            <w:pPr>
              <w:adjustRightInd w:val="0"/>
              <w:snapToGrid w:val="0"/>
              <w:spacing w:line="360" w:lineRule="auto"/>
              <w:rPr>
                <w:rFonts w:ascii="宋体" w:hAnsi="宋体" w:cs="宋体"/>
                <w:szCs w:val="21"/>
              </w:rPr>
            </w:pPr>
            <w:r>
              <w:rPr>
                <w:rFonts w:hint="eastAsia" w:ascii="宋体" w:hAnsi="宋体" w:cs="宋体"/>
                <w:szCs w:val="21"/>
              </w:rPr>
              <w:t>采购人不组织现场踏勘。</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2" w:hRule="atLeast"/>
          <w:jc w:val="center"/>
        </w:trPr>
        <w:tc>
          <w:tcPr>
            <w:tcW w:w="689"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10</w:t>
            </w:r>
          </w:p>
        </w:tc>
        <w:tc>
          <w:tcPr>
            <w:tcW w:w="1759" w:type="dxa"/>
            <w:vAlign w:val="center"/>
          </w:tcPr>
          <w:p>
            <w:pPr>
              <w:adjustRightInd w:val="0"/>
              <w:snapToGrid w:val="0"/>
              <w:spacing w:line="360" w:lineRule="auto"/>
              <w:jc w:val="center"/>
              <w:rPr>
                <w:rFonts w:ascii="宋体" w:hAnsi="宋体" w:cs="宋体"/>
                <w:szCs w:val="21"/>
              </w:rPr>
            </w:pPr>
            <w:r>
              <w:rPr>
                <w:rFonts w:hint="eastAsia" w:ascii="宋体" w:hAnsi="宋体" w:cs="宋体"/>
              </w:rPr>
              <w:t>转包</w:t>
            </w:r>
          </w:p>
        </w:tc>
        <w:tc>
          <w:tcPr>
            <w:tcW w:w="6383" w:type="dxa"/>
            <w:vAlign w:val="center"/>
          </w:tcPr>
          <w:p>
            <w:pPr>
              <w:adjustRightInd w:val="0"/>
              <w:snapToGrid w:val="0"/>
              <w:spacing w:line="360" w:lineRule="auto"/>
              <w:rPr>
                <w:rFonts w:ascii="宋体" w:hAnsi="宋体" w:cs="宋体"/>
                <w:szCs w:val="21"/>
              </w:rPr>
            </w:pPr>
            <w:r>
              <w:rPr>
                <w:rFonts w:hint="eastAsia" w:ascii="宋体" w:hAnsi="宋体" w:cs="宋体"/>
              </w:rPr>
              <w:t>不允许转包</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689"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11</w:t>
            </w:r>
          </w:p>
        </w:tc>
        <w:tc>
          <w:tcPr>
            <w:tcW w:w="1759"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提疑</w:t>
            </w:r>
          </w:p>
        </w:tc>
        <w:tc>
          <w:tcPr>
            <w:tcW w:w="6383" w:type="dxa"/>
            <w:vAlign w:val="center"/>
          </w:tcPr>
          <w:p>
            <w:pPr>
              <w:adjustRightInd w:val="0"/>
              <w:snapToGrid w:val="0"/>
              <w:spacing w:line="360" w:lineRule="auto"/>
              <w:rPr>
                <w:rFonts w:ascii="宋体" w:hAnsi="宋体" w:cs="宋体"/>
                <w:szCs w:val="21"/>
              </w:rPr>
            </w:pPr>
            <w:r>
              <w:rPr>
                <w:rFonts w:hint="eastAsia" w:ascii="宋体" w:hAnsi="宋体" w:cs="宋体"/>
                <w:szCs w:val="21"/>
              </w:rPr>
              <w:t>供应商如认为采购文件表述不清晰的，须将要求答疑的问题发至：wangxinlin.hx@chinaccs.cn</w:t>
            </w:r>
            <w:r>
              <w:rPr>
                <w:rFonts w:hint="eastAsia" w:ascii="宋体" w:hAnsi="宋体" w:cs="宋体"/>
                <w:szCs w:val="21"/>
                <w:lang w:val="zh-CN"/>
              </w:rPr>
              <w:t>。提疑截止期后的疑问将不予受理、答复。</w:t>
            </w:r>
            <w:r>
              <w:rPr>
                <w:rFonts w:hint="eastAsia" w:ascii="宋体" w:hAnsi="宋体" w:cs="宋体"/>
                <w:szCs w:val="21"/>
              </w:rPr>
              <w:t>答疑回复内容是采购文件的组成部分，并将以书面形式送达所有已获取采购文件的供应商。答疑回复内容是采购文件的组成部份，并将以更正（澄清）公告形式告知所有已获取采购文件的供应商。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221" w:hRule="atLeast"/>
          <w:jc w:val="center"/>
        </w:trPr>
        <w:tc>
          <w:tcPr>
            <w:tcW w:w="689"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12</w:t>
            </w:r>
          </w:p>
        </w:tc>
        <w:tc>
          <w:tcPr>
            <w:tcW w:w="1759"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采购文件的澄清与修改</w:t>
            </w:r>
          </w:p>
        </w:tc>
        <w:tc>
          <w:tcPr>
            <w:tcW w:w="6383" w:type="dxa"/>
            <w:vAlign w:val="center"/>
          </w:tcPr>
          <w:p>
            <w:pPr>
              <w:adjustRightInd w:val="0"/>
              <w:snapToGrid w:val="0"/>
              <w:spacing w:line="360" w:lineRule="auto"/>
              <w:rPr>
                <w:rFonts w:ascii="宋体" w:hAnsi="宋体" w:cs="宋体"/>
                <w:szCs w:val="21"/>
              </w:rPr>
            </w:pPr>
            <w:r>
              <w:rPr>
                <w:rFonts w:hint="eastAsia" w:ascii="宋体" w:hAnsi="宋体" w:cs="宋体"/>
                <w:szCs w:val="21"/>
              </w:rPr>
              <w:t>采购人或采购代理机构可以对已发出的采购文件进行必要的澄清或者修改，如澄清或者修改的内容可能影响投标文件编制的，采购人或者采购代理机构应当在投标截止时间至少15日前，以更正公告形式通知所有获取采购文件的潜在供应商；不足15日的，采购人或者采购代理机构应当顺延提交投标文件的截止时间。修改和澄清（答疑）答复的文件作为采购采购文件的补充和组成部分，对所有供应商均有约束力。</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49" w:hRule="atLeast"/>
          <w:jc w:val="center"/>
        </w:trPr>
        <w:tc>
          <w:tcPr>
            <w:tcW w:w="689"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13</w:t>
            </w:r>
          </w:p>
        </w:tc>
        <w:tc>
          <w:tcPr>
            <w:tcW w:w="1759"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投标文件的编制</w:t>
            </w:r>
          </w:p>
        </w:tc>
        <w:tc>
          <w:tcPr>
            <w:tcW w:w="6383" w:type="dxa"/>
            <w:vAlign w:val="center"/>
          </w:tcPr>
          <w:p>
            <w:pPr>
              <w:adjustRightInd w:val="0"/>
              <w:snapToGrid w:val="0"/>
              <w:spacing w:line="360" w:lineRule="auto"/>
              <w:rPr>
                <w:rFonts w:ascii="宋体" w:hAnsi="宋体" w:cs="宋体"/>
                <w:szCs w:val="21"/>
              </w:rPr>
            </w:pPr>
            <w:r>
              <w:rPr>
                <w:rFonts w:hint="eastAsia" w:ascii="宋体" w:hAnsi="宋体" w:cs="宋体"/>
                <w:szCs w:val="21"/>
              </w:rPr>
              <w:t>供应商应先安装“政采云电子交易客户端”，并按照本采购文件和“政府采购云平台”的要求，通过“政采云电子交易客户端”编制并加密投标文件。</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98" w:hRule="atLeast"/>
          <w:jc w:val="center"/>
        </w:trPr>
        <w:tc>
          <w:tcPr>
            <w:tcW w:w="689"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14</w:t>
            </w:r>
          </w:p>
        </w:tc>
        <w:tc>
          <w:tcPr>
            <w:tcW w:w="1759"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投标文件的签字或盖章要求</w:t>
            </w:r>
          </w:p>
        </w:tc>
        <w:tc>
          <w:tcPr>
            <w:tcW w:w="6383" w:type="dxa"/>
            <w:vAlign w:val="center"/>
          </w:tcPr>
          <w:p>
            <w:pPr>
              <w:numPr>
                <w:ilvl w:val="0"/>
                <w:numId w:val="2"/>
              </w:numPr>
              <w:adjustRightInd w:val="0"/>
              <w:snapToGrid w:val="0"/>
              <w:spacing w:line="360" w:lineRule="auto"/>
              <w:rPr>
                <w:rFonts w:ascii="宋体" w:hAnsi="宋体" w:cs="宋体"/>
              </w:rPr>
            </w:pPr>
            <w:r>
              <w:rPr>
                <w:rFonts w:hint="eastAsia" w:ascii="宋体" w:hAnsi="宋体" w:cs="宋体"/>
              </w:rPr>
              <w:t>按“投标文件格式”中提供的格式进行签字盖章；</w:t>
            </w:r>
          </w:p>
          <w:p>
            <w:pPr>
              <w:numPr>
                <w:ilvl w:val="0"/>
                <w:numId w:val="2"/>
              </w:numPr>
              <w:adjustRightInd w:val="0"/>
              <w:snapToGrid w:val="0"/>
              <w:spacing w:line="360" w:lineRule="auto"/>
              <w:rPr>
                <w:rFonts w:ascii="宋体" w:hAnsi="宋体" w:cs="宋体"/>
              </w:rPr>
            </w:pPr>
            <w:r>
              <w:rPr>
                <w:rFonts w:hint="eastAsia" w:ascii="宋体" w:hAnsi="宋体" w:cs="宋体"/>
              </w:rPr>
              <w:t>投标文件的签章：公章须使用电子签章，法定代表人和授权代表签字或盖章可书面签字或盖章后扫描至电子投标文件中上传。</w:t>
            </w:r>
          </w:p>
          <w:p>
            <w:pPr>
              <w:numPr>
                <w:ilvl w:val="0"/>
                <w:numId w:val="2"/>
              </w:numPr>
              <w:adjustRightInd w:val="0"/>
              <w:snapToGrid w:val="0"/>
              <w:spacing w:line="360" w:lineRule="auto"/>
              <w:rPr>
                <w:rFonts w:ascii="宋体" w:hAnsi="宋体" w:cs="宋体"/>
              </w:rPr>
            </w:pPr>
            <w:r>
              <w:rPr>
                <w:rFonts w:hint="eastAsia" w:ascii="宋体" w:hAnsi="宋体" w:cs="宋体"/>
              </w:rPr>
              <w:t>开标后，相关信息记录确认、澄清说明、回复等内容，电子签章、或者签章后上传相关文件，均认可；</w:t>
            </w:r>
          </w:p>
          <w:p>
            <w:pPr>
              <w:adjustRightInd w:val="0"/>
              <w:snapToGrid w:val="0"/>
              <w:spacing w:line="360" w:lineRule="auto"/>
              <w:rPr>
                <w:rFonts w:ascii="宋体" w:hAnsi="宋体" w:cs="宋体"/>
                <w:szCs w:val="21"/>
              </w:rPr>
            </w:pPr>
            <w:r>
              <w:rPr>
                <w:rFonts w:hint="eastAsia" w:ascii="宋体" w:hAnsi="宋体" w:cs="宋体"/>
              </w:rPr>
              <w:t>4.电子签章操作指南详见《供应商项目采购-电子招投标操作指南》。系统要求进行电子签章的，按系统要求签章。</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49" w:hRule="atLeast"/>
          <w:jc w:val="center"/>
        </w:trPr>
        <w:tc>
          <w:tcPr>
            <w:tcW w:w="689"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15</w:t>
            </w:r>
          </w:p>
        </w:tc>
        <w:tc>
          <w:tcPr>
            <w:tcW w:w="1759"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投标文件的形式</w:t>
            </w:r>
          </w:p>
        </w:tc>
        <w:tc>
          <w:tcPr>
            <w:tcW w:w="6383" w:type="dxa"/>
            <w:vAlign w:val="center"/>
          </w:tcPr>
          <w:p>
            <w:pPr>
              <w:adjustRightInd w:val="0"/>
              <w:snapToGrid w:val="0"/>
              <w:spacing w:line="360" w:lineRule="auto"/>
              <w:rPr>
                <w:rFonts w:ascii="宋体" w:hAnsi="宋体" w:cs="宋体"/>
                <w:szCs w:val="21"/>
              </w:rPr>
            </w:pPr>
            <w:r>
              <w:rPr>
                <w:rFonts w:hint="eastAsia" w:ascii="宋体" w:hAnsi="宋体" w:cs="宋体"/>
                <w:szCs w:val="21"/>
              </w:rPr>
              <w:t>电子投标文件（包括“电子加密投标文件”和“备份投标文件”，在投标文件编制完成后同时生成）；</w:t>
            </w:r>
          </w:p>
          <w:p>
            <w:pPr>
              <w:adjustRightInd w:val="0"/>
              <w:snapToGrid w:val="0"/>
              <w:spacing w:line="360" w:lineRule="auto"/>
              <w:rPr>
                <w:rFonts w:ascii="宋体" w:hAnsi="宋体" w:cs="宋体"/>
                <w:szCs w:val="21"/>
              </w:rPr>
            </w:pPr>
            <w:r>
              <w:rPr>
                <w:rFonts w:hint="eastAsia" w:ascii="宋体" w:hAnsi="宋体" w:cs="宋体"/>
                <w:szCs w:val="21"/>
              </w:rPr>
              <w:t>（1）“电子加密投标文件”是指通过“政采云电子交易客户端”完成投标文件编制后生成并加密的数据电文形式的投标文件。</w:t>
            </w:r>
          </w:p>
          <w:p>
            <w:pPr>
              <w:adjustRightInd w:val="0"/>
              <w:snapToGrid w:val="0"/>
              <w:spacing w:line="360" w:lineRule="auto"/>
              <w:rPr>
                <w:rFonts w:ascii="宋体" w:hAnsi="宋体" w:cs="宋体"/>
                <w:szCs w:val="21"/>
              </w:rPr>
            </w:pPr>
            <w:r>
              <w:rPr>
                <w:rFonts w:hint="eastAsia" w:ascii="宋体" w:hAnsi="宋体" w:cs="宋体"/>
                <w:szCs w:val="21"/>
              </w:rPr>
              <w:t>（2）“备份投标文件”是指与“电子加密投标文件”同时生成的数据电文形式的电子文件（备份标书,用于供应商“电子加密投标文件”解密异常时应急使用），其他方式编制的备份投标文件视为无效备份投标文件。</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538" w:hRule="atLeast"/>
          <w:jc w:val="center"/>
        </w:trPr>
        <w:tc>
          <w:tcPr>
            <w:tcW w:w="689"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16</w:t>
            </w:r>
          </w:p>
        </w:tc>
        <w:tc>
          <w:tcPr>
            <w:tcW w:w="1759"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投标文件份数</w:t>
            </w:r>
          </w:p>
        </w:tc>
        <w:tc>
          <w:tcPr>
            <w:tcW w:w="6383" w:type="dxa"/>
            <w:vAlign w:val="center"/>
          </w:tcPr>
          <w:p>
            <w:pPr>
              <w:adjustRightInd w:val="0"/>
              <w:snapToGrid w:val="0"/>
              <w:spacing w:line="360" w:lineRule="auto"/>
              <w:ind w:right="105" w:rightChars="50"/>
              <w:rPr>
                <w:rFonts w:ascii="宋体" w:hAnsi="宋体" w:cs="宋体"/>
              </w:rPr>
            </w:pPr>
            <w:r>
              <w:rPr>
                <w:rFonts w:hint="eastAsia" w:ascii="宋体" w:hAnsi="宋体" w:cs="宋体"/>
              </w:rPr>
              <w:t>（1）“电子加密投标文件”：在“政府采购云平台”上传递交一份。每份电子投标文件应包括资格响应文件、商务技术响应文件及报价响应文件三部分内容。</w:t>
            </w:r>
          </w:p>
          <w:p>
            <w:pPr>
              <w:numPr>
                <w:ilvl w:val="0"/>
                <w:numId w:val="3"/>
              </w:numPr>
              <w:adjustRightInd w:val="0"/>
              <w:snapToGrid w:val="0"/>
              <w:spacing w:line="360" w:lineRule="auto"/>
              <w:rPr>
                <w:rFonts w:ascii="宋体" w:hAnsi="宋体" w:cs="宋体"/>
                <w:lang w:val="zh-TW"/>
              </w:rPr>
            </w:pPr>
            <w:r>
              <w:rPr>
                <w:rFonts w:hint="eastAsia" w:ascii="宋体" w:hAnsi="宋体" w:cs="宋体"/>
              </w:rPr>
              <w:t>“备份投标文件”：密封包装后于投标截止时间前递交一份（邮寄地址：</w:t>
            </w:r>
            <w:r>
              <w:rPr>
                <w:rFonts w:hint="eastAsia" w:ascii="宋体" w:hAnsi="宋体" w:cs="宋体"/>
                <w:lang w:val="zh-TW"/>
              </w:rPr>
              <w:t>杭州市滨江区春波路999号华信设计</w:t>
            </w:r>
            <w:r>
              <w:rPr>
                <w:rFonts w:hint="eastAsia" w:ascii="宋体" w:hAnsi="宋体" w:cs="宋体"/>
              </w:rPr>
              <w:t>院，</w:t>
            </w:r>
            <w:r>
              <w:rPr>
                <w:rFonts w:hint="eastAsia" w:ascii="宋体" w:hAnsi="宋体" w:cs="宋体"/>
                <w:lang w:val="zh-TW"/>
              </w:rPr>
              <w:t>收件人：</w:t>
            </w:r>
            <w:r>
              <w:rPr>
                <w:rFonts w:hint="eastAsia" w:ascii="宋体" w:hAnsi="宋体" w:cs="宋体"/>
              </w:rPr>
              <w:t>王鑫霖，</w:t>
            </w:r>
            <w:r>
              <w:rPr>
                <w:rFonts w:hint="eastAsia" w:ascii="宋体" w:hAnsi="宋体" w:cs="宋体"/>
                <w:lang w:val="zh-TW"/>
              </w:rPr>
              <w:t>联系电话：</w:t>
            </w:r>
            <w:r>
              <w:rPr>
                <w:rFonts w:hint="eastAsia" w:ascii="宋体" w:hAnsi="宋体" w:cs="宋体"/>
                <w:szCs w:val="21"/>
              </w:rPr>
              <w:t>18758271840</w:t>
            </w:r>
            <w:r>
              <w:rPr>
                <w:rFonts w:hint="eastAsia" w:ascii="宋体" w:hAnsi="宋体" w:cs="宋体"/>
                <w:lang w:val="zh-TW"/>
              </w:rPr>
              <w:t>。</w:t>
            </w:r>
          </w:p>
          <w:p>
            <w:pPr>
              <w:pStyle w:val="14"/>
              <w:adjustRightInd w:val="0"/>
              <w:snapToGrid w:val="0"/>
              <w:spacing w:after="0" w:line="360" w:lineRule="auto"/>
              <w:ind w:firstLine="0" w:firstLineChars="0"/>
              <w:rPr>
                <w:rFonts w:ascii="宋体" w:hAnsi="宋体" w:cs="宋体"/>
              </w:rPr>
            </w:pPr>
            <w:r>
              <w:rPr>
                <w:rFonts w:hint="eastAsia" w:ascii="宋体" w:hAnsi="宋体" w:cs="宋体"/>
                <w:szCs w:val="21"/>
              </w:rPr>
              <w:t>（3）如中标，中标供应商需根据采购人要求提供纸质投标文件至少一份。</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538" w:hRule="atLeast"/>
          <w:jc w:val="center"/>
        </w:trPr>
        <w:tc>
          <w:tcPr>
            <w:tcW w:w="689"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17</w:t>
            </w:r>
          </w:p>
        </w:tc>
        <w:tc>
          <w:tcPr>
            <w:tcW w:w="1759"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投标文件的上传和递交（上传、递交过程中如有疑问，可咨询“政采云”客服热线：400-881-7190）</w:t>
            </w:r>
          </w:p>
        </w:tc>
        <w:tc>
          <w:tcPr>
            <w:tcW w:w="6383" w:type="dxa"/>
            <w:vAlign w:val="center"/>
          </w:tcPr>
          <w:p>
            <w:pPr>
              <w:adjustRightInd w:val="0"/>
              <w:snapToGrid w:val="0"/>
              <w:spacing w:line="360" w:lineRule="auto"/>
              <w:rPr>
                <w:rFonts w:ascii="宋体" w:hAnsi="宋体" w:cs="宋体"/>
                <w:szCs w:val="21"/>
              </w:rPr>
            </w:pPr>
            <w:r>
              <w:rPr>
                <w:rFonts w:hint="eastAsia" w:ascii="宋体" w:hAnsi="宋体" w:cs="宋体"/>
                <w:szCs w:val="21"/>
              </w:rPr>
              <w:t>（1）“电子加密投标文件”的上传、递交：</w:t>
            </w:r>
          </w:p>
          <w:p>
            <w:pPr>
              <w:adjustRightInd w:val="0"/>
              <w:snapToGrid w:val="0"/>
              <w:spacing w:line="360" w:lineRule="auto"/>
              <w:rPr>
                <w:rFonts w:ascii="宋体" w:hAnsi="宋体" w:cs="宋体"/>
                <w:szCs w:val="21"/>
              </w:rPr>
            </w:pPr>
            <w:r>
              <w:rPr>
                <w:rFonts w:hint="eastAsia" w:ascii="宋体" w:hAnsi="宋体" w:cs="宋体"/>
                <w:szCs w:val="21"/>
              </w:rPr>
              <w:t>a.投标供应商应在投标截止时间前将“电子加密投标文件”成功上传递交至“政府采购云平台”，否则投标无效。</w:t>
            </w:r>
          </w:p>
          <w:p>
            <w:pPr>
              <w:adjustRightInd w:val="0"/>
              <w:snapToGrid w:val="0"/>
              <w:spacing w:line="360" w:lineRule="auto"/>
              <w:rPr>
                <w:rFonts w:ascii="宋体" w:hAnsi="宋体" w:cs="宋体"/>
                <w:szCs w:val="21"/>
              </w:rPr>
            </w:pPr>
            <w:r>
              <w:rPr>
                <w:rFonts w:hint="eastAsia" w:ascii="宋体" w:hAnsi="宋体" w:cs="宋体"/>
                <w:szCs w:val="21"/>
              </w:rPr>
              <w:t>b.“电子加密投标文件”成功上传递交后，供应商可自行打印投标文件接收回执。</w:t>
            </w:r>
          </w:p>
          <w:p>
            <w:pPr>
              <w:adjustRightInd w:val="0"/>
              <w:snapToGrid w:val="0"/>
              <w:spacing w:line="360" w:lineRule="auto"/>
              <w:rPr>
                <w:rFonts w:ascii="宋体" w:hAnsi="宋体" w:cs="宋体"/>
                <w:szCs w:val="21"/>
              </w:rPr>
            </w:pPr>
            <w:r>
              <w:rPr>
                <w:rFonts w:hint="eastAsia" w:ascii="宋体" w:hAnsi="宋体" w:cs="宋体"/>
                <w:szCs w:val="21"/>
              </w:rPr>
              <w:t>（2）“备份投标文件”的密封包装、递交：供应商确保在投标截止时间前，将备份投标文件通过快递形式寄达采购代理机构处，以便标书解密异常时应急使用。</w:t>
            </w:r>
          </w:p>
          <w:p>
            <w:pPr>
              <w:adjustRightInd w:val="0"/>
              <w:snapToGrid w:val="0"/>
              <w:spacing w:line="360" w:lineRule="auto"/>
              <w:rPr>
                <w:rFonts w:ascii="宋体" w:hAnsi="宋体" w:cs="宋体"/>
                <w:szCs w:val="21"/>
              </w:rPr>
            </w:pPr>
            <w:r>
              <w:rPr>
                <w:rFonts w:hint="eastAsia" w:ascii="宋体" w:hAnsi="宋体" w:cs="宋体"/>
                <w:szCs w:val="21"/>
              </w:rPr>
              <w:t>a.投标供应商在“政府采购云平台”完成“电子加密投标文件”的上传递交后，在投标截止时间前递交以介质（U盘）存储的“备份投标文件”（一份）；</w:t>
            </w:r>
          </w:p>
          <w:p>
            <w:pPr>
              <w:adjustRightInd w:val="0"/>
              <w:snapToGrid w:val="0"/>
              <w:spacing w:line="360" w:lineRule="auto"/>
              <w:rPr>
                <w:rFonts w:ascii="宋体" w:hAnsi="宋体" w:cs="宋体"/>
                <w:szCs w:val="21"/>
              </w:rPr>
            </w:pPr>
            <w:r>
              <w:rPr>
                <w:rFonts w:hint="eastAsia" w:ascii="宋体" w:hAnsi="宋体" w:cs="宋体"/>
                <w:szCs w:val="21"/>
              </w:rPr>
              <w:t>b.“备份投标文件”应当密封包装，并在包装上标注投标项目名称、供应商名称并加盖公章。没有密封包装或者逾期邮寄送达至投标地点的“备份投标文件”将不予接收；</w:t>
            </w:r>
          </w:p>
          <w:p>
            <w:pPr>
              <w:adjustRightInd w:val="0"/>
              <w:snapToGrid w:val="0"/>
              <w:spacing w:line="360" w:lineRule="auto"/>
              <w:rPr>
                <w:rFonts w:ascii="宋体" w:hAnsi="宋体" w:cs="宋体"/>
                <w:szCs w:val="21"/>
              </w:rPr>
            </w:pPr>
            <w:r>
              <w:rPr>
                <w:rFonts w:hint="eastAsia" w:ascii="宋体" w:hAnsi="宋体" w:cs="宋体"/>
                <w:szCs w:val="21"/>
              </w:rPr>
              <w:t>c.通过“政府采购云平台”成功上传递交的“电子加密投标文件”已按时解密的，“备份投标文件”自动失效。投标截止时间前，投标供应商仅递交了“备份投标文件”而未将“电子加密投标文件”成功上传至“政府采购云平台”的，投标无效。</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538" w:hRule="atLeast"/>
          <w:jc w:val="center"/>
        </w:trPr>
        <w:tc>
          <w:tcPr>
            <w:tcW w:w="689"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18</w:t>
            </w:r>
          </w:p>
        </w:tc>
        <w:tc>
          <w:tcPr>
            <w:tcW w:w="1759"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电子加密投标文件的解密和异常情况处理</w:t>
            </w:r>
          </w:p>
          <w:p>
            <w:pPr>
              <w:adjustRightInd w:val="0"/>
              <w:snapToGrid w:val="0"/>
              <w:spacing w:line="360" w:lineRule="auto"/>
              <w:jc w:val="center"/>
              <w:rPr>
                <w:rFonts w:ascii="宋体" w:hAnsi="宋体" w:cs="宋体"/>
                <w:sz w:val="24"/>
              </w:rPr>
            </w:pPr>
          </w:p>
        </w:tc>
        <w:tc>
          <w:tcPr>
            <w:tcW w:w="6383" w:type="dxa"/>
            <w:vAlign w:val="center"/>
          </w:tcPr>
          <w:p>
            <w:pPr>
              <w:adjustRightInd w:val="0"/>
              <w:snapToGrid w:val="0"/>
              <w:spacing w:line="360" w:lineRule="auto"/>
              <w:rPr>
                <w:rFonts w:ascii="宋体" w:hAnsi="宋体" w:cs="宋体"/>
                <w:szCs w:val="21"/>
              </w:rPr>
            </w:pPr>
            <w:r>
              <w:rPr>
                <w:rFonts w:hint="eastAsia" w:ascii="宋体" w:hAnsi="宋体" w:cs="宋体"/>
                <w:szCs w:val="21"/>
              </w:rPr>
              <w:t>（1）开标后，采购代理机构将向各投标供应商发出“电子加密投标文件”的解密通知，各投标供应商代表应当在接到解密通知后30分钟内自行完成“电子加密投标文件”的在线解密。</w:t>
            </w:r>
          </w:p>
          <w:p>
            <w:pPr>
              <w:adjustRightInd w:val="0"/>
              <w:snapToGrid w:val="0"/>
              <w:spacing w:line="360" w:lineRule="auto"/>
              <w:rPr>
                <w:rFonts w:ascii="宋体" w:hAnsi="宋体" w:cs="宋体"/>
                <w:szCs w:val="21"/>
              </w:rPr>
            </w:pPr>
            <w:r>
              <w:rPr>
                <w:rFonts w:hint="eastAsia" w:ascii="宋体" w:hAnsi="宋体" w:cs="宋体"/>
                <w:szCs w:val="21"/>
              </w:rPr>
              <w:t>（2）通过“政府采购云平台”成功上传递交的“电子加密投标文件”无法按时解密，投标供应商如按规定递交了“备份投标文件”的，以“备份投标文件”为依据（由采购代理机构按“政府采购云平台”操作规范将“备份投标文件”上传至“政府采购云平台”，上传成功后，“电子加密投标文件”自动失效），否则视为投标文件撤回。</w:t>
            </w:r>
          </w:p>
          <w:p>
            <w:pPr>
              <w:adjustRightInd w:val="0"/>
              <w:snapToGrid w:val="0"/>
              <w:spacing w:line="360" w:lineRule="auto"/>
              <w:rPr>
                <w:rFonts w:ascii="宋体" w:hAnsi="宋体" w:cs="宋体"/>
                <w:szCs w:val="21"/>
              </w:rPr>
            </w:pPr>
            <w:r>
              <w:rPr>
                <w:rFonts w:hint="eastAsia" w:ascii="宋体" w:hAnsi="宋体" w:cs="宋体"/>
                <w:szCs w:val="21"/>
              </w:rPr>
              <w:t>（3）投标截止时间前，投标供应商仅递交了“备份投标文件”而未将电子加密投标文件上传至“政府采购云平台”的，投标无效。</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538" w:hRule="atLeast"/>
          <w:jc w:val="center"/>
        </w:trPr>
        <w:tc>
          <w:tcPr>
            <w:tcW w:w="689"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19</w:t>
            </w:r>
          </w:p>
        </w:tc>
        <w:tc>
          <w:tcPr>
            <w:tcW w:w="1759" w:type="dxa"/>
            <w:vAlign w:val="center"/>
          </w:tcPr>
          <w:p>
            <w:pPr>
              <w:adjustRightInd w:val="0"/>
              <w:snapToGrid w:val="0"/>
              <w:spacing w:line="360" w:lineRule="auto"/>
              <w:rPr>
                <w:rFonts w:ascii="宋体" w:hAnsi="宋体" w:cs="宋体"/>
                <w:sz w:val="24"/>
              </w:rPr>
            </w:pPr>
            <w:r>
              <w:rPr>
                <w:rFonts w:hint="eastAsia" w:ascii="宋体" w:hAnsi="宋体" w:cs="宋体"/>
                <w:szCs w:val="21"/>
              </w:rPr>
              <w:t>投标文件的接受</w:t>
            </w:r>
          </w:p>
        </w:tc>
        <w:tc>
          <w:tcPr>
            <w:tcW w:w="6383" w:type="dxa"/>
            <w:vAlign w:val="center"/>
          </w:tcPr>
          <w:p>
            <w:pPr>
              <w:adjustRightInd w:val="0"/>
              <w:snapToGrid w:val="0"/>
              <w:spacing w:line="360" w:lineRule="auto"/>
              <w:rPr>
                <w:rFonts w:ascii="宋体" w:hAnsi="宋体" w:cs="宋体"/>
                <w:szCs w:val="21"/>
              </w:rPr>
            </w:pPr>
            <w:r>
              <w:rPr>
                <w:rFonts w:hint="eastAsia" w:ascii="宋体" w:hAnsi="宋体" w:cs="宋体"/>
                <w:szCs w:val="21"/>
              </w:rPr>
              <w:t>供应商应当在投标截止时间前在“政府采购云平台”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52" w:hRule="atLeast"/>
          <w:jc w:val="center"/>
        </w:trPr>
        <w:tc>
          <w:tcPr>
            <w:tcW w:w="689"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20</w:t>
            </w:r>
          </w:p>
        </w:tc>
        <w:tc>
          <w:tcPr>
            <w:tcW w:w="1759"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开标时间及地点</w:t>
            </w:r>
          </w:p>
        </w:tc>
        <w:tc>
          <w:tcPr>
            <w:tcW w:w="6383" w:type="dxa"/>
            <w:vAlign w:val="center"/>
          </w:tcPr>
          <w:p>
            <w:pPr>
              <w:adjustRightInd w:val="0"/>
              <w:snapToGrid w:val="0"/>
              <w:spacing w:line="360" w:lineRule="auto"/>
              <w:rPr>
                <w:rFonts w:ascii="宋体" w:hAnsi="宋体" w:cs="宋体"/>
                <w:szCs w:val="21"/>
              </w:rPr>
            </w:pPr>
            <w:r>
              <w:rPr>
                <w:rFonts w:hint="eastAsia" w:ascii="宋体" w:hAnsi="宋体" w:cs="宋体"/>
                <w:szCs w:val="21"/>
              </w:rPr>
              <w:t>详见采购公告</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689" w:type="dxa"/>
            <w:vAlign w:val="center"/>
          </w:tcPr>
          <w:p>
            <w:pPr>
              <w:spacing w:before="296" w:line="204" w:lineRule="auto"/>
              <w:jc w:val="center"/>
              <w:rPr>
                <w:rFonts w:ascii="宋体" w:hAnsi="宋体" w:cs="宋体"/>
                <w:szCs w:val="21"/>
              </w:rPr>
            </w:pPr>
            <w:r>
              <w:rPr>
                <w:rFonts w:hint="eastAsia" w:ascii="宋体" w:hAnsi="宋体" w:cs="宋体"/>
                <w:szCs w:val="21"/>
              </w:rPr>
              <w:t>21</w:t>
            </w:r>
          </w:p>
        </w:tc>
        <w:tc>
          <w:tcPr>
            <w:tcW w:w="1759" w:type="dxa"/>
            <w:vAlign w:val="center"/>
          </w:tcPr>
          <w:p>
            <w:pPr>
              <w:spacing w:before="298" w:line="204" w:lineRule="auto"/>
              <w:jc w:val="center"/>
              <w:rPr>
                <w:rFonts w:ascii="宋体" w:hAnsi="宋体" w:cs="宋体"/>
                <w:szCs w:val="21"/>
              </w:rPr>
            </w:pPr>
            <w:r>
              <w:rPr>
                <w:rFonts w:hint="eastAsia" w:ascii="宋体" w:hAnsi="宋体" w:cs="宋体"/>
                <w:szCs w:val="21"/>
              </w:rPr>
              <w:t>评标程序</w:t>
            </w:r>
          </w:p>
        </w:tc>
        <w:tc>
          <w:tcPr>
            <w:tcW w:w="6383" w:type="dxa"/>
            <w:vAlign w:val="center"/>
          </w:tcPr>
          <w:p>
            <w:pPr>
              <w:adjustRightInd w:val="0"/>
              <w:snapToGrid w:val="0"/>
              <w:spacing w:line="360" w:lineRule="auto"/>
              <w:rPr>
                <w:rFonts w:ascii="宋体" w:hAnsi="宋体" w:cs="宋体"/>
                <w:szCs w:val="21"/>
              </w:rPr>
            </w:pPr>
            <w:r>
              <w:rPr>
                <w:rFonts w:hint="eastAsia" w:ascii="宋体" w:hAnsi="宋体" w:cs="宋体"/>
                <w:szCs w:val="21"/>
              </w:rPr>
              <w:t>1.资格审查：由采购人或采购代理机构代表根据采购文件的规定对供应商进行资格审查，资格审查不合格的供应商，其投标作无效标处理。</w:t>
            </w:r>
          </w:p>
          <w:p>
            <w:pPr>
              <w:adjustRightInd w:val="0"/>
              <w:snapToGrid w:val="0"/>
              <w:spacing w:line="360" w:lineRule="auto"/>
              <w:rPr>
                <w:rFonts w:ascii="宋体" w:hAnsi="宋体" w:cs="宋体"/>
                <w:szCs w:val="21"/>
              </w:rPr>
            </w:pPr>
            <w:r>
              <w:rPr>
                <w:rFonts w:hint="eastAsia" w:ascii="宋体" w:hAnsi="宋体" w:cs="宋体"/>
                <w:szCs w:val="21"/>
              </w:rPr>
              <w:t>2.符合性评审：依据采购文件的规定，从投标文件的有效性、完整性和对采购文件的响应程度进行审查以确定是否对采购文件的实质性要求作出响应。具体审查内容见评标办法。</w:t>
            </w:r>
          </w:p>
          <w:p>
            <w:pPr>
              <w:adjustRightInd w:val="0"/>
              <w:snapToGrid w:val="0"/>
              <w:spacing w:line="360" w:lineRule="auto"/>
              <w:rPr>
                <w:rFonts w:ascii="宋体" w:hAnsi="宋体" w:cs="宋体"/>
                <w:szCs w:val="21"/>
              </w:rPr>
            </w:pPr>
            <w:r>
              <w:rPr>
                <w:rFonts w:hint="eastAsia" w:ascii="宋体" w:hAnsi="宋体" w:cs="宋体"/>
                <w:szCs w:val="21"/>
              </w:rPr>
              <w:t>3.商务技术评分：由评标委员会对各供应商的技术商务充分审核、讨论及评议后，独立评分。</w:t>
            </w:r>
          </w:p>
          <w:p>
            <w:pPr>
              <w:adjustRightInd w:val="0"/>
              <w:snapToGrid w:val="0"/>
              <w:spacing w:line="360" w:lineRule="auto"/>
              <w:rPr>
                <w:rFonts w:ascii="宋体" w:hAnsi="宋体" w:cs="宋体"/>
                <w:szCs w:val="21"/>
              </w:rPr>
            </w:pPr>
            <w:r>
              <w:rPr>
                <w:rFonts w:hint="eastAsia" w:ascii="宋体" w:hAnsi="宋体" w:cs="宋体"/>
                <w:szCs w:val="21"/>
              </w:rPr>
              <w:t>4.商务技术评分汇总。</w:t>
            </w:r>
          </w:p>
          <w:p>
            <w:pPr>
              <w:adjustRightInd w:val="0"/>
              <w:snapToGrid w:val="0"/>
              <w:spacing w:line="360" w:lineRule="auto"/>
              <w:rPr>
                <w:rFonts w:ascii="宋体" w:hAnsi="宋体" w:cs="宋体"/>
                <w:szCs w:val="21"/>
              </w:rPr>
            </w:pPr>
            <w:r>
              <w:rPr>
                <w:rFonts w:hint="eastAsia" w:ascii="宋体" w:hAnsi="宋体" w:cs="宋体"/>
                <w:szCs w:val="21"/>
              </w:rPr>
              <w:t>5.商务技术结果公布；采购代理机构在线公布经商务技术评审后有效投标供应商的名单，及其商务技术部分得分情况。</w:t>
            </w:r>
          </w:p>
          <w:p>
            <w:pPr>
              <w:adjustRightInd w:val="0"/>
              <w:snapToGrid w:val="0"/>
              <w:spacing w:line="360" w:lineRule="auto"/>
              <w:rPr>
                <w:rFonts w:ascii="宋体" w:hAnsi="宋体" w:cs="宋体"/>
                <w:szCs w:val="21"/>
              </w:rPr>
            </w:pPr>
            <w:r>
              <w:rPr>
                <w:rFonts w:hint="eastAsia" w:ascii="宋体" w:hAnsi="宋体" w:cs="宋体"/>
                <w:szCs w:val="21"/>
              </w:rPr>
              <w:t>6.开启报价响应文件：采购代理机构成功开启报价响应文件后，方可查看各供应商报价情况。</w:t>
            </w:r>
          </w:p>
          <w:p>
            <w:pPr>
              <w:adjustRightInd w:val="0"/>
              <w:snapToGrid w:val="0"/>
              <w:spacing w:line="360" w:lineRule="auto"/>
              <w:rPr>
                <w:rFonts w:ascii="宋体" w:hAnsi="宋体" w:cs="宋体"/>
                <w:szCs w:val="21"/>
              </w:rPr>
            </w:pPr>
            <w:r>
              <w:rPr>
                <w:rFonts w:hint="eastAsia" w:ascii="宋体" w:hAnsi="宋体" w:cs="宋体"/>
                <w:szCs w:val="21"/>
              </w:rPr>
              <w:t>采购代理机构在线公布开标一览表有关内容，供应商在线签字确认（不予确认的应说明理由，否则视为无异议）。</w:t>
            </w:r>
          </w:p>
          <w:p>
            <w:pPr>
              <w:adjustRightInd w:val="0"/>
              <w:snapToGrid w:val="0"/>
              <w:spacing w:line="360" w:lineRule="auto"/>
              <w:rPr>
                <w:rFonts w:ascii="宋体" w:hAnsi="宋体" w:cs="宋体"/>
                <w:szCs w:val="21"/>
              </w:rPr>
            </w:pPr>
            <w:r>
              <w:rPr>
                <w:rFonts w:hint="eastAsia" w:ascii="宋体" w:hAnsi="宋体" w:cs="宋体"/>
                <w:szCs w:val="21"/>
              </w:rPr>
              <w:t>7.报价评审：由评标委员会对报价的合理性、准确性等进行审查核实。</w:t>
            </w:r>
          </w:p>
          <w:p>
            <w:pPr>
              <w:adjustRightInd w:val="0"/>
              <w:snapToGrid w:val="0"/>
              <w:spacing w:line="360" w:lineRule="auto"/>
              <w:rPr>
                <w:rFonts w:ascii="宋体" w:hAnsi="宋体" w:cs="宋体"/>
                <w:szCs w:val="21"/>
              </w:rPr>
            </w:pPr>
            <w:r>
              <w:rPr>
                <w:rFonts w:hint="eastAsia" w:ascii="宋体" w:hAnsi="宋体" w:cs="宋体"/>
                <w:szCs w:val="21"/>
              </w:rPr>
              <w:t>8.得分汇总。</w:t>
            </w:r>
          </w:p>
          <w:p>
            <w:pPr>
              <w:adjustRightInd w:val="0"/>
              <w:snapToGrid w:val="0"/>
              <w:spacing w:line="360" w:lineRule="auto"/>
              <w:rPr>
                <w:rFonts w:ascii="宋体" w:hAnsi="宋体" w:cs="宋体"/>
                <w:szCs w:val="21"/>
              </w:rPr>
            </w:pPr>
            <w:r>
              <w:rPr>
                <w:rFonts w:hint="eastAsia" w:ascii="宋体" w:hAnsi="宋体" w:cs="宋体"/>
                <w:szCs w:val="21"/>
              </w:rPr>
              <w:t>9.结果公布：供应商可通过在线平台查看评审结果。</w:t>
            </w:r>
          </w:p>
          <w:p>
            <w:pPr>
              <w:adjustRightInd w:val="0"/>
              <w:snapToGrid w:val="0"/>
              <w:spacing w:line="360" w:lineRule="auto"/>
              <w:rPr>
                <w:rFonts w:ascii="宋体" w:hAnsi="宋体" w:cs="宋体"/>
                <w:szCs w:val="21"/>
              </w:rPr>
            </w:pPr>
            <w:r>
              <w:rPr>
                <w:rFonts w:hint="eastAsia" w:ascii="宋体" w:hAnsi="宋体" w:cs="宋体"/>
                <w:szCs w:val="21"/>
              </w:rPr>
              <w:t>注：除邮件交互外，如政采云平台提供信息发布、澄清说明、数据交换等操作方式的，或者政采云系统平台有新的操作流程的，按其规定。</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52" w:hRule="atLeast"/>
          <w:jc w:val="center"/>
        </w:trPr>
        <w:tc>
          <w:tcPr>
            <w:tcW w:w="689"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22</w:t>
            </w:r>
          </w:p>
        </w:tc>
        <w:tc>
          <w:tcPr>
            <w:tcW w:w="1759"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评标办法</w:t>
            </w:r>
          </w:p>
        </w:tc>
        <w:tc>
          <w:tcPr>
            <w:tcW w:w="6383" w:type="dxa"/>
            <w:vAlign w:val="center"/>
          </w:tcPr>
          <w:p>
            <w:pPr>
              <w:adjustRightInd w:val="0"/>
              <w:snapToGrid w:val="0"/>
              <w:spacing w:line="360" w:lineRule="auto"/>
              <w:rPr>
                <w:rFonts w:ascii="宋体" w:hAnsi="宋体" w:cs="宋体"/>
                <w:szCs w:val="21"/>
              </w:rPr>
            </w:pPr>
            <w:r>
              <w:rPr>
                <w:rFonts w:hint="eastAsia" w:ascii="宋体" w:hAnsi="宋体" w:cs="宋体"/>
                <w:szCs w:val="21"/>
              </w:rPr>
              <w:t>综合评分法</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52" w:hRule="atLeast"/>
          <w:jc w:val="center"/>
        </w:trPr>
        <w:tc>
          <w:tcPr>
            <w:tcW w:w="689"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23</w:t>
            </w:r>
          </w:p>
        </w:tc>
        <w:tc>
          <w:tcPr>
            <w:tcW w:w="1759"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中标结果公告</w:t>
            </w:r>
          </w:p>
        </w:tc>
        <w:tc>
          <w:tcPr>
            <w:tcW w:w="6383" w:type="dxa"/>
            <w:vAlign w:val="center"/>
          </w:tcPr>
          <w:p>
            <w:pPr>
              <w:adjustRightInd w:val="0"/>
              <w:snapToGrid w:val="0"/>
              <w:spacing w:line="360" w:lineRule="auto"/>
              <w:rPr>
                <w:rFonts w:ascii="宋体" w:hAnsi="宋体" w:cs="宋体"/>
                <w:szCs w:val="21"/>
              </w:rPr>
            </w:pPr>
            <w:r>
              <w:rPr>
                <w:rFonts w:hint="eastAsia" w:ascii="宋体" w:hAnsi="宋体" w:cs="宋体"/>
                <w:szCs w:val="21"/>
              </w:rPr>
              <w:t>采购结果经采购人确认后2个工作日内，采购代理机构将发出中标成交公告和中标通知书。采购代理机构按相关政府采购规定将中标结果发布在浙江政府采购网（http://zfcg.czt.zj.gov.cn/）上进行公示，公示期为1个工作日。采购人、采购代理机构及评标委员会对未中标的供应商不作落标原因解释。</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52" w:hRule="atLeast"/>
          <w:jc w:val="center"/>
        </w:trPr>
        <w:tc>
          <w:tcPr>
            <w:tcW w:w="689"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24</w:t>
            </w:r>
          </w:p>
        </w:tc>
        <w:tc>
          <w:tcPr>
            <w:tcW w:w="1759"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合同签订时间</w:t>
            </w:r>
          </w:p>
        </w:tc>
        <w:tc>
          <w:tcPr>
            <w:tcW w:w="6383" w:type="dxa"/>
            <w:vAlign w:val="center"/>
          </w:tcPr>
          <w:p>
            <w:pPr>
              <w:adjustRightInd w:val="0"/>
              <w:snapToGrid w:val="0"/>
              <w:spacing w:line="360" w:lineRule="auto"/>
              <w:rPr>
                <w:rFonts w:ascii="宋体" w:hAnsi="宋体" w:cs="宋体"/>
                <w:szCs w:val="21"/>
              </w:rPr>
            </w:pPr>
            <w:r>
              <w:rPr>
                <w:rFonts w:hint="eastAsia" w:ascii="宋体" w:hAnsi="宋体" w:cs="宋体"/>
                <w:szCs w:val="21"/>
              </w:rPr>
              <w:t>中标通知书发出后30日内</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49" w:hRule="atLeast"/>
          <w:jc w:val="center"/>
        </w:trPr>
        <w:tc>
          <w:tcPr>
            <w:tcW w:w="689"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25</w:t>
            </w:r>
          </w:p>
        </w:tc>
        <w:tc>
          <w:tcPr>
            <w:tcW w:w="1759"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投标有效期</w:t>
            </w:r>
          </w:p>
        </w:tc>
        <w:tc>
          <w:tcPr>
            <w:tcW w:w="6383" w:type="dxa"/>
            <w:vAlign w:val="center"/>
          </w:tcPr>
          <w:p>
            <w:pPr>
              <w:adjustRightInd w:val="0"/>
              <w:snapToGrid w:val="0"/>
              <w:spacing w:line="360" w:lineRule="auto"/>
              <w:rPr>
                <w:rFonts w:ascii="宋体" w:hAnsi="宋体" w:cs="宋体"/>
                <w:szCs w:val="21"/>
              </w:rPr>
            </w:pPr>
            <w:r>
              <w:rPr>
                <w:rFonts w:hint="eastAsia" w:ascii="宋体" w:hAnsi="宋体" w:cs="宋体"/>
                <w:szCs w:val="21"/>
              </w:rPr>
              <w:t>投标截止之日后90日内有效，不足该有效期的，其投标视为无效标。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49" w:hRule="atLeast"/>
          <w:jc w:val="center"/>
        </w:trPr>
        <w:tc>
          <w:tcPr>
            <w:tcW w:w="689"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26</w:t>
            </w:r>
          </w:p>
        </w:tc>
        <w:tc>
          <w:tcPr>
            <w:tcW w:w="1759"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履约保证金</w:t>
            </w:r>
          </w:p>
        </w:tc>
        <w:tc>
          <w:tcPr>
            <w:tcW w:w="6383" w:type="dxa"/>
            <w:vAlign w:val="center"/>
          </w:tcPr>
          <w:p>
            <w:pPr>
              <w:adjustRightInd w:val="0"/>
              <w:snapToGrid w:val="0"/>
              <w:spacing w:line="360" w:lineRule="auto"/>
              <w:rPr>
                <w:rFonts w:ascii="宋体" w:hAnsi="宋体" w:cs="宋体"/>
                <w:szCs w:val="21"/>
              </w:rPr>
            </w:pPr>
            <w:r>
              <w:rPr>
                <w:rFonts w:hint="eastAsia" w:ascii="宋体" w:hAnsi="宋体" w:cs="宋体"/>
                <w:szCs w:val="21"/>
              </w:rPr>
              <w:t>无</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49" w:hRule="atLeast"/>
          <w:jc w:val="center"/>
        </w:trPr>
        <w:tc>
          <w:tcPr>
            <w:tcW w:w="689"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27</w:t>
            </w:r>
          </w:p>
        </w:tc>
        <w:tc>
          <w:tcPr>
            <w:tcW w:w="1759"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询标澄清</w:t>
            </w:r>
          </w:p>
        </w:tc>
        <w:tc>
          <w:tcPr>
            <w:tcW w:w="6383" w:type="dxa"/>
            <w:vAlign w:val="center"/>
          </w:tcPr>
          <w:p>
            <w:pPr>
              <w:adjustRightInd w:val="0"/>
              <w:snapToGrid w:val="0"/>
              <w:spacing w:line="360" w:lineRule="auto"/>
              <w:jc w:val="left"/>
              <w:rPr>
                <w:rFonts w:ascii="宋体" w:hAnsi="宋体" w:cs="宋体"/>
                <w:szCs w:val="21"/>
              </w:rPr>
            </w:pPr>
            <w:r>
              <w:rPr>
                <w:rFonts w:hint="eastAsia" w:ascii="宋体" w:hAnsi="宋体" w:cs="宋体"/>
                <w:szCs w:val="21"/>
              </w:rPr>
              <w:t>在评标过程中，如评审小组对投标文件有疑问，由评审组长将问题汇总后发起询标澄清函，供应商应在规定截止时间前回复相关内容并经签章后提交。逾期答复的，供应商自行承担由此可能导致的对其不利的评审结果，评标委员会按少数服从多数原则对相关内容进行评判。</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31" w:hRule="atLeast"/>
          <w:jc w:val="center"/>
        </w:trPr>
        <w:tc>
          <w:tcPr>
            <w:tcW w:w="689"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28</w:t>
            </w:r>
          </w:p>
        </w:tc>
        <w:tc>
          <w:tcPr>
            <w:tcW w:w="1759"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质疑</w:t>
            </w:r>
          </w:p>
        </w:tc>
        <w:tc>
          <w:tcPr>
            <w:tcW w:w="6383" w:type="dxa"/>
            <w:vAlign w:val="center"/>
          </w:tcPr>
          <w:p>
            <w:pPr>
              <w:adjustRightInd w:val="0"/>
              <w:snapToGrid w:val="0"/>
              <w:spacing w:line="360" w:lineRule="auto"/>
              <w:rPr>
                <w:rFonts w:ascii="宋体" w:hAnsi="宋体" w:cs="宋体"/>
                <w:szCs w:val="21"/>
              </w:rPr>
            </w:pPr>
            <w:r>
              <w:rPr>
                <w:rFonts w:hint="eastAsia" w:ascii="宋体" w:hAnsi="宋体" w:cs="宋体"/>
                <w:szCs w:val="21"/>
              </w:rPr>
              <w:t>根据《政府采购法》第五十二条的规定，供应商认为采购文件、采购过程和中标、成交结果使自己的权益受到损害的，可以在知道或者应知其权益受到损害之日起七个工作日内，以书面形式向采购人、采购代理机构提出质疑。</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689"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29</w:t>
            </w:r>
          </w:p>
        </w:tc>
        <w:tc>
          <w:tcPr>
            <w:tcW w:w="1759"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投诉</w:t>
            </w:r>
          </w:p>
        </w:tc>
        <w:tc>
          <w:tcPr>
            <w:tcW w:w="6383" w:type="dxa"/>
            <w:vAlign w:val="center"/>
          </w:tcPr>
          <w:p>
            <w:pPr>
              <w:adjustRightInd w:val="0"/>
              <w:snapToGrid w:val="0"/>
              <w:spacing w:line="360" w:lineRule="auto"/>
              <w:rPr>
                <w:rFonts w:ascii="宋体" w:hAnsi="宋体" w:cs="宋体"/>
                <w:szCs w:val="21"/>
              </w:rPr>
            </w:pPr>
            <w:r>
              <w:rPr>
                <w:rFonts w:hint="eastAsia" w:ascii="宋体" w:hAnsi="宋体" w:cs="宋体"/>
                <w:szCs w:val="21"/>
              </w:rPr>
              <w:t>根据《政府采购法》第五十五条的规定，质疑供应商对采购人、采购代理机构的答复不满意或者采购人、采购代理机构未在规定的时间内作出答复的，可以在答复期满后十五个工作日内向同级政府采购监督管理部门投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969" w:hRule="atLeast"/>
          <w:jc w:val="center"/>
        </w:trPr>
        <w:tc>
          <w:tcPr>
            <w:tcW w:w="689"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30</w:t>
            </w:r>
          </w:p>
        </w:tc>
        <w:tc>
          <w:tcPr>
            <w:tcW w:w="1759"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特别说明</w:t>
            </w:r>
          </w:p>
        </w:tc>
        <w:tc>
          <w:tcPr>
            <w:tcW w:w="6383" w:type="dxa"/>
            <w:vAlign w:val="center"/>
          </w:tcPr>
          <w:p>
            <w:pPr>
              <w:pStyle w:val="8"/>
              <w:adjustRightInd w:val="0"/>
              <w:snapToGrid w:val="0"/>
              <w:spacing w:line="360" w:lineRule="auto"/>
              <w:rPr>
                <w:rFonts w:hAnsi="宋体" w:cs="宋体"/>
                <w:szCs w:val="21"/>
              </w:rPr>
            </w:pPr>
            <w:r>
              <w:rPr>
                <w:rFonts w:hint="eastAsia" w:hAnsi="宋体" w:cs="宋体"/>
                <w:szCs w:val="21"/>
              </w:rPr>
              <w:t>（1）供应商应无条件的、认真仔细的、不厌其烦的阅读本采购文件及其澄清答疑、修改答复的补充文件，严格按照采购文件及补充文件的规定和要求编制投标文件。在编制投标文件过程中，应严格遵循实事求是、诚信投标的原则，针对采购文件中第三部分用户需求、第四部分合同条款等各项内容进行确认，如有偏离，应如实填写响应偏离表。</w:t>
            </w:r>
          </w:p>
          <w:p>
            <w:pPr>
              <w:pStyle w:val="8"/>
              <w:adjustRightInd w:val="0"/>
              <w:snapToGrid w:val="0"/>
              <w:spacing w:line="360" w:lineRule="auto"/>
              <w:rPr>
                <w:rFonts w:hAnsi="宋体" w:cs="宋体"/>
                <w:szCs w:val="21"/>
              </w:rPr>
            </w:pPr>
            <w:r>
              <w:rPr>
                <w:rFonts w:hint="eastAsia" w:hAnsi="宋体" w:cs="宋体"/>
                <w:szCs w:val="21"/>
              </w:rPr>
              <w:t>（2）本项目中标公示期间，供应商不得通过非正当途径、更不得通过非正当手段获取法律法规规定评标委员会（包括其他相关人员）应当保密的相关内容。即便由此获得资料并作为向采购人或采购代理机构或监督管理部门提出异（质）疑或投诉或法院起诉的理由，均属于非法索取的依据。</w:t>
            </w:r>
          </w:p>
          <w:p>
            <w:pPr>
              <w:pStyle w:val="8"/>
              <w:adjustRightInd w:val="0"/>
              <w:snapToGrid w:val="0"/>
              <w:spacing w:line="360" w:lineRule="auto"/>
              <w:rPr>
                <w:rFonts w:hAnsi="宋体" w:cs="宋体"/>
                <w:szCs w:val="21"/>
              </w:rPr>
            </w:pPr>
            <w:r>
              <w:rPr>
                <w:rFonts w:hint="eastAsia" w:hAnsi="宋体" w:cs="宋体"/>
                <w:szCs w:val="21"/>
              </w:rPr>
              <w:t>（3）质疑、投诉人未按前列序号第26、27条规定进行质疑、投诉（申诉）、举报等，均属于扰乱政府采购市场不良行为。</w:t>
            </w:r>
          </w:p>
          <w:p>
            <w:pPr>
              <w:pStyle w:val="8"/>
              <w:adjustRightInd w:val="0"/>
              <w:snapToGrid w:val="0"/>
              <w:spacing w:line="360" w:lineRule="auto"/>
              <w:rPr>
                <w:rFonts w:hAnsi="宋体" w:cs="宋体"/>
                <w:szCs w:val="24"/>
              </w:rPr>
            </w:pPr>
            <w:r>
              <w:rPr>
                <w:rFonts w:hint="eastAsia" w:hAnsi="宋体" w:cs="宋体"/>
                <w:szCs w:val="21"/>
              </w:rPr>
              <w:t>（4）采购文件中凡标注“▲”的条款均为实质性要求，不响应的投标文件将作无效标处理。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59" w:hRule="atLeast"/>
          <w:jc w:val="center"/>
        </w:trPr>
        <w:tc>
          <w:tcPr>
            <w:tcW w:w="689"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31</w:t>
            </w:r>
          </w:p>
        </w:tc>
        <w:tc>
          <w:tcPr>
            <w:tcW w:w="1759"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采购代理服务费</w:t>
            </w:r>
          </w:p>
        </w:tc>
        <w:tc>
          <w:tcPr>
            <w:tcW w:w="6383" w:type="dxa"/>
            <w:vAlign w:val="center"/>
          </w:tcPr>
          <w:p>
            <w:pPr>
              <w:pStyle w:val="30"/>
              <w:adjustRightInd w:val="0"/>
              <w:snapToGrid w:val="0"/>
              <w:spacing w:line="360" w:lineRule="auto"/>
              <w:ind w:firstLine="0" w:firstLineChars="0"/>
              <w:rPr>
                <w:rFonts w:ascii="宋体" w:hAnsi="宋体" w:cs="宋体"/>
                <w:szCs w:val="21"/>
              </w:rPr>
            </w:pPr>
            <w:r>
              <w:rPr>
                <w:rFonts w:hint="eastAsia" w:ascii="宋体" w:hAnsi="宋体" w:cs="宋体"/>
                <w:szCs w:val="21"/>
              </w:rPr>
              <w:t>本次采购代理服务费由中标供应商支付。本项目为服务类采购项目，采购代理服务费依据计价格[2002]1980号规定收费标准下浮35%收取服务费。采购代理服务费包含在投标总价中。中标供应商在领取中标通知书时以转账或现金方式向采购代理机构一次性支付。</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96" w:hRule="atLeast"/>
          <w:jc w:val="center"/>
        </w:trPr>
        <w:tc>
          <w:tcPr>
            <w:tcW w:w="689"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32</w:t>
            </w:r>
          </w:p>
        </w:tc>
        <w:tc>
          <w:tcPr>
            <w:tcW w:w="1759" w:type="dxa"/>
            <w:vAlign w:val="center"/>
          </w:tcPr>
          <w:p>
            <w:pPr>
              <w:adjustRightInd w:val="0"/>
              <w:snapToGrid w:val="0"/>
              <w:spacing w:line="360" w:lineRule="auto"/>
              <w:jc w:val="center"/>
              <w:rPr>
                <w:rFonts w:ascii="宋体" w:hAnsi="宋体" w:cs="宋体"/>
              </w:rPr>
            </w:pPr>
            <w:r>
              <w:rPr>
                <w:rFonts w:hint="eastAsia" w:ascii="宋体" w:hAnsi="宋体" w:cs="宋体"/>
              </w:rPr>
              <w:t>其他</w:t>
            </w:r>
          </w:p>
        </w:tc>
        <w:tc>
          <w:tcPr>
            <w:tcW w:w="6383" w:type="dxa"/>
            <w:vAlign w:val="center"/>
          </w:tcPr>
          <w:p>
            <w:pPr>
              <w:adjustRightInd w:val="0"/>
              <w:snapToGrid w:val="0"/>
              <w:spacing w:line="360" w:lineRule="auto"/>
              <w:rPr>
                <w:rFonts w:ascii="宋体" w:hAnsi="宋体" w:cs="宋体"/>
              </w:rPr>
            </w:pPr>
            <w:r>
              <w:rPr>
                <w:rFonts w:hint="eastAsia" w:ascii="宋体" w:hAnsi="宋体" w:cs="宋体"/>
              </w:rPr>
              <w:t>1、请各供应商收到本文件后自行核对，如有缺页、错装等情况请于当日向采购代理机构提出，如未提出，所有责任及由此造成的后果由供应商自负。</w:t>
            </w:r>
          </w:p>
          <w:p>
            <w:pPr>
              <w:adjustRightInd w:val="0"/>
              <w:snapToGrid w:val="0"/>
              <w:spacing w:line="360" w:lineRule="auto"/>
              <w:rPr>
                <w:rFonts w:ascii="宋体" w:hAnsi="宋体" w:cs="宋体"/>
              </w:rPr>
            </w:pPr>
            <w:r>
              <w:rPr>
                <w:rFonts w:hint="eastAsia" w:ascii="宋体" w:hAnsi="宋体" w:cs="宋体"/>
              </w:rPr>
              <w:t>2、请供应商仔细阅读本采购文件，其中带“▲”标记的条款为实质性内容，供应商须对带“▲”标记的条款作出实质性响应。</w:t>
            </w:r>
          </w:p>
          <w:p>
            <w:pPr>
              <w:adjustRightInd w:val="0"/>
              <w:snapToGrid w:val="0"/>
              <w:spacing w:line="360" w:lineRule="auto"/>
              <w:rPr>
                <w:rFonts w:ascii="宋体" w:hAnsi="宋体" w:cs="宋体"/>
              </w:rPr>
            </w:pPr>
            <w:r>
              <w:rPr>
                <w:rFonts w:hint="eastAsia" w:ascii="宋体" w:hAnsi="宋体" w:cs="宋体"/>
              </w:rPr>
              <w:t>3、根据《关于在政府采购活动中查询及使用信用记录有关问题的通知》财库[2016]125号的规定：</w:t>
            </w:r>
          </w:p>
          <w:p>
            <w:pPr>
              <w:pStyle w:val="31"/>
              <w:widowControl/>
              <w:adjustRightInd w:val="0"/>
              <w:snapToGrid w:val="0"/>
              <w:spacing w:before="0" w:beforeAutospacing="0" w:after="0" w:afterAutospacing="0" w:line="360" w:lineRule="auto"/>
              <w:rPr>
                <w:rFonts w:ascii="宋体" w:hAnsi="宋体" w:cs="宋体"/>
                <w:kern w:val="2"/>
                <w:sz w:val="21"/>
                <w:szCs w:val="21"/>
              </w:rPr>
            </w:pPr>
            <w:r>
              <w:rPr>
                <w:rFonts w:hint="eastAsia" w:ascii="宋体" w:hAnsi="宋体" w:cs="宋体"/>
                <w:kern w:val="2"/>
                <w:sz w:val="21"/>
                <w:szCs w:val="21"/>
              </w:rPr>
              <w:t>1）采购人或采购代理机构将对本项目供应商的信用信息进行查询。</w:t>
            </w:r>
          </w:p>
          <w:p>
            <w:pPr>
              <w:pStyle w:val="31"/>
              <w:widowControl/>
              <w:adjustRightInd w:val="0"/>
              <w:snapToGrid w:val="0"/>
              <w:spacing w:before="0" w:beforeAutospacing="0" w:after="0" w:afterAutospacing="0" w:line="360" w:lineRule="auto"/>
              <w:rPr>
                <w:rFonts w:ascii="宋体" w:hAnsi="宋体" w:cs="宋体"/>
                <w:kern w:val="2"/>
                <w:sz w:val="21"/>
                <w:szCs w:val="21"/>
              </w:rPr>
            </w:pPr>
            <w:r>
              <w:rPr>
                <w:rFonts w:hint="eastAsia" w:ascii="宋体" w:hAnsi="宋体" w:cs="宋体"/>
                <w:kern w:val="2"/>
                <w:sz w:val="21"/>
                <w:szCs w:val="21"/>
              </w:rPr>
              <w:t>2）查询渠道为信用中国网站（www.creditchina.gov.cn）、中国政府采购网（www.ccgp.gov.cn）。</w:t>
            </w:r>
          </w:p>
          <w:p>
            <w:pPr>
              <w:pStyle w:val="31"/>
              <w:widowControl/>
              <w:adjustRightInd w:val="0"/>
              <w:snapToGrid w:val="0"/>
              <w:spacing w:before="0" w:beforeAutospacing="0" w:after="0" w:afterAutospacing="0" w:line="360" w:lineRule="auto"/>
              <w:rPr>
                <w:rFonts w:ascii="宋体" w:hAnsi="宋体" w:cs="宋体"/>
                <w:kern w:val="2"/>
                <w:sz w:val="21"/>
                <w:szCs w:val="21"/>
              </w:rPr>
            </w:pPr>
            <w:r>
              <w:rPr>
                <w:rFonts w:hint="eastAsia" w:ascii="宋体" w:hAnsi="宋体" w:cs="宋体"/>
                <w:kern w:val="2"/>
                <w:sz w:val="21"/>
                <w:szCs w:val="21"/>
              </w:rPr>
              <w:t>3）信用信息截止时点为从本项目投标截止日往前追溯三年，期间被列入失信被执行人名单、重大税收违法案件当事人名单、政府采购严重违法失信行为记录名单等供应商信用信息均将用于本项目。</w:t>
            </w:r>
          </w:p>
          <w:p>
            <w:pPr>
              <w:pStyle w:val="31"/>
              <w:widowControl/>
              <w:adjustRightInd w:val="0"/>
              <w:snapToGrid w:val="0"/>
              <w:spacing w:before="0" w:beforeAutospacing="0" w:after="0" w:afterAutospacing="0" w:line="360" w:lineRule="auto"/>
              <w:rPr>
                <w:rFonts w:ascii="宋体" w:hAnsi="宋体" w:cs="宋体"/>
                <w:kern w:val="2"/>
                <w:sz w:val="21"/>
                <w:szCs w:val="21"/>
              </w:rPr>
            </w:pPr>
            <w:r>
              <w:rPr>
                <w:rFonts w:hint="eastAsia" w:ascii="宋体" w:hAnsi="宋体" w:cs="宋体"/>
                <w:kern w:val="2"/>
                <w:sz w:val="21"/>
                <w:szCs w:val="21"/>
              </w:rPr>
              <w:t>4）信用信息查询记录和证据以网页截图等方式留存。</w:t>
            </w:r>
          </w:p>
          <w:p>
            <w:pPr>
              <w:pStyle w:val="31"/>
              <w:widowControl/>
              <w:adjustRightInd w:val="0"/>
              <w:snapToGrid w:val="0"/>
              <w:spacing w:before="0" w:beforeAutospacing="0" w:after="0" w:afterAutospacing="0" w:line="360" w:lineRule="auto"/>
              <w:rPr>
                <w:rFonts w:ascii="宋体" w:hAnsi="宋体" w:cs="宋体"/>
                <w:kern w:val="2"/>
                <w:sz w:val="21"/>
                <w:szCs w:val="21"/>
              </w:rPr>
            </w:pPr>
            <w:r>
              <w:rPr>
                <w:rFonts w:hint="eastAsia" w:ascii="宋体" w:hAnsi="宋体" w:cs="宋体"/>
                <w:kern w:val="2"/>
                <w:sz w:val="21"/>
                <w:szCs w:val="21"/>
              </w:rPr>
              <w:t>5）信用信息将作为评审和确定成交供应商的依据。</w:t>
            </w:r>
          </w:p>
          <w:p>
            <w:pPr>
              <w:adjustRightInd w:val="0"/>
              <w:snapToGrid w:val="0"/>
              <w:spacing w:line="360" w:lineRule="auto"/>
              <w:rPr>
                <w:rFonts w:ascii="宋体" w:hAnsi="宋体" w:cs="宋体"/>
                <w:szCs w:val="21"/>
              </w:rPr>
            </w:pPr>
            <w:r>
              <w:rPr>
                <w:rFonts w:hint="eastAsia" w:ascii="宋体" w:hAnsi="宋体" w:cs="宋体"/>
                <w:szCs w:val="21"/>
              </w:rPr>
              <w:t>6）联合体成员存在不良信用记录的，视同联合体存在不良信用记录。</w:t>
            </w:r>
          </w:p>
          <w:p>
            <w:pPr>
              <w:pStyle w:val="14"/>
              <w:ind w:firstLine="210"/>
              <w:rPr>
                <w:rFonts w:ascii="宋体" w:hAnsi="宋体" w:cs="宋体"/>
              </w:rPr>
            </w:pPr>
            <w:r>
              <w:rPr>
                <w:rFonts w:hint="eastAsia" w:ascii="宋体" w:hAnsi="宋体" w:cs="宋体"/>
              </w:rPr>
              <w:t>（本项目不适用）</w:t>
            </w:r>
          </w:p>
          <w:p>
            <w:pPr>
              <w:adjustRightInd w:val="0"/>
              <w:snapToGrid w:val="0"/>
              <w:spacing w:line="360" w:lineRule="auto"/>
              <w:rPr>
                <w:rFonts w:ascii="宋体" w:hAnsi="宋体" w:cs="宋体"/>
              </w:rPr>
            </w:pPr>
            <w:r>
              <w:rPr>
                <w:rFonts w:hint="eastAsia" w:ascii="宋体" w:hAnsi="宋体" w:cs="宋体"/>
              </w:rPr>
              <w:t>4、扶持中小企业（监狱企业、残疾人福利性单位）：</w:t>
            </w:r>
          </w:p>
          <w:p>
            <w:pPr>
              <w:adjustRightInd w:val="0"/>
              <w:snapToGrid w:val="0"/>
              <w:spacing w:line="360" w:lineRule="auto"/>
              <w:rPr>
                <w:rFonts w:ascii="宋体" w:hAnsi="宋体" w:cs="宋体"/>
              </w:rPr>
            </w:pPr>
            <w:r>
              <w:rPr>
                <w:rFonts w:hint="eastAsia" w:ascii="宋体" w:hAnsi="宋体" w:cs="宋体"/>
                <w:szCs w:val="21"/>
              </w:rPr>
              <w:t>1）.根据《政府采购促进中小企业发展管理办法》（财库〔2020〕46号）及《浙江省财政厅浙江省经济和信息化委员会关于简化中小企业类别确认流程有关事项的通知》（浙财采监〔2018〕2号）的相关规定，在评标时对小型和微型企业的投标报价给予6%的扣除，以扣除后的报价计算报价分。属于小型和微型企业的，投标文件中供应商必须提供《中小企业声明函》</w:t>
            </w:r>
            <w:r>
              <w:rPr>
                <w:rFonts w:hint="eastAsia" w:ascii="宋体" w:hAnsi="宋体" w:cs="宋体"/>
              </w:rPr>
              <w:t>。</w:t>
            </w:r>
          </w:p>
          <w:p>
            <w:pPr>
              <w:adjustRightInd w:val="0"/>
              <w:snapToGrid w:val="0"/>
              <w:spacing w:line="360" w:lineRule="auto"/>
              <w:rPr>
                <w:rFonts w:ascii="宋体" w:hAnsi="宋体" w:cs="宋体"/>
                <w:szCs w:val="21"/>
              </w:rPr>
            </w:pPr>
            <w:r>
              <w:rPr>
                <w:rFonts w:hint="eastAsia" w:ascii="宋体" w:hAnsi="宋体" w:cs="宋体"/>
                <w:szCs w:val="21"/>
              </w:rPr>
              <w:t>2）.根据财库〔2017〕141号的相关规定，在政府采购活动中，残疾人福利性单位视同小型、微型企业，享受评审中价格扣除政策。属于享受政府采购支持政策的残疾人福利性单位，应满足财库〔2017〕141号文件第一条的规定，并在响应文件中提供残疾人福利性单位声明函。</w:t>
            </w:r>
          </w:p>
          <w:p>
            <w:pPr>
              <w:adjustRightInd w:val="0"/>
              <w:snapToGrid w:val="0"/>
              <w:spacing w:line="360" w:lineRule="auto"/>
              <w:rPr>
                <w:rFonts w:ascii="宋体" w:hAnsi="宋体" w:cs="宋体"/>
                <w:szCs w:val="21"/>
              </w:rPr>
            </w:pPr>
            <w:r>
              <w:rPr>
                <w:rFonts w:hint="eastAsia" w:ascii="宋体" w:hAnsi="宋体" w:cs="宋体"/>
                <w:szCs w:val="21"/>
              </w:rPr>
              <w:t>3）.根据财库〔2014〕68号的相关规定，在政府采购活动中，监狱企业视同小型、微型企业，享受评审中价格扣除政策，并在响应文件中提供由省级以上监狱管理局、戒毒管理局（含新疆生产建设兵团）出具的属于监狱企业的证明文件。</w:t>
            </w:r>
          </w:p>
          <w:p>
            <w:pPr>
              <w:adjustRightInd w:val="0"/>
              <w:snapToGrid w:val="0"/>
              <w:spacing w:line="360" w:lineRule="auto"/>
              <w:rPr>
                <w:rFonts w:ascii="宋体" w:hAnsi="宋体" w:cs="宋体"/>
              </w:rPr>
            </w:pPr>
            <w:r>
              <w:rPr>
                <w:rFonts w:hint="eastAsia" w:ascii="宋体" w:hAnsi="宋体" w:cs="宋体"/>
                <w:szCs w:val="21"/>
              </w:rPr>
              <w:t>(注：未提供以上材料的，均不给予价格扣除，以上优惠政策只享受一次）。</w:t>
            </w:r>
          </w:p>
          <w:p>
            <w:pPr>
              <w:pStyle w:val="31"/>
              <w:widowControl/>
              <w:adjustRightInd w:val="0"/>
              <w:snapToGrid w:val="0"/>
              <w:spacing w:before="0" w:beforeAutospacing="0" w:after="0" w:afterAutospacing="0" w:line="360" w:lineRule="auto"/>
              <w:rPr>
                <w:rFonts w:ascii="宋体" w:hAnsi="宋体" w:cs="宋体"/>
                <w:kern w:val="2"/>
                <w:sz w:val="21"/>
                <w:szCs w:val="21"/>
              </w:rPr>
            </w:pPr>
            <w:r>
              <w:rPr>
                <w:rFonts w:hint="eastAsia" w:ascii="宋体" w:hAnsi="宋体" w:cs="宋体"/>
                <w:kern w:val="2"/>
                <w:sz w:val="21"/>
                <w:szCs w:val="21"/>
              </w:rPr>
              <w:t>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陆杭州市政府采购网（http://cg.hzft.gov.cn）“中小企业信用融资”专栏，查看信用融资政策文件及各相关银行服务方案。</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14" w:hRule="atLeast"/>
          <w:jc w:val="center"/>
        </w:trPr>
        <w:tc>
          <w:tcPr>
            <w:tcW w:w="689" w:type="dxa"/>
            <w:vAlign w:val="center"/>
          </w:tcPr>
          <w:p>
            <w:pPr>
              <w:adjustRightInd w:val="0"/>
              <w:snapToGrid w:val="0"/>
              <w:jc w:val="center"/>
              <w:rPr>
                <w:rFonts w:ascii="宋体" w:hAnsi="宋体" w:cs="宋体"/>
                <w:szCs w:val="21"/>
              </w:rPr>
            </w:pPr>
            <w:r>
              <w:rPr>
                <w:rFonts w:hint="eastAsia" w:ascii="宋体" w:hAnsi="宋体" w:cs="宋体"/>
                <w:snapToGrid w:val="0"/>
                <w:kern w:val="0"/>
              </w:rPr>
              <w:t>33</w:t>
            </w:r>
          </w:p>
        </w:tc>
        <w:tc>
          <w:tcPr>
            <w:tcW w:w="1759" w:type="dxa"/>
            <w:vAlign w:val="center"/>
          </w:tcPr>
          <w:p>
            <w:pPr>
              <w:adjustRightInd w:val="0"/>
              <w:snapToGrid w:val="0"/>
              <w:jc w:val="center"/>
              <w:rPr>
                <w:rFonts w:ascii="宋体" w:hAnsi="宋体" w:cs="宋体"/>
                <w:szCs w:val="21"/>
              </w:rPr>
            </w:pPr>
            <w:r>
              <w:rPr>
                <w:rFonts w:hint="eastAsia" w:ascii="宋体" w:hAnsi="宋体" w:cs="宋体"/>
                <w:szCs w:val="21"/>
              </w:rPr>
              <w:t>是否专门面向</w:t>
            </w:r>
          </w:p>
          <w:p>
            <w:pPr>
              <w:adjustRightInd w:val="0"/>
              <w:snapToGrid w:val="0"/>
              <w:jc w:val="center"/>
              <w:rPr>
                <w:rFonts w:ascii="宋体" w:hAnsi="宋体" w:cs="宋体"/>
              </w:rPr>
            </w:pPr>
            <w:r>
              <w:rPr>
                <w:rFonts w:hint="eastAsia" w:ascii="宋体" w:hAnsi="宋体" w:cs="宋体"/>
                <w:szCs w:val="21"/>
              </w:rPr>
              <w:t>中小企业采购</w:t>
            </w:r>
          </w:p>
        </w:tc>
        <w:tc>
          <w:tcPr>
            <w:tcW w:w="6383" w:type="dxa"/>
            <w:vAlign w:val="center"/>
          </w:tcPr>
          <w:p>
            <w:pPr>
              <w:spacing w:line="276" w:lineRule="auto"/>
              <w:rPr>
                <w:rFonts w:ascii="宋体" w:hAnsi="宋体" w:cs="宋体"/>
                <w:szCs w:val="21"/>
              </w:rPr>
            </w:pPr>
            <w:r>
              <w:rPr>
                <w:rFonts w:hint="eastAsia" w:ascii="宋体" w:hAnsi="宋体" w:cs="宋体"/>
                <w:bCs/>
                <w:szCs w:val="21"/>
              </w:rPr>
              <w:sym w:font="Wingdings" w:char="00A8"/>
            </w:r>
            <w:r>
              <w:rPr>
                <w:rFonts w:hint="eastAsia" w:ascii="宋体" w:hAnsi="宋体" w:cs="宋体"/>
                <w:bCs/>
                <w:szCs w:val="21"/>
              </w:rPr>
              <w:t>是     √否</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48" w:hRule="atLeast"/>
          <w:jc w:val="center"/>
        </w:trPr>
        <w:tc>
          <w:tcPr>
            <w:tcW w:w="689" w:type="dxa"/>
            <w:vAlign w:val="center"/>
          </w:tcPr>
          <w:p>
            <w:pPr>
              <w:adjustRightInd w:val="0"/>
              <w:snapToGrid w:val="0"/>
              <w:jc w:val="center"/>
              <w:rPr>
                <w:rFonts w:ascii="宋体" w:hAnsi="宋体" w:cs="宋体"/>
                <w:szCs w:val="21"/>
              </w:rPr>
            </w:pPr>
            <w:r>
              <w:rPr>
                <w:rFonts w:hint="eastAsia" w:ascii="宋体" w:hAnsi="宋体" w:cs="宋体"/>
                <w:snapToGrid w:val="0"/>
                <w:kern w:val="0"/>
              </w:rPr>
              <w:t>34</w:t>
            </w:r>
          </w:p>
        </w:tc>
        <w:tc>
          <w:tcPr>
            <w:tcW w:w="1759" w:type="dxa"/>
            <w:vAlign w:val="center"/>
          </w:tcPr>
          <w:p>
            <w:pPr>
              <w:adjustRightInd w:val="0"/>
              <w:snapToGrid w:val="0"/>
              <w:jc w:val="center"/>
              <w:rPr>
                <w:rFonts w:ascii="宋体" w:hAnsi="宋体" w:cs="宋体"/>
              </w:rPr>
            </w:pPr>
            <w:r>
              <w:rPr>
                <w:rFonts w:hint="eastAsia" w:ascii="宋体" w:hAnsi="宋体" w:cs="宋体"/>
                <w:szCs w:val="21"/>
              </w:rPr>
              <w:t>采购人是否允许分包</w:t>
            </w:r>
          </w:p>
        </w:tc>
        <w:tc>
          <w:tcPr>
            <w:tcW w:w="6383" w:type="dxa"/>
            <w:vAlign w:val="center"/>
          </w:tcPr>
          <w:p>
            <w:pPr>
              <w:spacing w:line="276" w:lineRule="auto"/>
              <w:rPr>
                <w:rFonts w:ascii="宋体" w:hAnsi="宋体" w:cs="宋体"/>
                <w:szCs w:val="21"/>
              </w:rPr>
            </w:pPr>
            <w:r>
              <w:rPr>
                <w:rFonts w:hint="eastAsia" w:ascii="宋体" w:hAnsi="宋体" w:cs="宋体"/>
                <w:bCs/>
                <w:szCs w:val="21"/>
              </w:rPr>
              <w:sym w:font="Wingdings" w:char="00A8"/>
            </w:r>
            <w:r>
              <w:rPr>
                <w:rFonts w:hint="eastAsia" w:ascii="宋体" w:hAnsi="宋体" w:cs="宋体"/>
                <w:bCs/>
                <w:szCs w:val="21"/>
              </w:rPr>
              <w:t>是     √否</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48" w:hRule="atLeast"/>
          <w:jc w:val="center"/>
        </w:trPr>
        <w:tc>
          <w:tcPr>
            <w:tcW w:w="689" w:type="dxa"/>
            <w:vAlign w:val="center"/>
          </w:tcPr>
          <w:p>
            <w:pPr>
              <w:adjustRightInd w:val="0"/>
              <w:snapToGrid w:val="0"/>
              <w:jc w:val="center"/>
              <w:rPr>
                <w:rFonts w:ascii="宋体" w:hAnsi="宋体" w:cs="宋体"/>
                <w:szCs w:val="21"/>
              </w:rPr>
            </w:pPr>
            <w:r>
              <w:rPr>
                <w:rFonts w:hint="eastAsia" w:ascii="宋体" w:hAnsi="宋体" w:cs="宋体"/>
                <w:szCs w:val="21"/>
              </w:rPr>
              <w:t>35</w:t>
            </w:r>
          </w:p>
        </w:tc>
        <w:tc>
          <w:tcPr>
            <w:tcW w:w="1759" w:type="dxa"/>
            <w:vAlign w:val="center"/>
          </w:tcPr>
          <w:p>
            <w:pPr>
              <w:adjustRightInd w:val="0"/>
              <w:snapToGrid w:val="0"/>
              <w:jc w:val="center"/>
              <w:rPr>
                <w:rFonts w:ascii="宋体" w:hAnsi="宋体" w:cs="宋体"/>
                <w:szCs w:val="21"/>
              </w:rPr>
            </w:pPr>
            <w:r>
              <w:rPr>
                <w:rFonts w:hint="eastAsia" w:ascii="宋体" w:hAnsi="宋体" w:cs="宋体"/>
                <w:szCs w:val="21"/>
              </w:rPr>
              <w:t>现场演示</w:t>
            </w:r>
          </w:p>
        </w:tc>
        <w:tc>
          <w:tcPr>
            <w:tcW w:w="6383" w:type="dxa"/>
            <w:vAlign w:val="center"/>
          </w:tcPr>
          <w:p>
            <w:pPr>
              <w:spacing w:line="360" w:lineRule="auto"/>
              <w:ind w:firstLine="420" w:firstLineChars="200"/>
              <w:jc w:val="left"/>
              <w:rPr>
                <w:rFonts w:ascii="宋体" w:hAnsi="宋体" w:cs="宋体"/>
                <w:szCs w:val="21"/>
              </w:rPr>
            </w:pPr>
            <w:r>
              <w:rPr>
                <w:rFonts w:hint="eastAsia" w:ascii="宋体" w:hAnsi="宋体" w:cs="宋体"/>
                <w:szCs w:val="21"/>
              </w:rPr>
              <w:t>本项目设现场演示环节，由各供应商拟派本项目代表在规定的时间进行演示、讲解、陈述，并对评标委员会提出的问题进行答辩。</w:t>
            </w:r>
          </w:p>
          <w:p>
            <w:pPr>
              <w:spacing w:line="360" w:lineRule="auto"/>
              <w:ind w:firstLine="515"/>
              <w:jc w:val="left"/>
              <w:rPr>
                <w:rFonts w:ascii="宋体" w:hAnsi="宋体" w:cs="宋体"/>
                <w:szCs w:val="21"/>
              </w:rPr>
            </w:pPr>
            <w:r>
              <w:rPr>
                <w:rFonts w:hint="eastAsia" w:ascii="宋体" w:hAnsi="宋体" w:cs="宋体"/>
                <w:szCs w:val="21"/>
              </w:rPr>
              <w:t>1.时间要求：演示不超过15分钟，答辩不超过5分钟；</w:t>
            </w:r>
          </w:p>
          <w:p>
            <w:pPr>
              <w:spacing w:line="360" w:lineRule="auto"/>
              <w:ind w:firstLine="515"/>
              <w:jc w:val="left"/>
              <w:rPr>
                <w:rFonts w:ascii="宋体" w:hAnsi="宋体" w:cs="宋体"/>
                <w:szCs w:val="21"/>
              </w:rPr>
            </w:pPr>
            <w:r>
              <w:rPr>
                <w:rFonts w:hint="eastAsia" w:ascii="宋体" w:hAnsi="宋体" w:cs="宋体"/>
                <w:szCs w:val="21"/>
              </w:rPr>
              <w:t>2.顺序安排：按电子投标文件解密的先后顺序依次进行。</w:t>
            </w:r>
          </w:p>
          <w:p>
            <w:pPr>
              <w:spacing w:line="360" w:lineRule="auto"/>
              <w:ind w:firstLine="515"/>
              <w:jc w:val="left"/>
              <w:rPr>
                <w:rFonts w:ascii="宋体" w:hAnsi="宋体" w:cs="宋体"/>
                <w:szCs w:val="21"/>
              </w:rPr>
            </w:pPr>
            <w:r>
              <w:rPr>
                <w:rFonts w:hint="eastAsia" w:ascii="宋体" w:hAnsi="宋体" w:cs="宋体"/>
                <w:szCs w:val="21"/>
              </w:rPr>
              <w:t xml:space="preserve">3.人员要求：因场地有限，每个单位参与现场演示人员不超过2人（须提供授权书并加盖单位公章，否则不予进场现场演示，授权书格式自拟）。现场演示人员须在开标日当天上午10点在华信咨询设计研究院有限公司一楼接待大厅等候。 </w:t>
            </w:r>
          </w:p>
          <w:p>
            <w:pPr>
              <w:spacing w:line="360" w:lineRule="auto"/>
              <w:ind w:firstLine="515"/>
              <w:jc w:val="left"/>
              <w:rPr>
                <w:rFonts w:ascii="宋体" w:hAnsi="宋体" w:cs="宋体"/>
                <w:szCs w:val="21"/>
              </w:rPr>
            </w:pPr>
            <w:r>
              <w:rPr>
                <w:rFonts w:hint="eastAsia" w:ascii="宋体" w:hAnsi="宋体" w:cs="宋体"/>
                <w:szCs w:val="21"/>
              </w:rPr>
              <w:t>4.设备要求：除投影仪外，其它设施、设备（含数据线、转接头、音箱等）由供应商自行准备，笔记本需要配置windows操作系统，带一个USB接口。</w:t>
            </w:r>
          </w:p>
          <w:p>
            <w:pPr>
              <w:spacing w:line="360" w:lineRule="auto"/>
              <w:ind w:firstLine="515"/>
              <w:jc w:val="left"/>
              <w:rPr>
                <w:rFonts w:ascii="宋体" w:hAnsi="宋体" w:cs="宋体"/>
                <w:bCs/>
                <w:szCs w:val="21"/>
              </w:rPr>
            </w:pPr>
            <w:r>
              <w:rPr>
                <w:rFonts w:hint="eastAsia" w:ascii="宋体" w:hAnsi="宋体" w:cs="宋体"/>
                <w:szCs w:val="21"/>
              </w:rPr>
              <w:t>不能到场进行现场演示的，不作无效标处理但会影响相关评分项的得分。</w:t>
            </w:r>
          </w:p>
        </w:tc>
      </w:tr>
    </w:tbl>
    <w:p>
      <w:pPr>
        <w:ind w:firstLine="315" w:firstLineChars="150"/>
        <w:rPr>
          <w:rFonts w:ascii="宋体" w:hAnsi="宋体" w:cs="宋体"/>
          <w:szCs w:val="21"/>
        </w:rPr>
      </w:pPr>
    </w:p>
    <w:bookmarkEnd w:id="3"/>
    <w:bookmarkEnd w:id="4"/>
    <w:bookmarkEnd w:id="5"/>
    <w:bookmarkEnd w:id="6"/>
    <w:p>
      <w:pPr>
        <w:pStyle w:val="3"/>
        <w:rPr>
          <w:rFonts w:ascii="宋体" w:hAnsi="宋体" w:cs="宋体"/>
          <w:color w:val="auto"/>
        </w:rPr>
        <w:sectPr>
          <w:headerReference r:id="rId8" w:type="default"/>
          <w:footerReference r:id="rId9" w:type="default"/>
          <w:pgSz w:w="11850" w:h="16783"/>
          <w:pgMar w:top="1440" w:right="1800" w:bottom="1440" w:left="1800" w:header="878" w:footer="1045" w:gutter="0"/>
          <w:pgNumType w:start="1"/>
          <w:cols w:space="720" w:num="1"/>
        </w:sectPr>
      </w:pPr>
      <w:bookmarkStart w:id="15" w:name="_Toc82873321"/>
      <w:bookmarkStart w:id="16" w:name="_Toc211745567"/>
      <w:bookmarkStart w:id="17" w:name="_Toc82338238"/>
    </w:p>
    <w:p>
      <w:pPr>
        <w:pStyle w:val="3"/>
        <w:rPr>
          <w:rFonts w:ascii="宋体" w:hAnsi="宋体" w:cs="宋体"/>
          <w:color w:val="auto"/>
        </w:rPr>
      </w:pPr>
      <w:bookmarkStart w:id="18" w:name="_Toc17640"/>
      <w:r>
        <w:rPr>
          <w:rFonts w:hint="eastAsia" w:ascii="宋体" w:hAnsi="宋体" w:cs="宋体"/>
          <w:color w:val="auto"/>
        </w:rPr>
        <w:t>第三章  供应商须知</w:t>
      </w:r>
      <w:bookmarkEnd w:id="15"/>
      <w:bookmarkEnd w:id="16"/>
      <w:bookmarkEnd w:id="17"/>
      <w:bookmarkEnd w:id="18"/>
    </w:p>
    <w:p>
      <w:pPr>
        <w:jc w:val="left"/>
        <w:rPr>
          <w:rFonts w:ascii="宋体" w:hAnsi="宋体" w:cs="宋体"/>
          <w:szCs w:val="21"/>
        </w:rPr>
      </w:pPr>
    </w:p>
    <w:p>
      <w:pPr>
        <w:spacing w:line="360" w:lineRule="auto"/>
        <w:ind w:firstLine="12"/>
        <w:jc w:val="left"/>
        <w:outlineLvl w:val="1"/>
        <w:rPr>
          <w:rFonts w:ascii="宋体" w:hAnsi="宋体" w:cs="宋体"/>
          <w:szCs w:val="21"/>
        </w:rPr>
      </w:pPr>
      <w:r>
        <w:rPr>
          <w:rFonts w:hint="eastAsia" w:ascii="宋体" w:hAnsi="宋体" w:cs="宋体"/>
          <w:szCs w:val="21"/>
        </w:rPr>
        <w:t>一、总则</w:t>
      </w:r>
    </w:p>
    <w:p>
      <w:pPr>
        <w:spacing w:line="360" w:lineRule="auto"/>
        <w:ind w:firstLine="421"/>
        <w:jc w:val="left"/>
        <w:rPr>
          <w:rFonts w:ascii="宋体" w:hAnsi="宋体" w:cs="宋体"/>
          <w:szCs w:val="21"/>
        </w:rPr>
      </w:pPr>
      <w:r>
        <w:rPr>
          <w:rFonts w:hint="eastAsia" w:ascii="宋体" w:hAnsi="宋体" w:cs="宋体"/>
          <w:szCs w:val="21"/>
        </w:rPr>
        <w:t>本次招标工作是按照《中华人民共和国政府采购法》、《中华人民共和国政府采购法实施条例》、《政府采购货物和服务招标投标管理办法》等相关法律法规组织和实施，并接受杭州市财政局政府采购监管处监督。</w:t>
      </w:r>
    </w:p>
    <w:p>
      <w:pPr>
        <w:spacing w:line="360" w:lineRule="auto"/>
        <w:ind w:firstLine="444"/>
        <w:jc w:val="left"/>
        <w:outlineLvl w:val="2"/>
        <w:rPr>
          <w:rFonts w:ascii="宋体" w:hAnsi="宋体" w:cs="宋体"/>
          <w:szCs w:val="21"/>
        </w:rPr>
      </w:pPr>
      <w:r>
        <w:rPr>
          <w:rFonts w:hint="eastAsia" w:ascii="宋体" w:hAnsi="宋体" w:cs="宋体"/>
          <w:szCs w:val="21"/>
        </w:rPr>
        <w:t>1．适用范围</w:t>
      </w:r>
    </w:p>
    <w:p>
      <w:pPr>
        <w:spacing w:line="360" w:lineRule="auto"/>
        <w:ind w:firstLine="444"/>
        <w:jc w:val="left"/>
        <w:rPr>
          <w:rFonts w:ascii="宋体" w:hAnsi="宋体" w:cs="宋体"/>
          <w:szCs w:val="21"/>
        </w:rPr>
      </w:pPr>
      <w:r>
        <w:rPr>
          <w:rFonts w:hint="eastAsia" w:ascii="宋体" w:hAnsi="宋体" w:cs="宋体"/>
          <w:szCs w:val="21"/>
        </w:rPr>
        <w:t>1.1本采购文件仅适用于本次招标项目。</w:t>
      </w:r>
    </w:p>
    <w:p>
      <w:pPr>
        <w:spacing w:line="360" w:lineRule="auto"/>
        <w:ind w:firstLine="444"/>
        <w:jc w:val="left"/>
        <w:rPr>
          <w:rFonts w:ascii="宋体" w:hAnsi="宋体" w:cs="宋体"/>
          <w:szCs w:val="21"/>
        </w:rPr>
      </w:pPr>
      <w:r>
        <w:rPr>
          <w:rFonts w:hint="eastAsia" w:ascii="宋体" w:hAnsi="宋体" w:cs="宋体"/>
          <w:szCs w:val="21"/>
        </w:rPr>
        <w:t>1.2本项目采购方式为公开招标。</w:t>
      </w:r>
    </w:p>
    <w:p>
      <w:pPr>
        <w:spacing w:line="360" w:lineRule="auto"/>
        <w:ind w:firstLine="433"/>
        <w:jc w:val="left"/>
        <w:rPr>
          <w:rFonts w:ascii="宋体" w:hAnsi="宋体" w:cs="宋体"/>
          <w:szCs w:val="21"/>
        </w:rPr>
      </w:pPr>
      <w:r>
        <w:rPr>
          <w:rFonts w:hint="eastAsia" w:ascii="宋体" w:hAnsi="宋体" w:cs="宋体"/>
          <w:szCs w:val="21"/>
        </w:rPr>
        <w:t>1.3投标须知为招标文件的通用条款，如通用条款与前附表、采购需求书、合同条款等特定条款不一致的，请按特定条款执行。</w:t>
      </w:r>
    </w:p>
    <w:p>
      <w:pPr>
        <w:spacing w:line="360" w:lineRule="auto"/>
        <w:ind w:firstLine="431"/>
        <w:jc w:val="left"/>
        <w:outlineLvl w:val="2"/>
        <w:rPr>
          <w:rFonts w:ascii="宋体" w:hAnsi="宋体" w:cs="宋体"/>
          <w:szCs w:val="21"/>
        </w:rPr>
      </w:pPr>
      <w:r>
        <w:rPr>
          <w:rFonts w:hint="eastAsia" w:ascii="宋体" w:hAnsi="宋体" w:cs="宋体"/>
          <w:szCs w:val="21"/>
        </w:rPr>
        <w:t>2．定义</w:t>
      </w:r>
    </w:p>
    <w:p>
      <w:pPr>
        <w:spacing w:line="360" w:lineRule="auto"/>
        <w:ind w:firstLine="420" w:firstLineChars="200"/>
        <w:jc w:val="left"/>
        <w:rPr>
          <w:rFonts w:ascii="宋体" w:hAnsi="宋体" w:cs="宋体"/>
          <w:szCs w:val="21"/>
        </w:rPr>
      </w:pPr>
      <w:r>
        <w:rPr>
          <w:rFonts w:hint="eastAsia" w:ascii="宋体" w:hAnsi="宋体" w:cs="宋体"/>
          <w:szCs w:val="21"/>
        </w:rPr>
        <w:t>2.1“采购人”系指杭州市城乡建设委员会（合同中的甲方）。</w:t>
      </w:r>
    </w:p>
    <w:p>
      <w:pPr>
        <w:spacing w:line="360" w:lineRule="auto"/>
        <w:ind w:firstLine="420" w:firstLineChars="200"/>
        <w:jc w:val="left"/>
        <w:rPr>
          <w:rFonts w:ascii="宋体" w:hAnsi="宋体" w:cs="宋体"/>
          <w:szCs w:val="21"/>
        </w:rPr>
      </w:pPr>
      <w:r>
        <w:rPr>
          <w:rFonts w:hint="eastAsia" w:ascii="宋体" w:hAnsi="宋体" w:cs="宋体"/>
          <w:szCs w:val="21"/>
        </w:rPr>
        <w:t>2.2“采购代理机构”系指华信咨询设计研究院有限公司（合同中的鉴证方）。</w:t>
      </w:r>
    </w:p>
    <w:p>
      <w:pPr>
        <w:spacing w:line="360" w:lineRule="auto"/>
        <w:ind w:firstLine="420" w:firstLineChars="200"/>
        <w:jc w:val="left"/>
        <w:rPr>
          <w:rFonts w:ascii="宋体" w:hAnsi="宋体" w:cs="宋体"/>
          <w:szCs w:val="21"/>
        </w:rPr>
      </w:pPr>
      <w:r>
        <w:rPr>
          <w:rFonts w:hint="eastAsia" w:ascii="宋体" w:hAnsi="宋体" w:cs="宋体"/>
          <w:szCs w:val="21"/>
        </w:rPr>
        <w:t>2.3“监督管理部门”系指杭州市财政局。</w:t>
      </w:r>
    </w:p>
    <w:p>
      <w:pPr>
        <w:spacing w:line="360" w:lineRule="auto"/>
        <w:ind w:firstLine="420" w:firstLineChars="200"/>
        <w:jc w:val="left"/>
        <w:rPr>
          <w:rFonts w:ascii="宋体" w:hAnsi="宋体" w:cs="宋体"/>
          <w:szCs w:val="21"/>
        </w:rPr>
      </w:pPr>
      <w:r>
        <w:rPr>
          <w:rFonts w:hint="eastAsia" w:ascii="宋体" w:hAnsi="宋体" w:cs="宋体"/>
          <w:szCs w:val="21"/>
        </w:rPr>
        <w:t>2.4“供应商”系指响应本次招标，参加本次投标的投标人（合同中的乙方）。</w:t>
      </w:r>
    </w:p>
    <w:p>
      <w:pPr>
        <w:spacing w:line="360" w:lineRule="auto"/>
        <w:ind w:firstLine="420" w:firstLineChars="200"/>
        <w:jc w:val="left"/>
        <w:rPr>
          <w:rFonts w:ascii="宋体" w:hAnsi="宋体" w:cs="宋体"/>
          <w:szCs w:val="21"/>
        </w:rPr>
      </w:pPr>
      <w:r>
        <w:rPr>
          <w:rFonts w:hint="eastAsia" w:ascii="宋体" w:hAnsi="宋体" w:cs="宋体"/>
          <w:szCs w:val="21"/>
        </w:rPr>
        <w:t>2.5“服务”系指采购文件或合同规定供应商须承担的服务以及其他类似的义务。</w:t>
      </w:r>
    </w:p>
    <w:p>
      <w:pPr>
        <w:spacing w:line="360" w:lineRule="auto"/>
        <w:ind w:firstLine="420" w:firstLineChars="200"/>
        <w:jc w:val="left"/>
        <w:rPr>
          <w:rFonts w:ascii="宋体" w:hAnsi="宋体" w:cs="宋体"/>
          <w:szCs w:val="21"/>
        </w:rPr>
      </w:pPr>
      <w:r>
        <w:rPr>
          <w:rFonts w:hint="eastAsia" w:ascii="宋体" w:hAnsi="宋体" w:cs="宋体"/>
          <w:szCs w:val="21"/>
        </w:rPr>
        <w:t>2.6“实质性条款”系指采购文件条款前标注“▲”标识的条款。</w:t>
      </w:r>
    </w:p>
    <w:p>
      <w:pPr>
        <w:spacing w:line="360" w:lineRule="auto"/>
        <w:ind w:firstLine="431"/>
        <w:jc w:val="left"/>
        <w:rPr>
          <w:rFonts w:ascii="宋体" w:hAnsi="宋体" w:cs="宋体"/>
          <w:szCs w:val="21"/>
        </w:rPr>
      </w:pPr>
      <w:r>
        <w:rPr>
          <w:rFonts w:hint="eastAsia" w:ascii="宋体" w:hAnsi="宋体" w:cs="宋体"/>
          <w:szCs w:val="21"/>
        </w:rPr>
        <w:t>2.7官方指定网站公示的内容视为书面告知。</w:t>
      </w:r>
    </w:p>
    <w:p>
      <w:pPr>
        <w:spacing w:line="360" w:lineRule="auto"/>
        <w:ind w:firstLine="433"/>
        <w:jc w:val="left"/>
        <w:outlineLvl w:val="2"/>
        <w:rPr>
          <w:rFonts w:ascii="宋体" w:hAnsi="宋体" w:cs="宋体"/>
          <w:szCs w:val="21"/>
        </w:rPr>
      </w:pPr>
      <w:r>
        <w:rPr>
          <w:rFonts w:hint="eastAsia" w:ascii="宋体" w:hAnsi="宋体" w:cs="宋体"/>
          <w:szCs w:val="21"/>
        </w:rPr>
        <w:t>3．合格的供应商及合格的投标服务</w:t>
      </w:r>
    </w:p>
    <w:p>
      <w:pPr>
        <w:spacing w:line="360" w:lineRule="auto"/>
        <w:ind w:firstLine="425"/>
        <w:jc w:val="left"/>
        <w:rPr>
          <w:rFonts w:ascii="宋体" w:hAnsi="宋体" w:cs="宋体"/>
          <w:szCs w:val="21"/>
        </w:rPr>
      </w:pPr>
      <w:r>
        <w:rPr>
          <w:rFonts w:hint="eastAsia" w:ascii="宋体" w:hAnsi="宋体" w:cs="宋体"/>
          <w:szCs w:val="21"/>
        </w:rPr>
        <w:t>3.1合格的供应商，详见采购公告第二条规定的供应商必须具备的资格条件并经采购人或采购代理机构审查通过的。</w:t>
      </w:r>
    </w:p>
    <w:p>
      <w:pPr>
        <w:spacing w:line="360" w:lineRule="auto"/>
        <w:ind w:firstLine="433"/>
        <w:jc w:val="left"/>
        <w:rPr>
          <w:rFonts w:ascii="宋体" w:hAnsi="宋体" w:cs="宋体"/>
          <w:szCs w:val="21"/>
        </w:rPr>
      </w:pPr>
      <w:r>
        <w:rPr>
          <w:rFonts w:hint="eastAsia" w:ascii="宋体" w:hAnsi="宋体" w:cs="宋体"/>
          <w:szCs w:val="21"/>
        </w:rPr>
        <w:t>3.2对供应商的限制</w:t>
      </w:r>
    </w:p>
    <w:p>
      <w:pPr>
        <w:spacing w:line="360" w:lineRule="auto"/>
        <w:ind w:firstLine="423"/>
        <w:jc w:val="left"/>
        <w:rPr>
          <w:rFonts w:ascii="宋体" w:hAnsi="宋体" w:cs="宋体"/>
          <w:szCs w:val="21"/>
        </w:rPr>
      </w:pPr>
      <w:r>
        <w:rPr>
          <w:rFonts w:hint="eastAsia" w:ascii="宋体" w:hAnsi="宋体" w:cs="宋体"/>
          <w:szCs w:val="21"/>
        </w:rPr>
        <w:t>3.2.1单位负责人（指法定代表人或者法律、行政法规规定代表单位行使职权的主要负责人）为同一人或者存在直接控股、管理关系的不同供应商不得分别参加同一合同项下的采购活动。违反本条规定的，相关投标均无效；</w:t>
      </w:r>
    </w:p>
    <w:p>
      <w:pPr>
        <w:spacing w:line="360" w:lineRule="auto"/>
        <w:ind w:firstLine="423"/>
        <w:jc w:val="left"/>
        <w:rPr>
          <w:rFonts w:ascii="宋体" w:hAnsi="宋体" w:cs="宋体"/>
          <w:szCs w:val="21"/>
        </w:rPr>
      </w:pPr>
      <w:r>
        <w:rPr>
          <w:rFonts w:hint="eastAsia" w:ascii="宋体" w:hAnsi="宋体" w:cs="宋体"/>
          <w:szCs w:val="21"/>
        </w:rPr>
        <w:t>3.2.2为本项目提供过整体设计、规范编制或者项目管理、监理、检测等服务的供应商，不得再参加该采购项目的其他采购活动（不包括为该项目提供整体设计、规范编制或者项目管理、监理、检测等服务）；</w:t>
      </w:r>
    </w:p>
    <w:p>
      <w:pPr>
        <w:spacing w:line="360" w:lineRule="auto"/>
        <w:ind w:firstLine="420"/>
        <w:jc w:val="left"/>
        <w:rPr>
          <w:rFonts w:ascii="宋体" w:hAnsi="宋体" w:cs="宋体"/>
          <w:szCs w:val="21"/>
        </w:rPr>
      </w:pPr>
      <w:r>
        <w:rPr>
          <w:rFonts w:hint="eastAsia" w:ascii="宋体" w:hAnsi="宋体" w:cs="宋体"/>
          <w:szCs w:val="21"/>
        </w:rPr>
        <w:t>3.2.3以联合体形式参加政府采购活动的，联合体各方不得再单独参加或者与其他供应商另外组成联合体参加同一合同项下的政府采购活动；（本项目不适用）</w:t>
      </w:r>
    </w:p>
    <w:p>
      <w:pPr>
        <w:spacing w:line="360" w:lineRule="auto"/>
        <w:ind w:firstLine="424"/>
        <w:jc w:val="left"/>
        <w:rPr>
          <w:rFonts w:ascii="宋体" w:hAnsi="宋体" w:cs="宋体"/>
          <w:szCs w:val="21"/>
        </w:rPr>
      </w:pPr>
      <w:r>
        <w:rPr>
          <w:rFonts w:hint="eastAsia" w:ascii="宋体" w:hAnsi="宋体" w:cs="宋体"/>
          <w:szCs w:val="21"/>
        </w:rPr>
        <w:t>3.2.4为证明供应商拥有的业绩、荣誉、知识产权、项目案例等而在投标文件中提供的证明材料必须为供应商自身所有。不同法人、其他组织的资料与供应商无关。</w:t>
      </w:r>
    </w:p>
    <w:p>
      <w:pPr>
        <w:spacing w:line="360" w:lineRule="auto"/>
        <w:ind w:firstLine="433"/>
        <w:jc w:val="left"/>
        <w:rPr>
          <w:rFonts w:ascii="宋体" w:hAnsi="宋体" w:cs="宋体"/>
          <w:szCs w:val="21"/>
        </w:rPr>
      </w:pPr>
      <w:r>
        <w:rPr>
          <w:rFonts w:hint="eastAsia" w:ascii="宋体" w:hAnsi="宋体" w:cs="宋体"/>
          <w:szCs w:val="21"/>
        </w:rPr>
        <w:t>3.2.5在政府采购活动中，采购人员及相关人员与供应商有下列利害关系之一的，应当回避：</w:t>
      </w:r>
    </w:p>
    <w:p>
      <w:pPr>
        <w:spacing w:line="360" w:lineRule="auto"/>
        <w:ind w:firstLine="539"/>
        <w:jc w:val="left"/>
        <w:rPr>
          <w:rFonts w:ascii="宋体" w:hAnsi="宋体" w:cs="宋体"/>
          <w:szCs w:val="21"/>
        </w:rPr>
      </w:pPr>
      <w:r>
        <w:rPr>
          <w:rFonts w:hint="eastAsia" w:ascii="宋体" w:hAnsi="宋体" w:cs="宋体"/>
          <w:szCs w:val="21"/>
        </w:rPr>
        <w:t>（一）参加采购活动前3年内与供应商存在劳动关系；</w:t>
      </w:r>
    </w:p>
    <w:p>
      <w:pPr>
        <w:spacing w:line="360" w:lineRule="auto"/>
        <w:ind w:firstLine="539"/>
        <w:jc w:val="left"/>
        <w:rPr>
          <w:rFonts w:ascii="宋体" w:hAnsi="宋体" w:cs="宋体"/>
          <w:szCs w:val="21"/>
        </w:rPr>
      </w:pPr>
      <w:r>
        <w:rPr>
          <w:rFonts w:hint="eastAsia" w:ascii="宋体" w:hAnsi="宋体" w:cs="宋体"/>
          <w:szCs w:val="21"/>
        </w:rPr>
        <w:t>（二）参加采购活动前3年内担任供应商的董事、监事；</w:t>
      </w:r>
    </w:p>
    <w:p>
      <w:pPr>
        <w:spacing w:line="360" w:lineRule="auto"/>
        <w:ind w:firstLine="539"/>
        <w:jc w:val="left"/>
        <w:rPr>
          <w:rFonts w:ascii="宋体" w:hAnsi="宋体" w:cs="宋体"/>
          <w:szCs w:val="21"/>
        </w:rPr>
      </w:pPr>
      <w:r>
        <w:rPr>
          <w:rFonts w:hint="eastAsia" w:ascii="宋体" w:hAnsi="宋体" w:cs="宋体"/>
          <w:szCs w:val="21"/>
        </w:rPr>
        <w:t>（三）参加采购活动前3年内是供应商的控股股东或者实际控制人；</w:t>
      </w:r>
    </w:p>
    <w:p>
      <w:pPr>
        <w:spacing w:line="360" w:lineRule="auto"/>
        <w:ind w:firstLine="526"/>
        <w:jc w:val="left"/>
        <w:rPr>
          <w:rFonts w:ascii="宋体" w:hAnsi="宋体" w:cs="宋体"/>
          <w:szCs w:val="21"/>
        </w:rPr>
      </w:pPr>
      <w:r>
        <w:rPr>
          <w:rFonts w:hint="eastAsia" w:ascii="宋体" w:hAnsi="宋体" w:cs="宋体"/>
          <w:szCs w:val="21"/>
        </w:rPr>
        <w:t>（四）与供应商的法定代表人或者负责人有夫妻、直系血亲、三代以内旁系血亲或者近姻亲关系；</w:t>
      </w:r>
    </w:p>
    <w:p>
      <w:pPr>
        <w:spacing w:line="360" w:lineRule="auto"/>
        <w:ind w:firstLine="539"/>
        <w:jc w:val="left"/>
        <w:rPr>
          <w:rFonts w:ascii="宋体" w:hAnsi="宋体" w:cs="宋体"/>
          <w:szCs w:val="21"/>
        </w:rPr>
      </w:pPr>
      <w:r>
        <w:rPr>
          <w:rFonts w:hint="eastAsia" w:ascii="宋体" w:hAnsi="宋体" w:cs="宋体"/>
          <w:szCs w:val="21"/>
        </w:rPr>
        <w:t>（五）与供应商有其他可能影响政府采购活动公平、公正进行的关系。</w:t>
      </w:r>
    </w:p>
    <w:p>
      <w:pPr>
        <w:spacing w:line="360" w:lineRule="auto"/>
        <w:ind w:firstLine="419"/>
        <w:jc w:val="left"/>
        <w:rPr>
          <w:rFonts w:ascii="宋体" w:hAnsi="宋体" w:cs="宋体"/>
          <w:szCs w:val="21"/>
        </w:rPr>
      </w:pPr>
      <w:r>
        <w:rPr>
          <w:rFonts w:hint="eastAsia" w:ascii="宋体" w:hAnsi="宋体" w:cs="宋体"/>
          <w:szCs w:val="21"/>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pPr>
        <w:spacing w:line="360" w:lineRule="auto"/>
        <w:ind w:firstLine="428"/>
        <w:jc w:val="left"/>
        <w:outlineLvl w:val="2"/>
        <w:rPr>
          <w:rFonts w:ascii="宋体" w:hAnsi="宋体" w:cs="宋体"/>
          <w:szCs w:val="21"/>
        </w:rPr>
      </w:pPr>
      <w:r>
        <w:rPr>
          <w:rFonts w:hint="eastAsia" w:ascii="宋体" w:hAnsi="宋体" w:cs="宋体"/>
          <w:szCs w:val="21"/>
        </w:rPr>
        <w:t>4．相关说明</w:t>
      </w:r>
    </w:p>
    <w:p>
      <w:pPr>
        <w:spacing w:line="360" w:lineRule="auto"/>
        <w:ind w:firstLine="428"/>
        <w:jc w:val="left"/>
        <w:rPr>
          <w:rFonts w:ascii="宋体" w:hAnsi="宋体" w:cs="宋体"/>
          <w:szCs w:val="21"/>
        </w:rPr>
      </w:pPr>
      <w:r>
        <w:rPr>
          <w:rFonts w:hint="eastAsia" w:ascii="宋体" w:hAnsi="宋体" w:cs="宋体"/>
          <w:szCs w:val="21"/>
        </w:rPr>
        <w:t>4.1投标费用</w:t>
      </w:r>
    </w:p>
    <w:p>
      <w:pPr>
        <w:spacing w:line="360" w:lineRule="auto"/>
        <w:ind w:firstLine="416"/>
        <w:jc w:val="left"/>
        <w:rPr>
          <w:rFonts w:ascii="宋体" w:hAnsi="宋体" w:cs="宋体"/>
          <w:szCs w:val="21"/>
        </w:rPr>
      </w:pPr>
      <w:r>
        <w:rPr>
          <w:rFonts w:hint="eastAsia" w:ascii="宋体" w:hAnsi="宋体" w:cs="宋体"/>
          <w:szCs w:val="21"/>
        </w:rPr>
        <w:t>供应商应承担其参加投标所涉及的一切费用，不管投标结果如何，采购人对这些费用不负任何责任。</w:t>
      </w:r>
    </w:p>
    <w:p>
      <w:pPr>
        <w:spacing w:line="360" w:lineRule="auto"/>
        <w:ind w:firstLine="419"/>
        <w:jc w:val="left"/>
        <w:rPr>
          <w:rFonts w:ascii="宋体" w:hAnsi="宋体" w:cs="宋体"/>
          <w:szCs w:val="21"/>
        </w:rPr>
      </w:pPr>
      <w:r>
        <w:rPr>
          <w:rFonts w:hint="eastAsia" w:ascii="宋体" w:hAnsi="宋体" w:cs="宋体"/>
          <w:szCs w:val="21"/>
        </w:rPr>
        <w:t>4.2供应商应仔细阅读采购文件的所有内容，按照采购文件的要求提交投标文件。投标文件应对采购文件的要求作出实质性响应，并对所提供的全部资料的真实性承担法律责任。</w:t>
      </w:r>
    </w:p>
    <w:p>
      <w:pPr>
        <w:spacing w:line="360" w:lineRule="auto"/>
        <w:ind w:firstLine="428"/>
        <w:jc w:val="left"/>
        <w:rPr>
          <w:rFonts w:ascii="宋体" w:hAnsi="宋体" w:cs="宋体"/>
          <w:szCs w:val="21"/>
        </w:rPr>
      </w:pPr>
      <w:r>
        <w:rPr>
          <w:rFonts w:hint="eastAsia" w:ascii="宋体" w:hAnsi="宋体" w:cs="宋体"/>
          <w:szCs w:val="21"/>
        </w:rPr>
        <w:t>4.3供应商投标所使用的资格、信誉、荣誉、业绩与企业认证必须为本法人所拥有。</w:t>
      </w:r>
    </w:p>
    <w:p>
      <w:pPr>
        <w:spacing w:line="360" w:lineRule="auto"/>
        <w:ind w:firstLine="419"/>
        <w:jc w:val="left"/>
        <w:rPr>
          <w:rFonts w:ascii="宋体" w:hAnsi="宋体" w:cs="宋体"/>
          <w:szCs w:val="21"/>
        </w:rPr>
      </w:pPr>
      <w:r>
        <w:rPr>
          <w:rFonts w:hint="eastAsia" w:ascii="宋体" w:hAnsi="宋体" w:cs="宋体"/>
          <w:szCs w:val="21"/>
        </w:rPr>
        <w:t>4.4供应商应仔细阅读采购文件的所有内容，按照采购文件的要求提交投标文件，并对所提供的全部资料的真实性承担法律责任。</w:t>
      </w:r>
    </w:p>
    <w:p>
      <w:pPr>
        <w:spacing w:line="360" w:lineRule="auto"/>
        <w:ind w:firstLine="419"/>
        <w:jc w:val="left"/>
        <w:rPr>
          <w:rFonts w:ascii="宋体" w:hAnsi="宋体" w:cs="宋体"/>
          <w:szCs w:val="21"/>
        </w:rPr>
      </w:pPr>
      <w:r>
        <w:rPr>
          <w:rFonts w:hint="eastAsia" w:ascii="宋体" w:hAnsi="宋体" w:cs="宋体"/>
          <w:szCs w:val="21"/>
        </w:rPr>
        <w:t>4.5供应商在投标活动中提供任何虚假材料,其投标无效，并报监管部门查处；中标后发现的,按《政府采购货物和服务招标投标管理办法》（财政部令第87号）相关规定承担相应的法律责任。</w:t>
      </w:r>
    </w:p>
    <w:p>
      <w:pPr>
        <w:spacing w:line="360" w:lineRule="auto"/>
        <w:ind w:firstLine="12"/>
        <w:jc w:val="left"/>
        <w:outlineLvl w:val="1"/>
        <w:rPr>
          <w:rFonts w:ascii="宋体" w:hAnsi="宋体" w:cs="宋体"/>
          <w:szCs w:val="21"/>
        </w:rPr>
      </w:pPr>
      <w:r>
        <w:rPr>
          <w:rFonts w:hint="eastAsia" w:ascii="宋体" w:hAnsi="宋体" w:cs="宋体"/>
          <w:szCs w:val="21"/>
        </w:rPr>
        <w:t>二、采购文件</w:t>
      </w:r>
    </w:p>
    <w:p>
      <w:pPr>
        <w:spacing w:line="360" w:lineRule="auto"/>
        <w:ind w:firstLine="433"/>
        <w:jc w:val="left"/>
        <w:rPr>
          <w:rFonts w:ascii="宋体" w:hAnsi="宋体" w:cs="宋体"/>
          <w:szCs w:val="21"/>
        </w:rPr>
      </w:pPr>
      <w:r>
        <w:rPr>
          <w:rFonts w:hint="eastAsia" w:ascii="宋体" w:hAnsi="宋体" w:cs="宋体"/>
          <w:szCs w:val="21"/>
        </w:rPr>
        <w:t>5．采购文件构成</w:t>
      </w:r>
    </w:p>
    <w:p>
      <w:pPr>
        <w:spacing w:line="360" w:lineRule="auto"/>
        <w:ind w:firstLine="433"/>
        <w:jc w:val="left"/>
        <w:rPr>
          <w:rFonts w:ascii="宋体" w:hAnsi="宋体" w:cs="宋体"/>
          <w:szCs w:val="21"/>
        </w:rPr>
      </w:pPr>
      <w:r>
        <w:rPr>
          <w:rFonts w:hint="eastAsia" w:ascii="宋体" w:hAnsi="宋体" w:cs="宋体"/>
          <w:szCs w:val="21"/>
        </w:rPr>
        <w:t>5.1本采购文件包括目录所示内容及所有按本须知第6、7条发出的补充资料。</w:t>
      </w:r>
    </w:p>
    <w:p>
      <w:pPr>
        <w:spacing w:line="360" w:lineRule="auto"/>
        <w:ind w:firstLine="425"/>
        <w:jc w:val="left"/>
        <w:rPr>
          <w:rFonts w:ascii="宋体" w:hAnsi="宋体" w:cs="宋体"/>
          <w:szCs w:val="21"/>
        </w:rPr>
      </w:pPr>
      <w:r>
        <w:rPr>
          <w:rFonts w:hint="eastAsia" w:ascii="宋体" w:hAnsi="宋体" w:cs="宋体"/>
          <w:szCs w:val="21"/>
        </w:rPr>
        <w:t>5.2除上述所列内容外，采购人和采购代理机构的任何工作人员对供应商所作的任何口头解释、介绍、答复，只能供供应商参考，对采购人、采购代理机构和供应商无任何约束力。</w:t>
      </w:r>
    </w:p>
    <w:p>
      <w:pPr>
        <w:spacing w:line="360" w:lineRule="auto"/>
        <w:ind w:firstLine="420"/>
        <w:jc w:val="left"/>
        <w:rPr>
          <w:rFonts w:ascii="宋体" w:hAnsi="宋体" w:cs="宋体"/>
          <w:szCs w:val="21"/>
        </w:rPr>
      </w:pPr>
      <w:r>
        <w:rPr>
          <w:rFonts w:hint="eastAsia" w:ascii="宋体" w:hAnsi="宋体" w:cs="宋体"/>
          <w:szCs w:val="21"/>
        </w:rPr>
        <w:t>5.3采购文件是招标过程进行的有效依据，也是成交后签订合同的依据，对双方均具有约束力，凡不遵守采购文件规定或对采购文件的实质性内容不响应的，将可能被拒绝或以无效标处理。</w:t>
      </w:r>
    </w:p>
    <w:p>
      <w:pPr>
        <w:spacing w:line="360" w:lineRule="auto"/>
        <w:ind w:firstLine="425"/>
        <w:jc w:val="left"/>
        <w:rPr>
          <w:rFonts w:ascii="宋体" w:hAnsi="宋体" w:cs="宋体"/>
          <w:szCs w:val="21"/>
        </w:rPr>
      </w:pPr>
      <w:r>
        <w:rPr>
          <w:rFonts w:hint="eastAsia" w:ascii="宋体" w:hAnsi="宋体" w:cs="宋体"/>
          <w:szCs w:val="21"/>
        </w:rPr>
        <w:t>5.4本采购文件由采购人或采购代理机构依据相关法律、法规、规章、省市规定及采购文件进行解释。</w:t>
      </w:r>
    </w:p>
    <w:p>
      <w:pPr>
        <w:spacing w:line="360" w:lineRule="auto"/>
        <w:ind w:firstLine="430"/>
        <w:jc w:val="left"/>
        <w:rPr>
          <w:rFonts w:ascii="宋体" w:hAnsi="宋体" w:cs="宋体"/>
          <w:szCs w:val="21"/>
        </w:rPr>
      </w:pPr>
      <w:r>
        <w:rPr>
          <w:rFonts w:hint="eastAsia" w:ascii="宋体" w:hAnsi="宋体" w:cs="宋体"/>
          <w:szCs w:val="21"/>
        </w:rPr>
        <w:t>6．采购文件的澄清</w:t>
      </w:r>
    </w:p>
    <w:p>
      <w:pPr>
        <w:spacing w:line="360" w:lineRule="auto"/>
        <w:ind w:firstLine="418"/>
        <w:jc w:val="left"/>
        <w:rPr>
          <w:rFonts w:ascii="宋体" w:hAnsi="宋体" w:cs="宋体"/>
          <w:szCs w:val="21"/>
        </w:rPr>
      </w:pPr>
      <w:r>
        <w:rPr>
          <w:rFonts w:hint="eastAsia" w:ascii="宋体" w:hAnsi="宋体" w:cs="宋体"/>
          <w:szCs w:val="21"/>
        </w:rPr>
        <w:t>6.1供应商在获取采购文件后，若有问题需要澄清或认为有必要与采购人进行技术交流，应于前附表规定的时间前，将问题发电子邮件至wangxinlin.hx@chinaccs.cn（电子邮件与书面文件有不一致的，以书面文件为准）。截止期后的疑问将不予受理、答复。</w:t>
      </w:r>
    </w:p>
    <w:p>
      <w:pPr>
        <w:spacing w:line="360" w:lineRule="auto"/>
        <w:ind w:firstLine="430"/>
        <w:jc w:val="left"/>
        <w:rPr>
          <w:rFonts w:ascii="宋体" w:hAnsi="宋体" w:cs="宋体"/>
          <w:szCs w:val="21"/>
        </w:rPr>
      </w:pPr>
      <w:r>
        <w:rPr>
          <w:rFonts w:hint="eastAsia" w:ascii="宋体" w:hAnsi="宋体" w:cs="宋体"/>
          <w:szCs w:val="21"/>
        </w:rPr>
        <w:t>6.2供应商要求解释或澄清的问题应以书面形式送达，并加盖公章、写明日期。</w:t>
      </w:r>
    </w:p>
    <w:p>
      <w:pPr>
        <w:spacing w:line="360" w:lineRule="auto"/>
        <w:ind w:firstLine="416"/>
        <w:jc w:val="left"/>
        <w:rPr>
          <w:rFonts w:ascii="宋体" w:hAnsi="宋体" w:cs="宋体"/>
          <w:szCs w:val="21"/>
        </w:rPr>
      </w:pPr>
      <w:r>
        <w:rPr>
          <w:rFonts w:hint="eastAsia" w:ascii="宋体" w:hAnsi="宋体" w:cs="宋体"/>
          <w:szCs w:val="21"/>
        </w:rPr>
        <w:t>6.3所有要求解释或澄清的问题都予以解答，答疑内容与补充内容以更正（澄清）公告形式告知所有购买采购文件的供应商。</w:t>
      </w:r>
    </w:p>
    <w:p>
      <w:pPr>
        <w:spacing w:line="360" w:lineRule="auto"/>
        <w:ind w:firstLine="433"/>
        <w:jc w:val="left"/>
        <w:rPr>
          <w:rFonts w:ascii="宋体" w:hAnsi="宋体" w:cs="宋体"/>
          <w:szCs w:val="21"/>
        </w:rPr>
      </w:pPr>
      <w:r>
        <w:rPr>
          <w:rFonts w:hint="eastAsia" w:ascii="宋体" w:hAnsi="宋体" w:cs="宋体"/>
          <w:szCs w:val="21"/>
        </w:rPr>
        <w:t>7．采购文件的修改</w:t>
      </w:r>
    </w:p>
    <w:p>
      <w:pPr>
        <w:spacing w:line="360" w:lineRule="auto"/>
        <w:ind w:firstLine="425"/>
        <w:jc w:val="left"/>
        <w:rPr>
          <w:rFonts w:ascii="宋体" w:hAnsi="宋体" w:cs="宋体"/>
          <w:szCs w:val="21"/>
        </w:rPr>
      </w:pPr>
      <w:r>
        <w:rPr>
          <w:rFonts w:hint="eastAsia" w:ascii="宋体" w:hAnsi="宋体" w:cs="宋体"/>
          <w:szCs w:val="21"/>
        </w:rPr>
        <w:t>7.1采购人或者采购代理机构可以对已发出的采购文件进行必要的澄清或者修改。澄清或者修改的内容可能影响投标文件编制的，采购人或者采购代理机构应当在投标截止时间至少15日前，以更正（澄清）公告形式通知所有获取采购文件的潜在供应商；不足15日的，采购人或者采购代理机构应当顺延提交投标文件的截止时间。</w:t>
      </w:r>
    </w:p>
    <w:p>
      <w:pPr>
        <w:spacing w:line="360" w:lineRule="auto"/>
        <w:ind w:firstLine="424"/>
        <w:jc w:val="left"/>
        <w:rPr>
          <w:rFonts w:ascii="宋体" w:hAnsi="宋体" w:cs="宋体"/>
          <w:szCs w:val="21"/>
        </w:rPr>
      </w:pPr>
      <w:r>
        <w:rPr>
          <w:rFonts w:hint="eastAsia" w:ascii="宋体" w:hAnsi="宋体" w:cs="宋体"/>
          <w:szCs w:val="21"/>
        </w:rPr>
        <w:t>7.2采购文件的修改将以更正（澄清）公告通知所有购买采购文件的供应商，并对其具有约束力。供应商应及时关注浙江政府采购网上该项目的公告信息。</w:t>
      </w:r>
    </w:p>
    <w:p>
      <w:pPr>
        <w:spacing w:line="360" w:lineRule="auto"/>
        <w:ind w:firstLine="425"/>
        <w:jc w:val="left"/>
        <w:rPr>
          <w:rFonts w:ascii="宋体" w:hAnsi="宋体" w:cs="宋体"/>
          <w:szCs w:val="21"/>
        </w:rPr>
      </w:pPr>
      <w:r>
        <w:rPr>
          <w:rFonts w:hint="eastAsia" w:ascii="宋体" w:hAnsi="宋体" w:cs="宋体"/>
          <w:szCs w:val="21"/>
        </w:rPr>
        <w:t>7.3在更正（澄清）公告发布后，如果供应商认为编制投标文件的时间不充分的，必须在公告发布之日的24小时内通知采购人和采购代理机构。否则，视同供应商有充足时间编制投标文件。</w:t>
      </w:r>
    </w:p>
    <w:p>
      <w:pPr>
        <w:spacing w:line="360" w:lineRule="auto"/>
        <w:ind w:firstLine="425"/>
        <w:jc w:val="left"/>
        <w:rPr>
          <w:rFonts w:ascii="宋体" w:hAnsi="宋体" w:cs="宋体"/>
          <w:szCs w:val="21"/>
        </w:rPr>
      </w:pPr>
      <w:r>
        <w:rPr>
          <w:rFonts w:hint="eastAsia" w:ascii="宋体" w:hAnsi="宋体" w:cs="宋体"/>
          <w:szCs w:val="21"/>
        </w:rPr>
        <w:t>7.4采购文件澄清、答复、修改、补充的内容为采购文件的组成部分。当采购文件与采购文件的答复、澄清、修改、补充通知就同一内容的表述不一致时，以最后发出的更正（澄清）公告为准。</w:t>
      </w:r>
    </w:p>
    <w:p>
      <w:pPr>
        <w:spacing w:line="360" w:lineRule="auto"/>
        <w:ind w:firstLine="407"/>
        <w:jc w:val="left"/>
        <w:rPr>
          <w:rFonts w:ascii="宋体" w:hAnsi="宋体" w:cs="宋体"/>
          <w:szCs w:val="21"/>
        </w:rPr>
      </w:pPr>
      <w:r>
        <w:rPr>
          <w:rFonts w:hint="eastAsia" w:ascii="宋体" w:hAnsi="宋体" w:cs="宋体"/>
          <w:szCs w:val="21"/>
        </w:rPr>
        <w:t>7.5采购文件的澄清、答复、修改或补充都应该通过本代理机构以法定形式发布，除此以外的发布不属于采购文件的组成部分。</w:t>
      </w:r>
    </w:p>
    <w:p>
      <w:pPr>
        <w:spacing w:line="360" w:lineRule="auto"/>
        <w:ind w:firstLine="8"/>
        <w:jc w:val="left"/>
        <w:outlineLvl w:val="1"/>
        <w:rPr>
          <w:rFonts w:ascii="宋体" w:hAnsi="宋体" w:cs="宋体"/>
          <w:szCs w:val="21"/>
        </w:rPr>
      </w:pPr>
      <w:r>
        <w:rPr>
          <w:rFonts w:hint="eastAsia" w:ascii="宋体" w:hAnsi="宋体" w:cs="宋体"/>
          <w:szCs w:val="21"/>
        </w:rPr>
        <w:t>三、投标文件的编制</w:t>
      </w:r>
    </w:p>
    <w:p>
      <w:pPr>
        <w:spacing w:line="360" w:lineRule="auto"/>
        <w:ind w:firstLine="414"/>
        <w:jc w:val="left"/>
        <w:rPr>
          <w:rFonts w:ascii="宋体" w:hAnsi="宋体" w:cs="宋体"/>
          <w:szCs w:val="21"/>
        </w:rPr>
      </w:pPr>
      <w:r>
        <w:rPr>
          <w:rFonts w:hint="eastAsia" w:ascii="宋体" w:hAnsi="宋体" w:cs="宋体"/>
          <w:szCs w:val="21"/>
        </w:rPr>
        <w:t>供应商应认真阅读采购文件中所有的事项、格式、条款和技术要求等。如果供应商没有按照采购文件要求和规定编制投标文件及提交全部资料，或者投标没有对采购文件中各方面作出实质性响应，其风险应由供应商承担。</w:t>
      </w:r>
    </w:p>
    <w:p>
      <w:pPr>
        <w:spacing w:line="360" w:lineRule="auto"/>
        <w:ind w:firstLine="429"/>
        <w:jc w:val="left"/>
        <w:rPr>
          <w:rFonts w:ascii="宋体" w:hAnsi="宋体" w:cs="宋体"/>
          <w:szCs w:val="21"/>
        </w:rPr>
      </w:pPr>
      <w:r>
        <w:rPr>
          <w:rFonts w:hint="eastAsia" w:ascii="宋体" w:hAnsi="宋体" w:cs="宋体"/>
          <w:szCs w:val="21"/>
        </w:rPr>
        <w:t>8．投标文件的语言、计量单位、形式及效力</w:t>
      </w:r>
    </w:p>
    <w:p>
      <w:pPr>
        <w:spacing w:line="360" w:lineRule="auto"/>
        <w:ind w:firstLine="429"/>
        <w:jc w:val="left"/>
        <w:rPr>
          <w:rFonts w:ascii="宋体" w:hAnsi="宋体" w:cs="宋体"/>
          <w:szCs w:val="21"/>
        </w:rPr>
      </w:pPr>
      <w:r>
        <w:rPr>
          <w:rFonts w:hint="eastAsia" w:ascii="宋体" w:hAnsi="宋体" w:cs="宋体"/>
          <w:szCs w:val="21"/>
        </w:rPr>
        <w:t>8.1语言及计量单位</w:t>
      </w:r>
    </w:p>
    <w:p>
      <w:pPr>
        <w:spacing w:line="360" w:lineRule="auto"/>
        <w:ind w:firstLine="421"/>
        <w:jc w:val="left"/>
        <w:rPr>
          <w:rFonts w:ascii="宋体" w:hAnsi="宋体" w:cs="宋体"/>
          <w:szCs w:val="21"/>
        </w:rPr>
      </w:pPr>
      <w:r>
        <w:rPr>
          <w:rFonts w:hint="eastAsia" w:ascii="宋体" w:hAnsi="宋体" w:cs="宋体"/>
          <w:szCs w:val="21"/>
        </w:rPr>
        <w:t>8.1.1投标文件及供应商与采购人之间与投标有关的来往通知、函件和文件均应使用简体中文。除签名、盖章、专用名称等特殊情形外，以中文汉语以外的文字表述的投标文件视同未提供。供应商提交的支持文件和印刷的文献可以用另一种语言，但相应内容应附有中文翻译文本，在解释投标文件时以中文翻译文本为准。</w:t>
      </w:r>
    </w:p>
    <w:p>
      <w:pPr>
        <w:spacing w:line="360" w:lineRule="auto"/>
        <w:ind w:firstLine="420"/>
        <w:jc w:val="left"/>
        <w:rPr>
          <w:rFonts w:ascii="宋体" w:hAnsi="宋体" w:cs="宋体"/>
          <w:szCs w:val="21"/>
        </w:rPr>
      </w:pPr>
      <w:r>
        <w:rPr>
          <w:rFonts w:hint="eastAsia" w:ascii="宋体" w:hAnsi="宋体" w:cs="宋体"/>
          <w:szCs w:val="21"/>
        </w:rPr>
        <w:t>8.1.2除采购文件另有规定外，投标文件所使用的计量单位，均须采用中华人民共和国法定计量单位，否则视同未响应。</w:t>
      </w:r>
    </w:p>
    <w:p>
      <w:pPr>
        <w:spacing w:line="360" w:lineRule="auto"/>
        <w:ind w:firstLine="429"/>
        <w:jc w:val="left"/>
        <w:rPr>
          <w:rFonts w:ascii="宋体" w:hAnsi="宋体" w:cs="宋体"/>
          <w:szCs w:val="21"/>
        </w:rPr>
      </w:pPr>
      <w:r>
        <w:rPr>
          <w:rFonts w:hint="eastAsia" w:ascii="宋体" w:hAnsi="宋体" w:cs="宋体"/>
          <w:szCs w:val="21"/>
        </w:rPr>
        <w:t>8.2投标文件的形式和效力</w:t>
      </w:r>
    </w:p>
    <w:p>
      <w:pPr>
        <w:spacing w:line="360" w:lineRule="auto"/>
        <w:ind w:firstLine="429"/>
        <w:jc w:val="left"/>
        <w:rPr>
          <w:rFonts w:ascii="宋体" w:hAnsi="宋体" w:cs="宋体"/>
          <w:szCs w:val="21"/>
        </w:rPr>
      </w:pPr>
      <w:r>
        <w:rPr>
          <w:rFonts w:hint="eastAsia" w:ascii="宋体" w:hAnsi="宋体" w:cs="宋体"/>
          <w:szCs w:val="21"/>
        </w:rPr>
        <w:t>8.2.1投标文件为电子投标文件，电子投标文件按“政采云供应商项目采购-电子招投标操作指南”及本招标文件要求制作、加密传输。</w:t>
      </w:r>
    </w:p>
    <w:p>
      <w:pPr>
        <w:spacing w:line="360" w:lineRule="auto"/>
        <w:ind w:firstLine="411"/>
        <w:jc w:val="left"/>
        <w:rPr>
          <w:rFonts w:ascii="宋体" w:hAnsi="宋体" w:cs="宋体"/>
          <w:szCs w:val="21"/>
        </w:rPr>
      </w:pPr>
      <w:r>
        <w:rPr>
          <w:rFonts w:hint="eastAsia" w:ascii="宋体" w:hAnsi="宋体" w:cs="宋体"/>
          <w:szCs w:val="21"/>
        </w:rPr>
        <w:t>8.2.2投标文件未在投标截止时间前完成传输的，视为未按时递交投标文件；投标文件未按时解密，视为投标文件撤回。</w:t>
      </w:r>
    </w:p>
    <w:p>
      <w:pPr>
        <w:spacing w:line="360" w:lineRule="auto"/>
        <w:ind w:firstLine="429"/>
        <w:jc w:val="left"/>
        <w:rPr>
          <w:rFonts w:ascii="宋体" w:hAnsi="宋体" w:cs="宋体"/>
          <w:szCs w:val="21"/>
        </w:rPr>
      </w:pPr>
      <w:r>
        <w:rPr>
          <w:rFonts w:hint="eastAsia" w:ascii="宋体" w:hAnsi="宋体" w:cs="宋体"/>
          <w:szCs w:val="21"/>
        </w:rPr>
        <w:t>9．投标文件构成</w:t>
      </w:r>
    </w:p>
    <w:p>
      <w:pPr>
        <w:spacing w:line="360" w:lineRule="auto"/>
        <w:ind w:firstLine="418"/>
        <w:jc w:val="left"/>
        <w:rPr>
          <w:rFonts w:ascii="宋体" w:hAnsi="宋体" w:cs="宋体"/>
          <w:szCs w:val="21"/>
        </w:rPr>
      </w:pPr>
      <w:r>
        <w:rPr>
          <w:rFonts w:hint="eastAsia" w:ascii="宋体" w:hAnsi="宋体" w:cs="宋体"/>
          <w:szCs w:val="21"/>
        </w:rPr>
        <w:t>供应商向采购人递交的投标文件均由</w:t>
      </w:r>
      <w:r>
        <w:rPr>
          <w:rFonts w:hint="eastAsia" w:ascii="宋体" w:hAnsi="宋体" w:cs="宋体"/>
          <w:b/>
          <w:bCs/>
          <w:szCs w:val="21"/>
        </w:rPr>
        <w:t>资格响应文件</w:t>
      </w:r>
      <w:r>
        <w:rPr>
          <w:rFonts w:hint="eastAsia" w:ascii="宋体" w:hAnsi="宋体" w:cs="宋体"/>
          <w:szCs w:val="21"/>
        </w:rPr>
        <w:t>、</w:t>
      </w:r>
      <w:r>
        <w:rPr>
          <w:rFonts w:hint="eastAsia" w:ascii="宋体" w:hAnsi="宋体" w:cs="宋体"/>
          <w:b/>
          <w:bCs/>
          <w:szCs w:val="21"/>
        </w:rPr>
        <w:t>商务技术响应文件</w:t>
      </w:r>
      <w:r>
        <w:rPr>
          <w:rFonts w:hint="eastAsia" w:ascii="宋体" w:hAnsi="宋体" w:cs="宋体"/>
          <w:szCs w:val="21"/>
        </w:rPr>
        <w:t>、</w:t>
      </w:r>
      <w:r>
        <w:rPr>
          <w:rFonts w:hint="eastAsia" w:ascii="宋体" w:hAnsi="宋体" w:cs="宋体"/>
          <w:b/>
          <w:bCs/>
          <w:szCs w:val="21"/>
        </w:rPr>
        <w:t>报价响应文件</w:t>
      </w:r>
      <w:r>
        <w:rPr>
          <w:rFonts w:hint="eastAsia" w:ascii="宋体" w:hAnsi="宋体" w:cs="宋体"/>
          <w:szCs w:val="21"/>
        </w:rPr>
        <w:t>组成，具体内容如下：</w:t>
      </w:r>
    </w:p>
    <w:p>
      <w:pPr>
        <w:spacing w:line="360" w:lineRule="auto"/>
        <w:ind w:firstLine="429"/>
        <w:jc w:val="left"/>
        <w:rPr>
          <w:rFonts w:ascii="宋体" w:hAnsi="宋体" w:cs="宋体"/>
          <w:b/>
          <w:bCs/>
          <w:szCs w:val="21"/>
        </w:rPr>
      </w:pPr>
      <w:r>
        <w:rPr>
          <w:rFonts w:hint="eastAsia" w:ascii="宋体" w:hAnsi="宋体" w:cs="宋体"/>
          <w:b/>
          <w:bCs/>
          <w:szCs w:val="21"/>
        </w:rPr>
        <w:t>9.1资格响应文件</w:t>
      </w:r>
    </w:p>
    <w:p>
      <w:pPr>
        <w:spacing w:line="360" w:lineRule="auto"/>
        <w:ind w:firstLine="539"/>
        <w:jc w:val="left"/>
        <w:rPr>
          <w:rFonts w:ascii="宋体" w:hAnsi="宋体" w:cs="宋体"/>
          <w:b/>
          <w:bCs/>
          <w:szCs w:val="21"/>
        </w:rPr>
      </w:pPr>
      <w:r>
        <w:rPr>
          <w:rFonts w:hint="eastAsia" w:ascii="宋体" w:hAnsi="宋体" w:cs="宋体"/>
          <w:b/>
          <w:bCs/>
          <w:szCs w:val="21"/>
        </w:rPr>
        <w:t>9.1.1基本资格条件：符合《中华人民共和国政府采购法》第二十二条的规定；</w:t>
      </w:r>
    </w:p>
    <w:p>
      <w:pPr>
        <w:tabs>
          <w:tab w:val="left" w:pos="720"/>
        </w:tabs>
        <w:adjustRightInd w:val="0"/>
        <w:snapToGrid w:val="0"/>
        <w:spacing w:line="360" w:lineRule="auto"/>
        <w:ind w:firstLine="420" w:firstLineChars="200"/>
        <w:jc w:val="left"/>
        <w:rPr>
          <w:rFonts w:ascii="宋体" w:hAnsi="宋体" w:cs="宋体"/>
          <w:bCs/>
          <w:snapToGrid w:val="0"/>
          <w:kern w:val="0"/>
          <w:szCs w:val="21"/>
        </w:rPr>
      </w:pPr>
      <w:r>
        <w:rPr>
          <w:rFonts w:hint="eastAsia" w:ascii="宋体" w:hAnsi="宋体" w:cs="宋体"/>
          <w:bCs/>
          <w:snapToGrid w:val="0"/>
          <w:kern w:val="0"/>
          <w:szCs w:val="21"/>
        </w:rPr>
        <w:t>以下a～b项是第二十二条要求及对应证明材料的具体内容，各供应商须在投标文件中出具对应证明材料。</w:t>
      </w:r>
    </w:p>
    <w:p>
      <w:pPr>
        <w:pStyle w:val="13"/>
        <w:numPr>
          <w:ilvl w:val="0"/>
          <w:numId w:val="4"/>
        </w:numPr>
        <w:tabs>
          <w:tab w:val="left" w:pos="630"/>
          <w:tab w:val="left" w:pos="840"/>
          <w:tab w:val="left" w:pos="1050"/>
        </w:tabs>
        <w:adjustRightInd w:val="0"/>
        <w:snapToGrid w:val="0"/>
        <w:spacing w:before="0" w:beforeAutospacing="0" w:after="0" w:afterAutospacing="0" w:line="360" w:lineRule="auto"/>
        <w:ind w:hanging="5"/>
        <w:rPr>
          <w:rFonts w:cs="宋体"/>
          <w:b/>
          <w:sz w:val="21"/>
          <w:szCs w:val="21"/>
        </w:rPr>
      </w:pPr>
      <w:r>
        <w:rPr>
          <w:rFonts w:hint="eastAsia" w:cs="宋体"/>
          <w:b/>
          <w:sz w:val="21"/>
          <w:szCs w:val="21"/>
        </w:rPr>
        <w:t>具有独立承担民事责任的能力：</w:t>
      </w:r>
    </w:p>
    <w:p>
      <w:pPr>
        <w:pStyle w:val="13"/>
        <w:tabs>
          <w:tab w:val="left" w:pos="630"/>
          <w:tab w:val="left" w:pos="840"/>
          <w:tab w:val="left" w:pos="1050"/>
        </w:tabs>
        <w:adjustRightInd w:val="0"/>
        <w:snapToGrid w:val="0"/>
        <w:spacing w:before="0" w:beforeAutospacing="0" w:after="0" w:afterAutospacing="0" w:line="360" w:lineRule="auto"/>
        <w:ind w:left="420"/>
        <w:rPr>
          <w:rFonts w:cs="宋体"/>
          <w:bCs/>
          <w:sz w:val="21"/>
          <w:szCs w:val="21"/>
        </w:rPr>
      </w:pPr>
      <w:r>
        <w:rPr>
          <w:rFonts w:hint="eastAsia" w:cs="宋体"/>
          <w:bCs/>
          <w:sz w:val="21"/>
          <w:szCs w:val="21"/>
        </w:rPr>
        <w:t>供应商须在投标文件中出具符合以下情况的证明材料复印件（五选一）：</w:t>
      </w:r>
    </w:p>
    <w:p>
      <w:pPr>
        <w:pStyle w:val="13"/>
        <w:numPr>
          <w:ilvl w:val="0"/>
          <w:numId w:val="5"/>
        </w:numPr>
        <w:tabs>
          <w:tab w:val="left" w:pos="312"/>
        </w:tabs>
        <w:adjustRightInd w:val="0"/>
        <w:snapToGrid w:val="0"/>
        <w:spacing w:before="0" w:beforeAutospacing="0" w:after="0" w:afterAutospacing="0" w:line="360" w:lineRule="auto"/>
        <w:ind w:firstLine="420" w:firstLineChars="200"/>
        <w:rPr>
          <w:rFonts w:cs="宋体"/>
          <w:bCs/>
          <w:sz w:val="21"/>
          <w:szCs w:val="21"/>
        </w:rPr>
      </w:pPr>
      <w:r>
        <w:rPr>
          <w:rFonts w:hint="eastAsia" w:cs="宋体"/>
          <w:bCs/>
          <w:sz w:val="21"/>
          <w:szCs w:val="21"/>
        </w:rPr>
        <w:t>如供应商是企业（包括合伙企业），提供在工商部门注册的有效“企业法人营业执照”或“营业执照”；</w:t>
      </w:r>
    </w:p>
    <w:p>
      <w:pPr>
        <w:pStyle w:val="13"/>
        <w:numPr>
          <w:ilvl w:val="0"/>
          <w:numId w:val="5"/>
        </w:numPr>
        <w:tabs>
          <w:tab w:val="left" w:pos="312"/>
        </w:tabs>
        <w:adjustRightInd w:val="0"/>
        <w:snapToGrid w:val="0"/>
        <w:spacing w:before="0" w:beforeAutospacing="0" w:after="0" w:afterAutospacing="0" w:line="360" w:lineRule="auto"/>
        <w:ind w:firstLine="420" w:firstLineChars="200"/>
        <w:rPr>
          <w:rFonts w:cs="宋体"/>
          <w:bCs/>
          <w:sz w:val="21"/>
          <w:szCs w:val="21"/>
        </w:rPr>
      </w:pPr>
      <w:r>
        <w:rPr>
          <w:rFonts w:hint="eastAsia" w:cs="宋体"/>
          <w:bCs/>
          <w:sz w:val="21"/>
          <w:szCs w:val="21"/>
        </w:rPr>
        <w:t>如供应商是事业单位，提供有效的“事业单位法人证书”；</w:t>
      </w:r>
    </w:p>
    <w:p>
      <w:pPr>
        <w:pStyle w:val="13"/>
        <w:numPr>
          <w:ilvl w:val="0"/>
          <w:numId w:val="5"/>
        </w:numPr>
        <w:tabs>
          <w:tab w:val="left" w:pos="312"/>
        </w:tabs>
        <w:adjustRightInd w:val="0"/>
        <w:snapToGrid w:val="0"/>
        <w:spacing w:before="0" w:beforeAutospacing="0" w:after="0" w:afterAutospacing="0" w:line="360" w:lineRule="auto"/>
        <w:ind w:firstLine="420" w:firstLineChars="200"/>
        <w:rPr>
          <w:rFonts w:cs="宋体"/>
          <w:bCs/>
          <w:sz w:val="21"/>
          <w:szCs w:val="21"/>
        </w:rPr>
      </w:pPr>
      <w:r>
        <w:rPr>
          <w:rFonts w:hint="eastAsia" w:cs="宋体"/>
          <w:bCs/>
          <w:sz w:val="21"/>
          <w:szCs w:val="21"/>
        </w:rPr>
        <w:t>如供应商是非企业专业服务机构的，提供执业许可证等证明文件；</w:t>
      </w:r>
    </w:p>
    <w:p>
      <w:pPr>
        <w:pStyle w:val="13"/>
        <w:numPr>
          <w:ilvl w:val="0"/>
          <w:numId w:val="5"/>
        </w:numPr>
        <w:tabs>
          <w:tab w:val="left" w:pos="312"/>
        </w:tabs>
        <w:adjustRightInd w:val="0"/>
        <w:snapToGrid w:val="0"/>
        <w:spacing w:before="0" w:beforeAutospacing="0" w:after="0" w:afterAutospacing="0" w:line="360" w:lineRule="auto"/>
        <w:ind w:firstLine="420" w:firstLineChars="200"/>
        <w:rPr>
          <w:rFonts w:cs="宋体"/>
          <w:bCs/>
          <w:sz w:val="21"/>
          <w:szCs w:val="21"/>
        </w:rPr>
      </w:pPr>
      <w:r>
        <w:rPr>
          <w:rFonts w:hint="eastAsia" w:cs="宋体"/>
          <w:bCs/>
          <w:sz w:val="21"/>
          <w:szCs w:val="21"/>
        </w:rPr>
        <w:t>如供应商是个体工商户，提供有效的“个体工商户营业执照”；</w:t>
      </w:r>
    </w:p>
    <w:p>
      <w:pPr>
        <w:pStyle w:val="13"/>
        <w:numPr>
          <w:ilvl w:val="0"/>
          <w:numId w:val="5"/>
        </w:numPr>
        <w:tabs>
          <w:tab w:val="left" w:pos="312"/>
        </w:tabs>
        <w:adjustRightInd w:val="0"/>
        <w:snapToGrid w:val="0"/>
        <w:spacing w:before="0" w:beforeAutospacing="0" w:after="0" w:afterAutospacing="0" w:line="360" w:lineRule="auto"/>
        <w:ind w:firstLine="420" w:firstLineChars="200"/>
        <w:rPr>
          <w:rFonts w:cs="宋体"/>
          <w:bCs/>
          <w:sz w:val="21"/>
          <w:szCs w:val="21"/>
        </w:rPr>
      </w:pPr>
      <w:r>
        <w:rPr>
          <w:rFonts w:hint="eastAsia" w:cs="宋体"/>
          <w:bCs/>
          <w:sz w:val="21"/>
          <w:szCs w:val="21"/>
        </w:rPr>
        <w:t>如供应商是自然人，提供有效的自然人身份证明（居民身份证正反面或公安机关出具的临时居民身份证正反面或港澳台胞证或护照）。</w:t>
      </w:r>
    </w:p>
    <w:p>
      <w:pPr>
        <w:autoSpaceDE w:val="0"/>
        <w:autoSpaceDN w:val="0"/>
        <w:adjustRightInd w:val="0"/>
        <w:snapToGrid w:val="0"/>
        <w:spacing w:line="360" w:lineRule="auto"/>
        <w:ind w:firstLine="420" w:firstLineChars="200"/>
        <w:textAlignment w:val="bottom"/>
        <w:rPr>
          <w:rFonts w:ascii="宋体" w:hAnsi="宋体" w:cs="宋体"/>
          <w:bCs/>
          <w:szCs w:val="21"/>
        </w:rPr>
      </w:pPr>
      <w:r>
        <w:rPr>
          <w:rFonts w:hint="eastAsia" w:ascii="宋体" w:hAnsi="宋体" w:cs="宋体"/>
          <w:bCs/>
          <w:szCs w:val="21"/>
        </w:rPr>
        <w:t>根据《浙江省财政厅关于规范政府采购供应商资格设定及资格审查的通知》（浙财采监[2013]24号）第6条规定接受金融、保险、通讯等特定行业的全国性企业所设立的区域性分支机构，以及个体工商户、个人独资企业、合伙企业，且已经依法办理了工商、税务和社保登记手续，并且获得总机构授权或能够提供房产权证或其他有效财产证明材料，证明其具备实际承担责任的能力和法定的缔结合同能力的可以参加投标。</w:t>
      </w:r>
    </w:p>
    <w:p>
      <w:pPr>
        <w:autoSpaceDE w:val="0"/>
        <w:autoSpaceDN w:val="0"/>
        <w:adjustRightInd w:val="0"/>
        <w:snapToGrid w:val="0"/>
        <w:spacing w:line="360" w:lineRule="auto"/>
        <w:ind w:firstLine="422" w:firstLineChars="200"/>
        <w:textAlignment w:val="bottom"/>
        <w:rPr>
          <w:rFonts w:ascii="宋体" w:hAnsi="宋体" w:cs="宋体"/>
          <w:b/>
          <w:szCs w:val="21"/>
        </w:rPr>
      </w:pPr>
      <w:r>
        <w:rPr>
          <w:rFonts w:hint="eastAsia" w:ascii="宋体" w:hAnsi="宋体" w:cs="宋体"/>
          <w:b/>
          <w:szCs w:val="21"/>
        </w:rPr>
        <w:t>b.供应商符合政府采购资格条件的《承诺函》：</w:t>
      </w:r>
    </w:p>
    <w:p>
      <w:pPr>
        <w:pStyle w:val="13"/>
        <w:adjustRightInd w:val="0"/>
        <w:snapToGrid w:val="0"/>
        <w:spacing w:before="0" w:beforeAutospacing="0" w:after="0" w:afterAutospacing="0" w:line="360" w:lineRule="auto"/>
        <w:ind w:firstLine="420" w:firstLineChars="200"/>
        <w:rPr>
          <w:rFonts w:cs="宋体"/>
          <w:bCs/>
          <w:sz w:val="21"/>
          <w:szCs w:val="21"/>
        </w:rPr>
      </w:pPr>
      <w:r>
        <w:rPr>
          <w:rFonts w:hint="eastAsia" w:cs="宋体"/>
          <w:bCs/>
          <w:sz w:val="21"/>
          <w:szCs w:val="21"/>
        </w:rPr>
        <w:t>供应商须在投标文件中出具《承诺函》。（参考格式见本文件第六部分）</w:t>
      </w:r>
    </w:p>
    <w:p>
      <w:pPr>
        <w:spacing w:line="360" w:lineRule="auto"/>
        <w:ind w:firstLine="422" w:firstLineChars="200"/>
        <w:jc w:val="left"/>
        <w:rPr>
          <w:rFonts w:ascii="宋体" w:hAnsi="宋体" w:cs="宋体"/>
          <w:b/>
          <w:bCs/>
          <w:szCs w:val="21"/>
        </w:rPr>
      </w:pPr>
      <w:r>
        <w:rPr>
          <w:rFonts w:hint="eastAsia" w:ascii="宋体" w:hAnsi="宋体" w:cs="宋体"/>
          <w:b/>
          <w:bCs/>
          <w:szCs w:val="21"/>
        </w:rPr>
        <w:t>9.1.2基本资格条件：未被“信用中国”（www.creditchina.gov.cn）、中国政府采购网（www.ccgp.gov.cn）列入失信被执行人、重大税收违法案件当事人名单、政府采购严重违法失信行为记录名单；</w:t>
      </w:r>
    </w:p>
    <w:p>
      <w:pPr>
        <w:autoSpaceDE w:val="0"/>
        <w:autoSpaceDN w:val="0"/>
        <w:adjustRightInd w:val="0"/>
        <w:snapToGrid w:val="0"/>
        <w:spacing w:line="360" w:lineRule="auto"/>
        <w:ind w:firstLine="420" w:firstLineChars="200"/>
        <w:textAlignment w:val="bottom"/>
        <w:rPr>
          <w:rFonts w:ascii="宋体" w:hAnsi="宋体" w:cs="宋体"/>
          <w:bCs/>
          <w:szCs w:val="21"/>
        </w:rPr>
      </w:pPr>
      <w:r>
        <w:rPr>
          <w:rFonts w:hint="eastAsia" w:ascii="宋体" w:hAnsi="宋体" w:cs="宋体"/>
          <w:bCs/>
          <w:szCs w:val="21"/>
        </w:rPr>
        <w:t>（</w:t>
      </w:r>
      <w:r>
        <w:rPr>
          <w:rFonts w:hint="eastAsia" w:ascii="宋体" w:hAnsi="宋体" w:cs="宋体"/>
          <w:bCs/>
          <w:szCs w:val="21"/>
          <w:lang w:val="en-US" w:eastAsia="zh-CN"/>
        </w:rPr>
        <w:t>采购</w:t>
      </w:r>
      <w:bookmarkStart w:id="201" w:name="_GoBack"/>
      <w:bookmarkEnd w:id="201"/>
      <w:r>
        <w:rPr>
          <w:rFonts w:hint="eastAsia" w:ascii="宋体" w:hAnsi="宋体" w:cs="宋体"/>
          <w:bCs/>
          <w:szCs w:val="21"/>
        </w:rPr>
        <w:t>代理机构以开标当日在“信用中国”网站（www.creditchina.gov.cn）、中国政府采购网（www.ccgp.gov.cn）网页查询记录为准）。</w:t>
      </w:r>
    </w:p>
    <w:p>
      <w:pPr>
        <w:autoSpaceDE w:val="0"/>
        <w:autoSpaceDN w:val="0"/>
        <w:adjustRightInd w:val="0"/>
        <w:snapToGrid w:val="0"/>
        <w:spacing w:line="360" w:lineRule="auto"/>
        <w:ind w:firstLine="420" w:firstLineChars="200"/>
        <w:textAlignment w:val="bottom"/>
        <w:rPr>
          <w:rFonts w:ascii="宋体" w:hAnsi="宋体" w:cs="宋体"/>
          <w:bCs/>
          <w:szCs w:val="21"/>
        </w:rPr>
      </w:pPr>
      <w:r>
        <w:rPr>
          <w:rFonts w:hint="eastAsia" w:ascii="宋体" w:hAnsi="宋体" w:cs="宋体"/>
          <w:bCs/>
          <w:szCs w:val="21"/>
        </w:rPr>
        <w:t>对列入失信被执行人、重大税收违法案件当事人名单、政府采购严重违法失信行为记录名单的供应商，其投标将作无效标处理。</w:t>
      </w:r>
    </w:p>
    <w:p>
      <w:pPr>
        <w:spacing w:line="360" w:lineRule="auto"/>
        <w:ind w:firstLine="422" w:firstLineChars="200"/>
        <w:jc w:val="left"/>
        <w:rPr>
          <w:rFonts w:ascii="宋体" w:hAnsi="宋体" w:cs="宋体"/>
          <w:b/>
          <w:bCs/>
          <w:szCs w:val="21"/>
        </w:rPr>
      </w:pPr>
      <w:r>
        <w:rPr>
          <w:rFonts w:hint="eastAsia" w:ascii="宋体" w:hAnsi="宋体" w:cs="宋体"/>
          <w:b/>
          <w:bCs/>
          <w:szCs w:val="21"/>
        </w:rPr>
        <w:t>9.1.3落实政府采购政策需满足的资格要求：无；</w:t>
      </w:r>
    </w:p>
    <w:p>
      <w:pPr>
        <w:spacing w:line="360" w:lineRule="auto"/>
        <w:ind w:firstLine="422" w:firstLineChars="200"/>
        <w:jc w:val="left"/>
        <w:rPr>
          <w:rFonts w:ascii="宋体" w:hAnsi="宋体" w:cs="宋体"/>
          <w:b/>
          <w:bCs/>
          <w:szCs w:val="21"/>
        </w:rPr>
      </w:pPr>
      <w:r>
        <w:rPr>
          <w:rFonts w:hint="eastAsia" w:ascii="宋体" w:hAnsi="宋体" w:cs="宋体"/>
          <w:b/>
          <w:bCs/>
          <w:szCs w:val="21"/>
        </w:rPr>
        <w:t>9.1.4本项目的特定资格要求：无。</w:t>
      </w:r>
    </w:p>
    <w:p>
      <w:pPr>
        <w:spacing w:line="360" w:lineRule="auto"/>
        <w:ind w:firstLine="429"/>
        <w:jc w:val="left"/>
        <w:rPr>
          <w:rFonts w:ascii="宋体" w:hAnsi="宋体" w:cs="宋体"/>
          <w:b/>
          <w:bCs/>
          <w:szCs w:val="21"/>
        </w:rPr>
      </w:pPr>
      <w:r>
        <w:rPr>
          <w:rFonts w:hint="eastAsia" w:ascii="宋体" w:hAnsi="宋体" w:cs="宋体"/>
          <w:b/>
          <w:bCs/>
          <w:szCs w:val="21"/>
        </w:rPr>
        <w:t>9.2商务技术响应文件</w:t>
      </w:r>
    </w:p>
    <w:p>
      <w:pPr>
        <w:spacing w:line="360" w:lineRule="auto"/>
        <w:ind w:firstLine="457"/>
        <w:jc w:val="left"/>
        <w:rPr>
          <w:rFonts w:ascii="宋体" w:hAnsi="宋体" w:cs="宋体"/>
          <w:szCs w:val="21"/>
        </w:rPr>
      </w:pPr>
      <w:r>
        <w:rPr>
          <w:rFonts w:hint="eastAsia" w:ascii="宋体" w:hAnsi="宋体" w:cs="宋体"/>
          <w:szCs w:val="21"/>
        </w:rPr>
        <w:t>（1）评分索引表；</w:t>
      </w:r>
    </w:p>
    <w:p>
      <w:pPr>
        <w:spacing w:line="360" w:lineRule="auto"/>
        <w:ind w:firstLine="457"/>
        <w:jc w:val="left"/>
        <w:rPr>
          <w:rFonts w:ascii="宋体" w:hAnsi="宋体" w:cs="宋体"/>
          <w:szCs w:val="21"/>
        </w:rPr>
      </w:pPr>
      <w:r>
        <w:rPr>
          <w:rFonts w:hint="eastAsia" w:ascii="宋体" w:hAnsi="宋体" w:cs="宋体"/>
          <w:szCs w:val="21"/>
        </w:rPr>
        <w:t>（2）投标函；</w:t>
      </w:r>
    </w:p>
    <w:p>
      <w:pPr>
        <w:spacing w:line="360" w:lineRule="auto"/>
        <w:ind w:firstLine="457"/>
        <w:jc w:val="left"/>
        <w:rPr>
          <w:rFonts w:ascii="宋体" w:hAnsi="宋体" w:cs="宋体"/>
          <w:szCs w:val="21"/>
        </w:rPr>
      </w:pPr>
      <w:r>
        <w:rPr>
          <w:rFonts w:hint="eastAsia" w:ascii="宋体" w:hAnsi="宋体" w:cs="宋体"/>
          <w:szCs w:val="21"/>
        </w:rPr>
        <w:t>（3）响应一览表；</w:t>
      </w:r>
    </w:p>
    <w:p>
      <w:pPr>
        <w:spacing w:line="360" w:lineRule="auto"/>
        <w:ind w:firstLine="457"/>
        <w:jc w:val="left"/>
        <w:rPr>
          <w:rFonts w:ascii="宋体" w:hAnsi="宋体" w:cs="宋体"/>
          <w:szCs w:val="21"/>
        </w:rPr>
      </w:pPr>
      <w:r>
        <w:rPr>
          <w:rFonts w:hint="eastAsia" w:ascii="宋体" w:hAnsi="宋体" w:cs="宋体"/>
          <w:szCs w:val="21"/>
        </w:rPr>
        <w:t>（4）供应商基本情况表；</w:t>
      </w:r>
    </w:p>
    <w:p>
      <w:pPr>
        <w:spacing w:line="360" w:lineRule="auto"/>
        <w:ind w:firstLine="457"/>
        <w:jc w:val="left"/>
        <w:rPr>
          <w:rFonts w:ascii="宋体" w:hAnsi="宋体" w:cs="宋体"/>
          <w:szCs w:val="21"/>
        </w:rPr>
      </w:pPr>
      <w:r>
        <w:rPr>
          <w:rFonts w:hint="eastAsia" w:ascii="宋体" w:hAnsi="宋体" w:cs="宋体"/>
          <w:szCs w:val="21"/>
        </w:rPr>
        <w:t>（5）法定代表人资格证明书及法定代表人授权书，同时须附法定代表人和授权委托代表的有效身份证复印件；（法定代表人直接参加投标并对相应文件签字的，只需提供前者）</w:t>
      </w:r>
    </w:p>
    <w:p>
      <w:pPr>
        <w:spacing w:line="360" w:lineRule="auto"/>
        <w:ind w:firstLine="457"/>
        <w:jc w:val="left"/>
        <w:rPr>
          <w:rFonts w:ascii="宋体" w:hAnsi="宋体" w:cs="宋体"/>
          <w:szCs w:val="21"/>
        </w:rPr>
      </w:pPr>
      <w:r>
        <w:rPr>
          <w:rFonts w:hint="eastAsia" w:ascii="宋体" w:hAnsi="宋体" w:cs="宋体"/>
          <w:szCs w:val="21"/>
        </w:rPr>
        <w:t>（6）廉政承诺书；</w:t>
      </w:r>
    </w:p>
    <w:p>
      <w:pPr>
        <w:spacing w:line="360" w:lineRule="auto"/>
        <w:ind w:firstLine="457"/>
        <w:jc w:val="left"/>
        <w:rPr>
          <w:rFonts w:ascii="宋体" w:hAnsi="宋体" w:cs="宋体"/>
          <w:szCs w:val="21"/>
        </w:rPr>
      </w:pPr>
      <w:r>
        <w:rPr>
          <w:rFonts w:hint="eastAsia" w:ascii="宋体" w:hAnsi="宋体" w:cs="宋体"/>
          <w:szCs w:val="21"/>
        </w:rPr>
        <w:t>（7）企业实力相关证明材料；</w:t>
      </w:r>
    </w:p>
    <w:p>
      <w:pPr>
        <w:spacing w:line="360" w:lineRule="auto"/>
        <w:ind w:firstLine="457"/>
        <w:jc w:val="left"/>
        <w:rPr>
          <w:rFonts w:ascii="宋体" w:hAnsi="宋体" w:cs="宋体"/>
          <w:szCs w:val="21"/>
        </w:rPr>
      </w:pPr>
      <w:r>
        <w:rPr>
          <w:rFonts w:hint="eastAsia" w:ascii="宋体" w:hAnsi="宋体" w:cs="宋体"/>
          <w:szCs w:val="21"/>
        </w:rPr>
        <w:t>（8）服务经验相关证明材料；</w:t>
      </w:r>
    </w:p>
    <w:p>
      <w:pPr>
        <w:spacing w:line="360" w:lineRule="auto"/>
        <w:ind w:firstLine="457"/>
        <w:jc w:val="left"/>
        <w:rPr>
          <w:rFonts w:ascii="宋体" w:hAnsi="宋体" w:cs="宋体"/>
          <w:szCs w:val="21"/>
        </w:rPr>
      </w:pPr>
      <w:r>
        <w:rPr>
          <w:rFonts w:hint="eastAsia" w:ascii="宋体" w:hAnsi="宋体" w:cs="宋体"/>
          <w:szCs w:val="21"/>
        </w:rPr>
        <w:t>（9）合同条款偏离表/商务条款偏离表；</w:t>
      </w:r>
    </w:p>
    <w:p>
      <w:pPr>
        <w:spacing w:line="360" w:lineRule="auto"/>
        <w:ind w:firstLine="457"/>
        <w:jc w:val="left"/>
      </w:pPr>
      <w:r>
        <w:rPr>
          <w:rFonts w:hint="eastAsia" w:ascii="宋体" w:hAnsi="宋体" w:cs="宋体"/>
          <w:szCs w:val="21"/>
        </w:rPr>
        <w:t>（10）采购</w:t>
      </w:r>
      <w:r>
        <w:rPr>
          <w:rFonts w:hint="eastAsia" w:ascii="宋体" w:hAnsi="宋体" w:cs="宋体"/>
          <w:szCs w:val="21"/>
          <w:lang w:val="en-US" w:eastAsia="zh-CN"/>
        </w:rPr>
        <w:t>服务</w:t>
      </w:r>
      <w:r>
        <w:rPr>
          <w:rFonts w:hint="eastAsia" w:ascii="宋体" w:hAnsi="宋体" w:cs="宋体"/>
          <w:szCs w:val="21"/>
        </w:rPr>
        <w:t>需求点对点应答</w:t>
      </w:r>
    </w:p>
    <w:p>
      <w:pPr>
        <w:spacing w:line="360" w:lineRule="auto"/>
        <w:ind w:firstLine="457"/>
        <w:jc w:val="left"/>
        <w:rPr>
          <w:rFonts w:ascii="宋体" w:hAnsi="宋体" w:cs="宋体"/>
          <w:szCs w:val="21"/>
        </w:rPr>
      </w:pPr>
      <w:r>
        <w:rPr>
          <w:rFonts w:hint="eastAsia" w:ascii="宋体" w:hAnsi="宋体" w:cs="宋体"/>
          <w:szCs w:val="21"/>
        </w:rPr>
        <w:t>（11）技术方案的合理性与先进性；</w:t>
      </w:r>
    </w:p>
    <w:p>
      <w:pPr>
        <w:spacing w:line="360" w:lineRule="auto"/>
        <w:ind w:firstLine="457"/>
        <w:jc w:val="left"/>
        <w:rPr>
          <w:rFonts w:ascii="宋体" w:hAnsi="宋体" w:cs="宋体"/>
          <w:szCs w:val="21"/>
        </w:rPr>
      </w:pPr>
      <w:r>
        <w:rPr>
          <w:rFonts w:hint="eastAsia" w:ascii="宋体" w:hAnsi="宋体" w:cs="宋体"/>
          <w:szCs w:val="21"/>
        </w:rPr>
        <w:t>（12）项目组织实施；</w:t>
      </w:r>
    </w:p>
    <w:p>
      <w:pPr>
        <w:spacing w:line="360" w:lineRule="auto"/>
        <w:ind w:firstLine="457"/>
        <w:jc w:val="left"/>
        <w:rPr>
          <w:rFonts w:ascii="宋体" w:hAnsi="宋体" w:cs="宋体"/>
          <w:szCs w:val="21"/>
        </w:rPr>
      </w:pPr>
      <w:r>
        <w:rPr>
          <w:rFonts w:hint="eastAsia" w:ascii="宋体" w:hAnsi="宋体" w:cs="宋体"/>
          <w:szCs w:val="21"/>
        </w:rPr>
        <w:t>（13）售后服务；</w:t>
      </w:r>
    </w:p>
    <w:p>
      <w:pPr>
        <w:spacing w:line="360" w:lineRule="auto"/>
        <w:ind w:firstLine="457"/>
        <w:jc w:val="left"/>
        <w:rPr>
          <w:rFonts w:ascii="宋体" w:hAnsi="宋体" w:cs="宋体"/>
          <w:szCs w:val="21"/>
        </w:rPr>
      </w:pPr>
      <w:r>
        <w:rPr>
          <w:rFonts w:hint="eastAsia" w:ascii="宋体" w:hAnsi="宋体" w:cs="宋体"/>
          <w:szCs w:val="21"/>
        </w:rPr>
        <w:t>（14）培训服务；</w:t>
      </w:r>
    </w:p>
    <w:p>
      <w:pPr>
        <w:spacing w:line="360" w:lineRule="auto"/>
        <w:ind w:firstLine="457"/>
        <w:jc w:val="left"/>
        <w:rPr>
          <w:rFonts w:ascii="宋体" w:hAnsi="宋体" w:cs="宋体"/>
          <w:szCs w:val="21"/>
        </w:rPr>
      </w:pPr>
      <w:r>
        <w:rPr>
          <w:rFonts w:hint="eastAsia" w:ascii="宋体" w:hAnsi="宋体" w:cs="宋体"/>
          <w:szCs w:val="21"/>
        </w:rPr>
        <w:t>（15）项目组成员；</w:t>
      </w:r>
    </w:p>
    <w:p>
      <w:pPr>
        <w:spacing w:line="360" w:lineRule="auto"/>
        <w:ind w:firstLine="457"/>
        <w:jc w:val="left"/>
        <w:rPr>
          <w:rFonts w:ascii="宋体" w:hAnsi="宋体" w:cs="宋体"/>
          <w:szCs w:val="21"/>
        </w:rPr>
      </w:pPr>
      <w:r>
        <w:rPr>
          <w:rFonts w:hint="eastAsia" w:ascii="宋体" w:hAnsi="宋体" w:cs="宋体"/>
          <w:szCs w:val="21"/>
        </w:rPr>
        <w:t>（16）▲知识产权承诺；（格式见本文件第六部分）</w:t>
      </w:r>
    </w:p>
    <w:p>
      <w:pPr>
        <w:spacing w:line="360" w:lineRule="auto"/>
        <w:ind w:firstLine="457"/>
        <w:jc w:val="left"/>
        <w:rPr>
          <w:rFonts w:ascii="宋体" w:hAnsi="宋体" w:cs="宋体"/>
          <w:szCs w:val="21"/>
        </w:rPr>
      </w:pPr>
      <w:r>
        <w:rPr>
          <w:rFonts w:hint="eastAsia" w:ascii="宋体" w:hAnsi="宋体" w:cs="宋体"/>
          <w:szCs w:val="21"/>
        </w:rPr>
        <w:t>（17）供应商认为需要提供的其它文件及资料。（如有）</w:t>
      </w:r>
    </w:p>
    <w:p>
      <w:pPr>
        <w:spacing w:line="360" w:lineRule="auto"/>
        <w:ind w:firstLine="429"/>
        <w:jc w:val="left"/>
        <w:rPr>
          <w:rFonts w:ascii="宋体" w:hAnsi="宋体" w:cs="宋体"/>
          <w:b/>
          <w:bCs/>
          <w:szCs w:val="21"/>
        </w:rPr>
      </w:pPr>
      <w:r>
        <w:rPr>
          <w:rFonts w:hint="eastAsia" w:ascii="宋体" w:hAnsi="宋体" w:cs="宋体"/>
          <w:b/>
          <w:bCs/>
          <w:szCs w:val="21"/>
        </w:rPr>
        <w:t>9.3报价响应文件</w:t>
      </w:r>
    </w:p>
    <w:p>
      <w:pPr>
        <w:spacing w:line="360" w:lineRule="auto"/>
        <w:ind w:firstLine="515"/>
        <w:jc w:val="left"/>
        <w:rPr>
          <w:rFonts w:ascii="宋体" w:hAnsi="宋体" w:cs="宋体"/>
          <w:szCs w:val="21"/>
        </w:rPr>
      </w:pPr>
      <w:r>
        <w:rPr>
          <w:rFonts w:hint="eastAsia" w:ascii="宋体" w:hAnsi="宋体" w:cs="宋体"/>
          <w:szCs w:val="21"/>
        </w:rPr>
        <w:t>（1）开标一览表；</w:t>
      </w:r>
    </w:p>
    <w:p>
      <w:pPr>
        <w:spacing w:line="360" w:lineRule="auto"/>
        <w:ind w:firstLine="515"/>
        <w:jc w:val="left"/>
        <w:rPr>
          <w:rFonts w:ascii="宋体" w:hAnsi="宋体" w:cs="宋体"/>
          <w:szCs w:val="21"/>
        </w:rPr>
      </w:pPr>
      <w:r>
        <w:rPr>
          <w:rFonts w:hint="eastAsia" w:ascii="宋体" w:hAnsi="宋体" w:cs="宋体"/>
          <w:szCs w:val="21"/>
        </w:rPr>
        <w:t>（2）投标报价明细表；</w:t>
      </w:r>
    </w:p>
    <w:p>
      <w:pPr>
        <w:spacing w:line="360" w:lineRule="auto"/>
        <w:ind w:firstLine="515"/>
        <w:jc w:val="left"/>
        <w:rPr>
          <w:rFonts w:ascii="宋体" w:hAnsi="宋体" w:cs="宋体"/>
          <w:szCs w:val="21"/>
        </w:rPr>
      </w:pPr>
      <w:r>
        <w:rPr>
          <w:rFonts w:hint="eastAsia" w:ascii="宋体" w:hAnsi="宋体" w:cs="宋体"/>
          <w:szCs w:val="21"/>
        </w:rPr>
        <w:t>（3）成本测算依据；</w:t>
      </w:r>
    </w:p>
    <w:p>
      <w:pPr>
        <w:spacing w:line="360" w:lineRule="auto"/>
        <w:ind w:firstLine="515"/>
        <w:jc w:val="left"/>
        <w:rPr>
          <w:rFonts w:ascii="宋体" w:hAnsi="宋体" w:cs="宋体"/>
          <w:szCs w:val="21"/>
        </w:rPr>
      </w:pPr>
      <w:r>
        <w:rPr>
          <w:rFonts w:hint="eastAsia" w:ascii="宋体" w:hAnsi="宋体" w:cs="宋体"/>
          <w:szCs w:val="21"/>
        </w:rPr>
        <w:t>（4）缴纳采购代理服务费承诺书</w:t>
      </w:r>
    </w:p>
    <w:p>
      <w:pPr>
        <w:spacing w:line="360" w:lineRule="auto"/>
        <w:ind w:firstLine="515"/>
        <w:jc w:val="left"/>
        <w:rPr>
          <w:rFonts w:ascii="宋体" w:hAnsi="宋体" w:cs="宋体"/>
          <w:szCs w:val="21"/>
        </w:rPr>
      </w:pPr>
      <w:r>
        <w:rPr>
          <w:rFonts w:hint="eastAsia" w:ascii="宋体" w:hAnsi="宋体" w:cs="宋体"/>
          <w:szCs w:val="21"/>
        </w:rPr>
        <w:t>（5）中小企业声明函及其相关的充分的证明材料；</w:t>
      </w:r>
    </w:p>
    <w:p>
      <w:pPr>
        <w:spacing w:line="360" w:lineRule="auto"/>
        <w:ind w:firstLine="515"/>
        <w:jc w:val="left"/>
        <w:rPr>
          <w:rFonts w:ascii="宋体" w:hAnsi="宋体" w:cs="宋体"/>
          <w:szCs w:val="21"/>
        </w:rPr>
      </w:pPr>
      <w:r>
        <w:rPr>
          <w:rFonts w:hint="eastAsia" w:ascii="宋体" w:hAnsi="宋体" w:cs="宋体"/>
          <w:szCs w:val="21"/>
        </w:rPr>
        <w:t>（6）供应商认为针对报价需要说明的其他文件及资料。</w:t>
      </w:r>
    </w:p>
    <w:p>
      <w:pPr>
        <w:spacing w:line="360" w:lineRule="auto"/>
        <w:ind w:firstLine="429"/>
        <w:jc w:val="left"/>
        <w:rPr>
          <w:rFonts w:ascii="宋体" w:hAnsi="宋体" w:cs="宋体"/>
          <w:b/>
          <w:bCs/>
          <w:szCs w:val="21"/>
        </w:rPr>
      </w:pPr>
      <w:r>
        <w:rPr>
          <w:rFonts w:hint="eastAsia" w:ascii="宋体" w:hAnsi="宋体" w:cs="宋体"/>
          <w:b/>
          <w:bCs/>
          <w:szCs w:val="21"/>
        </w:rPr>
        <w:t>9.4现场演示</w:t>
      </w:r>
    </w:p>
    <w:p>
      <w:pPr>
        <w:spacing w:line="360" w:lineRule="auto"/>
        <w:ind w:firstLine="515"/>
        <w:jc w:val="left"/>
        <w:rPr>
          <w:rFonts w:ascii="宋体" w:hAnsi="宋体" w:cs="宋体"/>
          <w:b/>
          <w:bCs/>
          <w:szCs w:val="21"/>
        </w:rPr>
      </w:pPr>
      <w:r>
        <w:rPr>
          <w:rFonts w:hint="eastAsia" w:ascii="宋体" w:hAnsi="宋体" w:cs="宋体"/>
          <w:b/>
          <w:bCs/>
          <w:szCs w:val="21"/>
        </w:rPr>
        <w:t>本项目设置有现场演示环节，详见前附表。</w:t>
      </w:r>
    </w:p>
    <w:p>
      <w:pPr>
        <w:spacing w:line="360" w:lineRule="auto"/>
        <w:ind w:firstLine="515"/>
        <w:jc w:val="left"/>
        <w:rPr>
          <w:rFonts w:ascii="宋体" w:hAnsi="宋体" w:cs="宋体"/>
          <w:szCs w:val="21"/>
        </w:rPr>
      </w:pPr>
      <w:r>
        <w:rPr>
          <w:rFonts w:hint="eastAsia" w:ascii="宋体" w:hAnsi="宋体" w:cs="宋体"/>
          <w:szCs w:val="21"/>
        </w:rPr>
        <w:t>9.5以上内容按照采购文件第六部分附件所附格式填写。没有提供格式的，供应商根据实际情况自行设计并编制。</w:t>
      </w:r>
    </w:p>
    <w:p>
      <w:pPr>
        <w:spacing w:line="360" w:lineRule="auto"/>
        <w:ind w:firstLine="515"/>
        <w:jc w:val="left"/>
        <w:rPr>
          <w:rFonts w:ascii="宋体" w:hAnsi="宋体" w:cs="宋体"/>
          <w:szCs w:val="21"/>
        </w:rPr>
      </w:pPr>
      <w:r>
        <w:rPr>
          <w:rFonts w:hint="eastAsia" w:ascii="宋体" w:hAnsi="宋体" w:cs="宋体"/>
          <w:szCs w:val="21"/>
        </w:rPr>
        <w:t>9.6因本项目分两阶段开标，资格响应文件、商务技术响应文件中不得出现本项目投标报价，如因供应商原因提前泄露投标报价的，是供应商自身的责任。</w:t>
      </w:r>
    </w:p>
    <w:p>
      <w:pPr>
        <w:spacing w:line="360" w:lineRule="auto"/>
        <w:ind w:firstLine="515"/>
        <w:jc w:val="left"/>
        <w:rPr>
          <w:rFonts w:ascii="宋体" w:hAnsi="宋体" w:cs="宋体"/>
          <w:szCs w:val="21"/>
        </w:rPr>
      </w:pPr>
      <w:r>
        <w:rPr>
          <w:rFonts w:hint="eastAsia" w:ascii="宋体" w:hAnsi="宋体" w:cs="宋体"/>
          <w:szCs w:val="21"/>
        </w:rPr>
        <w:t>10．投标函</w:t>
      </w:r>
    </w:p>
    <w:p>
      <w:pPr>
        <w:spacing w:line="360" w:lineRule="auto"/>
        <w:ind w:firstLine="515"/>
        <w:jc w:val="left"/>
        <w:rPr>
          <w:rFonts w:ascii="宋体" w:hAnsi="宋体" w:cs="宋体"/>
          <w:szCs w:val="21"/>
        </w:rPr>
      </w:pPr>
      <w:r>
        <w:rPr>
          <w:rFonts w:hint="eastAsia" w:ascii="宋体" w:hAnsi="宋体" w:cs="宋体"/>
          <w:szCs w:val="21"/>
        </w:rPr>
        <w:t>10.1供应商应完整地填写采购文件中提供的投标函和投标相关附件。</w:t>
      </w:r>
    </w:p>
    <w:p>
      <w:pPr>
        <w:spacing w:line="360" w:lineRule="auto"/>
        <w:ind w:firstLine="515"/>
        <w:jc w:val="left"/>
        <w:rPr>
          <w:rFonts w:ascii="宋体" w:hAnsi="宋体" w:cs="宋体"/>
          <w:szCs w:val="21"/>
        </w:rPr>
      </w:pPr>
      <w:r>
        <w:rPr>
          <w:rFonts w:hint="eastAsia" w:ascii="宋体" w:hAnsi="宋体" w:cs="宋体"/>
          <w:szCs w:val="21"/>
        </w:rPr>
        <w:t>10.2投标文件应当对采购文件中有关投标有效期、采购需求等内容作出响应。供应商在满足采购文件要求的基础上，可以提出比采购文件要求更有利于采购人的承诺。</w:t>
      </w:r>
    </w:p>
    <w:p>
      <w:pPr>
        <w:spacing w:line="360" w:lineRule="auto"/>
        <w:ind w:firstLine="515"/>
        <w:jc w:val="left"/>
        <w:rPr>
          <w:rFonts w:ascii="宋体" w:hAnsi="宋体" w:cs="宋体"/>
          <w:szCs w:val="21"/>
        </w:rPr>
      </w:pPr>
      <w:r>
        <w:rPr>
          <w:rFonts w:hint="eastAsia" w:ascii="宋体" w:hAnsi="宋体" w:cs="宋体"/>
          <w:szCs w:val="21"/>
        </w:rPr>
        <w:t>11．投标报价</w:t>
      </w:r>
    </w:p>
    <w:p>
      <w:pPr>
        <w:spacing w:line="360" w:lineRule="auto"/>
        <w:ind w:firstLine="515"/>
        <w:jc w:val="left"/>
        <w:rPr>
          <w:rFonts w:ascii="宋体" w:hAnsi="宋体" w:cs="宋体"/>
          <w:szCs w:val="21"/>
        </w:rPr>
      </w:pPr>
      <w:r>
        <w:rPr>
          <w:rFonts w:hint="eastAsia" w:ascii="宋体" w:hAnsi="宋体" w:cs="宋体"/>
          <w:szCs w:val="21"/>
        </w:rPr>
        <w:t>11.1供应商应按采购文件中规定填写报价相关表单；</w:t>
      </w:r>
    </w:p>
    <w:p>
      <w:pPr>
        <w:spacing w:line="360" w:lineRule="auto"/>
        <w:ind w:firstLine="515"/>
        <w:jc w:val="left"/>
        <w:rPr>
          <w:rFonts w:ascii="宋体" w:hAnsi="宋体" w:cs="宋体"/>
          <w:szCs w:val="21"/>
        </w:rPr>
      </w:pPr>
      <w:r>
        <w:rPr>
          <w:rFonts w:hint="eastAsia" w:ascii="宋体" w:hAnsi="宋体" w:cs="宋体"/>
          <w:szCs w:val="21"/>
        </w:rPr>
        <w:t>11.2本次报价方式为总价包干（含税价），须包含中标后按照采购文件要求和合同约定为本项目提供所必需的一切费用及税金、保险和利润等，投标人在报价中还应充分考虑所有可能发生的费用和风险等。</w:t>
      </w:r>
    </w:p>
    <w:p>
      <w:pPr>
        <w:spacing w:line="360" w:lineRule="auto"/>
        <w:ind w:firstLine="515"/>
        <w:jc w:val="left"/>
        <w:rPr>
          <w:rFonts w:ascii="宋体" w:hAnsi="宋体" w:cs="宋体"/>
          <w:szCs w:val="21"/>
        </w:rPr>
      </w:pPr>
      <w:r>
        <w:rPr>
          <w:rFonts w:hint="eastAsia" w:ascii="宋体" w:hAnsi="宋体" w:cs="宋体"/>
          <w:szCs w:val="21"/>
        </w:rPr>
        <w:t>11.3本项目采购代理服务费由中标人向采购代理机构支付，相关成本支出由供应商自行考虑。采购代理服务费计取标准见前附表。</w:t>
      </w:r>
    </w:p>
    <w:p>
      <w:pPr>
        <w:spacing w:line="360" w:lineRule="auto"/>
        <w:ind w:firstLine="515"/>
        <w:jc w:val="left"/>
        <w:rPr>
          <w:rFonts w:ascii="宋体" w:hAnsi="宋体" w:cs="宋体"/>
          <w:szCs w:val="21"/>
        </w:rPr>
      </w:pPr>
      <w:r>
        <w:rPr>
          <w:rFonts w:hint="eastAsia" w:ascii="宋体" w:hAnsi="宋体" w:cs="宋体"/>
          <w:szCs w:val="21"/>
        </w:rPr>
        <w:t>11.4本项目只允许一次报价，不允许以开标后调整的报价作为评标的依据（但按本采购文件投标须知投标文件错误的修正并经评标委员会认定或经供应商确认同意的除外）。</w:t>
      </w:r>
    </w:p>
    <w:p>
      <w:pPr>
        <w:spacing w:line="360" w:lineRule="auto"/>
        <w:ind w:firstLine="515"/>
        <w:jc w:val="left"/>
        <w:rPr>
          <w:rFonts w:ascii="宋体" w:hAnsi="宋体" w:cs="宋体"/>
          <w:szCs w:val="21"/>
        </w:rPr>
      </w:pPr>
      <w:r>
        <w:rPr>
          <w:rFonts w:hint="eastAsia" w:ascii="宋体" w:hAnsi="宋体" w:cs="宋体"/>
          <w:szCs w:val="21"/>
        </w:rPr>
        <w:t>12．投标货币</w:t>
      </w:r>
    </w:p>
    <w:p>
      <w:pPr>
        <w:spacing w:line="360" w:lineRule="auto"/>
        <w:ind w:firstLine="428"/>
        <w:jc w:val="left"/>
        <w:rPr>
          <w:rFonts w:ascii="宋体" w:hAnsi="宋体" w:cs="宋体"/>
          <w:szCs w:val="21"/>
        </w:rPr>
      </w:pPr>
      <w:r>
        <w:rPr>
          <w:rFonts w:hint="eastAsia" w:ascii="宋体" w:hAnsi="宋体" w:cs="宋体"/>
          <w:szCs w:val="21"/>
        </w:rPr>
        <w:t>供应商用人民币报价。</w:t>
      </w:r>
    </w:p>
    <w:p>
      <w:pPr>
        <w:spacing w:line="360" w:lineRule="auto"/>
        <w:ind w:firstLine="444"/>
        <w:jc w:val="left"/>
        <w:rPr>
          <w:rFonts w:ascii="宋体" w:hAnsi="宋体" w:cs="宋体"/>
          <w:szCs w:val="21"/>
        </w:rPr>
      </w:pPr>
      <w:r>
        <w:rPr>
          <w:rFonts w:hint="eastAsia" w:ascii="宋体" w:hAnsi="宋体" w:cs="宋体"/>
          <w:szCs w:val="21"/>
        </w:rPr>
        <w:t>13．投标保证金</w:t>
      </w:r>
    </w:p>
    <w:p>
      <w:pPr>
        <w:spacing w:line="360" w:lineRule="auto"/>
        <w:ind w:firstLine="422"/>
        <w:jc w:val="left"/>
        <w:rPr>
          <w:rFonts w:ascii="宋体" w:hAnsi="宋体" w:cs="宋体"/>
          <w:szCs w:val="21"/>
        </w:rPr>
      </w:pPr>
      <w:r>
        <w:rPr>
          <w:rFonts w:hint="eastAsia" w:ascii="宋体" w:hAnsi="宋体" w:cs="宋体"/>
          <w:szCs w:val="21"/>
        </w:rPr>
        <w:t>13.1本项目不收取投标保证金。但违反政府采购相关规定给采购人造成损失的，供应商应当承担赔偿责任。</w:t>
      </w:r>
    </w:p>
    <w:p>
      <w:pPr>
        <w:spacing w:line="360" w:lineRule="auto"/>
        <w:ind w:firstLine="444"/>
        <w:jc w:val="left"/>
        <w:rPr>
          <w:rFonts w:ascii="宋体" w:hAnsi="宋体" w:cs="宋体"/>
          <w:szCs w:val="21"/>
        </w:rPr>
      </w:pPr>
      <w:r>
        <w:rPr>
          <w:rFonts w:hint="eastAsia" w:ascii="宋体" w:hAnsi="宋体" w:cs="宋体"/>
          <w:szCs w:val="21"/>
        </w:rPr>
        <w:t>14．投标有效期</w:t>
      </w:r>
    </w:p>
    <w:p>
      <w:pPr>
        <w:spacing w:line="360" w:lineRule="auto"/>
        <w:ind w:firstLine="444"/>
        <w:jc w:val="left"/>
        <w:rPr>
          <w:rFonts w:ascii="宋体" w:hAnsi="宋体" w:cs="宋体"/>
          <w:szCs w:val="21"/>
        </w:rPr>
      </w:pPr>
      <w:r>
        <w:rPr>
          <w:rFonts w:hint="eastAsia" w:ascii="宋体" w:hAnsi="宋体" w:cs="宋体"/>
          <w:szCs w:val="21"/>
        </w:rPr>
        <w:t>14.1投标文件在提交投标文件的截止之日起90个日历天内有效。</w:t>
      </w:r>
    </w:p>
    <w:p>
      <w:pPr>
        <w:spacing w:line="360" w:lineRule="auto"/>
        <w:ind w:firstLine="444"/>
        <w:jc w:val="left"/>
        <w:rPr>
          <w:rFonts w:ascii="宋体" w:hAnsi="宋体" w:cs="宋体"/>
          <w:szCs w:val="21"/>
        </w:rPr>
      </w:pPr>
      <w:r>
        <w:rPr>
          <w:rFonts w:hint="eastAsia" w:ascii="宋体" w:hAnsi="宋体" w:cs="宋体"/>
          <w:szCs w:val="21"/>
        </w:rPr>
        <w:t>14.2在原定投标有效期满之前，如果出现特殊情况，采购人可以以书面形式向供应商提出延长投标有效期的要求。这种要求与答复均应采用书面形式如传真或信件等。供应商可以拒绝接受采购人的这种要求而放弃投标。接受延长投标有效期的供应商将不会被要求和允许修正其投标。</w:t>
      </w:r>
    </w:p>
    <w:p>
      <w:pPr>
        <w:spacing w:line="360" w:lineRule="auto"/>
        <w:ind w:firstLine="444"/>
        <w:jc w:val="left"/>
        <w:rPr>
          <w:rFonts w:ascii="宋体" w:hAnsi="宋体" w:cs="宋体"/>
          <w:szCs w:val="21"/>
        </w:rPr>
      </w:pPr>
      <w:r>
        <w:rPr>
          <w:rFonts w:hint="eastAsia" w:ascii="宋体" w:hAnsi="宋体" w:cs="宋体"/>
          <w:szCs w:val="21"/>
        </w:rPr>
        <w:t>14.3中标人的投标文件自开标之日起至合同履行完毕止均应保持有效。</w:t>
      </w:r>
    </w:p>
    <w:p>
      <w:pPr>
        <w:spacing w:line="360" w:lineRule="auto"/>
        <w:ind w:firstLine="444"/>
        <w:jc w:val="left"/>
        <w:rPr>
          <w:rFonts w:ascii="宋体" w:hAnsi="宋体" w:cs="宋体"/>
          <w:szCs w:val="21"/>
        </w:rPr>
      </w:pPr>
      <w:r>
        <w:rPr>
          <w:rFonts w:hint="eastAsia" w:ascii="宋体" w:hAnsi="宋体" w:cs="宋体"/>
          <w:szCs w:val="21"/>
        </w:rPr>
        <w:t>15．投标文件的式样</w:t>
      </w:r>
    </w:p>
    <w:p>
      <w:pPr>
        <w:spacing w:line="360" w:lineRule="auto"/>
        <w:ind w:firstLine="432"/>
        <w:jc w:val="left"/>
        <w:rPr>
          <w:rFonts w:ascii="宋体" w:hAnsi="宋体" w:cs="宋体"/>
          <w:szCs w:val="21"/>
        </w:rPr>
      </w:pPr>
      <w:r>
        <w:rPr>
          <w:rFonts w:hint="eastAsia" w:ascii="宋体" w:hAnsi="宋体" w:cs="宋体"/>
          <w:szCs w:val="21"/>
        </w:rPr>
        <w:t>15.1供应商通过“政采云”平台制作电子投标文件，投标文件制作详见“供应商-政府采购项目电子交易操作指南”。</w:t>
      </w:r>
    </w:p>
    <w:p>
      <w:pPr>
        <w:spacing w:line="360" w:lineRule="auto"/>
        <w:ind w:firstLine="433"/>
        <w:jc w:val="left"/>
        <w:rPr>
          <w:rFonts w:ascii="宋体" w:hAnsi="宋体" w:cs="宋体"/>
          <w:szCs w:val="21"/>
        </w:rPr>
      </w:pPr>
      <w:r>
        <w:rPr>
          <w:rFonts w:hint="eastAsia" w:ascii="宋体" w:hAnsi="宋体" w:cs="宋体"/>
          <w:szCs w:val="21"/>
        </w:rPr>
        <w:t>15.2投标文件是电子投标文件，包括“电子加密投标文件”和“备份投标文件”，在投标文件编制完成后同时生成。</w:t>
      </w:r>
    </w:p>
    <w:p>
      <w:pPr>
        <w:spacing w:line="360" w:lineRule="auto"/>
        <w:ind w:firstLine="539"/>
        <w:jc w:val="left"/>
        <w:rPr>
          <w:rFonts w:ascii="宋体" w:hAnsi="宋体" w:cs="宋体"/>
          <w:szCs w:val="21"/>
        </w:rPr>
      </w:pPr>
      <w:r>
        <w:rPr>
          <w:rFonts w:hint="eastAsia" w:ascii="宋体" w:hAnsi="宋体" w:cs="宋体"/>
          <w:szCs w:val="21"/>
        </w:rPr>
        <w:t>（1）“电子加密投标文件”是指通过“政采云电子交易客户端”完成投标文件编制后生成并加密的数据电文形式的投标文件。</w:t>
      </w:r>
    </w:p>
    <w:p>
      <w:pPr>
        <w:spacing w:line="360" w:lineRule="auto"/>
        <w:ind w:firstLine="530"/>
        <w:jc w:val="left"/>
        <w:rPr>
          <w:rFonts w:ascii="宋体" w:hAnsi="宋体" w:cs="宋体"/>
          <w:szCs w:val="21"/>
        </w:rPr>
      </w:pPr>
      <w:r>
        <w:rPr>
          <w:rFonts w:hint="eastAsia" w:ascii="宋体" w:hAnsi="宋体" w:cs="宋体"/>
          <w:szCs w:val="21"/>
        </w:rPr>
        <w:t>（2）“备份投标文件”是指与“电子加密投标文件”同时生成的数据电文形式的电子文件（备份标书，用于供应商标书解密异常时应急使用），其他方式编制的备份投标文件视为无效备份投标文件。</w:t>
      </w:r>
    </w:p>
    <w:p>
      <w:pPr>
        <w:spacing w:line="360" w:lineRule="auto"/>
        <w:ind w:firstLine="539"/>
        <w:jc w:val="left"/>
        <w:rPr>
          <w:rFonts w:ascii="宋体" w:hAnsi="宋体" w:cs="宋体"/>
          <w:szCs w:val="21"/>
        </w:rPr>
      </w:pPr>
      <w:r>
        <w:rPr>
          <w:rFonts w:hint="eastAsia" w:ascii="宋体" w:hAnsi="宋体" w:cs="宋体"/>
          <w:szCs w:val="21"/>
        </w:rPr>
        <w:t>（3）一份电子加密标书（后缀格式为.jmbs），一份备份标书文件（后缀格式为.bfbs）</w:t>
      </w:r>
    </w:p>
    <w:p>
      <w:pPr>
        <w:spacing w:line="360" w:lineRule="auto"/>
        <w:ind w:firstLine="527"/>
        <w:jc w:val="left"/>
        <w:rPr>
          <w:rFonts w:ascii="宋体" w:hAnsi="宋体" w:cs="宋体"/>
          <w:szCs w:val="21"/>
        </w:rPr>
      </w:pPr>
      <w:r>
        <w:rPr>
          <w:rFonts w:hint="eastAsia" w:ascii="宋体" w:hAnsi="宋体" w:cs="宋体"/>
          <w:szCs w:val="21"/>
        </w:rPr>
        <w:t>（4）每份电子投标文件应包括资格响应文件、商务技术响应文件、报价响应文件三部分内容。</w:t>
      </w:r>
    </w:p>
    <w:p>
      <w:pPr>
        <w:spacing w:line="360" w:lineRule="auto"/>
        <w:ind w:firstLine="434"/>
        <w:jc w:val="left"/>
        <w:rPr>
          <w:rFonts w:ascii="宋体" w:hAnsi="宋体" w:cs="宋体"/>
          <w:szCs w:val="21"/>
        </w:rPr>
      </w:pPr>
      <w:r>
        <w:rPr>
          <w:rFonts w:hint="eastAsia" w:ascii="宋体" w:hAnsi="宋体" w:cs="宋体"/>
          <w:szCs w:val="21"/>
        </w:rPr>
        <w:t>15.3投标文件中投标函、法定代表人资格证明书及授权委托函的格式、签字、盖章及内容均应符合采购文件格式要求，否则投标文件无效。</w:t>
      </w:r>
    </w:p>
    <w:p>
      <w:pPr>
        <w:spacing w:line="360" w:lineRule="auto"/>
        <w:ind w:firstLine="411"/>
        <w:jc w:val="left"/>
        <w:rPr>
          <w:rFonts w:ascii="宋体" w:hAnsi="宋体" w:cs="宋体"/>
          <w:szCs w:val="21"/>
        </w:rPr>
      </w:pPr>
      <w:r>
        <w:rPr>
          <w:rFonts w:hint="eastAsia" w:ascii="宋体" w:hAnsi="宋体" w:cs="宋体"/>
          <w:szCs w:val="21"/>
        </w:rPr>
        <w:t>15.4供应商应根据“政采云供应商项目采购-电子招投标操作指南”及本招标文件规定编制电子投标文件并进行关联定位，以便评标委员会在评标时，点击评分项，可直接定位到该评分项内容。</w:t>
      </w:r>
    </w:p>
    <w:p>
      <w:pPr>
        <w:spacing w:line="360" w:lineRule="auto"/>
        <w:ind w:firstLine="423"/>
        <w:jc w:val="left"/>
        <w:rPr>
          <w:rFonts w:ascii="宋体" w:hAnsi="宋体" w:cs="宋体"/>
          <w:szCs w:val="21"/>
        </w:rPr>
      </w:pPr>
      <w:r>
        <w:rPr>
          <w:rFonts w:hint="eastAsia" w:ascii="宋体" w:hAnsi="宋体" w:cs="宋体"/>
          <w:szCs w:val="21"/>
        </w:rPr>
        <w:t>如对招标文件的某项要求，供应商的投标响应文件未能提供相应的内容与其对应，则评标委员会在评审时会提示供应商未对此项招标要求提供相应内容。由此产生的评分影响由供应商自行承担。</w:t>
      </w:r>
    </w:p>
    <w:p>
      <w:pPr>
        <w:spacing w:line="360" w:lineRule="auto"/>
        <w:ind w:firstLine="420"/>
        <w:jc w:val="left"/>
        <w:rPr>
          <w:rFonts w:ascii="宋体" w:hAnsi="宋体" w:cs="宋体"/>
          <w:szCs w:val="21"/>
        </w:rPr>
      </w:pPr>
      <w:r>
        <w:rPr>
          <w:rFonts w:hint="eastAsia" w:ascii="宋体" w:hAnsi="宋体" w:cs="宋体"/>
          <w:szCs w:val="21"/>
        </w:rPr>
        <w:t>投标文件内容不完整、编排混乱导致投标文件被误读、漏读，或者在按采购文件规定的部分查找不到相关内容的，是供应商的责任。</w:t>
      </w:r>
    </w:p>
    <w:p>
      <w:pPr>
        <w:spacing w:line="360" w:lineRule="auto"/>
        <w:ind w:firstLine="28"/>
        <w:jc w:val="left"/>
        <w:outlineLvl w:val="1"/>
        <w:rPr>
          <w:rFonts w:ascii="宋体" w:hAnsi="宋体" w:cs="宋体"/>
          <w:szCs w:val="21"/>
        </w:rPr>
      </w:pPr>
      <w:r>
        <w:rPr>
          <w:rFonts w:hint="eastAsia" w:ascii="宋体" w:hAnsi="宋体" w:cs="宋体"/>
          <w:szCs w:val="21"/>
        </w:rPr>
        <w:t>四、投标文件的递交</w:t>
      </w:r>
    </w:p>
    <w:p>
      <w:pPr>
        <w:spacing w:line="360" w:lineRule="auto"/>
        <w:ind w:firstLine="444"/>
        <w:jc w:val="left"/>
        <w:rPr>
          <w:rFonts w:ascii="宋体" w:hAnsi="宋体" w:cs="宋体"/>
          <w:szCs w:val="21"/>
        </w:rPr>
      </w:pPr>
      <w:r>
        <w:rPr>
          <w:rFonts w:hint="eastAsia" w:ascii="宋体" w:hAnsi="宋体" w:cs="宋体"/>
          <w:szCs w:val="21"/>
        </w:rPr>
        <w:t>16．投标文件的递交</w:t>
      </w:r>
    </w:p>
    <w:p>
      <w:pPr>
        <w:spacing w:line="360" w:lineRule="auto"/>
        <w:ind w:firstLine="423"/>
        <w:jc w:val="left"/>
        <w:rPr>
          <w:rFonts w:ascii="宋体" w:hAnsi="宋体" w:cs="宋体"/>
          <w:szCs w:val="21"/>
        </w:rPr>
      </w:pPr>
      <w:r>
        <w:rPr>
          <w:rFonts w:hint="eastAsia" w:ascii="宋体" w:hAnsi="宋体" w:cs="宋体"/>
          <w:szCs w:val="21"/>
        </w:rPr>
        <w:t>16.1电子加密投标文件：投标文件制作完成并生成加密标书，在投标截止时间前，供应商需将加密的投标文件上传至政采云平台，到达开标时间后，解密投标文件。</w:t>
      </w:r>
    </w:p>
    <w:p>
      <w:pPr>
        <w:spacing w:line="360" w:lineRule="auto"/>
        <w:ind w:firstLine="4"/>
        <w:jc w:val="left"/>
        <w:rPr>
          <w:rFonts w:ascii="宋体" w:hAnsi="宋体" w:cs="宋体"/>
          <w:szCs w:val="21"/>
        </w:rPr>
      </w:pPr>
      <w:r>
        <w:rPr>
          <w:rFonts w:hint="eastAsia" w:ascii="宋体" w:hAnsi="宋体" w:cs="宋体"/>
          <w:szCs w:val="21"/>
        </w:rPr>
        <w:t>a.供应商未能在投标截止时间前成功上传电子加密投标文件的投标无效。b.供应商成功上传电子加密投标文件后，可自行打印投标文件接收回执。</w:t>
      </w:r>
    </w:p>
    <w:p>
      <w:pPr>
        <w:spacing w:line="360" w:lineRule="auto"/>
        <w:ind w:firstLine="437"/>
        <w:jc w:val="left"/>
        <w:rPr>
          <w:rFonts w:ascii="宋体" w:hAnsi="宋体" w:cs="宋体"/>
          <w:szCs w:val="21"/>
        </w:rPr>
      </w:pPr>
      <w:r>
        <w:rPr>
          <w:rFonts w:hint="eastAsia" w:ascii="宋体" w:hAnsi="宋体" w:cs="宋体"/>
          <w:szCs w:val="21"/>
        </w:rPr>
        <w:t>16.2备份投标文件：供应商确保在投标截止时间前，将备份投标文件通过快递形式寄达采购代理机构处，以便标书解密异常时应急使用。</w:t>
      </w:r>
    </w:p>
    <w:p>
      <w:pPr>
        <w:spacing w:line="360" w:lineRule="auto"/>
        <w:ind w:firstLine="421"/>
        <w:jc w:val="left"/>
        <w:rPr>
          <w:rFonts w:ascii="宋体" w:hAnsi="宋体" w:cs="宋体"/>
          <w:szCs w:val="21"/>
        </w:rPr>
      </w:pPr>
      <w:r>
        <w:rPr>
          <w:rFonts w:hint="eastAsia" w:ascii="宋体" w:hAnsi="宋体" w:cs="宋体"/>
          <w:szCs w:val="21"/>
        </w:rPr>
        <w:t>a.备份投标文件递交要求：供应商须将备份投标文件以光盘或U盘形式放在密封袋中，密封后并在密封袋上注明投标项目名称、投标单位名称并加盖公章。未密封包装或者逾期邮寄送达的“备份投标文件”将不予接收。</w:t>
      </w:r>
    </w:p>
    <w:p>
      <w:pPr>
        <w:spacing w:line="360" w:lineRule="auto"/>
        <w:ind w:firstLine="425"/>
        <w:jc w:val="left"/>
        <w:rPr>
          <w:rFonts w:ascii="宋体" w:hAnsi="宋体" w:cs="宋体"/>
          <w:szCs w:val="21"/>
        </w:rPr>
      </w:pPr>
      <w:r>
        <w:rPr>
          <w:rFonts w:hint="eastAsia" w:ascii="宋体" w:hAnsi="宋体" w:cs="宋体"/>
          <w:szCs w:val="21"/>
        </w:rPr>
        <w:t>b.供应商仅提交备份投标文件的，投标无效。</w:t>
      </w:r>
    </w:p>
    <w:p>
      <w:pPr>
        <w:spacing w:line="360" w:lineRule="auto"/>
        <w:ind w:firstLine="444"/>
        <w:jc w:val="left"/>
        <w:rPr>
          <w:rFonts w:ascii="宋体" w:hAnsi="宋体" w:cs="宋体"/>
          <w:szCs w:val="21"/>
        </w:rPr>
      </w:pPr>
      <w:r>
        <w:rPr>
          <w:rFonts w:hint="eastAsia" w:ascii="宋体" w:hAnsi="宋体" w:cs="宋体"/>
          <w:szCs w:val="21"/>
        </w:rPr>
        <w:t>17．投标截止期</w:t>
      </w:r>
    </w:p>
    <w:p>
      <w:pPr>
        <w:spacing w:line="360" w:lineRule="auto"/>
        <w:ind w:firstLine="444"/>
        <w:jc w:val="left"/>
        <w:rPr>
          <w:rFonts w:ascii="宋体" w:hAnsi="宋体" w:cs="宋体"/>
          <w:szCs w:val="21"/>
        </w:rPr>
      </w:pPr>
      <w:r>
        <w:rPr>
          <w:rFonts w:hint="eastAsia" w:ascii="宋体" w:hAnsi="宋体" w:cs="宋体"/>
          <w:szCs w:val="21"/>
        </w:rPr>
        <w:t>17.1供应商应按前附表规定的日期、时间和方式上传、递交投标文件。</w:t>
      </w:r>
    </w:p>
    <w:p>
      <w:pPr>
        <w:spacing w:line="360" w:lineRule="auto"/>
        <w:ind w:firstLine="433"/>
        <w:jc w:val="left"/>
        <w:rPr>
          <w:rFonts w:ascii="宋体" w:hAnsi="宋体" w:cs="宋体"/>
          <w:szCs w:val="21"/>
        </w:rPr>
      </w:pPr>
      <w:r>
        <w:rPr>
          <w:rFonts w:hint="eastAsia" w:ascii="宋体" w:hAnsi="宋体" w:cs="宋体"/>
          <w:szCs w:val="21"/>
        </w:rPr>
        <w:t>17.2采购人可以按本须知第7条规定，通过修改采购文件适当延长投标截止日期。在此情况下，采购人与供应商受投标截止期制约的所有权利和义务均应延长至新的截止期。</w:t>
      </w:r>
    </w:p>
    <w:p>
      <w:pPr>
        <w:spacing w:line="360" w:lineRule="auto"/>
        <w:ind w:firstLine="444"/>
        <w:jc w:val="left"/>
        <w:rPr>
          <w:rFonts w:ascii="宋体" w:hAnsi="宋体" w:cs="宋体"/>
          <w:szCs w:val="21"/>
        </w:rPr>
      </w:pPr>
      <w:r>
        <w:rPr>
          <w:rFonts w:hint="eastAsia" w:ascii="宋体" w:hAnsi="宋体" w:cs="宋体"/>
          <w:szCs w:val="21"/>
        </w:rPr>
        <w:t>18．迟交的投标文件</w:t>
      </w:r>
    </w:p>
    <w:p>
      <w:pPr>
        <w:spacing w:line="360" w:lineRule="auto"/>
        <w:ind w:firstLine="444"/>
        <w:jc w:val="left"/>
        <w:rPr>
          <w:rFonts w:ascii="宋体" w:hAnsi="宋体" w:cs="宋体"/>
          <w:szCs w:val="21"/>
        </w:rPr>
      </w:pPr>
      <w:r>
        <w:rPr>
          <w:rFonts w:hint="eastAsia" w:ascii="宋体" w:hAnsi="宋体" w:cs="宋体"/>
          <w:szCs w:val="21"/>
        </w:rPr>
        <w:t>在本须知第17条规定的截止期后收到的任何投标文件，采购人将不予接收。</w:t>
      </w:r>
    </w:p>
    <w:p>
      <w:pPr>
        <w:spacing w:line="360" w:lineRule="auto"/>
        <w:ind w:firstLine="444"/>
        <w:jc w:val="left"/>
        <w:rPr>
          <w:rFonts w:ascii="宋体" w:hAnsi="宋体" w:cs="宋体"/>
          <w:szCs w:val="21"/>
        </w:rPr>
      </w:pPr>
      <w:r>
        <w:rPr>
          <w:rFonts w:hint="eastAsia" w:ascii="宋体" w:hAnsi="宋体" w:cs="宋体"/>
          <w:szCs w:val="21"/>
        </w:rPr>
        <w:t>19．投标文件的修改与撤回</w:t>
      </w:r>
    </w:p>
    <w:p>
      <w:pPr>
        <w:spacing w:line="360" w:lineRule="auto"/>
        <w:ind w:firstLine="432"/>
        <w:jc w:val="left"/>
        <w:rPr>
          <w:rFonts w:ascii="宋体" w:hAnsi="宋体" w:cs="宋体"/>
          <w:szCs w:val="21"/>
        </w:rPr>
      </w:pPr>
      <w:r>
        <w:rPr>
          <w:rFonts w:hint="eastAsia" w:ascii="宋体" w:hAnsi="宋体" w:cs="宋体"/>
          <w:szCs w:val="21"/>
        </w:rPr>
        <w:t>19.1供应商在递交投标文件后，在规定的投标截止时间前，可以补充、修改或者撤回电子交易文件。补充或者修改电子交易文件的，应当先行撤回原文件，补充、修改后重新传输递交。投标截止时间前未完成传输的，视为投标文件撤回，投标无效。</w:t>
      </w:r>
    </w:p>
    <w:p>
      <w:pPr>
        <w:spacing w:line="360" w:lineRule="auto"/>
        <w:ind w:firstLine="444"/>
        <w:jc w:val="left"/>
        <w:rPr>
          <w:rFonts w:ascii="宋体" w:hAnsi="宋体" w:cs="宋体"/>
          <w:szCs w:val="21"/>
        </w:rPr>
      </w:pPr>
      <w:r>
        <w:rPr>
          <w:rFonts w:hint="eastAsia" w:ascii="宋体" w:hAnsi="宋体" w:cs="宋体"/>
          <w:szCs w:val="21"/>
        </w:rPr>
        <w:t>19.2在投标截止期之后，供应商不得对其投标作任何修改。</w:t>
      </w:r>
    </w:p>
    <w:p>
      <w:pPr>
        <w:spacing w:line="360" w:lineRule="auto"/>
        <w:ind w:firstLine="434"/>
        <w:jc w:val="left"/>
        <w:rPr>
          <w:rFonts w:ascii="宋体" w:hAnsi="宋体" w:cs="宋体"/>
          <w:szCs w:val="21"/>
        </w:rPr>
      </w:pPr>
      <w:r>
        <w:rPr>
          <w:rFonts w:hint="eastAsia" w:ascii="宋体" w:hAnsi="宋体" w:cs="宋体"/>
          <w:szCs w:val="21"/>
        </w:rPr>
        <w:t>19.3从投标截止期至供应商在投标函格式中确定的投标有效期期满这段时间内，供应商不得撤回其投标。</w:t>
      </w:r>
    </w:p>
    <w:p>
      <w:pPr>
        <w:spacing w:line="360" w:lineRule="auto"/>
        <w:ind w:firstLine="12"/>
        <w:jc w:val="left"/>
        <w:outlineLvl w:val="1"/>
        <w:rPr>
          <w:rFonts w:ascii="宋体" w:hAnsi="宋体" w:cs="宋体"/>
          <w:szCs w:val="21"/>
        </w:rPr>
      </w:pPr>
      <w:r>
        <w:rPr>
          <w:rFonts w:hint="eastAsia" w:ascii="宋体" w:hAnsi="宋体" w:cs="宋体"/>
          <w:szCs w:val="21"/>
        </w:rPr>
        <w:t>五、开标与评标</w:t>
      </w:r>
    </w:p>
    <w:p>
      <w:pPr>
        <w:spacing w:line="360" w:lineRule="auto"/>
        <w:ind w:firstLine="431"/>
        <w:jc w:val="left"/>
        <w:rPr>
          <w:rFonts w:ascii="宋体" w:hAnsi="宋体" w:cs="宋体"/>
          <w:szCs w:val="21"/>
        </w:rPr>
      </w:pPr>
      <w:r>
        <w:rPr>
          <w:rFonts w:hint="eastAsia" w:ascii="宋体" w:hAnsi="宋体" w:cs="宋体"/>
          <w:szCs w:val="21"/>
        </w:rPr>
        <w:t>20．开标</w:t>
      </w:r>
    </w:p>
    <w:p>
      <w:pPr>
        <w:spacing w:line="360" w:lineRule="auto"/>
        <w:ind w:firstLine="422"/>
        <w:jc w:val="left"/>
        <w:rPr>
          <w:rFonts w:ascii="宋体" w:hAnsi="宋体" w:cs="宋体"/>
          <w:szCs w:val="21"/>
        </w:rPr>
      </w:pPr>
      <w:r>
        <w:rPr>
          <w:rFonts w:hint="eastAsia" w:ascii="宋体" w:hAnsi="宋体" w:cs="宋体"/>
          <w:szCs w:val="21"/>
        </w:rPr>
        <w:t>20.1采购人将于前附表规定的时间和地点公开开标。若采购人按本须知第7条规定，通过修改采购文件更改了开标时间和地点的，以后者为准。</w:t>
      </w:r>
    </w:p>
    <w:p>
      <w:pPr>
        <w:spacing w:line="360" w:lineRule="auto"/>
        <w:ind w:firstLine="422"/>
        <w:jc w:val="left"/>
        <w:rPr>
          <w:rFonts w:ascii="宋体" w:hAnsi="宋体" w:cs="宋体"/>
          <w:szCs w:val="21"/>
        </w:rPr>
      </w:pPr>
      <w:r>
        <w:rPr>
          <w:rFonts w:hint="eastAsia" w:ascii="宋体" w:hAnsi="宋体" w:cs="宋体"/>
          <w:szCs w:val="21"/>
        </w:rPr>
        <w:t>20.2开评标期间，供应商代表应在线操作，并关注政采云有关信息公布、澄清等情况。供应商代表不参加开标程序的，事后不得对采购相关人员、开标过程和开标结果提出异议。</w:t>
      </w:r>
    </w:p>
    <w:p>
      <w:pPr>
        <w:spacing w:line="360" w:lineRule="auto"/>
        <w:ind w:firstLine="431"/>
        <w:jc w:val="left"/>
        <w:rPr>
          <w:rFonts w:ascii="宋体" w:hAnsi="宋体" w:cs="宋体"/>
          <w:szCs w:val="21"/>
        </w:rPr>
      </w:pPr>
      <w:r>
        <w:rPr>
          <w:rFonts w:hint="eastAsia" w:ascii="宋体" w:hAnsi="宋体" w:cs="宋体"/>
          <w:szCs w:val="21"/>
        </w:rPr>
        <w:t>20.3开标程序</w:t>
      </w:r>
    </w:p>
    <w:p>
      <w:pPr>
        <w:spacing w:line="360" w:lineRule="auto"/>
        <w:ind w:firstLine="431"/>
        <w:jc w:val="left"/>
        <w:rPr>
          <w:rFonts w:ascii="宋体" w:hAnsi="宋体" w:cs="宋体"/>
          <w:szCs w:val="21"/>
        </w:rPr>
      </w:pPr>
      <w:r>
        <w:rPr>
          <w:rFonts w:hint="eastAsia" w:ascii="宋体" w:hAnsi="宋体" w:cs="宋体"/>
          <w:szCs w:val="21"/>
        </w:rPr>
        <w:t>20.3.1开标第一阶段</w:t>
      </w:r>
    </w:p>
    <w:p>
      <w:pPr>
        <w:spacing w:line="360" w:lineRule="auto"/>
        <w:ind w:firstLine="529"/>
        <w:jc w:val="left"/>
        <w:rPr>
          <w:rFonts w:ascii="宋体" w:hAnsi="宋体" w:cs="宋体"/>
          <w:szCs w:val="21"/>
        </w:rPr>
      </w:pPr>
      <w:r>
        <w:rPr>
          <w:rFonts w:hint="eastAsia" w:ascii="宋体" w:hAnsi="宋体" w:cs="宋体"/>
          <w:szCs w:val="21"/>
        </w:rPr>
        <w:t>（1）向各供应商发出电子加密投标文件【开始解密】通知，由供应商按招标文件规定的时间内自行进行投标文件解密。供应商在规定的时间内无法完成已递交的“电子加密投标文件”解密的，如已按规定递交了备份投标文件的，将由采购组织机构按“政府采购云平台”操作规范将备份投标文件上传至“政府采购云平台”，上传成功后，“电子加密投标文件”自动失效；</w:t>
      </w:r>
    </w:p>
    <w:p>
      <w:pPr>
        <w:spacing w:line="360" w:lineRule="auto"/>
        <w:ind w:firstLine="517"/>
        <w:jc w:val="left"/>
        <w:rPr>
          <w:rFonts w:ascii="宋体" w:hAnsi="宋体" w:cs="宋体"/>
          <w:szCs w:val="21"/>
        </w:rPr>
      </w:pPr>
      <w:r>
        <w:rPr>
          <w:rFonts w:hint="eastAsia" w:ascii="宋体" w:hAnsi="宋体" w:cs="宋体"/>
          <w:szCs w:val="21"/>
        </w:rPr>
        <w:t>（2）供应商投标文件解密结束，签署《政府采购活动现场确认声明书》，发送至wangxinlin.hx@chinaccs.cn。格式见本采购文件第五章；</w:t>
      </w:r>
    </w:p>
    <w:p>
      <w:pPr>
        <w:spacing w:line="360" w:lineRule="auto"/>
        <w:ind w:firstLine="539"/>
        <w:jc w:val="left"/>
        <w:rPr>
          <w:rFonts w:ascii="宋体" w:hAnsi="宋体" w:cs="宋体"/>
          <w:szCs w:val="21"/>
        </w:rPr>
      </w:pPr>
      <w:r>
        <w:rPr>
          <w:rFonts w:hint="eastAsia" w:ascii="宋体" w:hAnsi="宋体" w:cs="宋体"/>
          <w:szCs w:val="21"/>
        </w:rPr>
        <w:t>（3）采购代理机构开启投标文件，进入资格审查；</w:t>
      </w:r>
    </w:p>
    <w:p>
      <w:pPr>
        <w:spacing w:line="360" w:lineRule="auto"/>
        <w:ind w:firstLine="539"/>
        <w:jc w:val="left"/>
        <w:rPr>
          <w:rFonts w:ascii="宋体" w:hAnsi="宋体" w:cs="宋体"/>
          <w:szCs w:val="21"/>
        </w:rPr>
      </w:pPr>
      <w:r>
        <w:rPr>
          <w:rFonts w:hint="eastAsia" w:ascii="宋体" w:hAnsi="宋体" w:cs="宋体"/>
          <w:szCs w:val="21"/>
        </w:rPr>
        <w:t>（4）资格审查通过的供应商的商务技术响应文件进入符合性审查、商务技术评审；</w:t>
      </w:r>
    </w:p>
    <w:p>
      <w:pPr>
        <w:spacing w:line="360" w:lineRule="auto"/>
        <w:ind w:firstLine="539"/>
        <w:jc w:val="left"/>
        <w:rPr>
          <w:rFonts w:ascii="宋体" w:hAnsi="宋体" w:cs="宋体"/>
          <w:szCs w:val="21"/>
        </w:rPr>
      </w:pPr>
      <w:r>
        <w:rPr>
          <w:rFonts w:hint="eastAsia" w:ascii="宋体" w:hAnsi="宋体" w:cs="宋体"/>
          <w:szCs w:val="21"/>
        </w:rPr>
        <w:t>（5）第一阶段开标结束。</w:t>
      </w:r>
    </w:p>
    <w:p>
      <w:pPr>
        <w:spacing w:line="360" w:lineRule="auto"/>
        <w:ind w:firstLine="431"/>
        <w:jc w:val="left"/>
        <w:rPr>
          <w:rFonts w:ascii="宋体" w:hAnsi="宋体" w:cs="宋体"/>
          <w:szCs w:val="21"/>
        </w:rPr>
      </w:pPr>
      <w:r>
        <w:rPr>
          <w:rFonts w:hint="eastAsia" w:ascii="宋体" w:hAnsi="宋体" w:cs="宋体"/>
          <w:szCs w:val="21"/>
        </w:rPr>
        <w:t>20.3.2开标第二阶段</w:t>
      </w:r>
    </w:p>
    <w:p>
      <w:pPr>
        <w:spacing w:line="360" w:lineRule="auto"/>
        <w:ind w:firstLine="528"/>
        <w:jc w:val="left"/>
        <w:rPr>
          <w:rFonts w:ascii="宋体" w:hAnsi="宋体" w:cs="宋体"/>
          <w:szCs w:val="21"/>
        </w:rPr>
      </w:pPr>
      <w:r>
        <w:rPr>
          <w:rFonts w:hint="eastAsia" w:ascii="宋体" w:hAnsi="宋体" w:cs="宋体"/>
          <w:szCs w:val="21"/>
        </w:rPr>
        <w:t>（1）符合性审查、商务技术评审结束后，举行开标程序第二阶段会议。在线公布经商务技术评审后有效投标人的名单，同时公布其商务技术部分得分情况。</w:t>
      </w:r>
    </w:p>
    <w:p>
      <w:pPr>
        <w:spacing w:line="360" w:lineRule="auto"/>
        <w:ind w:firstLine="530"/>
        <w:jc w:val="left"/>
        <w:rPr>
          <w:rFonts w:ascii="宋体" w:hAnsi="宋体" w:cs="宋体"/>
          <w:szCs w:val="21"/>
        </w:rPr>
      </w:pPr>
      <w:r>
        <w:rPr>
          <w:rFonts w:hint="eastAsia" w:ascii="宋体" w:hAnsi="宋体" w:cs="宋体"/>
          <w:szCs w:val="21"/>
        </w:rPr>
        <w:t>（2）开启符合性审查、商务技术评审有效投标人的《报价响应文件》，在线公布开标一览表有关内容，同时当场制作开标记录表，供应商在线签字确认（不予确认的应说明理由，否则视为无异议）。报价响应文件开标结束后，由评标委员会对报价的合理性、准确性等进行审查核实。</w:t>
      </w:r>
    </w:p>
    <w:p>
      <w:pPr>
        <w:spacing w:line="360" w:lineRule="auto"/>
        <w:ind w:firstLine="525"/>
        <w:jc w:val="left"/>
        <w:rPr>
          <w:rFonts w:ascii="宋体" w:hAnsi="宋体" w:cs="宋体"/>
          <w:szCs w:val="21"/>
        </w:rPr>
      </w:pPr>
      <w:r>
        <w:rPr>
          <w:rFonts w:hint="eastAsia" w:ascii="宋体" w:hAnsi="宋体" w:cs="宋体"/>
          <w:szCs w:val="21"/>
        </w:rPr>
        <w:t>（3）评审结束后，公布中标（成交）候选供应商名单，及采购人最终确定中标或中标供应商名单的时间和公告方式等。</w:t>
      </w:r>
    </w:p>
    <w:p>
      <w:pPr>
        <w:spacing w:line="360" w:lineRule="auto"/>
        <w:ind w:firstLine="431"/>
        <w:jc w:val="left"/>
        <w:rPr>
          <w:rFonts w:ascii="宋体" w:hAnsi="宋体" w:cs="宋体"/>
          <w:szCs w:val="21"/>
        </w:rPr>
      </w:pPr>
      <w:r>
        <w:rPr>
          <w:rFonts w:hint="eastAsia" w:ascii="宋体" w:hAnsi="宋体" w:cs="宋体"/>
          <w:szCs w:val="21"/>
        </w:rPr>
        <w:t>20.4如遇“政府采购云平台”电子化开标或评审程序调整的，或者政采云系统提供数据电文交互功能的，按其规定执行。</w:t>
      </w:r>
    </w:p>
    <w:p>
      <w:pPr>
        <w:spacing w:line="360" w:lineRule="auto"/>
        <w:ind w:firstLine="431"/>
        <w:jc w:val="left"/>
        <w:rPr>
          <w:rFonts w:ascii="宋体" w:hAnsi="宋体" w:cs="宋体"/>
          <w:szCs w:val="21"/>
        </w:rPr>
      </w:pPr>
      <w:r>
        <w:rPr>
          <w:rFonts w:hint="eastAsia" w:ascii="宋体" w:hAnsi="宋体" w:cs="宋体"/>
          <w:szCs w:val="21"/>
        </w:rPr>
        <w:t>21．评标</w:t>
      </w:r>
    </w:p>
    <w:p>
      <w:pPr>
        <w:spacing w:line="360" w:lineRule="auto"/>
        <w:ind w:firstLine="431"/>
        <w:jc w:val="left"/>
        <w:rPr>
          <w:rFonts w:ascii="宋体" w:hAnsi="宋体" w:cs="宋体"/>
          <w:szCs w:val="21"/>
        </w:rPr>
      </w:pPr>
      <w:r>
        <w:rPr>
          <w:rFonts w:hint="eastAsia" w:ascii="宋体" w:hAnsi="宋体" w:cs="宋体"/>
          <w:szCs w:val="21"/>
        </w:rPr>
        <w:t>21.1评标组织</w:t>
      </w:r>
    </w:p>
    <w:p>
      <w:pPr>
        <w:spacing w:line="360" w:lineRule="auto"/>
        <w:ind w:firstLine="417"/>
        <w:jc w:val="left"/>
        <w:rPr>
          <w:rFonts w:ascii="宋体" w:hAnsi="宋体" w:cs="宋体"/>
          <w:szCs w:val="21"/>
        </w:rPr>
      </w:pPr>
      <w:r>
        <w:rPr>
          <w:rFonts w:hint="eastAsia" w:ascii="宋体" w:hAnsi="宋体" w:cs="宋体"/>
          <w:szCs w:val="21"/>
        </w:rPr>
        <w:t>评标工作由招标采购单位负责组织，具体评标事务由招标采购单位依法组建的评标委员会负责。评标委员会由采购人代表和有关技术、经济等方面的专家组成，成员人数应当为五人及以上单数。</w:t>
      </w:r>
    </w:p>
    <w:p>
      <w:pPr>
        <w:spacing w:line="360" w:lineRule="auto"/>
        <w:ind w:firstLine="431"/>
        <w:jc w:val="left"/>
        <w:rPr>
          <w:rFonts w:ascii="宋体" w:hAnsi="宋体" w:cs="宋体"/>
          <w:szCs w:val="21"/>
        </w:rPr>
      </w:pPr>
      <w:r>
        <w:rPr>
          <w:rFonts w:hint="eastAsia" w:ascii="宋体" w:hAnsi="宋体" w:cs="宋体"/>
          <w:szCs w:val="21"/>
        </w:rPr>
        <w:t>21.2评标纪律</w:t>
      </w:r>
    </w:p>
    <w:p>
      <w:pPr>
        <w:spacing w:line="360" w:lineRule="auto"/>
        <w:ind w:firstLine="429"/>
        <w:jc w:val="left"/>
        <w:rPr>
          <w:rFonts w:ascii="宋体" w:hAnsi="宋体" w:cs="宋体"/>
          <w:szCs w:val="21"/>
        </w:rPr>
      </w:pPr>
      <w:r>
        <w:rPr>
          <w:rFonts w:hint="eastAsia" w:ascii="宋体" w:hAnsi="宋体" w:cs="宋体"/>
          <w:szCs w:val="21"/>
        </w:rPr>
        <w:t>本次评标工作将在严格保密的情况下进行，评标委员会成员名单在定标前将保密。</w:t>
      </w:r>
    </w:p>
    <w:p>
      <w:pPr>
        <w:spacing w:line="360" w:lineRule="auto"/>
        <w:ind w:firstLine="431"/>
        <w:jc w:val="left"/>
        <w:rPr>
          <w:rFonts w:ascii="宋体" w:hAnsi="宋体" w:cs="宋体"/>
          <w:szCs w:val="21"/>
        </w:rPr>
      </w:pPr>
      <w:r>
        <w:rPr>
          <w:rFonts w:hint="eastAsia" w:ascii="宋体" w:hAnsi="宋体" w:cs="宋体"/>
          <w:szCs w:val="21"/>
        </w:rPr>
        <w:t>21.3评标办法</w:t>
      </w:r>
    </w:p>
    <w:p>
      <w:pPr>
        <w:spacing w:line="360" w:lineRule="auto"/>
        <w:ind w:firstLine="428"/>
        <w:jc w:val="left"/>
        <w:rPr>
          <w:rFonts w:ascii="宋体" w:hAnsi="宋体" w:cs="宋体"/>
          <w:szCs w:val="21"/>
        </w:rPr>
      </w:pPr>
      <w:r>
        <w:rPr>
          <w:rFonts w:hint="eastAsia" w:ascii="宋体" w:hAnsi="宋体" w:cs="宋体"/>
          <w:szCs w:val="21"/>
        </w:rPr>
        <w:t>采用综合评分法，详见采购文件第五部分“评标办法”。</w:t>
      </w:r>
    </w:p>
    <w:p>
      <w:pPr>
        <w:spacing w:line="360" w:lineRule="auto"/>
        <w:ind w:firstLine="431"/>
        <w:jc w:val="left"/>
        <w:rPr>
          <w:rFonts w:ascii="宋体" w:hAnsi="宋体" w:cs="宋体"/>
          <w:szCs w:val="21"/>
        </w:rPr>
      </w:pPr>
      <w:r>
        <w:rPr>
          <w:rFonts w:hint="eastAsia" w:ascii="宋体" w:hAnsi="宋体" w:cs="宋体"/>
          <w:szCs w:val="21"/>
        </w:rPr>
        <w:t>21.4评标程序</w:t>
      </w:r>
    </w:p>
    <w:p>
      <w:pPr>
        <w:spacing w:line="360" w:lineRule="auto"/>
        <w:ind w:firstLine="431"/>
        <w:jc w:val="left"/>
        <w:rPr>
          <w:rFonts w:ascii="宋体" w:hAnsi="宋体" w:cs="宋体"/>
          <w:szCs w:val="21"/>
        </w:rPr>
      </w:pPr>
      <w:r>
        <w:rPr>
          <w:rFonts w:hint="eastAsia" w:ascii="宋体" w:hAnsi="宋体" w:cs="宋体"/>
          <w:szCs w:val="21"/>
        </w:rPr>
        <w:t>21.4.1投标文件初审。初审分为资格性检查和符合性检查。</w:t>
      </w:r>
    </w:p>
    <w:p>
      <w:pPr>
        <w:spacing w:line="360" w:lineRule="auto"/>
        <w:ind w:firstLine="530"/>
        <w:jc w:val="left"/>
        <w:rPr>
          <w:rFonts w:ascii="宋体" w:hAnsi="宋体" w:cs="宋体"/>
          <w:szCs w:val="21"/>
        </w:rPr>
      </w:pPr>
      <w:r>
        <w:rPr>
          <w:rFonts w:hint="eastAsia" w:ascii="宋体" w:hAnsi="宋体" w:cs="宋体"/>
          <w:szCs w:val="21"/>
        </w:rPr>
        <w:t>（1）资格性检查。开标后，采购人或采购代理机构将依据法律法规和本须知第9.1条规定对供应商的基本资格条件、特定资格条件进行审查。</w:t>
      </w:r>
    </w:p>
    <w:p>
      <w:pPr>
        <w:spacing w:line="360" w:lineRule="auto"/>
        <w:ind w:firstLine="411"/>
        <w:jc w:val="left"/>
        <w:rPr>
          <w:rFonts w:ascii="宋体" w:hAnsi="宋体" w:cs="宋体"/>
          <w:szCs w:val="21"/>
        </w:rPr>
      </w:pPr>
      <w:r>
        <w:rPr>
          <w:rFonts w:hint="eastAsia" w:ascii="宋体" w:hAnsi="宋体" w:cs="宋体"/>
          <w:szCs w:val="21"/>
        </w:rPr>
        <w:t>供应商未按照采购文件投标须知9.1条要求提供与基本资格条件、特定资格条件相应的有效资格证明材料的，视为供应商不具备采购文件中规定的资格要求，其资格审查不通过。</w:t>
      </w:r>
    </w:p>
    <w:p>
      <w:pPr>
        <w:spacing w:line="360" w:lineRule="auto"/>
        <w:ind w:firstLine="530"/>
        <w:jc w:val="left"/>
        <w:rPr>
          <w:rFonts w:ascii="宋体" w:hAnsi="宋体" w:cs="宋体"/>
          <w:szCs w:val="21"/>
        </w:rPr>
      </w:pPr>
      <w:r>
        <w:rPr>
          <w:rFonts w:hint="eastAsia" w:ascii="宋体" w:hAnsi="宋体" w:cs="宋体"/>
          <w:szCs w:val="21"/>
        </w:rPr>
        <w:t>（2）符合性检查。依据采购文件的规定，从投标文件的有效性、完整性和对采购文件的响应程度进行审查，以确定是否对采购文件的实质性要求作出响应。具体审查内容见评标办法第3.2条。</w:t>
      </w:r>
    </w:p>
    <w:p>
      <w:pPr>
        <w:spacing w:line="360" w:lineRule="auto"/>
        <w:ind w:firstLine="428"/>
        <w:jc w:val="left"/>
        <w:rPr>
          <w:rFonts w:ascii="宋体" w:hAnsi="宋体" w:cs="宋体"/>
          <w:szCs w:val="21"/>
        </w:rPr>
      </w:pPr>
      <w:r>
        <w:rPr>
          <w:rFonts w:hint="eastAsia" w:ascii="宋体" w:hAnsi="宋体" w:cs="宋体"/>
          <w:szCs w:val="21"/>
        </w:rPr>
        <w:t>评标委员会决定投标文件的响应性只根据投标文件本身的内容，而不寻求外部证据。</w:t>
      </w:r>
    </w:p>
    <w:p>
      <w:pPr>
        <w:spacing w:line="360" w:lineRule="auto"/>
        <w:ind w:firstLine="416"/>
        <w:jc w:val="left"/>
        <w:rPr>
          <w:rFonts w:ascii="宋体" w:hAnsi="宋体" w:cs="宋体"/>
          <w:szCs w:val="21"/>
        </w:rPr>
      </w:pPr>
      <w:r>
        <w:rPr>
          <w:rFonts w:hint="eastAsia" w:ascii="宋体" w:hAnsi="宋体" w:cs="宋体"/>
          <w:szCs w:val="21"/>
        </w:rPr>
        <w:t>如果投标文件没有实质上响应采购文件的要求，评标委员会将判定无效，供应商不得通过修改或撤销不合要求的偏离或保留而使其投标成为实质性响应的投标。</w:t>
      </w:r>
    </w:p>
    <w:p>
      <w:pPr>
        <w:spacing w:line="360" w:lineRule="auto"/>
        <w:ind w:firstLine="421"/>
        <w:jc w:val="left"/>
        <w:rPr>
          <w:rFonts w:ascii="宋体" w:hAnsi="宋体" w:cs="宋体"/>
          <w:szCs w:val="21"/>
        </w:rPr>
      </w:pPr>
      <w:r>
        <w:rPr>
          <w:rFonts w:hint="eastAsia" w:ascii="宋体" w:hAnsi="宋体" w:cs="宋体"/>
          <w:szCs w:val="21"/>
        </w:rPr>
        <w:t>21.4.2澄清有关问题。在评标期间，对投标文件中含义不明确、同类问题表述不一致或者有明显文字和计算错误的内容，评标委员会可以书面形式（或有效电子数据电文）要求供应商作出必要的澄清、说明或者纠正。供应商的澄清、说明或者补正不得超出投标文件的范围或者改变投标文件的实质性内容。</w:t>
      </w:r>
    </w:p>
    <w:p>
      <w:pPr>
        <w:spacing w:line="360" w:lineRule="auto"/>
        <w:ind w:firstLine="420"/>
        <w:jc w:val="left"/>
        <w:rPr>
          <w:rFonts w:ascii="宋体" w:hAnsi="宋体" w:cs="宋体"/>
          <w:szCs w:val="21"/>
        </w:rPr>
      </w:pPr>
      <w:r>
        <w:rPr>
          <w:rFonts w:hint="eastAsia" w:ascii="宋体" w:hAnsi="宋体" w:cs="宋体"/>
          <w:szCs w:val="21"/>
        </w:rPr>
        <w:t>投标供应商的澄清、说明或者补正应当由法定代表人或其授权的代表签字（或加盖公章）后扫描上传提交。</w:t>
      </w:r>
    </w:p>
    <w:p>
      <w:pPr>
        <w:spacing w:line="360" w:lineRule="auto"/>
        <w:ind w:firstLine="420"/>
        <w:jc w:val="left"/>
        <w:rPr>
          <w:rFonts w:ascii="宋体" w:hAnsi="宋体" w:cs="宋体"/>
          <w:szCs w:val="21"/>
        </w:rPr>
      </w:pPr>
      <w:r>
        <w:rPr>
          <w:rFonts w:hint="eastAsia" w:ascii="宋体" w:hAnsi="宋体" w:cs="宋体"/>
          <w:szCs w:val="21"/>
        </w:rPr>
        <w:t>授权代表对澄清、说明或者补正内容未签字确认的，将自行承担由此可能导致的对其不利的评审结果，评标委员会按少数服从多数原则对相关内容进行评判。</w:t>
      </w:r>
    </w:p>
    <w:p>
      <w:pPr>
        <w:spacing w:line="360" w:lineRule="auto"/>
        <w:ind w:firstLine="426"/>
        <w:jc w:val="left"/>
        <w:rPr>
          <w:rFonts w:ascii="宋体" w:hAnsi="宋体" w:cs="宋体"/>
          <w:szCs w:val="21"/>
        </w:rPr>
      </w:pPr>
      <w:r>
        <w:rPr>
          <w:rFonts w:hint="eastAsia" w:ascii="宋体" w:hAnsi="宋体" w:cs="宋体"/>
          <w:szCs w:val="21"/>
        </w:rPr>
        <w:t>除邮件交互外，如政采云平台提供信息发布、澄清说明、数据交换等操作方式的，或者政采云系统平台有新的操作流程的，按其规定。</w:t>
      </w:r>
    </w:p>
    <w:p>
      <w:pPr>
        <w:spacing w:line="360" w:lineRule="auto"/>
        <w:ind w:firstLine="431"/>
        <w:jc w:val="left"/>
        <w:rPr>
          <w:rFonts w:ascii="宋体" w:hAnsi="宋体" w:cs="宋体"/>
          <w:szCs w:val="21"/>
        </w:rPr>
      </w:pPr>
      <w:r>
        <w:rPr>
          <w:rFonts w:hint="eastAsia" w:ascii="宋体" w:hAnsi="宋体" w:cs="宋体"/>
          <w:szCs w:val="21"/>
        </w:rPr>
        <w:t>21.4.3修正原则</w:t>
      </w:r>
    </w:p>
    <w:p>
      <w:pPr>
        <w:spacing w:line="360" w:lineRule="auto"/>
        <w:ind w:firstLine="431"/>
        <w:jc w:val="left"/>
        <w:rPr>
          <w:rFonts w:ascii="宋体" w:hAnsi="宋体" w:cs="宋体"/>
          <w:szCs w:val="21"/>
        </w:rPr>
      </w:pPr>
      <w:r>
        <w:rPr>
          <w:rFonts w:hint="eastAsia" w:ascii="宋体" w:hAnsi="宋体" w:cs="宋体"/>
          <w:szCs w:val="21"/>
        </w:rPr>
        <w:t>投标文件报价出现前后不一致的，按照下列规定修正：</w:t>
      </w:r>
    </w:p>
    <w:p>
      <w:pPr>
        <w:spacing w:line="360" w:lineRule="auto"/>
        <w:ind w:firstLine="431"/>
        <w:jc w:val="left"/>
        <w:rPr>
          <w:rFonts w:ascii="宋体" w:hAnsi="宋体" w:cs="宋体"/>
          <w:szCs w:val="21"/>
        </w:rPr>
      </w:pPr>
      <w:r>
        <w:rPr>
          <w:rFonts w:hint="eastAsia" w:ascii="宋体" w:hAnsi="宋体" w:cs="宋体"/>
          <w:szCs w:val="21"/>
        </w:rPr>
        <w:t>(1)投标文件中开标一览表(报价表)内容与投标文件中相应内容不一致的，以开标一览表(报价表)为准；</w:t>
      </w:r>
    </w:p>
    <w:p>
      <w:pPr>
        <w:spacing w:line="360" w:lineRule="auto"/>
        <w:ind w:firstLine="431"/>
        <w:jc w:val="left"/>
        <w:rPr>
          <w:rFonts w:ascii="宋体" w:hAnsi="宋体" w:cs="宋体"/>
          <w:szCs w:val="21"/>
        </w:rPr>
      </w:pPr>
      <w:r>
        <w:rPr>
          <w:rFonts w:hint="eastAsia" w:ascii="宋体" w:hAnsi="宋体" w:cs="宋体"/>
          <w:szCs w:val="21"/>
        </w:rPr>
        <w:t>(2)大写金额和小写金额不一致的，以大写金额为准；</w:t>
      </w:r>
    </w:p>
    <w:p>
      <w:pPr>
        <w:spacing w:line="360" w:lineRule="auto"/>
        <w:ind w:firstLine="431"/>
        <w:jc w:val="left"/>
        <w:rPr>
          <w:rFonts w:ascii="宋体" w:hAnsi="宋体" w:cs="宋体"/>
          <w:szCs w:val="21"/>
        </w:rPr>
      </w:pPr>
      <w:r>
        <w:rPr>
          <w:rFonts w:hint="eastAsia" w:ascii="宋体" w:hAnsi="宋体" w:cs="宋体"/>
          <w:szCs w:val="21"/>
        </w:rPr>
        <w:t>(3)单价金额小数点或者百分比有明显错位的，以开标一览表的总价为准，并修改单价；</w:t>
      </w:r>
    </w:p>
    <w:p>
      <w:pPr>
        <w:spacing w:line="360" w:lineRule="auto"/>
        <w:ind w:firstLine="431"/>
        <w:jc w:val="left"/>
        <w:rPr>
          <w:rFonts w:ascii="宋体" w:hAnsi="宋体" w:cs="宋体"/>
          <w:szCs w:val="21"/>
        </w:rPr>
      </w:pPr>
      <w:r>
        <w:rPr>
          <w:rFonts w:hint="eastAsia" w:ascii="宋体" w:hAnsi="宋体" w:cs="宋体"/>
          <w:szCs w:val="21"/>
        </w:rPr>
        <w:t>(4)总价金额与按单价汇总金额不一致的，以单价金额计算结果为准。</w:t>
      </w:r>
    </w:p>
    <w:p>
      <w:pPr>
        <w:spacing w:line="360" w:lineRule="auto"/>
        <w:ind w:firstLine="431"/>
        <w:jc w:val="left"/>
        <w:rPr>
          <w:rFonts w:ascii="宋体" w:hAnsi="宋体" w:cs="宋体"/>
          <w:szCs w:val="21"/>
        </w:rPr>
      </w:pPr>
      <w:r>
        <w:rPr>
          <w:rFonts w:hint="eastAsia" w:ascii="宋体" w:hAnsi="宋体" w:cs="宋体"/>
          <w:szCs w:val="21"/>
        </w:rPr>
        <w:t>同时出现两种以上不一致的，按照前款规定的顺序修正。修正后的报价按照财政部公布第87号令《政府采购货物和服务招标投标管理办法》第五十一条第二款的规定经供应商确认后产生约束力，供应商不确认的，其投标无效。</w:t>
      </w:r>
    </w:p>
    <w:p>
      <w:pPr>
        <w:spacing w:line="360" w:lineRule="auto"/>
        <w:ind w:firstLine="431"/>
        <w:jc w:val="left"/>
        <w:rPr>
          <w:rFonts w:ascii="宋体" w:hAnsi="宋体" w:cs="宋体"/>
          <w:szCs w:val="21"/>
        </w:rPr>
      </w:pPr>
      <w:r>
        <w:rPr>
          <w:rFonts w:hint="eastAsia" w:ascii="宋体" w:hAnsi="宋体" w:cs="宋体"/>
          <w:szCs w:val="21"/>
        </w:rPr>
        <w:t>（5）政采云平台填报的开标一览表中的价格与上传的报价响应文件中开标一览表的报价不一致的，以上传的报价响应文件中开标一览表的价格为准，修正平台上的投标报价。</w:t>
      </w:r>
    </w:p>
    <w:p>
      <w:pPr>
        <w:spacing w:line="360" w:lineRule="auto"/>
        <w:ind w:firstLine="431"/>
        <w:jc w:val="left"/>
        <w:rPr>
          <w:rFonts w:ascii="宋体" w:hAnsi="宋体" w:cs="宋体"/>
          <w:szCs w:val="21"/>
        </w:rPr>
      </w:pPr>
      <w:r>
        <w:rPr>
          <w:rFonts w:hint="eastAsia" w:ascii="宋体" w:hAnsi="宋体" w:cs="宋体"/>
          <w:szCs w:val="21"/>
        </w:rPr>
        <w:t>21.4.4比较与评价。</w:t>
      </w:r>
    </w:p>
    <w:p>
      <w:pPr>
        <w:spacing w:line="360" w:lineRule="auto"/>
        <w:ind w:firstLine="420"/>
        <w:jc w:val="left"/>
        <w:rPr>
          <w:rFonts w:ascii="宋体" w:hAnsi="宋体" w:cs="宋体"/>
          <w:szCs w:val="21"/>
        </w:rPr>
      </w:pPr>
      <w:r>
        <w:rPr>
          <w:rFonts w:hint="eastAsia" w:ascii="宋体" w:hAnsi="宋体" w:cs="宋体"/>
          <w:szCs w:val="21"/>
        </w:rPr>
        <w:t>按采购文件中规定的评标方法和标准，对资格性检查和符合性检查合格的投标文件进行商务和技术评估，综合比较与评价。</w:t>
      </w:r>
    </w:p>
    <w:p>
      <w:pPr>
        <w:spacing w:line="360" w:lineRule="auto"/>
        <w:ind w:firstLine="431"/>
        <w:jc w:val="left"/>
        <w:rPr>
          <w:rFonts w:ascii="宋体" w:hAnsi="宋体" w:cs="宋体"/>
          <w:szCs w:val="21"/>
        </w:rPr>
      </w:pPr>
      <w:r>
        <w:rPr>
          <w:rFonts w:hint="eastAsia" w:ascii="宋体" w:hAnsi="宋体" w:cs="宋体"/>
          <w:szCs w:val="21"/>
        </w:rPr>
        <w:t>21.4.5按采购文件中规定的评标方法和标准，对供应商进行排序，并推荐中标候选人。</w:t>
      </w:r>
    </w:p>
    <w:p>
      <w:pPr>
        <w:spacing w:line="360" w:lineRule="auto"/>
        <w:ind w:firstLine="431"/>
        <w:jc w:val="left"/>
        <w:rPr>
          <w:rFonts w:ascii="宋体" w:hAnsi="宋体" w:cs="宋体"/>
          <w:szCs w:val="21"/>
        </w:rPr>
      </w:pPr>
      <w:r>
        <w:rPr>
          <w:rFonts w:hint="eastAsia" w:ascii="宋体" w:hAnsi="宋体" w:cs="宋体"/>
          <w:szCs w:val="21"/>
        </w:rPr>
        <w:t>21.4.6编写评标报告。</w:t>
      </w:r>
    </w:p>
    <w:p>
      <w:pPr>
        <w:spacing w:line="360" w:lineRule="auto"/>
        <w:ind w:firstLine="431"/>
        <w:jc w:val="left"/>
        <w:rPr>
          <w:rFonts w:ascii="宋体" w:hAnsi="宋体" w:cs="宋体"/>
          <w:szCs w:val="21"/>
        </w:rPr>
      </w:pPr>
      <w:r>
        <w:rPr>
          <w:rFonts w:hint="eastAsia" w:ascii="宋体" w:hAnsi="宋体" w:cs="宋体"/>
          <w:szCs w:val="21"/>
        </w:rPr>
        <w:t>22．串通投标</w:t>
      </w:r>
    </w:p>
    <w:p>
      <w:pPr>
        <w:spacing w:line="360" w:lineRule="auto"/>
        <w:ind w:firstLine="429"/>
        <w:jc w:val="left"/>
        <w:rPr>
          <w:rFonts w:ascii="宋体" w:hAnsi="宋体" w:cs="宋体"/>
          <w:szCs w:val="21"/>
        </w:rPr>
      </w:pPr>
      <w:r>
        <w:rPr>
          <w:rFonts w:hint="eastAsia" w:ascii="宋体" w:hAnsi="宋体" w:cs="宋体"/>
          <w:szCs w:val="21"/>
        </w:rPr>
        <w:t>有下列情形之一的，视为供应商串通投标，其投标无效：</w:t>
      </w:r>
    </w:p>
    <w:p>
      <w:pPr>
        <w:spacing w:line="360" w:lineRule="auto"/>
        <w:ind w:firstLine="539"/>
        <w:jc w:val="left"/>
        <w:rPr>
          <w:rFonts w:ascii="宋体" w:hAnsi="宋体" w:cs="宋体"/>
          <w:szCs w:val="21"/>
        </w:rPr>
      </w:pPr>
      <w:r>
        <w:rPr>
          <w:rFonts w:hint="eastAsia" w:ascii="宋体" w:hAnsi="宋体" w:cs="宋体"/>
          <w:szCs w:val="21"/>
        </w:rPr>
        <w:t>（1）不同供应商的投标文件由同一单位或者个人编制；</w:t>
      </w:r>
    </w:p>
    <w:p>
      <w:pPr>
        <w:spacing w:line="360" w:lineRule="auto"/>
        <w:ind w:firstLine="539"/>
        <w:jc w:val="left"/>
        <w:rPr>
          <w:rFonts w:ascii="宋体" w:hAnsi="宋体" w:cs="宋体"/>
          <w:szCs w:val="21"/>
        </w:rPr>
      </w:pPr>
      <w:r>
        <w:rPr>
          <w:rFonts w:hint="eastAsia" w:ascii="宋体" w:hAnsi="宋体" w:cs="宋体"/>
          <w:szCs w:val="21"/>
        </w:rPr>
        <w:t>（2）不同供应商委托同一单位或者个人办理投标事宜；</w:t>
      </w:r>
    </w:p>
    <w:p>
      <w:pPr>
        <w:spacing w:line="360" w:lineRule="auto"/>
        <w:ind w:firstLine="539"/>
        <w:jc w:val="left"/>
        <w:rPr>
          <w:rFonts w:ascii="宋体" w:hAnsi="宋体" w:cs="宋体"/>
          <w:szCs w:val="21"/>
        </w:rPr>
      </w:pPr>
      <w:r>
        <w:rPr>
          <w:rFonts w:hint="eastAsia" w:ascii="宋体" w:hAnsi="宋体" w:cs="宋体"/>
          <w:szCs w:val="21"/>
        </w:rPr>
        <w:t>（3）不同供应商的投标文件载明的项目管理成员或者联系人员为同一人；</w:t>
      </w:r>
    </w:p>
    <w:p>
      <w:pPr>
        <w:spacing w:line="360" w:lineRule="auto"/>
        <w:ind w:firstLine="539"/>
        <w:jc w:val="left"/>
        <w:rPr>
          <w:rFonts w:ascii="宋体" w:hAnsi="宋体" w:cs="宋体"/>
          <w:szCs w:val="21"/>
        </w:rPr>
      </w:pPr>
      <w:r>
        <w:rPr>
          <w:rFonts w:hint="eastAsia" w:ascii="宋体" w:hAnsi="宋体" w:cs="宋体"/>
          <w:szCs w:val="21"/>
        </w:rPr>
        <w:t>（4）不同供应商的投标文件异常一致或者投标报价呈规律性差异；</w:t>
      </w:r>
    </w:p>
    <w:p>
      <w:pPr>
        <w:spacing w:line="360" w:lineRule="auto"/>
        <w:ind w:firstLine="539"/>
        <w:jc w:val="left"/>
        <w:rPr>
          <w:rFonts w:ascii="宋体" w:hAnsi="宋体" w:cs="宋体"/>
          <w:szCs w:val="21"/>
        </w:rPr>
      </w:pPr>
      <w:r>
        <w:rPr>
          <w:rFonts w:hint="eastAsia" w:ascii="宋体" w:hAnsi="宋体" w:cs="宋体"/>
          <w:szCs w:val="21"/>
        </w:rPr>
        <w:t>（5）不同供应商的投标文件相互混装。</w:t>
      </w:r>
    </w:p>
    <w:p>
      <w:pPr>
        <w:spacing w:line="360" w:lineRule="auto"/>
        <w:ind w:firstLine="431"/>
        <w:jc w:val="left"/>
        <w:rPr>
          <w:rFonts w:ascii="宋体" w:hAnsi="宋体" w:cs="宋体"/>
          <w:szCs w:val="21"/>
        </w:rPr>
      </w:pPr>
      <w:r>
        <w:rPr>
          <w:rFonts w:hint="eastAsia" w:ascii="宋体" w:hAnsi="宋体" w:cs="宋体"/>
          <w:szCs w:val="21"/>
        </w:rPr>
        <w:t>23．废标</w:t>
      </w:r>
    </w:p>
    <w:p>
      <w:pPr>
        <w:spacing w:line="360" w:lineRule="auto"/>
        <w:ind w:firstLine="431"/>
        <w:jc w:val="left"/>
        <w:rPr>
          <w:rFonts w:ascii="宋体" w:hAnsi="宋体" w:cs="宋体"/>
          <w:szCs w:val="21"/>
        </w:rPr>
      </w:pPr>
      <w:r>
        <w:rPr>
          <w:rFonts w:hint="eastAsia" w:ascii="宋体" w:hAnsi="宋体" w:cs="宋体"/>
          <w:szCs w:val="21"/>
        </w:rPr>
        <w:t>23.1根据《中华人民共和国政府采购法》第三十六条，出现下列情形之一的，应予以废标：</w:t>
      </w:r>
    </w:p>
    <w:p>
      <w:pPr>
        <w:spacing w:line="360" w:lineRule="auto"/>
        <w:ind w:firstLine="539"/>
        <w:jc w:val="left"/>
        <w:rPr>
          <w:rFonts w:ascii="宋体" w:hAnsi="宋体" w:cs="宋体"/>
          <w:szCs w:val="21"/>
        </w:rPr>
      </w:pPr>
      <w:r>
        <w:rPr>
          <w:rFonts w:hint="eastAsia" w:ascii="宋体" w:hAnsi="宋体" w:cs="宋体"/>
          <w:szCs w:val="21"/>
        </w:rPr>
        <w:t>（1）符合专业条件的供应商或者对采购文件作实质响应的供应商不足三家的；</w:t>
      </w:r>
    </w:p>
    <w:p>
      <w:pPr>
        <w:spacing w:line="360" w:lineRule="auto"/>
        <w:ind w:firstLine="539"/>
        <w:jc w:val="left"/>
        <w:rPr>
          <w:rFonts w:ascii="宋体" w:hAnsi="宋体" w:cs="宋体"/>
          <w:szCs w:val="21"/>
        </w:rPr>
      </w:pPr>
      <w:r>
        <w:rPr>
          <w:rFonts w:hint="eastAsia" w:ascii="宋体" w:hAnsi="宋体" w:cs="宋体"/>
          <w:szCs w:val="21"/>
        </w:rPr>
        <w:t>（2）出现影响采购公正的违法、违规行为的；</w:t>
      </w:r>
    </w:p>
    <w:p>
      <w:pPr>
        <w:spacing w:line="360" w:lineRule="auto"/>
        <w:ind w:firstLine="539"/>
        <w:jc w:val="left"/>
        <w:rPr>
          <w:rFonts w:ascii="宋体" w:hAnsi="宋体" w:cs="宋体"/>
          <w:szCs w:val="21"/>
        </w:rPr>
      </w:pPr>
      <w:r>
        <w:rPr>
          <w:rFonts w:hint="eastAsia" w:ascii="宋体" w:hAnsi="宋体" w:cs="宋体"/>
          <w:szCs w:val="21"/>
        </w:rPr>
        <w:t>（3）所有供应商的报价均超过了采购预算，采购人不能支付的；</w:t>
      </w:r>
    </w:p>
    <w:p>
      <w:pPr>
        <w:spacing w:line="360" w:lineRule="auto"/>
        <w:ind w:firstLine="539"/>
        <w:jc w:val="left"/>
        <w:rPr>
          <w:rFonts w:ascii="宋体" w:hAnsi="宋体" w:cs="宋体"/>
          <w:szCs w:val="21"/>
        </w:rPr>
      </w:pPr>
      <w:r>
        <w:rPr>
          <w:rFonts w:hint="eastAsia" w:ascii="宋体" w:hAnsi="宋体" w:cs="宋体"/>
          <w:szCs w:val="21"/>
        </w:rPr>
        <w:t>（4）因重大变故，采购任务取消的。</w:t>
      </w:r>
    </w:p>
    <w:p>
      <w:pPr>
        <w:spacing w:line="360" w:lineRule="auto"/>
        <w:ind w:firstLine="405"/>
        <w:jc w:val="left"/>
        <w:rPr>
          <w:rFonts w:ascii="宋体" w:hAnsi="宋体" w:cs="宋体"/>
          <w:szCs w:val="21"/>
        </w:rPr>
      </w:pPr>
      <w:r>
        <w:rPr>
          <w:rFonts w:hint="eastAsia" w:ascii="宋体" w:hAnsi="宋体" w:cs="宋体"/>
          <w:szCs w:val="21"/>
        </w:rPr>
        <w:t>23.2采购过程中出现以下情形，导致电子交易平台无法正常运行，或者无法保证电子交易的公平、公正和安全时，采购组织机构可中止电子交易活动：</w:t>
      </w:r>
    </w:p>
    <w:p>
      <w:pPr>
        <w:spacing w:line="360" w:lineRule="auto"/>
        <w:ind w:firstLine="539"/>
        <w:jc w:val="left"/>
        <w:rPr>
          <w:rFonts w:ascii="宋体" w:hAnsi="宋体" w:cs="宋体"/>
          <w:szCs w:val="21"/>
        </w:rPr>
      </w:pPr>
      <w:r>
        <w:rPr>
          <w:rFonts w:hint="eastAsia" w:ascii="宋体" w:hAnsi="宋体" w:cs="宋体"/>
          <w:szCs w:val="21"/>
        </w:rPr>
        <w:t>（1）电子交易平台发生故障而无法登录访问的；</w:t>
      </w:r>
    </w:p>
    <w:p>
      <w:pPr>
        <w:spacing w:line="360" w:lineRule="auto"/>
        <w:ind w:firstLine="539"/>
        <w:jc w:val="left"/>
        <w:rPr>
          <w:rFonts w:ascii="宋体" w:hAnsi="宋体" w:cs="宋体"/>
          <w:szCs w:val="21"/>
        </w:rPr>
      </w:pPr>
      <w:r>
        <w:rPr>
          <w:rFonts w:hint="eastAsia" w:ascii="宋体" w:hAnsi="宋体" w:cs="宋体"/>
          <w:szCs w:val="21"/>
        </w:rPr>
        <w:t>（2）电子交易平台应用或数据库出现错误，不能进行正常操作的；</w:t>
      </w:r>
    </w:p>
    <w:p>
      <w:pPr>
        <w:spacing w:line="360" w:lineRule="auto"/>
        <w:ind w:firstLine="539"/>
        <w:jc w:val="left"/>
        <w:rPr>
          <w:rFonts w:ascii="宋体" w:hAnsi="宋体" w:cs="宋体"/>
          <w:szCs w:val="21"/>
        </w:rPr>
      </w:pPr>
      <w:r>
        <w:rPr>
          <w:rFonts w:hint="eastAsia" w:ascii="宋体" w:hAnsi="宋体" w:cs="宋体"/>
          <w:szCs w:val="21"/>
        </w:rPr>
        <w:t>（3）电子交易平台发现严重安全漏洞，有潜在泄密危险的；</w:t>
      </w:r>
    </w:p>
    <w:p>
      <w:pPr>
        <w:spacing w:line="360" w:lineRule="auto"/>
        <w:ind w:firstLine="539"/>
        <w:jc w:val="left"/>
        <w:rPr>
          <w:rFonts w:ascii="宋体" w:hAnsi="宋体" w:cs="宋体"/>
          <w:szCs w:val="21"/>
        </w:rPr>
      </w:pPr>
      <w:r>
        <w:rPr>
          <w:rFonts w:hint="eastAsia" w:ascii="宋体" w:hAnsi="宋体" w:cs="宋体"/>
          <w:szCs w:val="21"/>
        </w:rPr>
        <w:t>（4）病毒发作导致不能进行正常操作的；</w:t>
      </w:r>
    </w:p>
    <w:p>
      <w:pPr>
        <w:spacing w:line="360" w:lineRule="auto"/>
        <w:ind w:firstLine="539"/>
        <w:jc w:val="left"/>
        <w:rPr>
          <w:rFonts w:ascii="宋体" w:hAnsi="宋体" w:cs="宋体"/>
          <w:szCs w:val="21"/>
        </w:rPr>
      </w:pPr>
      <w:r>
        <w:rPr>
          <w:rFonts w:hint="eastAsia" w:ascii="宋体" w:hAnsi="宋体" w:cs="宋体"/>
          <w:szCs w:val="21"/>
        </w:rPr>
        <w:t>（5）其他无法保证电子交易的公平、公正和安全的情况。</w:t>
      </w:r>
    </w:p>
    <w:p>
      <w:pPr>
        <w:spacing w:line="360" w:lineRule="auto"/>
        <w:ind w:firstLine="437"/>
        <w:jc w:val="left"/>
        <w:rPr>
          <w:rFonts w:ascii="宋体" w:hAnsi="宋体" w:cs="宋体"/>
          <w:szCs w:val="21"/>
        </w:rPr>
      </w:pPr>
      <w:r>
        <w:rPr>
          <w:rFonts w:hint="eastAsia" w:ascii="宋体" w:hAnsi="宋体" w:cs="宋体"/>
          <w:szCs w:val="21"/>
        </w:rPr>
        <w:t>出现前款规定情形，不影响采购公平、公正性的，采购组织机构可以待上述情形消除后继续组织电子交易活动，也可以决定某些环节以纸质形式进行；影响或可能影响采购公平、公正性的，应当重新采购。</w:t>
      </w:r>
    </w:p>
    <w:p>
      <w:pPr>
        <w:spacing w:line="360" w:lineRule="auto"/>
        <w:ind w:firstLine="420"/>
        <w:jc w:val="left"/>
        <w:rPr>
          <w:rFonts w:ascii="宋体" w:hAnsi="宋体" w:cs="宋体"/>
          <w:szCs w:val="21"/>
        </w:rPr>
      </w:pPr>
      <w:r>
        <w:rPr>
          <w:rFonts w:hint="eastAsia" w:ascii="宋体" w:hAnsi="宋体" w:cs="宋体"/>
          <w:szCs w:val="21"/>
        </w:rPr>
        <w:t>23.3废标后，采购人应当将废标理由通知所有供应商并重新组织招标；或者经主管部门批准，采取其他方式组织采购。</w:t>
      </w:r>
    </w:p>
    <w:p>
      <w:pPr>
        <w:spacing w:line="360" w:lineRule="auto"/>
        <w:ind w:firstLine="10"/>
        <w:jc w:val="left"/>
        <w:outlineLvl w:val="1"/>
        <w:rPr>
          <w:rFonts w:ascii="宋体" w:hAnsi="宋体" w:cs="宋体"/>
          <w:szCs w:val="21"/>
        </w:rPr>
      </w:pPr>
      <w:r>
        <w:rPr>
          <w:rFonts w:hint="eastAsia" w:ascii="宋体" w:hAnsi="宋体" w:cs="宋体"/>
          <w:szCs w:val="21"/>
        </w:rPr>
        <w:t>六、确定中标人及授予合同</w:t>
      </w:r>
    </w:p>
    <w:p>
      <w:pPr>
        <w:spacing w:line="360" w:lineRule="auto"/>
        <w:ind w:firstLine="431"/>
        <w:jc w:val="left"/>
        <w:rPr>
          <w:rFonts w:ascii="宋体" w:hAnsi="宋体" w:cs="宋体"/>
          <w:szCs w:val="21"/>
        </w:rPr>
      </w:pPr>
      <w:r>
        <w:rPr>
          <w:rFonts w:hint="eastAsia" w:ascii="宋体" w:hAnsi="宋体" w:cs="宋体"/>
          <w:szCs w:val="21"/>
        </w:rPr>
        <w:t>24．中标人的确定</w:t>
      </w:r>
    </w:p>
    <w:p>
      <w:pPr>
        <w:spacing w:line="360" w:lineRule="auto"/>
        <w:ind w:firstLine="431"/>
        <w:jc w:val="left"/>
        <w:rPr>
          <w:rFonts w:ascii="宋体" w:hAnsi="宋体" w:cs="宋体"/>
          <w:szCs w:val="21"/>
        </w:rPr>
      </w:pPr>
      <w:r>
        <w:rPr>
          <w:rFonts w:hint="eastAsia" w:ascii="宋体" w:hAnsi="宋体" w:cs="宋体"/>
          <w:szCs w:val="21"/>
        </w:rPr>
        <w:t>24.1采购代理机构应当自评审结束之日起2个工作日内将评审报告送交采购人。</w:t>
      </w:r>
    </w:p>
    <w:p>
      <w:pPr>
        <w:spacing w:line="360" w:lineRule="auto"/>
        <w:ind w:firstLine="420"/>
        <w:jc w:val="left"/>
        <w:rPr>
          <w:rFonts w:ascii="宋体" w:hAnsi="宋体" w:cs="宋体"/>
          <w:szCs w:val="21"/>
        </w:rPr>
      </w:pPr>
      <w:r>
        <w:rPr>
          <w:rFonts w:hint="eastAsia" w:ascii="宋体" w:hAnsi="宋体" w:cs="宋体"/>
          <w:szCs w:val="21"/>
        </w:rPr>
        <w:t>采购人应当自收到评标报告之日起5个工作日内，在评标报告确定的中标候选人名单中按顺序确定中标人。中标候选人并列的，由采购人或者采购人委托评标委员会按照采购文件规定的方式确定中标人；采购文件未规定的，采取随机抽取的方式确定。</w:t>
      </w:r>
    </w:p>
    <w:p>
      <w:pPr>
        <w:spacing w:line="360" w:lineRule="auto"/>
        <w:ind w:firstLine="411"/>
        <w:jc w:val="left"/>
        <w:rPr>
          <w:rFonts w:ascii="宋体" w:hAnsi="宋体" w:cs="宋体"/>
          <w:szCs w:val="21"/>
        </w:rPr>
      </w:pPr>
      <w:r>
        <w:rPr>
          <w:rFonts w:hint="eastAsia" w:ascii="宋体" w:hAnsi="宋体" w:cs="宋体"/>
          <w:szCs w:val="21"/>
        </w:rPr>
        <w:t>采购人在收到评标报告5个工作日内未按评标报告推荐的中标候选人顺序确定中标人，又不能说明合法理由的，视同按评标报告推荐的顺序确定排名第一的中标候选人为中标人。</w:t>
      </w:r>
    </w:p>
    <w:p>
      <w:pPr>
        <w:spacing w:line="360" w:lineRule="auto"/>
        <w:ind w:firstLine="402"/>
        <w:jc w:val="left"/>
        <w:rPr>
          <w:rFonts w:ascii="宋体" w:hAnsi="宋体" w:cs="宋体"/>
          <w:szCs w:val="21"/>
        </w:rPr>
      </w:pPr>
      <w:r>
        <w:rPr>
          <w:rFonts w:hint="eastAsia" w:ascii="宋体" w:hAnsi="宋体" w:cs="宋体"/>
          <w:szCs w:val="21"/>
        </w:rPr>
        <w:t>采购人或者采购代理机构应当自中标人确定之日起2个工作日内，在省级以上财政部门指定的媒体上公告中标结果，采购文件应当随中标结果同时公告。</w:t>
      </w:r>
    </w:p>
    <w:p>
      <w:pPr>
        <w:spacing w:line="360" w:lineRule="auto"/>
        <w:ind w:firstLine="435"/>
        <w:jc w:val="left"/>
        <w:rPr>
          <w:rFonts w:ascii="宋体" w:hAnsi="宋体" w:cs="宋体"/>
          <w:szCs w:val="21"/>
        </w:rPr>
      </w:pPr>
      <w:r>
        <w:rPr>
          <w:rFonts w:hint="eastAsia" w:ascii="宋体" w:hAnsi="宋体" w:cs="宋体"/>
          <w:szCs w:val="21"/>
        </w:rPr>
        <w:t>公告期限为1个工作日。</w:t>
      </w:r>
    </w:p>
    <w:p>
      <w:pPr>
        <w:spacing w:line="360" w:lineRule="auto"/>
        <w:ind w:firstLine="423"/>
        <w:jc w:val="left"/>
        <w:rPr>
          <w:rFonts w:ascii="宋体" w:hAnsi="宋体" w:cs="宋体"/>
          <w:szCs w:val="21"/>
        </w:rPr>
      </w:pPr>
      <w:r>
        <w:rPr>
          <w:rFonts w:hint="eastAsia" w:ascii="宋体" w:hAnsi="宋体" w:cs="宋体"/>
          <w:szCs w:val="21"/>
        </w:rPr>
        <w:t>24.2除国务院财政部门规定的情形外，采购人、采购代理机构不得以任何理由组织重新评审。采购人、采购代理机构按照国务院财政部门的规定组织重新评审的，应当书面报告本级人民政府财政部门。</w:t>
      </w:r>
    </w:p>
    <w:p>
      <w:pPr>
        <w:spacing w:line="360" w:lineRule="auto"/>
        <w:ind w:firstLine="431"/>
        <w:jc w:val="left"/>
        <w:rPr>
          <w:rFonts w:ascii="宋体" w:hAnsi="宋体" w:cs="宋体"/>
          <w:szCs w:val="21"/>
        </w:rPr>
      </w:pPr>
      <w:r>
        <w:rPr>
          <w:rFonts w:hint="eastAsia" w:ascii="宋体" w:hAnsi="宋体" w:cs="宋体"/>
          <w:szCs w:val="21"/>
        </w:rPr>
        <w:t>24.3中标通知书发出后，采购人不得违法改变中标结果，中标人无正当理由不得放弃中标。</w:t>
      </w:r>
    </w:p>
    <w:p>
      <w:pPr>
        <w:spacing w:line="360" w:lineRule="auto"/>
        <w:ind w:firstLine="423"/>
        <w:jc w:val="left"/>
        <w:rPr>
          <w:rFonts w:ascii="宋体" w:hAnsi="宋体" w:cs="宋体"/>
          <w:szCs w:val="21"/>
        </w:rPr>
      </w:pPr>
      <w:r>
        <w:rPr>
          <w:rFonts w:hint="eastAsia" w:ascii="宋体" w:hAnsi="宋体" w:cs="宋体"/>
          <w:szCs w:val="21"/>
        </w:rPr>
        <w:t>24.4中标人应为浙江政府采购注册供应商，如尚未注册，必须在投标截止前按照《浙江省政府采购供应商注册及诚信管理暂行办法》（浙财采监字［2009］28号）的相关规定，及时办理更新或供应商注册事项。</w:t>
      </w:r>
    </w:p>
    <w:p>
      <w:pPr>
        <w:spacing w:line="360" w:lineRule="auto"/>
        <w:ind w:firstLine="431"/>
        <w:jc w:val="left"/>
        <w:rPr>
          <w:rFonts w:ascii="宋体" w:hAnsi="宋体" w:cs="宋体"/>
          <w:szCs w:val="21"/>
        </w:rPr>
      </w:pPr>
      <w:r>
        <w:rPr>
          <w:rFonts w:hint="eastAsia" w:ascii="宋体" w:hAnsi="宋体" w:cs="宋体"/>
          <w:szCs w:val="21"/>
        </w:rPr>
        <w:t>25．合同授予</w:t>
      </w:r>
    </w:p>
    <w:p>
      <w:pPr>
        <w:spacing w:line="360" w:lineRule="auto"/>
        <w:ind w:firstLine="431"/>
        <w:jc w:val="left"/>
        <w:rPr>
          <w:rFonts w:ascii="宋体" w:hAnsi="宋体" w:cs="宋体"/>
          <w:szCs w:val="21"/>
        </w:rPr>
      </w:pPr>
      <w:r>
        <w:rPr>
          <w:rFonts w:hint="eastAsia" w:ascii="宋体" w:hAnsi="宋体" w:cs="宋体"/>
          <w:szCs w:val="21"/>
        </w:rPr>
        <w:t>25.1本项目的合同将授予按本须知第24.1款所确定的中标人。</w:t>
      </w:r>
    </w:p>
    <w:p>
      <w:pPr>
        <w:spacing w:line="360" w:lineRule="auto"/>
        <w:ind w:firstLine="431"/>
        <w:jc w:val="left"/>
        <w:rPr>
          <w:rFonts w:ascii="宋体" w:hAnsi="宋体" w:cs="宋体"/>
          <w:szCs w:val="21"/>
        </w:rPr>
      </w:pPr>
      <w:r>
        <w:rPr>
          <w:rFonts w:hint="eastAsia" w:ascii="宋体" w:hAnsi="宋体" w:cs="宋体"/>
          <w:szCs w:val="21"/>
        </w:rPr>
        <w:t>25.2中标或者中标供应商拒绝与采购人签订合同的，采购人可以按照评审报告推荐的中标或者成交候选人名单排序，确定下一候选人为中标或者中标供应商，也可以重新开展政府采购活动。</w:t>
      </w:r>
    </w:p>
    <w:p>
      <w:pPr>
        <w:spacing w:line="360" w:lineRule="auto"/>
        <w:ind w:firstLine="431"/>
        <w:jc w:val="left"/>
        <w:rPr>
          <w:rFonts w:ascii="宋体" w:hAnsi="宋体" w:cs="宋体"/>
          <w:szCs w:val="21"/>
        </w:rPr>
      </w:pPr>
      <w:r>
        <w:rPr>
          <w:rFonts w:hint="eastAsia" w:ascii="宋体" w:hAnsi="宋体" w:cs="宋体"/>
          <w:szCs w:val="21"/>
        </w:rPr>
        <w:t>26．签订合同</w:t>
      </w:r>
    </w:p>
    <w:p>
      <w:pPr>
        <w:spacing w:line="360" w:lineRule="auto"/>
        <w:ind w:firstLine="424"/>
        <w:jc w:val="left"/>
        <w:rPr>
          <w:rFonts w:ascii="宋体" w:hAnsi="宋体" w:cs="宋体"/>
          <w:szCs w:val="21"/>
        </w:rPr>
      </w:pPr>
      <w:r>
        <w:rPr>
          <w:rFonts w:hint="eastAsia" w:ascii="宋体" w:hAnsi="宋体" w:cs="宋体"/>
          <w:szCs w:val="21"/>
        </w:rPr>
        <w:t>26.1中标人应按中标通知书规定的时间与采购人签订合同。如中标人为联合体的，由联合体成员各方法定代表人或其授权代表与采购人代表签订合同。中标人在领取中标通知书时须向采购人提供一份关于本项目在实施过程中的相关人员的通讯录作为合同附件。</w:t>
      </w:r>
    </w:p>
    <w:p>
      <w:pPr>
        <w:spacing w:line="360" w:lineRule="auto"/>
        <w:ind w:firstLine="422"/>
        <w:jc w:val="left"/>
        <w:rPr>
          <w:rFonts w:ascii="宋体" w:hAnsi="宋体" w:cs="宋体"/>
          <w:szCs w:val="21"/>
        </w:rPr>
      </w:pPr>
      <w:r>
        <w:rPr>
          <w:rFonts w:hint="eastAsia" w:ascii="宋体" w:hAnsi="宋体" w:cs="宋体"/>
          <w:szCs w:val="21"/>
        </w:rPr>
        <w:t>26.2中标人如不遵守采购文件或投标文件各项条款的邀约与要约，或在接到中标通知书后借故拖延，拒签合同的，采购人将依据国家和采购文件有关规定要求中标人予以赔偿，同时采购人可根据25.2的原则另行选择中标人；</w:t>
      </w:r>
    </w:p>
    <w:p>
      <w:pPr>
        <w:spacing w:line="360" w:lineRule="auto"/>
        <w:ind w:firstLine="421"/>
        <w:jc w:val="left"/>
        <w:rPr>
          <w:rFonts w:ascii="宋体" w:hAnsi="宋体" w:cs="宋体"/>
          <w:szCs w:val="21"/>
        </w:rPr>
      </w:pPr>
      <w:r>
        <w:rPr>
          <w:rFonts w:hint="eastAsia" w:ascii="宋体" w:hAnsi="宋体" w:cs="宋体"/>
          <w:szCs w:val="21"/>
        </w:rPr>
        <w:t>26.3采购文件、中标人的投标文件及投标修改文件、评标过程中有关澄清文件及经供应商法定代表人或授权代表签字确认的询标回复和承诺及中标通知书均作为合同组成部分。</w:t>
      </w:r>
    </w:p>
    <w:p>
      <w:pPr>
        <w:spacing w:line="360" w:lineRule="auto"/>
        <w:ind w:firstLine="431"/>
        <w:jc w:val="left"/>
        <w:rPr>
          <w:rFonts w:ascii="宋体" w:hAnsi="宋体" w:cs="宋体"/>
          <w:szCs w:val="21"/>
        </w:rPr>
      </w:pPr>
      <w:r>
        <w:rPr>
          <w:rFonts w:hint="eastAsia" w:ascii="宋体" w:hAnsi="宋体" w:cs="宋体"/>
          <w:szCs w:val="21"/>
        </w:rPr>
        <w:t>27．履约保证金</w:t>
      </w:r>
    </w:p>
    <w:p>
      <w:pPr>
        <w:spacing w:line="360" w:lineRule="auto"/>
        <w:ind w:firstLine="431"/>
        <w:jc w:val="left"/>
        <w:rPr>
          <w:rFonts w:ascii="宋体" w:hAnsi="宋体" w:cs="宋体"/>
          <w:szCs w:val="21"/>
        </w:rPr>
      </w:pPr>
      <w:r>
        <w:rPr>
          <w:rFonts w:hint="eastAsia" w:ascii="宋体" w:hAnsi="宋体" w:cs="宋体"/>
          <w:szCs w:val="21"/>
        </w:rPr>
        <w:t>27.1履约保证金内容详见前附表。</w:t>
      </w:r>
    </w:p>
    <w:p>
      <w:pPr>
        <w:spacing w:line="360" w:lineRule="auto"/>
        <w:ind w:firstLine="431"/>
        <w:jc w:val="left"/>
        <w:rPr>
          <w:rFonts w:ascii="宋体" w:hAnsi="宋体" w:cs="宋体"/>
          <w:szCs w:val="21"/>
        </w:rPr>
      </w:pPr>
      <w:r>
        <w:rPr>
          <w:rFonts w:hint="eastAsia" w:ascii="宋体" w:hAnsi="宋体" w:cs="宋体"/>
          <w:szCs w:val="21"/>
        </w:rPr>
        <w:t>28.采购代理服务费</w:t>
      </w:r>
    </w:p>
    <w:p>
      <w:pPr>
        <w:spacing w:line="360" w:lineRule="auto"/>
        <w:ind w:firstLine="429"/>
        <w:jc w:val="left"/>
        <w:rPr>
          <w:rFonts w:ascii="宋体" w:hAnsi="宋体" w:cs="宋体"/>
          <w:szCs w:val="21"/>
        </w:rPr>
      </w:pPr>
      <w:r>
        <w:rPr>
          <w:rFonts w:hint="eastAsia" w:ascii="宋体" w:hAnsi="宋体" w:cs="宋体"/>
          <w:szCs w:val="21"/>
        </w:rPr>
        <w:t>本项目的采购代理费由中标人支付，收费标准详见前附表。</w:t>
      </w:r>
    </w:p>
    <w:p>
      <w:pPr>
        <w:spacing w:line="360" w:lineRule="auto"/>
        <w:ind w:firstLine="431"/>
        <w:jc w:val="left"/>
        <w:rPr>
          <w:rFonts w:ascii="宋体" w:hAnsi="宋体" w:cs="宋体"/>
          <w:szCs w:val="21"/>
        </w:rPr>
      </w:pPr>
      <w:r>
        <w:rPr>
          <w:rFonts w:hint="eastAsia" w:ascii="宋体" w:hAnsi="宋体" w:cs="宋体"/>
          <w:szCs w:val="21"/>
        </w:rPr>
        <w:t>29.质疑与投诉</w:t>
      </w:r>
    </w:p>
    <w:p>
      <w:pPr>
        <w:spacing w:line="360" w:lineRule="auto"/>
        <w:ind w:firstLine="420"/>
        <w:jc w:val="left"/>
        <w:rPr>
          <w:rFonts w:ascii="宋体" w:hAnsi="宋体" w:cs="宋体"/>
          <w:szCs w:val="21"/>
        </w:rPr>
      </w:pPr>
      <w:r>
        <w:rPr>
          <w:rFonts w:hint="eastAsia" w:ascii="宋体" w:hAnsi="宋体" w:cs="宋体"/>
          <w:szCs w:val="21"/>
        </w:rPr>
        <w:t>根据《中华人民共和国政府采购法》、《财政部关于加强政府采购供应商投诉受理审查工作的通知》(财库〔2007〕1号)和《政府采购质疑和投诉办法》（财政部令第94号）的规定，政府采购供应商可以依法提起质疑和投诉。</w:t>
      </w:r>
    </w:p>
    <w:p>
      <w:pPr>
        <w:spacing w:line="360" w:lineRule="auto"/>
        <w:ind w:firstLine="429"/>
        <w:jc w:val="left"/>
        <w:rPr>
          <w:rFonts w:ascii="宋体" w:hAnsi="宋体" w:cs="宋体"/>
          <w:szCs w:val="21"/>
        </w:rPr>
      </w:pPr>
      <w:r>
        <w:rPr>
          <w:rFonts w:hint="eastAsia" w:ascii="宋体" w:hAnsi="宋体" w:cs="宋体"/>
          <w:szCs w:val="21"/>
        </w:rPr>
        <w:t>质疑函范本、投诉书范本请到浙江政府采购网下载专区下载。</w:t>
      </w:r>
    </w:p>
    <w:p>
      <w:pPr>
        <w:spacing w:line="360" w:lineRule="auto"/>
        <w:ind w:firstLine="431"/>
        <w:jc w:val="left"/>
        <w:rPr>
          <w:rFonts w:ascii="宋体" w:hAnsi="宋体" w:cs="宋体"/>
          <w:szCs w:val="21"/>
        </w:rPr>
      </w:pPr>
      <w:r>
        <w:rPr>
          <w:rFonts w:hint="eastAsia" w:ascii="宋体" w:hAnsi="宋体" w:cs="宋体"/>
          <w:szCs w:val="21"/>
        </w:rPr>
        <w:t>29.1供应商询问</w:t>
      </w:r>
    </w:p>
    <w:p>
      <w:pPr>
        <w:spacing w:line="360" w:lineRule="auto"/>
        <w:ind w:firstLine="420"/>
        <w:jc w:val="left"/>
        <w:rPr>
          <w:rFonts w:ascii="宋体" w:hAnsi="宋体" w:cs="宋体"/>
          <w:szCs w:val="21"/>
        </w:rPr>
      </w:pPr>
      <w:r>
        <w:rPr>
          <w:rFonts w:hint="eastAsia" w:ascii="宋体" w:hAnsi="宋体" w:cs="宋体"/>
          <w:szCs w:val="21"/>
        </w:rPr>
        <w:t>供应商对政府采购活动事项有疑问的，可以向采购机构提出询问，采购人或者采购代理机构应当在3个工作日内对供应商依法提出的询问作出答复，但答复的内容不得涉及商业秘密。</w:t>
      </w:r>
    </w:p>
    <w:p>
      <w:pPr>
        <w:spacing w:line="360" w:lineRule="auto"/>
        <w:ind w:firstLine="431"/>
        <w:jc w:val="left"/>
        <w:rPr>
          <w:rFonts w:ascii="宋体" w:hAnsi="宋体" w:cs="宋体"/>
          <w:szCs w:val="21"/>
        </w:rPr>
      </w:pPr>
      <w:r>
        <w:rPr>
          <w:rFonts w:hint="eastAsia" w:ascii="宋体" w:hAnsi="宋体" w:cs="宋体"/>
          <w:szCs w:val="21"/>
        </w:rPr>
        <w:t>29.2供应商质疑</w:t>
      </w:r>
    </w:p>
    <w:p>
      <w:pPr>
        <w:spacing w:line="360" w:lineRule="auto"/>
        <w:ind w:firstLine="404"/>
        <w:jc w:val="left"/>
        <w:rPr>
          <w:rFonts w:ascii="宋体" w:hAnsi="宋体" w:cs="宋体"/>
          <w:szCs w:val="21"/>
        </w:rPr>
      </w:pPr>
      <w:r>
        <w:rPr>
          <w:rFonts w:hint="eastAsia" w:ascii="宋体" w:hAnsi="宋体" w:cs="宋体"/>
          <w:szCs w:val="21"/>
        </w:rPr>
        <w:t>29.2.1供应商认为采购文件、采购过程、中标或者成交结果使自己的权益受到损害的，可以在知道或者应知其权益受到损害之日起7个工作日内，以书面形式向采购人、采购代理机构提出质疑。</w:t>
      </w:r>
    </w:p>
    <w:p>
      <w:pPr>
        <w:spacing w:line="360" w:lineRule="auto"/>
        <w:ind w:firstLine="429"/>
        <w:jc w:val="left"/>
        <w:rPr>
          <w:rFonts w:ascii="宋体" w:hAnsi="宋体" w:cs="宋体"/>
          <w:szCs w:val="21"/>
        </w:rPr>
      </w:pPr>
      <w:r>
        <w:rPr>
          <w:rFonts w:hint="eastAsia" w:ascii="宋体" w:hAnsi="宋体" w:cs="宋体"/>
          <w:szCs w:val="21"/>
        </w:rPr>
        <w:t>本项目要求供应商在法定质疑期内一次性提出针对同一采购程序环节的质疑。</w:t>
      </w:r>
    </w:p>
    <w:p>
      <w:pPr>
        <w:spacing w:line="360" w:lineRule="auto"/>
        <w:ind w:firstLine="431"/>
        <w:jc w:val="left"/>
        <w:rPr>
          <w:rFonts w:ascii="宋体" w:hAnsi="宋体" w:cs="宋体"/>
          <w:szCs w:val="21"/>
        </w:rPr>
      </w:pPr>
      <w:r>
        <w:rPr>
          <w:rFonts w:hint="eastAsia" w:ascii="宋体" w:hAnsi="宋体" w:cs="宋体"/>
          <w:szCs w:val="21"/>
        </w:rPr>
        <w:t>29.2.2提出质疑的供应商（以下简称质疑人）应当是参与所质疑项目采购活动的供应商。</w:t>
      </w:r>
    </w:p>
    <w:p>
      <w:pPr>
        <w:spacing w:line="360" w:lineRule="auto"/>
        <w:ind w:firstLine="416"/>
        <w:jc w:val="left"/>
        <w:rPr>
          <w:rFonts w:ascii="宋体" w:hAnsi="宋体" w:cs="宋体"/>
          <w:szCs w:val="21"/>
        </w:rPr>
      </w:pPr>
      <w:r>
        <w:rPr>
          <w:rFonts w:hint="eastAsia" w:ascii="宋体" w:hAnsi="宋体" w:cs="宋体"/>
          <w:szCs w:val="21"/>
        </w:rPr>
        <w:t>潜在供应商已依法获取其可质疑的采购文件的，可以对该文件提出质疑。对采购文件提出质疑的，应当在获取采购文件或者采购文件公告期限届满之日起7个工作日内提出。</w:t>
      </w:r>
    </w:p>
    <w:p>
      <w:pPr>
        <w:spacing w:line="360" w:lineRule="auto"/>
        <w:ind w:firstLine="431"/>
        <w:jc w:val="left"/>
        <w:rPr>
          <w:rFonts w:ascii="宋体" w:hAnsi="宋体" w:cs="宋体"/>
          <w:szCs w:val="21"/>
        </w:rPr>
      </w:pPr>
      <w:r>
        <w:rPr>
          <w:rFonts w:hint="eastAsia" w:ascii="宋体" w:hAnsi="宋体" w:cs="宋体"/>
          <w:szCs w:val="21"/>
        </w:rPr>
        <w:t>29.2.3供应商提出质疑应当提交质疑函和必要的证明材料。质疑函应当包括下列内容：</w:t>
      </w:r>
    </w:p>
    <w:p>
      <w:pPr>
        <w:spacing w:line="360" w:lineRule="auto"/>
        <w:ind w:firstLine="539"/>
        <w:jc w:val="left"/>
        <w:rPr>
          <w:rFonts w:ascii="宋体" w:hAnsi="宋体" w:cs="宋体"/>
          <w:szCs w:val="21"/>
        </w:rPr>
      </w:pPr>
      <w:r>
        <w:rPr>
          <w:rFonts w:hint="eastAsia" w:ascii="宋体" w:hAnsi="宋体" w:cs="宋体"/>
          <w:szCs w:val="21"/>
        </w:rPr>
        <w:t>（一）供应商的姓名或者名称、地址、邮编、联系人及联系电话；</w:t>
      </w:r>
    </w:p>
    <w:p>
      <w:pPr>
        <w:spacing w:line="360" w:lineRule="auto"/>
        <w:ind w:firstLine="539"/>
        <w:jc w:val="left"/>
        <w:rPr>
          <w:rFonts w:ascii="宋体" w:hAnsi="宋体" w:cs="宋体"/>
          <w:szCs w:val="21"/>
        </w:rPr>
      </w:pPr>
      <w:r>
        <w:rPr>
          <w:rFonts w:hint="eastAsia" w:ascii="宋体" w:hAnsi="宋体" w:cs="宋体"/>
          <w:szCs w:val="21"/>
        </w:rPr>
        <w:t>（二）质疑项目的名称、编号；</w:t>
      </w:r>
    </w:p>
    <w:p>
      <w:pPr>
        <w:spacing w:line="360" w:lineRule="auto"/>
        <w:ind w:firstLine="539"/>
        <w:jc w:val="left"/>
        <w:rPr>
          <w:rFonts w:ascii="宋体" w:hAnsi="宋体" w:cs="宋体"/>
          <w:szCs w:val="21"/>
        </w:rPr>
      </w:pPr>
      <w:r>
        <w:rPr>
          <w:rFonts w:hint="eastAsia" w:ascii="宋体" w:hAnsi="宋体" w:cs="宋体"/>
          <w:szCs w:val="21"/>
        </w:rPr>
        <w:t>（三）具体、明确的质疑事项和与质疑事项相关的请求；</w:t>
      </w:r>
    </w:p>
    <w:p>
      <w:pPr>
        <w:spacing w:line="360" w:lineRule="auto"/>
        <w:ind w:firstLine="539"/>
        <w:jc w:val="left"/>
        <w:rPr>
          <w:rFonts w:ascii="宋体" w:hAnsi="宋体" w:cs="宋体"/>
          <w:szCs w:val="21"/>
        </w:rPr>
      </w:pPr>
      <w:r>
        <w:rPr>
          <w:rFonts w:hint="eastAsia" w:ascii="宋体" w:hAnsi="宋体" w:cs="宋体"/>
          <w:szCs w:val="21"/>
        </w:rPr>
        <w:t>（四）事实依据；</w:t>
      </w:r>
    </w:p>
    <w:p>
      <w:pPr>
        <w:spacing w:line="360" w:lineRule="auto"/>
        <w:ind w:firstLine="539"/>
        <w:jc w:val="left"/>
        <w:rPr>
          <w:rFonts w:ascii="宋体" w:hAnsi="宋体" w:cs="宋体"/>
          <w:szCs w:val="21"/>
        </w:rPr>
      </w:pPr>
      <w:r>
        <w:rPr>
          <w:rFonts w:hint="eastAsia" w:ascii="宋体" w:hAnsi="宋体" w:cs="宋体"/>
          <w:szCs w:val="21"/>
        </w:rPr>
        <w:t>（五）必要的法律依据；</w:t>
      </w:r>
    </w:p>
    <w:p>
      <w:pPr>
        <w:spacing w:line="360" w:lineRule="auto"/>
        <w:ind w:firstLine="539"/>
        <w:jc w:val="left"/>
        <w:rPr>
          <w:rFonts w:ascii="宋体" w:hAnsi="宋体" w:cs="宋体"/>
          <w:szCs w:val="21"/>
        </w:rPr>
      </w:pPr>
      <w:r>
        <w:rPr>
          <w:rFonts w:hint="eastAsia" w:ascii="宋体" w:hAnsi="宋体" w:cs="宋体"/>
          <w:szCs w:val="21"/>
        </w:rPr>
        <w:t>（六）提出质疑的日期。</w:t>
      </w:r>
    </w:p>
    <w:p>
      <w:pPr>
        <w:spacing w:line="360" w:lineRule="auto"/>
        <w:ind w:firstLine="418"/>
        <w:jc w:val="left"/>
        <w:rPr>
          <w:rFonts w:ascii="宋体" w:hAnsi="宋体" w:cs="宋体"/>
          <w:szCs w:val="21"/>
        </w:rPr>
      </w:pPr>
      <w:r>
        <w:rPr>
          <w:rFonts w:hint="eastAsia" w:ascii="宋体" w:hAnsi="宋体" w:cs="宋体"/>
          <w:szCs w:val="21"/>
        </w:rPr>
        <w:t>供应商为自然人的，应当由本人签字；供应商为法人或者其他组织的，应当由法定代表人、主要负责人，或者其授权代表签字或者盖章，并加盖公章。</w:t>
      </w:r>
    </w:p>
    <w:p>
      <w:pPr>
        <w:spacing w:line="360" w:lineRule="auto"/>
        <w:ind w:firstLine="417"/>
        <w:jc w:val="left"/>
        <w:rPr>
          <w:rFonts w:ascii="宋体" w:hAnsi="宋体" w:cs="宋体"/>
          <w:szCs w:val="21"/>
        </w:rPr>
      </w:pPr>
      <w:r>
        <w:rPr>
          <w:rFonts w:hint="eastAsia" w:ascii="宋体" w:hAnsi="宋体" w:cs="宋体"/>
          <w:szCs w:val="21"/>
        </w:rPr>
        <w:t>29.2.4采购人、采购代理机构在收到法定质疑期内发出的质疑函后7个工作日内作出答复，并以书面形式通知质疑人和其他有关供应商。质疑答复的内容不得涉及商业秘密。</w:t>
      </w:r>
    </w:p>
    <w:p>
      <w:pPr>
        <w:spacing w:line="360" w:lineRule="auto"/>
        <w:ind w:firstLine="431"/>
        <w:jc w:val="left"/>
        <w:rPr>
          <w:rFonts w:ascii="宋体" w:hAnsi="宋体" w:cs="宋体"/>
          <w:szCs w:val="21"/>
        </w:rPr>
      </w:pPr>
      <w:r>
        <w:rPr>
          <w:rFonts w:hint="eastAsia" w:ascii="宋体" w:hAnsi="宋体" w:cs="宋体"/>
          <w:szCs w:val="21"/>
        </w:rPr>
        <w:t>29.3供应商投诉</w:t>
      </w:r>
    </w:p>
    <w:p>
      <w:pPr>
        <w:spacing w:line="360" w:lineRule="auto"/>
        <w:ind w:firstLine="415"/>
        <w:jc w:val="left"/>
        <w:rPr>
          <w:rFonts w:ascii="宋体" w:hAnsi="宋体" w:cs="宋体"/>
          <w:szCs w:val="21"/>
        </w:rPr>
      </w:pPr>
      <w:r>
        <w:rPr>
          <w:rFonts w:hint="eastAsia" w:ascii="宋体" w:hAnsi="宋体" w:cs="宋体"/>
          <w:szCs w:val="21"/>
        </w:rPr>
        <w:t>质疑供应商对采购机构的答复不满意或者采购机构未在规定的时间内作出答复的，可以在答复期满后十五个工作日内向同级政府采购监督管理部门提出投诉。</w:t>
      </w:r>
    </w:p>
    <w:p>
      <w:pPr>
        <w:spacing w:line="360" w:lineRule="auto"/>
        <w:ind w:firstLine="431"/>
        <w:jc w:val="left"/>
        <w:rPr>
          <w:rFonts w:ascii="宋体" w:hAnsi="宋体" w:cs="宋体"/>
          <w:szCs w:val="21"/>
        </w:rPr>
      </w:pPr>
      <w:r>
        <w:rPr>
          <w:rFonts w:hint="eastAsia" w:ascii="宋体" w:hAnsi="宋体" w:cs="宋体"/>
          <w:szCs w:val="21"/>
        </w:rPr>
        <w:t>30．采购结束</w:t>
      </w:r>
    </w:p>
    <w:p>
      <w:pPr>
        <w:spacing w:line="360" w:lineRule="auto"/>
        <w:ind w:firstLine="433"/>
        <w:jc w:val="left"/>
        <w:rPr>
          <w:rFonts w:ascii="宋体" w:hAnsi="宋体" w:cs="宋体"/>
          <w:szCs w:val="21"/>
        </w:rPr>
      </w:pPr>
      <w:r>
        <w:rPr>
          <w:rFonts w:hint="eastAsia" w:ascii="宋体" w:hAnsi="宋体" w:cs="宋体"/>
          <w:szCs w:val="21"/>
        </w:rPr>
        <w:t>30.1中标人与采购人签订合同生效后即为采购结束。</w:t>
      </w:r>
    </w:p>
    <w:p>
      <w:pPr>
        <w:spacing w:line="360" w:lineRule="auto"/>
        <w:ind w:firstLine="433"/>
        <w:jc w:val="left"/>
        <w:rPr>
          <w:rFonts w:ascii="宋体" w:hAnsi="宋体" w:cs="宋体"/>
          <w:szCs w:val="21"/>
        </w:rPr>
      </w:pPr>
      <w:r>
        <w:rPr>
          <w:rFonts w:hint="eastAsia" w:ascii="宋体" w:hAnsi="宋体" w:cs="宋体"/>
          <w:szCs w:val="21"/>
        </w:rPr>
        <w:t>30.2本项目的投标文件不予退回。</w:t>
      </w:r>
    </w:p>
    <w:p>
      <w:pPr>
        <w:spacing w:line="360" w:lineRule="auto"/>
        <w:jc w:val="left"/>
        <w:rPr>
          <w:rFonts w:ascii="宋体" w:hAnsi="宋体" w:cs="宋体"/>
          <w:szCs w:val="21"/>
        </w:rPr>
        <w:sectPr>
          <w:pgSz w:w="11850" w:h="16783"/>
          <w:pgMar w:top="1440" w:right="1800" w:bottom="1440" w:left="1800" w:header="878" w:footer="1045" w:gutter="0"/>
          <w:cols w:space="720" w:num="1"/>
        </w:sectPr>
      </w:pPr>
    </w:p>
    <w:p>
      <w:pPr>
        <w:pStyle w:val="3"/>
        <w:rPr>
          <w:rFonts w:ascii="宋体" w:hAnsi="宋体" w:cs="宋体"/>
          <w:color w:val="auto"/>
        </w:rPr>
      </w:pPr>
      <w:bookmarkStart w:id="19" w:name="_Toc401236942"/>
      <w:bookmarkStart w:id="20" w:name="_Toc470431973"/>
      <w:bookmarkStart w:id="21" w:name="_Toc29749"/>
      <w:bookmarkStart w:id="22" w:name="_Hlk9793844"/>
      <w:bookmarkStart w:id="23" w:name="_Hlk9797779"/>
      <w:bookmarkStart w:id="24" w:name="_Toc211745570"/>
      <w:bookmarkStart w:id="25" w:name="_Toc82873329"/>
      <w:bookmarkStart w:id="26" w:name="_Toc82338246"/>
      <w:r>
        <w:rPr>
          <w:rFonts w:hint="eastAsia" w:ascii="宋体" w:hAnsi="宋体" w:cs="宋体"/>
          <w:color w:val="auto"/>
        </w:rPr>
        <w:t>第四章</w:t>
      </w:r>
      <w:bookmarkEnd w:id="19"/>
      <w:bookmarkEnd w:id="20"/>
      <w:r>
        <w:rPr>
          <w:rFonts w:hint="eastAsia" w:ascii="宋体" w:hAnsi="宋体" w:cs="宋体"/>
          <w:color w:val="auto"/>
        </w:rPr>
        <w:t xml:space="preserve">  采购合同主要条款</w:t>
      </w:r>
      <w:bookmarkEnd w:id="21"/>
    </w:p>
    <w:bookmarkEnd w:id="22"/>
    <w:bookmarkEnd w:id="23"/>
    <w:p>
      <w:pPr>
        <w:spacing w:line="360" w:lineRule="auto"/>
        <w:rPr>
          <w:rFonts w:ascii="宋体" w:hAnsi="宋体" w:cs="宋体"/>
          <w:sz w:val="24"/>
          <w:u w:val="single"/>
        </w:rPr>
      </w:pPr>
      <w:r>
        <w:rPr>
          <w:rFonts w:hint="eastAsia" w:ascii="宋体" w:hAnsi="宋体" w:cs="宋体"/>
          <w:sz w:val="24"/>
        </w:rPr>
        <w:t>合同编号：</w:t>
      </w:r>
      <w:r>
        <w:rPr>
          <w:rFonts w:hint="eastAsia" w:ascii="宋体" w:hAnsi="宋体" w:cs="宋体"/>
          <w:sz w:val="24"/>
          <w:u w:val="single"/>
        </w:rPr>
        <w:t xml:space="preserve">           </w:t>
      </w:r>
    </w:p>
    <w:p>
      <w:pPr>
        <w:spacing w:line="360" w:lineRule="auto"/>
        <w:rPr>
          <w:rFonts w:ascii="宋体" w:hAnsi="宋体" w:cs="宋体"/>
          <w:sz w:val="24"/>
          <w:u w:val="single"/>
        </w:rPr>
      </w:pPr>
    </w:p>
    <w:p>
      <w:pPr>
        <w:spacing w:line="360" w:lineRule="auto"/>
        <w:jc w:val="center"/>
        <w:rPr>
          <w:rFonts w:ascii="宋体" w:hAnsi="宋体" w:cs="宋体"/>
          <w:sz w:val="24"/>
        </w:rPr>
      </w:pPr>
      <w:r>
        <w:rPr>
          <w:rFonts w:hint="eastAsia" w:ascii="宋体" w:hAnsi="宋体" w:cs="宋体"/>
          <w:sz w:val="24"/>
        </w:rPr>
        <w:t>政府采购合同书</w:t>
      </w:r>
    </w:p>
    <w:p>
      <w:pPr>
        <w:pStyle w:val="32"/>
        <w:rPr>
          <w:rFonts w:ascii="宋体" w:hAnsi="宋体" w:cs="宋体"/>
          <w:szCs w:val="24"/>
          <w:lang w:eastAsia="zh-CN"/>
        </w:rPr>
      </w:pPr>
    </w:p>
    <w:p>
      <w:pPr>
        <w:pStyle w:val="32"/>
        <w:rPr>
          <w:rFonts w:ascii="宋体" w:hAnsi="宋体" w:cs="宋体"/>
          <w:szCs w:val="24"/>
          <w:lang w:eastAsia="zh-CN"/>
        </w:rPr>
      </w:pPr>
    </w:p>
    <w:p>
      <w:pPr>
        <w:spacing w:before="120" w:line="360" w:lineRule="auto"/>
        <w:rPr>
          <w:rFonts w:ascii="宋体" w:hAnsi="宋体" w:cs="宋体"/>
          <w:sz w:val="24"/>
        </w:rPr>
      </w:pPr>
    </w:p>
    <w:p>
      <w:pPr>
        <w:spacing w:before="120" w:line="360" w:lineRule="auto"/>
        <w:ind w:left="960"/>
        <w:rPr>
          <w:rFonts w:ascii="宋体" w:hAnsi="宋体" w:cs="宋体"/>
          <w:sz w:val="24"/>
        </w:rPr>
      </w:pPr>
      <w:r>
        <w:rPr>
          <w:rFonts w:hint="eastAsia" w:ascii="宋体" w:hAnsi="宋体" w:cs="宋体"/>
          <w:sz w:val="24"/>
        </w:rPr>
        <w:t>项目名称：</w:t>
      </w:r>
      <w:r>
        <w:rPr>
          <w:rFonts w:hint="eastAsia" w:ascii="宋体" w:hAnsi="宋体" w:cs="宋体"/>
          <w:sz w:val="24"/>
          <w:u w:val="single"/>
        </w:rPr>
        <w:t xml:space="preserve">                                  </w:t>
      </w:r>
    </w:p>
    <w:p>
      <w:pPr>
        <w:spacing w:before="120" w:line="360" w:lineRule="auto"/>
        <w:ind w:left="960"/>
        <w:rPr>
          <w:rFonts w:ascii="宋体" w:hAnsi="宋体" w:cs="宋体"/>
        </w:rPr>
      </w:pPr>
    </w:p>
    <w:p>
      <w:pPr>
        <w:pStyle w:val="33"/>
        <w:spacing w:before="120"/>
        <w:rPr>
          <w:rFonts w:ascii="宋体" w:hAnsi="宋体" w:eastAsia="宋体" w:cs="宋体"/>
          <w:szCs w:val="24"/>
        </w:rPr>
      </w:pPr>
    </w:p>
    <w:p>
      <w:pPr>
        <w:spacing w:line="360" w:lineRule="auto"/>
        <w:rPr>
          <w:rFonts w:ascii="宋体" w:hAnsi="宋体" w:cs="宋体"/>
          <w:sz w:val="24"/>
        </w:rPr>
      </w:pPr>
    </w:p>
    <w:p>
      <w:pPr>
        <w:spacing w:before="120" w:line="360" w:lineRule="auto"/>
        <w:ind w:left="960"/>
        <w:rPr>
          <w:rFonts w:ascii="宋体" w:hAnsi="宋体" w:cs="宋体"/>
          <w:sz w:val="24"/>
          <w:u w:val="single"/>
        </w:rPr>
      </w:pPr>
      <w:r>
        <w:rPr>
          <w:rFonts w:hint="eastAsia" w:ascii="宋体" w:hAnsi="宋体" w:cs="宋体"/>
          <w:sz w:val="24"/>
        </w:rPr>
        <w:t>甲方：</w:t>
      </w:r>
      <w:r>
        <w:rPr>
          <w:rFonts w:hint="eastAsia" w:ascii="宋体" w:hAnsi="宋体" w:cs="宋体"/>
          <w:sz w:val="24"/>
          <w:u w:val="single"/>
        </w:rPr>
        <w:t xml:space="preserve">                                       </w:t>
      </w:r>
    </w:p>
    <w:p>
      <w:pPr>
        <w:spacing w:before="120" w:line="360" w:lineRule="auto"/>
        <w:rPr>
          <w:rFonts w:ascii="宋体" w:hAnsi="宋体" w:cs="宋体"/>
          <w:sz w:val="24"/>
        </w:rPr>
      </w:pPr>
    </w:p>
    <w:p>
      <w:pPr>
        <w:spacing w:before="120" w:line="360" w:lineRule="auto"/>
        <w:ind w:left="960"/>
        <w:rPr>
          <w:rFonts w:ascii="宋体" w:hAnsi="宋体" w:cs="宋体"/>
          <w:sz w:val="24"/>
          <w:u w:val="single"/>
        </w:rPr>
      </w:pPr>
      <w:r>
        <w:rPr>
          <w:rFonts w:hint="eastAsia" w:ascii="宋体" w:hAnsi="宋体" w:cs="宋体"/>
          <w:sz w:val="24"/>
        </w:rPr>
        <w:t>乙方：</w:t>
      </w:r>
      <w:r>
        <w:rPr>
          <w:rFonts w:hint="eastAsia" w:ascii="宋体" w:hAnsi="宋体" w:cs="宋体"/>
          <w:sz w:val="24"/>
          <w:u w:val="single"/>
        </w:rPr>
        <w:t xml:space="preserve">                                       </w:t>
      </w:r>
    </w:p>
    <w:p>
      <w:pPr>
        <w:spacing w:before="120" w:line="360" w:lineRule="auto"/>
        <w:rPr>
          <w:rFonts w:ascii="宋体" w:hAnsi="宋体" w:cs="宋体"/>
          <w:sz w:val="24"/>
        </w:rPr>
      </w:pPr>
    </w:p>
    <w:p>
      <w:pPr>
        <w:spacing w:before="120" w:line="360" w:lineRule="auto"/>
        <w:ind w:firstLine="960" w:firstLineChars="400"/>
        <w:rPr>
          <w:rFonts w:ascii="宋体" w:hAnsi="宋体" w:cs="宋体"/>
          <w:sz w:val="24"/>
          <w:u w:val="single"/>
        </w:rPr>
      </w:pPr>
      <w:r>
        <w:rPr>
          <w:rFonts w:hint="eastAsia" w:ascii="宋体" w:hAnsi="宋体" w:cs="宋体"/>
          <w:sz w:val="24"/>
        </w:rPr>
        <w:t>签订地：</w:t>
      </w:r>
      <w:r>
        <w:rPr>
          <w:rFonts w:hint="eastAsia" w:ascii="宋体" w:hAnsi="宋体" w:cs="宋体"/>
          <w:sz w:val="24"/>
          <w:u w:val="single"/>
        </w:rPr>
        <w:t xml:space="preserve">                                     </w:t>
      </w:r>
    </w:p>
    <w:p>
      <w:pPr>
        <w:spacing w:before="120" w:line="360" w:lineRule="auto"/>
        <w:rPr>
          <w:rFonts w:ascii="宋体" w:hAnsi="宋体" w:cs="宋体"/>
          <w:sz w:val="24"/>
        </w:rPr>
      </w:pPr>
    </w:p>
    <w:p>
      <w:pPr>
        <w:spacing w:before="120" w:line="360" w:lineRule="auto"/>
        <w:ind w:firstLine="960" w:firstLineChars="400"/>
        <w:rPr>
          <w:rFonts w:ascii="宋体" w:hAnsi="宋体" w:cs="宋体"/>
          <w:sz w:val="24"/>
          <w:u w:val="single"/>
        </w:rPr>
      </w:pPr>
      <w:r>
        <w:rPr>
          <w:rFonts w:hint="eastAsia" w:ascii="宋体" w:hAnsi="宋体" w:cs="宋体"/>
          <w:sz w:val="24"/>
        </w:rPr>
        <w:t>签订日期：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autoSpaceDE w:val="0"/>
        <w:autoSpaceDN w:val="0"/>
        <w:spacing w:line="360" w:lineRule="auto"/>
        <w:ind w:firstLine="640"/>
        <w:jc w:val="center"/>
        <w:rPr>
          <w:rFonts w:ascii="宋体" w:hAnsi="宋体" w:cs="宋体"/>
          <w:sz w:val="24"/>
        </w:rPr>
        <w:sectPr>
          <w:headerReference r:id="rId10" w:type="default"/>
          <w:footerReference r:id="rId11" w:type="default"/>
          <w:pgSz w:w="11907" w:h="16840"/>
          <w:pgMar w:top="1474" w:right="1814" w:bottom="1474" w:left="1814" w:header="851" w:footer="851" w:gutter="0"/>
          <w:cols w:space="720" w:num="1"/>
          <w:docGrid w:linePitch="462" w:charSpace="0"/>
        </w:sectPr>
      </w:pPr>
    </w:p>
    <w:p>
      <w:pPr>
        <w:widowControl/>
        <w:jc w:val="left"/>
        <w:rPr>
          <w:rFonts w:ascii="宋体" w:hAnsi="宋体" w:cs="宋体"/>
          <w:b/>
          <w:sz w:val="24"/>
        </w:rPr>
      </w:pPr>
    </w:p>
    <w:p>
      <w:pPr>
        <w:pStyle w:val="2"/>
        <w:ind w:firstLine="562"/>
        <w:jc w:val="center"/>
      </w:pPr>
      <w:r>
        <w:rPr>
          <w:rFonts w:hint="eastAsia"/>
        </w:rPr>
        <w:t>第一部分 合同书</w:t>
      </w:r>
    </w:p>
    <w:p>
      <w:pPr>
        <w:spacing w:line="360" w:lineRule="auto"/>
        <w:ind w:firstLine="480" w:firstLineChars="200"/>
        <w:rPr>
          <w:rFonts w:ascii="宋体" w:hAnsi="宋体" w:cs="宋体"/>
          <w:sz w:val="24"/>
        </w:rPr>
      </w:pPr>
      <w:r>
        <w:rPr>
          <w:rFonts w:hint="eastAsia" w:ascii="宋体" w:hAnsi="宋体" w:cs="宋体"/>
          <w:sz w:val="24"/>
          <w:u w:val="single"/>
          <w:lang w:val="zh-CN"/>
        </w:rPr>
        <w:t>2021</w:t>
      </w:r>
      <w:r>
        <w:rPr>
          <w:rFonts w:hint="eastAsia" w:ascii="宋体" w:hAnsi="宋体" w:cs="宋体"/>
          <w:sz w:val="24"/>
          <w:lang w:val="zh-CN"/>
        </w:rPr>
        <w:t>年</w:t>
      </w:r>
      <w:r>
        <w:rPr>
          <w:rFonts w:hint="eastAsia" w:ascii="宋体" w:hAnsi="宋体" w:cs="宋体"/>
          <w:sz w:val="24"/>
          <w:u w:val="single"/>
        </w:rPr>
        <w:t xml:space="preserve">    </w:t>
      </w:r>
      <w:r>
        <w:rPr>
          <w:rFonts w:hint="eastAsia" w:ascii="宋体" w:hAnsi="宋体" w:cs="宋体"/>
          <w:sz w:val="24"/>
          <w:lang w:val="zh-CN"/>
        </w:rPr>
        <w:t>月</w:t>
      </w:r>
      <w:r>
        <w:rPr>
          <w:rFonts w:hint="eastAsia" w:ascii="宋体" w:hAnsi="宋体" w:cs="宋体"/>
          <w:sz w:val="24"/>
          <w:u w:val="single"/>
        </w:rPr>
        <w:t xml:space="preserve">    </w:t>
      </w:r>
      <w:r>
        <w:rPr>
          <w:rFonts w:hint="eastAsia" w:ascii="宋体" w:hAnsi="宋体" w:cs="宋体"/>
          <w:sz w:val="24"/>
          <w:lang w:val="zh-CN"/>
        </w:rPr>
        <w:t>日，</w:t>
      </w:r>
      <w:r>
        <w:rPr>
          <w:rFonts w:hint="eastAsia" w:ascii="宋体" w:hAnsi="宋体" w:cs="宋体"/>
          <w:sz w:val="24"/>
          <w:u w:val="single"/>
        </w:rPr>
        <w:t xml:space="preserve"> 杭州市城乡建设委员会 </w:t>
      </w:r>
      <w:r>
        <w:rPr>
          <w:rFonts w:hint="eastAsia" w:ascii="宋体" w:hAnsi="宋体" w:cs="宋体"/>
          <w:sz w:val="24"/>
        </w:rPr>
        <w:t>以</w:t>
      </w:r>
      <w:r>
        <w:rPr>
          <w:rFonts w:hint="eastAsia" w:ascii="宋体" w:hAnsi="宋体" w:cs="宋体"/>
          <w:sz w:val="24"/>
          <w:u w:val="single"/>
        </w:rPr>
        <w:t>公开招标</w:t>
      </w:r>
      <w:r>
        <w:rPr>
          <w:rFonts w:hint="eastAsia" w:ascii="宋体" w:hAnsi="宋体" w:cs="宋体"/>
          <w:sz w:val="24"/>
        </w:rPr>
        <w:t>对</w:t>
      </w:r>
      <w:r>
        <w:rPr>
          <w:rFonts w:hint="eastAsia" w:ascii="宋体" w:hAnsi="宋体" w:cs="宋体"/>
          <w:sz w:val="24"/>
          <w:u w:val="single"/>
        </w:rPr>
        <w:t xml:space="preserve"> 杭州市城乡建设委员会CIM基础信息平台软件开发项目 </w:t>
      </w:r>
      <w:r>
        <w:rPr>
          <w:rFonts w:hint="eastAsia" w:ascii="宋体" w:hAnsi="宋体" w:cs="宋体"/>
          <w:sz w:val="24"/>
        </w:rPr>
        <w:t>进行了采购。经</w:t>
      </w:r>
      <w:r>
        <w:rPr>
          <w:rFonts w:hint="eastAsia" w:ascii="宋体" w:hAnsi="宋体" w:cs="宋体"/>
          <w:sz w:val="24"/>
          <w:u w:val="single"/>
        </w:rPr>
        <w:t xml:space="preserve"> （相关评定主体名称） </w:t>
      </w:r>
      <w:r>
        <w:rPr>
          <w:rFonts w:hint="eastAsia" w:ascii="宋体" w:hAnsi="宋体" w:cs="宋体"/>
          <w:sz w:val="24"/>
        </w:rPr>
        <w:t xml:space="preserve">评定， </w:t>
      </w:r>
      <w:r>
        <w:rPr>
          <w:rFonts w:hint="eastAsia" w:ascii="宋体" w:hAnsi="宋体" w:cs="宋体"/>
          <w:sz w:val="24"/>
          <w:u w:val="single"/>
        </w:rPr>
        <w:t xml:space="preserve">   （中标人名称） </w:t>
      </w:r>
      <w:r>
        <w:rPr>
          <w:rFonts w:hint="eastAsia" w:ascii="宋体" w:hAnsi="宋体" w:cs="宋体"/>
          <w:sz w:val="24"/>
        </w:rPr>
        <w:t>为该项目中标人。现于中标通知书发出之日起三十日内，按照招标文件确定的事项签订本合同。</w:t>
      </w:r>
    </w:p>
    <w:p>
      <w:pPr>
        <w:spacing w:line="360" w:lineRule="auto"/>
        <w:ind w:firstLine="480" w:firstLineChars="200"/>
        <w:rPr>
          <w:rFonts w:ascii="宋体" w:hAnsi="宋体" w:cs="宋体"/>
          <w:sz w:val="24"/>
        </w:rPr>
      </w:pPr>
      <w:r>
        <w:rPr>
          <w:rFonts w:hint="eastAsia" w:ascii="宋体" w:hAnsi="宋体" w:cs="宋体"/>
          <w:sz w:val="24"/>
          <w:lang w:val="zh-CN"/>
        </w:rPr>
        <w:t>根据《中华人民共和国民法典》、《中华人民共和国政府采购法》等相关法律法规之规定，按照平等、自愿、公平和诚实信用的原则，经</w:t>
      </w:r>
      <w:r>
        <w:rPr>
          <w:rFonts w:hint="eastAsia" w:ascii="宋体" w:hAnsi="宋体" w:cs="宋体"/>
          <w:sz w:val="24"/>
          <w:u w:val="single"/>
        </w:rPr>
        <w:t xml:space="preserve">  （采购人名称） </w:t>
      </w:r>
      <w:r>
        <w:rPr>
          <w:rFonts w:hint="eastAsia" w:ascii="宋体" w:hAnsi="宋体" w:cs="宋体"/>
          <w:sz w:val="24"/>
          <w:lang w:val="zh-CN"/>
        </w:rPr>
        <w:t>(以下简称：甲方)和</w:t>
      </w:r>
      <w:r>
        <w:rPr>
          <w:rFonts w:hint="eastAsia" w:ascii="宋体" w:hAnsi="宋体" w:cs="宋体"/>
          <w:sz w:val="24"/>
        </w:rPr>
        <w:t xml:space="preserve"> </w:t>
      </w:r>
      <w:r>
        <w:rPr>
          <w:rFonts w:hint="eastAsia" w:ascii="宋体" w:hAnsi="宋体" w:cs="宋体"/>
          <w:sz w:val="24"/>
          <w:u w:val="single"/>
        </w:rPr>
        <w:t xml:space="preserve">   （中标人名称）  </w:t>
      </w:r>
      <w:r>
        <w:rPr>
          <w:rFonts w:hint="eastAsia" w:ascii="宋体" w:hAnsi="宋体" w:cs="宋体"/>
          <w:sz w:val="24"/>
          <w:lang w:val="zh-CN"/>
        </w:rPr>
        <w:t>(以下简称：乙方)协商一致，约定以下合同</w:t>
      </w:r>
      <w:r>
        <w:rPr>
          <w:rFonts w:hint="eastAsia" w:ascii="宋体" w:hAnsi="宋体" w:cs="宋体"/>
          <w:sz w:val="24"/>
        </w:rPr>
        <w:t>条款，以兹共同遵守、全面履行。</w:t>
      </w:r>
    </w:p>
    <w:p>
      <w:pPr>
        <w:spacing w:line="360" w:lineRule="auto"/>
        <w:ind w:firstLine="482" w:firstLineChars="200"/>
        <w:outlineLvl w:val="1"/>
        <w:rPr>
          <w:rFonts w:ascii="宋体" w:hAnsi="宋体" w:cs="宋体"/>
          <w:b/>
          <w:sz w:val="24"/>
        </w:rPr>
      </w:pPr>
      <w:bookmarkStart w:id="27" w:name="_Toc2232"/>
      <w:bookmarkStart w:id="28" w:name="_Toc24059"/>
      <w:bookmarkStart w:id="29" w:name="_Toc3029"/>
      <w:r>
        <w:rPr>
          <w:rFonts w:hint="eastAsia" w:ascii="宋体" w:hAnsi="宋体" w:cs="宋体"/>
          <w:b/>
          <w:sz w:val="24"/>
        </w:rPr>
        <w:t>1.1 合同组成部分</w:t>
      </w:r>
      <w:bookmarkEnd w:id="27"/>
      <w:bookmarkEnd w:id="28"/>
      <w:bookmarkEnd w:id="29"/>
    </w:p>
    <w:p>
      <w:pPr>
        <w:spacing w:line="360" w:lineRule="auto"/>
        <w:ind w:firstLine="480" w:firstLineChars="200"/>
        <w:rPr>
          <w:rFonts w:ascii="宋体" w:hAnsi="宋体" w:cs="宋体"/>
          <w:sz w:val="24"/>
        </w:rPr>
      </w:pPr>
      <w:r>
        <w:rPr>
          <w:rFonts w:hint="eastAsia" w:ascii="宋体" w:hAnsi="宋体" w:cs="宋体"/>
          <w:sz w:val="24"/>
        </w:rPr>
        <w:t>下列文件为本合同的组成部分，并构成一个整体，需综合解释、相互补充。如果下列文件内容出现不一致的情形，那么在保证按照招标文件确定的事项的前提下，组成本合同的多个文件的优先适用顺序如下：</w:t>
      </w:r>
    </w:p>
    <w:p>
      <w:pPr>
        <w:spacing w:line="360" w:lineRule="auto"/>
        <w:ind w:firstLine="480" w:firstLineChars="200"/>
        <w:rPr>
          <w:rFonts w:ascii="宋体" w:hAnsi="宋体" w:cs="宋体"/>
          <w:sz w:val="24"/>
        </w:rPr>
      </w:pPr>
      <w:r>
        <w:rPr>
          <w:rFonts w:hint="eastAsia" w:ascii="宋体" w:hAnsi="宋体" w:cs="宋体"/>
          <w:sz w:val="24"/>
        </w:rPr>
        <w:t>1.1.1 本合同及其补充合同、变更协议；</w:t>
      </w:r>
    </w:p>
    <w:p>
      <w:pPr>
        <w:spacing w:line="360" w:lineRule="auto"/>
        <w:ind w:firstLine="480" w:firstLineChars="200"/>
        <w:rPr>
          <w:rFonts w:ascii="宋体" w:hAnsi="宋体" w:cs="宋体"/>
          <w:sz w:val="24"/>
        </w:rPr>
      </w:pPr>
      <w:r>
        <w:rPr>
          <w:rFonts w:hint="eastAsia" w:ascii="宋体" w:hAnsi="宋体" w:cs="宋体"/>
          <w:sz w:val="24"/>
        </w:rPr>
        <w:t>1.1.2 中标通知书；</w:t>
      </w:r>
    </w:p>
    <w:p>
      <w:pPr>
        <w:spacing w:line="360" w:lineRule="auto"/>
        <w:ind w:firstLine="480" w:firstLineChars="200"/>
        <w:rPr>
          <w:rFonts w:ascii="宋体" w:hAnsi="宋体" w:cs="宋体"/>
          <w:sz w:val="24"/>
        </w:rPr>
      </w:pPr>
      <w:r>
        <w:rPr>
          <w:rFonts w:hint="eastAsia" w:ascii="宋体" w:hAnsi="宋体" w:cs="宋体"/>
          <w:sz w:val="24"/>
        </w:rPr>
        <w:t>1.1.3 投标文件（含澄清或者说明文件）；</w:t>
      </w:r>
    </w:p>
    <w:p>
      <w:pPr>
        <w:spacing w:line="360" w:lineRule="auto"/>
        <w:ind w:firstLine="480" w:firstLineChars="200"/>
        <w:rPr>
          <w:rFonts w:ascii="宋体" w:hAnsi="宋体" w:cs="宋体"/>
          <w:sz w:val="24"/>
        </w:rPr>
      </w:pPr>
      <w:r>
        <w:rPr>
          <w:rFonts w:hint="eastAsia" w:ascii="宋体" w:hAnsi="宋体" w:cs="宋体"/>
          <w:sz w:val="24"/>
        </w:rPr>
        <w:t>1.1.4 招标文件（含澄清或者修改文件）；</w:t>
      </w:r>
    </w:p>
    <w:p>
      <w:pPr>
        <w:spacing w:line="360" w:lineRule="auto"/>
        <w:ind w:firstLine="480" w:firstLineChars="200"/>
        <w:rPr>
          <w:rFonts w:ascii="宋体" w:hAnsi="宋体" w:cs="宋体"/>
          <w:sz w:val="24"/>
        </w:rPr>
      </w:pPr>
      <w:r>
        <w:rPr>
          <w:rFonts w:hint="eastAsia" w:ascii="宋体" w:hAnsi="宋体" w:cs="宋体"/>
          <w:sz w:val="24"/>
        </w:rPr>
        <w:t>1.1.5 其他相关招标文件。</w:t>
      </w:r>
    </w:p>
    <w:p>
      <w:pPr>
        <w:spacing w:line="360" w:lineRule="auto"/>
        <w:ind w:firstLine="482" w:firstLineChars="200"/>
        <w:outlineLvl w:val="1"/>
        <w:rPr>
          <w:rFonts w:ascii="宋体" w:hAnsi="宋体" w:cs="宋体"/>
          <w:b/>
          <w:sz w:val="24"/>
        </w:rPr>
      </w:pPr>
      <w:bookmarkStart w:id="30" w:name="_Toc27126"/>
      <w:bookmarkStart w:id="31" w:name="_Toc24300"/>
      <w:bookmarkStart w:id="32" w:name="_Toc21295"/>
      <w:r>
        <w:rPr>
          <w:rFonts w:hint="eastAsia" w:ascii="宋体" w:hAnsi="宋体" w:cs="宋体"/>
          <w:b/>
          <w:sz w:val="24"/>
        </w:rPr>
        <w:t>1.2 标的物</w:t>
      </w:r>
      <w:bookmarkEnd w:id="30"/>
      <w:bookmarkEnd w:id="31"/>
      <w:bookmarkEnd w:id="32"/>
    </w:p>
    <w:p>
      <w:pPr>
        <w:spacing w:line="360" w:lineRule="auto"/>
        <w:ind w:firstLine="480" w:firstLineChars="200"/>
        <w:rPr>
          <w:rFonts w:ascii="宋体" w:hAnsi="宋体" w:cs="宋体"/>
          <w:sz w:val="24"/>
          <w:u w:val="single"/>
        </w:rPr>
      </w:pPr>
      <w:r>
        <w:rPr>
          <w:rFonts w:hint="eastAsia" w:ascii="宋体" w:hAnsi="宋体" w:cs="宋体"/>
          <w:sz w:val="24"/>
        </w:rPr>
        <w:t>1.2.1 标的物名称：</w:t>
      </w:r>
      <w:r>
        <w:rPr>
          <w:rFonts w:hint="eastAsia" w:ascii="宋体" w:hAnsi="宋体" w:cs="宋体"/>
          <w:sz w:val="24"/>
          <w:u w:val="single"/>
        </w:rPr>
        <w:t>杭州市城乡建设委员会CIM基础信息平台软件开发项目</w:t>
      </w:r>
      <w:r>
        <w:rPr>
          <w:rFonts w:hint="eastAsia" w:ascii="宋体" w:hAnsi="宋体" w:cs="宋体"/>
          <w:sz w:val="24"/>
        </w:rPr>
        <w:t>；</w:t>
      </w:r>
    </w:p>
    <w:p>
      <w:pPr>
        <w:spacing w:line="360" w:lineRule="auto"/>
        <w:ind w:firstLine="480" w:firstLineChars="200"/>
        <w:rPr>
          <w:rFonts w:ascii="宋体" w:hAnsi="宋体" w:cs="宋体"/>
          <w:sz w:val="24"/>
          <w:u w:val="single"/>
        </w:rPr>
      </w:pPr>
      <w:r>
        <w:rPr>
          <w:rFonts w:hint="eastAsia" w:ascii="宋体" w:hAnsi="宋体" w:cs="宋体"/>
          <w:sz w:val="24"/>
        </w:rPr>
        <w:t>1.2.2 标的物数量：</w:t>
      </w:r>
      <w:r>
        <w:rPr>
          <w:rFonts w:hint="eastAsia" w:ascii="宋体" w:hAnsi="宋体" w:cs="宋体"/>
          <w:sz w:val="24"/>
          <w:u w:val="single"/>
        </w:rPr>
        <w:t xml:space="preserve">                                              </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1.2.3 标的物质量：</w:t>
      </w:r>
      <w:r>
        <w:rPr>
          <w:rFonts w:hint="eastAsia" w:ascii="宋体" w:hAnsi="宋体" w:cs="宋体"/>
          <w:sz w:val="24"/>
          <w:u w:val="single"/>
        </w:rPr>
        <w:t>按招投标文件及本合同约定的质量要求、技术规范履行；</w:t>
      </w:r>
    </w:p>
    <w:p>
      <w:pPr>
        <w:spacing w:line="360" w:lineRule="auto"/>
        <w:ind w:firstLine="482" w:firstLineChars="200"/>
        <w:outlineLvl w:val="1"/>
        <w:rPr>
          <w:rFonts w:ascii="宋体" w:hAnsi="宋体" w:cs="宋体"/>
          <w:b/>
          <w:sz w:val="24"/>
        </w:rPr>
      </w:pPr>
      <w:bookmarkStart w:id="33" w:name="_Toc23292"/>
      <w:bookmarkStart w:id="34" w:name="_Toc21631"/>
      <w:bookmarkStart w:id="35" w:name="_Toc21551"/>
      <w:r>
        <w:rPr>
          <w:rFonts w:hint="eastAsia" w:ascii="宋体" w:hAnsi="宋体" w:cs="宋体"/>
          <w:b/>
          <w:sz w:val="24"/>
        </w:rPr>
        <w:t>1.3 价款</w:t>
      </w:r>
      <w:bookmarkEnd w:id="33"/>
      <w:bookmarkEnd w:id="34"/>
      <w:bookmarkEnd w:id="35"/>
    </w:p>
    <w:p>
      <w:pPr>
        <w:spacing w:line="360" w:lineRule="auto"/>
        <w:ind w:firstLine="480" w:firstLineChars="200"/>
        <w:rPr>
          <w:rFonts w:ascii="宋体" w:hAnsi="宋体" w:cs="宋体"/>
          <w:sz w:val="24"/>
        </w:rPr>
      </w:pPr>
      <w:r>
        <w:rPr>
          <w:rFonts w:hint="eastAsia" w:ascii="宋体" w:hAnsi="宋体" w:cs="宋体"/>
          <w:sz w:val="24"/>
        </w:rPr>
        <w:t>本合同总价为：人民币</w:t>
      </w:r>
      <w:r>
        <w:rPr>
          <w:rFonts w:hint="eastAsia" w:ascii="宋体" w:hAnsi="宋体" w:cs="宋体"/>
          <w:sz w:val="24"/>
          <w:u w:val="single"/>
        </w:rPr>
        <w:t xml:space="preserve">     </w:t>
      </w:r>
      <w:r>
        <w:rPr>
          <w:rFonts w:hint="eastAsia" w:ascii="宋体" w:hAnsi="宋体" w:cs="宋体"/>
          <w:sz w:val="24"/>
        </w:rPr>
        <w:t>元（大写：人民币</w:t>
      </w:r>
      <w:r>
        <w:rPr>
          <w:rFonts w:hint="eastAsia" w:ascii="宋体" w:hAnsi="宋体" w:cs="宋体"/>
          <w:sz w:val="24"/>
          <w:u w:val="single"/>
        </w:rPr>
        <w:t xml:space="preserve">  万</w:t>
      </w:r>
      <w:r>
        <w:rPr>
          <w:rFonts w:hint="eastAsia" w:ascii="宋体" w:hAnsi="宋体" w:cs="宋体"/>
          <w:sz w:val="24"/>
        </w:rPr>
        <w:t>元整）。</w:t>
      </w:r>
    </w:p>
    <w:p>
      <w:pPr>
        <w:spacing w:line="360" w:lineRule="auto"/>
        <w:ind w:firstLine="480" w:firstLineChars="200"/>
        <w:rPr>
          <w:rFonts w:ascii="宋体" w:hAnsi="宋体" w:cs="宋体"/>
          <w:sz w:val="24"/>
          <w:u w:val="single"/>
        </w:rPr>
      </w:pPr>
      <w:r>
        <w:rPr>
          <w:rFonts w:hint="eastAsia" w:ascii="宋体" w:hAnsi="宋体" w:cs="宋体"/>
          <w:sz w:val="24"/>
        </w:rPr>
        <w:t>分项价格：</w:t>
      </w:r>
    </w:p>
    <w:tbl>
      <w:tblPr>
        <w:tblStyle w:val="15"/>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4025"/>
        <w:gridCol w:w="30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39" w:type="pct"/>
            <w:vAlign w:val="center"/>
          </w:tcPr>
          <w:p>
            <w:pPr>
              <w:pStyle w:val="34"/>
              <w:ind w:left="363" w:right="181" w:firstLine="0"/>
              <w:jc w:val="center"/>
              <w:rPr>
                <w:rFonts w:hAnsi="宋体" w:cs="宋体"/>
                <w:sz w:val="24"/>
                <w:szCs w:val="24"/>
              </w:rPr>
            </w:pPr>
            <w:r>
              <w:rPr>
                <w:rFonts w:hint="eastAsia" w:hAnsi="宋体" w:cs="宋体"/>
                <w:sz w:val="24"/>
                <w:szCs w:val="24"/>
              </w:rPr>
              <w:t>序号</w:t>
            </w:r>
          </w:p>
        </w:tc>
        <w:tc>
          <w:tcPr>
            <w:tcW w:w="2377" w:type="pct"/>
            <w:vAlign w:val="center"/>
          </w:tcPr>
          <w:p>
            <w:pPr>
              <w:pStyle w:val="34"/>
              <w:ind w:left="363" w:right="181" w:firstLine="0"/>
              <w:jc w:val="center"/>
              <w:rPr>
                <w:rFonts w:hAnsi="宋体" w:cs="宋体"/>
                <w:sz w:val="24"/>
                <w:szCs w:val="24"/>
              </w:rPr>
            </w:pPr>
            <w:r>
              <w:rPr>
                <w:rFonts w:hint="eastAsia" w:hAnsi="宋体" w:cs="宋体"/>
                <w:sz w:val="24"/>
                <w:szCs w:val="24"/>
              </w:rPr>
              <w:t>分项名称</w:t>
            </w:r>
          </w:p>
        </w:tc>
        <w:tc>
          <w:tcPr>
            <w:tcW w:w="1783" w:type="pct"/>
            <w:vAlign w:val="center"/>
          </w:tcPr>
          <w:p>
            <w:pPr>
              <w:pStyle w:val="34"/>
              <w:ind w:left="363" w:right="181" w:firstLine="0"/>
              <w:jc w:val="center"/>
              <w:rPr>
                <w:rFonts w:hAnsi="宋体" w:cs="宋体"/>
                <w:sz w:val="24"/>
                <w:szCs w:val="24"/>
              </w:rPr>
            </w:pPr>
            <w:r>
              <w:rPr>
                <w:rFonts w:hint="eastAsia" w:hAnsi="宋体" w:cs="宋体"/>
                <w:sz w:val="24"/>
                <w:szCs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39" w:type="pct"/>
            <w:vAlign w:val="center"/>
          </w:tcPr>
          <w:p>
            <w:pPr>
              <w:pStyle w:val="34"/>
              <w:ind w:left="363" w:right="181" w:firstLine="0"/>
              <w:jc w:val="center"/>
              <w:rPr>
                <w:rFonts w:hAnsi="宋体" w:cs="宋体"/>
                <w:sz w:val="24"/>
                <w:szCs w:val="24"/>
              </w:rPr>
            </w:pPr>
            <w:r>
              <w:rPr>
                <w:rFonts w:hint="eastAsia" w:hAnsi="宋体" w:cs="宋体"/>
                <w:sz w:val="24"/>
                <w:szCs w:val="24"/>
              </w:rPr>
              <w:t>1</w:t>
            </w:r>
          </w:p>
        </w:tc>
        <w:tc>
          <w:tcPr>
            <w:tcW w:w="2377" w:type="pct"/>
            <w:vAlign w:val="center"/>
          </w:tcPr>
          <w:p>
            <w:pPr>
              <w:pStyle w:val="34"/>
              <w:ind w:left="363" w:right="181" w:firstLine="0"/>
              <w:jc w:val="center"/>
              <w:rPr>
                <w:rFonts w:hAnsi="宋体" w:cs="宋体"/>
                <w:sz w:val="24"/>
                <w:szCs w:val="24"/>
              </w:rPr>
            </w:pPr>
          </w:p>
        </w:tc>
        <w:tc>
          <w:tcPr>
            <w:tcW w:w="1783" w:type="pct"/>
            <w:vAlign w:val="center"/>
          </w:tcPr>
          <w:p>
            <w:pPr>
              <w:pStyle w:val="34"/>
              <w:ind w:left="363" w:right="181" w:firstLine="0"/>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39" w:type="pct"/>
            <w:vAlign w:val="center"/>
          </w:tcPr>
          <w:p>
            <w:pPr>
              <w:pStyle w:val="34"/>
              <w:ind w:left="363" w:right="181" w:firstLine="0"/>
              <w:jc w:val="center"/>
              <w:rPr>
                <w:rFonts w:hAnsi="宋体" w:cs="宋体"/>
                <w:sz w:val="24"/>
                <w:szCs w:val="24"/>
              </w:rPr>
            </w:pPr>
            <w:r>
              <w:rPr>
                <w:rFonts w:hint="eastAsia" w:hAnsi="宋体" w:cs="宋体"/>
                <w:sz w:val="24"/>
                <w:szCs w:val="24"/>
              </w:rPr>
              <w:t>2</w:t>
            </w:r>
          </w:p>
        </w:tc>
        <w:tc>
          <w:tcPr>
            <w:tcW w:w="2377" w:type="pct"/>
            <w:vAlign w:val="center"/>
          </w:tcPr>
          <w:p>
            <w:pPr>
              <w:pStyle w:val="34"/>
              <w:ind w:left="363" w:right="181" w:firstLine="0"/>
              <w:jc w:val="center"/>
              <w:rPr>
                <w:rFonts w:hAnsi="宋体" w:cs="宋体"/>
                <w:sz w:val="24"/>
                <w:szCs w:val="24"/>
              </w:rPr>
            </w:pPr>
          </w:p>
        </w:tc>
        <w:tc>
          <w:tcPr>
            <w:tcW w:w="1783" w:type="pct"/>
            <w:vAlign w:val="center"/>
          </w:tcPr>
          <w:p>
            <w:pPr>
              <w:pStyle w:val="34"/>
              <w:ind w:left="363" w:right="181" w:firstLine="0"/>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39" w:type="pct"/>
            <w:vAlign w:val="center"/>
          </w:tcPr>
          <w:p>
            <w:pPr>
              <w:pStyle w:val="34"/>
              <w:ind w:left="363" w:right="181" w:firstLine="0"/>
              <w:jc w:val="center"/>
              <w:rPr>
                <w:rFonts w:hAnsi="宋体" w:cs="宋体"/>
                <w:sz w:val="24"/>
                <w:szCs w:val="24"/>
              </w:rPr>
            </w:pPr>
            <w:r>
              <w:rPr>
                <w:rFonts w:hint="eastAsia" w:hAnsi="宋体" w:cs="宋体"/>
                <w:sz w:val="24"/>
                <w:szCs w:val="24"/>
              </w:rPr>
              <w:t>3</w:t>
            </w:r>
          </w:p>
        </w:tc>
        <w:tc>
          <w:tcPr>
            <w:tcW w:w="2377" w:type="pct"/>
            <w:vAlign w:val="center"/>
          </w:tcPr>
          <w:p>
            <w:pPr>
              <w:pStyle w:val="34"/>
              <w:ind w:left="363" w:right="181" w:firstLine="0"/>
              <w:jc w:val="center"/>
              <w:rPr>
                <w:rFonts w:hAnsi="宋体" w:cs="宋体"/>
                <w:sz w:val="24"/>
                <w:szCs w:val="24"/>
              </w:rPr>
            </w:pPr>
          </w:p>
        </w:tc>
        <w:tc>
          <w:tcPr>
            <w:tcW w:w="1783" w:type="pct"/>
            <w:vAlign w:val="center"/>
          </w:tcPr>
          <w:p>
            <w:pPr>
              <w:pStyle w:val="34"/>
              <w:ind w:left="363" w:right="181" w:firstLine="0"/>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216" w:type="pct"/>
            <w:gridSpan w:val="2"/>
            <w:vAlign w:val="center"/>
          </w:tcPr>
          <w:p>
            <w:pPr>
              <w:pStyle w:val="34"/>
              <w:ind w:left="363" w:right="181" w:firstLine="0"/>
              <w:jc w:val="center"/>
              <w:rPr>
                <w:rFonts w:hAnsi="宋体" w:cs="宋体"/>
                <w:sz w:val="24"/>
                <w:szCs w:val="24"/>
              </w:rPr>
            </w:pPr>
            <w:r>
              <w:rPr>
                <w:rFonts w:hint="eastAsia" w:hAnsi="宋体" w:cs="宋体"/>
                <w:sz w:val="24"/>
                <w:szCs w:val="24"/>
              </w:rPr>
              <w:t>总价</w:t>
            </w:r>
          </w:p>
        </w:tc>
        <w:tc>
          <w:tcPr>
            <w:tcW w:w="1783" w:type="pct"/>
            <w:vAlign w:val="center"/>
          </w:tcPr>
          <w:p>
            <w:pPr>
              <w:pStyle w:val="34"/>
              <w:ind w:left="363" w:right="181" w:firstLine="0"/>
              <w:jc w:val="center"/>
              <w:rPr>
                <w:rFonts w:hAnsi="宋体" w:cs="宋体"/>
                <w:sz w:val="24"/>
                <w:szCs w:val="24"/>
              </w:rPr>
            </w:pPr>
          </w:p>
        </w:tc>
      </w:tr>
    </w:tbl>
    <w:p>
      <w:pPr>
        <w:spacing w:line="360" w:lineRule="auto"/>
        <w:ind w:firstLine="482" w:firstLineChars="200"/>
        <w:outlineLvl w:val="1"/>
        <w:rPr>
          <w:rFonts w:ascii="宋体" w:hAnsi="宋体" w:cs="宋体"/>
          <w:b/>
          <w:sz w:val="24"/>
        </w:rPr>
      </w:pPr>
      <w:bookmarkStart w:id="36" w:name="_Toc1814"/>
      <w:bookmarkStart w:id="37" w:name="_Toc22618"/>
      <w:bookmarkStart w:id="38" w:name="_Toc10340"/>
      <w:r>
        <w:rPr>
          <w:rFonts w:hint="eastAsia" w:ascii="宋体" w:hAnsi="宋体" w:cs="宋体"/>
          <w:b/>
          <w:sz w:val="24"/>
        </w:rPr>
        <w:t>1.4 付款方式和发票开具方式</w:t>
      </w:r>
      <w:bookmarkEnd w:id="36"/>
      <w:bookmarkEnd w:id="37"/>
      <w:bookmarkEnd w:id="38"/>
    </w:p>
    <w:p>
      <w:pPr>
        <w:spacing w:line="360" w:lineRule="auto"/>
        <w:ind w:firstLine="480" w:firstLineChars="200"/>
        <w:rPr>
          <w:rFonts w:ascii="宋体" w:hAnsi="宋体" w:cs="宋体"/>
          <w:sz w:val="24"/>
        </w:rPr>
      </w:pPr>
      <w:bookmarkStart w:id="39" w:name="_Toc19304"/>
      <w:bookmarkStart w:id="40" w:name="_Toc2846"/>
      <w:bookmarkStart w:id="41" w:name="_Toc32071"/>
      <w:r>
        <w:rPr>
          <w:rFonts w:hint="eastAsia" w:ascii="宋体" w:hAnsi="宋体" w:cs="宋体"/>
          <w:sz w:val="24"/>
        </w:rPr>
        <w:t>1.4.1 付款方式：</w:t>
      </w:r>
      <w:r>
        <w:rPr>
          <w:rFonts w:hint="eastAsia" w:ascii="宋体" w:hAnsi="宋体" w:cs="宋体"/>
          <w:sz w:val="24"/>
          <w:u w:val="single"/>
        </w:rPr>
        <w:t xml:space="preserve">             分期付款                          </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1.4.2 发票开具方式：</w:t>
      </w:r>
      <w:r>
        <w:rPr>
          <w:rFonts w:hint="eastAsia" w:ascii="宋体" w:hAnsi="宋体" w:cs="宋体"/>
          <w:sz w:val="24"/>
          <w:u w:val="single"/>
        </w:rPr>
        <w:t xml:space="preserve">                                            </w:t>
      </w:r>
      <w:r>
        <w:rPr>
          <w:rFonts w:hint="eastAsia" w:ascii="宋体" w:hAnsi="宋体" w:cs="宋体"/>
          <w:sz w:val="24"/>
        </w:rPr>
        <w:t>。</w:t>
      </w:r>
    </w:p>
    <w:p>
      <w:pPr>
        <w:spacing w:line="360" w:lineRule="auto"/>
        <w:ind w:firstLine="482" w:firstLineChars="200"/>
        <w:outlineLvl w:val="1"/>
        <w:rPr>
          <w:rFonts w:ascii="宋体" w:hAnsi="宋体" w:cs="宋体"/>
          <w:b/>
          <w:sz w:val="24"/>
        </w:rPr>
      </w:pPr>
      <w:r>
        <w:rPr>
          <w:rFonts w:hint="eastAsia" w:ascii="宋体" w:hAnsi="宋体" w:cs="宋体"/>
          <w:b/>
          <w:sz w:val="24"/>
        </w:rPr>
        <w:t>1.5 标的物交付期限、地点和方式</w:t>
      </w:r>
      <w:bookmarkEnd w:id="39"/>
      <w:bookmarkEnd w:id="40"/>
      <w:bookmarkEnd w:id="41"/>
    </w:p>
    <w:p>
      <w:pPr>
        <w:spacing w:line="360" w:lineRule="auto"/>
        <w:ind w:firstLine="480" w:firstLineChars="200"/>
        <w:rPr>
          <w:rFonts w:ascii="宋体" w:hAnsi="宋体" w:cs="宋体"/>
          <w:sz w:val="24"/>
          <w:u w:val="single"/>
        </w:rPr>
      </w:pPr>
      <w:bookmarkStart w:id="42" w:name="_Toc27250"/>
      <w:bookmarkStart w:id="43" w:name="_Toc21423"/>
      <w:bookmarkStart w:id="44" w:name="_Toc19554"/>
      <w:r>
        <w:rPr>
          <w:rFonts w:hint="eastAsia" w:ascii="宋体" w:hAnsi="宋体" w:cs="宋体"/>
          <w:sz w:val="24"/>
        </w:rPr>
        <w:t>1.5.1 交付期限：</w:t>
      </w:r>
      <w:r>
        <w:rPr>
          <w:rFonts w:hint="eastAsia" w:ascii="宋体" w:hAnsi="宋体" w:cs="宋体"/>
          <w:sz w:val="24"/>
          <w:u w:val="single"/>
        </w:rPr>
        <w:t xml:space="preserve">                                                </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1.5.2 交付地点：</w:t>
      </w:r>
      <w:r>
        <w:rPr>
          <w:rFonts w:hint="eastAsia" w:ascii="宋体" w:hAnsi="宋体" w:cs="宋体"/>
          <w:sz w:val="24"/>
          <w:u w:val="single"/>
        </w:rPr>
        <w:t xml:space="preserve">                                                </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1.5.3 交付方式：</w:t>
      </w:r>
      <w:r>
        <w:rPr>
          <w:rFonts w:hint="eastAsia" w:ascii="宋体" w:hAnsi="宋体" w:cs="宋体"/>
          <w:sz w:val="24"/>
          <w:u w:val="single"/>
        </w:rPr>
        <w:t xml:space="preserve">　　　　　　　　　                      　      </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1.5.4 服务期限：</w:t>
      </w:r>
      <w:r>
        <w:rPr>
          <w:rFonts w:hint="eastAsia" w:ascii="宋体" w:hAnsi="宋体" w:cs="宋体"/>
          <w:sz w:val="24"/>
          <w:u w:val="single"/>
        </w:rPr>
        <w:t xml:space="preserve">　　　　　　　　　                      　      </w:t>
      </w:r>
      <w:r>
        <w:rPr>
          <w:rFonts w:hint="eastAsia" w:ascii="宋体" w:hAnsi="宋体" w:cs="宋体"/>
          <w:sz w:val="24"/>
        </w:rPr>
        <w:t>。</w:t>
      </w:r>
    </w:p>
    <w:p>
      <w:pPr>
        <w:spacing w:line="360" w:lineRule="auto"/>
        <w:ind w:firstLine="482" w:firstLineChars="200"/>
        <w:outlineLvl w:val="1"/>
        <w:rPr>
          <w:rFonts w:ascii="宋体" w:hAnsi="宋体" w:cs="宋体"/>
          <w:b/>
          <w:sz w:val="24"/>
        </w:rPr>
      </w:pPr>
      <w:r>
        <w:rPr>
          <w:rFonts w:hint="eastAsia" w:ascii="宋体" w:hAnsi="宋体" w:cs="宋体"/>
          <w:b/>
          <w:sz w:val="24"/>
        </w:rPr>
        <w:t>1.6 违约责任</w:t>
      </w:r>
      <w:bookmarkEnd w:id="42"/>
      <w:bookmarkEnd w:id="43"/>
      <w:bookmarkEnd w:id="44"/>
    </w:p>
    <w:p>
      <w:pPr>
        <w:spacing w:line="360" w:lineRule="auto"/>
        <w:ind w:firstLine="480" w:firstLineChars="200"/>
        <w:rPr>
          <w:rFonts w:ascii="宋体" w:hAnsi="宋体" w:cs="宋体"/>
          <w:sz w:val="24"/>
        </w:rPr>
      </w:pPr>
      <w:r>
        <w:rPr>
          <w:rFonts w:hint="eastAsia" w:ascii="宋体" w:hAnsi="宋体" w:cs="宋体"/>
          <w:sz w:val="24"/>
        </w:rPr>
        <w:t>1.6.1 除不可抗力外，如果乙方没有按照本合同约定的期限、地点和方式交付标的物，那么甲方可要求乙方支付违约金，违约金按每迟延交付标的物一日的应交付而未交付标的物价格的</w:t>
      </w:r>
      <w:r>
        <w:rPr>
          <w:rFonts w:hint="eastAsia" w:ascii="宋体" w:hAnsi="宋体" w:cs="宋体"/>
          <w:sz w:val="24"/>
          <w:u w:val="single"/>
        </w:rPr>
        <w:t>万分之五</w:t>
      </w:r>
      <w:r>
        <w:rPr>
          <w:rFonts w:hint="eastAsia" w:ascii="宋体" w:hAnsi="宋体" w:cs="宋体"/>
          <w:sz w:val="24"/>
        </w:rPr>
        <w:t>计算，最高限额为本合同总价的</w:t>
      </w:r>
      <w:r>
        <w:rPr>
          <w:rFonts w:hint="eastAsia" w:ascii="宋体" w:hAnsi="宋体" w:cs="宋体"/>
          <w:sz w:val="24"/>
          <w:u w:val="single"/>
        </w:rPr>
        <w:t>20</w:t>
      </w:r>
      <w:r>
        <w:rPr>
          <w:rFonts w:hint="eastAsia" w:ascii="宋体" w:hAnsi="宋体" w:cs="宋体"/>
          <w:sz w:val="24"/>
        </w:rPr>
        <w:t>%；迟延交付标的物的违约金计算数额达到前述最高限额之日起，甲方有权在要求乙方支付违约金的同时，书面通知乙方解除本合同；</w:t>
      </w:r>
    </w:p>
    <w:p>
      <w:pPr>
        <w:spacing w:line="360" w:lineRule="auto"/>
        <w:ind w:firstLine="480" w:firstLineChars="200"/>
        <w:rPr>
          <w:rFonts w:ascii="宋体" w:hAnsi="宋体" w:cs="宋体"/>
          <w:sz w:val="24"/>
        </w:rPr>
      </w:pPr>
      <w:r>
        <w:rPr>
          <w:rFonts w:hint="eastAsia" w:ascii="宋体" w:hAnsi="宋体" w:cs="宋体"/>
          <w:sz w:val="24"/>
        </w:rPr>
        <w:t>1.6.2 除不可抗力外，如果甲方没有按照本合同约定的付款方式付款，那么乙方可要求甲方支付违约金，违约金按每迟延付款一日的应付而未付款的</w:t>
      </w:r>
      <w:r>
        <w:rPr>
          <w:rFonts w:hint="eastAsia" w:ascii="宋体" w:hAnsi="宋体" w:cs="宋体"/>
          <w:sz w:val="24"/>
          <w:u w:val="single"/>
        </w:rPr>
        <w:t xml:space="preserve"> 万分之五</w:t>
      </w:r>
      <w:r>
        <w:rPr>
          <w:rFonts w:hint="eastAsia" w:ascii="宋体" w:hAnsi="宋体" w:cs="宋体"/>
          <w:sz w:val="24"/>
        </w:rPr>
        <w:t>计算，最高限额为本合同总价的</w:t>
      </w:r>
      <w:r>
        <w:rPr>
          <w:rFonts w:hint="eastAsia" w:ascii="宋体" w:hAnsi="宋体" w:cs="宋体"/>
          <w:sz w:val="24"/>
          <w:u w:val="single"/>
        </w:rPr>
        <w:t xml:space="preserve"> 20 </w:t>
      </w:r>
      <w:r>
        <w:rPr>
          <w:rFonts w:hint="eastAsia" w:ascii="宋体" w:hAnsi="宋体" w:cs="宋体"/>
          <w:sz w:val="24"/>
        </w:rPr>
        <w:t>%；迟延付款的违约金计算数额达到前述最高限额之日起，乙方有权在要求甲方支付违约金的同时，书面通知甲方解除本合同；</w:t>
      </w:r>
    </w:p>
    <w:p>
      <w:pPr>
        <w:spacing w:line="360" w:lineRule="auto"/>
        <w:ind w:firstLine="480" w:firstLineChars="200"/>
        <w:rPr>
          <w:rFonts w:ascii="宋体" w:hAnsi="宋体" w:cs="宋体"/>
          <w:sz w:val="24"/>
        </w:rPr>
      </w:pPr>
      <w:r>
        <w:rPr>
          <w:rFonts w:hint="eastAsia" w:ascii="宋体" w:hAnsi="宋体" w:cs="宋体"/>
          <w:sz w:val="24"/>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360" w:lineRule="auto"/>
        <w:ind w:firstLine="480" w:firstLineChars="200"/>
        <w:rPr>
          <w:rFonts w:ascii="宋体" w:hAnsi="宋体" w:cs="宋体"/>
          <w:sz w:val="24"/>
        </w:rPr>
      </w:pPr>
      <w:r>
        <w:rPr>
          <w:rFonts w:hint="eastAsia" w:ascii="宋体" w:hAnsi="宋体" w:cs="宋体"/>
          <w:sz w:val="24"/>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360" w:lineRule="auto"/>
        <w:ind w:firstLine="480" w:firstLineChars="200"/>
        <w:rPr>
          <w:rFonts w:ascii="宋体" w:hAnsi="宋体" w:cs="宋体"/>
          <w:sz w:val="24"/>
        </w:rPr>
      </w:pPr>
      <w:r>
        <w:rPr>
          <w:rFonts w:hint="eastAsia" w:ascii="宋体" w:hAnsi="宋体" w:cs="宋体"/>
          <w:sz w:val="24"/>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360" w:lineRule="auto"/>
        <w:ind w:firstLine="480" w:firstLineChars="200"/>
        <w:rPr>
          <w:rFonts w:ascii="宋体" w:hAnsi="宋体" w:cs="宋体"/>
          <w:sz w:val="24"/>
        </w:rPr>
      </w:pPr>
      <w:r>
        <w:rPr>
          <w:rFonts w:hint="eastAsia" w:ascii="宋体" w:hAnsi="宋体" w:cs="宋体"/>
          <w:sz w:val="24"/>
        </w:rPr>
        <w:t>1.6.6 如果出现政府采购监督管理部门在处理投诉事项期间，书面通知甲方暂停采购活动的情形，或者询问或质疑事项可能影响成交结果的，导致甲方中止履行合同的情形，均不视为甲方违约。</w:t>
      </w:r>
    </w:p>
    <w:p>
      <w:pPr>
        <w:spacing w:line="360" w:lineRule="auto"/>
        <w:ind w:firstLine="482" w:firstLineChars="200"/>
        <w:outlineLvl w:val="1"/>
        <w:rPr>
          <w:rFonts w:ascii="宋体" w:hAnsi="宋体" w:cs="宋体"/>
          <w:b/>
          <w:sz w:val="24"/>
        </w:rPr>
      </w:pPr>
      <w:bookmarkStart w:id="45" w:name="_Toc16021"/>
      <w:bookmarkStart w:id="46" w:name="_Toc28375"/>
      <w:bookmarkStart w:id="47" w:name="_Toc15583"/>
      <w:r>
        <w:rPr>
          <w:rFonts w:hint="eastAsia" w:ascii="宋体" w:hAnsi="宋体" w:cs="宋体"/>
          <w:b/>
          <w:sz w:val="24"/>
        </w:rPr>
        <w:t>1.7 合同争议的解决</w:t>
      </w:r>
      <w:bookmarkEnd w:id="45"/>
      <w:bookmarkEnd w:id="46"/>
      <w:bookmarkEnd w:id="47"/>
    </w:p>
    <w:p>
      <w:pPr>
        <w:spacing w:line="360" w:lineRule="auto"/>
        <w:ind w:firstLine="480" w:firstLineChars="200"/>
        <w:rPr>
          <w:rFonts w:ascii="宋体" w:hAnsi="宋体" w:cs="宋体"/>
          <w:sz w:val="24"/>
        </w:rPr>
      </w:pPr>
      <w:r>
        <w:rPr>
          <w:rFonts w:hint="eastAsia" w:ascii="宋体" w:hAnsi="宋体" w:cs="宋体"/>
          <w:sz w:val="24"/>
        </w:rPr>
        <w:t>本合同履行过程中发生的任何争议，双方当事人均可通过和解或者调解解决；不愿和解、调解或者和解、调解不成的，可以选择下列第</w:t>
      </w:r>
      <w:r>
        <w:rPr>
          <w:rFonts w:hint="eastAsia" w:ascii="宋体" w:hAnsi="宋体" w:cs="宋体"/>
          <w:sz w:val="24"/>
          <w:u w:val="single"/>
        </w:rPr>
        <w:t>1.7.1</w:t>
      </w:r>
      <w:r>
        <w:rPr>
          <w:rFonts w:hint="eastAsia" w:ascii="宋体" w:hAnsi="宋体" w:cs="宋体"/>
          <w:sz w:val="24"/>
        </w:rPr>
        <w:t>种方式解决：</w:t>
      </w:r>
    </w:p>
    <w:p>
      <w:pPr>
        <w:spacing w:line="360" w:lineRule="auto"/>
        <w:ind w:firstLine="480" w:firstLineChars="200"/>
        <w:rPr>
          <w:rFonts w:ascii="宋体" w:hAnsi="宋体" w:cs="宋体"/>
          <w:sz w:val="24"/>
        </w:rPr>
      </w:pPr>
      <w:r>
        <w:rPr>
          <w:rFonts w:hint="eastAsia" w:ascii="宋体" w:hAnsi="宋体" w:cs="宋体"/>
          <w:sz w:val="24"/>
        </w:rPr>
        <w:t>1.7.1 将争议提交</w:t>
      </w:r>
      <w:r>
        <w:rPr>
          <w:rFonts w:hint="eastAsia" w:ascii="宋体" w:hAnsi="宋体" w:cs="宋体"/>
          <w:sz w:val="24"/>
          <w:u w:val="single"/>
        </w:rPr>
        <w:t>杭州</w:t>
      </w:r>
      <w:r>
        <w:rPr>
          <w:rFonts w:hint="eastAsia" w:ascii="宋体" w:hAnsi="宋体" w:cs="宋体"/>
          <w:sz w:val="24"/>
        </w:rPr>
        <w:t>仲裁委员会依申请仲裁时其现行有效的仲裁规则裁决；</w:t>
      </w:r>
    </w:p>
    <w:p>
      <w:pPr>
        <w:spacing w:line="360" w:lineRule="auto"/>
        <w:ind w:firstLine="480" w:firstLineChars="200"/>
        <w:rPr>
          <w:rFonts w:ascii="宋体" w:hAnsi="宋体" w:cs="宋体"/>
          <w:sz w:val="24"/>
        </w:rPr>
      </w:pPr>
      <w:r>
        <w:rPr>
          <w:rFonts w:hint="eastAsia" w:ascii="宋体" w:hAnsi="宋体" w:cs="宋体"/>
          <w:sz w:val="24"/>
        </w:rPr>
        <w:t>1.7.2 向</w:t>
      </w:r>
      <w:r>
        <w:rPr>
          <w:rFonts w:hint="eastAsia" w:ascii="宋体" w:hAnsi="宋体" w:cs="宋体"/>
          <w:sz w:val="24"/>
          <w:u w:val="single"/>
        </w:rPr>
        <w:t>采购人所在地</w:t>
      </w:r>
      <w:r>
        <w:rPr>
          <w:rFonts w:hint="eastAsia" w:ascii="宋体" w:hAnsi="宋体" w:cs="宋体"/>
          <w:sz w:val="24"/>
        </w:rPr>
        <w:t>人民法院起诉。</w:t>
      </w:r>
    </w:p>
    <w:p>
      <w:pPr>
        <w:spacing w:line="360" w:lineRule="auto"/>
        <w:ind w:firstLine="482" w:firstLineChars="200"/>
        <w:outlineLvl w:val="1"/>
        <w:rPr>
          <w:rFonts w:ascii="宋体" w:hAnsi="宋体" w:cs="宋体"/>
          <w:b/>
          <w:sz w:val="24"/>
        </w:rPr>
      </w:pPr>
      <w:bookmarkStart w:id="48" w:name="_Toc7245"/>
      <w:bookmarkStart w:id="49" w:name="_Toc15322"/>
      <w:bookmarkStart w:id="50" w:name="_Toc11173"/>
      <w:r>
        <w:rPr>
          <w:rFonts w:hint="eastAsia" w:ascii="宋体" w:hAnsi="宋体" w:cs="宋体"/>
          <w:b/>
          <w:sz w:val="24"/>
        </w:rPr>
        <w:t>1.8 合同生效</w:t>
      </w:r>
      <w:bookmarkEnd w:id="48"/>
      <w:bookmarkEnd w:id="49"/>
      <w:bookmarkEnd w:id="50"/>
    </w:p>
    <w:p>
      <w:pPr>
        <w:spacing w:line="360" w:lineRule="auto"/>
        <w:ind w:firstLine="480" w:firstLineChars="200"/>
        <w:rPr>
          <w:rFonts w:ascii="宋体" w:hAnsi="宋体" w:cs="宋体"/>
          <w:b/>
          <w:sz w:val="24"/>
        </w:rPr>
      </w:pPr>
      <w:r>
        <w:rPr>
          <w:rFonts w:hint="eastAsia" w:ascii="宋体" w:hAnsi="宋体" w:cs="宋体"/>
          <w:sz w:val="24"/>
        </w:rPr>
        <w:t>本合同自双方当事人盖章并且签字时生效。</w:t>
      </w:r>
    </w:p>
    <w:p>
      <w:pPr>
        <w:autoSpaceDE w:val="0"/>
        <w:autoSpaceDN w:val="0"/>
        <w:spacing w:line="360" w:lineRule="auto"/>
        <w:rPr>
          <w:rFonts w:ascii="宋体" w:hAnsi="宋体" w:cs="宋体"/>
          <w:sz w:val="24"/>
          <w:lang w:val="zh-CN"/>
        </w:rPr>
      </w:pPr>
    </w:p>
    <w:p>
      <w:pPr>
        <w:autoSpaceDE w:val="0"/>
        <w:autoSpaceDN w:val="0"/>
        <w:spacing w:line="360" w:lineRule="auto"/>
        <w:rPr>
          <w:rFonts w:ascii="宋体" w:hAnsi="宋体" w:cs="宋体"/>
          <w:sz w:val="24"/>
          <w:lang w:val="zh-CN"/>
        </w:rPr>
      </w:pPr>
      <w:r>
        <w:rPr>
          <w:rFonts w:hint="eastAsia" w:ascii="宋体" w:hAnsi="宋体" w:cs="宋体"/>
          <w:b/>
          <w:sz w:val="24"/>
          <w:lang w:val="zh-CN"/>
        </w:rPr>
        <w:t>甲方</w:t>
      </w:r>
      <w:r>
        <w:rPr>
          <w:rFonts w:hint="eastAsia" w:ascii="宋体" w:hAnsi="宋体" w:cs="宋体"/>
          <w:sz w:val="24"/>
          <w:lang w:val="zh-CN"/>
        </w:rPr>
        <w:t>：</w:t>
      </w:r>
      <w:r>
        <w:rPr>
          <w:rFonts w:hint="eastAsia" w:ascii="宋体" w:hAnsi="宋体" w:cs="宋体"/>
          <w:sz w:val="24"/>
        </w:rPr>
        <w:t xml:space="preserve">                         </w:t>
      </w:r>
      <w:r>
        <w:rPr>
          <w:rFonts w:hint="eastAsia" w:ascii="宋体" w:hAnsi="宋体" w:cs="宋体"/>
          <w:sz w:val="24"/>
          <w:lang w:val="zh-CN"/>
        </w:rPr>
        <w:t xml:space="preserve">        </w:t>
      </w:r>
      <w:r>
        <w:rPr>
          <w:rFonts w:hint="eastAsia" w:ascii="宋体" w:hAnsi="宋体" w:cs="宋体"/>
          <w:b/>
          <w:sz w:val="24"/>
          <w:lang w:val="zh-CN"/>
        </w:rPr>
        <w:t>乙方</w:t>
      </w:r>
      <w:r>
        <w:rPr>
          <w:rFonts w:hint="eastAsia" w:ascii="宋体" w:hAnsi="宋体" w:cs="宋体"/>
          <w:sz w:val="24"/>
          <w:lang w:val="zh-CN"/>
        </w:rPr>
        <w:t>：</w:t>
      </w:r>
    </w:p>
    <w:p>
      <w:pPr>
        <w:autoSpaceDE w:val="0"/>
        <w:autoSpaceDN w:val="0"/>
        <w:spacing w:line="360" w:lineRule="auto"/>
        <w:rPr>
          <w:rFonts w:ascii="宋体" w:hAnsi="宋体" w:cs="宋体"/>
          <w:sz w:val="24"/>
          <w:lang w:val="zh-CN"/>
        </w:rPr>
      </w:pPr>
      <w:r>
        <w:rPr>
          <w:rFonts w:hint="eastAsia" w:ascii="宋体" w:hAnsi="宋体" w:cs="宋体"/>
          <w:sz w:val="24"/>
          <w:lang w:val="zh-CN"/>
        </w:rPr>
        <w:t>统一社会信用代码：</w:t>
      </w:r>
      <w:r>
        <w:rPr>
          <w:rFonts w:hint="eastAsia" w:ascii="宋体" w:hAnsi="宋体" w:cs="宋体"/>
          <w:szCs w:val="21"/>
          <w:shd w:val="clear" w:color="auto" w:fill="FFFFFF"/>
        </w:rPr>
        <w:t xml:space="preserve">                        </w:t>
      </w:r>
      <w:r>
        <w:rPr>
          <w:rFonts w:hint="eastAsia" w:ascii="宋体" w:hAnsi="宋体" w:cs="宋体"/>
          <w:sz w:val="24"/>
          <w:lang w:val="zh-CN"/>
        </w:rPr>
        <w:t>统一社会信用代码或身份证号码：</w:t>
      </w:r>
    </w:p>
    <w:p>
      <w:pPr>
        <w:autoSpaceDE w:val="0"/>
        <w:autoSpaceDN w:val="0"/>
        <w:spacing w:line="360" w:lineRule="auto"/>
        <w:rPr>
          <w:rFonts w:ascii="宋体" w:hAnsi="宋体" w:cs="宋体"/>
          <w:sz w:val="24"/>
          <w:lang w:val="zh-CN"/>
        </w:rPr>
      </w:pPr>
      <w:r>
        <w:rPr>
          <w:rFonts w:hint="eastAsia" w:ascii="宋体" w:hAnsi="宋体" w:cs="宋体"/>
          <w:sz w:val="24"/>
          <w:lang w:val="zh-CN"/>
        </w:rPr>
        <w:t>住所：                                 住所：</w:t>
      </w:r>
    </w:p>
    <w:p>
      <w:pPr>
        <w:autoSpaceDE w:val="0"/>
        <w:autoSpaceDN w:val="0"/>
        <w:spacing w:line="360" w:lineRule="auto"/>
        <w:rPr>
          <w:rFonts w:ascii="宋体" w:hAnsi="宋体" w:cs="宋体"/>
          <w:sz w:val="24"/>
          <w:lang w:val="zh-CN"/>
        </w:rPr>
      </w:pPr>
      <w:r>
        <w:rPr>
          <w:rFonts w:hint="eastAsia" w:ascii="宋体" w:hAnsi="宋体" w:cs="宋体"/>
          <w:sz w:val="24"/>
          <w:lang w:val="zh-CN"/>
        </w:rPr>
        <w:t>法定代表人或                           法定代表人</w:t>
      </w:r>
    </w:p>
    <w:p>
      <w:pPr>
        <w:autoSpaceDE w:val="0"/>
        <w:autoSpaceDN w:val="0"/>
        <w:spacing w:line="360" w:lineRule="auto"/>
        <w:rPr>
          <w:rFonts w:ascii="宋体" w:hAnsi="宋体" w:cs="宋体"/>
          <w:sz w:val="24"/>
          <w:lang w:val="zh-CN"/>
        </w:rPr>
      </w:pPr>
      <w:r>
        <w:rPr>
          <w:rFonts w:hint="eastAsia" w:ascii="宋体" w:hAnsi="宋体" w:cs="宋体"/>
          <w:sz w:val="24"/>
          <w:lang w:val="zh-CN"/>
        </w:rPr>
        <w:t xml:space="preserve">授权代表（签字）：                      或授权代表（签字）: </w:t>
      </w:r>
    </w:p>
    <w:p>
      <w:pPr>
        <w:autoSpaceDE w:val="0"/>
        <w:autoSpaceDN w:val="0"/>
        <w:spacing w:line="360" w:lineRule="auto"/>
        <w:rPr>
          <w:rFonts w:ascii="宋体" w:hAnsi="宋体" w:cs="宋体"/>
          <w:sz w:val="24"/>
          <w:lang w:val="zh-CN"/>
        </w:rPr>
      </w:pPr>
      <w:r>
        <w:rPr>
          <w:rFonts w:hint="eastAsia" w:ascii="宋体" w:hAnsi="宋体" w:cs="宋体"/>
          <w:sz w:val="24"/>
          <w:lang w:val="zh-CN"/>
        </w:rPr>
        <w:t>联系人：                               联系人：</w:t>
      </w:r>
    </w:p>
    <w:p>
      <w:pPr>
        <w:autoSpaceDE w:val="0"/>
        <w:autoSpaceDN w:val="0"/>
        <w:spacing w:line="360" w:lineRule="auto"/>
        <w:rPr>
          <w:rFonts w:ascii="宋体" w:hAnsi="宋体" w:cs="宋体"/>
          <w:sz w:val="24"/>
          <w:lang w:val="zh-CN"/>
        </w:rPr>
      </w:pPr>
      <w:r>
        <w:rPr>
          <w:rFonts w:hint="eastAsia" w:ascii="宋体" w:hAnsi="宋体" w:cs="宋体"/>
          <w:sz w:val="24"/>
          <w:lang w:val="zh-CN"/>
        </w:rPr>
        <w:t>约定送达地址：                         约定送达地址：</w:t>
      </w:r>
    </w:p>
    <w:p>
      <w:pPr>
        <w:autoSpaceDE w:val="0"/>
        <w:autoSpaceDN w:val="0"/>
        <w:spacing w:line="360" w:lineRule="auto"/>
        <w:rPr>
          <w:rFonts w:ascii="宋体" w:hAnsi="宋体" w:cs="宋体"/>
          <w:sz w:val="24"/>
          <w:lang w:val="zh-CN"/>
        </w:rPr>
      </w:pPr>
      <w:r>
        <w:rPr>
          <w:rFonts w:hint="eastAsia" w:ascii="宋体" w:hAnsi="宋体" w:cs="宋体"/>
          <w:sz w:val="24"/>
          <w:lang w:val="zh-CN"/>
        </w:rPr>
        <w:t>邮政编码：                             邮政编码：</w:t>
      </w:r>
    </w:p>
    <w:p>
      <w:pPr>
        <w:autoSpaceDE w:val="0"/>
        <w:autoSpaceDN w:val="0"/>
        <w:spacing w:line="360" w:lineRule="auto"/>
        <w:rPr>
          <w:rFonts w:ascii="宋体" w:hAnsi="宋体" w:cs="宋体"/>
          <w:sz w:val="24"/>
          <w:lang w:val="zh-CN"/>
        </w:rPr>
      </w:pPr>
      <w:r>
        <w:rPr>
          <w:rFonts w:hint="eastAsia" w:ascii="宋体" w:hAnsi="宋体" w:cs="宋体"/>
          <w:sz w:val="24"/>
          <w:lang w:val="zh-CN"/>
        </w:rPr>
        <w:t xml:space="preserve">电话:                                  电话: </w:t>
      </w:r>
    </w:p>
    <w:p>
      <w:pPr>
        <w:autoSpaceDE w:val="0"/>
        <w:autoSpaceDN w:val="0"/>
        <w:spacing w:line="360" w:lineRule="auto"/>
        <w:rPr>
          <w:rFonts w:ascii="宋体" w:hAnsi="宋体" w:cs="宋体"/>
          <w:sz w:val="24"/>
          <w:lang w:val="zh-CN"/>
        </w:rPr>
      </w:pPr>
      <w:r>
        <w:rPr>
          <w:rFonts w:hint="eastAsia" w:ascii="宋体" w:hAnsi="宋体" w:cs="宋体"/>
          <w:sz w:val="24"/>
          <w:lang w:val="zh-CN"/>
        </w:rPr>
        <w:t>传真:                                  传真:</w:t>
      </w:r>
    </w:p>
    <w:p>
      <w:pPr>
        <w:autoSpaceDE w:val="0"/>
        <w:autoSpaceDN w:val="0"/>
        <w:spacing w:line="360" w:lineRule="auto"/>
        <w:rPr>
          <w:rFonts w:ascii="宋体" w:hAnsi="宋体" w:cs="宋体"/>
          <w:sz w:val="24"/>
          <w:lang w:val="zh-CN"/>
        </w:rPr>
      </w:pPr>
      <w:r>
        <w:rPr>
          <w:rFonts w:hint="eastAsia" w:ascii="宋体" w:hAnsi="宋体" w:cs="宋体"/>
          <w:sz w:val="24"/>
          <w:lang w:val="zh-CN"/>
        </w:rPr>
        <w:t>电子邮箱：                             电子邮箱：</w:t>
      </w:r>
    </w:p>
    <w:p>
      <w:pPr>
        <w:autoSpaceDE w:val="0"/>
        <w:autoSpaceDN w:val="0"/>
        <w:spacing w:line="360" w:lineRule="auto"/>
        <w:rPr>
          <w:rFonts w:ascii="宋体" w:hAnsi="宋体" w:cs="宋体"/>
          <w:sz w:val="24"/>
          <w:lang w:val="zh-CN"/>
        </w:rPr>
      </w:pPr>
      <w:r>
        <w:rPr>
          <w:rFonts w:hint="eastAsia" w:ascii="宋体" w:hAnsi="宋体" w:cs="宋体"/>
          <w:sz w:val="24"/>
          <w:lang w:val="zh-CN"/>
        </w:rPr>
        <w:t xml:space="preserve">开户银行：                             开户银行： </w:t>
      </w:r>
    </w:p>
    <w:p>
      <w:pPr>
        <w:autoSpaceDE w:val="0"/>
        <w:autoSpaceDN w:val="0"/>
        <w:spacing w:line="360" w:lineRule="auto"/>
        <w:rPr>
          <w:rFonts w:ascii="宋体" w:hAnsi="宋体" w:cs="宋体"/>
          <w:sz w:val="24"/>
          <w:lang w:val="zh-CN"/>
        </w:rPr>
      </w:pPr>
      <w:r>
        <w:rPr>
          <w:rFonts w:hint="eastAsia" w:ascii="宋体" w:hAnsi="宋体" w:cs="宋体"/>
          <w:sz w:val="24"/>
          <w:lang w:val="zh-CN"/>
        </w:rPr>
        <w:t xml:space="preserve">开户名称：                             开户名称： </w:t>
      </w:r>
    </w:p>
    <w:p>
      <w:pPr>
        <w:autoSpaceDE w:val="0"/>
        <w:autoSpaceDN w:val="0"/>
        <w:spacing w:line="360" w:lineRule="auto"/>
        <w:rPr>
          <w:rFonts w:ascii="宋体" w:hAnsi="宋体" w:cs="宋体"/>
          <w:sz w:val="24"/>
        </w:rPr>
      </w:pPr>
      <w:r>
        <w:rPr>
          <w:rFonts w:hint="eastAsia" w:ascii="宋体" w:hAnsi="宋体" w:cs="宋体"/>
          <w:sz w:val="24"/>
          <w:lang w:val="zh-CN"/>
        </w:rPr>
        <w:t>开户账号：                             开户账号：</w:t>
      </w:r>
    </w:p>
    <w:p>
      <w:pPr>
        <w:widowControl/>
        <w:jc w:val="left"/>
        <w:rPr>
          <w:rFonts w:ascii="宋体" w:hAnsi="宋体" w:cs="宋体"/>
          <w:b/>
          <w:sz w:val="24"/>
        </w:rPr>
      </w:pPr>
      <w:bookmarkStart w:id="51" w:name="_Toc331685783"/>
      <w:r>
        <w:rPr>
          <w:rFonts w:hint="eastAsia" w:ascii="宋体" w:hAnsi="宋体" w:cs="宋体"/>
          <w:b/>
        </w:rPr>
        <w:br w:type="page"/>
      </w:r>
    </w:p>
    <w:p>
      <w:pPr>
        <w:pStyle w:val="2"/>
        <w:ind w:firstLine="562"/>
        <w:jc w:val="center"/>
      </w:pPr>
      <w:r>
        <w:rPr>
          <w:rFonts w:hint="eastAsia"/>
        </w:rPr>
        <w:t>第二部分 合同一般条款</w:t>
      </w:r>
      <w:bookmarkEnd w:id="51"/>
    </w:p>
    <w:p>
      <w:pPr>
        <w:spacing w:line="360" w:lineRule="auto"/>
        <w:ind w:firstLine="482" w:firstLineChars="200"/>
        <w:outlineLvl w:val="1"/>
        <w:rPr>
          <w:rFonts w:ascii="宋体" w:hAnsi="宋体" w:cs="宋体"/>
          <w:b/>
          <w:sz w:val="24"/>
        </w:rPr>
      </w:pPr>
      <w:bookmarkStart w:id="52" w:name="_Toc487900349"/>
      <w:bookmarkStart w:id="53" w:name="_Toc16917"/>
      <w:bookmarkStart w:id="54" w:name="_Ref467379205"/>
      <w:bookmarkStart w:id="55" w:name="_Ref467378463"/>
      <w:bookmarkStart w:id="56" w:name="_Ref467379094"/>
      <w:bookmarkStart w:id="57" w:name="_Ref467379195"/>
      <w:bookmarkStart w:id="58" w:name="_Ref467379214"/>
      <w:bookmarkStart w:id="59" w:name="_Toc28763"/>
      <w:bookmarkStart w:id="60" w:name="_Toc19614"/>
      <w:bookmarkStart w:id="61" w:name="_Toc279701240"/>
      <w:bookmarkStart w:id="62" w:name="_Ref467379109"/>
      <w:bookmarkStart w:id="63" w:name="_Toc259093669"/>
      <w:bookmarkStart w:id="64" w:name="_Ref467378499"/>
      <w:bookmarkStart w:id="65" w:name="_Ref467379101"/>
      <w:bookmarkStart w:id="66" w:name="_Ref467379225"/>
      <w:bookmarkStart w:id="67" w:name="_Ref467378404"/>
      <w:r>
        <w:rPr>
          <w:rFonts w:hint="eastAsia" w:ascii="宋体" w:hAnsi="宋体" w:cs="宋体"/>
          <w:b/>
          <w:sz w:val="24"/>
        </w:rPr>
        <w:t>2.1 定义</w:t>
      </w:r>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p>
    <w:p>
      <w:pPr>
        <w:spacing w:line="360" w:lineRule="auto"/>
        <w:ind w:firstLine="480" w:firstLineChars="200"/>
        <w:rPr>
          <w:rFonts w:ascii="宋体" w:hAnsi="宋体" w:cs="宋体"/>
          <w:sz w:val="24"/>
        </w:rPr>
      </w:pPr>
      <w:r>
        <w:rPr>
          <w:rFonts w:hint="eastAsia" w:ascii="宋体" w:hAnsi="宋体" w:cs="宋体"/>
          <w:sz w:val="24"/>
        </w:rPr>
        <w:t>本合同中的下列词语应按以下内容进行解释：</w:t>
      </w:r>
    </w:p>
    <w:p>
      <w:pPr>
        <w:spacing w:line="360" w:lineRule="auto"/>
        <w:ind w:firstLine="480" w:firstLineChars="200"/>
        <w:rPr>
          <w:rFonts w:ascii="宋体" w:hAnsi="宋体" w:cs="宋体"/>
          <w:sz w:val="24"/>
        </w:rPr>
      </w:pPr>
      <w:r>
        <w:rPr>
          <w:rFonts w:hint="eastAsia" w:ascii="宋体" w:hAnsi="宋体" w:cs="宋体"/>
          <w:sz w:val="24"/>
        </w:rPr>
        <w:t>2.1.1 “合同”系指采购人和中标人签订的载明双方当事人所达成的协议，并包括所有的附件、附录和构成合同的其他文件。</w:t>
      </w:r>
    </w:p>
    <w:p>
      <w:pPr>
        <w:spacing w:line="360" w:lineRule="auto"/>
        <w:ind w:firstLine="480" w:firstLineChars="200"/>
        <w:rPr>
          <w:rFonts w:ascii="宋体" w:hAnsi="宋体" w:cs="宋体"/>
          <w:sz w:val="24"/>
        </w:rPr>
      </w:pPr>
      <w:r>
        <w:rPr>
          <w:rFonts w:hint="eastAsia" w:ascii="宋体" w:hAnsi="宋体" w:cs="宋体"/>
          <w:sz w:val="24"/>
        </w:rPr>
        <w:t>2.1.2 “合同价”系指根据合同约定，中标人在完全履行合同义务后，采购人应支付给中标人的价格。</w:t>
      </w:r>
    </w:p>
    <w:p>
      <w:pPr>
        <w:spacing w:line="360" w:lineRule="auto"/>
        <w:ind w:firstLine="480" w:firstLineChars="200"/>
        <w:rPr>
          <w:rFonts w:ascii="宋体" w:hAnsi="宋体" w:cs="宋体"/>
          <w:sz w:val="24"/>
        </w:rPr>
      </w:pPr>
      <w:r>
        <w:rPr>
          <w:rFonts w:hint="eastAsia" w:ascii="宋体" w:hAnsi="宋体" w:cs="宋体"/>
          <w:sz w:val="24"/>
        </w:rPr>
        <w:t>2.1.3 “标的物”系指中标人根据合同约定应向采购人交付的一切各种形态和种类的货物、服务和工程，包括但不限于原材料、燃料、设备、机械、仪表、备件、计算机软件、信息化系统、信息化维保、物业服务、产品等，并包括工具、手册等其他相关资料。</w:t>
      </w:r>
    </w:p>
    <w:p>
      <w:pPr>
        <w:spacing w:line="360" w:lineRule="auto"/>
        <w:ind w:firstLine="480" w:firstLineChars="200"/>
        <w:rPr>
          <w:rFonts w:ascii="宋体" w:hAnsi="宋体" w:cs="宋体"/>
          <w:sz w:val="24"/>
        </w:rPr>
      </w:pPr>
      <w:bookmarkStart w:id="68" w:name="_Ref467378840"/>
      <w:r>
        <w:rPr>
          <w:rFonts w:hint="eastAsia" w:ascii="宋体" w:hAnsi="宋体" w:cs="宋体"/>
          <w:sz w:val="24"/>
        </w:rPr>
        <w:t>2.1.4 “甲方”系指与中标人签署合同的采购人</w:t>
      </w:r>
      <w:bookmarkEnd w:id="68"/>
      <w:r>
        <w:rPr>
          <w:rFonts w:hint="eastAsia" w:ascii="宋体" w:hAnsi="宋体" w:cs="宋体"/>
          <w:sz w:val="24"/>
        </w:rPr>
        <w:t>；采购人委托采购机构代表其与乙方签订合同的，采购人的授权委托书作为合同附件。</w:t>
      </w:r>
    </w:p>
    <w:p>
      <w:pPr>
        <w:spacing w:line="360" w:lineRule="auto"/>
        <w:ind w:firstLine="480" w:firstLineChars="200"/>
        <w:rPr>
          <w:rFonts w:ascii="宋体" w:hAnsi="宋体" w:cs="宋体"/>
          <w:sz w:val="24"/>
        </w:rPr>
      </w:pPr>
      <w:bookmarkStart w:id="69" w:name="_Ref467379400"/>
      <w:r>
        <w:rPr>
          <w:rFonts w:hint="eastAsia" w:ascii="宋体" w:hAnsi="宋体" w:cs="宋体"/>
          <w:sz w:val="24"/>
        </w:rPr>
        <w:t>2.1.5 “乙方”系指根据合同约定交付标的物的</w:t>
      </w:r>
      <w:bookmarkEnd w:id="69"/>
      <w:r>
        <w:rPr>
          <w:rFonts w:hint="eastAsia" w:ascii="宋体" w:hAnsi="宋体" w:cs="宋体"/>
          <w:sz w:val="24"/>
        </w:rPr>
        <w:t>中标人；两个以上的自然人、法人或者其他组织组成一个联合体，以一个供应商的身份共同参加政府采购的，联合体各方均应为乙方或者与乙方相同地位的合同当事人，并就合同约定的事项对甲方承担连带责任。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360" w:lineRule="auto"/>
        <w:ind w:firstLine="480" w:firstLineChars="200"/>
        <w:rPr>
          <w:rFonts w:ascii="宋体" w:hAnsi="宋体" w:cs="宋体"/>
          <w:sz w:val="24"/>
        </w:rPr>
      </w:pPr>
      <w:bookmarkStart w:id="70" w:name="_Ref467379436"/>
      <w:r>
        <w:rPr>
          <w:rFonts w:hint="eastAsia" w:ascii="宋体" w:hAnsi="宋体" w:cs="宋体"/>
          <w:sz w:val="24"/>
        </w:rPr>
        <w:t>2.1.6 “现场”系指合同约定标的物将要运至或者实施或者安装的地点。</w:t>
      </w:r>
      <w:bookmarkEnd w:id="70"/>
    </w:p>
    <w:p>
      <w:pPr>
        <w:spacing w:line="360" w:lineRule="auto"/>
        <w:ind w:firstLine="482" w:firstLineChars="200"/>
        <w:outlineLvl w:val="1"/>
        <w:rPr>
          <w:rFonts w:ascii="宋体" w:hAnsi="宋体" w:cs="宋体"/>
          <w:b/>
          <w:sz w:val="24"/>
        </w:rPr>
      </w:pPr>
      <w:bookmarkStart w:id="71" w:name="_Toc487900350"/>
      <w:bookmarkStart w:id="72" w:name="_Toc259093670"/>
      <w:bookmarkStart w:id="73" w:name="_Toc13336"/>
      <w:bookmarkStart w:id="74" w:name="_Toc279701241"/>
      <w:bookmarkStart w:id="75" w:name="_Toc27635"/>
      <w:bookmarkStart w:id="76" w:name="_Toc32504"/>
      <w:r>
        <w:rPr>
          <w:rFonts w:hint="eastAsia" w:ascii="宋体" w:hAnsi="宋体" w:cs="宋体"/>
          <w:b/>
          <w:sz w:val="24"/>
        </w:rPr>
        <w:t>2.2 技术规范</w:t>
      </w:r>
      <w:bookmarkEnd w:id="71"/>
      <w:bookmarkEnd w:id="72"/>
      <w:bookmarkEnd w:id="73"/>
      <w:bookmarkEnd w:id="74"/>
      <w:bookmarkEnd w:id="75"/>
      <w:bookmarkEnd w:id="76"/>
    </w:p>
    <w:p>
      <w:pPr>
        <w:spacing w:line="360" w:lineRule="auto"/>
        <w:ind w:firstLine="480" w:firstLineChars="200"/>
        <w:rPr>
          <w:rFonts w:ascii="宋体" w:hAnsi="宋体" w:cs="宋体"/>
          <w:sz w:val="24"/>
        </w:rPr>
      </w:pPr>
      <w:r>
        <w:rPr>
          <w:rFonts w:hint="eastAsia" w:ascii="宋体" w:hAnsi="宋体" w:cs="宋体"/>
          <w:sz w:val="24"/>
        </w:rPr>
        <w:t>标的物所应遵守的技术规范应与招标文件规定的技术规范和技术规范附件(如果有的话)及其技术规范偏差表(如果被甲方接受的话)相一致；如果招标文件中没有技术规范的相应说明，那么应以国家有关部门最新颁布的相应标准和规范为准。</w:t>
      </w:r>
    </w:p>
    <w:p>
      <w:pPr>
        <w:spacing w:line="360" w:lineRule="auto"/>
        <w:ind w:firstLine="482" w:firstLineChars="200"/>
        <w:outlineLvl w:val="1"/>
        <w:rPr>
          <w:rFonts w:ascii="宋体" w:hAnsi="宋体" w:cs="宋体"/>
          <w:b/>
          <w:sz w:val="24"/>
        </w:rPr>
      </w:pPr>
      <w:bookmarkStart w:id="77" w:name="_Toc279701242"/>
      <w:bookmarkStart w:id="78" w:name="_Toc9829"/>
      <w:bookmarkStart w:id="79" w:name="_Toc31634"/>
      <w:bookmarkStart w:id="80" w:name="_Toc27853"/>
      <w:bookmarkStart w:id="81" w:name="_Toc259093671"/>
      <w:bookmarkStart w:id="82" w:name="_Toc487900351"/>
      <w:r>
        <w:rPr>
          <w:rFonts w:hint="eastAsia" w:ascii="宋体" w:hAnsi="宋体" w:cs="宋体"/>
          <w:b/>
          <w:sz w:val="24"/>
        </w:rPr>
        <w:t>2.3 知识产权</w:t>
      </w:r>
      <w:bookmarkEnd w:id="77"/>
      <w:bookmarkEnd w:id="78"/>
      <w:bookmarkEnd w:id="79"/>
      <w:bookmarkEnd w:id="80"/>
      <w:bookmarkEnd w:id="81"/>
      <w:bookmarkEnd w:id="82"/>
    </w:p>
    <w:p>
      <w:pPr>
        <w:spacing w:line="360" w:lineRule="auto"/>
        <w:ind w:firstLine="480" w:firstLineChars="200"/>
        <w:rPr>
          <w:rFonts w:ascii="宋体" w:hAnsi="宋体" w:cs="宋体"/>
          <w:sz w:val="24"/>
        </w:rPr>
      </w:pPr>
      <w:r>
        <w:rPr>
          <w:rFonts w:hint="eastAsia" w:ascii="宋体" w:hAnsi="宋体" w:cs="宋体"/>
          <w:sz w:val="24"/>
        </w:rPr>
        <w:t>2.3.1 乙方应保证甲方在使用该标的物或其任何一部分时不受任何第三方提出的侵犯其著作权、商标权、专利权等知识产权方面的起诉；如果任何第三方提出侵权指控，那么乙方须与该第三方交涉并承担由此发生的一切责任、费用和赔偿；</w:t>
      </w:r>
    </w:p>
    <w:p>
      <w:pPr>
        <w:spacing w:line="360" w:lineRule="auto"/>
        <w:ind w:firstLine="480" w:firstLineChars="200"/>
        <w:rPr>
          <w:rFonts w:ascii="宋体" w:hAnsi="宋体" w:cs="宋体"/>
          <w:sz w:val="24"/>
        </w:rPr>
      </w:pPr>
      <w:r>
        <w:rPr>
          <w:rFonts w:hint="eastAsia" w:ascii="宋体" w:hAnsi="宋体" w:cs="宋体"/>
          <w:sz w:val="24"/>
        </w:rPr>
        <w:t>2.3.2具有知识产权的计算机软件等标的物的知识产权归属，详见</w:t>
      </w:r>
      <w:r>
        <w:rPr>
          <w:rFonts w:hint="eastAsia" w:ascii="宋体" w:hAnsi="宋体" w:cs="宋体"/>
          <w:b/>
          <w:i/>
          <w:sz w:val="24"/>
          <w:u w:val="single"/>
        </w:rPr>
        <w:t>合同专用条款</w:t>
      </w:r>
      <w:r>
        <w:rPr>
          <w:rFonts w:hint="eastAsia" w:ascii="宋体" w:hAnsi="宋体" w:cs="宋体"/>
          <w:sz w:val="24"/>
        </w:rPr>
        <w:t>。</w:t>
      </w:r>
    </w:p>
    <w:p>
      <w:pPr>
        <w:spacing w:line="360" w:lineRule="auto"/>
        <w:ind w:firstLine="482" w:firstLineChars="200"/>
        <w:outlineLvl w:val="1"/>
        <w:rPr>
          <w:rFonts w:ascii="宋体" w:hAnsi="宋体" w:cs="宋体"/>
          <w:b/>
          <w:sz w:val="24"/>
        </w:rPr>
      </w:pPr>
      <w:bookmarkStart w:id="83" w:name="_Toc11932"/>
      <w:bookmarkStart w:id="84" w:name="_Toc29149"/>
      <w:bookmarkStart w:id="85" w:name="_Toc4194"/>
      <w:r>
        <w:rPr>
          <w:rFonts w:hint="eastAsia" w:ascii="宋体" w:hAnsi="宋体" w:cs="宋体"/>
          <w:b/>
          <w:sz w:val="24"/>
        </w:rPr>
        <w:t>2.4 包装和装运</w:t>
      </w:r>
      <w:bookmarkEnd w:id="83"/>
      <w:bookmarkEnd w:id="84"/>
      <w:bookmarkEnd w:id="85"/>
    </w:p>
    <w:p>
      <w:pPr>
        <w:spacing w:line="360" w:lineRule="auto"/>
        <w:ind w:firstLine="480" w:firstLineChars="200"/>
        <w:rPr>
          <w:rFonts w:ascii="宋体" w:hAnsi="宋体" w:cs="宋体"/>
          <w:sz w:val="24"/>
        </w:rPr>
      </w:pPr>
      <w:r>
        <w:rPr>
          <w:rFonts w:hint="eastAsia" w:ascii="宋体" w:hAnsi="宋体" w:cs="宋体"/>
          <w:sz w:val="24"/>
        </w:rPr>
        <w:t>2.4.1除</w:t>
      </w:r>
      <w:r>
        <w:rPr>
          <w:rFonts w:hint="eastAsia" w:ascii="宋体" w:hAnsi="宋体" w:cs="宋体"/>
          <w:b/>
          <w:i/>
          <w:sz w:val="24"/>
          <w:u w:val="single"/>
        </w:rPr>
        <w:t>合同专用条款</w:t>
      </w:r>
      <w:r>
        <w:rPr>
          <w:rFonts w:hint="eastAsia" w:ascii="宋体" w:hAnsi="宋体" w:cs="宋体"/>
          <w:sz w:val="24"/>
        </w:rPr>
        <w:t>另有约定外,乙方交付的全部标的物,均应采用本行业通用的方式进行包装，没有通用方式的，应当采取足以保护标的物的包装方式，且该包装应符合国家有关包装的法律、法规的规定。如有必要，包装应适用于远距离运输、防潮、防震、防锈和防粗暴装卸，确保标的物安全无损地运抵现场。由于包装不善所引起的标的物锈蚀、损坏和损失等一切风险均由乙方承担。</w:t>
      </w:r>
    </w:p>
    <w:p>
      <w:pPr>
        <w:spacing w:line="360" w:lineRule="auto"/>
        <w:ind w:firstLine="480" w:firstLineChars="200"/>
        <w:rPr>
          <w:rFonts w:ascii="宋体" w:hAnsi="宋体" w:cs="宋体"/>
          <w:sz w:val="24"/>
        </w:rPr>
      </w:pPr>
      <w:r>
        <w:rPr>
          <w:rFonts w:hint="eastAsia" w:ascii="宋体" w:hAnsi="宋体" w:cs="宋体"/>
          <w:sz w:val="24"/>
        </w:rPr>
        <w:t>2.4.2 装运标的物的要求和通知，详见</w:t>
      </w:r>
      <w:r>
        <w:rPr>
          <w:rFonts w:hint="eastAsia" w:ascii="宋体" w:hAnsi="宋体" w:cs="宋体"/>
          <w:b/>
          <w:i/>
          <w:sz w:val="24"/>
          <w:u w:val="single"/>
        </w:rPr>
        <w:t>合同专用条款</w:t>
      </w:r>
      <w:r>
        <w:rPr>
          <w:rFonts w:hint="eastAsia" w:ascii="宋体" w:hAnsi="宋体" w:cs="宋体"/>
          <w:sz w:val="24"/>
        </w:rPr>
        <w:t>。</w:t>
      </w:r>
    </w:p>
    <w:p>
      <w:pPr>
        <w:spacing w:line="360" w:lineRule="auto"/>
        <w:ind w:firstLine="482" w:firstLineChars="200"/>
        <w:outlineLvl w:val="1"/>
        <w:rPr>
          <w:rFonts w:ascii="宋体" w:hAnsi="宋体" w:cs="宋体"/>
          <w:b/>
          <w:sz w:val="24"/>
        </w:rPr>
      </w:pPr>
      <w:bookmarkStart w:id="86" w:name="_Ref467378541"/>
      <w:bookmarkStart w:id="87" w:name="_Ref467379542"/>
      <w:bookmarkStart w:id="88" w:name="_Ref467378591"/>
      <w:bookmarkStart w:id="89" w:name="_Toc279701245"/>
      <w:bookmarkStart w:id="90" w:name="_Toc487900354"/>
      <w:bookmarkStart w:id="91" w:name="_Toc259093674"/>
      <w:bookmarkStart w:id="92" w:name="_Ref467379527"/>
      <w:bookmarkStart w:id="93" w:name="_Ref467379536"/>
      <w:bookmarkStart w:id="94" w:name="_Toc26182"/>
      <w:bookmarkStart w:id="95" w:name="_Toc19074"/>
      <w:bookmarkStart w:id="96" w:name="_Toc30272"/>
      <w:r>
        <w:rPr>
          <w:rFonts w:hint="eastAsia" w:ascii="宋体" w:hAnsi="宋体" w:cs="宋体"/>
          <w:b/>
          <w:sz w:val="24"/>
        </w:rPr>
        <w:t>2.</w:t>
      </w:r>
      <w:bookmarkEnd w:id="86"/>
      <w:bookmarkEnd w:id="87"/>
      <w:bookmarkEnd w:id="88"/>
      <w:bookmarkEnd w:id="89"/>
      <w:bookmarkEnd w:id="90"/>
      <w:bookmarkEnd w:id="91"/>
      <w:bookmarkEnd w:id="92"/>
      <w:bookmarkEnd w:id="93"/>
      <w:r>
        <w:rPr>
          <w:rFonts w:hint="eastAsia" w:ascii="宋体" w:hAnsi="宋体" w:cs="宋体"/>
          <w:b/>
          <w:sz w:val="24"/>
        </w:rPr>
        <w:t>5 履约检查和问题反馈</w:t>
      </w:r>
      <w:bookmarkEnd w:id="94"/>
      <w:bookmarkEnd w:id="95"/>
      <w:bookmarkEnd w:id="96"/>
    </w:p>
    <w:p>
      <w:pPr>
        <w:spacing w:line="360" w:lineRule="auto"/>
        <w:ind w:firstLine="480" w:firstLineChars="200"/>
        <w:rPr>
          <w:rFonts w:ascii="宋体" w:hAnsi="宋体" w:cs="宋体"/>
          <w:sz w:val="24"/>
        </w:rPr>
      </w:pPr>
      <w:bookmarkStart w:id="97" w:name="_Ref467379657"/>
      <w:r>
        <w:rPr>
          <w:rFonts w:hint="eastAsia" w:ascii="宋体" w:hAnsi="宋体" w:cs="宋体"/>
          <w:sz w:val="24"/>
        </w:rPr>
        <w:t>2.5.1</w:t>
      </w:r>
      <w:bookmarkEnd w:id="97"/>
      <w:bookmarkStart w:id="98" w:name="_Toc186431854"/>
      <w:bookmarkStart w:id="99" w:name="_Toc259093676"/>
      <w:bookmarkStart w:id="100" w:name="_Toc487900357"/>
      <w:bookmarkStart w:id="101" w:name="_Ref467379793"/>
      <w:bookmarkStart w:id="102" w:name="_Ref467379807"/>
      <w:bookmarkStart w:id="103" w:name="_Toc279701247"/>
      <w:r>
        <w:rPr>
          <w:rFonts w:hint="eastAsia" w:ascii="宋体" w:hAnsi="宋体" w:cs="宋体"/>
          <w:sz w:val="24"/>
        </w:rPr>
        <w:t>甲方有权在其认为必要时，对乙方是否能够按照合同约定交付标的物进行履约检查，以确保乙方所交付的标的物能够依约满足甲方之项目需求，但不得因履约检查妨碍乙方的正常工作，乙方应予积极配合；</w:t>
      </w:r>
    </w:p>
    <w:p>
      <w:pPr>
        <w:spacing w:line="360" w:lineRule="auto"/>
        <w:ind w:firstLine="480" w:firstLineChars="200"/>
        <w:rPr>
          <w:rFonts w:ascii="宋体" w:hAnsi="宋体" w:cs="宋体"/>
          <w:sz w:val="24"/>
        </w:rPr>
      </w:pPr>
      <w:r>
        <w:rPr>
          <w:rFonts w:hint="eastAsia" w:ascii="宋体" w:hAnsi="宋体" w:cs="宋体"/>
          <w:sz w:val="24"/>
        </w:rPr>
        <w:t>2.5.2 合同履行期间，甲方有权将履行过程中出现的问题反馈给乙方，双方当事人应以书面形式约定需要完善和改进的内容</w:t>
      </w:r>
      <w:bookmarkEnd w:id="98"/>
      <w:bookmarkStart w:id="104" w:name="_Toc186431855"/>
      <w:r>
        <w:rPr>
          <w:rFonts w:hint="eastAsia" w:ascii="宋体" w:hAnsi="宋体" w:cs="宋体"/>
          <w:sz w:val="24"/>
        </w:rPr>
        <w:t>。</w:t>
      </w:r>
      <w:bookmarkEnd w:id="104"/>
    </w:p>
    <w:p>
      <w:pPr>
        <w:spacing w:line="360" w:lineRule="auto"/>
        <w:ind w:firstLine="482" w:firstLineChars="200"/>
        <w:outlineLvl w:val="1"/>
        <w:rPr>
          <w:rFonts w:ascii="宋体" w:hAnsi="宋体" w:cs="宋体"/>
          <w:b/>
          <w:sz w:val="24"/>
        </w:rPr>
      </w:pPr>
      <w:bookmarkStart w:id="105" w:name="_Toc7836"/>
      <w:bookmarkStart w:id="106" w:name="_Toc19219"/>
      <w:bookmarkStart w:id="107" w:name="_Toc28451"/>
      <w:r>
        <w:rPr>
          <w:rFonts w:hint="eastAsia" w:ascii="宋体" w:hAnsi="宋体" w:cs="宋体"/>
          <w:b/>
          <w:sz w:val="24"/>
        </w:rPr>
        <w:t>2.6 结算方式和付款条件</w:t>
      </w:r>
      <w:bookmarkEnd w:id="99"/>
      <w:bookmarkEnd w:id="100"/>
      <w:bookmarkEnd w:id="101"/>
      <w:bookmarkEnd w:id="102"/>
      <w:bookmarkEnd w:id="103"/>
      <w:bookmarkEnd w:id="105"/>
      <w:bookmarkEnd w:id="106"/>
      <w:bookmarkEnd w:id="107"/>
    </w:p>
    <w:p>
      <w:pPr>
        <w:spacing w:line="360" w:lineRule="auto"/>
        <w:ind w:firstLine="480" w:firstLineChars="200"/>
        <w:rPr>
          <w:rFonts w:ascii="宋体" w:hAnsi="宋体" w:cs="宋体"/>
          <w:sz w:val="24"/>
        </w:rPr>
      </w:pPr>
      <w:r>
        <w:rPr>
          <w:rFonts w:hint="eastAsia" w:ascii="宋体" w:hAnsi="宋体" w:cs="宋体"/>
          <w:sz w:val="24"/>
        </w:rPr>
        <w:t>详见</w:t>
      </w:r>
      <w:r>
        <w:rPr>
          <w:rFonts w:hint="eastAsia" w:ascii="宋体" w:hAnsi="宋体" w:cs="宋体"/>
          <w:b/>
          <w:i/>
          <w:sz w:val="24"/>
          <w:u w:val="single"/>
        </w:rPr>
        <w:t>合同专用条款</w:t>
      </w:r>
      <w:r>
        <w:rPr>
          <w:rFonts w:hint="eastAsia" w:ascii="宋体" w:hAnsi="宋体" w:cs="宋体"/>
          <w:sz w:val="24"/>
        </w:rPr>
        <w:t>。</w:t>
      </w:r>
    </w:p>
    <w:p>
      <w:pPr>
        <w:spacing w:line="360" w:lineRule="auto"/>
        <w:ind w:firstLine="482" w:firstLineChars="200"/>
        <w:outlineLvl w:val="1"/>
        <w:rPr>
          <w:rFonts w:ascii="宋体" w:hAnsi="宋体" w:cs="宋体"/>
          <w:b/>
          <w:sz w:val="24"/>
        </w:rPr>
      </w:pPr>
      <w:bookmarkStart w:id="108" w:name="_Ref467379863"/>
      <w:bookmarkStart w:id="109" w:name="_Toc487900358"/>
      <w:bookmarkStart w:id="110" w:name="_Toc259093677"/>
      <w:bookmarkStart w:id="111" w:name="_Ref467379852"/>
      <w:bookmarkStart w:id="112" w:name="_Toc279701248"/>
      <w:bookmarkStart w:id="113" w:name="_Ref467379923"/>
      <w:bookmarkStart w:id="114" w:name="_Toc3225"/>
      <w:bookmarkStart w:id="115" w:name="_Toc16110"/>
      <w:bookmarkStart w:id="116" w:name="_Toc774"/>
      <w:r>
        <w:rPr>
          <w:rFonts w:hint="eastAsia" w:ascii="宋体" w:hAnsi="宋体" w:cs="宋体"/>
          <w:b/>
          <w:sz w:val="24"/>
        </w:rPr>
        <w:t>2.7 技术资料</w:t>
      </w:r>
      <w:bookmarkEnd w:id="108"/>
      <w:bookmarkEnd w:id="109"/>
      <w:bookmarkEnd w:id="110"/>
      <w:bookmarkEnd w:id="111"/>
      <w:bookmarkEnd w:id="112"/>
      <w:bookmarkEnd w:id="113"/>
      <w:r>
        <w:rPr>
          <w:rFonts w:hint="eastAsia" w:ascii="宋体" w:hAnsi="宋体" w:cs="宋体"/>
          <w:b/>
          <w:sz w:val="24"/>
        </w:rPr>
        <w:t>和保密义务</w:t>
      </w:r>
      <w:bookmarkEnd w:id="114"/>
      <w:bookmarkEnd w:id="115"/>
      <w:bookmarkEnd w:id="116"/>
    </w:p>
    <w:p>
      <w:pPr>
        <w:spacing w:line="360" w:lineRule="auto"/>
        <w:ind w:firstLine="480" w:firstLineChars="200"/>
        <w:rPr>
          <w:rFonts w:ascii="宋体" w:hAnsi="宋体" w:cs="宋体"/>
          <w:sz w:val="24"/>
        </w:rPr>
      </w:pPr>
      <w:r>
        <w:rPr>
          <w:rFonts w:hint="eastAsia" w:ascii="宋体" w:hAnsi="宋体" w:cs="宋体"/>
          <w:sz w:val="24"/>
        </w:rPr>
        <w:t>2.7.1 乙方有权依据合同约定和项目需要，向甲方了解有关情况，调阅有关资料等，甲方应予积极配合；</w:t>
      </w:r>
    </w:p>
    <w:p>
      <w:pPr>
        <w:spacing w:line="360" w:lineRule="auto"/>
        <w:ind w:firstLine="480" w:firstLineChars="200"/>
        <w:rPr>
          <w:rFonts w:ascii="宋体" w:hAnsi="宋体" w:cs="宋体"/>
          <w:sz w:val="24"/>
        </w:rPr>
      </w:pPr>
      <w:r>
        <w:rPr>
          <w:rFonts w:hint="eastAsia" w:ascii="宋体" w:hAnsi="宋体" w:cs="宋体"/>
          <w:sz w:val="24"/>
        </w:rPr>
        <w:t>2.7.2 乙方有义务妥善保管和保护由甲方提供的前款信息和资料等；</w:t>
      </w:r>
    </w:p>
    <w:p>
      <w:pPr>
        <w:spacing w:line="360" w:lineRule="auto"/>
        <w:ind w:firstLine="480" w:firstLineChars="200"/>
        <w:rPr>
          <w:rFonts w:ascii="宋体" w:hAnsi="宋体" w:cs="宋体"/>
          <w:sz w:val="24"/>
        </w:rPr>
      </w:pPr>
      <w:r>
        <w:rPr>
          <w:rFonts w:hint="eastAsia" w:ascii="宋体" w:hAnsi="宋体" w:cs="宋体"/>
          <w:sz w:val="24"/>
        </w:rPr>
        <w:t>2.7.3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及方式防止任何第三方接触到对方当事人的上述保密信息和资料。</w:t>
      </w:r>
    </w:p>
    <w:p>
      <w:pPr>
        <w:spacing w:line="360" w:lineRule="auto"/>
        <w:ind w:firstLine="482" w:firstLineChars="200"/>
        <w:outlineLvl w:val="1"/>
        <w:rPr>
          <w:rFonts w:ascii="宋体" w:hAnsi="宋体" w:cs="宋体"/>
          <w:b/>
          <w:sz w:val="24"/>
        </w:rPr>
      </w:pPr>
      <w:bookmarkStart w:id="117" w:name="_Toc7860"/>
      <w:r>
        <w:rPr>
          <w:rFonts w:hint="eastAsia" w:ascii="宋体" w:hAnsi="宋体" w:cs="宋体"/>
          <w:b/>
          <w:sz w:val="24"/>
        </w:rPr>
        <w:t>2.8 质量保证</w:t>
      </w:r>
      <w:bookmarkEnd w:id="117"/>
    </w:p>
    <w:p>
      <w:pPr>
        <w:spacing w:line="360" w:lineRule="auto"/>
        <w:ind w:firstLine="480" w:firstLineChars="200"/>
        <w:rPr>
          <w:rFonts w:ascii="宋体" w:hAnsi="宋体" w:cs="宋体"/>
          <w:sz w:val="24"/>
        </w:rPr>
      </w:pPr>
      <w:r>
        <w:rPr>
          <w:rFonts w:hint="eastAsia" w:ascii="宋体" w:hAnsi="宋体" w:cs="宋体"/>
          <w:sz w:val="24"/>
        </w:rPr>
        <w:t>2.8.1 乙方应建立和完善履行合同的内部质量保证体系，并提供相关内部规章制度给甲方，以便甲方进行监督检查；</w:t>
      </w:r>
    </w:p>
    <w:p>
      <w:pPr>
        <w:spacing w:line="360" w:lineRule="auto"/>
        <w:ind w:firstLine="480" w:firstLineChars="200"/>
        <w:rPr>
          <w:rFonts w:ascii="宋体" w:hAnsi="宋体" w:cs="宋体"/>
          <w:sz w:val="24"/>
        </w:rPr>
      </w:pPr>
      <w:r>
        <w:rPr>
          <w:rFonts w:hint="eastAsia" w:ascii="宋体" w:hAnsi="宋体" w:cs="宋体"/>
          <w:sz w:val="24"/>
        </w:rPr>
        <w:t>2.8.2 乙方应保证履行合同的人员数量和素质、软件和硬件设备的配置、场地、环境和设施等满足全面履行合同的要求，并应接受甲方的监督检查。</w:t>
      </w:r>
    </w:p>
    <w:p>
      <w:pPr>
        <w:spacing w:line="360" w:lineRule="auto"/>
        <w:ind w:firstLine="482" w:firstLineChars="200"/>
        <w:outlineLvl w:val="1"/>
        <w:rPr>
          <w:rFonts w:ascii="宋体" w:hAnsi="宋体" w:cs="宋体"/>
          <w:b/>
          <w:sz w:val="24"/>
        </w:rPr>
      </w:pPr>
      <w:bookmarkStart w:id="118" w:name="_Toc17244"/>
      <w:bookmarkStart w:id="119" w:name="_Toc259093681"/>
      <w:bookmarkStart w:id="120" w:name="_Toc487900362"/>
      <w:bookmarkStart w:id="121" w:name="_Toc279701252"/>
      <w:r>
        <w:rPr>
          <w:rFonts w:hint="eastAsia" w:ascii="宋体" w:hAnsi="宋体" w:cs="宋体"/>
          <w:b/>
          <w:sz w:val="24"/>
        </w:rPr>
        <w:t>2.9 标的物的风险负担</w:t>
      </w:r>
      <w:bookmarkEnd w:id="118"/>
    </w:p>
    <w:p>
      <w:pPr>
        <w:spacing w:line="360" w:lineRule="auto"/>
        <w:ind w:firstLine="480" w:firstLineChars="200"/>
        <w:rPr>
          <w:rFonts w:ascii="宋体" w:hAnsi="宋体" w:cs="宋体"/>
          <w:b/>
          <w:sz w:val="24"/>
        </w:rPr>
      </w:pPr>
      <w:r>
        <w:rPr>
          <w:rFonts w:hint="eastAsia" w:ascii="宋体" w:hAnsi="宋体" w:cs="宋体"/>
          <w:sz w:val="24"/>
        </w:rPr>
        <w:t>标的物或者在途标的物或者交付给第一承运人后的标的物毁损、灭失的风险负担详见</w:t>
      </w:r>
      <w:r>
        <w:rPr>
          <w:rFonts w:hint="eastAsia" w:ascii="宋体" w:hAnsi="宋体" w:cs="宋体"/>
          <w:b/>
          <w:i/>
          <w:sz w:val="24"/>
          <w:u w:val="single"/>
        </w:rPr>
        <w:t>合同专用条款</w:t>
      </w:r>
      <w:r>
        <w:rPr>
          <w:rFonts w:hint="eastAsia" w:ascii="宋体" w:hAnsi="宋体" w:cs="宋体"/>
          <w:sz w:val="24"/>
        </w:rPr>
        <w:t>。</w:t>
      </w:r>
    </w:p>
    <w:p>
      <w:pPr>
        <w:spacing w:line="360" w:lineRule="auto"/>
        <w:ind w:firstLine="482" w:firstLineChars="200"/>
        <w:outlineLvl w:val="1"/>
        <w:rPr>
          <w:rFonts w:ascii="宋体" w:hAnsi="宋体" w:cs="宋体"/>
          <w:b/>
          <w:sz w:val="24"/>
        </w:rPr>
      </w:pPr>
      <w:bookmarkStart w:id="122" w:name="_Toc14055"/>
      <w:r>
        <w:rPr>
          <w:rFonts w:hint="eastAsia" w:ascii="宋体" w:hAnsi="宋体" w:cs="宋体"/>
          <w:b/>
          <w:sz w:val="24"/>
        </w:rPr>
        <w:t>2.10 延迟交货</w:t>
      </w:r>
      <w:bookmarkEnd w:id="119"/>
      <w:bookmarkEnd w:id="120"/>
      <w:bookmarkEnd w:id="121"/>
      <w:bookmarkEnd w:id="122"/>
      <w:r>
        <w:rPr>
          <w:rFonts w:hint="eastAsia" w:ascii="宋体" w:hAnsi="宋体" w:cs="宋体"/>
          <w:b/>
          <w:sz w:val="24"/>
        </w:rPr>
        <w:t>/交付</w:t>
      </w:r>
    </w:p>
    <w:p>
      <w:pPr>
        <w:spacing w:line="360" w:lineRule="auto"/>
        <w:ind w:firstLine="480" w:firstLineChars="200"/>
        <w:rPr>
          <w:rFonts w:ascii="宋体" w:hAnsi="宋体" w:cs="宋体"/>
          <w:sz w:val="24"/>
        </w:rPr>
      </w:pPr>
      <w:r>
        <w:rPr>
          <w:rFonts w:hint="eastAsia" w:ascii="宋体" w:hAnsi="宋体" w:cs="宋体"/>
          <w:sz w:val="24"/>
        </w:rPr>
        <w:t>在合同履行过程中，如果乙方遇到不能按时交付标的物的情况，应及时以书面形式将不能按时交付标的物的理由、预期延误时间通知甲方；甲方收到乙方通知后，认为其理由正当的，可以书面形式酌情同意乙方可以延长交货的具体时间。</w:t>
      </w:r>
    </w:p>
    <w:p>
      <w:pPr>
        <w:spacing w:line="360" w:lineRule="auto"/>
        <w:ind w:firstLine="482" w:firstLineChars="200"/>
        <w:outlineLvl w:val="1"/>
        <w:rPr>
          <w:rFonts w:ascii="宋体" w:hAnsi="宋体" w:cs="宋体"/>
          <w:b/>
          <w:sz w:val="24"/>
        </w:rPr>
      </w:pPr>
      <w:bookmarkStart w:id="123" w:name="_Toc7502"/>
      <w:bookmarkStart w:id="124" w:name="_Toc259093683"/>
      <w:bookmarkStart w:id="125" w:name="_Ref467378121"/>
      <w:bookmarkStart w:id="126" w:name="_Toc487900364"/>
      <w:bookmarkStart w:id="127" w:name="_Toc279701254"/>
      <w:r>
        <w:rPr>
          <w:rFonts w:hint="eastAsia" w:ascii="宋体" w:hAnsi="宋体" w:cs="宋体"/>
          <w:b/>
          <w:sz w:val="24"/>
        </w:rPr>
        <w:t>2.11 合同变更</w:t>
      </w:r>
      <w:bookmarkEnd w:id="123"/>
    </w:p>
    <w:p>
      <w:pPr>
        <w:spacing w:line="360" w:lineRule="auto"/>
        <w:ind w:firstLine="480" w:firstLineChars="200"/>
        <w:rPr>
          <w:rFonts w:ascii="宋体" w:hAnsi="宋体" w:cs="宋体"/>
          <w:sz w:val="24"/>
        </w:rPr>
      </w:pPr>
      <w:r>
        <w:rPr>
          <w:rFonts w:hint="eastAsia" w:ascii="宋体" w:hAnsi="宋体" w:cs="宋体"/>
          <w:sz w:val="24"/>
        </w:rPr>
        <w:t>2.11.1双方当事人协商一致，可以签订书面补充合同的形式变更合同，但不得违背招标文件确定的事项。如果系追加与合同标的相同的标的物的，那么需经采购监督管理部门同意，且所有补充合同的采购金额不得超过原合同价的10%；</w:t>
      </w:r>
    </w:p>
    <w:p>
      <w:pPr>
        <w:spacing w:line="360" w:lineRule="auto"/>
        <w:ind w:firstLine="480" w:firstLineChars="200"/>
        <w:rPr>
          <w:rFonts w:ascii="宋体" w:hAnsi="宋体" w:cs="宋体"/>
          <w:sz w:val="24"/>
        </w:rPr>
      </w:pPr>
      <w:r>
        <w:rPr>
          <w:rFonts w:hint="eastAsia" w:ascii="宋体" w:hAnsi="宋体" w:cs="宋体"/>
          <w:sz w:val="24"/>
        </w:rPr>
        <w:t>2.11.2 合同继续履行将损害国家利益和社会公共利益的，双方当事人应当以书面形式变更合同。有过错的一方应当承担赔偿责任，双方当事人都有过错的，各自承担相应的责任。</w:t>
      </w:r>
      <w:bookmarkStart w:id="128" w:name="_Toc259093688"/>
      <w:bookmarkStart w:id="129" w:name="_Toc487900369"/>
      <w:bookmarkStart w:id="130" w:name="_Toc279701259"/>
    </w:p>
    <w:p>
      <w:pPr>
        <w:spacing w:line="360" w:lineRule="auto"/>
        <w:ind w:firstLine="482" w:firstLineChars="200"/>
        <w:outlineLvl w:val="1"/>
        <w:rPr>
          <w:rFonts w:ascii="宋体" w:hAnsi="宋体" w:cs="宋体"/>
          <w:b/>
          <w:sz w:val="24"/>
        </w:rPr>
      </w:pPr>
      <w:bookmarkStart w:id="131" w:name="_Toc22955"/>
      <w:bookmarkStart w:id="132" w:name="_Toc10366"/>
      <w:bookmarkStart w:id="133" w:name="_Toc15237"/>
      <w:r>
        <w:rPr>
          <w:rFonts w:hint="eastAsia" w:ascii="宋体" w:hAnsi="宋体" w:cs="宋体"/>
          <w:b/>
          <w:sz w:val="24"/>
        </w:rPr>
        <w:t>2.12 合同转让</w:t>
      </w:r>
      <w:bookmarkEnd w:id="128"/>
      <w:bookmarkEnd w:id="129"/>
      <w:bookmarkEnd w:id="130"/>
      <w:r>
        <w:rPr>
          <w:rFonts w:hint="eastAsia" w:ascii="宋体" w:hAnsi="宋体" w:cs="宋体"/>
          <w:b/>
          <w:sz w:val="24"/>
        </w:rPr>
        <w:t>和分包</w:t>
      </w:r>
      <w:bookmarkEnd w:id="131"/>
      <w:bookmarkEnd w:id="132"/>
      <w:bookmarkEnd w:id="133"/>
    </w:p>
    <w:p>
      <w:pPr>
        <w:spacing w:line="360" w:lineRule="auto"/>
        <w:ind w:firstLine="480" w:firstLineChars="200"/>
        <w:rPr>
          <w:rFonts w:ascii="宋体" w:hAnsi="宋体" w:cs="宋体"/>
          <w:sz w:val="24"/>
        </w:rPr>
      </w:pPr>
      <w:r>
        <w:rPr>
          <w:rFonts w:hint="eastAsia" w:ascii="宋体" w:hAnsi="宋体" w:cs="宋体"/>
          <w:sz w:val="24"/>
        </w:rPr>
        <w:t>合同的权利义务依法不得转让，但经甲方书面同意，乙方可以依法采取分包方式履行合同，即：依法可以将合同项下的部分非主体、非关键性工作分包给他人完成，接受分包的供应商应当具备相应的资格条件，并不得再次分包，且乙方应就分包项目向甲方负责，并与分包供应商就分包项目向甲方承担连带责任。</w:t>
      </w:r>
    </w:p>
    <w:p>
      <w:pPr>
        <w:spacing w:line="360" w:lineRule="auto"/>
        <w:ind w:firstLine="482" w:firstLineChars="200"/>
        <w:outlineLvl w:val="1"/>
        <w:rPr>
          <w:rFonts w:ascii="宋体" w:hAnsi="宋体" w:cs="宋体"/>
          <w:b/>
          <w:sz w:val="24"/>
        </w:rPr>
      </w:pPr>
      <w:bookmarkStart w:id="134" w:name="_Toc16508"/>
      <w:bookmarkStart w:id="135" w:name="_Toc14066"/>
      <w:bookmarkStart w:id="136" w:name="_Toc13566"/>
      <w:r>
        <w:rPr>
          <w:rFonts w:hint="eastAsia" w:ascii="宋体" w:hAnsi="宋体" w:cs="宋体"/>
          <w:b/>
          <w:sz w:val="24"/>
        </w:rPr>
        <w:t>2.13 不可抗力</w:t>
      </w:r>
      <w:bookmarkEnd w:id="134"/>
      <w:bookmarkEnd w:id="135"/>
      <w:bookmarkEnd w:id="136"/>
    </w:p>
    <w:p>
      <w:pPr>
        <w:spacing w:line="360" w:lineRule="auto"/>
        <w:ind w:firstLine="480" w:firstLineChars="200"/>
        <w:rPr>
          <w:rFonts w:ascii="宋体" w:hAnsi="宋体" w:cs="宋体"/>
          <w:sz w:val="24"/>
        </w:rPr>
      </w:pPr>
      <w:r>
        <w:rPr>
          <w:rFonts w:hint="eastAsia" w:ascii="宋体" w:hAnsi="宋体" w:cs="宋体"/>
          <w:sz w:val="24"/>
        </w:rPr>
        <w:t>2.13.1如果任何一方遭遇法律规定的不可抗力，致使合同履行受阻时，履行合同的期限应予延长，延长的期限应相当于不可抗力所影响的时间；</w:t>
      </w:r>
    </w:p>
    <w:p>
      <w:pPr>
        <w:spacing w:line="360" w:lineRule="auto"/>
        <w:ind w:firstLine="480" w:firstLineChars="200"/>
        <w:rPr>
          <w:rFonts w:ascii="宋体" w:hAnsi="宋体" w:cs="宋体"/>
          <w:sz w:val="24"/>
        </w:rPr>
      </w:pPr>
      <w:r>
        <w:rPr>
          <w:rFonts w:hint="eastAsia" w:ascii="宋体" w:hAnsi="宋体" w:cs="宋体"/>
          <w:sz w:val="24"/>
        </w:rPr>
        <w:t>2.13.2受不可抗力影响的一方在不可抗力发生后，应在</w:t>
      </w:r>
      <w:r>
        <w:rPr>
          <w:rFonts w:hint="eastAsia" w:ascii="宋体" w:hAnsi="宋体" w:cs="宋体"/>
          <w:b/>
          <w:i/>
          <w:sz w:val="24"/>
          <w:u w:val="single"/>
        </w:rPr>
        <w:t>合同专用条款</w:t>
      </w:r>
      <w:r>
        <w:rPr>
          <w:rFonts w:hint="eastAsia" w:ascii="宋体" w:hAnsi="宋体" w:cs="宋体"/>
          <w:sz w:val="24"/>
        </w:rPr>
        <w:t>约定时间内以书面形式通知对方当事人，并在</w:t>
      </w:r>
      <w:r>
        <w:rPr>
          <w:rFonts w:hint="eastAsia" w:ascii="宋体" w:hAnsi="宋体" w:cs="宋体"/>
          <w:b/>
          <w:i/>
          <w:sz w:val="24"/>
          <w:u w:val="single"/>
        </w:rPr>
        <w:t>合同专用条款</w:t>
      </w:r>
      <w:r>
        <w:rPr>
          <w:rFonts w:hint="eastAsia" w:ascii="宋体" w:hAnsi="宋体" w:cs="宋体"/>
          <w:sz w:val="24"/>
        </w:rPr>
        <w:t>约定时间内，将有关部门出具的证明文件送达对方当事人。</w:t>
      </w:r>
    </w:p>
    <w:p>
      <w:pPr>
        <w:spacing w:line="360" w:lineRule="auto"/>
        <w:ind w:firstLine="480" w:firstLineChars="200"/>
        <w:rPr>
          <w:rFonts w:ascii="宋体" w:hAnsi="宋体" w:cs="宋体"/>
          <w:sz w:val="24"/>
        </w:rPr>
      </w:pPr>
      <w:r>
        <w:rPr>
          <w:rFonts w:hint="eastAsia" w:ascii="宋体" w:hAnsi="宋体" w:cs="宋体"/>
          <w:sz w:val="24"/>
        </w:rPr>
        <w:t>2.13.3 因不可抗力致使不能实现合同目的的，当事人可以解除合同；</w:t>
      </w:r>
    </w:p>
    <w:p>
      <w:pPr>
        <w:spacing w:line="360" w:lineRule="auto"/>
        <w:ind w:firstLine="480" w:firstLineChars="200"/>
        <w:rPr>
          <w:rFonts w:ascii="宋体" w:hAnsi="宋体" w:cs="宋体"/>
          <w:sz w:val="24"/>
        </w:rPr>
      </w:pPr>
      <w:r>
        <w:rPr>
          <w:rFonts w:hint="eastAsia" w:ascii="宋体" w:hAnsi="宋体" w:cs="宋体"/>
          <w:sz w:val="24"/>
        </w:rPr>
        <w:t>2.13.4 因不可抗力致使合同有变更必要的，双方当事人应在</w:t>
      </w:r>
      <w:r>
        <w:rPr>
          <w:rFonts w:hint="eastAsia" w:ascii="宋体" w:hAnsi="宋体" w:cs="宋体"/>
          <w:b/>
          <w:i/>
          <w:sz w:val="24"/>
          <w:u w:val="single"/>
        </w:rPr>
        <w:t>合同专用条款</w:t>
      </w:r>
      <w:r>
        <w:rPr>
          <w:rFonts w:hint="eastAsia" w:ascii="宋体" w:hAnsi="宋体" w:cs="宋体"/>
          <w:sz w:val="24"/>
        </w:rPr>
        <w:t>约定时间内以书面形式变更合同；</w:t>
      </w:r>
    </w:p>
    <w:p>
      <w:pPr>
        <w:spacing w:line="360" w:lineRule="auto"/>
        <w:ind w:firstLine="482" w:firstLineChars="200"/>
        <w:outlineLvl w:val="1"/>
        <w:rPr>
          <w:rFonts w:ascii="宋体" w:hAnsi="宋体" w:cs="宋体"/>
          <w:b/>
          <w:sz w:val="24"/>
        </w:rPr>
      </w:pPr>
      <w:bookmarkStart w:id="137" w:name="_Toc30676"/>
      <w:bookmarkStart w:id="138" w:name="_Toc279701255"/>
      <w:bookmarkStart w:id="139" w:name="_Toc689"/>
      <w:bookmarkStart w:id="140" w:name="_Toc259093684"/>
      <w:bookmarkStart w:id="141" w:name="_Toc487900365"/>
      <w:bookmarkStart w:id="142" w:name="_Toc6969"/>
      <w:r>
        <w:rPr>
          <w:rFonts w:hint="eastAsia" w:ascii="宋体" w:hAnsi="宋体" w:cs="宋体"/>
          <w:b/>
          <w:sz w:val="24"/>
        </w:rPr>
        <w:t>2.14 税费</w:t>
      </w:r>
      <w:bookmarkEnd w:id="137"/>
      <w:bookmarkEnd w:id="138"/>
      <w:bookmarkEnd w:id="139"/>
      <w:bookmarkEnd w:id="140"/>
      <w:bookmarkEnd w:id="141"/>
      <w:bookmarkEnd w:id="142"/>
    </w:p>
    <w:p>
      <w:pPr>
        <w:spacing w:line="360" w:lineRule="auto"/>
        <w:ind w:firstLine="480" w:firstLineChars="200"/>
        <w:rPr>
          <w:rFonts w:ascii="宋体" w:hAnsi="宋体" w:cs="宋体"/>
          <w:sz w:val="24"/>
        </w:rPr>
      </w:pPr>
      <w:r>
        <w:rPr>
          <w:rFonts w:hint="eastAsia" w:ascii="宋体" w:hAnsi="宋体" w:cs="宋体"/>
          <w:sz w:val="24"/>
        </w:rPr>
        <w:t>与合同有关的一切税费，均按照中华人民共和国法律的相关规定执行。</w:t>
      </w:r>
    </w:p>
    <w:p>
      <w:pPr>
        <w:spacing w:line="360" w:lineRule="auto"/>
        <w:ind w:firstLine="482" w:firstLineChars="200"/>
        <w:outlineLvl w:val="1"/>
        <w:rPr>
          <w:rFonts w:ascii="宋体" w:hAnsi="宋体" w:cs="宋体"/>
          <w:b/>
          <w:sz w:val="24"/>
        </w:rPr>
      </w:pPr>
      <w:bookmarkStart w:id="143" w:name="_Toc8298"/>
      <w:bookmarkStart w:id="144" w:name="_Toc487900368"/>
      <w:bookmarkStart w:id="145" w:name="_Toc279701258"/>
      <w:bookmarkStart w:id="146" w:name="_Toc259093687"/>
      <w:bookmarkStart w:id="147" w:name="_Toc16959"/>
      <w:bookmarkStart w:id="148" w:name="_Toc7102"/>
      <w:r>
        <w:rPr>
          <w:rFonts w:hint="eastAsia" w:ascii="宋体" w:hAnsi="宋体" w:cs="宋体"/>
          <w:b/>
          <w:sz w:val="24"/>
        </w:rPr>
        <w:t>2.15 乙方破产</w:t>
      </w:r>
      <w:bookmarkEnd w:id="143"/>
      <w:bookmarkEnd w:id="144"/>
      <w:bookmarkEnd w:id="145"/>
      <w:bookmarkEnd w:id="146"/>
      <w:bookmarkEnd w:id="147"/>
      <w:bookmarkEnd w:id="148"/>
    </w:p>
    <w:p>
      <w:pPr>
        <w:spacing w:line="360" w:lineRule="auto"/>
        <w:ind w:firstLine="480" w:firstLineChars="200"/>
        <w:rPr>
          <w:rFonts w:ascii="宋体" w:hAnsi="宋体" w:cs="宋体"/>
          <w:sz w:val="24"/>
        </w:rPr>
      </w:pPr>
      <w:r>
        <w:rPr>
          <w:rFonts w:hint="eastAsia" w:ascii="宋体" w:hAnsi="宋体" w:cs="宋体"/>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360" w:lineRule="auto"/>
        <w:ind w:firstLine="482" w:firstLineChars="200"/>
        <w:outlineLvl w:val="1"/>
        <w:rPr>
          <w:rFonts w:ascii="宋体" w:hAnsi="宋体" w:cs="宋体"/>
          <w:b/>
          <w:sz w:val="24"/>
        </w:rPr>
      </w:pPr>
      <w:bookmarkStart w:id="149" w:name="_Toc29333"/>
      <w:bookmarkStart w:id="150" w:name="_Toc15387"/>
      <w:bookmarkStart w:id="151" w:name="_Toc6134"/>
      <w:r>
        <w:rPr>
          <w:rFonts w:hint="eastAsia" w:ascii="宋体" w:hAnsi="宋体" w:cs="宋体"/>
          <w:b/>
          <w:sz w:val="24"/>
        </w:rPr>
        <w:t>2.16 合同中止、终止</w:t>
      </w:r>
      <w:bookmarkEnd w:id="149"/>
      <w:bookmarkEnd w:id="150"/>
      <w:bookmarkEnd w:id="151"/>
    </w:p>
    <w:p>
      <w:pPr>
        <w:spacing w:line="360" w:lineRule="auto"/>
        <w:ind w:firstLine="480" w:firstLineChars="200"/>
        <w:rPr>
          <w:rFonts w:ascii="宋体" w:hAnsi="宋体" w:cs="宋体"/>
          <w:sz w:val="24"/>
        </w:rPr>
      </w:pPr>
      <w:r>
        <w:rPr>
          <w:rFonts w:hint="eastAsia" w:ascii="宋体" w:hAnsi="宋体" w:cs="宋体"/>
          <w:sz w:val="24"/>
        </w:rPr>
        <w:t>2.16.1 双方当事人不得擅自中止或者终止合同；</w:t>
      </w:r>
    </w:p>
    <w:p>
      <w:pPr>
        <w:spacing w:line="360" w:lineRule="auto"/>
        <w:ind w:firstLine="480" w:firstLineChars="200"/>
        <w:rPr>
          <w:rFonts w:ascii="宋体" w:hAnsi="宋体" w:cs="宋体"/>
          <w:sz w:val="24"/>
        </w:rPr>
      </w:pPr>
      <w:r>
        <w:rPr>
          <w:rFonts w:hint="eastAsia" w:ascii="宋体" w:hAnsi="宋体" w:cs="宋体"/>
          <w:sz w:val="24"/>
        </w:rPr>
        <w:t>2.16.2合同继续履行将损害国家利益和社会公共利益的，双方当事人应当中止或者终止合同。有过错的一方应当承担赔偿责任，双方当事人都有过错的，各自承担相应的责任；</w:t>
      </w:r>
    </w:p>
    <w:p>
      <w:pPr>
        <w:spacing w:line="360" w:lineRule="auto"/>
        <w:ind w:firstLine="480" w:firstLineChars="200"/>
        <w:rPr>
          <w:rFonts w:ascii="宋体" w:hAnsi="宋体" w:cs="宋体"/>
          <w:sz w:val="24"/>
        </w:rPr>
      </w:pPr>
      <w:r>
        <w:rPr>
          <w:rFonts w:hint="eastAsia" w:ascii="宋体" w:hAnsi="宋体" w:cs="宋体"/>
          <w:sz w:val="24"/>
        </w:rPr>
        <w:t>2.16.3因甲方原因导致变更、中止或终止合同的，甲方应对乙方受到的损失予以赔偿或者补偿。</w:t>
      </w:r>
    </w:p>
    <w:p>
      <w:pPr>
        <w:spacing w:line="360" w:lineRule="auto"/>
        <w:ind w:firstLine="482" w:firstLineChars="200"/>
        <w:outlineLvl w:val="1"/>
        <w:rPr>
          <w:rFonts w:ascii="宋体" w:hAnsi="宋体" w:cs="宋体"/>
          <w:b/>
          <w:sz w:val="24"/>
        </w:rPr>
      </w:pPr>
      <w:bookmarkStart w:id="152" w:name="_Toc14563"/>
      <w:bookmarkStart w:id="153" w:name="_Toc6596"/>
      <w:bookmarkStart w:id="154" w:name="_Toc1125"/>
      <w:r>
        <w:rPr>
          <w:rFonts w:hint="eastAsia" w:ascii="宋体" w:hAnsi="宋体" w:cs="宋体"/>
          <w:b/>
          <w:sz w:val="24"/>
        </w:rPr>
        <w:t>2.17 检验和验收</w:t>
      </w:r>
      <w:bookmarkEnd w:id="152"/>
      <w:bookmarkEnd w:id="153"/>
      <w:bookmarkEnd w:id="154"/>
    </w:p>
    <w:p>
      <w:pPr>
        <w:tabs>
          <w:tab w:val="left" w:pos="360"/>
          <w:tab w:val="left" w:pos="540"/>
          <w:tab w:val="left" w:pos="1080"/>
        </w:tabs>
        <w:spacing w:line="360" w:lineRule="auto"/>
        <w:ind w:firstLine="480" w:firstLineChars="200"/>
        <w:rPr>
          <w:rFonts w:ascii="宋体" w:hAnsi="宋体" w:cs="宋体"/>
          <w:sz w:val="24"/>
        </w:rPr>
      </w:pPr>
      <w:r>
        <w:rPr>
          <w:rFonts w:hint="eastAsia" w:ascii="宋体" w:hAnsi="宋体" w:cs="宋体"/>
          <w:sz w:val="24"/>
        </w:rPr>
        <w:t>2.17.1标的物交付前，乙方应对标的物的质量、数量等方面进行详细、全面的检验，并向甲方出具证明标的物符合合同约定的文件；标的物交付时，乙方在</w:t>
      </w:r>
      <w:r>
        <w:rPr>
          <w:rFonts w:hint="eastAsia" w:ascii="宋体" w:hAnsi="宋体" w:cs="宋体"/>
          <w:b/>
          <w:i/>
          <w:sz w:val="24"/>
          <w:u w:val="single"/>
        </w:rPr>
        <w:t>合同专用条款</w:t>
      </w:r>
      <w:r>
        <w:rPr>
          <w:rFonts w:hint="eastAsia" w:ascii="宋体" w:hAnsi="宋体" w:cs="宋体"/>
          <w:sz w:val="24"/>
        </w:rPr>
        <w:t>约定时间内组织验收，并可依法邀请相关方参加，验收应出具验收书。</w:t>
      </w:r>
    </w:p>
    <w:p>
      <w:pPr>
        <w:tabs>
          <w:tab w:val="left" w:pos="360"/>
          <w:tab w:val="left" w:pos="540"/>
          <w:tab w:val="left" w:pos="1080"/>
        </w:tabs>
        <w:spacing w:line="360" w:lineRule="auto"/>
        <w:ind w:firstLine="480" w:firstLineChars="200"/>
        <w:rPr>
          <w:rFonts w:ascii="宋体" w:hAnsi="宋体" w:cs="宋体"/>
          <w:sz w:val="24"/>
        </w:rPr>
      </w:pPr>
      <w:r>
        <w:rPr>
          <w:rFonts w:hint="eastAsia" w:ascii="宋体" w:hAnsi="宋体" w:cs="宋体"/>
          <w:sz w:val="24"/>
        </w:rPr>
        <w:t>2.17.2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tabs>
          <w:tab w:val="left" w:pos="360"/>
          <w:tab w:val="left" w:pos="540"/>
          <w:tab w:val="left" w:pos="1080"/>
        </w:tabs>
        <w:spacing w:line="360" w:lineRule="auto"/>
        <w:ind w:firstLine="480" w:firstLineChars="200"/>
        <w:rPr>
          <w:rFonts w:ascii="宋体" w:hAnsi="宋体" w:cs="宋体"/>
          <w:sz w:val="24"/>
        </w:rPr>
      </w:pPr>
      <w:r>
        <w:rPr>
          <w:rFonts w:hint="eastAsia" w:ascii="宋体" w:hAnsi="宋体" w:cs="宋体"/>
          <w:sz w:val="24"/>
        </w:rPr>
        <w:t>2.17.3 检验和验收标准、程序等具体内容以及前述验收书的效力详见</w:t>
      </w:r>
      <w:r>
        <w:rPr>
          <w:rFonts w:hint="eastAsia" w:ascii="宋体" w:hAnsi="宋体" w:cs="宋体"/>
          <w:b/>
          <w:i/>
          <w:sz w:val="24"/>
          <w:u w:val="single"/>
        </w:rPr>
        <w:t>合同专用条款</w:t>
      </w:r>
      <w:r>
        <w:rPr>
          <w:rFonts w:hint="eastAsia" w:ascii="宋体" w:hAnsi="宋体" w:cs="宋体"/>
          <w:i/>
          <w:sz w:val="24"/>
        </w:rPr>
        <w:t>。</w:t>
      </w:r>
      <w:bookmarkEnd w:id="124"/>
      <w:bookmarkEnd w:id="125"/>
      <w:bookmarkEnd w:id="126"/>
      <w:bookmarkEnd w:id="127"/>
    </w:p>
    <w:p>
      <w:pPr>
        <w:spacing w:line="360" w:lineRule="auto"/>
        <w:ind w:firstLine="482" w:firstLineChars="200"/>
        <w:outlineLvl w:val="1"/>
        <w:rPr>
          <w:rFonts w:ascii="宋体" w:hAnsi="宋体" w:cs="宋体"/>
          <w:b/>
          <w:sz w:val="24"/>
        </w:rPr>
      </w:pPr>
      <w:bookmarkStart w:id="155" w:name="_Toc259093690"/>
      <w:bookmarkStart w:id="156" w:name="_Toc279701261"/>
      <w:bookmarkStart w:id="157" w:name="_Toc487900371"/>
      <w:bookmarkStart w:id="158" w:name="_Toc19604"/>
      <w:bookmarkStart w:id="159" w:name="_Toc25182"/>
      <w:bookmarkStart w:id="160" w:name="_Toc11284"/>
      <w:r>
        <w:rPr>
          <w:rFonts w:hint="eastAsia" w:ascii="宋体" w:hAnsi="宋体" w:cs="宋体"/>
          <w:b/>
          <w:sz w:val="24"/>
        </w:rPr>
        <w:t>2.18 通知</w:t>
      </w:r>
      <w:bookmarkEnd w:id="155"/>
      <w:bookmarkEnd w:id="156"/>
      <w:bookmarkEnd w:id="157"/>
      <w:r>
        <w:rPr>
          <w:rFonts w:hint="eastAsia" w:ascii="宋体" w:hAnsi="宋体" w:cs="宋体"/>
          <w:b/>
          <w:sz w:val="24"/>
        </w:rPr>
        <w:t>和送达</w:t>
      </w:r>
      <w:bookmarkEnd w:id="158"/>
      <w:bookmarkEnd w:id="159"/>
      <w:bookmarkEnd w:id="160"/>
    </w:p>
    <w:p>
      <w:pPr>
        <w:spacing w:line="360" w:lineRule="auto"/>
        <w:ind w:firstLine="480" w:firstLineChars="200"/>
        <w:rPr>
          <w:rFonts w:ascii="宋体" w:hAnsi="宋体" w:cs="宋体"/>
          <w:sz w:val="24"/>
        </w:rPr>
      </w:pPr>
      <w:bookmarkStart w:id="161" w:name="_Toc6698"/>
      <w:bookmarkStart w:id="162" w:name="_Toc3135"/>
      <w:bookmarkStart w:id="163" w:name="_Toc487900372"/>
      <w:bookmarkStart w:id="164" w:name="_Toc279701262"/>
      <w:bookmarkStart w:id="165" w:name="_Toc259093691"/>
      <w:r>
        <w:rPr>
          <w:rFonts w:hint="eastAsia" w:ascii="宋体" w:hAnsi="宋体" w:cs="宋体"/>
          <w:sz w:val="24"/>
        </w:rPr>
        <w:t>2.18.1 任何一方因履行合同而以合同第一部分尾部所列明的</w:t>
      </w:r>
      <w:r>
        <w:rPr>
          <w:rFonts w:hint="eastAsia" w:ascii="宋体" w:hAnsi="宋体" w:cs="宋体"/>
          <w:sz w:val="24"/>
          <w:u w:val="single"/>
        </w:rPr>
        <w:t>“约定送达地址”</w:t>
      </w:r>
      <w:r>
        <w:rPr>
          <w:rFonts w:hint="eastAsia" w:ascii="宋体" w:hAnsi="宋体" w:cs="宋体"/>
          <w:sz w:val="24"/>
        </w:rPr>
        <w:t>为收件地址的所有通知、文件、材料，均视为已向对方当事人送达；任何一方变更上述送达方式或者地址的，应于</w:t>
      </w:r>
      <w:r>
        <w:rPr>
          <w:rFonts w:hint="eastAsia" w:ascii="宋体" w:hAnsi="宋体" w:cs="宋体"/>
          <w:sz w:val="24"/>
          <w:u w:val="single"/>
        </w:rPr>
        <w:t>3</w:t>
      </w:r>
      <w:r>
        <w:rPr>
          <w:rFonts w:hint="eastAsia" w:ascii="宋体" w:hAnsi="宋体" w:cs="宋体"/>
          <w:sz w:val="24"/>
        </w:rPr>
        <w:t>个工作日内书面通知对方当事人，在对方当事人收到有关变更通知之前，变更前的约定送达方式或者地址仍视为有效。</w:t>
      </w:r>
      <w:bookmarkEnd w:id="161"/>
      <w:bookmarkEnd w:id="162"/>
    </w:p>
    <w:p>
      <w:pPr>
        <w:spacing w:line="360" w:lineRule="auto"/>
        <w:ind w:firstLine="480" w:firstLineChars="200"/>
        <w:rPr>
          <w:rFonts w:ascii="宋体" w:hAnsi="宋体" w:cs="宋体"/>
          <w:sz w:val="24"/>
        </w:rPr>
      </w:pPr>
      <w:bookmarkStart w:id="166" w:name="_Toc23294"/>
      <w:bookmarkStart w:id="167" w:name="_Toc23128"/>
      <w:r>
        <w:rPr>
          <w:rFonts w:hint="eastAsia" w:ascii="宋体" w:hAnsi="宋体" w:cs="宋体"/>
          <w:sz w:val="24"/>
        </w:rPr>
        <w:t>2.18.2以当面交付方式送达的，交付之时视为送达；以电子邮件方式送达的，发出电子邮件之时视为送达；以传真方式送达的，发出传真之时视为送达；以邮寄方式送达的，邮件挂号寄出或者交邮之日之次日视为送达。</w:t>
      </w:r>
      <w:bookmarkEnd w:id="166"/>
      <w:bookmarkEnd w:id="167"/>
    </w:p>
    <w:p>
      <w:pPr>
        <w:spacing w:line="360" w:lineRule="auto"/>
        <w:ind w:firstLine="482" w:firstLineChars="200"/>
        <w:outlineLvl w:val="1"/>
        <w:rPr>
          <w:rFonts w:ascii="宋体" w:hAnsi="宋体" w:cs="宋体"/>
          <w:b/>
          <w:sz w:val="24"/>
        </w:rPr>
      </w:pPr>
      <w:bookmarkStart w:id="168" w:name="_Toc4355"/>
      <w:bookmarkStart w:id="169" w:name="_Toc18540"/>
      <w:bookmarkStart w:id="170" w:name="_Toc30599"/>
      <w:r>
        <w:rPr>
          <w:rFonts w:hint="eastAsia" w:ascii="宋体" w:hAnsi="宋体" w:cs="宋体"/>
          <w:b/>
          <w:sz w:val="24"/>
        </w:rPr>
        <w:t>2.19 计量单位</w:t>
      </w:r>
      <w:bookmarkEnd w:id="163"/>
      <w:bookmarkEnd w:id="164"/>
      <w:bookmarkEnd w:id="165"/>
      <w:bookmarkEnd w:id="168"/>
      <w:bookmarkEnd w:id="169"/>
      <w:bookmarkEnd w:id="170"/>
    </w:p>
    <w:p>
      <w:pPr>
        <w:spacing w:line="360" w:lineRule="auto"/>
        <w:ind w:firstLine="480" w:firstLineChars="200"/>
        <w:rPr>
          <w:rFonts w:ascii="宋体" w:hAnsi="宋体" w:cs="宋体"/>
          <w:sz w:val="24"/>
        </w:rPr>
      </w:pPr>
      <w:r>
        <w:rPr>
          <w:rFonts w:hint="eastAsia" w:ascii="宋体" w:hAnsi="宋体" w:cs="宋体"/>
          <w:sz w:val="24"/>
        </w:rPr>
        <w:t>除技术规范中另有规定外,合同的计量单位均使用国家法定计量单位。</w:t>
      </w:r>
    </w:p>
    <w:p>
      <w:pPr>
        <w:spacing w:line="360" w:lineRule="auto"/>
        <w:ind w:firstLine="482" w:firstLineChars="200"/>
        <w:outlineLvl w:val="1"/>
        <w:rPr>
          <w:rFonts w:ascii="宋体" w:hAnsi="宋体" w:cs="宋体"/>
          <w:b/>
          <w:sz w:val="24"/>
        </w:rPr>
      </w:pPr>
      <w:bookmarkStart w:id="171" w:name="_Toc487900373"/>
      <w:bookmarkStart w:id="172" w:name="_Toc279701263"/>
      <w:bookmarkStart w:id="173" w:name="_Toc259093692"/>
      <w:bookmarkStart w:id="174" w:name="_Toc18567"/>
      <w:bookmarkStart w:id="175" w:name="_Toc12773"/>
      <w:bookmarkStart w:id="176" w:name="_Toc10330"/>
      <w:r>
        <w:rPr>
          <w:rFonts w:hint="eastAsia" w:ascii="宋体" w:hAnsi="宋体" w:cs="宋体"/>
          <w:b/>
          <w:sz w:val="24"/>
        </w:rPr>
        <w:t>2.20 合同使用的文字和适用的法律</w:t>
      </w:r>
      <w:bookmarkEnd w:id="171"/>
      <w:bookmarkEnd w:id="172"/>
      <w:bookmarkEnd w:id="173"/>
      <w:bookmarkEnd w:id="174"/>
      <w:bookmarkEnd w:id="175"/>
      <w:bookmarkEnd w:id="176"/>
    </w:p>
    <w:p>
      <w:pPr>
        <w:spacing w:line="360" w:lineRule="auto"/>
        <w:ind w:firstLine="480" w:firstLineChars="200"/>
        <w:rPr>
          <w:rFonts w:ascii="宋体" w:hAnsi="宋体" w:cs="宋体"/>
          <w:sz w:val="24"/>
        </w:rPr>
      </w:pPr>
      <w:r>
        <w:rPr>
          <w:rFonts w:hint="eastAsia" w:ascii="宋体" w:hAnsi="宋体" w:cs="宋体"/>
          <w:sz w:val="24"/>
        </w:rPr>
        <w:t>2.20.1 合同使用汉语书就、变更和解释；</w:t>
      </w:r>
    </w:p>
    <w:p>
      <w:pPr>
        <w:spacing w:line="360" w:lineRule="auto"/>
        <w:ind w:firstLine="480" w:firstLineChars="200"/>
        <w:rPr>
          <w:rFonts w:ascii="宋体" w:hAnsi="宋体" w:cs="宋体"/>
          <w:sz w:val="24"/>
        </w:rPr>
      </w:pPr>
      <w:r>
        <w:rPr>
          <w:rFonts w:hint="eastAsia" w:ascii="宋体" w:hAnsi="宋体" w:cs="宋体"/>
          <w:sz w:val="24"/>
        </w:rPr>
        <w:t>2.20.2 合同适用中华人民共和国法律。</w:t>
      </w:r>
    </w:p>
    <w:p>
      <w:pPr>
        <w:snapToGrid w:val="0"/>
        <w:spacing w:line="360" w:lineRule="auto"/>
        <w:ind w:firstLine="482" w:firstLineChars="200"/>
        <w:rPr>
          <w:rFonts w:ascii="宋体" w:hAnsi="宋体" w:cs="宋体"/>
          <w:b/>
          <w:sz w:val="24"/>
        </w:rPr>
      </w:pPr>
      <w:bookmarkStart w:id="177" w:name="_Toc3148"/>
      <w:bookmarkStart w:id="178" w:name="_Toc487900374"/>
      <w:bookmarkStart w:id="179" w:name="_Toc16673"/>
      <w:bookmarkStart w:id="180" w:name="_Toc259093693"/>
      <w:bookmarkStart w:id="181" w:name="_Toc12004"/>
      <w:bookmarkStart w:id="182" w:name="_Toc279701264"/>
      <w:r>
        <w:rPr>
          <w:rFonts w:hint="eastAsia" w:ascii="宋体" w:hAnsi="宋体" w:cs="宋体"/>
          <w:b/>
          <w:sz w:val="24"/>
        </w:rPr>
        <w:t xml:space="preserve">2.21 </w:t>
      </w:r>
      <w:bookmarkEnd w:id="177"/>
      <w:bookmarkEnd w:id="178"/>
      <w:bookmarkEnd w:id="179"/>
      <w:bookmarkEnd w:id="180"/>
      <w:bookmarkEnd w:id="181"/>
      <w:bookmarkEnd w:id="182"/>
      <w:bookmarkStart w:id="183" w:name="_Toc6885"/>
      <w:bookmarkStart w:id="184" w:name="_Toc14001"/>
      <w:bookmarkStart w:id="185" w:name="_Toc19890"/>
      <w:r>
        <w:rPr>
          <w:rFonts w:hint="eastAsia" w:ascii="宋体" w:hAnsi="宋体" w:cs="宋体"/>
          <w:b/>
          <w:sz w:val="24"/>
        </w:rPr>
        <w:t>合同份数</w:t>
      </w:r>
      <w:bookmarkEnd w:id="183"/>
      <w:bookmarkEnd w:id="184"/>
      <w:bookmarkEnd w:id="185"/>
    </w:p>
    <w:p>
      <w:pPr>
        <w:spacing w:line="360" w:lineRule="auto"/>
        <w:ind w:firstLine="480" w:firstLineChars="200"/>
        <w:rPr>
          <w:rFonts w:ascii="宋体" w:hAnsi="宋体" w:cs="宋体"/>
          <w:sz w:val="24"/>
        </w:rPr>
      </w:pPr>
      <w:r>
        <w:rPr>
          <w:rFonts w:hint="eastAsia" w:ascii="宋体" w:hAnsi="宋体" w:cs="宋体"/>
          <w:sz w:val="24"/>
        </w:rPr>
        <w:t>本合同壹式陆份，甲方执</w:t>
      </w:r>
      <w:r>
        <w:rPr>
          <w:rFonts w:hint="eastAsia" w:ascii="宋体" w:hAnsi="宋体" w:cs="宋体"/>
          <w:sz w:val="24"/>
          <w:u w:val="single"/>
        </w:rPr>
        <w:t>贰</w:t>
      </w:r>
      <w:r>
        <w:rPr>
          <w:rFonts w:hint="eastAsia" w:ascii="宋体" w:hAnsi="宋体" w:cs="宋体"/>
          <w:sz w:val="24"/>
        </w:rPr>
        <w:t>份，乙方执肆份。每份均具有同等法律效力。</w:t>
      </w:r>
    </w:p>
    <w:p>
      <w:pPr>
        <w:pStyle w:val="2"/>
        <w:ind w:firstLine="562"/>
        <w:jc w:val="center"/>
        <w:rPr>
          <w:rFonts w:ascii="宋体" w:hAnsi="宋体" w:cs="宋体"/>
        </w:rPr>
      </w:pPr>
      <w:r>
        <w:rPr>
          <w:rFonts w:hint="eastAsia" w:ascii="宋体" w:hAnsi="宋体" w:cs="宋体"/>
        </w:rPr>
        <w:br w:type="page"/>
      </w:r>
      <w:bookmarkStart w:id="186" w:name="_Toc331685784"/>
      <w:r>
        <w:rPr>
          <w:rFonts w:hint="eastAsia" w:ascii="宋体" w:hAnsi="宋体" w:cs="宋体"/>
          <w:sz w:val="24"/>
        </w:rPr>
        <w:t>第三部分  合同专用条款</w:t>
      </w:r>
      <w:bookmarkEnd w:id="186"/>
    </w:p>
    <w:p>
      <w:pPr>
        <w:spacing w:line="360" w:lineRule="auto"/>
        <w:ind w:firstLine="480" w:firstLineChars="200"/>
        <w:rPr>
          <w:rFonts w:ascii="宋体" w:hAnsi="宋体" w:cs="宋体"/>
          <w:sz w:val="24"/>
        </w:rPr>
      </w:pPr>
      <w:r>
        <w:rPr>
          <w:rFonts w:hint="eastAsia" w:ascii="宋体" w:hAnsi="宋体"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p>
      <w:pPr>
        <w:spacing w:line="360" w:lineRule="auto"/>
        <w:ind w:firstLine="482" w:firstLineChars="200"/>
        <w:outlineLvl w:val="2"/>
        <w:rPr>
          <w:rFonts w:ascii="宋体" w:hAnsi="宋体" w:cs="宋体"/>
          <w:b/>
          <w:sz w:val="24"/>
        </w:rPr>
      </w:pPr>
      <w:r>
        <w:rPr>
          <w:rFonts w:hint="eastAsia" w:ascii="宋体" w:hAnsi="宋体" w:cs="宋体"/>
          <w:b/>
          <w:sz w:val="24"/>
        </w:rPr>
        <w:t>2.3.2具有知识产权的计算机软件等标的物的知识产权归属：</w:t>
      </w:r>
    </w:p>
    <w:p>
      <w:pPr>
        <w:spacing w:line="360" w:lineRule="auto"/>
        <w:ind w:firstLine="480" w:firstLineChars="200"/>
        <w:rPr>
          <w:rFonts w:ascii="宋体" w:hAnsi="宋体" w:cs="宋体"/>
          <w:sz w:val="24"/>
          <w:u w:val="single"/>
        </w:rPr>
      </w:pPr>
      <w:r>
        <w:rPr>
          <w:rFonts w:hint="eastAsia" w:ascii="宋体" w:hAnsi="宋体" w:cs="宋体"/>
          <w:sz w:val="24"/>
          <w:u w:val="single"/>
        </w:rPr>
        <w:t xml:space="preserve">  乙方在本合同项下完成的所有形式的工作成果所有权和知识产权归属于甲方所有。</w:t>
      </w:r>
    </w:p>
    <w:p>
      <w:pPr>
        <w:spacing w:line="360" w:lineRule="auto"/>
        <w:ind w:firstLine="482" w:firstLineChars="200"/>
        <w:rPr>
          <w:rFonts w:ascii="宋体" w:hAnsi="宋体" w:cs="宋体"/>
          <w:b/>
          <w:sz w:val="24"/>
        </w:rPr>
      </w:pPr>
      <w:r>
        <w:rPr>
          <w:rFonts w:hint="eastAsia" w:ascii="宋体" w:hAnsi="宋体" w:cs="宋体"/>
          <w:b/>
          <w:sz w:val="24"/>
        </w:rPr>
        <w:t>2.4.1包装和装运专用条款（如果有）：</w:t>
      </w:r>
    </w:p>
    <w:p>
      <w:pPr>
        <w:spacing w:line="360" w:lineRule="auto"/>
        <w:ind w:firstLine="480" w:firstLineChars="200"/>
        <w:rPr>
          <w:rFonts w:ascii="宋体" w:hAnsi="宋体" w:cs="宋体"/>
          <w:sz w:val="24"/>
          <w:u w:val="single"/>
        </w:rPr>
      </w:pPr>
      <w:r>
        <w:rPr>
          <w:rFonts w:hint="eastAsia" w:ascii="宋体" w:hAnsi="宋体" w:cs="宋体"/>
          <w:sz w:val="24"/>
          <w:u w:val="single"/>
        </w:rPr>
        <w:t xml:space="preserve">   无                                                                    </w:t>
      </w:r>
    </w:p>
    <w:p>
      <w:pPr>
        <w:spacing w:line="360" w:lineRule="auto"/>
        <w:ind w:firstLine="482" w:firstLineChars="200"/>
        <w:outlineLvl w:val="2"/>
        <w:rPr>
          <w:rFonts w:ascii="宋体" w:hAnsi="宋体" w:cs="宋体"/>
          <w:b/>
          <w:sz w:val="24"/>
        </w:rPr>
      </w:pPr>
      <w:r>
        <w:rPr>
          <w:rFonts w:hint="eastAsia" w:ascii="宋体" w:hAnsi="宋体" w:cs="宋体"/>
          <w:b/>
          <w:sz w:val="24"/>
        </w:rPr>
        <w:t>2.4.2装运标的物的要求和通知：</w:t>
      </w:r>
    </w:p>
    <w:p>
      <w:pPr>
        <w:spacing w:line="360" w:lineRule="auto"/>
        <w:ind w:firstLine="480" w:firstLineChars="200"/>
        <w:rPr>
          <w:rFonts w:ascii="宋体" w:hAnsi="宋体" w:cs="宋体"/>
          <w:sz w:val="24"/>
          <w:u w:val="single"/>
        </w:rPr>
      </w:pPr>
      <w:r>
        <w:rPr>
          <w:rFonts w:hint="eastAsia" w:ascii="宋体" w:hAnsi="宋体" w:cs="宋体"/>
          <w:sz w:val="24"/>
          <w:u w:val="single"/>
        </w:rPr>
        <w:t xml:space="preserve">  标的物为数据应用服务，无需装运                                                                    </w:t>
      </w:r>
    </w:p>
    <w:p>
      <w:pPr>
        <w:spacing w:line="360" w:lineRule="auto"/>
        <w:ind w:firstLine="482" w:firstLineChars="200"/>
        <w:outlineLvl w:val="2"/>
        <w:rPr>
          <w:rFonts w:ascii="宋体" w:hAnsi="宋体" w:cs="宋体"/>
          <w:b/>
          <w:sz w:val="24"/>
        </w:rPr>
      </w:pPr>
      <w:r>
        <w:rPr>
          <w:rFonts w:hint="eastAsia" w:ascii="宋体" w:hAnsi="宋体" w:cs="宋体"/>
          <w:b/>
          <w:sz w:val="24"/>
        </w:rPr>
        <w:t>2.6结算方式和付款条件</w:t>
      </w:r>
    </w:p>
    <w:p>
      <w:pPr>
        <w:spacing w:line="360" w:lineRule="auto"/>
        <w:ind w:firstLine="480" w:firstLineChars="200"/>
        <w:rPr>
          <w:rFonts w:ascii="宋体" w:hAnsi="宋体" w:cs="宋体"/>
          <w:kern w:val="0"/>
          <w:sz w:val="24"/>
        </w:rPr>
      </w:pPr>
      <w:r>
        <w:rPr>
          <w:rFonts w:hint="eastAsia" w:ascii="宋体" w:hAnsi="宋体" w:cs="宋体"/>
          <w:kern w:val="0"/>
          <w:sz w:val="24"/>
          <w:lang w:val="zh-CN"/>
        </w:rPr>
        <w:t>本次项目合同总价为大写人民币</w:t>
      </w:r>
      <w:r>
        <w:rPr>
          <w:rFonts w:hint="eastAsia" w:ascii="宋体" w:hAnsi="宋体" w:cs="宋体"/>
          <w:kern w:val="0"/>
          <w:sz w:val="24"/>
          <w:u w:val="single"/>
          <w:lang w:val="zh-CN"/>
        </w:rPr>
        <w:t xml:space="preserve"> </w:t>
      </w:r>
      <w:r>
        <w:rPr>
          <w:rFonts w:hint="eastAsia" w:ascii="宋体" w:hAnsi="宋体" w:cs="宋体"/>
          <w:kern w:val="0"/>
          <w:sz w:val="24"/>
          <w:u w:val="single"/>
        </w:rPr>
        <w:t xml:space="preserve">    </w:t>
      </w:r>
      <w:r>
        <w:rPr>
          <w:rFonts w:hint="eastAsia" w:ascii="宋体" w:hAnsi="宋体" w:cs="宋体"/>
          <w:kern w:val="0"/>
          <w:sz w:val="24"/>
          <w:lang w:val="zh-CN"/>
        </w:rPr>
        <w:t>元整（￥</w:t>
      </w:r>
      <w:r>
        <w:rPr>
          <w:rFonts w:hint="eastAsia" w:ascii="宋体" w:hAnsi="宋体" w:cs="宋体"/>
          <w:kern w:val="0"/>
          <w:sz w:val="24"/>
          <w:u w:val="single"/>
        </w:rPr>
        <w:t xml:space="preserve">    </w:t>
      </w:r>
      <w:r>
        <w:rPr>
          <w:rFonts w:hint="eastAsia" w:ascii="宋体" w:hAnsi="宋体" w:cs="宋体"/>
          <w:kern w:val="0"/>
          <w:sz w:val="24"/>
          <w:u w:val="single"/>
          <w:lang w:val="zh-CN"/>
        </w:rPr>
        <w:t>元</w:t>
      </w:r>
      <w:r>
        <w:rPr>
          <w:rFonts w:hint="eastAsia" w:ascii="宋体" w:hAnsi="宋体" w:cs="宋体"/>
          <w:kern w:val="0"/>
          <w:sz w:val="24"/>
          <w:lang w:val="zh-CN"/>
        </w:rPr>
        <w:t>），采用分期付款方式，具体如下</w:t>
      </w:r>
      <w:r>
        <w:rPr>
          <w:rFonts w:hint="eastAsia" w:ascii="宋体" w:hAnsi="宋体" w:cs="宋体"/>
          <w:kern w:val="0"/>
          <w:sz w:val="24"/>
        </w:rPr>
        <w:t>：</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第一期付款：合同签订后  日内</w:t>
      </w:r>
      <w:r>
        <w:rPr>
          <w:rFonts w:hint="eastAsia" w:ascii="宋体" w:hAnsi="宋体" w:cs="宋体"/>
          <w:sz w:val="24"/>
        </w:rPr>
        <w:t>完成项目</w:t>
      </w:r>
      <w:r>
        <w:rPr>
          <w:rFonts w:hint="eastAsia" w:ascii="宋体" w:hAnsi="宋体" w:cs="宋体"/>
          <w:bCs/>
          <w:sz w:val="24"/>
        </w:rPr>
        <w:t>建设计划、目标任务书方案</w:t>
      </w:r>
      <w:r>
        <w:rPr>
          <w:rFonts w:hint="eastAsia" w:ascii="宋体" w:hAnsi="宋体" w:cs="宋体"/>
          <w:sz w:val="24"/>
        </w:rPr>
        <w:t>，向甲方提供上述文档并经甲方确认通过</w:t>
      </w:r>
      <w:r>
        <w:rPr>
          <w:rFonts w:hint="eastAsia" w:ascii="宋体" w:hAnsi="宋体" w:cs="宋体"/>
          <w:kern w:val="0"/>
          <w:sz w:val="24"/>
          <w:lang w:val="zh-CN"/>
        </w:rPr>
        <w:t>后，</w:t>
      </w:r>
      <w:r>
        <w:rPr>
          <w:rFonts w:hint="eastAsia" w:ascii="宋体" w:hAnsi="宋体" w:cs="宋体"/>
          <w:sz w:val="24"/>
        </w:rPr>
        <w:t>乙方向甲方办理</w:t>
      </w:r>
      <w:r>
        <w:rPr>
          <w:rFonts w:hint="eastAsia" w:ascii="宋体" w:hAnsi="宋体" w:cs="宋体"/>
          <w:kern w:val="0"/>
          <w:sz w:val="24"/>
          <w:lang w:val="zh-CN"/>
        </w:rPr>
        <w:t>合同总额</w:t>
      </w:r>
      <w:r>
        <w:rPr>
          <w:rFonts w:hint="eastAsia" w:ascii="宋体" w:hAnsi="宋体" w:cs="宋体"/>
          <w:sz w:val="24"/>
          <w:u w:val="single"/>
        </w:rPr>
        <w:t>30%预付</w:t>
      </w:r>
      <w:r>
        <w:rPr>
          <w:rFonts w:hint="eastAsia" w:ascii="宋体" w:hAnsi="宋体" w:cs="宋体"/>
          <w:sz w:val="24"/>
        </w:rPr>
        <w:t>款结算手续，计人民币</w:t>
      </w:r>
      <w:r>
        <w:rPr>
          <w:rFonts w:hint="eastAsia" w:ascii="宋体" w:hAnsi="宋体" w:cs="宋体"/>
          <w:sz w:val="24"/>
          <w:u w:val="single"/>
        </w:rPr>
        <w:t xml:space="preserve">     </w:t>
      </w:r>
      <w:r>
        <w:rPr>
          <w:rFonts w:hint="eastAsia" w:ascii="宋体" w:hAnsi="宋体" w:cs="宋体"/>
          <w:sz w:val="24"/>
        </w:rPr>
        <w:t xml:space="preserve"> 整</w:t>
      </w:r>
      <w:r>
        <w:rPr>
          <w:rFonts w:hint="eastAsia" w:ascii="宋体" w:hAnsi="宋体" w:cs="宋体"/>
          <w:kern w:val="0"/>
          <w:sz w:val="24"/>
          <w:lang w:val="zh-CN"/>
        </w:rPr>
        <w:t>（￥）。</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第二期付款：</w:t>
      </w:r>
      <w:r>
        <w:rPr>
          <w:rFonts w:hint="eastAsia" w:ascii="宋体" w:hAnsi="宋体" w:cs="宋体"/>
          <w:bCs/>
          <w:sz w:val="24"/>
        </w:rPr>
        <w:t>合同签订后</w:t>
      </w:r>
      <w:r>
        <w:rPr>
          <w:rFonts w:ascii="宋体" w:hAnsi="宋体" w:cs="宋体"/>
          <w:bCs/>
          <w:sz w:val="24"/>
          <w:u w:val="single"/>
        </w:rPr>
        <w:t xml:space="preserve">  </w:t>
      </w:r>
      <w:r>
        <w:rPr>
          <w:rFonts w:hint="eastAsia" w:ascii="宋体" w:hAnsi="宋体" w:cs="宋体"/>
          <w:bCs/>
          <w:sz w:val="24"/>
        </w:rPr>
        <w:t>日内完成</w:t>
      </w:r>
      <w:r>
        <w:rPr>
          <w:rFonts w:hint="eastAsia" w:ascii="宋体" w:hAnsi="宋体" w:cs="宋体"/>
          <w:sz w:val="24"/>
        </w:rPr>
        <w:t>初验进入试运行；</w:t>
      </w:r>
      <w:r>
        <w:rPr>
          <w:rFonts w:hint="eastAsia" w:ascii="宋体" w:hAnsi="宋体" w:cs="宋体"/>
          <w:kern w:val="0"/>
          <w:sz w:val="24"/>
          <w:lang w:val="zh-CN"/>
        </w:rPr>
        <w:t>并出具初步验收报告后5个工作日内，乙方向甲方办理合同总额</w:t>
      </w:r>
      <w:r>
        <w:rPr>
          <w:rFonts w:hint="eastAsia" w:ascii="宋体" w:hAnsi="宋体" w:cs="宋体"/>
          <w:kern w:val="0"/>
          <w:sz w:val="24"/>
          <w:u w:val="single"/>
          <w:lang w:val="zh-CN"/>
        </w:rPr>
        <w:t>4</w:t>
      </w:r>
      <w:r>
        <w:rPr>
          <w:rFonts w:hint="eastAsia" w:ascii="宋体" w:hAnsi="宋体" w:cs="宋体"/>
          <w:kern w:val="0"/>
          <w:sz w:val="24"/>
          <w:u w:val="single"/>
        </w:rPr>
        <w:t>0</w:t>
      </w:r>
      <w:r>
        <w:rPr>
          <w:rFonts w:hint="eastAsia" w:ascii="宋体" w:hAnsi="宋体" w:cs="宋体"/>
          <w:kern w:val="0"/>
          <w:sz w:val="24"/>
          <w:u w:val="single"/>
          <w:lang w:val="zh-CN"/>
        </w:rPr>
        <w:t>%</w:t>
      </w:r>
      <w:r>
        <w:rPr>
          <w:rFonts w:hint="eastAsia" w:ascii="宋体" w:hAnsi="宋体" w:cs="宋体"/>
          <w:kern w:val="0"/>
          <w:sz w:val="24"/>
          <w:lang w:val="zh-CN"/>
        </w:rPr>
        <w:t>的合同</w:t>
      </w:r>
      <w:r>
        <w:rPr>
          <w:rFonts w:hint="eastAsia" w:ascii="宋体" w:hAnsi="宋体" w:cs="宋体"/>
          <w:sz w:val="24"/>
        </w:rPr>
        <w:t>款结算手续</w:t>
      </w:r>
      <w:r>
        <w:rPr>
          <w:rFonts w:hint="eastAsia" w:ascii="宋体" w:hAnsi="宋体" w:cs="宋体"/>
          <w:kern w:val="0"/>
          <w:sz w:val="24"/>
          <w:lang w:val="zh-CN"/>
        </w:rPr>
        <w:t>，计人民币</w:t>
      </w:r>
      <w:r>
        <w:rPr>
          <w:rFonts w:hint="eastAsia" w:ascii="宋体" w:hAnsi="宋体" w:cs="宋体"/>
          <w:sz w:val="24"/>
          <w:u w:val="single"/>
        </w:rPr>
        <w:t xml:space="preserve">     </w:t>
      </w:r>
      <w:r>
        <w:rPr>
          <w:rFonts w:hint="eastAsia" w:ascii="宋体" w:hAnsi="宋体" w:cs="宋体"/>
          <w:kern w:val="0"/>
          <w:sz w:val="24"/>
          <w:lang w:val="zh-CN"/>
        </w:rPr>
        <w:t>整（￥）。</w:t>
      </w:r>
    </w:p>
    <w:p>
      <w:pPr>
        <w:autoSpaceDE w:val="0"/>
        <w:autoSpaceDN w:val="0"/>
        <w:snapToGrid w:val="0"/>
        <w:spacing w:line="360" w:lineRule="auto"/>
        <w:ind w:firstLine="540"/>
        <w:rPr>
          <w:rFonts w:ascii="宋体" w:hAnsi="宋体" w:cs="宋体"/>
          <w:kern w:val="0"/>
          <w:sz w:val="24"/>
          <w:lang w:val="zh-CN"/>
        </w:rPr>
      </w:pPr>
      <w:r>
        <w:rPr>
          <w:rFonts w:hint="eastAsia" w:ascii="宋体" w:hAnsi="宋体" w:cs="宋体"/>
          <w:kern w:val="0"/>
          <w:sz w:val="24"/>
          <w:lang w:val="zh-CN"/>
        </w:rPr>
        <w:t>第三期付款：完成系统培训、系统正常运转，提交全部报告材料，合同签订后3个月内通过最终验收，出具项目终验报告后，乙方向甲方办理合同总额</w:t>
      </w:r>
      <w:r>
        <w:rPr>
          <w:rFonts w:hint="eastAsia" w:ascii="宋体" w:hAnsi="宋体" w:cs="宋体"/>
          <w:kern w:val="0"/>
          <w:sz w:val="24"/>
        </w:rPr>
        <w:t>3</w:t>
      </w:r>
      <w:r>
        <w:rPr>
          <w:rFonts w:hint="eastAsia" w:ascii="宋体" w:hAnsi="宋体" w:cs="宋体"/>
          <w:kern w:val="0"/>
          <w:sz w:val="24"/>
          <w:u w:val="single"/>
          <w:lang w:val="zh-CN"/>
        </w:rPr>
        <w:t>0%</w:t>
      </w:r>
      <w:r>
        <w:rPr>
          <w:rFonts w:hint="eastAsia" w:ascii="宋体" w:hAnsi="宋体" w:cs="宋体"/>
          <w:kern w:val="0"/>
          <w:sz w:val="24"/>
          <w:lang w:val="zh-CN"/>
        </w:rPr>
        <w:t>的合同款结算手续，计人民币</w:t>
      </w:r>
      <w:r>
        <w:rPr>
          <w:rFonts w:hint="eastAsia" w:ascii="宋体" w:hAnsi="宋体" w:cs="宋体"/>
          <w:sz w:val="24"/>
          <w:u w:val="single"/>
        </w:rPr>
        <w:t xml:space="preserve">   </w:t>
      </w:r>
      <w:r>
        <w:rPr>
          <w:rFonts w:hint="eastAsia" w:ascii="宋体" w:hAnsi="宋体" w:cs="宋体"/>
          <w:kern w:val="0"/>
          <w:sz w:val="24"/>
          <w:lang w:val="zh-CN"/>
        </w:rPr>
        <w:t>整（￥）。</w:t>
      </w:r>
    </w:p>
    <w:p>
      <w:pPr>
        <w:autoSpaceDE w:val="0"/>
        <w:autoSpaceDN w:val="0"/>
        <w:snapToGrid w:val="0"/>
        <w:spacing w:line="360" w:lineRule="auto"/>
        <w:ind w:firstLine="540"/>
        <w:rPr>
          <w:rFonts w:ascii="宋体" w:hAnsi="宋体" w:cs="宋体"/>
          <w:kern w:val="0"/>
          <w:sz w:val="24"/>
          <w:lang w:val="zh-CN"/>
        </w:rPr>
      </w:pPr>
      <w:r>
        <w:rPr>
          <w:rFonts w:hint="eastAsia" w:ascii="宋体" w:hAnsi="宋体" w:cs="宋体"/>
          <w:sz w:val="24"/>
        </w:rPr>
        <w:t>甲方无故逾期支付服务费用的，按照每逾期一日支付本期应支付服务费额度的5‰承担违约责任。</w:t>
      </w:r>
    </w:p>
    <w:p>
      <w:pPr>
        <w:spacing w:line="360" w:lineRule="auto"/>
        <w:ind w:firstLine="482" w:firstLineChars="200"/>
        <w:outlineLvl w:val="2"/>
        <w:rPr>
          <w:rFonts w:ascii="宋体" w:hAnsi="宋体" w:cs="宋体"/>
          <w:b/>
          <w:sz w:val="24"/>
        </w:rPr>
      </w:pPr>
      <w:r>
        <w:rPr>
          <w:rFonts w:hint="eastAsia" w:ascii="宋体" w:hAnsi="宋体" w:cs="宋体"/>
          <w:b/>
          <w:sz w:val="24"/>
        </w:rPr>
        <w:t>2.9标的物的风险负担</w:t>
      </w:r>
    </w:p>
    <w:p>
      <w:pPr>
        <w:spacing w:line="360" w:lineRule="auto"/>
        <w:ind w:firstLine="480" w:firstLineChars="200"/>
        <w:rPr>
          <w:rFonts w:ascii="宋体" w:hAnsi="宋体" w:cs="宋体"/>
          <w:sz w:val="24"/>
        </w:rPr>
      </w:pPr>
      <w:r>
        <w:rPr>
          <w:rFonts w:hint="eastAsia" w:ascii="宋体" w:hAnsi="宋体" w:cs="宋体"/>
          <w:sz w:val="24"/>
        </w:rPr>
        <w:t>标的物或者在途标的物或者交付给第一承运人后的标的物毁损、灭失的风险负担：</w:t>
      </w:r>
    </w:p>
    <w:p>
      <w:pPr>
        <w:spacing w:line="360" w:lineRule="auto"/>
        <w:ind w:firstLine="480" w:firstLineChars="200"/>
        <w:rPr>
          <w:rFonts w:ascii="宋体" w:hAnsi="宋体" w:cs="宋体"/>
          <w:sz w:val="24"/>
          <w:u w:val="single"/>
        </w:rPr>
      </w:pPr>
      <w:r>
        <w:rPr>
          <w:rFonts w:hint="eastAsia" w:ascii="宋体" w:hAnsi="宋体" w:cs="宋体"/>
          <w:sz w:val="24"/>
          <w:u w:val="single"/>
        </w:rPr>
        <w:t xml:space="preserve">   全部由乙方承担                                                                    </w:t>
      </w:r>
    </w:p>
    <w:p>
      <w:pPr>
        <w:spacing w:line="360" w:lineRule="auto"/>
        <w:ind w:firstLine="480" w:firstLineChars="200"/>
        <w:rPr>
          <w:rFonts w:ascii="宋体" w:hAnsi="宋体" w:cs="宋体"/>
          <w:sz w:val="24"/>
        </w:rPr>
      </w:pPr>
      <w:r>
        <w:rPr>
          <w:rFonts w:hint="eastAsia" w:ascii="宋体" w:hAnsi="宋体" w:cs="宋体"/>
          <w:sz w:val="24"/>
        </w:rPr>
        <w:t>2.13.2受不可抗力影响的一方在不可抗力发生后，应在</w:t>
      </w:r>
      <w:r>
        <w:rPr>
          <w:rFonts w:hint="eastAsia" w:ascii="宋体" w:hAnsi="宋体" w:cs="宋体"/>
          <w:sz w:val="24"/>
          <w:u w:val="single"/>
        </w:rPr>
        <w:t>3</w:t>
      </w:r>
      <w:r>
        <w:rPr>
          <w:rFonts w:hint="eastAsia" w:ascii="宋体" w:hAnsi="宋体" w:cs="宋体"/>
          <w:sz w:val="24"/>
        </w:rPr>
        <w:t>日内以书面形式通知对方当事人，并在</w:t>
      </w:r>
      <w:r>
        <w:rPr>
          <w:rFonts w:hint="eastAsia" w:ascii="宋体" w:hAnsi="宋体" w:cs="宋体"/>
          <w:sz w:val="24"/>
          <w:u w:val="single"/>
        </w:rPr>
        <w:t>3</w:t>
      </w:r>
      <w:r>
        <w:rPr>
          <w:rFonts w:hint="eastAsia" w:ascii="宋体" w:hAnsi="宋体" w:cs="宋体"/>
          <w:sz w:val="24"/>
        </w:rPr>
        <w:t>日内，将有关部门出具的证明文件送达对方当事人。</w:t>
      </w:r>
    </w:p>
    <w:p>
      <w:pPr>
        <w:spacing w:line="360" w:lineRule="auto"/>
        <w:ind w:firstLine="480" w:firstLineChars="200"/>
        <w:rPr>
          <w:rFonts w:ascii="宋体" w:hAnsi="宋体" w:cs="宋体"/>
          <w:sz w:val="24"/>
        </w:rPr>
      </w:pPr>
      <w:r>
        <w:rPr>
          <w:rFonts w:hint="eastAsia" w:ascii="宋体" w:hAnsi="宋体" w:cs="宋体"/>
          <w:sz w:val="24"/>
        </w:rPr>
        <w:t>2.13.4因不可抗力致使合同有变更必要的，双方当事人应在</w:t>
      </w:r>
      <w:r>
        <w:rPr>
          <w:rFonts w:hint="eastAsia" w:ascii="宋体" w:hAnsi="宋体" w:cs="宋体"/>
          <w:sz w:val="24"/>
          <w:u w:val="single"/>
        </w:rPr>
        <w:t>3</w:t>
      </w:r>
      <w:r>
        <w:rPr>
          <w:rFonts w:hint="eastAsia" w:ascii="宋体" w:hAnsi="宋体" w:cs="宋体"/>
          <w:sz w:val="24"/>
        </w:rPr>
        <w:t>日内以书面形式变更合同；</w:t>
      </w:r>
    </w:p>
    <w:p>
      <w:pPr>
        <w:tabs>
          <w:tab w:val="left" w:pos="360"/>
          <w:tab w:val="left" w:pos="540"/>
          <w:tab w:val="left" w:pos="1080"/>
        </w:tabs>
        <w:spacing w:line="360" w:lineRule="auto"/>
        <w:ind w:firstLine="480" w:firstLineChars="200"/>
        <w:rPr>
          <w:rFonts w:ascii="宋体" w:hAnsi="宋体" w:cs="宋体"/>
          <w:sz w:val="24"/>
        </w:rPr>
      </w:pPr>
      <w:r>
        <w:rPr>
          <w:rFonts w:hint="eastAsia" w:ascii="宋体" w:hAnsi="宋体" w:cs="宋体"/>
          <w:sz w:val="24"/>
        </w:rPr>
        <w:t>2.17.1标的物交付前，乙方应对标的物的质量、数量等方面进行详细、全面的检验，并向甲方出具证明标的物符合合同约定的文件；标的物交付时，乙方在</w:t>
      </w:r>
      <w:r>
        <w:rPr>
          <w:rFonts w:hint="eastAsia" w:ascii="宋体" w:hAnsi="宋体" w:cs="宋体"/>
          <w:sz w:val="24"/>
          <w:u w:val="single"/>
        </w:rPr>
        <w:t xml:space="preserve"> 15 </w:t>
      </w:r>
      <w:r>
        <w:rPr>
          <w:rFonts w:hint="eastAsia" w:ascii="宋体" w:hAnsi="宋体" w:cs="宋体"/>
          <w:sz w:val="24"/>
        </w:rPr>
        <w:t>日内组织验收，并可依法邀请相关方参加，验收应出具验收书。</w:t>
      </w:r>
    </w:p>
    <w:p>
      <w:pPr>
        <w:spacing w:line="360" w:lineRule="auto"/>
        <w:ind w:firstLine="480" w:firstLineChars="200"/>
        <w:rPr>
          <w:rFonts w:ascii="宋体" w:hAnsi="宋体" w:cs="宋体"/>
          <w:sz w:val="24"/>
        </w:rPr>
      </w:pPr>
      <w:r>
        <w:rPr>
          <w:rFonts w:hint="eastAsia" w:ascii="宋体" w:hAnsi="宋体" w:cs="宋体"/>
          <w:sz w:val="24"/>
        </w:rPr>
        <w:t>2.17.3 检验和验收标准、程序等具体内容以及前述验收书的效力：</w:t>
      </w:r>
    </w:p>
    <w:p>
      <w:pPr>
        <w:spacing w:line="360" w:lineRule="auto"/>
        <w:ind w:firstLine="480" w:firstLineChars="200"/>
        <w:rPr>
          <w:rFonts w:ascii="宋体" w:hAnsi="宋体" w:cs="宋体"/>
          <w:sz w:val="24"/>
          <w:u w:val="single"/>
        </w:rPr>
      </w:pPr>
      <w:r>
        <w:rPr>
          <w:rFonts w:hint="eastAsia" w:ascii="宋体" w:hAnsi="宋体" w:cs="宋体"/>
          <w:sz w:val="24"/>
          <w:u w:val="single"/>
        </w:rPr>
        <w:t>由乙方配合甲方根据《杭州市政府采购履约验收暂行办法》杭财采监〔2019〕10 号规定、招投标文件及合同约定进行履约验收。</w:t>
      </w:r>
    </w:p>
    <w:p>
      <w:pPr>
        <w:spacing w:line="360" w:lineRule="auto"/>
        <w:ind w:firstLine="482" w:firstLineChars="200"/>
        <w:outlineLvl w:val="2"/>
        <w:rPr>
          <w:rFonts w:ascii="宋体" w:hAnsi="宋体" w:cs="宋体"/>
          <w:b/>
          <w:sz w:val="24"/>
        </w:rPr>
      </w:pPr>
      <w:r>
        <w:rPr>
          <w:rFonts w:hint="eastAsia" w:ascii="宋体" w:hAnsi="宋体" w:cs="宋体"/>
          <w:b/>
          <w:sz w:val="24"/>
        </w:rPr>
        <w:t>3.1 其他：</w:t>
      </w:r>
    </w:p>
    <w:p>
      <w:pPr>
        <w:spacing w:line="360" w:lineRule="auto"/>
        <w:ind w:firstLine="480" w:firstLineChars="200"/>
        <w:rPr>
          <w:rFonts w:ascii="宋体" w:hAnsi="宋体" w:cs="宋体"/>
          <w:b/>
          <w:sz w:val="36"/>
          <w:szCs w:val="20"/>
        </w:rPr>
      </w:pPr>
      <w:r>
        <w:rPr>
          <w:rFonts w:hint="eastAsia" w:ascii="宋体" w:hAnsi="宋体" w:cs="宋体"/>
          <w:sz w:val="24"/>
          <w:u w:val="single"/>
        </w:rPr>
        <w:t xml:space="preserve">   无                                                                    </w:t>
      </w:r>
    </w:p>
    <w:p>
      <w:pPr>
        <w:rPr>
          <w:rFonts w:ascii="宋体" w:hAnsi="宋体" w:cs="宋体"/>
        </w:rPr>
      </w:pPr>
    </w:p>
    <w:p>
      <w:pPr>
        <w:rPr>
          <w:rFonts w:ascii="宋体" w:hAnsi="宋体" w:cs="宋体"/>
          <w:szCs w:val="21"/>
        </w:rPr>
      </w:pPr>
    </w:p>
    <w:p>
      <w:pPr>
        <w:pStyle w:val="3"/>
        <w:rPr>
          <w:rFonts w:ascii="宋体" w:hAnsi="宋体" w:cs="宋体"/>
          <w:color w:val="auto"/>
        </w:rPr>
        <w:sectPr>
          <w:headerReference r:id="rId12" w:type="default"/>
          <w:footerReference r:id="rId13" w:type="default"/>
          <w:pgSz w:w="11850" w:h="16783"/>
          <w:pgMar w:top="1440" w:right="1800" w:bottom="1440" w:left="1800" w:header="878" w:footer="1045" w:gutter="0"/>
          <w:cols w:space="720" w:num="1"/>
        </w:sectPr>
      </w:pPr>
      <w:bookmarkStart w:id="187" w:name="_Toc22611"/>
    </w:p>
    <w:p>
      <w:pPr>
        <w:pStyle w:val="3"/>
        <w:rPr>
          <w:rFonts w:ascii="宋体" w:hAnsi="宋体" w:cs="宋体"/>
          <w:color w:val="auto"/>
        </w:rPr>
      </w:pPr>
      <w:r>
        <w:rPr>
          <w:rFonts w:hint="eastAsia" w:ascii="宋体" w:hAnsi="宋体" w:cs="宋体"/>
          <w:color w:val="auto"/>
        </w:rPr>
        <w:t>第五章  投标文件格式</w:t>
      </w:r>
      <w:bookmarkEnd w:id="24"/>
      <w:bookmarkEnd w:id="25"/>
      <w:bookmarkEnd w:id="26"/>
      <w:bookmarkEnd w:id="187"/>
    </w:p>
    <w:p>
      <w:pPr>
        <w:spacing w:line="360" w:lineRule="auto"/>
        <w:jc w:val="left"/>
        <w:rPr>
          <w:rFonts w:ascii="宋体" w:hAnsi="宋体" w:cs="宋体"/>
          <w:szCs w:val="21"/>
        </w:rPr>
      </w:pPr>
      <w:bookmarkStart w:id="188" w:name="_Toc426996335"/>
      <w:bookmarkStart w:id="189" w:name="_Toc336683576"/>
      <w:bookmarkStart w:id="190" w:name="_Toc345575535"/>
    </w:p>
    <w:p>
      <w:pPr>
        <w:spacing w:line="360" w:lineRule="auto"/>
        <w:ind w:firstLine="428"/>
        <w:jc w:val="left"/>
        <w:rPr>
          <w:rFonts w:ascii="宋体" w:hAnsi="宋体" w:cs="宋体"/>
          <w:szCs w:val="21"/>
        </w:rPr>
      </w:pPr>
      <w:r>
        <w:rPr>
          <w:rFonts w:hint="eastAsia" w:ascii="宋体" w:hAnsi="宋体" w:cs="宋体"/>
          <w:szCs w:val="21"/>
        </w:rPr>
        <w:t>一、供应商提交投标文件须知：</w:t>
      </w:r>
    </w:p>
    <w:p>
      <w:pPr>
        <w:spacing w:line="360" w:lineRule="auto"/>
        <w:ind w:firstLine="428"/>
        <w:jc w:val="left"/>
        <w:rPr>
          <w:rFonts w:ascii="宋体" w:hAnsi="宋体" w:cs="宋体"/>
          <w:szCs w:val="21"/>
        </w:rPr>
      </w:pPr>
      <w:r>
        <w:rPr>
          <w:rFonts w:hint="eastAsia" w:ascii="宋体" w:hAnsi="宋体" w:cs="宋体"/>
          <w:szCs w:val="21"/>
        </w:rPr>
        <w:t>1、供应商应严格按照以下顺序填写和提交下述规定的全部格式文件以及其他有关资料，混乱的编排导致投标文件被误读或评标委员会查找不到有效文件是供应商的风险。</w:t>
      </w:r>
    </w:p>
    <w:p>
      <w:pPr>
        <w:spacing w:line="360" w:lineRule="auto"/>
        <w:ind w:firstLine="428"/>
        <w:jc w:val="left"/>
        <w:rPr>
          <w:rFonts w:ascii="宋体" w:hAnsi="宋体" w:cs="宋体"/>
          <w:szCs w:val="21"/>
        </w:rPr>
      </w:pPr>
      <w:r>
        <w:rPr>
          <w:rFonts w:hint="eastAsia" w:ascii="宋体" w:hAnsi="宋体" w:cs="宋体"/>
          <w:szCs w:val="21"/>
        </w:rPr>
        <w:t>2、所附表格中要求回答的全部问题、信息都必须正面回答。</w:t>
      </w:r>
    </w:p>
    <w:p>
      <w:pPr>
        <w:spacing w:line="360" w:lineRule="auto"/>
        <w:ind w:firstLine="428"/>
        <w:jc w:val="left"/>
        <w:rPr>
          <w:rFonts w:ascii="宋体" w:hAnsi="宋体" w:cs="宋体"/>
          <w:szCs w:val="21"/>
        </w:rPr>
      </w:pPr>
      <w:r>
        <w:rPr>
          <w:rFonts w:hint="eastAsia" w:ascii="宋体" w:hAnsi="宋体" w:cs="宋体"/>
          <w:szCs w:val="21"/>
        </w:rPr>
        <w:t>3、本声明书的签字人应保证全部声明和问题的回答是真实的和准确的。</w:t>
      </w:r>
    </w:p>
    <w:p>
      <w:pPr>
        <w:spacing w:line="360" w:lineRule="auto"/>
        <w:ind w:firstLine="428"/>
        <w:jc w:val="left"/>
        <w:rPr>
          <w:rFonts w:ascii="宋体" w:hAnsi="宋体" w:cs="宋体"/>
          <w:szCs w:val="21"/>
        </w:rPr>
      </w:pPr>
      <w:r>
        <w:rPr>
          <w:rFonts w:hint="eastAsia" w:ascii="宋体" w:hAnsi="宋体" w:cs="宋体"/>
          <w:szCs w:val="21"/>
        </w:rPr>
        <w:t>4、评标委员会将应用供应商提交的资料根据自己的判断和考虑决定供应商履行合同的合格性及能力。</w:t>
      </w:r>
    </w:p>
    <w:p>
      <w:pPr>
        <w:spacing w:line="360" w:lineRule="auto"/>
        <w:ind w:firstLine="428"/>
        <w:jc w:val="left"/>
        <w:rPr>
          <w:rFonts w:ascii="宋体" w:hAnsi="宋体" w:cs="宋体"/>
          <w:szCs w:val="21"/>
        </w:rPr>
      </w:pPr>
      <w:r>
        <w:rPr>
          <w:rFonts w:hint="eastAsia" w:ascii="宋体" w:hAnsi="宋体" w:cs="宋体"/>
          <w:szCs w:val="21"/>
        </w:rPr>
        <w:t>5、供应商提交的材料将在一定期限内被保密保存，但不退还。</w:t>
      </w:r>
    </w:p>
    <w:p>
      <w:pPr>
        <w:spacing w:line="360" w:lineRule="auto"/>
        <w:ind w:firstLine="428"/>
        <w:jc w:val="left"/>
        <w:rPr>
          <w:rFonts w:ascii="宋体" w:hAnsi="宋体" w:cs="宋体"/>
          <w:szCs w:val="21"/>
        </w:rPr>
      </w:pPr>
      <w:r>
        <w:rPr>
          <w:rFonts w:hint="eastAsia" w:ascii="宋体" w:hAnsi="宋体" w:cs="宋体"/>
          <w:szCs w:val="21"/>
        </w:rPr>
        <w:t>6、全部文件应按供应商须知中规定的语言提交。投标文件组成漏项或未按规定的格式编制，内容不全或内容字迹模糊辨认不清的情况，将有可能被评标委员会认定为投标无效。</w:t>
      </w:r>
    </w:p>
    <w:p>
      <w:pPr>
        <w:spacing w:line="360" w:lineRule="auto"/>
        <w:ind w:firstLine="428"/>
        <w:jc w:val="left"/>
        <w:rPr>
          <w:rFonts w:ascii="宋体" w:hAnsi="宋体" w:cs="宋体"/>
          <w:szCs w:val="21"/>
        </w:rPr>
      </w:pPr>
      <w:r>
        <w:rPr>
          <w:rFonts w:hint="eastAsia" w:ascii="宋体" w:hAnsi="宋体" w:cs="宋体"/>
          <w:szCs w:val="21"/>
        </w:rPr>
        <w:t>二、投标文件编制格式及规范要求：</w:t>
      </w:r>
    </w:p>
    <w:p>
      <w:pPr>
        <w:spacing w:line="360" w:lineRule="auto"/>
        <w:ind w:firstLine="428"/>
        <w:jc w:val="left"/>
        <w:rPr>
          <w:rFonts w:ascii="宋体" w:hAnsi="宋体" w:cs="宋体"/>
          <w:szCs w:val="21"/>
        </w:rPr>
        <w:sectPr>
          <w:pgSz w:w="11850" w:h="16783"/>
          <w:pgMar w:top="1440" w:right="1800" w:bottom="1440" w:left="1800" w:header="878" w:footer="1045" w:gutter="0"/>
          <w:cols w:space="720" w:num="1"/>
        </w:sectPr>
      </w:pPr>
      <w:r>
        <w:rPr>
          <w:rFonts w:hint="eastAsia" w:ascii="宋体" w:hAnsi="宋体" w:cs="宋体"/>
          <w:szCs w:val="21"/>
        </w:rPr>
        <w:t>供应商编制投标文件，投标文件均包括：资格响应文件、报价响应文件、商务技术响应文件三部分，各供应商在编制投标文件时请按照以下格式进行（投标单位根据需要可以自行增加，但不得更改或删减）。</w:t>
      </w:r>
    </w:p>
    <w:p>
      <w:pPr>
        <w:pStyle w:val="2"/>
        <w:ind w:firstLine="562"/>
        <w:rPr>
          <w:rFonts w:ascii="宋体" w:hAnsi="宋体" w:cs="宋体"/>
        </w:rPr>
      </w:pPr>
      <w:bookmarkStart w:id="191" w:name="_Toc1370"/>
      <w:r>
        <w:rPr>
          <w:rFonts w:hint="eastAsia" w:ascii="宋体" w:hAnsi="宋体" w:cs="宋体"/>
        </w:rPr>
        <w:t>一、投标文件封面（格式供参考）</w:t>
      </w:r>
      <w:bookmarkEnd w:id="191"/>
    </w:p>
    <w:p>
      <w:pPr>
        <w:jc w:val="left"/>
        <w:rPr>
          <w:rFonts w:ascii="宋体" w:hAnsi="宋体" w:cs="宋体"/>
          <w:szCs w:val="21"/>
        </w:rPr>
      </w:pPr>
    </w:p>
    <w:p>
      <w:pPr>
        <w:pStyle w:val="4"/>
        <w:ind w:firstLine="482"/>
        <w:rPr>
          <w:rFonts w:ascii="宋体" w:hAnsi="宋体" w:cs="宋体"/>
        </w:rPr>
      </w:pPr>
      <w:r>
        <w:rPr>
          <w:rFonts w:hint="eastAsia" w:ascii="宋体" w:hAnsi="宋体" w:cs="宋体"/>
        </w:rPr>
        <w:t>1.1报价响应文件封面格式</w:t>
      </w:r>
    </w:p>
    <w:p>
      <w:pPr>
        <w:jc w:val="left"/>
        <w:rPr>
          <w:rFonts w:ascii="宋体" w:hAnsi="宋体" w:cs="宋体"/>
          <w:szCs w:val="21"/>
        </w:rPr>
      </w:pPr>
    </w:p>
    <w:p>
      <w:pPr>
        <w:jc w:val="left"/>
        <w:rPr>
          <w:rFonts w:ascii="宋体" w:hAnsi="宋体" w:cs="宋体"/>
          <w:szCs w:val="21"/>
        </w:rPr>
      </w:pPr>
    </w:p>
    <w:p>
      <w:pPr>
        <w:jc w:val="left"/>
        <w:rPr>
          <w:rFonts w:ascii="宋体" w:hAnsi="宋体" w:cs="宋体"/>
          <w:szCs w:val="21"/>
        </w:rPr>
      </w:pPr>
    </w:p>
    <w:p>
      <w:pPr>
        <w:jc w:val="left"/>
        <w:rPr>
          <w:rFonts w:ascii="宋体" w:hAnsi="宋体" w:cs="宋体"/>
          <w:szCs w:val="21"/>
        </w:rPr>
      </w:pPr>
    </w:p>
    <w:p>
      <w:pPr>
        <w:spacing w:before="260" w:line="204" w:lineRule="auto"/>
        <w:jc w:val="center"/>
        <w:rPr>
          <w:rFonts w:ascii="宋体" w:hAnsi="宋体" w:cs="宋体"/>
          <w:sz w:val="32"/>
          <w:szCs w:val="32"/>
        </w:rPr>
      </w:pPr>
      <w:r>
        <w:rPr>
          <w:rFonts w:hint="eastAsia" w:ascii="宋体" w:hAnsi="宋体" w:cs="宋体"/>
          <w:sz w:val="32"/>
          <w:szCs w:val="32"/>
        </w:rPr>
        <w:t>杭州市城乡建设委员会CIM基础信息平台软件开发项目</w:t>
      </w:r>
    </w:p>
    <w:p>
      <w:pPr>
        <w:jc w:val="left"/>
        <w:rPr>
          <w:rFonts w:ascii="宋体" w:hAnsi="宋体" w:cs="宋体"/>
          <w:szCs w:val="21"/>
        </w:rPr>
      </w:pPr>
    </w:p>
    <w:p>
      <w:pPr>
        <w:jc w:val="left"/>
        <w:rPr>
          <w:rFonts w:ascii="宋体" w:hAnsi="宋体" w:cs="宋体"/>
          <w:szCs w:val="21"/>
        </w:rPr>
      </w:pPr>
    </w:p>
    <w:p>
      <w:pPr>
        <w:jc w:val="left"/>
        <w:rPr>
          <w:rFonts w:ascii="宋体" w:hAnsi="宋体" w:cs="宋体"/>
          <w:szCs w:val="21"/>
        </w:rPr>
      </w:pPr>
    </w:p>
    <w:p>
      <w:pPr>
        <w:jc w:val="left"/>
        <w:rPr>
          <w:rFonts w:ascii="宋体" w:hAnsi="宋体" w:cs="宋体"/>
          <w:szCs w:val="21"/>
        </w:rPr>
      </w:pPr>
    </w:p>
    <w:p>
      <w:pPr>
        <w:jc w:val="left"/>
        <w:rPr>
          <w:rFonts w:ascii="宋体" w:hAnsi="宋体" w:cs="宋体"/>
          <w:szCs w:val="21"/>
        </w:rPr>
      </w:pPr>
    </w:p>
    <w:p>
      <w:pPr>
        <w:spacing w:before="403" w:line="204" w:lineRule="auto"/>
        <w:jc w:val="center"/>
        <w:rPr>
          <w:rFonts w:ascii="宋体" w:hAnsi="宋体" w:cs="宋体"/>
          <w:sz w:val="96"/>
          <w:szCs w:val="96"/>
        </w:rPr>
      </w:pPr>
      <w:r>
        <w:rPr>
          <w:rFonts w:hint="eastAsia" w:ascii="宋体" w:hAnsi="宋体" w:cs="宋体"/>
          <w:sz w:val="96"/>
          <w:szCs w:val="96"/>
        </w:rPr>
        <w:t>投标文件</w:t>
      </w:r>
    </w:p>
    <w:p>
      <w:pPr>
        <w:jc w:val="left"/>
        <w:rPr>
          <w:rFonts w:ascii="宋体" w:hAnsi="宋体" w:cs="宋体"/>
          <w:szCs w:val="21"/>
        </w:rPr>
      </w:pPr>
    </w:p>
    <w:p>
      <w:pPr>
        <w:jc w:val="left"/>
        <w:rPr>
          <w:rFonts w:ascii="宋体" w:hAnsi="宋体" w:cs="宋体"/>
          <w:szCs w:val="21"/>
        </w:rPr>
      </w:pPr>
    </w:p>
    <w:p>
      <w:pPr>
        <w:spacing w:before="243" w:line="839" w:lineRule="exact"/>
        <w:jc w:val="center"/>
        <w:rPr>
          <w:rFonts w:ascii="宋体" w:hAnsi="宋体" w:cs="宋体"/>
          <w:sz w:val="44"/>
          <w:szCs w:val="44"/>
        </w:rPr>
      </w:pPr>
      <w:r>
        <w:rPr>
          <w:rFonts w:hint="eastAsia" w:ascii="宋体" w:hAnsi="宋体" w:cs="宋体"/>
          <w:sz w:val="44"/>
          <w:szCs w:val="44"/>
        </w:rPr>
        <w:t>（报价响应文件）</w:t>
      </w:r>
    </w:p>
    <w:p>
      <w:pPr>
        <w:spacing w:before="1" w:line="204" w:lineRule="auto"/>
        <w:jc w:val="center"/>
        <w:rPr>
          <w:rFonts w:ascii="宋体" w:hAnsi="宋体" w:cs="宋体"/>
          <w:szCs w:val="21"/>
        </w:rPr>
      </w:pPr>
      <w:r>
        <w:rPr>
          <w:rFonts w:hint="eastAsia" w:ascii="宋体" w:hAnsi="宋体" w:cs="宋体"/>
          <w:sz w:val="32"/>
          <w:szCs w:val="32"/>
        </w:rPr>
        <w:t>项目编号：HXDI-2021-SJW001</w:t>
      </w:r>
    </w:p>
    <w:p>
      <w:pPr>
        <w:jc w:val="left"/>
        <w:rPr>
          <w:rFonts w:ascii="宋体" w:hAnsi="宋体" w:cs="宋体"/>
          <w:szCs w:val="21"/>
        </w:rPr>
      </w:pPr>
    </w:p>
    <w:p>
      <w:pPr>
        <w:jc w:val="left"/>
        <w:rPr>
          <w:rFonts w:ascii="宋体" w:hAnsi="宋体" w:cs="宋体"/>
          <w:szCs w:val="21"/>
        </w:rPr>
      </w:pPr>
    </w:p>
    <w:p>
      <w:pPr>
        <w:jc w:val="left"/>
        <w:rPr>
          <w:rFonts w:ascii="宋体" w:hAnsi="宋体" w:cs="宋体"/>
          <w:szCs w:val="21"/>
        </w:rPr>
      </w:pPr>
    </w:p>
    <w:p>
      <w:pPr>
        <w:jc w:val="left"/>
        <w:rPr>
          <w:rFonts w:ascii="宋体" w:hAnsi="宋体" w:cs="宋体"/>
          <w:szCs w:val="21"/>
        </w:rPr>
      </w:pPr>
    </w:p>
    <w:p>
      <w:pPr>
        <w:jc w:val="left"/>
        <w:rPr>
          <w:rFonts w:ascii="宋体" w:hAnsi="宋体" w:cs="宋体"/>
          <w:szCs w:val="21"/>
        </w:rPr>
      </w:pPr>
    </w:p>
    <w:p>
      <w:pPr>
        <w:jc w:val="left"/>
        <w:rPr>
          <w:rFonts w:ascii="宋体" w:hAnsi="宋体" w:cs="宋体"/>
          <w:szCs w:val="21"/>
        </w:rPr>
      </w:pPr>
    </w:p>
    <w:p>
      <w:pPr>
        <w:jc w:val="left"/>
        <w:rPr>
          <w:rFonts w:ascii="宋体" w:hAnsi="宋体" w:cs="宋体"/>
          <w:szCs w:val="21"/>
        </w:rPr>
      </w:pPr>
    </w:p>
    <w:p>
      <w:pPr>
        <w:jc w:val="left"/>
        <w:rPr>
          <w:rFonts w:ascii="宋体" w:hAnsi="宋体" w:cs="宋体"/>
          <w:szCs w:val="21"/>
        </w:rPr>
      </w:pPr>
    </w:p>
    <w:p>
      <w:pPr>
        <w:jc w:val="left"/>
        <w:rPr>
          <w:rFonts w:ascii="宋体" w:hAnsi="宋体" w:cs="宋体"/>
          <w:szCs w:val="21"/>
        </w:rPr>
      </w:pPr>
    </w:p>
    <w:p>
      <w:pPr>
        <w:jc w:val="left"/>
        <w:rPr>
          <w:rFonts w:ascii="宋体" w:hAnsi="宋体" w:cs="宋体"/>
          <w:szCs w:val="21"/>
        </w:rPr>
      </w:pPr>
    </w:p>
    <w:p>
      <w:pPr>
        <w:jc w:val="left"/>
        <w:rPr>
          <w:rFonts w:ascii="宋体" w:hAnsi="宋体" w:cs="宋体"/>
          <w:szCs w:val="21"/>
        </w:rPr>
      </w:pPr>
    </w:p>
    <w:p>
      <w:pPr>
        <w:spacing w:before="239" w:line="204" w:lineRule="auto"/>
        <w:ind w:firstLine="13"/>
        <w:jc w:val="left"/>
        <w:rPr>
          <w:rFonts w:ascii="宋体" w:hAnsi="宋体" w:cs="宋体"/>
          <w:sz w:val="32"/>
          <w:szCs w:val="32"/>
        </w:rPr>
      </w:pPr>
      <w:r>
        <w:rPr>
          <w:rFonts w:hint="eastAsia" w:ascii="宋体" w:hAnsi="宋体" w:cs="宋体"/>
          <w:sz w:val="32"/>
          <w:szCs w:val="32"/>
        </w:rPr>
        <w:t>供应商名称（盖章）：</w:t>
      </w:r>
    </w:p>
    <w:p>
      <w:pPr>
        <w:jc w:val="left"/>
        <w:rPr>
          <w:rFonts w:ascii="宋体" w:hAnsi="宋体" w:cs="宋体"/>
          <w:szCs w:val="21"/>
        </w:rPr>
      </w:pPr>
    </w:p>
    <w:p>
      <w:pPr>
        <w:jc w:val="left"/>
        <w:rPr>
          <w:rFonts w:ascii="宋体" w:hAnsi="宋体" w:cs="宋体"/>
          <w:szCs w:val="21"/>
        </w:rPr>
      </w:pPr>
    </w:p>
    <w:p>
      <w:pPr>
        <w:spacing w:before="167" w:line="204" w:lineRule="auto"/>
        <w:ind w:firstLine="14"/>
        <w:jc w:val="left"/>
        <w:rPr>
          <w:rFonts w:ascii="宋体" w:hAnsi="宋体" w:cs="宋体"/>
          <w:sz w:val="32"/>
          <w:szCs w:val="32"/>
        </w:rPr>
      </w:pPr>
      <w:r>
        <w:rPr>
          <w:rFonts w:hint="eastAsia" w:ascii="宋体" w:hAnsi="宋体" w:cs="宋体"/>
          <w:sz w:val="32"/>
          <w:szCs w:val="32"/>
        </w:rPr>
        <w:t>法定代表人或授权代表(签字或盖章)：</w:t>
      </w:r>
    </w:p>
    <w:p>
      <w:pPr>
        <w:jc w:val="left"/>
        <w:rPr>
          <w:rFonts w:ascii="宋体" w:hAnsi="宋体" w:cs="宋体"/>
          <w:szCs w:val="21"/>
        </w:rPr>
      </w:pPr>
    </w:p>
    <w:p>
      <w:pPr>
        <w:jc w:val="left"/>
        <w:rPr>
          <w:rFonts w:ascii="宋体" w:hAnsi="宋体" w:cs="宋体"/>
          <w:szCs w:val="21"/>
        </w:rPr>
      </w:pPr>
    </w:p>
    <w:p>
      <w:pPr>
        <w:spacing w:before="167" w:line="204" w:lineRule="auto"/>
        <w:ind w:firstLine="2629"/>
        <w:jc w:val="left"/>
        <w:rPr>
          <w:rFonts w:ascii="宋体" w:hAnsi="宋体" w:cs="宋体"/>
          <w:sz w:val="32"/>
          <w:szCs w:val="32"/>
        </w:rPr>
      </w:pPr>
      <w:r>
        <w:rPr>
          <w:rFonts w:hint="eastAsia" w:ascii="宋体" w:hAnsi="宋体" w:cs="宋体"/>
          <w:sz w:val="32"/>
          <w:szCs w:val="32"/>
        </w:rPr>
        <w:t>时间：  年  月  日</w:t>
      </w:r>
    </w:p>
    <w:p>
      <w:pPr>
        <w:jc w:val="left"/>
        <w:rPr>
          <w:rFonts w:ascii="宋体" w:hAnsi="宋体" w:cs="宋体"/>
        </w:rPr>
        <w:sectPr>
          <w:headerReference r:id="rId14" w:type="default"/>
          <w:footerReference r:id="rId15" w:type="default"/>
          <w:pgSz w:w="11850" w:h="16783"/>
          <w:pgMar w:top="1440" w:right="1800" w:bottom="1440" w:left="1800" w:header="878" w:footer="1045" w:gutter="0"/>
          <w:cols w:space="720" w:num="1"/>
        </w:sectPr>
      </w:pPr>
    </w:p>
    <w:p>
      <w:pPr>
        <w:pStyle w:val="4"/>
        <w:ind w:firstLine="482"/>
        <w:rPr>
          <w:rFonts w:ascii="宋体" w:hAnsi="宋体" w:cs="宋体"/>
        </w:rPr>
      </w:pPr>
      <w:r>
        <w:rPr>
          <w:rFonts w:hint="eastAsia" w:ascii="宋体" w:hAnsi="宋体" w:cs="宋体"/>
        </w:rPr>
        <w:t>1.2资格响应文件/商务技术响应文件封面格式</w:t>
      </w:r>
    </w:p>
    <w:p>
      <w:pPr>
        <w:jc w:val="left"/>
        <w:rPr>
          <w:rFonts w:ascii="宋体" w:hAnsi="宋体" w:cs="宋体"/>
          <w:szCs w:val="21"/>
        </w:rPr>
      </w:pPr>
    </w:p>
    <w:p>
      <w:pPr>
        <w:jc w:val="left"/>
        <w:rPr>
          <w:rFonts w:ascii="宋体" w:hAnsi="宋体" w:cs="宋体"/>
          <w:szCs w:val="21"/>
        </w:rPr>
      </w:pPr>
    </w:p>
    <w:p>
      <w:pPr>
        <w:jc w:val="left"/>
        <w:rPr>
          <w:rFonts w:ascii="宋体" w:hAnsi="宋体" w:cs="宋体"/>
          <w:szCs w:val="21"/>
        </w:rPr>
      </w:pPr>
    </w:p>
    <w:p>
      <w:pPr>
        <w:jc w:val="left"/>
        <w:rPr>
          <w:rFonts w:ascii="宋体" w:hAnsi="宋体" w:cs="宋体"/>
          <w:szCs w:val="21"/>
        </w:rPr>
      </w:pPr>
    </w:p>
    <w:p>
      <w:pPr>
        <w:spacing w:before="290" w:line="204" w:lineRule="auto"/>
        <w:jc w:val="center"/>
        <w:rPr>
          <w:rFonts w:ascii="宋体" w:hAnsi="宋体" w:cs="宋体"/>
          <w:sz w:val="32"/>
          <w:szCs w:val="32"/>
        </w:rPr>
      </w:pPr>
    </w:p>
    <w:p>
      <w:pPr>
        <w:spacing w:before="290" w:line="204" w:lineRule="auto"/>
        <w:jc w:val="center"/>
        <w:rPr>
          <w:rFonts w:ascii="宋体" w:hAnsi="宋体" w:cs="宋体"/>
          <w:sz w:val="32"/>
          <w:szCs w:val="32"/>
        </w:rPr>
      </w:pPr>
      <w:r>
        <w:rPr>
          <w:rFonts w:hint="eastAsia" w:ascii="宋体" w:hAnsi="宋体" w:cs="宋体"/>
          <w:sz w:val="32"/>
          <w:szCs w:val="32"/>
        </w:rPr>
        <w:t>杭州市城乡建设委员会CIM基础信息平台软件开发项目</w:t>
      </w:r>
    </w:p>
    <w:p>
      <w:pPr>
        <w:jc w:val="center"/>
        <w:rPr>
          <w:rFonts w:ascii="宋体" w:hAnsi="宋体" w:cs="宋体"/>
          <w:szCs w:val="21"/>
        </w:rPr>
      </w:pPr>
    </w:p>
    <w:p>
      <w:pPr>
        <w:jc w:val="center"/>
        <w:rPr>
          <w:rFonts w:ascii="宋体" w:hAnsi="宋体" w:cs="宋体"/>
          <w:szCs w:val="21"/>
        </w:rPr>
      </w:pPr>
    </w:p>
    <w:p>
      <w:pPr>
        <w:jc w:val="center"/>
        <w:rPr>
          <w:rFonts w:ascii="宋体" w:hAnsi="宋体" w:cs="宋体"/>
          <w:szCs w:val="21"/>
        </w:rPr>
      </w:pPr>
    </w:p>
    <w:p>
      <w:pPr>
        <w:jc w:val="center"/>
        <w:rPr>
          <w:rFonts w:ascii="宋体" w:hAnsi="宋体" w:cs="宋体"/>
          <w:szCs w:val="21"/>
        </w:rPr>
      </w:pPr>
    </w:p>
    <w:p>
      <w:pPr>
        <w:jc w:val="center"/>
        <w:rPr>
          <w:rFonts w:ascii="宋体" w:hAnsi="宋体" w:cs="宋体"/>
          <w:szCs w:val="21"/>
        </w:rPr>
      </w:pPr>
    </w:p>
    <w:p>
      <w:pPr>
        <w:spacing w:before="403" w:line="204" w:lineRule="auto"/>
        <w:jc w:val="center"/>
        <w:rPr>
          <w:rFonts w:ascii="宋体" w:hAnsi="宋体" w:cs="宋体"/>
          <w:sz w:val="96"/>
          <w:szCs w:val="96"/>
        </w:rPr>
      </w:pPr>
      <w:r>
        <w:rPr>
          <w:rFonts w:hint="eastAsia" w:ascii="宋体" w:hAnsi="宋体" w:cs="宋体"/>
          <w:sz w:val="96"/>
          <w:szCs w:val="96"/>
        </w:rPr>
        <w:t>投标文件</w:t>
      </w:r>
    </w:p>
    <w:p>
      <w:pPr>
        <w:jc w:val="center"/>
        <w:rPr>
          <w:rFonts w:ascii="宋体" w:hAnsi="宋体" w:cs="宋体"/>
          <w:szCs w:val="21"/>
        </w:rPr>
      </w:pPr>
    </w:p>
    <w:p>
      <w:pPr>
        <w:jc w:val="center"/>
        <w:rPr>
          <w:rFonts w:ascii="宋体" w:hAnsi="宋体" w:cs="宋体"/>
          <w:szCs w:val="21"/>
        </w:rPr>
      </w:pPr>
    </w:p>
    <w:p>
      <w:pPr>
        <w:spacing w:before="243" w:line="204" w:lineRule="auto"/>
        <w:jc w:val="center"/>
        <w:rPr>
          <w:rFonts w:ascii="宋体" w:hAnsi="宋体" w:cs="宋体"/>
          <w:sz w:val="44"/>
          <w:szCs w:val="44"/>
        </w:rPr>
      </w:pPr>
      <w:r>
        <w:rPr>
          <w:rFonts w:hint="eastAsia" w:ascii="宋体" w:hAnsi="宋体" w:cs="宋体"/>
          <w:sz w:val="44"/>
          <w:szCs w:val="44"/>
        </w:rPr>
        <w:t>（资格响应文件/商务技术响应文件）</w:t>
      </w:r>
    </w:p>
    <w:p>
      <w:pPr>
        <w:jc w:val="center"/>
        <w:rPr>
          <w:rFonts w:ascii="宋体" w:hAnsi="宋体" w:cs="宋体"/>
          <w:szCs w:val="21"/>
        </w:rPr>
      </w:pPr>
    </w:p>
    <w:p>
      <w:pPr>
        <w:spacing w:before="111" w:line="204" w:lineRule="auto"/>
        <w:jc w:val="center"/>
        <w:rPr>
          <w:rFonts w:ascii="宋体" w:hAnsi="宋体" w:cs="宋体"/>
          <w:sz w:val="32"/>
          <w:szCs w:val="32"/>
        </w:rPr>
      </w:pPr>
      <w:r>
        <w:rPr>
          <w:rFonts w:hint="eastAsia" w:ascii="宋体" w:hAnsi="宋体" w:cs="宋体"/>
          <w:sz w:val="32"/>
          <w:szCs w:val="32"/>
        </w:rPr>
        <w:t>项目编号：HXDI-2021-SJW001</w:t>
      </w:r>
    </w:p>
    <w:p>
      <w:pPr>
        <w:jc w:val="center"/>
        <w:rPr>
          <w:rFonts w:ascii="宋体" w:hAnsi="宋体" w:cs="宋体"/>
          <w:szCs w:val="21"/>
        </w:rPr>
      </w:pPr>
    </w:p>
    <w:p>
      <w:pPr>
        <w:jc w:val="left"/>
        <w:rPr>
          <w:rFonts w:ascii="宋体" w:hAnsi="宋体" w:cs="宋体"/>
          <w:szCs w:val="21"/>
        </w:rPr>
      </w:pPr>
    </w:p>
    <w:p>
      <w:pPr>
        <w:jc w:val="left"/>
        <w:rPr>
          <w:rFonts w:ascii="宋体" w:hAnsi="宋体" w:cs="宋体"/>
          <w:szCs w:val="21"/>
        </w:rPr>
      </w:pPr>
    </w:p>
    <w:p>
      <w:pPr>
        <w:jc w:val="left"/>
        <w:rPr>
          <w:rFonts w:ascii="宋体" w:hAnsi="宋体" w:cs="宋体"/>
          <w:szCs w:val="21"/>
        </w:rPr>
      </w:pPr>
    </w:p>
    <w:p>
      <w:pPr>
        <w:jc w:val="left"/>
        <w:rPr>
          <w:rFonts w:ascii="宋体" w:hAnsi="宋体" w:cs="宋体"/>
          <w:szCs w:val="21"/>
        </w:rPr>
      </w:pPr>
    </w:p>
    <w:p>
      <w:pPr>
        <w:jc w:val="left"/>
        <w:rPr>
          <w:rFonts w:ascii="宋体" w:hAnsi="宋体" w:cs="宋体"/>
          <w:szCs w:val="21"/>
        </w:rPr>
      </w:pPr>
    </w:p>
    <w:p>
      <w:pPr>
        <w:jc w:val="left"/>
        <w:rPr>
          <w:rFonts w:ascii="宋体" w:hAnsi="宋体" w:cs="宋体"/>
          <w:szCs w:val="21"/>
        </w:rPr>
      </w:pPr>
    </w:p>
    <w:p>
      <w:pPr>
        <w:jc w:val="left"/>
        <w:rPr>
          <w:rFonts w:ascii="宋体" w:hAnsi="宋体" w:cs="宋体"/>
          <w:szCs w:val="21"/>
        </w:rPr>
      </w:pPr>
    </w:p>
    <w:p>
      <w:pPr>
        <w:jc w:val="left"/>
        <w:rPr>
          <w:rFonts w:ascii="宋体" w:hAnsi="宋体" w:cs="宋体"/>
          <w:szCs w:val="21"/>
        </w:rPr>
      </w:pPr>
    </w:p>
    <w:p>
      <w:pPr>
        <w:jc w:val="left"/>
        <w:rPr>
          <w:rFonts w:ascii="宋体" w:hAnsi="宋体" w:cs="宋体"/>
          <w:szCs w:val="21"/>
        </w:rPr>
      </w:pPr>
    </w:p>
    <w:p>
      <w:pPr>
        <w:jc w:val="left"/>
        <w:rPr>
          <w:rFonts w:ascii="宋体" w:hAnsi="宋体" w:cs="宋体"/>
          <w:szCs w:val="21"/>
        </w:rPr>
      </w:pPr>
    </w:p>
    <w:p>
      <w:pPr>
        <w:spacing w:before="241" w:line="204" w:lineRule="auto"/>
        <w:ind w:firstLine="13"/>
        <w:jc w:val="left"/>
        <w:rPr>
          <w:rFonts w:ascii="宋体" w:hAnsi="宋体" w:cs="宋体"/>
          <w:szCs w:val="21"/>
        </w:rPr>
      </w:pPr>
      <w:r>
        <w:rPr>
          <w:rFonts w:hint="eastAsia" w:ascii="宋体" w:hAnsi="宋体" w:cs="宋体"/>
          <w:sz w:val="32"/>
          <w:szCs w:val="32"/>
        </w:rPr>
        <w:t>供应商名称（盖章）：</w:t>
      </w:r>
    </w:p>
    <w:p>
      <w:pPr>
        <w:jc w:val="left"/>
        <w:rPr>
          <w:rFonts w:ascii="宋体" w:hAnsi="宋体" w:cs="宋体"/>
          <w:szCs w:val="21"/>
        </w:rPr>
      </w:pPr>
    </w:p>
    <w:p>
      <w:pPr>
        <w:jc w:val="left"/>
        <w:rPr>
          <w:rFonts w:ascii="宋体" w:hAnsi="宋体" w:cs="宋体"/>
          <w:szCs w:val="21"/>
        </w:rPr>
      </w:pPr>
    </w:p>
    <w:p>
      <w:pPr>
        <w:spacing w:before="167" w:line="204" w:lineRule="auto"/>
        <w:ind w:firstLine="14"/>
        <w:jc w:val="left"/>
        <w:rPr>
          <w:rFonts w:ascii="宋体" w:hAnsi="宋体" w:cs="宋体"/>
          <w:sz w:val="32"/>
          <w:szCs w:val="32"/>
        </w:rPr>
      </w:pPr>
      <w:r>
        <w:rPr>
          <w:rFonts w:hint="eastAsia" w:ascii="宋体" w:hAnsi="宋体" w:cs="宋体"/>
          <w:sz w:val="32"/>
          <w:szCs w:val="32"/>
        </w:rPr>
        <w:t>法定代表人或授权代表(签字或盖章)：</w:t>
      </w:r>
    </w:p>
    <w:p>
      <w:pPr>
        <w:jc w:val="left"/>
        <w:rPr>
          <w:rFonts w:ascii="宋体" w:hAnsi="宋体" w:cs="宋体"/>
          <w:szCs w:val="21"/>
        </w:rPr>
      </w:pPr>
    </w:p>
    <w:p>
      <w:pPr>
        <w:jc w:val="left"/>
        <w:rPr>
          <w:rFonts w:ascii="宋体" w:hAnsi="宋体" w:cs="宋体"/>
          <w:szCs w:val="21"/>
        </w:rPr>
      </w:pPr>
    </w:p>
    <w:p>
      <w:pPr>
        <w:spacing w:before="165" w:line="204" w:lineRule="auto"/>
        <w:ind w:firstLine="2629"/>
        <w:jc w:val="left"/>
        <w:rPr>
          <w:rFonts w:ascii="宋体" w:hAnsi="宋体" w:cs="宋体"/>
          <w:sz w:val="32"/>
          <w:szCs w:val="32"/>
        </w:rPr>
      </w:pPr>
      <w:r>
        <w:rPr>
          <w:rFonts w:hint="eastAsia" w:ascii="宋体" w:hAnsi="宋体" w:cs="宋体"/>
          <w:sz w:val="32"/>
          <w:szCs w:val="32"/>
        </w:rPr>
        <w:t>时间：  年  月  日</w:t>
      </w:r>
    </w:p>
    <w:p>
      <w:pPr>
        <w:jc w:val="left"/>
        <w:rPr>
          <w:rFonts w:ascii="宋体" w:hAnsi="宋体" w:cs="宋体"/>
        </w:rPr>
        <w:sectPr>
          <w:headerReference r:id="rId16" w:type="default"/>
          <w:footerReference r:id="rId17" w:type="default"/>
          <w:pgSz w:w="11906" w:h="16839"/>
          <w:pgMar w:top="1440" w:right="1800" w:bottom="1440" w:left="1800" w:header="878" w:footer="1045" w:gutter="0"/>
          <w:cols w:space="720" w:num="1"/>
        </w:sectPr>
      </w:pPr>
    </w:p>
    <w:p>
      <w:pPr>
        <w:pStyle w:val="2"/>
        <w:ind w:firstLine="562"/>
        <w:rPr>
          <w:rFonts w:ascii="宋体" w:hAnsi="宋体" w:cs="宋体"/>
        </w:rPr>
      </w:pPr>
      <w:bookmarkStart w:id="192" w:name="_Toc9169"/>
      <w:r>
        <w:rPr>
          <w:rFonts w:hint="eastAsia" w:ascii="宋体" w:hAnsi="宋体" w:cs="宋体"/>
        </w:rPr>
        <w:t>二、资格响应文件</w:t>
      </w:r>
      <w:bookmarkEnd w:id="192"/>
    </w:p>
    <w:p>
      <w:pPr>
        <w:pStyle w:val="4"/>
        <w:ind w:firstLine="482"/>
        <w:rPr>
          <w:rFonts w:ascii="宋体" w:hAnsi="宋体" w:cs="宋体"/>
          <w:bCs/>
        </w:rPr>
      </w:pPr>
      <w:r>
        <w:rPr>
          <w:rFonts w:hint="eastAsia" w:ascii="宋体" w:hAnsi="宋体" w:cs="宋体"/>
          <w:bCs/>
        </w:rPr>
        <w:t>2.1基本资格条件：符合《中华人民共和国政府采购法》第二十二条的规定；</w:t>
      </w:r>
    </w:p>
    <w:p>
      <w:pPr>
        <w:tabs>
          <w:tab w:val="left" w:pos="720"/>
        </w:tabs>
        <w:adjustRightInd w:val="0"/>
        <w:snapToGrid w:val="0"/>
        <w:spacing w:line="360" w:lineRule="auto"/>
        <w:ind w:firstLine="420" w:firstLineChars="200"/>
        <w:jc w:val="left"/>
        <w:rPr>
          <w:rFonts w:ascii="宋体" w:hAnsi="宋体" w:cs="宋体"/>
          <w:bCs/>
          <w:snapToGrid w:val="0"/>
          <w:kern w:val="0"/>
          <w:szCs w:val="21"/>
        </w:rPr>
      </w:pPr>
      <w:r>
        <w:rPr>
          <w:rFonts w:hint="eastAsia" w:ascii="宋体" w:hAnsi="宋体" w:cs="宋体"/>
          <w:bCs/>
          <w:snapToGrid w:val="0"/>
          <w:kern w:val="0"/>
          <w:szCs w:val="21"/>
        </w:rPr>
        <w:t>以下a～b项是第二十二条要求及对应证明材料的具体内容，各供应商须在投标文件中出具对应证明材料。</w:t>
      </w:r>
    </w:p>
    <w:p>
      <w:pPr>
        <w:pStyle w:val="13"/>
        <w:numPr>
          <w:ilvl w:val="0"/>
          <w:numId w:val="6"/>
        </w:numPr>
        <w:tabs>
          <w:tab w:val="left" w:pos="630"/>
          <w:tab w:val="left" w:pos="840"/>
          <w:tab w:val="left" w:pos="1050"/>
        </w:tabs>
        <w:adjustRightInd w:val="0"/>
        <w:snapToGrid w:val="0"/>
        <w:spacing w:before="0" w:beforeAutospacing="0" w:after="0" w:afterAutospacing="0" w:line="360" w:lineRule="auto"/>
        <w:ind w:hanging="5"/>
        <w:rPr>
          <w:rFonts w:cs="宋体"/>
          <w:b/>
          <w:bCs/>
          <w:sz w:val="21"/>
          <w:szCs w:val="21"/>
        </w:rPr>
      </w:pPr>
      <w:r>
        <w:rPr>
          <w:rFonts w:hint="eastAsia" w:cs="宋体"/>
          <w:b/>
          <w:bCs/>
          <w:sz w:val="21"/>
          <w:szCs w:val="21"/>
        </w:rPr>
        <w:t>具有独立承担民事责任的能力：</w:t>
      </w:r>
    </w:p>
    <w:p>
      <w:pPr>
        <w:pStyle w:val="13"/>
        <w:tabs>
          <w:tab w:val="left" w:pos="630"/>
          <w:tab w:val="left" w:pos="840"/>
          <w:tab w:val="left" w:pos="1050"/>
        </w:tabs>
        <w:adjustRightInd w:val="0"/>
        <w:snapToGrid w:val="0"/>
        <w:spacing w:before="0" w:beforeAutospacing="0" w:after="0" w:afterAutospacing="0" w:line="360" w:lineRule="auto"/>
        <w:ind w:left="420"/>
        <w:rPr>
          <w:rFonts w:cs="宋体"/>
          <w:b/>
          <w:bCs/>
          <w:sz w:val="21"/>
          <w:szCs w:val="21"/>
        </w:rPr>
      </w:pPr>
      <w:r>
        <w:rPr>
          <w:rFonts w:hint="eastAsia" w:cs="宋体"/>
          <w:b/>
          <w:bCs/>
          <w:sz w:val="21"/>
          <w:szCs w:val="21"/>
        </w:rPr>
        <w:t>供应商须在投标文件中出具符合以下情况的证明材料复印件（五选一）：</w:t>
      </w:r>
    </w:p>
    <w:p>
      <w:pPr>
        <w:pStyle w:val="13"/>
        <w:numPr>
          <w:ilvl w:val="0"/>
          <w:numId w:val="7"/>
        </w:numPr>
        <w:tabs>
          <w:tab w:val="left" w:pos="312"/>
        </w:tabs>
        <w:adjustRightInd w:val="0"/>
        <w:snapToGrid w:val="0"/>
        <w:spacing w:before="0" w:beforeAutospacing="0" w:after="0" w:afterAutospacing="0" w:line="360" w:lineRule="auto"/>
        <w:ind w:firstLine="422" w:firstLineChars="200"/>
        <w:rPr>
          <w:rFonts w:cs="宋体"/>
          <w:b/>
          <w:bCs/>
          <w:sz w:val="21"/>
          <w:szCs w:val="21"/>
        </w:rPr>
      </w:pPr>
      <w:r>
        <w:rPr>
          <w:rFonts w:hint="eastAsia" w:cs="宋体"/>
          <w:b/>
          <w:bCs/>
          <w:sz w:val="21"/>
          <w:szCs w:val="21"/>
        </w:rPr>
        <w:t>如供应商是企业（包括合伙企业），提供在工商部门注册的有效“企业法人营业执照”或“营业执照”；</w:t>
      </w:r>
    </w:p>
    <w:p>
      <w:pPr>
        <w:pStyle w:val="13"/>
        <w:numPr>
          <w:ilvl w:val="0"/>
          <w:numId w:val="7"/>
        </w:numPr>
        <w:tabs>
          <w:tab w:val="left" w:pos="312"/>
        </w:tabs>
        <w:adjustRightInd w:val="0"/>
        <w:snapToGrid w:val="0"/>
        <w:spacing w:before="0" w:beforeAutospacing="0" w:after="0" w:afterAutospacing="0" w:line="360" w:lineRule="auto"/>
        <w:ind w:firstLine="422" w:firstLineChars="200"/>
        <w:rPr>
          <w:rFonts w:cs="宋体"/>
          <w:b/>
          <w:bCs/>
          <w:sz w:val="21"/>
          <w:szCs w:val="21"/>
        </w:rPr>
      </w:pPr>
      <w:r>
        <w:rPr>
          <w:rFonts w:hint="eastAsia" w:cs="宋体"/>
          <w:b/>
          <w:bCs/>
          <w:sz w:val="21"/>
          <w:szCs w:val="21"/>
        </w:rPr>
        <w:t>如供应商是事业单位，提供有效的“事业单位法人证书”；</w:t>
      </w:r>
    </w:p>
    <w:p>
      <w:pPr>
        <w:pStyle w:val="13"/>
        <w:numPr>
          <w:ilvl w:val="0"/>
          <w:numId w:val="7"/>
        </w:numPr>
        <w:tabs>
          <w:tab w:val="left" w:pos="312"/>
        </w:tabs>
        <w:adjustRightInd w:val="0"/>
        <w:snapToGrid w:val="0"/>
        <w:spacing w:before="0" w:beforeAutospacing="0" w:after="0" w:afterAutospacing="0" w:line="360" w:lineRule="auto"/>
        <w:ind w:firstLine="422" w:firstLineChars="200"/>
        <w:rPr>
          <w:rFonts w:cs="宋体"/>
          <w:b/>
          <w:bCs/>
          <w:sz w:val="21"/>
          <w:szCs w:val="21"/>
        </w:rPr>
      </w:pPr>
      <w:r>
        <w:rPr>
          <w:rFonts w:hint="eastAsia" w:cs="宋体"/>
          <w:b/>
          <w:bCs/>
          <w:sz w:val="21"/>
          <w:szCs w:val="21"/>
        </w:rPr>
        <w:t>如供应商是非企业专业服务机构的，提供执业许可证等证明文件；</w:t>
      </w:r>
    </w:p>
    <w:p>
      <w:pPr>
        <w:pStyle w:val="13"/>
        <w:numPr>
          <w:ilvl w:val="0"/>
          <w:numId w:val="7"/>
        </w:numPr>
        <w:tabs>
          <w:tab w:val="left" w:pos="312"/>
        </w:tabs>
        <w:adjustRightInd w:val="0"/>
        <w:snapToGrid w:val="0"/>
        <w:spacing w:before="0" w:beforeAutospacing="0" w:after="0" w:afterAutospacing="0" w:line="360" w:lineRule="auto"/>
        <w:ind w:firstLine="422" w:firstLineChars="200"/>
        <w:rPr>
          <w:rFonts w:cs="宋体"/>
          <w:b/>
          <w:bCs/>
          <w:sz w:val="21"/>
          <w:szCs w:val="21"/>
        </w:rPr>
      </w:pPr>
      <w:r>
        <w:rPr>
          <w:rFonts w:hint="eastAsia" w:cs="宋体"/>
          <w:b/>
          <w:bCs/>
          <w:sz w:val="21"/>
          <w:szCs w:val="21"/>
        </w:rPr>
        <w:t>如供应商是个体工商户，提供有效的“个体工商户营业执照”；</w:t>
      </w:r>
    </w:p>
    <w:p>
      <w:pPr>
        <w:pStyle w:val="13"/>
        <w:numPr>
          <w:ilvl w:val="0"/>
          <w:numId w:val="7"/>
        </w:numPr>
        <w:tabs>
          <w:tab w:val="left" w:pos="312"/>
        </w:tabs>
        <w:adjustRightInd w:val="0"/>
        <w:snapToGrid w:val="0"/>
        <w:spacing w:before="0" w:beforeAutospacing="0" w:after="0" w:afterAutospacing="0" w:line="360" w:lineRule="auto"/>
        <w:ind w:firstLine="422" w:firstLineChars="200"/>
        <w:rPr>
          <w:rFonts w:cs="宋体"/>
          <w:b/>
          <w:bCs/>
          <w:sz w:val="21"/>
          <w:szCs w:val="21"/>
        </w:rPr>
      </w:pPr>
      <w:r>
        <w:rPr>
          <w:rFonts w:hint="eastAsia" w:cs="宋体"/>
          <w:b/>
          <w:bCs/>
          <w:sz w:val="21"/>
          <w:szCs w:val="21"/>
        </w:rPr>
        <w:t>如供应商是自然人，提供有效的自然人身份证明（居民身份证正反面或公安机关出具的临时居民身份证正反面或港澳台胞证或护照）。</w:t>
      </w:r>
    </w:p>
    <w:p>
      <w:pPr>
        <w:pStyle w:val="13"/>
        <w:tabs>
          <w:tab w:val="left" w:pos="312"/>
        </w:tabs>
        <w:adjustRightInd w:val="0"/>
        <w:snapToGrid w:val="0"/>
        <w:spacing w:before="0" w:beforeAutospacing="0" w:after="0" w:afterAutospacing="0" w:line="360" w:lineRule="auto"/>
        <w:ind w:firstLine="422" w:firstLineChars="200"/>
        <w:rPr>
          <w:rFonts w:cs="宋体"/>
          <w:b/>
          <w:bCs/>
          <w:sz w:val="21"/>
          <w:szCs w:val="21"/>
        </w:rPr>
      </w:pPr>
      <w:r>
        <w:rPr>
          <w:rFonts w:hint="eastAsia" w:cs="宋体"/>
          <w:b/>
          <w:bCs/>
          <w:sz w:val="21"/>
          <w:szCs w:val="21"/>
        </w:rPr>
        <w:t>根据《浙江省财政厅关于规范政府采购供应商资格设定及资格审查的通知》（浙财采监[2013]24号）第6条规定接受金融、保险、通讯等特定行业的全国性企业所设立的区域性分支机构，以及个体工商户、个人独资企业、合伙企业，且已经依法办理了工商、税务和社保登记手续，并且获得总机构授权或能够提供房产权证或其他有效财产证明材料，证明其具备实际承担责任的能力和法定的缔结合同能力的可以参加投标。</w:t>
      </w:r>
    </w:p>
    <w:p>
      <w:pPr>
        <w:pStyle w:val="5"/>
        <w:rPr>
          <w:rFonts w:ascii="宋体" w:hAnsi="宋体" w:cs="宋体"/>
        </w:rPr>
      </w:pPr>
    </w:p>
    <w:p>
      <w:pPr>
        <w:pStyle w:val="4"/>
        <w:ind w:firstLine="482"/>
        <w:rPr>
          <w:rFonts w:ascii="宋体" w:hAnsi="宋体" w:cs="宋体"/>
          <w:bCs/>
        </w:rPr>
        <w:sectPr>
          <w:headerReference r:id="rId18" w:type="default"/>
          <w:footerReference r:id="rId19" w:type="default"/>
          <w:pgSz w:w="11906" w:h="16839"/>
          <w:pgMar w:top="1440" w:right="1800" w:bottom="1440" w:left="1800" w:header="878" w:footer="1045" w:gutter="0"/>
          <w:cols w:space="720" w:num="1"/>
        </w:sectPr>
      </w:pPr>
    </w:p>
    <w:p>
      <w:pPr>
        <w:autoSpaceDE w:val="0"/>
        <w:autoSpaceDN w:val="0"/>
        <w:adjustRightInd w:val="0"/>
        <w:snapToGrid w:val="0"/>
        <w:spacing w:line="360" w:lineRule="auto"/>
        <w:ind w:firstLine="422" w:firstLineChars="200"/>
        <w:textAlignment w:val="bottom"/>
        <w:rPr>
          <w:rFonts w:ascii="宋体" w:hAnsi="宋体" w:cs="宋体"/>
          <w:b/>
          <w:bCs/>
          <w:szCs w:val="21"/>
        </w:rPr>
      </w:pPr>
      <w:r>
        <w:rPr>
          <w:rFonts w:hint="eastAsia" w:ascii="宋体" w:hAnsi="宋体" w:cs="宋体"/>
          <w:b/>
          <w:bCs/>
          <w:szCs w:val="21"/>
        </w:rPr>
        <w:t>b.供应商符合政府采购资格条件的《承诺函》（参考格式如下）</w:t>
      </w:r>
    </w:p>
    <w:p>
      <w:pPr>
        <w:pStyle w:val="13"/>
        <w:adjustRightInd w:val="0"/>
        <w:snapToGrid w:val="0"/>
        <w:spacing w:before="0" w:beforeAutospacing="0" w:after="0" w:afterAutospacing="0" w:line="360" w:lineRule="auto"/>
        <w:rPr>
          <w:rFonts w:cs="宋体"/>
          <w:b/>
          <w:bCs/>
          <w:sz w:val="21"/>
          <w:szCs w:val="21"/>
        </w:rPr>
      </w:pPr>
    </w:p>
    <w:p>
      <w:pPr>
        <w:pStyle w:val="13"/>
        <w:adjustRightInd w:val="0"/>
        <w:snapToGrid w:val="0"/>
        <w:spacing w:before="0" w:beforeAutospacing="0" w:after="0" w:afterAutospacing="0" w:line="360" w:lineRule="auto"/>
        <w:jc w:val="center"/>
        <w:rPr>
          <w:rFonts w:cs="宋体"/>
          <w:b/>
          <w:bCs/>
          <w:sz w:val="32"/>
          <w:szCs w:val="32"/>
        </w:rPr>
      </w:pPr>
      <w:r>
        <w:rPr>
          <w:rFonts w:hint="eastAsia" w:cs="宋体"/>
          <w:b/>
          <w:bCs/>
          <w:sz w:val="32"/>
          <w:szCs w:val="32"/>
        </w:rPr>
        <w:t>承诺函</w:t>
      </w:r>
    </w:p>
    <w:p>
      <w:pPr>
        <w:spacing w:line="480" w:lineRule="auto"/>
        <w:rPr>
          <w:rFonts w:ascii="宋体" w:hAnsi="宋体" w:cs="宋体"/>
          <w:b/>
          <w:bCs/>
          <w:szCs w:val="21"/>
        </w:rPr>
      </w:pPr>
      <w:r>
        <w:rPr>
          <w:rFonts w:hint="eastAsia" w:ascii="宋体" w:hAnsi="宋体" w:cs="宋体"/>
          <w:b/>
          <w:bCs/>
          <w:szCs w:val="21"/>
          <w:u w:val="single"/>
        </w:rPr>
        <w:t>（采购人）：</w:t>
      </w:r>
    </w:p>
    <w:p>
      <w:pPr>
        <w:pStyle w:val="13"/>
        <w:spacing w:before="0" w:beforeAutospacing="0" w:after="0" w:afterAutospacing="0" w:line="480" w:lineRule="auto"/>
        <w:ind w:firstLine="422" w:firstLineChars="200"/>
        <w:rPr>
          <w:rFonts w:cs="宋体"/>
          <w:b/>
          <w:bCs/>
          <w:sz w:val="21"/>
          <w:szCs w:val="21"/>
        </w:rPr>
      </w:pPr>
      <w:r>
        <w:rPr>
          <w:rFonts w:hint="eastAsia" w:cs="宋体"/>
          <w:b/>
          <w:bCs/>
          <w:sz w:val="21"/>
          <w:szCs w:val="21"/>
        </w:rPr>
        <w:t>我方</w:t>
      </w:r>
      <w:r>
        <w:rPr>
          <w:rFonts w:hint="eastAsia" w:cs="宋体"/>
          <w:b/>
          <w:bCs/>
          <w:sz w:val="21"/>
          <w:szCs w:val="21"/>
          <w:u w:val="single"/>
        </w:rPr>
        <w:t xml:space="preserve">    </w:t>
      </w:r>
      <w:r>
        <w:rPr>
          <w:rFonts w:hint="eastAsia" w:cs="宋体"/>
          <w:b/>
          <w:bCs/>
          <w:i/>
          <w:iCs/>
          <w:sz w:val="21"/>
          <w:szCs w:val="21"/>
          <w:u w:val="single"/>
        </w:rPr>
        <w:t>（供应商全称）</w:t>
      </w:r>
      <w:r>
        <w:rPr>
          <w:rFonts w:hint="eastAsia" w:cs="宋体"/>
          <w:b/>
          <w:bCs/>
          <w:sz w:val="21"/>
          <w:szCs w:val="21"/>
          <w:u w:val="single"/>
        </w:rPr>
        <w:t xml:space="preserve">  </w:t>
      </w:r>
      <w:r>
        <w:rPr>
          <w:rFonts w:hint="eastAsia" w:cs="宋体"/>
          <w:b/>
          <w:bCs/>
          <w:sz w:val="21"/>
          <w:szCs w:val="21"/>
        </w:rPr>
        <w:t>参与</w:t>
      </w:r>
      <w:r>
        <w:rPr>
          <w:rFonts w:hint="eastAsia" w:cs="宋体"/>
          <w:b/>
          <w:bCs/>
          <w:sz w:val="21"/>
          <w:szCs w:val="21"/>
          <w:u w:val="single"/>
        </w:rPr>
        <w:t xml:space="preserve">    </w:t>
      </w:r>
      <w:r>
        <w:rPr>
          <w:rFonts w:hint="eastAsia" w:cs="宋体"/>
          <w:b/>
          <w:bCs/>
          <w:i/>
          <w:iCs/>
          <w:sz w:val="21"/>
          <w:szCs w:val="21"/>
          <w:u w:val="single"/>
        </w:rPr>
        <w:t xml:space="preserve">  （项目名称）   </w:t>
      </w:r>
      <w:r>
        <w:rPr>
          <w:rFonts w:hint="eastAsia" w:cs="宋体"/>
          <w:b/>
          <w:bCs/>
          <w:sz w:val="21"/>
          <w:szCs w:val="21"/>
        </w:rPr>
        <w:t>政府采购活动，针对《中华人民共和国政府采购法》第二十二条所述条件做如下承诺：</w:t>
      </w:r>
    </w:p>
    <w:p>
      <w:pPr>
        <w:pStyle w:val="13"/>
        <w:numPr>
          <w:ilvl w:val="0"/>
          <w:numId w:val="8"/>
        </w:numPr>
        <w:spacing w:before="0" w:beforeAutospacing="0" w:after="0" w:afterAutospacing="0" w:line="480" w:lineRule="auto"/>
        <w:ind w:firstLine="422" w:firstLineChars="200"/>
        <w:rPr>
          <w:rFonts w:cs="宋体"/>
          <w:b/>
          <w:bCs/>
          <w:sz w:val="21"/>
          <w:szCs w:val="21"/>
        </w:rPr>
      </w:pPr>
      <w:r>
        <w:rPr>
          <w:rFonts w:hint="eastAsia" w:cs="宋体"/>
          <w:b/>
          <w:bCs/>
          <w:sz w:val="21"/>
          <w:szCs w:val="21"/>
        </w:rPr>
        <w:t>我方具有良好的商业信誉和健全的财务会计制度；</w:t>
      </w:r>
    </w:p>
    <w:p>
      <w:pPr>
        <w:pStyle w:val="13"/>
        <w:numPr>
          <w:ilvl w:val="0"/>
          <w:numId w:val="8"/>
        </w:numPr>
        <w:spacing w:before="0" w:beforeAutospacing="0" w:after="0" w:afterAutospacing="0" w:line="480" w:lineRule="auto"/>
        <w:ind w:firstLine="422" w:firstLineChars="200"/>
        <w:rPr>
          <w:rFonts w:cs="宋体"/>
          <w:b/>
          <w:bCs/>
          <w:sz w:val="21"/>
          <w:szCs w:val="21"/>
        </w:rPr>
      </w:pPr>
      <w:r>
        <w:rPr>
          <w:rFonts w:hint="eastAsia" w:cs="宋体"/>
          <w:b/>
          <w:bCs/>
          <w:sz w:val="21"/>
          <w:szCs w:val="21"/>
        </w:rPr>
        <w:t>我方具有履行本项目合同所必需的设备和专业技术能力；</w:t>
      </w:r>
    </w:p>
    <w:p>
      <w:pPr>
        <w:pStyle w:val="13"/>
        <w:numPr>
          <w:ilvl w:val="0"/>
          <w:numId w:val="8"/>
        </w:numPr>
        <w:spacing w:before="0" w:beforeAutospacing="0" w:after="0" w:afterAutospacing="0" w:line="480" w:lineRule="auto"/>
        <w:ind w:firstLine="422" w:firstLineChars="200"/>
        <w:rPr>
          <w:rFonts w:cs="宋体"/>
          <w:b/>
          <w:bCs/>
          <w:sz w:val="21"/>
          <w:szCs w:val="21"/>
        </w:rPr>
      </w:pPr>
      <w:r>
        <w:rPr>
          <w:rFonts w:hint="eastAsia" w:cs="宋体"/>
          <w:b/>
          <w:bCs/>
          <w:sz w:val="21"/>
          <w:szCs w:val="21"/>
        </w:rPr>
        <w:t>我方没有缴纳税收和社会保障等方面的失信记录；</w:t>
      </w:r>
    </w:p>
    <w:p>
      <w:pPr>
        <w:pStyle w:val="13"/>
        <w:numPr>
          <w:ilvl w:val="0"/>
          <w:numId w:val="8"/>
        </w:numPr>
        <w:spacing w:before="0" w:beforeAutospacing="0" w:after="0" w:afterAutospacing="0" w:line="480" w:lineRule="auto"/>
        <w:ind w:firstLine="422" w:firstLineChars="200"/>
        <w:rPr>
          <w:rFonts w:cs="宋体"/>
          <w:b/>
          <w:bCs/>
          <w:sz w:val="21"/>
          <w:szCs w:val="21"/>
        </w:rPr>
      </w:pPr>
      <w:r>
        <w:rPr>
          <w:rFonts w:hint="eastAsia" w:cs="宋体"/>
          <w:b/>
          <w:bCs/>
          <w:sz w:val="21"/>
          <w:szCs w:val="21"/>
        </w:rPr>
        <w:t>我方在参加本次政府采购活动前三年内，在经营活动中没有重大违法记录（没有因违法经营受到刑事处罚，没有被责令停产停业、被吊销许可证或者执照、被处以较大数额罚款等行政处罚，没有因违法经营被禁止参加政府采购活动的期限未满情形）</w:t>
      </w:r>
    </w:p>
    <w:p>
      <w:pPr>
        <w:pStyle w:val="13"/>
        <w:spacing w:before="0" w:beforeAutospacing="0" w:after="0" w:afterAutospacing="0" w:line="480" w:lineRule="auto"/>
        <w:ind w:firstLine="422" w:firstLineChars="200"/>
        <w:rPr>
          <w:rFonts w:cs="宋体"/>
          <w:b/>
          <w:bCs/>
          <w:sz w:val="21"/>
          <w:szCs w:val="21"/>
        </w:rPr>
      </w:pPr>
      <w:r>
        <w:rPr>
          <w:rFonts w:hint="eastAsia" w:cs="宋体"/>
          <w:b/>
          <w:bCs/>
          <w:sz w:val="21"/>
          <w:szCs w:val="21"/>
        </w:rPr>
        <w:t>我方对上述承诺内容的真实性负责。如有虚假，将依法承担相应责任。</w:t>
      </w:r>
    </w:p>
    <w:p>
      <w:pPr>
        <w:snapToGrid w:val="0"/>
        <w:spacing w:line="360" w:lineRule="auto"/>
        <w:rPr>
          <w:rFonts w:ascii="宋体" w:hAnsi="宋体" w:cs="宋体"/>
        </w:rPr>
      </w:pPr>
    </w:p>
    <w:p>
      <w:pPr>
        <w:spacing w:line="360" w:lineRule="auto"/>
        <w:jc w:val="left"/>
        <w:rPr>
          <w:rFonts w:ascii="宋体" w:hAnsi="宋体" w:cs="宋体"/>
          <w:szCs w:val="21"/>
        </w:rPr>
      </w:pPr>
    </w:p>
    <w:p>
      <w:pPr>
        <w:spacing w:line="360" w:lineRule="auto"/>
        <w:ind w:firstLine="8"/>
        <w:jc w:val="right"/>
        <w:rPr>
          <w:rFonts w:ascii="宋体" w:hAnsi="宋体" w:cs="宋体"/>
          <w:szCs w:val="21"/>
        </w:rPr>
      </w:pPr>
      <w:r>
        <w:rPr>
          <w:rFonts w:hint="eastAsia" w:ascii="宋体" w:hAnsi="宋体" w:cs="宋体"/>
          <w:szCs w:val="21"/>
        </w:rPr>
        <w:t>供应商全称（盖单位公章）：</w:t>
      </w:r>
    </w:p>
    <w:p>
      <w:pPr>
        <w:spacing w:line="360" w:lineRule="auto"/>
        <w:ind w:firstLine="9"/>
        <w:jc w:val="right"/>
        <w:rPr>
          <w:rFonts w:ascii="宋体" w:hAnsi="宋体" w:cs="宋体"/>
          <w:szCs w:val="21"/>
        </w:rPr>
      </w:pPr>
      <w:r>
        <w:rPr>
          <w:rFonts w:hint="eastAsia" w:ascii="宋体" w:hAnsi="宋体" w:cs="宋体"/>
          <w:szCs w:val="21"/>
        </w:rPr>
        <w:t>法定代表人或授权代表（签字或盖章）：</w:t>
      </w:r>
    </w:p>
    <w:p>
      <w:pPr>
        <w:spacing w:line="360" w:lineRule="auto"/>
        <w:ind w:firstLine="44"/>
        <w:jc w:val="right"/>
        <w:rPr>
          <w:rFonts w:ascii="宋体" w:hAnsi="宋体" w:cs="宋体"/>
          <w:szCs w:val="21"/>
        </w:rPr>
      </w:pPr>
      <w:r>
        <w:rPr>
          <w:rFonts w:hint="eastAsia" w:ascii="宋体" w:hAnsi="宋体" w:cs="宋体"/>
          <w:szCs w:val="21"/>
        </w:rPr>
        <w:t>日期：年月日</w:t>
      </w:r>
    </w:p>
    <w:p>
      <w:pPr>
        <w:pStyle w:val="7"/>
        <w:ind w:firstLine="0"/>
        <w:rPr>
          <w:rFonts w:hAnsi="宋体" w:cs="宋体"/>
          <w:sz w:val="21"/>
          <w:szCs w:val="16"/>
        </w:rPr>
      </w:pPr>
      <w:r>
        <w:rPr>
          <w:rFonts w:hint="eastAsia" w:hAnsi="宋体" w:cs="宋体"/>
          <w:sz w:val="21"/>
          <w:szCs w:val="16"/>
        </w:rPr>
        <w:t>特别说明：已完成信用修复的“缴纳税收和社会保障等方面的失信记录”不包含在上述第3点所述情形内（属于重大违法纪录情形的除外）。</w:t>
      </w:r>
    </w:p>
    <w:p>
      <w:pPr>
        <w:rPr>
          <w:rFonts w:ascii="宋体" w:hAnsi="宋体" w:cs="宋体"/>
          <w:b/>
          <w:bCs/>
        </w:rPr>
      </w:pPr>
      <w:r>
        <w:rPr>
          <w:rFonts w:hint="eastAsia" w:ascii="宋体" w:hAnsi="宋体" w:cs="宋体"/>
          <w:b/>
          <w:bCs/>
        </w:rPr>
        <w:br w:type="page"/>
      </w:r>
    </w:p>
    <w:p>
      <w:pPr>
        <w:pStyle w:val="4"/>
        <w:ind w:firstLine="482"/>
        <w:rPr>
          <w:rFonts w:ascii="宋体" w:hAnsi="宋体" w:cs="宋体"/>
          <w:bCs/>
        </w:rPr>
      </w:pPr>
      <w:r>
        <w:rPr>
          <w:rFonts w:hint="eastAsia" w:ascii="宋体" w:hAnsi="宋体" w:cs="宋体"/>
          <w:bCs/>
        </w:rPr>
        <w:t>2.2未被“信用中国”（www.creditchina.gov.cn）、中国政府采购网（www.ccgp.gov.cn）列入失信被执行人、重大税收违法案件当事人名单、政府采购严重违法失信行为记录名单；</w:t>
      </w:r>
    </w:p>
    <w:p>
      <w:pPr>
        <w:spacing w:line="360" w:lineRule="auto"/>
        <w:ind w:firstLine="430"/>
        <w:jc w:val="left"/>
        <w:rPr>
          <w:rFonts w:ascii="宋体" w:hAnsi="宋体" w:cs="宋体"/>
          <w:szCs w:val="21"/>
        </w:rPr>
      </w:pPr>
      <w:r>
        <w:rPr>
          <w:rFonts w:hint="eastAsia" w:ascii="宋体" w:hAnsi="宋体" w:cs="宋体"/>
          <w:szCs w:val="21"/>
        </w:rPr>
        <w:t>（采购代理机构以开标当日在“信用中国”网站（www.creditchina.gov.cn）、中国政府采购网（www.ccgp.gov.cn）网页查询记录为准）对列入失信被执行人、重大税收违法案件当事人名单、政府采购严重违法失信行为记录名单的供应商，其投标将作无效标处理；</w:t>
      </w:r>
    </w:p>
    <w:p>
      <w:pPr>
        <w:pStyle w:val="4"/>
        <w:ind w:firstLine="482"/>
        <w:rPr>
          <w:rFonts w:ascii="宋体" w:hAnsi="宋体" w:cs="宋体"/>
          <w:bCs/>
        </w:rPr>
      </w:pPr>
      <w:r>
        <w:rPr>
          <w:rFonts w:hint="eastAsia" w:ascii="宋体" w:hAnsi="宋体" w:cs="宋体"/>
          <w:bCs/>
        </w:rPr>
        <w:t>2.3落实政府采购政策需满足的资格要求：无；</w:t>
      </w:r>
    </w:p>
    <w:p>
      <w:pPr>
        <w:pStyle w:val="4"/>
        <w:ind w:firstLine="482"/>
        <w:rPr>
          <w:rFonts w:ascii="宋体" w:hAnsi="宋体" w:cs="宋体"/>
          <w:bCs/>
        </w:rPr>
        <w:sectPr>
          <w:headerReference r:id="rId20" w:type="default"/>
          <w:footerReference r:id="rId21" w:type="default"/>
          <w:pgSz w:w="11906" w:h="16839"/>
          <w:pgMar w:top="1440" w:right="1800" w:bottom="1440" w:left="1800" w:header="878" w:footer="1045" w:gutter="0"/>
          <w:cols w:space="720" w:num="1"/>
        </w:sectPr>
      </w:pPr>
      <w:r>
        <w:rPr>
          <w:rFonts w:hint="eastAsia" w:ascii="宋体" w:hAnsi="宋体" w:cs="宋体"/>
          <w:bCs/>
        </w:rPr>
        <w:t>2.4本项目的特定资格要求：无。</w:t>
      </w:r>
    </w:p>
    <w:p>
      <w:pPr>
        <w:pStyle w:val="2"/>
        <w:ind w:firstLine="562"/>
        <w:rPr>
          <w:rFonts w:ascii="宋体" w:hAnsi="宋体" w:cs="宋体"/>
        </w:rPr>
      </w:pPr>
      <w:bookmarkStart w:id="193" w:name="_Toc691"/>
      <w:r>
        <w:rPr>
          <w:rFonts w:hint="eastAsia" w:ascii="宋体" w:hAnsi="宋体" w:cs="宋体"/>
        </w:rPr>
        <w:t>三、商务技术响应文件</w:t>
      </w:r>
      <w:bookmarkEnd w:id="193"/>
    </w:p>
    <w:p>
      <w:pPr>
        <w:spacing w:line="360" w:lineRule="auto"/>
        <w:ind w:firstLine="231"/>
        <w:jc w:val="left"/>
        <w:rPr>
          <w:rFonts w:ascii="宋体" w:hAnsi="宋体" w:cs="宋体"/>
          <w:szCs w:val="21"/>
        </w:rPr>
      </w:pPr>
      <w:r>
        <w:rPr>
          <w:rFonts w:hint="eastAsia" w:ascii="宋体" w:hAnsi="宋体" w:cs="宋体"/>
          <w:szCs w:val="21"/>
        </w:rPr>
        <w:t>（顺序不做强制；</w:t>
      </w:r>
      <w:r>
        <w:rPr>
          <w:rFonts w:hint="eastAsia" w:ascii="宋体" w:hAnsi="宋体" w:cs="宋体"/>
          <w:b/>
          <w:bCs/>
          <w:szCs w:val="21"/>
        </w:rPr>
        <w:t>未提供格式的，可自行提供</w:t>
      </w:r>
      <w:r>
        <w:rPr>
          <w:rFonts w:hint="eastAsia" w:ascii="宋体" w:hAnsi="宋体" w:cs="宋体"/>
          <w:szCs w:val="21"/>
        </w:rPr>
        <w:t>）</w:t>
      </w:r>
    </w:p>
    <w:p>
      <w:pPr>
        <w:pStyle w:val="4"/>
        <w:ind w:firstLine="482"/>
        <w:rPr>
          <w:rFonts w:ascii="宋体" w:hAnsi="宋体" w:cs="宋体"/>
        </w:rPr>
      </w:pPr>
      <w:r>
        <w:rPr>
          <w:rFonts w:hint="eastAsia" w:ascii="宋体" w:hAnsi="宋体" w:cs="宋体"/>
        </w:rPr>
        <w:t>3.1评分索引表</w:t>
      </w:r>
    </w:p>
    <w:p>
      <w:pPr>
        <w:spacing w:line="360" w:lineRule="auto"/>
        <w:ind w:firstLine="3783"/>
        <w:jc w:val="left"/>
        <w:rPr>
          <w:rFonts w:ascii="宋体" w:hAnsi="宋体" w:cs="宋体"/>
          <w:szCs w:val="21"/>
        </w:rPr>
      </w:pPr>
      <w:r>
        <w:rPr>
          <w:rFonts w:hint="eastAsia" w:ascii="宋体" w:hAnsi="宋体" w:cs="宋体"/>
          <w:szCs w:val="21"/>
        </w:rPr>
        <w:t>评分索引表</w:t>
      </w:r>
    </w:p>
    <w:tbl>
      <w:tblPr>
        <w:tblStyle w:val="15"/>
        <w:tblW w:w="0" w:type="auto"/>
        <w:tblInd w:w="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5"/>
        <w:gridCol w:w="4627"/>
        <w:gridCol w:w="1043"/>
        <w:gridCol w:w="995"/>
        <w:gridCol w:w="96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0" w:hRule="atLeast"/>
        </w:trPr>
        <w:tc>
          <w:tcPr>
            <w:tcW w:w="685" w:type="dxa"/>
            <w:vAlign w:val="center"/>
          </w:tcPr>
          <w:p>
            <w:pPr>
              <w:spacing w:line="360" w:lineRule="auto"/>
              <w:jc w:val="center"/>
              <w:rPr>
                <w:rFonts w:ascii="宋体" w:hAnsi="宋体" w:cs="宋体"/>
                <w:szCs w:val="21"/>
              </w:rPr>
            </w:pPr>
            <w:r>
              <w:rPr>
                <w:rFonts w:hint="eastAsia" w:ascii="宋体" w:hAnsi="宋体" w:cs="宋体"/>
                <w:szCs w:val="21"/>
              </w:rPr>
              <w:t>序号</w:t>
            </w:r>
          </w:p>
        </w:tc>
        <w:tc>
          <w:tcPr>
            <w:tcW w:w="4627" w:type="dxa"/>
            <w:vAlign w:val="center"/>
          </w:tcPr>
          <w:p>
            <w:pPr>
              <w:spacing w:line="360" w:lineRule="auto"/>
              <w:jc w:val="center"/>
              <w:rPr>
                <w:rFonts w:ascii="宋体" w:hAnsi="宋体" w:cs="宋体"/>
                <w:szCs w:val="21"/>
              </w:rPr>
            </w:pPr>
            <w:r>
              <w:rPr>
                <w:rFonts w:hint="eastAsia" w:ascii="宋体" w:hAnsi="宋体" w:cs="宋体"/>
                <w:szCs w:val="21"/>
              </w:rPr>
              <w:t>评分细则内容</w:t>
            </w:r>
          </w:p>
        </w:tc>
        <w:tc>
          <w:tcPr>
            <w:tcW w:w="1043" w:type="dxa"/>
            <w:vAlign w:val="center"/>
          </w:tcPr>
          <w:p>
            <w:pPr>
              <w:spacing w:line="360" w:lineRule="auto"/>
              <w:jc w:val="center"/>
              <w:rPr>
                <w:rFonts w:ascii="宋体" w:hAnsi="宋体" w:cs="宋体"/>
                <w:szCs w:val="21"/>
              </w:rPr>
            </w:pPr>
            <w:r>
              <w:rPr>
                <w:rFonts w:hint="eastAsia" w:ascii="宋体" w:hAnsi="宋体" w:cs="宋体"/>
                <w:szCs w:val="21"/>
              </w:rPr>
              <w:t>投标响应</w:t>
            </w:r>
          </w:p>
          <w:p>
            <w:pPr>
              <w:spacing w:line="360" w:lineRule="auto"/>
              <w:jc w:val="center"/>
              <w:rPr>
                <w:rFonts w:ascii="宋体" w:hAnsi="宋体" w:cs="宋体"/>
                <w:szCs w:val="21"/>
              </w:rPr>
            </w:pPr>
            <w:r>
              <w:rPr>
                <w:rFonts w:hint="eastAsia" w:ascii="宋体" w:hAnsi="宋体" w:cs="宋体"/>
                <w:szCs w:val="21"/>
              </w:rPr>
              <w:t>情况</w:t>
            </w:r>
          </w:p>
        </w:tc>
        <w:tc>
          <w:tcPr>
            <w:tcW w:w="995" w:type="dxa"/>
            <w:vAlign w:val="center"/>
          </w:tcPr>
          <w:p>
            <w:pPr>
              <w:spacing w:line="360" w:lineRule="auto"/>
              <w:jc w:val="center"/>
              <w:rPr>
                <w:rFonts w:ascii="宋体" w:hAnsi="宋体" w:cs="宋体"/>
                <w:szCs w:val="21"/>
              </w:rPr>
            </w:pPr>
            <w:r>
              <w:rPr>
                <w:rFonts w:hint="eastAsia" w:ascii="宋体" w:hAnsi="宋体" w:cs="宋体"/>
                <w:szCs w:val="21"/>
              </w:rPr>
              <w:t>证明材料所在页码</w:t>
            </w:r>
          </w:p>
        </w:tc>
        <w:tc>
          <w:tcPr>
            <w:tcW w:w="960" w:type="dxa"/>
            <w:vAlign w:val="center"/>
          </w:tcPr>
          <w:p>
            <w:pPr>
              <w:spacing w:line="360" w:lineRule="auto"/>
              <w:jc w:val="center"/>
              <w:rPr>
                <w:rFonts w:ascii="宋体" w:hAnsi="宋体" w:cs="宋体"/>
                <w:szCs w:val="21"/>
              </w:rPr>
            </w:pPr>
            <w:r>
              <w:rPr>
                <w:rFonts w:hint="eastAsia" w:ascii="宋体" w:hAnsi="宋体" w:cs="宋体"/>
                <w:szCs w:val="21"/>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8" w:hRule="atLeast"/>
        </w:trPr>
        <w:tc>
          <w:tcPr>
            <w:tcW w:w="685" w:type="dxa"/>
          </w:tcPr>
          <w:p>
            <w:pPr>
              <w:spacing w:line="360" w:lineRule="auto"/>
              <w:jc w:val="left"/>
              <w:rPr>
                <w:rFonts w:ascii="宋体" w:hAnsi="宋体" w:cs="宋体"/>
                <w:szCs w:val="21"/>
              </w:rPr>
            </w:pPr>
          </w:p>
        </w:tc>
        <w:tc>
          <w:tcPr>
            <w:tcW w:w="4627" w:type="dxa"/>
          </w:tcPr>
          <w:p>
            <w:pPr>
              <w:spacing w:line="360" w:lineRule="auto"/>
              <w:jc w:val="left"/>
              <w:rPr>
                <w:rFonts w:ascii="宋体" w:hAnsi="宋体" w:cs="宋体"/>
                <w:szCs w:val="21"/>
              </w:rPr>
            </w:pPr>
          </w:p>
        </w:tc>
        <w:tc>
          <w:tcPr>
            <w:tcW w:w="1043" w:type="dxa"/>
          </w:tcPr>
          <w:p>
            <w:pPr>
              <w:spacing w:line="360" w:lineRule="auto"/>
              <w:jc w:val="left"/>
              <w:rPr>
                <w:rFonts w:ascii="宋体" w:hAnsi="宋体" w:cs="宋体"/>
                <w:szCs w:val="21"/>
              </w:rPr>
            </w:pPr>
          </w:p>
        </w:tc>
        <w:tc>
          <w:tcPr>
            <w:tcW w:w="995" w:type="dxa"/>
          </w:tcPr>
          <w:p>
            <w:pPr>
              <w:spacing w:line="360" w:lineRule="auto"/>
              <w:jc w:val="left"/>
              <w:rPr>
                <w:rFonts w:ascii="宋体" w:hAnsi="宋体" w:cs="宋体"/>
                <w:szCs w:val="21"/>
              </w:rPr>
            </w:pPr>
          </w:p>
        </w:tc>
        <w:tc>
          <w:tcPr>
            <w:tcW w:w="960" w:type="dxa"/>
          </w:tcPr>
          <w:p>
            <w:pPr>
              <w:spacing w:line="360" w:lineRule="auto"/>
              <w:jc w:val="left"/>
              <w:rPr>
                <w:rFonts w:ascii="宋体" w:hAnsi="宋体" w:cs="宋体"/>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8" w:hRule="atLeast"/>
        </w:trPr>
        <w:tc>
          <w:tcPr>
            <w:tcW w:w="685" w:type="dxa"/>
          </w:tcPr>
          <w:p>
            <w:pPr>
              <w:spacing w:line="360" w:lineRule="auto"/>
              <w:jc w:val="left"/>
              <w:rPr>
                <w:rFonts w:ascii="宋体" w:hAnsi="宋体" w:cs="宋体"/>
                <w:szCs w:val="21"/>
              </w:rPr>
            </w:pPr>
          </w:p>
        </w:tc>
        <w:tc>
          <w:tcPr>
            <w:tcW w:w="4627" w:type="dxa"/>
          </w:tcPr>
          <w:p>
            <w:pPr>
              <w:spacing w:line="360" w:lineRule="auto"/>
              <w:jc w:val="left"/>
              <w:rPr>
                <w:rFonts w:ascii="宋体" w:hAnsi="宋体" w:cs="宋体"/>
                <w:szCs w:val="21"/>
              </w:rPr>
            </w:pPr>
          </w:p>
        </w:tc>
        <w:tc>
          <w:tcPr>
            <w:tcW w:w="1043" w:type="dxa"/>
          </w:tcPr>
          <w:p>
            <w:pPr>
              <w:spacing w:line="360" w:lineRule="auto"/>
              <w:jc w:val="left"/>
              <w:rPr>
                <w:rFonts w:ascii="宋体" w:hAnsi="宋体" w:cs="宋体"/>
                <w:szCs w:val="21"/>
              </w:rPr>
            </w:pPr>
          </w:p>
        </w:tc>
        <w:tc>
          <w:tcPr>
            <w:tcW w:w="995" w:type="dxa"/>
          </w:tcPr>
          <w:p>
            <w:pPr>
              <w:spacing w:line="360" w:lineRule="auto"/>
              <w:jc w:val="left"/>
              <w:rPr>
                <w:rFonts w:ascii="宋体" w:hAnsi="宋体" w:cs="宋体"/>
                <w:szCs w:val="21"/>
              </w:rPr>
            </w:pPr>
          </w:p>
        </w:tc>
        <w:tc>
          <w:tcPr>
            <w:tcW w:w="960" w:type="dxa"/>
          </w:tcPr>
          <w:p>
            <w:pPr>
              <w:spacing w:line="360" w:lineRule="auto"/>
              <w:jc w:val="left"/>
              <w:rPr>
                <w:rFonts w:ascii="宋体" w:hAnsi="宋体" w:cs="宋体"/>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8" w:hRule="atLeast"/>
        </w:trPr>
        <w:tc>
          <w:tcPr>
            <w:tcW w:w="685" w:type="dxa"/>
          </w:tcPr>
          <w:p>
            <w:pPr>
              <w:spacing w:line="360" w:lineRule="auto"/>
              <w:jc w:val="left"/>
              <w:rPr>
                <w:rFonts w:ascii="宋体" w:hAnsi="宋体" w:cs="宋体"/>
                <w:szCs w:val="21"/>
              </w:rPr>
            </w:pPr>
          </w:p>
        </w:tc>
        <w:tc>
          <w:tcPr>
            <w:tcW w:w="4627" w:type="dxa"/>
          </w:tcPr>
          <w:p>
            <w:pPr>
              <w:spacing w:line="360" w:lineRule="auto"/>
              <w:jc w:val="left"/>
              <w:rPr>
                <w:rFonts w:ascii="宋体" w:hAnsi="宋体" w:cs="宋体"/>
                <w:szCs w:val="21"/>
              </w:rPr>
            </w:pPr>
          </w:p>
        </w:tc>
        <w:tc>
          <w:tcPr>
            <w:tcW w:w="1043" w:type="dxa"/>
          </w:tcPr>
          <w:p>
            <w:pPr>
              <w:spacing w:line="360" w:lineRule="auto"/>
              <w:jc w:val="left"/>
              <w:rPr>
                <w:rFonts w:ascii="宋体" w:hAnsi="宋体" w:cs="宋体"/>
                <w:szCs w:val="21"/>
              </w:rPr>
            </w:pPr>
          </w:p>
        </w:tc>
        <w:tc>
          <w:tcPr>
            <w:tcW w:w="995" w:type="dxa"/>
          </w:tcPr>
          <w:p>
            <w:pPr>
              <w:spacing w:line="360" w:lineRule="auto"/>
              <w:jc w:val="left"/>
              <w:rPr>
                <w:rFonts w:ascii="宋体" w:hAnsi="宋体" w:cs="宋体"/>
                <w:szCs w:val="21"/>
              </w:rPr>
            </w:pPr>
          </w:p>
        </w:tc>
        <w:tc>
          <w:tcPr>
            <w:tcW w:w="960" w:type="dxa"/>
          </w:tcPr>
          <w:p>
            <w:pPr>
              <w:spacing w:line="360" w:lineRule="auto"/>
              <w:jc w:val="left"/>
              <w:rPr>
                <w:rFonts w:ascii="宋体" w:hAnsi="宋体" w:cs="宋体"/>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8" w:hRule="atLeast"/>
        </w:trPr>
        <w:tc>
          <w:tcPr>
            <w:tcW w:w="685" w:type="dxa"/>
          </w:tcPr>
          <w:p>
            <w:pPr>
              <w:spacing w:line="360" w:lineRule="auto"/>
              <w:jc w:val="left"/>
              <w:rPr>
                <w:rFonts w:ascii="宋体" w:hAnsi="宋体" w:cs="宋体"/>
                <w:szCs w:val="21"/>
              </w:rPr>
            </w:pPr>
          </w:p>
        </w:tc>
        <w:tc>
          <w:tcPr>
            <w:tcW w:w="4627" w:type="dxa"/>
          </w:tcPr>
          <w:p>
            <w:pPr>
              <w:spacing w:line="360" w:lineRule="auto"/>
              <w:jc w:val="left"/>
              <w:rPr>
                <w:rFonts w:ascii="宋体" w:hAnsi="宋体" w:cs="宋体"/>
                <w:szCs w:val="21"/>
              </w:rPr>
            </w:pPr>
          </w:p>
        </w:tc>
        <w:tc>
          <w:tcPr>
            <w:tcW w:w="1043" w:type="dxa"/>
          </w:tcPr>
          <w:p>
            <w:pPr>
              <w:spacing w:line="360" w:lineRule="auto"/>
              <w:jc w:val="left"/>
              <w:rPr>
                <w:rFonts w:ascii="宋体" w:hAnsi="宋体" w:cs="宋体"/>
                <w:szCs w:val="21"/>
              </w:rPr>
            </w:pPr>
          </w:p>
        </w:tc>
        <w:tc>
          <w:tcPr>
            <w:tcW w:w="995" w:type="dxa"/>
          </w:tcPr>
          <w:p>
            <w:pPr>
              <w:spacing w:line="360" w:lineRule="auto"/>
              <w:jc w:val="left"/>
              <w:rPr>
                <w:rFonts w:ascii="宋体" w:hAnsi="宋体" w:cs="宋体"/>
                <w:szCs w:val="21"/>
              </w:rPr>
            </w:pPr>
          </w:p>
        </w:tc>
        <w:tc>
          <w:tcPr>
            <w:tcW w:w="960" w:type="dxa"/>
          </w:tcPr>
          <w:p>
            <w:pPr>
              <w:spacing w:line="360" w:lineRule="auto"/>
              <w:jc w:val="left"/>
              <w:rPr>
                <w:rFonts w:ascii="宋体" w:hAnsi="宋体" w:cs="宋体"/>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8" w:hRule="atLeast"/>
        </w:trPr>
        <w:tc>
          <w:tcPr>
            <w:tcW w:w="685" w:type="dxa"/>
          </w:tcPr>
          <w:p>
            <w:pPr>
              <w:spacing w:line="360" w:lineRule="auto"/>
              <w:jc w:val="left"/>
              <w:rPr>
                <w:rFonts w:ascii="宋体" w:hAnsi="宋体" w:cs="宋体"/>
                <w:szCs w:val="21"/>
              </w:rPr>
            </w:pPr>
          </w:p>
        </w:tc>
        <w:tc>
          <w:tcPr>
            <w:tcW w:w="4627" w:type="dxa"/>
          </w:tcPr>
          <w:p>
            <w:pPr>
              <w:spacing w:line="360" w:lineRule="auto"/>
              <w:jc w:val="left"/>
              <w:rPr>
                <w:rFonts w:ascii="宋体" w:hAnsi="宋体" w:cs="宋体"/>
                <w:szCs w:val="21"/>
              </w:rPr>
            </w:pPr>
          </w:p>
        </w:tc>
        <w:tc>
          <w:tcPr>
            <w:tcW w:w="1043" w:type="dxa"/>
          </w:tcPr>
          <w:p>
            <w:pPr>
              <w:spacing w:line="360" w:lineRule="auto"/>
              <w:jc w:val="left"/>
              <w:rPr>
                <w:rFonts w:ascii="宋体" w:hAnsi="宋体" w:cs="宋体"/>
                <w:szCs w:val="21"/>
              </w:rPr>
            </w:pPr>
          </w:p>
        </w:tc>
        <w:tc>
          <w:tcPr>
            <w:tcW w:w="995" w:type="dxa"/>
          </w:tcPr>
          <w:p>
            <w:pPr>
              <w:spacing w:line="360" w:lineRule="auto"/>
              <w:jc w:val="left"/>
              <w:rPr>
                <w:rFonts w:ascii="宋体" w:hAnsi="宋体" w:cs="宋体"/>
                <w:szCs w:val="21"/>
              </w:rPr>
            </w:pPr>
          </w:p>
        </w:tc>
        <w:tc>
          <w:tcPr>
            <w:tcW w:w="960" w:type="dxa"/>
          </w:tcPr>
          <w:p>
            <w:pPr>
              <w:spacing w:line="360" w:lineRule="auto"/>
              <w:jc w:val="left"/>
              <w:rPr>
                <w:rFonts w:ascii="宋体" w:hAnsi="宋体" w:cs="宋体"/>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8" w:hRule="atLeast"/>
        </w:trPr>
        <w:tc>
          <w:tcPr>
            <w:tcW w:w="685" w:type="dxa"/>
          </w:tcPr>
          <w:p>
            <w:pPr>
              <w:spacing w:line="360" w:lineRule="auto"/>
              <w:jc w:val="left"/>
              <w:rPr>
                <w:rFonts w:ascii="宋体" w:hAnsi="宋体" w:cs="宋体"/>
                <w:szCs w:val="21"/>
              </w:rPr>
            </w:pPr>
          </w:p>
        </w:tc>
        <w:tc>
          <w:tcPr>
            <w:tcW w:w="4627" w:type="dxa"/>
          </w:tcPr>
          <w:p>
            <w:pPr>
              <w:spacing w:line="360" w:lineRule="auto"/>
              <w:jc w:val="left"/>
              <w:rPr>
                <w:rFonts w:ascii="宋体" w:hAnsi="宋体" w:cs="宋体"/>
                <w:szCs w:val="21"/>
              </w:rPr>
            </w:pPr>
          </w:p>
        </w:tc>
        <w:tc>
          <w:tcPr>
            <w:tcW w:w="1043" w:type="dxa"/>
          </w:tcPr>
          <w:p>
            <w:pPr>
              <w:spacing w:line="360" w:lineRule="auto"/>
              <w:jc w:val="left"/>
              <w:rPr>
                <w:rFonts w:ascii="宋体" w:hAnsi="宋体" w:cs="宋体"/>
                <w:szCs w:val="21"/>
              </w:rPr>
            </w:pPr>
          </w:p>
        </w:tc>
        <w:tc>
          <w:tcPr>
            <w:tcW w:w="995" w:type="dxa"/>
          </w:tcPr>
          <w:p>
            <w:pPr>
              <w:spacing w:line="360" w:lineRule="auto"/>
              <w:jc w:val="left"/>
              <w:rPr>
                <w:rFonts w:ascii="宋体" w:hAnsi="宋体" w:cs="宋体"/>
                <w:szCs w:val="21"/>
              </w:rPr>
            </w:pPr>
          </w:p>
        </w:tc>
        <w:tc>
          <w:tcPr>
            <w:tcW w:w="960" w:type="dxa"/>
          </w:tcPr>
          <w:p>
            <w:pPr>
              <w:spacing w:line="360" w:lineRule="auto"/>
              <w:jc w:val="left"/>
              <w:rPr>
                <w:rFonts w:ascii="宋体" w:hAnsi="宋体" w:cs="宋体"/>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8" w:hRule="atLeast"/>
        </w:trPr>
        <w:tc>
          <w:tcPr>
            <w:tcW w:w="685" w:type="dxa"/>
          </w:tcPr>
          <w:p>
            <w:pPr>
              <w:spacing w:line="360" w:lineRule="auto"/>
              <w:jc w:val="left"/>
              <w:rPr>
                <w:rFonts w:ascii="宋体" w:hAnsi="宋体" w:cs="宋体"/>
                <w:szCs w:val="21"/>
              </w:rPr>
            </w:pPr>
          </w:p>
        </w:tc>
        <w:tc>
          <w:tcPr>
            <w:tcW w:w="4627" w:type="dxa"/>
          </w:tcPr>
          <w:p>
            <w:pPr>
              <w:spacing w:line="360" w:lineRule="auto"/>
              <w:jc w:val="left"/>
              <w:rPr>
                <w:rFonts w:ascii="宋体" w:hAnsi="宋体" w:cs="宋体"/>
                <w:szCs w:val="21"/>
              </w:rPr>
            </w:pPr>
          </w:p>
        </w:tc>
        <w:tc>
          <w:tcPr>
            <w:tcW w:w="1043" w:type="dxa"/>
          </w:tcPr>
          <w:p>
            <w:pPr>
              <w:spacing w:line="360" w:lineRule="auto"/>
              <w:jc w:val="left"/>
              <w:rPr>
                <w:rFonts w:ascii="宋体" w:hAnsi="宋体" w:cs="宋体"/>
                <w:szCs w:val="21"/>
              </w:rPr>
            </w:pPr>
          </w:p>
        </w:tc>
        <w:tc>
          <w:tcPr>
            <w:tcW w:w="995" w:type="dxa"/>
          </w:tcPr>
          <w:p>
            <w:pPr>
              <w:spacing w:line="360" w:lineRule="auto"/>
              <w:jc w:val="left"/>
              <w:rPr>
                <w:rFonts w:ascii="宋体" w:hAnsi="宋体" w:cs="宋体"/>
                <w:szCs w:val="21"/>
              </w:rPr>
            </w:pPr>
          </w:p>
        </w:tc>
        <w:tc>
          <w:tcPr>
            <w:tcW w:w="960" w:type="dxa"/>
          </w:tcPr>
          <w:p>
            <w:pPr>
              <w:spacing w:line="360" w:lineRule="auto"/>
              <w:jc w:val="left"/>
              <w:rPr>
                <w:rFonts w:ascii="宋体" w:hAnsi="宋体" w:cs="宋体"/>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8" w:hRule="atLeast"/>
        </w:trPr>
        <w:tc>
          <w:tcPr>
            <w:tcW w:w="685" w:type="dxa"/>
          </w:tcPr>
          <w:p>
            <w:pPr>
              <w:spacing w:line="360" w:lineRule="auto"/>
              <w:jc w:val="left"/>
              <w:rPr>
                <w:rFonts w:ascii="宋体" w:hAnsi="宋体" w:cs="宋体"/>
                <w:szCs w:val="21"/>
              </w:rPr>
            </w:pPr>
          </w:p>
        </w:tc>
        <w:tc>
          <w:tcPr>
            <w:tcW w:w="4627" w:type="dxa"/>
          </w:tcPr>
          <w:p>
            <w:pPr>
              <w:spacing w:line="360" w:lineRule="auto"/>
              <w:jc w:val="left"/>
              <w:rPr>
                <w:rFonts w:ascii="宋体" w:hAnsi="宋体" w:cs="宋体"/>
                <w:szCs w:val="21"/>
              </w:rPr>
            </w:pPr>
          </w:p>
        </w:tc>
        <w:tc>
          <w:tcPr>
            <w:tcW w:w="1043" w:type="dxa"/>
          </w:tcPr>
          <w:p>
            <w:pPr>
              <w:spacing w:line="360" w:lineRule="auto"/>
              <w:jc w:val="left"/>
              <w:rPr>
                <w:rFonts w:ascii="宋体" w:hAnsi="宋体" w:cs="宋体"/>
                <w:szCs w:val="21"/>
              </w:rPr>
            </w:pPr>
          </w:p>
        </w:tc>
        <w:tc>
          <w:tcPr>
            <w:tcW w:w="995" w:type="dxa"/>
          </w:tcPr>
          <w:p>
            <w:pPr>
              <w:spacing w:line="360" w:lineRule="auto"/>
              <w:jc w:val="left"/>
              <w:rPr>
                <w:rFonts w:ascii="宋体" w:hAnsi="宋体" w:cs="宋体"/>
                <w:szCs w:val="21"/>
              </w:rPr>
            </w:pPr>
          </w:p>
        </w:tc>
        <w:tc>
          <w:tcPr>
            <w:tcW w:w="960" w:type="dxa"/>
          </w:tcPr>
          <w:p>
            <w:pPr>
              <w:spacing w:line="360" w:lineRule="auto"/>
              <w:jc w:val="left"/>
              <w:rPr>
                <w:rFonts w:ascii="宋体" w:hAnsi="宋体" w:cs="宋体"/>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8" w:hRule="atLeast"/>
        </w:trPr>
        <w:tc>
          <w:tcPr>
            <w:tcW w:w="685" w:type="dxa"/>
          </w:tcPr>
          <w:p>
            <w:pPr>
              <w:spacing w:line="360" w:lineRule="auto"/>
              <w:jc w:val="left"/>
              <w:rPr>
                <w:rFonts w:ascii="宋体" w:hAnsi="宋体" w:cs="宋体"/>
                <w:szCs w:val="21"/>
              </w:rPr>
            </w:pPr>
          </w:p>
        </w:tc>
        <w:tc>
          <w:tcPr>
            <w:tcW w:w="4627" w:type="dxa"/>
          </w:tcPr>
          <w:p>
            <w:pPr>
              <w:spacing w:line="360" w:lineRule="auto"/>
              <w:jc w:val="left"/>
              <w:rPr>
                <w:rFonts w:ascii="宋体" w:hAnsi="宋体" w:cs="宋体"/>
                <w:szCs w:val="21"/>
              </w:rPr>
            </w:pPr>
          </w:p>
        </w:tc>
        <w:tc>
          <w:tcPr>
            <w:tcW w:w="1043" w:type="dxa"/>
          </w:tcPr>
          <w:p>
            <w:pPr>
              <w:spacing w:line="360" w:lineRule="auto"/>
              <w:jc w:val="left"/>
              <w:rPr>
                <w:rFonts w:ascii="宋体" w:hAnsi="宋体" w:cs="宋体"/>
                <w:szCs w:val="21"/>
              </w:rPr>
            </w:pPr>
          </w:p>
        </w:tc>
        <w:tc>
          <w:tcPr>
            <w:tcW w:w="995" w:type="dxa"/>
          </w:tcPr>
          <w:p>
            <w:pPr>
              <w:spacing w:line="360" w:lineRule="auto"/>
              <w:jc w:val="left"/>
              <w:rPr>
                <w:rFonts w:ascii="宋体" w:hAnsi="宋体" w:cs="宋体"/>
                <w:szCs w:val="21"/>
              </w:rPr>
            </w:pPr>
          </w:p>
        </w:tc>
        <w:tc>
          <w:tcPr>
            <w:tcW w:w="960" w:type="dxa"/>
          </w:tcPr>
          <w:p>
            <w:pPr>
              <w:spacing w:line="360" w:lineRule="auto"/>
              <w:jc w:val="left"/>
              <w:rPr>
                <w:rFonts w:ascii="宋体" w:hAnsi="宋体" w:cs="宋体"/>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8" w:hRule="atLeast"/>
        </w:trPr>
        <w:tc>
          <w:tcPr>
            <w:tcW w:w="685" w:type="dxa"/>
          </w:tcPr>
          <w:p>
            <w:pPr>
              <w:spacing w:line="360" w:lineRule="auto"/>
              <w:jc w:val="left"/>
              <w:rPr>
                <w:rFonts w:ascii="宋体" w:hAnsi="宋体" w:cs="宋体"/>
                <w:szCs w:val="21"/>
              </w:rPr>
            </w:pPr>
          </w:p>
        </w:tc>
        <w:tc>
          <w:tcPr>
            <w:tcW w:w="4627" w:type="dxa"/>
          </w:tcPr>
          <w:p>
            <w:pPr>
              <w:spacing w:line="360" w:lineRule="auto"/>
              <w:jc w:val="left"/>
              <w:rPr>
                <w:rFonts w:ascii="宋体" w:hAnsi="宋体" w:cs="宋体"/>
                <w:szCs w:val="21"/>
              </w:rPr>
            </w:pPr>
          </w:p>
        </w:tc>
        <w:tc>
          <w:tcPr>
            <w:tcW w:w="1043" w:type="dxa"/>
          </w:tcPr>
          <w:p>
            <w:pPr>
              <w:spacing w:line="360" w:lineRule="auto"/>
              <w:jc w:val="left"/>
              <w:rPr>
                <w:rFonts w:ascii="宋体" w:hAnsi="宋体" w:cs="宋体"/>
                <w:szCs w:val="21"/>
              </w:rPr>
            </w:pPr>
          </w:p>
        </w:tc>
        <w:tc>
          <w:tcPr>
            <w:tcW w:w="995" w:type="dxa"/>
          </w:tcPr>
          <w:p>
            <w:pPr>
              <w:spacing w:line="360" w:lineRule="auto"/>
              <w:jc w:val="left"/>
              <w:rPr>
                <w:rFonts w:ascii="宋体" w:hAnsi="宋体" w:cs="宋体"/>
                <w:szCs w:val="21"/>
              </w:rPr>
            </w:pPr>
          </w:p>
        </w:tc>
        <w:tc>
          <w:tcPr>
            <w:tcW w:w="960" w:type="dxa"/>
          </w:tcPr>
          <w:p>
            <w:pPr>
              <w:spacing w:line="360" w:lineRule="auto"/>
              <w:jc w:val="left"/>
              <w:rPr>
                <w:rFonts w:ascii="宋体" w:hAnsi="宋体" w:cs="宋体"/>
                <w:szCs w:val="21"/>
              </w:rPr>
            </w:pPr>
          </w:p>
        </w:tc>
      </w:tr>
    </w:tbl>
    <w:p>
      <w:pPr>
        <w:spacing w:line="360" w:lineRule="auto"/>
        <w:jc w:val="left"/>
        <w:rPr>
          <w:rFonts w:ascii="宋体" w:hAnsi="宋体" w:cs="宋体"/>
          <w:szCs w:val="21"/>
        </w:rPr>
      </w:pPr>
    </w:p>
    <w:p>
      <w:pPr>
        <w:spacing w:line="360" w:lineRule="auto"/>
        <w:jc w:val="left"/>
        <w:rPr>
          <w:rFonts w:ascii="宋体" w:hAnsi="宋体" w:cs="宋体"/>
          <w:szCs w:val="21"/>
        </w:rPr>
        <w:sectPr>
          <w:headerReference r:id="rId22" w:type="default"/>
          <w:footerReference r:id="rId23" w:type="default"/>
          <w:pgSz w:w="11906" w:h="16839"/>
          <w:pgMar w:top="1440" w:right="1800" w:bottom="1440" w:left="1800" w:header="878" w:footer="1045" w:gutter="0"/>
          <w:cols w:space="720" w:num="1"/>
        </w:sectPr>
      </w:pPr>
    </w:p>
    <w:p>
      <w:pPr>
        <w:pStyle w:val="4"/>
        <w:ind w:firstLine="482"/>
        <w:rPr>
          <w:rFonts w:ascii="宋体" w:hAnsi="宋体" w:cs="宋体"/>
        </w:rPr>
      </w:pPr>
      <w:r>
        <w:rPr>
          <w:rFonts w:hint="eastAsia" w:ascii="宋体" w:hAnsi="宋体" w:cs="宋体"/>
        </w:rPr>
        <w:t>3.2投标函</w:t>
      </w:r>
    </w:p>
    <w:p>
      <w:pPr>
        <w:pStyle w:val="8"/>
        <w:spacing w:line="420" w:lineRule="exact"/>
        <w:ind w:firstLine="420" w:firstLineChars="200"/>
        <w:jc w:val="center"/>
        <w:rPr>
          <w:rFonts w:hAnsi="宋体" w:cs="宋体"/>
        </w:rPr>
      </w:pPr>
      <w:r>
        <w:rPr>
          <w:rFonts w:hint="eastAsia" w:hAnsi="宋体" w:cs="宋体"/>
        </w:rPr>
        <w:t>投标函</w:t>
      </w:r>
    </w:p>
    <w:p>
      <w:pPr>
        <w:pStyle w:val="8"/>
        <w:spacing w:line="360" w:lineRule="auto"/>
        <w:rPr>
          <w:rFonts w:hAnsi="宋体" w:cs="宋体"/>
          <w:u w:val="single"/>
        </w:rPr>
      </w:pPr>
      <w:r>
        <w:rPr>
          <w:rFonts w:hint="eastAsia" w:hAnsi="宋体" w:cs="宋体"/>
          <w:snapToGrid w:val="0"/>
          <w:kern w:val="0"/>
          <w:u w:val="single"/>
        </w:rPr>
        <w:t>杭州市城乡建设委员会</w:t>
      </w:r>
      <w:r>
        <w:rPr>
          <w:rFonts w:hint="eastAsia" w:hAnsi="宋体" w:cs="宋体"/>
        </w:rPr>
        <w:t>：</w:t>
      </w:r>
    </w:p>
    <w:p>
      <w:pPr>
        <w:pStyle w:val="8"/>
        <w:spacing w:line="420" w:lineRule="exact"/>
        <w:ind w:firstLine="420" w:firstLineChars="200"/>
        <w:rPr>
          <w:rFonts w:hAnsi="宋体" w:cs="宋体"/>
        </w:rPr>
      </w:pPr>
      <w:r>
        <w:rPr>
          <w:rFonts w:hint="eastAsia" w:hAnsi="宋体" w:cs="宋体"/>
          <w:u w:val="single"/>
        </w:rPr>
        <w:t xml:space="preserve">            </w:t>
      </w:r>
      <w:r>
        <w:rPr>
          <w:rFonts w:hint="eastAsia" w:hAnsi="宋体" w:cs="宋体"/>
        </w:rPr>
        <w:t xml:space="preserve"> (供应商全称)授权</w:t>
      </w:r>
      <w:r>
        <w:rPr>
          <w:rFonts w:hint="eastAsia" w:hAnsi="宋体" w:cs="宋体"/>
          <w:u w:val="single"/>
        </w:rPr>
        <w:t xml:space="preserve">        </w:t>
      </w:r>
      <w:r>
        <w:rPr>
          <w:rFonts w:hint="eastAsia" w:hAnsi="宋体" w:cs="宋体"/>
        </w:rPr>
        <w:t>(全权代表姓名)</w:t>
      </w:r>
      <w:r>
        <w:rPr>
          <w:rFonts w:hint="eastAsia" w:hAnsi="宋体" w:cs="宋体"/>
          <w:u w:val="single"/>
        </w:rPr>
        <w:t xml:space="preserve">              </w:t>
      </w:r>
      <w:r>
        <w:rPr>
          <w:rFonts w:hint="eastAsia" w:hAnsi="宋体" w:cs="宋体"/>
        </w:rPr>
        <w:t>(职务、职称)为全权代表，参加贵方组织的</w:t>
      </w:r>
      <w:r>
        <w:rPr>
          <w:rFonts w:hint="eastAsia" w:hAnsi="宋体" w:cs="宋体"/>
          <w:u w:val="single"/>
        </w:rPr>
        <w:t xml:space="preserve">             </w:t>
      </w:r>
      <w:r>
        <w:rPr>
          <w:rFonts w:hint="eastAsia" w:hAnsi="宋体" w:cs="宋体"/>
        </w:rPr>
        <w:t>项目 (项目编号：</w:t>
      </w:r>
      <w:r>
        <w:rPr>
          <w:rFonts w:hint="eastAsia" w:hAnsi="宋体" w:cs="宋体"/>
          <w:u w:val="single"/>
        </w:rPr>
        <w:t xml:space="preserve">      </w:t>
      </w:r>
      <w:r>
        <w:rPr>
          <w:rFonts w:hint="eastAsia" w:hAnsi="宋体" w:cs="宋体"/>
        </w:rPr>
        <w:t>)的有关活动，并对此项目进行投标。为此：</w:t>
      </w:r>
    </w:p>
    <w:p>
      <w:pPr>
        <w:pStyle w:val="8"/>
        <w:spacing w:line="420" w:lineRule="exact"/>
        <w:ind w:firstLine="420" w:firstLineChars="200"/>
        <w:rPr>
          <w:rFonts w:hAnsi="宋体" w:cs="宋体"/>
        </w:rPr>
      </w:pPr>
      <w:r>
        <w:rPr>
          <w:rFonts w:hint="eastAsia" w:hAnsi="宋体" w:cs="宋体"/>
        </w:rPr>
        <w:t>1、我方同意在供应商编制和提交投标文件须知规定的开标日期起遵守本投标书中的承诺且在投标有效期满之前均具有约束力。</w:t>
      </w:r>
    </w:p>
    <w:p>
      <w:pPr>
        <w:pStyle w:val="8"/>
        <w:spacing w:line="420" w:lineRule="exact"/>
        <w:ind w:firstLine="420" w:firstLineChars="200"/>
        <w:rPr>
          <w:rFonts w:hAnsi="宋体" w:cs="宋体"/>
        </w:rPr>
      </w:pPr>
      <w:r>
        <w:rPr>
          <w:rFonts w:hint="eastAsia" w:hAnsi="宋体" w:cs="宋体"/>
        </w:rPr>
        <w:t>2、我方承诺已经具备《中华人民共和国政府采购法》中规定的参加政府采购活动的供应商应当具备的条件：</w:t>
      </w:r>
    </w:p>
    <w:p>
      <w:pPr>
        <w:pStyle w:val="8"/>
        <w:spacing w:line="420" w:lineRule="exact"/>
        <w:ind w:firstLine="420" w:firstLineChars="200"/>
        <w:rPr>
          <w:rFonts w:hAnsi="宋体" w:cs="宋体"/>
        </w:rPr>
      </w:pPr>
      <w:r>
        <w:rPr>
          <w:rFonts w:hint="eastAsia" w:hAnsi="宋体" w:cs="宋体"/>
        </w:rPr>
        <w:t>(1)具有独立承担民事责任的能力；</w:t>
      </w:r>
    </w:p>
    <w:p>
      <w:pPr>
        <w:pStyle w:val="8"/>
        <w:spacing w:line="420" w:lineRule="exact"/>
        <w:ind w:firstLine="420" w:firstLineChars="200"/>
        <w:rPr>
          <w:rFonts w:hAnsi="宋体" w:cs="宋体"/>
        </w:rPr>
      </w:pPr>
      <w:r>
        <w:rPr>
          <w:rFonts w:hint="eastAsia" w:hAnsi="宋体" w:cs="宋体"/>
        </w:rPr>
        <w:t>(2)遵守国家法律、行政法规，具有良好的信誉和商业道德；</w:t>
      </w:r>
    </w:p>
    <w:p>
      <w:pPr>
        <w:pStyle w:val="8"/>
        <w:spacing w:line="420" w:lineRule="exact"/>
        <w:ind w:firstLine="420" w:firstLineChars="200"/>
        <w:rPr>
          <w:rFonts w:hAnsi="宋体" w:cs="宋体"/>
        </w:rPr>
      </w:pPr>
      <w:r>
        <w:rPr>
          <w:rFonts w:hint="eastAsia" w:hAnsi="宋体" w:cs="宋体"/>
        </w:rPr>
        <w:t>(3)具有履行合同的能力和良好的履行合同记录；</w:t>
      </w:r>
    </w:p>
    <w:p>
      <w:pPr>
        <w:pStyle w:val="8"/>
        <w:spacing w:line="420" w:lineRule="exact"/>
        <w:ind w:firstLine="420" w:firstLineChars="200"/>
        <w:rPr>
          <w:rFonts w:hAnsi="宋体" w:cs="宋体"/>
        </w:rPr>
      </w:pPr>
      <w:r>
        <w:rPr>
          <w:rFonts w:hint="eastAsia" w:hAnsi="宋体" w:cs="宋体"/>
        </w:rPr>
        <w:t>(4)良好的资金、财务状况；</w:t>
      </w:r>
    </w:p>
    <w:p>
      <w:pPr>
        <w:pStyle w:val="8"/>
        <w:spacing w:line="420" w:lineRule="exact"/>
        <w:ind w:firstLine="420" w:firstLineChars="200"/>
        <w:rPr>
          <w:rFonts w:hAnsi="宋体" w:cs="宋体"/>
        </w:rPr>
      </w:pPr>
      <w:r>
        <w:rPr>
          <w:rFonts w:hint="eastAsia" w:hAnsi="宋体" w:cs="宋体"/>
        </w:rPr>
        <w:t>(5)没有违反政府采购法规、政策的记录；</w:t>
      </w:r>
    </w:p>
    <w:p>
      <w:pPr>
        <w:pStyle w:val="8"/>
        <w:spacing w:line="420" w:lineRule="exact"/>
        <w:ind w:firstLine="420" w:firstLineChars="200"/>
        <w:rPr>
          <w:rFonts w:hAnsi="宋体" w:cs="宋体"/>
        </w:rPr>
      </w:pPr>
      <w:r>
        <w:rPr>
          <w:rFonts w:hint="eastAsia" w:hAnsi="宋体" w:cs="宋体"/>
        </w:rPr>
        <w:t>(6)没有发生重大经济纠纷和走私犯罪记录。</w:t>
      </w:r>
    </w:p>
    <w:p>
      <w:pPr>
        <w:pStyle w:val="8"/>
        <w:spacing w:line="420" w:lineRule="exact"/>
        <w:ind w:firstLine="420" w:firstLineChars="200"/>
        <w:rPr>
          <w:rFonts w:hAnsi="宋体" w:cs="宋体"/>
        </w:rPr>
      </w:pPr>
      <w:r>
        <w:rPr>
          <w:rFonts w:hint="eastAsia" w:hAnsi="宋体" w:cs="宋体"/>
        </w:rPr>
        <w:t>3、提供编制和提交投标文件须知规定的全部投标文件，包括一份电子加密标书（后缀格式为.jmbs），一份备份投标文件（后缀格式为.bfbs）。具体内容为：</w:t>
      </w:r>
    </w:p>
    <w:p>
      <w:pPr>
        <w:pStyle w:val="8"/>
        <w:spacing w:line="420" w:lineRule="exact"/>
        <w:ind w:firstLine="420" w:firstLineChars="200"/>
        <w:rPr>
          <w:rFonts w:hAnsi="宋体" w:cs="宋体"/>
        </w:rPr>
      </w:pPr>
      <w:r>
        <w:rPr>
          <w:rFonts w:hint="eastAsia" w:hAnsi="宋体" w:cs="宋体"/>
        </w:rPr>
        <w:t>(1)资格响应文件、商务技术响应文件、报价响应文件；</w:t>
      </w:r>
    </w:p>
    <w:p>
      <w:pPr>
        <w:pStyle w:val="8"/>
        <w:spacing w:line="420" w:lineRule="exact"/>
        <w:ind w:firstLine="420" w:firstLineChars="200"/>
        <w:rPr>
          <w:rFonts w:hAnsi="宋体" w:cs="宋体"/>
        </w:rPr>
      </w:pPr>
      <w:r>
        <w:rPr>
          <w:rFonts w:hint="eastAsia" w:hAnsi="宋体" w:cs="宋体"/>
        </w:rPr>
        <w:t>(2)编制和提交投标文件须知要求供应商提交的全部文件；</w:t>
      </w:r>
    </w:p>
    <w:p>
      <w:pPr>
        <w:pStyle w:val="8"/>
        <w:spacing w:line="420" w:lineRule="exact"/>
        <w:ind w:firstLine="420" w:firstLineChars="200"/>
        <w:rPr>
          <w:rFonts w:hAnsi="宋体" w:cs="宋体"/>
        </w:rPr>
      </w:pPr>
      <w:r>
        <w:rPr>
          <w:rFonts w:hint="eastAsia" w:hAnsi="宋体" w:cs="宋体"/>
        </w:rPr>
        <w:t>(3)按采购文件要求提供和交付的服务的投标报价详见开标一览表；</w:t>
      </w:r>
    </w:p>
    <w:p>
      <w:pPr>
        <w:pStyle w:val="8"/>
        <w:spacing w:line="420" w:lineRule="exact"/>
        <w:ind w:firstLine="420" w:firstLineChars="200"/>
        <w:rPr>
          <w:rFonts w:hAnsi="宋体" w:cs="宋体"/>
        </w:rPr>
      </w:pPr>
      <w:r>
        <w:rPr>
          <w:rFonts w:hint="eastAsia" w:hAnsi="宋体" w:cs="宋体"/>
        </w:rPr>
        <w:t>(4)保证忠实地执行双方所签订的合同，并承担合同规定的责任和义务；</w:t>
      </w:r>
    </w:p>
    <w:p>
      <w:pPr>
        <w:pStyle w:val="8"/>
        <w:spacing w:line="420" w:lineRule="exact"/>
        <w:ind w:firstLine="420" w:firstLineChars="200"/>
        <w:rPr>
          <w:rFonts w:hAnsi="宋体" w:cs="宋体"/>
        </w:rPr>
      </w:pPr>
      <w:r>
        <w:rPr>
          <w:rFonts w:hint="eastAsia" w:hAnsi="宋体" w:cs="宋体"/>
        </w:rPr>
        <w:t>(5)保证遵守采购文件中的其他有关规定。</w:t>
      </w:r>
    </w:p>
    <w:p>
      <w:pPr>
        <w:pStyle w:val="8"/>
        <w:spacing w:line="420" w:lineRule="exact"/>
        <w:ind w:firstLine="420" w:firstLineChars="200"/>
        <w:rPr>
          <w:rFonts w:hAnsi="宋体" w:cs="宋体"/>
        </w:rPr>
      </w:pPr>
      <w:r>
        <w:rPr>
          <w:rFonts w:hint="eastAsia" w:hAnsi="宋体" w:cs="宋体"/>
        </w:rPr>
        <w:t>4、我方完全理解贵方不一定要接受最低价的投标。</w:t>
      </w:r>
    </w:p>
    <w:p>
      <w:pPr>
        <w:pStyle w:val="8"/>
        <w:spacing w:line="420" w:lineRule="exact"/>
        <w:ind w:firstLine="420" w:firstLineChars="200"/>
        <w:rPr>
          <w:rFonts w:hAnsi="宋体" w:cs="宋体"/>
        </w:rPr>
      </w:pPr>
      <w:r>
        <w:rPr>
          <w:rFonts w:hint="eastAsia" w:hAnsi="宋体" w:cs="宋体"/>
        </w:rPr>
        <w:t>5、我方愿意向贵方提供任何与该项投标有关的数据、情况和技术资料。若贵方需要，我方愿意提供我方作出的一切承诺的证明材料。</w:t>
      </w:r>
    </w:p>
    <w:p>
      <w:pPr>
        <w:pStyle w:val="8"/>
        <w:spacing w:line="420" w:lineRule="exact"/>
        <w:ind w:firstLine="420" w:firstLineChars="200"/>
        <w:rPr>
          <w:rFonts w:hAnsi="宋体" w:cs="宋体"/>
        </w:rPr>
      </w:pPr>
      <w:r>
        <w:rPr>
          <w:rFonts w:hint="eastAsia" w:hAnsi="宋体" w:cs="宋体"/>
        </w:rPr>
        <w:t>6、我方已详细审核全部采购文件，包括采购文件修改书(如果有)、参考资料及有关附件，确认无误。</w:t>
      </w:r>
    </w:p>
    <w:p>
      <w:pPr>
        <w:pStyle w:val="8"/>
        <w:spacing w:line="420" w:lineRule="exact"/>
        <w:ind w:firstLine="420" w:firstLineChars="200"/>
        <w:rPr>
          <w:rFonts w:hAnsi="宋体" w:cs="宋体"/>
        </w:rPr>
      </w:pPr>
      <w:r>
        <w:rPr>
          <w:rFonts w:hint="eastAsia" w:hAnsi="宋体" w:cs="宋体"/>
        </w:rPr>
        <w:t>7、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pPr>
        <w:pStyle w:val="8"/>
        <w:spacing w:line="420" w:lineRule="exact"/>
        <w:ind w:firstLine="420" w:firstLineChars="200"/>
        <w:rPr>
          <w:rFonts w:hAnsi="宋体" w:cs="宋体"/>
        </w:rPr>
      </w:pPr>
      <w:r>
        <w:rPr>
          <w:rFonts w:hint="eastAsia" w:hAnsi="宋体" w:cs="宋体"/>
        </w:rPr>
        <w:t>a)提供虚假材料谋取中标、成交的；</w:t>
      </w:r>
    </w:p>
    <w:p>
      <w:pPr>
        <w:pStyle w:val="8"/>
        <w:spacing w:line="420" w:lineRule="exact"/>
        <w:ind w:firstLine="420" w:firstLineChars="200"/>
        <w:rPr>
          <w:rFonts w:hAnsi="宋体" w:cs="宋体"/>
        </w:rPr>
      </w:pPr>
      <w:r>
        <w:rPr>
          <w:rFonts w:hint="eastAsia" w:hAnsi="宋体" w:cs="宋体"/>
        </w:rPr>
        <w:t>b)采取不正当手段诋毁、排挤其他供应商的；</w:t>
      </w:r>
    </w:p>
    <w:p>
      <w:pPr>
        <w:pStyle w:val="8"/>
        <w:spacing w:line="420" w:lineRule="exact"/>
        <w:ind w:firstLine="420" w:firstLineChars="200"/>
        <w:rPr>
          <w:rFonts w:hAnsi="宋体" w:cs="宋体"/>
        </w:rPr>
      </w:pPr>
      <w:r>
        <w:rPr>
          <w:rFonts w:hint="eastAsia" w:hAnsi="宋体" w:cs="宋体"/>
        </w:rPr>
        <w:t>c)与采购人、其它供应商或者采购代理机构恶意串通的；</w:t>
      </w:r>
    </w:p>
    <w:p>
      <w:pPr>
        <w:pStyle w:val="8"/>
        <w:spacing w:line="420" w:lineRule="exact"/>
        <w:ind w:firstLine="420" w:firstLineChars="200"/>
        <w:rPr>
          <w:rFonts w:hAnsi="宋体" w:cs="宋体"/>
        </w:rPr>
      </w:pPr>
      <w:r>
        <w:rPr>
          <w:rFonts w:hint="eastAsia" w:hAnsi="宋体" w:cs="宋体"/>
        </w:rPr>
        <w:t>d)向采购人、采购代理机构行贿或者提供其他不正当利益的；</w:t>
      </w:r>
    </w:p>
    <w:p>
      <w:pPr>
        <w:pStyle w:val="8"/>
        <w:spacing w:line="420" w:lineRule="exact"/>
        <w:ind w:firstLine="420" w:firstLineChars="200"/>
        <w:rPr>
          <w:rFonts w:hAnsi="宋体" w:cs="宋体"/>
        </w:rPr>
      </w:pPr>
      <w:r>
        <w:rPr>
          <w:rFonts w:hint="eastAsia" w:hAnsi="宋体" w:cs="宋体"/>
        </w:rPr>
        <w:t>e)在招标采购过程中与采购人进行协商谈判的；</w:t>
      </w:r>
    </w:p>
    <w:p>
      <w:pPr>
        <w:pStyle w:val="8"/>
        <w:spacing w:line="420" w:lineRule="exact"/>
        <w:ind w:firstLine="420" w:firstLineChars="200"/>
        <w:rPr>
          <w:rFonts w:hAnsi="宋体" w:cs="宋体"/>
        </w:rPr>
      </w:pPr>
      <w:r>
        <w:rPr>
          <w:rFonts w:hint="eastAsia" w:hAnsi="宋体" w:cs="宋体"/>
        </w:rPr>
        <w:t>f)拒绝有关部门监督检查或提供虚假情况的。</w:t>
      </w:r>
    </w:p>
    <w:p>
      <w:pPr>
        <w:pStyle w:val="8"/>
        <w:spacing w:line="420" w:lineRule="exact"/>
        <w:ind w:firstLine="420" w:firstLineChars="200"/>
        <w:rPr>
          <w:rFonts w:hAnsi="宋体" w:cs="宋体"/>
        </w:rPr>
      </w:pPr>
      <w:r>
        <w:rPr>
          <w:rFonts w:hint="eastAsia" w:hAnsi="宋体" w:cs="宋体"/>
        </w:rPr>
        <w:t>供应商有前款第a)至e)项情形之一的，中标、成交无效。</w:t>
      </w:r>
    </w:p>
    <w:p>
      <w:pPr>
        <w:pStyle w:val="8"/>
        <w:spacing w:line="420" w:lineRule="exact"/>
        <w:ind w:firstLine="420" w:firstLineChars="200"/>
        <w:rPr>
          <w:rFonts w:hAnsi="宋体" w:cs="宋体"/>
        </w:rPr>
      </w:pPr>
    </w:p>
    <w:p>
      <w:pPr>
        <w:pStyle w:val="8"/>
        <w:spacing w:line="420" w:lineRule="exact"/>
        <w:ind w:firstLine="420" w:firstLineChars="200"/>
        <w:rPr>
          <w:rFonts w:hAnsi="宋体" w:cs="宋体"/>
        </w:rPr>
      </w:pPr>
    </w:p>
    <w:p>
      <w:pPr>
        <w:pStyle w:val="8"/>
        <w:spacing w:line="420" w:lineRule="exact"/>
        <w:ind w:firstLine="420" w:firstLineChars="200"/>
        <w:rPr>
          <w:rFonts w:hAnsi="宋体" w:cs="宋体"/>
        </w:rPr>
      </w:pPr>
      <w:r>
        <w:rPr>
          <w:rFonts w:hint="eastAsia" w:hAnsi="宋体" w:cs="宋体"/>
        </w:rPr>
        <w:t>法定代表人（签字或盖章）：</w:t>
      </w:r>
      <w:r>
        <w:rPr>
          <w:rFonts w:hint="eastAsia" w:hAnsi="宋体" w:cs="宋体"/>
          <w:u w:val="single"/>
        </w:rPr>
        <w:t xml:space="preserve">                  </w:t>
      </w:r>
      <w:r>
        <w:rPr>
          <w:rFonts w:hint="eastAsia" w:hAnsi="宋体" w:cs="宋体"/>
        </w:rPr>
        <w:tab/>
      </w:r>
    </w:p>
    <w:p>
      <w:pPr>
        <w:pStyle w:val="8"/>
        <w:spacing w:line="420" w:lineRule="exact"/>
        <w:ind w:firstLine="420" w:firstLineChars="200"/>
        <w:rPr>
          <w:rFonts w:hAnsi="宋体" w:cs="宋体"/>
        </w:rPr>
      </w:pPr>
      <w:r>
        <w:rPr>
          <w:rFonts w:hint="eastAsia" w:hAnsi="宋体" w:cs="宋体"/>
        </w:rPr>
        <w:t>授权委托人（签字）：</w:t>
      </w:r>
      <w:r>
        <w:rPr>
          <w:rFonts w:hint="eastAsia" w:hAnsi="宋体" w:cs="宋体"/>
          <w:u w:val="single"/>
        </w:rPr>
        <w:t xml:space="preserve">                    </w:t>
      </w:r>
      <w:r>
        <w:rPr>
          <w:rFonts w:hint="eastAsia" w:hAnsi="宋体" w:cs="宋体"/>
        </w:rPr>
        <w:t xml:space="preserve"> </w:t>
      </w:r>
    </w:p>
    <w:p>
      <w:pPr>
        <w:pStyle w:val="8"/>
        <w:spacing w:line="420" w:lineRule="exact"/>
        <w:ind w:firstLine="420" w:firstLineChars="200"/>
        <w:rPr>
          <w:rFonts w:hAnsi="宋体" w:cs="宋体"/>
        </w:rPr>
      </w:pPr>
      <w:r>
        <w:rPr>
          <w:rFonts w:hint="eastAsia" w:hAnsi="宋体" w:cs="宋体"/>
        </w:rPr>
        <w:t>供应商（盖公章）：</w:t>
      </w:r>
      <w:r>
        <w:rPr>
          <w:rFonts w:hint="eastAsia" w:hAnsi="宋体" w:cs="宋体"/>
          <w:u w:val="single"/>
        </w:rPr>
        <w:t xml:space="preserve">                      </w:t>
      </w:r>
      <w:r>
        <w:rPr>
          <w:rFonts w:hint="eastAsia" w:hAnsi="宋体" w:cs="宋体"/>
        </w:rPr>
        <w:t xml:space="preserve"> </w:t>
      </w:r>
    </w:p>
    <w:p>
      <w:pPr>
        <w:pStyle w:val="8"/>
        <w:spacing w:line="420" w:lineRule="exact"/>
        <w:ind w:firstLine="420" w:firstLineChars="200"/>
        <w:rPr>
          <w:rFonts w:hAnsi="宋体" w:cs="宋体"/>
        </w:rPr>
      </w:pPr>
      <w:r>
        <w:rPr>
          <w:rFonts w:hint="eastAsia" w:hAnsi="宋体" w:cs="宋体"/>
        </w:rPr>
        <w:t>联系人：</w:t>
      </w:r>
      <w:r>
        <w:rPr>
          <w:rFonts w:hint="eastAsia" w:hAnsi="宋体" w:cs="宋体"/>
          <w:u w:val="single"/>
        </w:rPr>
        <w:t xml:space="preserve">                       </w:t>
      </w:r>
      <w:r>
        <w:rPr>
          <w:rFonts w:hint="eastAsia" w:hAnsi="宋体" w:cs="宋体"/>
        </w:rPr>
        <w:t xml:space="preserve">    联系电话</w:t>
      </w:r>
      <w:r>
        <w:rPr>
          <w:rFonts w:hint="eastAsia" w:hAnsi="宋体" w:cs="宋体"/>
          <w:u w:val="single"/>
        </w:rPr>
        <w:t xml:space="preserve">：                 </w:t>
      </w:r>
    </w:p>
    <w:p>
      <w:pPr>
        <w:pStyle w:val="8"/>
        <w:spacing w:line="420" w:lineRule="exact"/>
        <w:ind w:firstLine="420" w:firstLineChars="200"/>
        <w:rPr>
          <w:rFonts w:hAnsi="宋体" w:cs="宋体"/>
        </w:rPr>
      </w:pPr>
      <w:r>
        <w:rPr>
          <w:rFonts w:hint="eastAsia" w:hAnsi="宋体" w:cs="宋体"/>
        </w:rPr>
        <w:t>联系地址：</w:t>
      </w:r>
      <w:r>
        <w:rPr>
          <w:rFonts w:hint="eastAsia" w:hAnsi="宋体" w:cs="宋体"/>
          <w:u w:val="single"/>
        </w:rPr>
        <w:t xml:space="preserve">                     </w:t>
      </w:r>
      <w:r>
        <w:rPr>
          <w:rFonts w:hint="eastAsia" w:hAnsi="宋体" w:cs="宋体"/>
        </w:rPr>
        <w:t xml:space="preserve">                               </w:t>
      </w:r>
    </w:p>
    <w:p>
      <w:pPr>
        <w:pStyle w:val="8"/>
        <w:spacing w:line="420" w:lineRule="exact"/>
        <w:ind w:firstLine="420" w:firstLineChars="200"/>
        <w:rPr>
          <w:rFonts w:hAnsi="宋体" w:cs="宋体"/>
        </w:rPr>
      </w:pPr>
      <w:r>
        <w:rPr>
          <w:rFonts w:hint="eastAsia" w:hAnsi="宋体" w:cs="宋体"/>
        </w:rPr>
        <w:t>邮政编码：</w:t>
      </w:r>
      <w:r>
        <w:rPr>
          <w:rFonts w:hint="eastAsia" w:hAnsi="宋体" w:cs="宋体"/>
          <w:u w:val="single"/>
        </w:rPr>
        <w:t xml:space="preserve">                     </w:t>
      </w:r>
      <w:r>
        <w:rPr>
          <w:rFonts w:hint="eastAsia" w:hAnsi="宋体" w:cs="宋体"/>
        </w:rPr>
        <w:t>传真号码</w:t>
      </w:r>
      <w:r>
        <w:rPr>
          <w:rFonts w:hint="eastAsia" w:hAnsi="宋体" w:cs="宋体"/>
          <w:u w:val="single"/>
        </w:rPr>
        <w:t xml:space="preserve">：                     </w:t>
      </w:r>
    </w:p>
    <w:p>
      <w:pPr>
        <w:pStyle w:val="8"/>
        <w:spacing w:line="420" w:lineRule="exact"/>
        <w:ind w:firstLine="420" w:firstLineChars="200"/>
        <w:rPr>
          <w:rFonts w:hAnsi="宋体" w:cs="宋体"/>
        </w:rPr>
      </w:pPr>
      <w:r>
        <w:rPr>
          <w:rFonts w:hint="eastAsia" w:hAnsi="宋体" w:cs="宋体"/>
        </w:rPr>
        <w:t>日    期：</w:t>
      </w:r>
      <w:r>
        <w:rPr>
          <w:rFonts w:hint="eastAsia" w:hAnsi="宋体" w:cs="宋体"/>
          <w:u w:val="single"/>
        </w:rPr>
        <w:t xml:space="preserve">        </w:t>
      </w:r>
      <w:r>
        <w:rPr>
          <w:rFonts w:hint="eastAsia" w:hAnsi="宋体" w:cs="宋体"/>
        </w:rPr>
        <w:t>年</w:t>
      </w:r>
      <w:r>
        <w:rPr>
          <w:rFonts w:hint="eastAsia" w:hAnsi="宋体" w:cs="宋体"/>
          <w:u w:val="single"/>
        </w:rPr>
        <w:t xml:space="preserve">  </w:t>
      </w:r>
      <w:r>
        <w:rPr>
          <w:rFonts w:hint="eastAsia" w:hAnsi="宋体" w:cs="宋体"/>
          <w:u w:val="single"/>
        </w:rPr>
        <w:tab/>
      </w:r>
      <w:r>
        <w:rPr>
          <w:rFonts w:hint="eastAsia" w:hAnsi="宋体" w:cs="宋体"/>
          <w:u w:val="single"/>
        </w:rPr>
        <w:t xml:space="preserve"> </w:t>
      </w:r>
      <w:r>
        <w:rPr>
          <w:rFonts w:hint="eastAsia" w:hAnsi="宋体" w:cs="宋体"/>
        </w:rPr>
        <w:t>月</w:t>
      </w:r>
      <w:r>
        <w:rPr>
          <w:rFonts w:hint="eastAsia" w:hAnsi="宋体" w:cs="宋体"/>
          <w:u w:val="single"/>
        </w:rPr>
        <w:t xml:space="preserve">    </w:t>
      </w:r>
      <w:r>
        <w:rPr>
          <w:rFonts w:hint="eastAsia" w:hAnsi="宋体" w:cs="宋体"/>
        </w:rPr>
        <w:t>日</w:t>
      </w:r>
    </w:p>
    <w:p>
      <w:pPr>
        <w:pStyle w:val="4"/>
        <w:ind w:firstLine="482"/>
        <w:rPr>
          <w:rFonts w:ascii="宋体" w:hAnsi="宋体" w:cs="宋体"/>
        </w:rPr>
      </w:pPr>
      <w:r>
        <w:rPr>
          <w:rFonts w:hint="eastAsia" w:ascii="宋体" w:hAnsi="宋体" w:cs="宋体"/>
          <w:bCs/>
          <w:szCs w:val="21"/>
        </w:rPr>
        <w:br w:type="page"/>
      </w:r>
      <w:r>
        <w:rPr>
          <w:rFonts w:hint="eastAsia" w:ascii="宋体" w:hAnsi="宋体" w:cs="宋体"/>
        </w:rPr>
        <w:t>3.3响应一览表</w:t>
      </w:r>
    </w:p>
    <w:p>
      <w:pPr>
        <w:spacing w:line="360" w:lineRule="auto"/>
        <w:ind w:firstLine="3401"/>
        <w:jc w:val="left"/>
        <w:rPr>
          <w:rFonts w:ascii="宋体" w:hAnsi="宋体" w:cs="宋体"/>
          <w:szCs w:val="21"/>
        </w:rPr>
      </w:pPr>
      <w:r>
        <w:rPr>
          <w:rFonts w:hint="eastAsia" w:ascii="宋体" w:hAnsi="宋体" w:cs="宋体"/>
          <w:szCs w:val="21"/>
        </w:rPr>
        <w:t>响应一览表</w:t>
      </w:r>
    </w:p>
    <w:p>
      <w:pPr>
        <w:spacing w:line="360" w:lineRule="auto"/>
        <w:ind w:firstLine="19"/>
        <w:jc w:val="left"/>
        <w:rPr>
          <w:rFonts w:ascii="宋体" w:hAnsi="宋体" w:cs="宋体"/>
          <w:szCs w:val="21"/>
        </w:rPr>
      </w:pPr>
      <w:r>
        <w:rPr>
          <w:rFonts w:hint="eastAsia" w:ascii="宋体" w:hAnsi="宋体" w:cs="宋体"/>
          <w:szCs w:val="21"/>
        </w:rPr>
        <w:t>项目名称：</w:t>
      </w:r>
    </w:p>
    <w:p>
      <w:pPr>
        <w:spacing w:line="360" w:lineRule="auto"/>
        <w:ind w:firstLine="19"/>
        <w:jc w:val="left"/>
        <w:rPr>
          <w:rFonts w:ascii="宋体" w:hAnsi="宋体" w:cs="宋体"/>
          <w:szCs w:val="21"/>
        </w:rPr>
      </w:pPr>
      <w:r>
        <w:rPr>
          <w:rFonts w:hint="eastAsia" w:ascii="宋体" w:hAnsi="宋体" w:cs="宋体"/>
          <w:szCs w:val="21"/>
        </w:rPr>
        <w:t>项目编号：</w:t>
      </w:r>
    </w:p>
    <w:p>
      <w:pPr>
        <w:spacing w:line="360" w:lineRule="auto"/>
        <w:jc w:val="left"/>
        <w:rPr>
          <w:rFonts w:ascii="宋体" w:hAnsi="宋体" w:cs="宋体"/>
          <w:szCs w:val="21"/>
        </w:rPr>
      </w:pPr>
    </w:p>
    <w:tbl>
      <w:tblPr>
        <w:tblStyle w:val="15"/>
        <w:tblW w:w="0" w:type="auto"/>
        <w:tblInd w:w="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463"/>
        <w:gridCol w:w="527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73" w:hRule="atLeast"/>
        </w:trPr>
        <w:tc>
          <w:tcPr>
            <w:tcW w:w="3463" w:type="dxa"/>
            <w:vAlign w:val="center"/>
          </w:tcPr>
          <w:p>
            <w:pPr>
              <w:spacing w:line="360" w:lineRule="auto"/>
              <w:jc w:val="center"/>
              <w:rPr>
                <w:rFonts w:ascii="宋体" w:hAnsi="宋体" w:cs="宋体"/>
                <w:szCs w:val="21"/>
              </w:rPr>
            </w:pPr>
            <w:r>
              <w:rPr>
                <w:rFonts w:hint="eastAsia" w:ascii="宋体" w:hAnsi="宋体" w:cs="宋体"/>
                <w:szCs w:val="21"/>
              </w:rPr>
              <w:t>建设工期</w:t>
            </w:r>
          </w:p>
        </w:tc>
        <w:tc>
          <w:tcPr>
            <w:tcW w:w="5273" w:type="dxa"/>
            <w:vAlign w:val="center"/>
          </w:tcPr>
          <w:p>
            <w:pPr>
              <w:spacing w:line="360" w:lineRule="auto"/>
              <w:jc w:val="left"/>
              <w:rPr>
                <w:rFonts w:ascii="宋体" w:hAnsi="宋体" w:cs="宋体"/>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3463" w:type="dxa"/>
            <w:vAlign w:val="center"/>
          </w:tcPr>
          <w:p>
            <w:pPr>
              <w:spacing w:line="360" w:lineRule="auto"/>
              <w:jc w:val="center"/>
              <w:rPr>
                <w:rFonts w:ascii="宋体" w:hAnsi="宋体" w:cs="宋体"/>
                <w:szCs w:val="21"/>
              </w:rPr>
            </w:pPr>
            <w:r>
              <w:rPr>
                <w:rFonts w:hint="eastAsia" w:ascii="宋体" w:hAnsi="宋体" w:cs="宋体"/>
              </w:rPr>
              <w:t>项目负责人</w:t>
            </w:r>
          </w:p>
        </w:tc>
        <w:tc>
          <w:tcPr>
            <w:tcW w:w="5273" w:type="dxa"/>
            <w:vAlign w:val="center"/>
          </w:tcPr>
          <w:p>
            <w:pPr>
              <w:spacing w:line="360" w:lineRule="auto"/>
              <w:jc w:val="left"/>
              <w:rPr>
                <w:rFonts w:ascii="宋体" w:hAnsi="宋体" w:cs="宋体"/>
                <w:szCs w:val="21"/>
              </w:rPr>
            </w:pPr>
          </w:p>
        </w:tc>
      </w:tr>
    </w:tbl>
    <w:p>
      <w:pPr>
        <w:spacing w:line="360" w:lineRule="auto"/>
        <w:jc w:val="left"/>
        <w:rPr>
          <w:rFonts w:ascii="宋体" w:hAnsi="宋体" w:cs="宋体"/>
          <w:szCs w:val="21"/>
        </w:rPr>
      </w:pPr>
    </w:p>
    <w:p>
      <w:pPr>
        <w:spacing w:line="360" w:lineRule="auto"/>
        <w:jc w:val="left"/>
        <w:rPr>
          <w:rFonts w:ascii="宋体" w:hAnsi="宋体" w:cs="宋体"/>
          <w:szCs w:val="21"/>
        </w:rPr>
      </w:pPr>
    </w:p>
    <w:p>
      <w:pPr>
        <w:spacing w:line="360" w:lineRule="auto"/>
        <w:jc w:val="left"/>
        <w:rPr>
          <w:rFonts w:ascii="宋体" w:hAnsi="宋体" w:cs="宋体"/>
          <w:szCs w:val="21"/>
        </w:rPr>
      </w:pPr>
    </w:p>
    <w:p>
      <w:pPr>
        <w:spacing w:line="360" w:lineRule="auto"/>
        <w:ind w:firstLine="8"/>
        <w:jc w:val="right"/>
        <w:rPr>
          <w:rFonts w:ascii="宋体" w:hAnsi="宋体" w:cs="宋体"/>
          <w:szCs w:val="21"/>
        </w:rPr>
      </w:pPr>
      <w:r>
        <w:rPr>
          <w:rFonts w:hint="eastAsia" w:ascii="宋体" w:hAnsi="宋体" w:cs="宋体"/>
          <w:szCs w:val="21"/>
        </w:rPr>
        <w:t>供应商全称（盖单位公章）：</w:t>
      </w:r>
    </w:p>
    <w:p>
      <w:pPr>
        <w:spacing w:line="360" w:lineRule="auto"/>
        <w:ind w:firstLine="9"/>
        <w:jc w:val="right"/>
        <w:rPr>
          <w:rFonts w:ascii="宋体" w:hAnsi="宋体" w:cs="宋体"/>
          <w:szCs w:val="21"/>
        </w:rPr>
      </w:pPr>
      <w:r>
        <w:rPr>
          <w:rFonts w:hint="eastAsia" w:ascii="宋体" w:hAnsi="宋体" w:cs="宋体"/>
          <w:szCs w:val="21"/>
        </w:rPr>
        <w:t>法定代表人或授权代表（签字或盖章）：</w:t>
      </w:r>
    </w:p>
    <w:p>
      <w:pPr>
        <w:spacing w:line="360" w:lineRule="auto"/>
        <w:ind w:firstLine="44"/>
        <w:jc w:val="right"/>
        <w:rPr>
          <w:rFonts w:ascii="宋体" w:hAnsi="宋体" w:cs="宋体"/>
          <w:szCs w:val="21"/>
        </w:rPr>
      </w:pPr>
      <w:r>
        <w:rPr>
          <w:rFonts w:hint="eastAsia" w:ascii="宋体" w:hAnsi="宋体" w:cs="宋体"/>
          <w:szCs w:val="21"/>
        </w:rPr>
        <w:t>日期：年月日</w:t>
      </w:r>
    </w:p>
    <w:p>
      <w:pPr>
        <w:spacing w:line="360" w:lineRule="auto"/>
        <w:jc w:val="right"/>
        <w:rPr>
          <w:rFonts w:ascii="宋体" w:hAnsi="宋体" w:cs="宋体"/>
          <w:szCs w:val="21"/>
        </w:rPr>
        <w:sectPr>
          <w:headerReference r:id="rId24" w:type="default"/>
          <w:footerReference r:id="rId25" w:type="default"/>
          <w:pgSz w:w="11906" w:h="16839"/>
          <w:pgMar w:top="1440" w:right="1800" w:bottom="1440" w:left="1800" w:header="878" w:footer="1045" w:gutter="0"/>
          <w:cols w:space="720" w:num="1"/>
        </w:sectPr>
      </w:pPr>
    </w:p>
    <w:p>
      <w:pPr>
        <w:pStyle w:val="4"/>
        <w:ind w:firstLine="482"/>
        <w:rPr>
          <w:rFonts w:ascii="宋体" w:hAnsi="宋体" w:cs="宋体"/>
        </w:rPr>
      </w:pPr>
      <w:r>
        <w:rPr>
          <w:rFonts w:hint="eastAsia" w:ascii="宋体" w:hAnsi="宋体" w:cs="宋体"/>
        </w:rPr>
        <w:t>3.4供应商基本情况</w:t>
      </w:r>
    </w:p>
    <w:p>
      <w:pPr>
        <w:spacing w:line="360" w:lineRule="auto"/>
        <w:jc w:val="left"/>
        <w:rPr>
          <w:rFonts w:ascii="宋体" w:hAnsi="宋体" w:cs="宋体"/>
          <w:szCs w:val="21"/>
        </w:rPr>
      </w:pPr>
      <w:r>
        <w:rPr>
          <w:rFonts w:hint="eastAsia" w:ascii="宋体" w:hAnsi="宋体" w:cs="宋体"/>
          <w:szCs w:val="21"/>
        </w:rPr>
        <w:t>3.4.1公司介绍，格式自拟。</w:t>
      </w:r>
    </w:p>
    <w:p>
      <w:pPr>
        <w:spacing w:line="360" w:lineRule="auto"/>
        <w:jc w:val="left"/>
        <w:rPr>
          <w:rFonts w:ascii="宋体" w:hAnsi="宋体" w:cs="宋体"/>
          <w:szCs w:val="21"/>
        </w:rPr>
      </w:pPr>
      <w:r>
        <w:rPr>
          <w:rFonts w:hint="eastAsia" w:ascii="宋体" w:hAnsi="宋体" w:cs="宋体"/>
          <w:szCs w:val="21"/>
        </w:rPr>
        <w:t>3.4.2供应商基本情况表</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8"/>
        <w:gridCol w:w="1794"/>
        <w:gridCol w:w="1850"/>
        <w:gridCol w:w="999"/>
        <w:gridCol w:w="139"/>
        <w:gridCol w:w="748"/>
        <w:gridCol w:w="1036"/>
        <w:gridCol w:w="1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58" w:type="dxa"/>
            <w:vAlign w:val="center"/>
          </w:tcPr>
          <w:p>
            <w:pPr>
              <w:widowControl/>
              <w:adjustRightInd w:val="0"/>
              <w:snapToGrid w:val="0"/>
              <w:jc w:val="center"/>
              <w:rPr>
                <w:rFonts w:ascii="宋体" w:hAnsi="宋体" w:cs="宋体"/>
                <w:szCs w:val="21"/>
              </w:rPr>
            </w:pPr>
            <w:r>
              <w:rPr>
                <w:rFonts w:hint="eastAsia" w:ascii="宋体" w:hAnsi="宋体" w:cs="宋体"/>
                <w:szCs w:val="21"/>
              </w:rPr>
              <w:t>单位名称</w:t>
            </w:r>
          </w:p>
        </w:tc>
        <w:tc>
          <w:tcPr>
            <w:tcW w:w="1794" w:type="dxa"/>
            <w:vAlign w:val="center"/>
          </w:tcPr>
          <w:p>
            <w:pPr>
              <w:widowControl/>
              <w:adjustRightInd w:val="0"/>
              <w:snapToGrid w:val="0"/>
              <w:jc w:val="center"/>
              <w:rPr>
                <w:rFonts w:ascii="宋体" w:hAnsi="宋体" w:cs="宋体"/>
                <w:szCs w:val="21"/>
              </w:rPr>
            </w:pPr>
          </w:p>
        </w:tc>
        <w:tc>
          <w:tcPr>
            <w:tcW w:w="1850" w:type="dxa"/>
            <w:vAlign w:val="center"/>
          </w:tcPr>
          <w:p>
            <w:pPr>
              <w:widowControl/>
              <w:adjustRightInd w:val="0"/>
              <w:snapToGrid w:val="0"/>
              <w:jc w:val="center"/>
              <w:rPr>
                <w:rFonts w:ascii="宋体" w:hAnsi="宋体" w:cs="宋体"/>
                <w:szCs w:val="21"/>
              </w:rPr>
            </w:pPr>
            <w:r>
              <w:rPr>
                <w:rFonts w:hint="eastAsia" w:ascii="宋体" w:hAnsi="宋体" w:cs="宋体"/>
                <w:szCs w:val="21"/>
              </w:rPr>
              <w:t>单位地址</w:t>
            </w:r>
          </w:p>
        </w:tc>
        <w:tc>
          <w:tcPr>
            <w:tcW w:w="3984" w:type="dxa"/>
            <w:gridSpan w:val="5"/>
            <w:vAlign w:val="center"/>
          </w:tcPr>
          <w:p>
            <w:pPr>
              <w:widowControl/>
              <w:adjustRightInd w:val="0"/>
              <w:snapToGrid w:val="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58" w:type="dxa"/>
            <w:vAlign w:val="center"/>
          </w:tcPr>
          <w:p>
            <w:pPr>
              <w:widowControl/>
              <w:adjustRightInd w:val="0"/>
              <w:snapToGrid w:val="0"/>
              <w:jc w:val="center"/>
              <w:rPr>
                <w:rFonts w:ascii="宋体" w:hAnsi="宋体" w:cs="宋体"/>
                <w:szCs w:val="21"/>
              </w:rPr>
            </w:pPr>
            <w:r>
              <w:rPr>
                <w:rFonts w:hint="eastAsia" w:ascii="宋体" w:hAnsi="宋体" w:cs="宋体"/>
                <w:szCs w:val="21"/>
              </w:rPr>
              <w:t>联系电话</w:t>
            </w:r>
          </w:p>
        </w:tc>
        <w:tc>
          <w:tcPr>
            <w:tcW w:w="1794" w:type="dxa"/>
            <w:vAlign w:val="center"/>
          </w:tcPr>
          <w:p>
            <w:pPr>
              <w:widowControl/>
              <w:adjustRightInd w:val="0"/>
              <w:snapToGrid w:val="0"/>
              <w:jc w:val="center"/>
              <w:rPr>
                <w:rFonts w:ascii="宋体" w:hAnsi="宋体" w:cs="宋体"/>
                <w:szCs w:val="21"/>
              </w:rPr>
            </w:pPr>
          </w:p>
        </w:tc>
        <w:tc>
          <w:tcPr>
            <w:tcW w:w="1850" w:type="dxa"/>
            <w:vAlign w:val="center"/>
          </w:tcPr>
          <w:p>
            <w:pPr>
              <w:widowControl/>
              <w:adjustRightInd w:val="0"/>
              <w:snapToGrid w:val="0"/>
              <w:jc w:val="center"/>
              <w:rPr>
                <w:rFonts w:ascii="宋体" w:hAnsi="宋体" w:cs="宋体"/>
                <w:szCs w:val="21"/>
              </w:rPr>
            </w:pPr>
            <w:r>
              <w:rPr>
                <w:rFonts w:hint="eastAsia" w:ascii="宋体" w:hAnsi="宋体" w:cs="宋体"/>
                <w:szCs w:val="21"/>
              </w:rPr>
              <w:t>联系人</w:t>
            </w:r>
          </w:p>
        </w:tc>
        <w:tc>
          <w:tcPr>
            <w:tcW w:w="3984" w:type="dxa"/>
            <w:gridSpan w:val="5"/>
            <w:vAlign w:val="center"/>
          </w:tcPr>
          <w:p>
            <w:pPr>
              <w:widowControl/>
              <w:adjustRightInd w:val="0"/>
              <w:snapToGrid w:val="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58" w:type="dxa"/>
            <w:vAlign w:val="center"/>
          </w:tcPr>
          <w:p>
            <w:pPr>
              <w:widowControl/>
              <w:adjustRightInd w:val="0"/>
              <w:snapToGrid w:val="0"/>
              <w:jc w:val="center"/>
              <w:rPr>
                <w:rFonts w:ascii="宋体" w:hAnsi="宋体" w:cs="宋体"/>
                <w:szCs w:val="21"/>
              </w:rPr>
            </w:pPr>
            <w:r>
              <w:rPr>
                <w:rFonts w:hint="eastAsia" w:ascii="宋体" w:hAnsi="宋体" w:cs="宋体"/>
                <w:szCs w:val="21"/>
              </w:rPr>
              <w:t>成立时间</w:t>
            </w:r>
          </w:p>
        </w:tc>
        <w:tc>
          <w:tcPr>
            <w:tcW w:w="1794" w:type="dxa"/>
            <w:vAlign w:val="center"/>
          </w:tcPr>
          <w:p>
            <w:pPr>
              <w:widowControl/>
              <w:adjustRightInd w:val="0"/>
              <w:snapToGrid w:val="0"/>
              <w:jc w:val="center"/>
              <w:rPr>
                <w:rFonts w:ascii="宋体" w:hAnsi="宋体" w:cs="宋体"/>
                <w:szCs w:val="21"/>
              </w:rPr>
            </w:pPr>
          </w:p>
        </w:tc>
        <w:tc>
          <w:tcPr>
            <w:tcW w:w="1850" w:type="dxa"/>
            <w:vAlign w:val="center"/>
          </w:tcPr>
          <w:p>
            <w:pPr>
              <w:widowControl/>
              <w:adjustRightInd w:val="0"/>
              <w:snapToGrid w:val="0"/>
              <w:jc w:val="center"/>
              <w:rPr>
                <w:rFonts w:ascii="宋体" w:hAnsi="宋体" w:cs="宋体"/>
                <w:szCs w:val="21"/>
              </w:rPr>
            </w:pPr>
            <w:r>
              <w:rPr>
                <w:rFonts w:hint="eastAsia" w:ascii="宋体" w:hAnsi="宋体" w:cs="宋体"/>
                <w:szCs w:val="21"/>
              </w:rPr>
              <w:t>注册资金(万元)</w:t>
            </w:r>
          </w:p>
        </w:tc>
        <w:tc>
          <w:tcPr>
            <w:tcW w:w="1138" w:type="dxa"/>
            <w:gridSpan w:val="2"/>
            <w:vAlign w:val="center"/>
          </w:tcPr>
          <w:p>
            <w:pPr>
              <w:widowControl/>
              <w:adjustRightInd w:val="0"/>
              <w:snapToGrid w:val="0"/>
              <w:jc w:val="center"/>
              <w:rPr>
                <w:rFonts w:ascii="宋体" w:hAnsi="宋体" w:cs="宋体"/>
                <w:szCs w:val="21"/>
              </w:rPr>
            </w:pPr>
          </w:p>
        </w:tc>
        <w:tc>
          <w:tcPr>
            <w:tcW w:w="1784" w:type="dxa"/>
            <w:gridSpan w:val="2"/>
            <w:vAlign w:val="center"/>
          </w:tcPr>
          <w:p>
            <w:pPr>
              <w:widowControl/>
              <w:adjustRightInd w:val="0"/>
              <w:snapToGrid w:val="0"/>
              <w:jc w:val="center"/>
              <w:rPr>
                <w:rFonts w:ascii="宋体" w:hAnsi="宋体" w:cs="宋体"/>
                <w:szCs w:val="21"/>
              </w:rPr>
            </w:pPr>
            <w:r>
              <w:rPr>
                <w:rFonts w:hint="eastAsia" w:ascii="宋体" w:hAnsi="宋体" w:cs="宋体"/>
                <w:szCs w:val="21"/>
              </w:rPr>
              <w:t>固定资产(万元)</w:t>
            </w:r>
          </w:p>
        </w:tc>
        <w:tc>
          <w:tcPr>
            <w:tcW w:w="1062" w:type="dxa"/>
            <w:vAlign w:val="center"/>
          </w:tcPr>
          <w:p>
            <w:pPr>
              <w:widowControl/>
              <w:adjustRightInd w:val="0"/>
              <w:snapToGrid w:val="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58" w:type="dxa"/>
            <w:vAlign w:val="center"/>
          </w:tcPr>
          <w:p>
            <w:pPr>
              <w:widowControl/>
              <w:adjustRightInd w:val="0"/>
              <w:snapToGrid w:val="0"/>
              <w:jc w:val="center"/>
              <w:rPr>
                <w:rFonts w:ascii="宋体" w:hAnsi="宋体" w:cs="宋体"/>
                <w:szCs w:val="21"/>
              </w:rPr>
            </w:pPr>
            <w:r>
              <w:rPr>
                <w:rFonts w:hint="eastAsia" w:ascii="宋体" w:hAnsi="宋体" w:cs="宋体"/>
                <w:szCs w:val="21"/>
              </w:rPr>
              <w:t>法人代表</w:t>
            </w:r>
          </w:p>
        </w:tc>
        <w:tc>
          <w:tcPr>
            <w:tcW w:w="1794" w:type="dxa"/>
            <w:vAlign w:val="center"/>
          </w:tcPr>
          <w:p>
            <w:pPr>
              <w:widowControl/>
              <w:adjustRightInd w:val="0"/>
              <w:snapToGrid w:val="0"/>
              <w:jc w:val="center"/>
              <w:rPr>
                <w:rFonts w:ascii="宋体" w:hAnsi="宋体" w:cs="宋体"/>
                <w:szCs w:val="21"/>
              </w:rPr>
            </w:pPr>
          </w:p>
        </w:tc>
        <w:tc>
          <w:tcPr>
            <w:tcW w:w="1850" w:type="dxa"/>
            <w:vAlign w:val="center"/>
          </w:tcPr>
          <w:p>
            <w:pPr>
              <w:widowControl/>
              <w:adjustRightInd w:val="0"/>
              <w:snapToGrid w:val="0"/>
              <w:jc w:val="center"/>
              <w:rPr>
                <w:rFonts w:ascii="宋体" w:hAnsi="宋体" w:cs="宋体"/>
                <w:szCs w:val="21"/>
              </w:rPr>
            </w:pPr>
            <w:r>
              <w:rPr>
                <w:rFonts w:hint="eastAsia" w:ascii="宋体" w:hAnsi="宋体" w:cs="宋体"/>
                <w:szCs w:val="21"/>
              </w:rPr>
              <w:t>技术负责人</w:t>
            </w:r>
          </w:p>
        </w:tc>
        <w:tc>
          <w:tcPr>
            <w:tcW w:w="3984" w:type="dxa"/>
            <w:gridSpan w:val="5"/>
            <w:vAlign w:val="center"/>
          </w:tcPr>
          <w:p>
            <w:pPr>
              <w:widowControl/>
              <w:adjustRightInd w:val="0"/>
              <w:snapToGrid w:val="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58" w:type="dxa"/>
            <w:vMerge w:val="restart"/>
            <w:vAlign w:val="center"/>
          </w:tcPr>
          <w:p>
            <w:pPr>
              <w:widowControl/>
              <w:adjustRightInd w:val="0"/>
              <w:snapToGrid w:val="0"/>
              <w:jc w:val="center"/>
              <w:rPr>
                <w:rFonts w:ascii="宋体" w:hAnsi="宋体" w:cs="宋体"/>
                <w:szCs w:val="21"/>
              </w:rPr>
            </w:pPr>
            <w:r>
              <w:rPr>
                <w:rFonts w:hint="eastAsia" w:ascii="宋体" w:hAnsi="宋体" w:cs="宋体"/>
                <w:szCs w:val="21"/>
              </w:rPr>
              <w:t>资质等级情况</w:t>
            </w:r>
          </w:p>
        </w:tc>
        <w:tc>
          <w:tcPr>
            <w:tcW w:w="1794" w:type="dxa"/>
            <w:vAlign w:val="center"/>
          </w:tcPr>
          <w:p>
            <w:pPr>
              <w:widowControl/>
              <w:adjustRightInd w:val="0"/>
              <w:snapToGrid w:val="0"/>
              <w:jc w:val="center"/>
              <w:rPr>
                <w:rFonts w:ascii="宋体" w:hAnsi="宋体" w:cs="宋体"/>
                <w:szCs w:val="21"/>
              </w:rPr>
            </w:pPr>
            <w:r>
              <w:rPr>
                <w:rFonts w:hint="eastAsia" w:ascii="宋体" w:hAnsi="宋体" w:cs="宋体"/>
                <w:szCs w:val="21"/>
              </w:rPr>
              <w:t>资质名称</w:t>
            </w:r>
          </w:p>
        </w:tc>
        <w:tc>
          <w:tcPr>
            <w:tcW w:w="1850" w:type="dxa"/>
            <w:vAlign w:val="center"/>
          </w:tcPr>
          <w:p>
            <w:pPr>
              <w:widowControl/>
              <w:adjustRightInd w:val="0"/>
              <w:snapToGrid w:val="0"/>
              <w:jc w:val="center"/>
              <w:rPr>
                <w:rFonts w:ascii="宋体" w:hAnsi="宋体" w:cs="宋体"/>
                <w:szCs w:val="21"/>
              </w:rPr>
            </w:pPr>
            <w:r>
              <w:rPr>
                <w:rFonts w:hint="eastAsia" w:ascii="宋体" w:hAnsi="宋体" w:cs="宋体"/>
                <w:szCs w:val="21"/>
              </w:rPr>
              <w:t>颁发部门</w:t>
            </w:r>
          </w:p>
        </w:tc>
        <w:tc>
          <w:tcPr>
            <w:tcW w:w="1886" w:type="dxa"/>
            <w:gridSpan w:val="3"/>
            <w:vAlign w:val="center"/>
          </w:tcPr>
          <w:p>
            <w:pPr>
              <w:widowControl/>
              <w:adjustRightInd w:val="0"/>
              <w:snapToGrid w:val="0"/>
              <w:jc w:val="center"/>
              <w:rPr>
                <w:rFonts w:ascii="宋体" w:hAnsi="宋体" w:cs="宋体"/>
                <w:szCs w:val="21"/>
              </w:rPr>
            </w:pPr>
            <w:r>
              <w:rPr>
                <w:rFonts w:hint="eastAsia" w:ascii="宋体" w:hAnsi="宋体" w:cs="宋体"/>
                <w:szCs w:val="21"/>
              </w:rPr>
              <w:t>资质等级</w:t>
            </w:r>
          </w:p>
        </w:tc>
        <w:tc>
          <w:tcPr>
            <w:tcW w:w="2098" w:type="dxa"/>
            <w:gridSpan w:val="2"/>
            <w:vAlign w:val="center"/>
          </w:tcPr>
          <w:p>
            <w:pPr>
              <w:widowControl/>
              <w:adjustRightInd w:val="0"/>
              <w:snapToGrid w:val="0"/>
              <w:jc w:val="center"/>
              <w:rPr>
                <w:rFonts w:ascii="宋体" w:hAnsi="宋体" w:cs="宋体"/>
                <w:szCs w:val="21"/>
              </w:rPr>
            </w:pPr>
            <w:r>
              <w:rPr>
                <w:rFonts w:hint="eastAsia" w:ascii="宋体" w:hAnsi="宋体" w:cs="宋体"/>
                <w:szCs w:val="21"/>
              </w:rPr>
              <w:t>颁发时间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58" w:type="dxa"/>
            <w:vMerge w:val="continue"/>
            <w:vAlign w:val="center"/>
          </w:tcPr>
          <w:p>
            <w:pPr>
              <w:widowControl/>
              <w:adjustRightInd w:val="0"/>
              <w:snapToGrid w:val="0"/>
              <w:jc w:val="center"/>
              <w:rPr>
                <w:rFonts w:ascii="宋体" w:hAnsi="宋体" w:cs="宋体"/>
                <w:szCs w:val="21"/>
              </w:rPr>
            </w:pPr>
          </w:p>
        </w:tc>
        <w:tc>
          <w:tcPr>
            <w:tcW w:w="1794" w:type="dxa"/>
            <w:vAlign w:val="center"/>
          </w:tcPr>
          <w:p>
            <w:pPr>
              <w:widowControl/>
              <w:adjustRightInd w:val="0"/>
              <w:snapToGrid w:val="0"/>
              <w:jc w:val="center"/>
              <w:rPr>
                <w:rFonts w:ascii="宋体" w:hAnsi="宋体" w:cs="宋体"/>
                <w:szCs w:val="21"/>
              </w:rPr>
            </w:pPr>
          </w:p>
        </w:tc>
        <w:tc>
          <w:tcPr>
            <w:tcW w:w="1850" w:type="dxa"/>
            <w:vAlign w:val="center"/>
          </w:tcPr>
          <w:p>
            <w:pPr>
              <w:widowControl/>
              <w:adjustRightInd w:val="0"/>
              <w:snapToGrid w:val="0"/>
              <w:jc w:val="center"/>
              <w:rPr>
                <w:rFonts w:ascii="宋体" w:hAnsi="宋体" w:cs="宋体"/>
                <w:szCs w:val="21"/>
              </w:rPr>
            </w:pPr>
          </w:p>
        </w:tc>
        <w:tc>
          <w:tcPr>
            <w:tcW w:w="1886" w:type="dxa"/>
            <w:gridSpan w:val="3"/>
            <w:vAlign w:val="center"/>
          </w:tcPr>
          <w:p>
            <w:pPr>
              <w:widowControl/>
              <w:adjustRightInd w:val="0"/>
              <w:snapToGrid w:val="0"/>
              <w:jc w:val="center"/>
              <w:rPr>
                <w:rFonts w:ascii="宋体" w:hAnsi="宋体" w:cs="宋体"/>
                <w:szCs w:val="21"/>
              </w:rPr>
            </w:pPr>
          </w:p>
        </w:tc>
        <w:tc>
          <w:tcPr>
            <w:tcW w:w="2098" w:type="dxa"/>
            <w:gridSpan w:val="2"/>
            <w:vAlign w:val="center"/>
          </w:tcPr>
          <w:p>
            <w:pPr>
              <w:widowControl/>
              <w:adjustRightInd w:val="0"/>
              <w:snapToGrid w:val="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58" w:type="dxa"/>
            <w:vMerge w:val="continue"/>
            <w:vAlign w:val="center"/>
          </w:tcPr>
          <w:p>
            <w:pPr>
              <w:widowControl/>
              <w:adjustRightInd w:val="0"/>
              <w:snapToGrid w:val="0"/>
              <w:jc w:val="center"/>
              <w:rPr>
                <w:rFonts w:ascii="宋体" w:hAnsi="宋体" w:cs="宋体"/>
                <w:szCs w:val="21"/>
              </w:rPr>
            </w:pPr>
          </w:p>
        </w:tc>
        <w:tc>
          <w:tcPr>
            <w:tcW w:w="1794" w:type="dxa"/>
            <w:vAlign w:val="center"/>
          </w:tcPr>
          <w:p>
            <w:pPr>
              <w:widowControl/>
              <w:adjustRightInd w:val="0"/>
              <w:snapToGrid w:val="0"/>
              <w:jc w:val="center"/>
              <w:rPr>
                <w:rFonts w:ascii="宋体" w:hAnsi="宋体" w:cs="宋体"/>
                <w:szCs w:val="21"/>
              </w:rPr>
            </w:pPr>
          </w:p>
        </w:tc>
        <w:tc>
          <w:tcPr>
            <w:tcW w:w="1850" w:type="dxa"/>
            <w:vAlign w:val="center"/>
          </w:tcPr>
          <w:p>
            <w:pPr>
              <w:widowControl/>
              <w:adjustRightInd w:val="0"/>
              <w:snapToGrid w:val="0"/>
              <w:jc w:val="center"/>
              <w:rPr>
                <w:rFonts w:ascii="宋体" w:hAnsi="宋体" w:cs="宋体"/>
                <w:szCs w:val="21"/>
              </w:rPr>
            </w:pPr>
          </w:p>
        </w:tc>
        <w:tc>
          <w:tcPr>
            <w:tcW w:w="1886" w:type="dxa"/>
            <w:gridSpan w:val="3"/>
            <w:vAlign w:val="center"/>
          </w:tcPr>
          <w:p>
            <w:pPr>
              <w:widowControl/>
              <w:adjustRightInd w:val="0"/>
              <w:snapToGrid w:val="0"/>
              <w:jc w:val="center"/>
              <w:rPr>
                <w:rFonts w:ascii="宋体" w:hAnsi="宋体" w:cs="宋体"/>
                <w:szCs w:val="21"/>
              </w:rPr>
            </w:pPr>
          </w:p>
        </w:tc>
        <w:tc>
          <w:tcPr>
            <w:tcW w:w="2098" w:type="dxa"/>
            <w:gridSpan w:val="2"/>
            <w:vAlign w:val="center"/>
          </w:tcPr>
          <w:p>
            <w:pPr>
              <w:widowControl/>
              <w:adjustRightInd w:val="0"/>
              <w:snapToGrid w:val="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301" w:type="dxa"/>
            <w:gridSpan w:val="4"/>
            <w:vAlign w:val="center"/>
          </w:tcPr>
          <w:p>
            <w:pPr>
              <w:widowControl/>
              <w:adjustRightInd w:val="0"/>
              <w:snapToGrid w:val="0"/>
              <w:jc w:val="center"/>
              <w:rPr>
                <w:rFonts w:ascii="宋体" w:hAnsi="宋体" w:cs="宋体"/>
                <w:szCs w:val="21"/>
              </w:rPr>
            </w:pPr>
            <w:r>
              <w:rPr>
                <w:rFonts w:hint="eastAsia" w:ascii="宋体" w:hAnsi="宋体" w:cs="宋体"/>
                <w:szCs w:val="21"/>
              </w:rPr>
              <w:t>供应商近三年有无不良记录或因招投标违规涉及司法诉讼情况</w:t>
            </w:r>
          </w:p>
        </w:tc>
        <w:tc>
          <w:tcPr>
            <w:tcW w:w="2985" w:type="dxa"/>
            <w:gridSpan w:val="4"/>
            <w:vAlign w:val="center"/>
          </w:tcPr>
          <w:p>
            <w:pPr>
              <w:widowControl/>
              <w:adjustRightInd w:val="0"/>
              <w:snapToGrid w:val="0"/>
              <w:jc w:val="center"/>
              <w:rPr>
                <w:rFonts w:ascii="宋体" w:hAnsi="宋体" w:cs="宋体"/>
                <w:szCs w:val="21"/>
              </w:rPr>
            </w:pPr>
            <w:r>
              <w:rPr>
                <w:rFonts w:hint="eastAsia" w:ascii="宋体" w:hAnsi="宋体" w:cs="宋体"/>
                <w:szCs w:val="21"/>
              </w:rPr>
              <w:t>有（），无（）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3" w:hRule="atLeast"/>
          <w:jc w:val="center"/>
        </w:trPr>
        <w:tc>
          <w:tcPr>
            <w:tcW w:w="1658" w:type="dxa"/>
            <w:vAlign w:val="center"/>
          </w:tcPr>
          <w:p>
            <w:pPr>
              <w:widowControl/>
              <w:adjustRightInd w:val="0"/>
              <w:snapToGrid w:val="0"/>
              <w:spacing w:line="300" w:lineRule="auto"/>
              <w:jc w:val="center"/>
              <w:rPr>
                <w:rFonts w:ascii="宋体" w:hAnsi="宋体" w:cs="宋体"/>
                <w:szCs w:val="21"/>
              </w:rPr>
            </w:pPr>
            <w:r>
              <w:rPr>
                <w:rFonts w:hint="eastAsia" w:ascii="宋体" w:hAnsi="宋体" w:cs="宋体"/>
                <w:szCs w:val="21"/>
              </w:rPr>
              <w:t>供应商近三年承担过的类似业绩</w:t>
            </w:r>
          </w:p>
          <w:p>
            <w:pPr>
              <w:widowControl/>
              <w:adjustRightInd w:val="0"/>
              <w:snapToGrid w:val="0"/>
              <w:jc w:val="center"/>
              <w:rPr>
                <w:rFonts w:ascii="宋体" w:hAnsi="宋体" w:cs="宋体"/>
                <w:szCs w:val="21"/>
              </w:rPr>
            </w:pPr>
          </w:p>
        </w:tc>
        <w:tc>
          <w:tcPr>
            <w:tcW w:w="7628" w:type="dxa"/>
            <w:gridSpan w:val="7"/>
            <w:vAlign w:val="center"/>
          </w:tcPr>
          <w:p>
            <w:pPr>
              <w:widowControl/>
              <w:adjustRightInd w:val="0"/>
              <w:snapToGrid w:val="0"/>
              <w:jc w:val="center"/>
              <w:rPr>
                <w:rFonts w:ascii="宋体" w:hAnsi="宋体" w:cs="宋体"/>
                <w:szCs w:val="21"/>
              </w:rPr>
            </w:pPr>
          </w:p>
          <w:p>
            <w:pPr>
              <w:widowControl/>
              <w:adjustRightInd w:val="0"/>
              <w:snapToGrid w:val="0"/>
              <w:jc w:val="center"/>
              <w:rPr>
                <w:rFonts w:ascii="宋体" w:hAnsi="宋体" w:cs="宋体"/>
                <w:szCs w:val="21"/>
              </w:rPr>
            </w:pPr>
          </w:p>
          <w:p>
            <w:pPr>
              <w:widowControl/>
              <w:adjustRightInd w:val="0"/>
              <w:snapToGrid w:val="0"/>
              <w:jc w:val="center"/>
              <w:rPr>
                <w:rFonts w:ascii="宋体" w:hAnsi="宋体" w:cs="宋体"/>
                <w:szCs w:val="21"/>
              </w:rPr>
            </w:pPr>
          </w:p>
          <w:p>
            <w:pPr>
              <w:widowControl/>
              <w:adjustRightInd w:val="0"/>
              <w:snapToGrid w:val="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9" w:hRule="atLeast"/>
          <w:jc w:val="center"/>
        </w:trPr>
        <w:tc>
          <w:tcPr>
            <w:tcW w:w="1658" w:type="dxa"/>
            <w:vAlign w:val="center"/>
          </w:tcPr>
          <w:p>
            <w:pPr>
              <w:widowControl/>
              <w:adjustRightInd w:val="0"/>
              <w:snapToGrid w:val="0"/>
              <w:jc w:val="center"/>
              <w:rPr>
                <w:rFonts w:ascii="宋体" w:hAnsi="宋体" w:cs="宋体"/>
                <w:szCs w:val="21"/>
              </w:rPr>
            </w:pPr>
            <w:r>
              <w:rPr>
                <w:rFonts w:hint="eastAsia" w:ascii="宋体" w:hAnsi="宋体" w:cs="宋体"/>
                <w:szCs w:val="21"/>
              </w:rPr>
              <w:t>其他有竞争力</w:t>
            </w:r>
          </w:p>
          <w:p>
            <w:pPr>
              <w:widowControl/>
              <w:adjustRightInd w:val="0"/>
              <w:snapToGrid w:val="0"/>
              <w:jc w:val="center"/>
              <w:rPr>
                <w:rFonts w:ascii="宋体" w:hAnsi="宋体" w:cs="宋体"/>
                <w:szCs w:val="21"/>
              </w:rPr>
            </w:pPr>
            <w:r>
              <w:rPr>
                <w:rFonts w:hint="eastAsia" w:ascii="宋体" w:hAnsi="宋体" w:cs="宋体"/>
                <w:szCs w:val="21"/>
              </w:rPr>
              <w:t>的说明</w:t>
            </w:r>
          </w:p>
        </w:tc>
        <w:tc>
          <w:tcPr>
            <w:tcW w:w="7628" w:type="dxa"/>
            <w:gridSpan w:val="7"/>
            <w:vAlign w:val="center"/>
          </w:tcPr>
          <w:p>
            <w:pPr>
              <w:widowControl/>
              <w:adjustRightInd w:val="0"/>
              <w:snapToGrid w:val="0"/>
              <w:jc w:val="center"/>
              <w:rPr>
                <w:rFonts w:ascii="宋体" w:hAnsi="宋体" w:cs="宋体"/>
                <w:szCs w:val="21"/>
              </w:rPr>
            </w:pPr>
          </w:p>
        </w:tc>
      </w:tr>
    </w:tbl>
    <w:p>
      <w:pPr>
        <w:spacing w:line="360" w:lineRule="auto"/>
        <w:jc w:val="left"/>
        <w:rPr>
          <w:rFonts w:ascii="宋体" w:hAnsi="宋体" w:cs="宋体"/>
          <w:szCs w:val="21"/>
        </w:rPr>
      </w:pPr>
    </w:p>
    <w:p>
      <w:pPr>
        <w:spacing w:line="360" w:lineRule="auto"/>
        <w:jc w:val="left"/>
        <w:rPr>
          <w:rFonts w:ascii="宋体" w:hAnsi="宋体" w:cs="宋体"/>
          <w:szCs w:val="21"/>
        </w:rPr>
        <w:sectPr>
          <w:headerReference r:id="rId26" w:type="default"/>
          <w:footerReference r:id="rId27" w:type="default"/>
          <w:pgSz w:w="11906" w:h="16839"/>
          <w:pgMar w:top="1440" w:right="1800" w:bottom="1440" w:left="1800" w:header="878" w:footer="1045" w:gutter="0"/>
          <w:cols w:space="720" w:num="1"/>
        </w:sectPr>
      </w:pPr>
    </w:p>
    <w:p>
      <w:pPr>
        <w:pStyle w:val="4"/>
        <w:ind w:firstLine="482"/>
        <w:rPr>
          <w:rFonts w:ascii="宋体" w:hAnsi="宋体" w:cs="宋体"/>
        </w:rPr>
      </w:pPr>
      <w:r>
        <w:rPr>
          <w:rFonts w:hint="eastAsia" w:ascii="宋体" w:hAnsi="宋体" w:cs="宋体"/>
        </w:rPr>
        <w:t>3.5法定代表人资格证明及授权委托书</w:t>
      </w:r>
    </w:p>
    <w:p>
      <w:pPr>
        <w:spacing w:line="360" w:lineRule="auto"/>
        <w:ind w:firstLine="2972"/>
        <w:jc w:val="left"/>
        <w:rPr>
          <w:rFonts w:ascii="宋体" w:hAnsi="宋体" w:cs="宋体"/>
          <w:szCs w:val="21"/>
        </w:rPr>
      </w:pPr>
    </w:p>
    <w:p>
      <w:pPr>
        <w:spacing w:line="360" w:lineRule="auto"/>
        <w:ind w:firstLine="2972"/>
        <w:jc w:val="left"/>
        <w:rPr>
          <w:rFonts w:ascii="宋体" w:hAnsi="宋体" w:cs="宋体"/>
          <w:szCs w:val="21"/>
        </w:rPr>
      </w:pPr>
      <w:r>
        <w:rPr>
          <w:rFonts w:hint="eastAsia" w:ascii="宋体" w:hAnsi="宋体" w:cs="宋体"/>
          <w:szCs w:val="21"/>
        </w:rPr>
        <w:t>法定代表人资格证明书</w:t>
      </w:r>
    </w:p>
    <w:p>
      <w:pPr>
        <w:spacing w:line="360" w:lineRule="auto"/>
        <w:jc w:val="left"/>
        <w:rPr>
          <w:rFonts w:ascii="宋体" w:hAnsi="宋体" w:cs="宋体"/>
          <w:szCs w:val="21"/>
        </w:rPr>
      </w:pPr>
    </w:p>
    <w:p>
      <w:pPr>
        <w:spacing w:line="360" w:lineRule="auto"/>
        <w:jc w:val="left"/>
        <w:rPr>
          <w:rFonts w:ascii="宋体" w:hAnsi="宋体" w:cs="宋体"/>
          <w:szCs w:val="21"/>
        </w:rPr>
      </w:pPr>
    </w:p>
    <w:p>
      <w:pPr>
        <w:tabs>
          <w:tab w:val="left" w:pos="2426"/>
        </w:tabs>
        <w:spacing w:line="360" w:lineRule="auto"/>
        <w:ind w:firstLine="420"/>
        <w:jc w:val="left"/>
        <w:rPr>
          <w:rFonts w:ascii="宋体" w:hAnsi="宋体" w:cs="宋体"/>
          <w:szCs w:val="21"/>
        </w:rPr>
      </w:pPr>
      <w:r>
        <w:rPr>
          <w:rFonts w:hint="eastAsia" w:ascii="宋体" w:hAnsi="宋体" w:cs="宋体"/>
          <w:szCs w:val="21"/>
        </w:rPr>
        <w:t xml:space="preserve"> </w:t>
      </w:r>
      <w:r>
        <w:rPr>
          <w:rFonts w:hint="eastAsia" w:ascii="宋体" w:hAnsi="宋体" w:cs="宋体"/>
          <w:szCs w:val="21"/>
          <w:u w:val="single"/>
        </w:rPr>
        <w:t xml:space="preserve">           </w:t>
      </w:r>
      <w:r>
        <w:rPr>
          <w:rFonts w:hint="eastAsia" w:ascii="宋体" w:hAnsi="宋体" w:cs="宋体"/>
          <w:szCs w:val="21"/>
        </w:rPr>
        <w:t>系</w:t>
      </w:r>
      <w:r>
        <w:rPr>
          <w:rFonts w:hint="eastAsia" w:ascii="宋体" w:hAnsi="宋体" w:cs="宋体"/>
          <w:szCs w:val="21"/>
          <w:u w:val="single"/>
        </w:rPr>
        <w:t xml:space="preserve">           </w:t>
      </w:r>
      <w:r>
        <w:rPr>
          <w:rFonts w:hint="eastAsia" w:ascii="宋体" w:hAnsi="宋体" w:cs="宋体"/>
          <w:szCs w:val="21"/>
        </w:rPr>
        <w:t>的法定代表人。身份证号：</w:t>
      </w:r>
      <w:r>
        <w:rPr>
          <w:rFonts w:hint="eastAsia" w:ascii="宋体" w:hAnsi="宋体" w:cs="宋体"/>
          <w:szCs w:val="21"/>
          <w:u w:val="single"/>
        </w:rPr>
        <w:t xml:space="preserve">          </w:t>
      </w:r>
      <w:r>
        <w:rPr>
          <w:rFonts w:hint="eastAsia" w:ascii="宋体" w:hAnsi="宋体" w:cs="宋体"/>
          <w:szCs w:val="21"/>
        </w:rPr>
        <w:t>。</w:t>
      </w:r>
    </w:p>
    <w:p>
      <w:pPr>
        <w:spacing w:line="360" w:lineRule="auto"/>
        <w:jc w:val="left"/>
        <w:rPr>
          <w:rFonts w:ascii="宋体" w:hAnsi="宋体" w:cs="宋体"/>
          <w:szCs w:val="21"/>
        </w:rPr>
      </w:pPr>
    </w:p>
    <w:p>
      <w:pPr>
        <w:spacing w:line="360" w:lineRule="auto"/>
        <w:ind w:firstLine="498"/>
        <w:jc w:val="left"/>
        <w:rPr>
          <w:rFonts w:ascii="宋体" w:hAnsi="宋体" w:cs="宋体"/>
          <w:szCs w:val="21"/>
        </w:rPr>
      </w:pPr>
      <w:r>
        <w:rPr>
          <w:rFonts w:hint="eastAsia" w:ascii="宋体" w:hAnsi="宋体" w:cs="宋体"/>
          <w:szCs w:val="21"/>
        </w:rPr>
        <w:t>特此证明</w:t>
      </w:r>
    </w:p>
    <w:p>
      <w:pPr>
        <w:spacing w:line="360" w:lineRule="auto"/>
        <w:ind w:firstLine="498"/>
        <w:jc w:val="left"/>
        <w:rPr>
          <w:rFonts w:ascii="宋体" w:hAnsi="宋体" w:cs="宋体"/>
          <w:szCs w:val="21"/>
        </w:rPr>
      </w:pPr>
    </w:p>
    <w:p>
      <w:pPr>
        <w:spacing w:line="360" w:lineRule="auto"/>
        <w:ind w:firstLine="498"/>
        <w:jc w:val="left"/>
        <w:rPr>
          <w:rFonts w:ascii="宋体" w:hAnsi="宋体" w:cs="宋体"/>
          <w:szCs w:val="21"/>
        </w:rPr>
      </w:pPr>
      <w:r>
        <w:rPr>
          <w:rFonts w:hint="eastAsia" w:ascii="宋体" w:hAnsi="宋体" w:cs="宋体"/>
          <w:szCs w:val="21"/>
        </w:rPr>
        <w:t>供应商：(盖公章)</w:t>
      </w:r>
    </w:p>
    <w:p>
      <w:pPr>
        <w:spacing w:line="360" w:lineRule="auto"/>
        <w:ind w:firstLine="498"/>
        <w:jc w:val="left"/>
        <w:rPr>
          <w:rFonts w:ascii="宋体" w:hAnsi="宋体" w:cs="宋体"/>
          <w:szCs w:val="21"/>
        </w:rPr>
      </w:pPr>
    </w:p>
    <w:p>
      <w:pPr>
        <w:spacing w:line="360" w:lineRule="auto"/>
        <w:ind w:firstLine="498"/>
        <w:jc w:val="left"/>
        <w:rPr>
          <w:rFonts w:ascii="宋体" w:hAnsi="宋体" w:cs="宋体"/>
          <w:szCs w:val="21"/>
        </w:rPr>
      </w:pPr>
      <w:r>
        <w:rPr>
          <w:rFonts w:hint="eastAsia" w:ascii="宋体" w:hAnsi="宋体" w:cs="宋体"/>
          <w:szCs w:val="21"/>
        </w:rPr>
        <w:t>日期：年月日</w:t>
      </w:r>
    </w:p>
    <w:p>
      <w:pPr>
        <w:spacing w:line="360" w:lineRule="auto"/>
        <w:ind w:firstLine="498"/>
        <w:jc w:val="left"/>
        <w:rPr>
          <w:rFonts w:ascii="宋体" w:hAnsi="宋体" w:cs="宋体"/>
          <w:szCs w:val="21"/>
        </w:rPr>
      </w:pPr>
    </w:p>
    <w:p>
      <w:pPr>
        <w:spacing w:line="360" w:lineRule="auto"/>
        <w:ind w:firstLine="445"/>
        <w:jc w:val="left"/>
        <w:rPr>
          <w:rFonts w:ascii="宋体" w:hAnsi="宋体" w:cs="宋体"/>
          <w:b/>
          <w:bCs/>
          <w:szCs w:val="21"/>
        </w:rPr>
      </w:pPr>
      <w:r>
        <w:rPr>
          <w:rFonts w:hint="eastAsia" w:ascii="宋体" w:hAnsi="宋体" w:cs="宋体"/>
          <w:b/>
          <w:bCs/>
          <w:szCs w:val="21"/>
        </w:rPr>
        <w:t>附：法定代表人身份证复印件（正反面）</w:t>
      </w:r>
    </w:p>
    <w:p>
      <w:pPr>
        <w:spacing w:line="360" w:lineRule="auto"/>
        <w:jc w:val="left"/>
        <w:rPr>
          <w:rFonts w:ascii="宋体" w:hAnsi="宋体" w:cs="宋体"/>
          <w:szCs w:val="21"/>
        </w:rPr>
      </w:pPr>
    </w:p>
    <w:p>
      <w:pPr>
        <w:spacing w:line="360" w:lineRule="auto"/>
        <w:jc w:val="left"/>
        <w:rPr>
          <w:rFonts w:ascii="宋体" w:hAnsi="宋体" w:cs="宋体"/>
          <w:szCs w:val="21"/>
        </w:rPr>
      </w:pPr>
    </w:p>
    <w:p>
      <w:pPr>
        <w:spacing w:line="360" w:lineRule="auto"/>
        <w:ind w:firstLine="25"/>
        <w:jc w:val="left"/>
        <w:rPr>
          <w:rFonts w:ascii="宋体" w:hAnsi="宋体" w:cs="宋体"/>
          <w:szCs w:val="21"/>
        </w:rPr>
        <w:sectPr>
          <w:headerReference r:id="rId28" w:type="default"/>
          <w:footerReference r:id="rId29" w:type="default"/>
          <w:pgSz w:w="11906" w:h="16839"/>
          <w:pgMar w:top="1440" w:right="1800" w:bottom="1440" w:left="1800" w:header="878" w:footer="1045" w:gutter="0"/>
          <w:cols w:space="720" w:num="1"/>
        </w:sectPr>
      </w:pPr>
    </w:p>
    <w:p>
      <w:pPr>
        <w:spacing w:line="360" w:lineRule="auto"/>
        <w:ind w:firstLine="3670"/>
        <w:jc w:val="left"/>
        <w:rPr>
          <w:rFonts w:ascii="宋体" w:hAnsi="宋体" w:cs="宋体"/>
          <w:szCs w:val="21"/>
        </w:rPr>
      </w:pPr>
      <w:r>
        <w:rPr>
          <w:rFonts w:hint="eastAsia" w:ascii="宋体" w:hAnsi="宋体" w:cs="宋体"/>
          <w:szCs w:val="21"/>
        </w:rPr>
        <w:t>授权委托书</w:t>
      </w:r>
    </w:p>
    <w:p>
      <w:pPr>
        <w:spacing w:line="360" w:lineRule="auto"/>
        <w:jc w:val="left"/>
        <w:rPr>
          <w:rFonts w:ascii="宋体" w:hAnsi="宋体" w:cs="宋体"/>
          <w:szCs w:val="21"/>
        </w:rPr>
      </w:pPr>
    </w:p>
    <w:p>
      <w:pPr>
        <w:spacing w:line="360" w:lineRule="auto"/>
        <w:ind w:firstLine="455"/>
        <w:jc w:val="left"/>
        <w:rPr>
          <w:rFonts w:ascii="宋体" w:hAnsi="宋体" w:cs="宋体"/>
          <w:szCs w:val="21"/>
        </w:rPr>
      </w:pPr>
      <w:r>
        <w:rPr>
          <w:rFonts w:hint="eastAsia" w:ascii="宋体" w:hAnsi="宋体" w:cs="宋体"/>
          <w:szCs w:val="21"/>
        </w:rPr>
        <w:t>我</w:t>
      </w:r>
      <w:r>
        <w:rPr>
          <w:rFonts w:hint="eastAsia" w:ascii="宋体" w:hAnsi="宋体" w:cs="宋体"/>
          <w:szCs w:val="21"/>
          <w:u w:val="single"/>
        </w:rPr>
        <w:t xml:space="preserve">      </w:t>
      </w:r>
      <w:r>
        <w:rPr>
          <w:rFonts w:hint="eastAsia" w:ascii="宋体" w:hAnsi="宋体" w:cs="宋体"/>
          <w:szCs w:val="21"/>
        </w:rPr>
        <w:t xml:space="preserve">（姓名）系 </w:t>
      </w:r>
      <w:r>
        <w:rPr>
          <w:rFonts w:hint="eastAsia" w:ascii="宋体" w:hAnsi="宋体" w:cs="宋体"/>
          <w:szCs w:val="21"/>
          <w:u w:val="single"/>
        </w:rPr>
        <w:t xml:space="preserve">      </w:t>
      </w:r>
      <w:r>
        <w:rPr>
          <w:rFonts w:hint="eastAsia" w:ascii="宋体" w:hAnsi="宋体" w:cs="宋体"/>
          <w:szCs w:val="21"/>
        </w:rPr>
        <w:t>（供应商名称）的法定代表人，现授权委托</w:t>
      </w:r>
      <w:r>
        <w:rPr>
          <w:rFonts w:hint="eastAsia" w:ascii="宋体" w:hAnsi="宋体" w:cs="宋体"/>
          <w:szCs w:val="21"/>
          <w:u w:val="single"/>
        </w:rPr>
        <w:t xml:space="preserve">       </w:t>
      </w:r>
      <w:r>
        <w:rPr>
          <w:rFonts w:hint="eastAsia" w:ascii="宋体" w:hAnsi="宋体" w:cs="宋体"/>
          <w:szCs w:val="21"/>
        </w:rPr>
        <w:t>（姓名、身份证号）为我公司授权代表，以本公司的名义参加</w:t>
      </w:r>
      <w:r>
        <w:rPr>
          <w:rFonts w:hint="eastAsia" w:ascii="宋体" w:hAnsi="宋体" w:cs="宋体"/>
          <w:szCs w:val="21"/>
          <w:u w:val="single"/>
        </w:rPr>
        <w:t>（采购人）</w:t>
      </w:r>
      <w:r>
        <w:rPr>
          <w:rFonts w:hint="eastAsia" w:ascii="宋体" w:hAnsi="宋体" w:cs="宋体"/>
          <w:szCs w:val="21"/>
        </w:rPr>
        <w:t>的</w:t>
      </w:r>
      <w:r>
        <w:rPr>
          <w:rFonts w:hint="eastAsia" w:ascii="宋体" w:hAnsi="宋体" w:cs="宋体"/>
          <w:szCs w:val="21"/>
          <w:u w:val="single"/>
        </w:rPr>
        <w:t xml:space="preserve">        </w:t>
      </w:r>
      <w:r>
        <w:rPr>
          <w:rFonts w:hint="eastAsia" w:ascii="宋体" w:hAnsi="宋体" w:cs="宋体"/>
          <w:szCs w:val="21"/>
        </w:rPr>
        <w:t>项目的投标活动。授权代表在开标、评标、合同谈判过程中所签署的一切文件和处理与之有关的一切事务，我均予以承认。</w:t>
      </w:r>
    </w:p>
    <w:p>
      <w:pPr>
        <w:spacing w:line="360" w:lineRule="auto"/>
        <w:ind w:firstLine="428"/>
        <w:jc w:val="left"/>
        <w:rPr>
          <w:rFonts w:ascii="宋体" w:hAnsi="宋体" w:cs="宋体"/>
          <w:szCs w:val="21"/>
        </w:rPr>
      </w:pPr>
      <w:r>
        <w:rPr>
          <w:rFonts w:hint="eastAsia" w:ascii="宋体" w:hAnsi="宋体" w:cs="宋体"/>
          <w:szCs w:val="21"/>
        </w:rPr>
        <w:t>授权代表无权转委托。特此委托。</w:t>
      </w:r>
    </w:p>
    <w:p>
      <w:pPr>
        <w:spacing w:line="360" w:lineRule="auto"/>
        <w:jc w:val="left"/>
        <w:rPr>
          <w:rFonts w:ascii="宋体" w:hAnsi="宋体" w:cs="宋体"/>
          <w:szCs w:val="21"/>
        </w:rPr>
      </w:pPr>
    </w:p>
    <w:p>
      <w:pPr>
        <w:spacing w:line="360" w:lineRule="auto"/>
        <w:ind w:firstLine="3788"/>
        <w:jc w:val="left"/>
        <w:rPr>
          <w:rFonts w:ascii="宋体" w:hAnsi="宋体" w:cs="宋体"/>
          <w:szCs w:val="21"/>
        </w:rPr>
      </w:pPr>
      <w:r>
        <w:rPr>
          <w:rFonts w:hint="eastAsia" w:ascii="宋体" w:hAnsi="宋体" w:cs="宋体"/>
          <w:szCs w:val="21"/>
        </w:rPr>
        <w:t>供应商：（盖公章）</w:t>
      </w:r>
    </w:p>
    <w:p>
      <w:pPr>
        <w:spacing w:line="360" w:lineRule="auto"/>
        <w:ind w:firstLine="3788"/>
        <w:jc w:val="left"/>
        <w:rPr>
          <w:rFonts w:ascii="宋体" w:hAnsi="宋体" w:cs="宋体"/>
          <w:szCs w:val="21"/>
        </w:rPr>
      </w:pPr>
      <w:r>
        <w:rPr>
          <w:rFonts w:hint="eastAsia" w:ascii="宋体" w:hAnsi="宋体" w:cs="宋体"/>
          <w:szCs w:val="21"/>
        </w:rPr>
        <w:t>法定代表人（签字或盖章）</w:t>
      </w:r>
    </w:p>
    <w:p>
      <w:pPr>
        <w:spacing w:line="360" w:lineRule="auto"/>
        <w:ind w:firstLine="3788"/>
        <w:jc w:val="left"/>
        <w:rPr>
          <w:rFonts w:ascii="宋体" w:hAnsi="宋体" w:cs="宋体"/>
          <w:szCs w:val="21"/>
        </w:rPr>
      </w:pPr>
      <w:r>
        <w:rPr>
          <w:rFonts w:hint="eastAsia" w:ascii="宋体" w:hAnsi="宋体" w:cs="宋体"/>
          <w:szCs w:val="21"/>
        </w:rPr>
        <w:t>法定代表人身份证号码：</w:t>
      </w:r>
    </w:p>
    <w:p>
      <w:pPr>
        <w:spacing w:line="360" w:lineRule="auto"/>
        <w:ind w:firstLine="3788"/>
        <w:jc w:val="left"/>
        <w:rPr>
          <w:rFonts w:ascii="宋体" w:hAnsi="宋体" w:cs="宋体"/>
          <w:szCs w:val="21"/>
        </w:rPr>
      </w:pPr>
      <w:r>
        <w:rPr>
          <w:rFonts w:hint="eastAsia" w:ascii="宋体" w:hAnsi="宋体" w:cs="宋体"/>
          <w:szCs w:val="21"/>
        </w:rPr>
        <w:t>授权代表（签字或盖章）</w:t>
      </w:r>
    </w:p>
    <w:p>
      <w:pPr>
        <w:spacing w:line="360" w:lineRule="auto"/>
        <w:ind w:firstLine="3788"/>
        <w:jc w:val="left"/>
        <w:rPr>
          <w:rFonts w:ascii="宋体" w:hAnsi="宋体" w:cs="宋体"/>
          <w:szCs w:val="21"/>
        </w:rPr>
      </w:pPr>
      <w:r>
        <w:rPr>
          <w:rFonts w:hint="eastAsia" w:ascii="宋体" w:hAnsi="宋体" w:cs="宋体"/>
          <w:szCs w:val="21"/>
        </w:rPr>
        <w:t>授权代表身份证号码：</w:t>
      </w:r>
    </w:p>
    <w:p>
      <w:pPr>
        <w:spacing w:line="360" w:lineRule="auto"/>
        <w:ind w:firstLine="3788"/>
        <w:jc w:val="left"/>
        <w:rPr>
          <w:rFonts w:ascii="宋体" w:hAnsi="宋体" w:cs="宋体"/>
          <w:szCs w:val="21"/>
        </w:rPr>
      </w:pPr>
      <w:r>
        <w:rPr>
          <w:rFonts w:hint="eastAsia" w:ascii="宋体" w:hAnsi="宋体" w:cs="宋体"/>
          <w:szCs w:val="21"/>
        </w:rPr>
        <w:t>年  月  日</w:t>
      </w:r>
    </w:p>
    <w:p>
      <w:pPr>
        <w:pStyle w:val="7"/>
        <w:rPr>
          <w:rFonts w:hAnsi="宋体" w:cs="宋体"/>
          <w:kern w:val="2"/>
        </w:rPr>
      </w:pPr>
    </w:p>
    <w:p>
      <w:pPr>
        <w:spacing w:line="360" w:lineRule="auto"/>
        <w:ind w:firstLine="25"/>
        <w:jc w:val="left"/>
        <w:rPr>
          <w:rFonts w:ascii="宋体" w:hAnsi="宋体" w:cs="宋体"/>
          <w:b/>
          <w:bCs/>
          <w:szCs w:val="21"/>
        </w:rPr>
      </w:pPr>
      <w:r>
        <w:rPr>
          <w:rFonts w:hint="eastAsia" w:ascii="宋体" w:hAnsi="宋体" w:cs="宋体"/>
          <w:b/>
          <w:bCs/>
          <w:szCs w:val="21"/>
        </w:rPr>
        <w:t>附：法定代表人和授权代表的身份证复印件。（正反面）</w:t>
      </w:r>
    </w:p>
    <w:p>
      <w:pPr>
        <w:spacing w:line="360" w:lineRule="auto"/>
        <w:jc w:val="left"/>
        <w:rPr>
          <w:rFonts w:ascii="宋体" w:hAnsi="宋体" w:cs="宋体"/>
          <w:b/>
          <w:bCs/>
          <w:szCs w:val="21"/>
        </w:rPr>
        <w:sectPr>
          <w:pgSz w:w="11906" w:h="16839"/>
          <w:pgMar w:top="1440" w:right="1800" w:bottom="1440" w:left="1800" w:header="878" w:footer="1045" w:gutter="0"/>
          <w:cols w:space="720" w:num="1"/>
        </w:sectPr>
      </w:pPr>
    </w:p>
    <w:p>
      <w:pPr>
        <w:pStyle w:val="4"/>
        <w:ind w:firstLine="482"/>
        <w:rPr>
          <w:rFonts w:ascii="宋体" w:hAnsi="宋体" w:cs="宋体"/>
        </w:rPr>
      </w:pPr>
      <w:r>
        <w:rPr>
          <w:rFonts w:hint="eastAsia" w:ascii="宋体" w:hAnsi="宋体" w:cs="宋体"/>
        </w:rPr>
        <w:t>3.6廉政承诺书</w:t>
      </w:r>
    </w:p>
    <w:p>
      <w:pPr>
        <w:spacing w:line="360" w:lineRule="auto"/>
        <w:ind w:firstLine="420"/>
        <w:jc w:val="center"/>
        <w:rPr>
          <w:rFonts w:ascii="宋体" w:hAnsi="宋体" w:cs="宋体"/>
          <w:szCs w:val="21"/>
        </w:rPr>
      </w:pPr>
      <w:r>
        <w:rPr>
          <w:rFonts w:hint="eastAsia" w:ascii="宋体" w:hAnsi="宋体" w:cs="宋体"/>
          <w:szCs w:val="21"/>
        </w:rPr>
        <w:t>廉政承诺书</w:t>
      </w:r>
    </w:p>
    <w:p>
      <w:pPr>
        <w:spacing w:line="360" w:lineRule="auto"/>
        <w:ind w:firstLine="11"/>
        <w:jc w:val="left"/>
        <w:rPr>
          <w:rFonts w:ascii="宋体" w:hAnsi="宋体" w:cs="宋体"/>
          <w:szCs w:val="21"/>
        </w:rPr>
      </w:pPr>
      <w:r>
        <w:rPr>
          <w:rFonts w:hint="eastAsia" w:ascii="宋体" w:hAnsi="宋体" w:cs="宋体"/>
          <w:szCs w:val="21"/>
          <w:u w:val="single"/>
        </w:rPr>
        <w:t>杭州市城乡建设委员会</w:t>
      </w:r>
      <w:r>
        <w:rPr>
          <w:rFonts w:hint="eastAsia" w:ascii="宋体" w:hAnsi="宋体" w:cs="宋体"/>
          <w:szCs w:val="21"/>
        </w:rPr>
        <w:t>：</w:t>
      </w:r>
    </w:p>
    <w:p>
      <w:pPr>
        <w:spacing w:line="360" w:lineRule="auto"/>
        <w:ind w:firstLine="420"/>
        <w:jc w:val="left"/>
        <w:rPr>
          <w:rFonts w:ascii="宋体" w:hAnsi="宋体" w:cs="宋体"/>
          <w:szCs w:val="21"/>
        </w:rPr>
      </w:pPr>
      <w:r>
        <w:rPr>
          <w:rFonts w:hint="eastAsia" w:ascii="宋体" w:hAnsi="宋体" w:cs="宋体"/>
          <w:szCs w:val="21"/>
        </w:rPr>
        <w:t>我单位响应你单位项目招标要求参加应标。在这次应标过程中和中标后，我们将严格遵守国家法律法规规定要求，并郑重承诺：</w:t>
      </w:r>
    </w:p>
    <w:p>
      <w:pPr>
        <w:spacing w:line="360" w:lineRule="auto"/>
        <w:ind w:firstLine="421"/>
        <w:jc w:val="left"/>
        <w:rPr>
          <w:rFonts w:ascii="宋体" w:hAnsi="宋体" w:cs="宋体"/>
          <w:szCs w:val="21"/>
        </w:rPr>
      </w:pPr>
      <w:r>
        <w:rPr>
          <w:rFonts w:hint="eastAsia" w:ascii="宋体" w:hAnsi="宋体" w:cs="宋体"/>
          <w:szCs w:val="21"/>
        </w:rPr>
        <w:t>一、不向项目有关人员及部门赠送礼金礼物、有价证券、回扣以及中介费、介绍费、咨询费等好处费；</w:t>
      </w:r>
    </w:p>
    <w:p>
      <w:pPr>
        <w:spacing w:line="360" w:lineRule="auto"/>
        <w:ind w:firstLine="432"/>
        <w:jc w:val="left"/>
        <w:rPr>
          <w:rFonts w:ascii="宋体" w:hAnsi="宋体" w:cs="宋体"/>
          <w:szCs w:val="21"/>
        </w:rPr>
      </w:pPr>
      <w:r>
        <w:rPr>
          <w:rFonts w:hint="eastAsia" w:ascii="宋体" w:hAnsi="宋体" w:cs="宋体"/>
          <w:szCs w:val="21"/>
        </w:rPr>
        <w:t>二、不为项目有关人员及部门报销应由你方单位或个人支付的费用；</w:t>
      </w:r>
    </w:p>
    <w:p>
      <w:pPr>
        <w:spacing w:line="360" w:lineRule="auto"/>
        <w:ind w:firstLine="428"/>
        <w:jc w:val="left"/>
        <w:rPr>
          <w:rFonts w:ascii="宋体" w:hAnsi="宋体" w:cs="宋体"/>
          <w:szCs w:val="21"/>
        </w:rPr>
      </w:pPr>
      <w:r>
        <w:rPr>
          <w:rFonts w:hint="eastAsia" w:ascii="宋体" w:hAnsi="宋体" w:cs="宋体"/>
          <w:szCs w:val="21"/>
        </w:rPr>
        <w:t>三、不向项目有关人员及部门提供有可能影响公正执行公务的宴请和健身娱乐等活动；</w:t>
      </w:r>
    </w:p>
    <w:p>
      <w:pPr>
        <w:spacing w:line="360" w:lineRule="auto"/>
        <w:ind w:firstLine="448"/>
        <w:jc w:val="left"/>
        <w:rPr>
          <w:rFonts w:ascii="宋体" w:hAnsi="宋体" w:cs="宋体"/>
          <w:szCs w:val="21"/>
        </w:rPr>
      </w:pPr>
      <w:r>
        <w:rPr>
          <w:rFonts w:hint="eastAsia" w:ascii="宋体" w:hAnsi="宋体" w:cs="宋体"/>
          <w:szCs w:val="21"/>
        </w:rPr>
        <w:t>四、不为项目有关人员及部门出国（境）、旅游等提供方便；</w:t>
      </w:r>
    </w:p>
    <w:p>
      <w:pPr>
        <w:spacing w:line="360" w:lineRule="auto"/>
        <w:ind w:firstLine="432"/>
        <w:jc w:val="left"/>
        <w:rPr>
          <w:rFonts w:ascii="宋体" w:hAnsi="宋体" w:cs="宋体"/>
          <w:szCs w:val="21"/>
        </w:rPr>
      </w:pPr>
      <w:r>
        <w:rPr>
          <w:rFonts w:hint="eastAsia" w:ascii="宋体" w:hAnsi="宋体" w:cs="宋体"/>
          <w:szCs w:val="21"/>
        </w:rPr>
        <w:t>五、不为项目有关人员个人装修住房、婚丧嫁娶、配偶子女工作安排等提供好处；</w:t>
      </w:r>
    </w:p>
    <w:p>
      <w:pPr>
        <w:spacing w:line="360" w:lineRule="auto"/>
        <w:ind w:firstLine="419"/>
        <w:jc w:val="left"/>
        <w:rPr>
          <w:rFonts w:ascii="宋体" w:hAnsi="宋体" w:cs="宋体"/>
          <w:szCs w:val="21"/>
        </w:rPr>
      </w:pPr>
      <w:r>
        <w:rPr>
          <w:rFonts w:hint="eastAsia" w:ascii="宋体" w:hAnsi="宋体" w:cs="宋体"/>
          <w:szCs w:val="21"/>
        </w:rPr>
        <w:t>六、严格遵守政府采购法、合同法等法律，诚实守信，合法经营，坚决抵制各种违法违纪行为。</w:t>
      </w:r>
    </w:p>
    <w:p>
      <w:pPr>
        <w:spacing w:line="360" w:lineRule="auto"/>
        <w:ind w:firstLine="423"/>
        <w:jc w:val="left"/>
        <w:rPr>
          <w:rFonts w:ascii="宋体" w:hAnsi="宋体" w:cs="宋体"/>
          <w:szCs w:val="21"/>
        </w:rPr>
      </w:pPr>
      <w:r>
        <w:rPr>
          <w:rFonts w:hint="eastAsia" w:ascii="宋体" w:hAnsi="宋体" w:cs="宋体"/>
          <w:szCs w:val="21"/>
        </w:rPr>
        <w:t>如违反上述承诺，你单位有权立即取消我单位应标、中标或在建项目的资格，有权拒绝我单位在一定时期内进入你单位进行工程建设或其他经营活动，并通报市政府采购办。由此引起的相应损失均由我单位承担。</w:t>
      </w:r>
    </w:p>
    <w:p>
      <w:pPr>
        <w:spacing w:line="360" w:lineRule="auto"/>
        <w:jc w:val="left"/>
        <w:rPr>
          <w:rFonts w:ascii="宋体" w:hAnsi="宋体" w:cs="宋体"/>
          <w:szCs w:val="21"/>
        </w:rPr>
      </w:pPr>
    </w:p>
    <w:p>
      <w:pPr>
        <w:spacing w:line="360" w:lineRule="auto"/>
        <w:jc w:val="left"/>
        <w:rPr>
          <w:rFonts w:ascii="宋体" w:hAnsi="宋体" w:cs="宋体"/>
          <w:szCs w:val="21"/>
        </w:rPr>
      </w:pPr>
    </w:p>
    <w:p>
      <w:pPr>
        <w:spacing w:line="360" w:lineRule="auto"/>
        <w:ind w:firstLine="8"/>
        <w:jc w:val="right"/>
        <w:rPr>
          <w:rFonts w:ascii="宋体" w:hAnsi="宋体" w:cs="宋体"/>
          <w:szCs w:val="21"/>
        </w:rPr>
      </w:pPr>
      <w:r>
        <w:rPr>
          <w:rFonts w:hint="eastAsia" w:ascii="宋体" w:hAnsi="宋体" w:cs="宋体"/>
          <w:szCs w:val="21"/>
        </w:rPr>
        <w:t>供应商全称（盖单位公章）：</w:t>
      </w:r>
    </w:p>
    <w:p>
      <w:pPr>
        <w:spacing w:line="360" w:lineRule="auto"/>
        <w:ind w:firstLine="9"/>
        <w:jc w:val="right"/>
        <w:rPr>
          <w:rFonts w:ascii="宋体" w:hAnsi="宋体" w:cs="宋体"/>
          <w:szCs w:val="21"/>
        </w:rPr>
      </w:pPr>
      <w:r>
        <w:rPr>
          <w:rFonts w:hint="eastAsia" w:ascii="宋体" w:hAnsi="宋体" w:cs="宋体"/>
          <w:szCs w:val="21"/>
        </w:rPr>
        <w:t>法定代表人或授权代表（签字或盖章）：</w:t>
      </w:r>
    </w:p>
    <w:p>
      <w:pPr>
        <w:spacing w:line="360" w:lineRule="auto"/>
        <w:ind w:firstLine="44"/>
        <w:jc w:val="right"/>
        <w:rPr>
          <w:rFonts w:ascii="宋体" w:hAnsi="宋体" w:cs="宋体"/>
          <w:szCs w:val="21"/>
        </w:rPr>
      </w:pPr>
      <w:r>
        <w:rPr>
          <w:rFonts w:hint="eastAsia" w:ascii="宋体" w:hAnsi="宋体" w:cs="宋体"/>
          <w:szCs w:val="21"/>
        </w:rPr>
        <w:t>日期：年  月  日</w:t>
      </w:r>
    </w:p>
    <w:p>
      <w:pPr>
        <w:spacing w:line="360" w:lineRule="auto"/>
        <w:jc w:val="right"/>
        <w:rPr>
          <w:rFonts w:ascii="宋体" w:hAnsi="宋体" w:cs="宋体"/>
          <w:szCs w:val="21"/>
        </w:rPr>
        <w:sectPr>
          <w:headerReference r:id="rId30" w:type="default"/>
          <w:footerReference r:id="rId31" w:type="default"/>
          <w:pgSz w:w="11906" w:h="16839"/>
          <w:pgMar w:top="1440" w:right="1800" w:bottom="1440" w:left="1800" w:header="878" w:footer="1045" w:gutter="0"/>
          <w:cols w:space="720" w:num="1"/>
        </w:sectPr>
      </w:pPr>
    </w:p>
    <w:p>
      <w:pPr>
        <w:pStyle w:val="4"/>
        <w:ind w:firstLine="482"/>
        <w:rPr>
          <w:rFonts w:ascii="宋体" w:hAnsi="宋体" w:cs="宋体"/>
          <w:szCs w:val="24"/>
        </w:rPr>
      </w:pPr>
      <w:r>
        <w:rPr>
          <w:rFonts w:hint="eastAsia" w:ascii="宋体" w:hAnsi="宋体" w:cs="宋体"/>
          <w:szCs w:val="24"/>
        </w:rPr>
        <w:t>3.7企业实力相关证明材料；</w:t>
      </w:r>
    </w:p>
    <w:p>
      <w:pPr>
        <w:rPr>
          <w:rFonts w:ascii="宋体" w:hAnsi="宋体" w:cs="宋体"/>
        </w:rPr>
      </w:pPr>
      <w:r>
        <w:rPr>
          <w:rFonts w:hint="eastAsia" w:ascii="宋体" w:hAnsi="宋体" w:cs="宋体"/>
        </w:rPr>
        <w:t xml:space="preserve"> </w:t>
      </w:r>
    </w:p>
    <w:p>
      <w:pPr>
        <w:pStyle w:val="7"/>
        <w:rPr>
          <w:rFonts w:hAnsi="宋体" w:cs="宋体"/>
        </w:rPr>
      </w:pPr>
    </w:p>
    <w:p>
      <w:pPr>
        <w:rPr>
          <w:rFonts w:ascii="宋体" w:hAnsi="宋体" w:cs="宋体"/>
        </w:rPr>
      </w:pPr>
    </w:p>
    <w:p>
      <w:pPr>
        <w:pStyle w:val="4"/>
        <w:ind w:firstLine="482"/>
        <w:rPr>
          <w:rFonts w:ascii="宋体" w:hAnsi="宋体" w:cs="宋体"/>
          <w:szCs w:val="24"/>
        </w:rPr>
      </w:pPr>
      <w:r>
        <w:rPr>
          <w:rFonts w:hint="eastAsia" w:ascii="宋体" w:hAnsi="宋体" w:cs="宋体"/>
          <w:szCs w:val="24"/>
        </w:rPr>
        <w:t>3.8服务经验相关证明材料；（参考格式如下）</w:t>
      </w:r>
    </w:p>
    <w:p>
      <w:pPr>
        <w:spacing w:line="360" w:lineRule="auto"/>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项目案例实施情况一览表</w:t>
      </w:r>
    </w:p>
    <w:tbl>
      <w:tblPr>
        <w:tblStyle w:val="15"/>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52"/>
        <w:gridCol w:w="1003"/>
        <w:gridCol w:w="1275"/>
        <w:gridCol w:w="605"/>
        <w:gridCol w:w="1021"/>
        <w:gridCol w:w="734"/>
        <w:gridCol w:w="1377"/>
        <w:gridCol w:w="175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5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序号</w:t>
            </w:r>
          </w:p>
        </w:tc>
        <w:tc>
          <w:tcPr>
            <w:tcW w:w="100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采购单位</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项目名称</w:t>
            </w:r>
          </w:p>
        </w:tc>
        <w:tc>
          <w:tcPr>
            <w:tcW w:w="60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数量</w:t>
            </w:r>
          </w:p>
        </w:tc>
        <w:tc>
          <w:tcPr>
            <w:tcW w:w="102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合同金额</w:t>
            </w:r>
          </w:p>
          <w:p>
            <w:pPr>
              <w:jc w:val="center"/>
              <w:rPr>
                <w:rFonts w:ascii="宋体" w:hAnsi="宋体" w:cs="宋体"/>
                <w:b/>
                <w:szCs w:val="21"/>
              </w:rPr>
            </w:pPr>
            <w:r>
              <w:rPr>
                <w:rFonts w:hint="eastAsia" w:ascii="宋体" w:hAnsi="宋体" w:cs="宋体"/>
                <w:b/>
                <w:szCs w:val="21"/>
              </w:rPr>
              <w:t>（万元）</w:t>
            </w:r>
          </w:p>
        </w:tc>
        <w:tc>
          <w:tcPr>
            <w:tcW w:w="7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附件页码</w:t>
            </w:r>
          </w:p>
        </w:tc>
        <w:tc>
          <w:tcPr>
            <w:tcW w:w="13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合同签订时间</w:t>
            </w:r>
          </w:p>
        </w:tc>
        <w:tc>
          <w:tcPr>
            <w:tcW w:w="17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采购单位联系人</w:t>
            </w:r>
          </w:p>
          <w:p>
            <w:pPr>
              <w:jc w:val="center"/>
              <w:rPr>
                <w:rFonts w:ascii="宋体" w:hAnsi="宋体" w:cs="宋体"/>
                <w:b/>
                <w:sz w:val="24"/>
              </w:rPr>
            </w:pPr>
            <w:r>
              <w:rPr>
                <w:rFonts w:hint="eastAsia" w:ascii="宋体" w:hAnsi="宋体" w:cs="宋体"/>
                <w:b/>
                <w:szCs w:val="21"/>
              </w:rPr>
              <w:t>联系方式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5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0"/>
              </w:rPr>
            </w:pPr>
          </w:p>
        </w:tc>
        <w:tc>
          <w:tcPr>
            <w:tcW w:w="100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0"/>
              </w:rPr>
            </w:pP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0"/>
              </w:rPr>
            </w:pPr>
          </w:p>
        </w:tc>
        <w:tc>
          <w:tcPr>
            <w:tcW w:w="60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0"/>
              </w:rPr>
            </w:pPr>
          </w:p>
        </w:tc>
        <w:tc>
          <w:tcPr>
            <w:tcW w:w="102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0"/>
              </w:rPr>
            </w:pPr>
          </w:p>
        </w:tc>
        <w:tc>
          <w:tcPr>
            <w:tcW w:w="7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0"/>
              </w:rPr>
            </w:pPr>
          </w:p>
        </w:tc>
        <w:tc>
          <w:tcPr>
            <w:tcW w:w="13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0"/>
              </w:rPr>
            </w:pPr>
          </w:p>
        </w:tc>
        <w:tc>
          <w:tcPr>
            <w:tcW w:w="17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5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0"/>
              </w:rPr>
            </w:pPr>
          </w:p>
        </w:tc>
        <w:tc>
          <w:tcPr>
            <w:tcW w:w="100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0"/>
              </w:rPr>
            </w:pP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0"/>
              </w:rPr>
            </w:pPr>
          </w:p>
        </w:tc>
        <w:tc>
          <w:tcPr>
            <w:tcW w:w="60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0"/>
              </w:rPr>
            </w:pPr>
          </w:p>
        </w:tc>
        <w:tc>
          <w:tcPr>
            <w:tcW w:w="102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0"/>
              </w:rPr>
            </w:pPr>
          </w:p>
        </w:tc>
        <w:tc>
          <w:tcPr>
            <w:tcW w:w="7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0"/>
              </w:rPr>
            </w:pPr>
          </w:p>
        </w:tc>
        <w:tc>
          <w:tcPr>
            <w:tcW w:w="13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0"/>
              </w:rPr>
            </w:pPr>
          </w:p>
        </w:tc>
        <w:tc>
          <w:tcPr>
            <w:tcW w:w="17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5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0"/>
              </w:rPr>
            </w:pPr>
          </w:p>
        </w:tc>
        <w:tc>
          <w:tcPr>
            <w:tcW w:w="100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0"/>
              </w:rPr>
            </w:pP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0"/>
              </w:rPr>
            </w:pPr>
          </w:p>
        </w:tc>
        <w:tc>
          <w:tcPr>
            <w:tcW w:w="60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0"/>
              </w:rPr>
            </w:pPr>
          </w:p>
        </w:tc>
        <w:tc>
          <w:tcPr>
            <w:tcW w:w="102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0"/>
              </w:rPr>
            </w:pPr>
          </w:p>
        </w:tc>
        <w:tc>
          <w:tcPr>
            <w:tcW w:w="7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0"/>
              </w:rPr>
            </w:pPr>
          </w:p>
        </w:tc>
        <w:tc>
          <w:tcPr>
            <w:tcW w:w="13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0"/>
              </w:rPr>
            </w:pPr>
          </w:p>
        </w:tc>
        <w:tc>
          <w:tcPr>
            <w:tcW w:w="17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5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0"/>
              </w:rPr>
            </w:pPr>
          </w:p>
        </w:tc>
        <w:tc>
          <w:tcPr>
            <w:tcW w:w="100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0"/>
              </w:rPr>
            </w:pP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0"/>
              </w:rPr>
            </w:pPr>
          </w:p>
        </w:tc>
        <w:tc>
          <w:tcPr>
            <w:tcW w:w="60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0"/>
              </w:rPr>
            </w:pPr>
          </w:p>
        </w:tc>
        <w:tc>
          <w:tcPr>
            <w:tcW w:w="102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0"/>
              </w:rPr>
            </w:pPr>
          </w:p>
        </w:tc>
        <w:tc>
          <w:tcPr>
            <w:tcW w:w="7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0"/>
              </w:rPr>
            </w:pPr>
          </w:p>
        </w:tc>
        <w:tc>
          <w:tcPr>
            <w:tcW w:w="13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0"/>
              </w:rPr>
            </w:pPr>
          </w:p>
        </w:tc>
        <w:tc>
          <w:tcPr>
            <w:tcW w:w="17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5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0"/>
              </w:rPr>
            </w:pPr>
          </w:p>
        </w:tc>
        <w:tc>
          <w:tcPr>
            <w:tcW w:w="100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0"/>
              </w:rPr>
            </w:pP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0"/>
              </w:rPr>
            </w:pPr>
          </w:p>
        </w:tc>
        <w:tc>
          <w:tcPr>
            <w:tcW w:w="60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0"/>
              </w:rPr>
            </w:pPr>
          </w:p>
        </w:tc>
        <w:tc>
          <w:tcPr>
            <w:tcW w:w="102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0"/>
              </w:rPr>
            </w:pPr>
          </w:p>
        </w:tc>
        <w:tc>
          <w:tcPr>
            <w:tcW w:w="7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0"/>
              </w:rPr>
            </w:pPr>
          </w:p>
        </w:tc>
        <w:tc>
          <w:tcPr>
            <w:tcW w:w="13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0"/>
              </w:rPr>
            </w:pPr>
          </w:p>
        </w:tc>
        <w:tc>
          <w:tcPr>
            <w:tcW w:w="1755"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szCs w:val="20"/>
              </w:rPr>
            </w:pPr>
          </w:p>
        </w:tc>
      </w:tr>
    </w:tbl>
    <w:p>
      <w:pPr>
        <w:spacing w:line="360" w:lineRule="auto"/>
        <w:ind w:firstLine="320"/>
        <w:jc w:val="left"/>
        <w:rPr>
          <w:rFonts w:ascii="宋体" w:hAnsi="宋体" w:cs="宋体"/>
          <w:szCs w:val="21"/>
        </w:rPr>
      </w:pPr>
    </w:p>
    <w:p>
      <w:pPr>
        <w:spacing w:line="360" w:lineRule="auto"/>
        <w:ind w:firstLine="320"/>
        <w:jc w:val="left"/>
        <w:rPr>
          <w:rFonts w:ascii="宋体" w:hAnsi="宋体" w:cs="宋体"/>
          <w:szCs w:val="21"/>
        </w:rPr>
      </w:pPr>
      <w:r>
        <w:rPr>
          <w:rFonts w:hint="eastAsia" w:ascii="宋体" w:hAnsi="宋体" w:cs="宋体"/>
          <w:szCs w:val="21"/>
        </w:rPr>
        <w:t>注：需提供合同扫描件，至少包括首页、盖章页、金额页等,并能体现相关评审内容，加盖本单位公章。</w:t>
      </w:r>
    </w:p>
    <w:p>
      <w:pPr>
        <w:spacing w:line="360" w:lineRule="auto"/>
        <w:jc w:val="left"/>
        <w:rPr>
          <w:rFonts w:ascii="宋体" w:hAnsi="宋体" w:cs="宋体"/>
          <w:szCs w:val="21"/>
        </w:rPr>
      </w:pPr>
    </w:p>
    <w:p>
      <w:pPr>
        <w:spacing w:line="360" w:lineRule="auto"/>
        <w:ind w:firstLine="320"/>
        <w:jc w:val="left"/>
        <w:rPr>
          <w:rFonts w:ascii="宋体" w:hAnsi="宋体" w:cs="宋体"/>
          <w:szCs w:val="21"/>
        </w:rPr>
      </w:pPr>
    </w:p>
    <w:p>
      <w:pPr>
        <w:spacing w:line="360" w:lineRule="auto"/>
        <w:ind w:firstLine="8"/>
        <w:jc w:val="right"/>
        <w:rPr>
          <w:rFonts w:ascii="宋体" w:hAnsi="宋体" w:cs="宋体"/>
          <w:szCs w:val="21"/>
        </w:rPr>
      </w:pPr>
      <w:r>
        <w:rPr>
          <w:rFonts w:hint="eastAsia" w:ascii="宋体" w:hAnsi="宋体" w:cs="宋体"/>
          <w:szCs w:val="21"/>
        </w:rPr>
        <w:t>供应商全称（盖单位公章）：</w:t>
      </w:r>
    </w:p>
    <w:p>
      <w:pPr>
        <w:spacing w:line="360" w:lineRule="auto"/>
        <w:ind w:firstLine="9"/>
        <w:jc w:val="right"/>
        <w:rPr>
          <w:rFonts w:ascii="宋体" w:hAnsi="宋体" w:cs="宋体"/>
          <w:szCs w:val="21"/>
        </w:rPr>
      </w:pPr>
      <w:r>
        <w:rPr>
          <w:rFonts w:hint="eastAsia" w:ascii="宋体" w:hAnsi="宋体" w:cs="宋体"/>
          <w:szCs w:val="21"/>
        </w:rPr>
        <w:t>法定代表人或授权代表（签字或盖章）：</w:t>
      </w:r>
    </w:p>
    <w:p>
      <w:pPr>
        <w:spacing w:line="360" w:lineRule="auto"/>
        <w:ind w:firstLine="44"/>
        <w:jc w:val="right"/>
        <w:rPr>
          <w:rFonts w:ascii="宋体" w:hAnsi="宋体" w:cs="宋体"/>
          <w:szCs w:val="21"/>
        </w:rPr>
      </w:pPr>
      <w:r>
        <w:rPr>
          <w:rFonts w:hint="eastAsia" w:ascii="宋体" w:hAnsi="宋体" w:cs="宋体"/>
          <w:szCs w:val="21"/>
        </w:rPr>
        <w:t>日期：年  月  日</w:t>
      </w:r>
    </w:p>
    <w:p>
      <w:pPr>
        <w:spacing w:line="360" w:lineRule="auto"/>
        <w:jc w:val="right"/>
        <w:rPr>
          <w:rFonts w:ascii="宋体" w:hAnsi="宋体" w:cs="宋体"/>
          <w:szCs w:val="21"/>
        </w:rPr>
        <w:sectPr>
          <w:headerReference r:id="rId32" w:type="default"/>
          <w:footerReference r:id="rId33" w:type="default"/>
          <w:pgSz w:w="11906" w:h="16839"/>
          <w:pgMar w:top="1440" w:right="1800" w:bottom="1440" w:left="1800" w:header="878" w:footer="1045" w:gutter="0"/>
          <w:cols w:space="720" w:num="1"/>
        </w:sectPr>
      </w:pPr>
    </w:p>
    <w:p>
      <w:pPr>
        <w:pStyle w:val="4"/>
        <w:ind w:firstLine="482"/>
        <w:rPr>
          <w:rFonts w:ascii="宋体" w:hAnsi="宋体" w:cs="宋体"/>
        </w:rPr>
      </w:pPr>
      <w:r>
        <w:rPr>
          <w:rFonts w:hint="eastAsia" w:ascii="宋体" w:hAnsi="宋体" w:cs="宋体"/>
        </w:rPr>
        <w:t>3.9合同/商务条款偏离表</w:t>
      </w:r>
    </w:p>
    <w:p>
      <w:pPr>
        <w:spacing w:line="360" w:lineRule="auto"/>
        <w:ind w:firstLine="3041"/>
        <w:jc w:val="left"/>
        <w:rPr>
          <w:rFonts w:ascii="宋体" w:hAnsi="宋体" w:cs="宋体"/>
          <w:szCs w:val="21"/>
        </w:rPr>
      </w:pPr>
      <w:r>
        <w:rPr>
          <w:rFonts w:hint="eastAsia" w:ascii="宋体" w:hAnsi="宋体" w:cs="宋体"/>
          <w:szCs w:val="21"/>
        </w:rPr>
        <w:t>合同/商务条款偏离表</w:t>
      </w:r>
    </w:p>
    <w:p>
      <w:pPr>
        <w:spacing w:line="360" w:lineRule="auto"/>
        <w:jc w:val="left"/>
        <w:rPr>
          <w:rFonts w:ascii="宋体" w:hAnsi="宋体" w:cs="宋体"/>
          <w:szCs w:val="21"/>
        </w:rPr>
      </w:pPr>
    </w:p>
    <w:p>
      <w:pPr>
        <w:spacing w:line="360" w:lineRule="auto"/>
        <w:jc w:val="left"/>
        <w:rPr>
          <w:rFonts w:ascii="宋体" w:hAnsi="宋体" w:cs="宋体"/>
          <w:szCs w:val="21"/>
        </w:rPr>
      </w:pPr>
    </w:p>
    <w:tbl>
      <w:tblPr>
        <w:tblStyle w:val="15"/>
        <w:tblW w:w="0" w:type="auto"/>
        <w:tblInd w:w="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61"/>
        <w:gridCol w:w="1786"/>
        <w:gridCol w:w="1786"/>
        <w:gridCol w:w="1786"/>
        <w:gridCol w:w="1786"/>
        <w:gridCol w:w="8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6" w:hRule="atLeast"/>
        </w:trPr>
        <w:tc>
          <w:tcPr>
            <w:tcW w:w="661" w:type="dxa"/>
            <w:vMerge w:val="restart"/>
            <w:tcBorders>
              <w:bottom w:val="nil"/>
            </w:tcBorders>
            <w:vAlign w:val="center"/>
          </w:tcPr>
          <w:p>
            <w:pPr>
              <w:spacing w:line="360" w:lineRule="auto"/>
              <w:jc w:val="left"/>
              <w:rPr>
                <w:rFonts w:ascii="宋体" w:hAnsi="宋体" w:cs="宋体"/>
                <w:szCs w:val="21"/>
              </w:rPr>
            </w:pPr>
          </w:p>
          <w:p>
            <w:pPr>
              <w:spacing w:line="360" w:lineRule="auto"/>
              <w:jc w:val="left"/>
              <w:rPr>
                <w:rFonts w:ascii="宋体" w:hAnsi="宋体" w:cs="宋体"/>
                <w:szCs w:val="21"/>
              </w:rPr>
            </w:pPr>
          </w:p>
          <w:p>
            <w:pPr>
              <w:spacing w:line="360" w:lineRule="auto"/>
              <w:ind w:firstLine="121"/>
              <w:jc w:val="left"/>
              <w:rPr>
                <w:rFonts w:ascii="宋体" w:hAnsi="宋体" w:cs="宋体"/>
                <w:szCs w:val="21"/>
              </w:rPr>
            </w:pPr>
            <w:r>
              <w:rPr>
                <w:rFonts w:hint="eastAsia" w:ascii="宋体" w:hAnsi="宋体" w:cs="宋体"/>
                <w:szCs w:val="21"/>
              </w:rPr>
              <w:t>序号</w:t>
            </w:r>
          </w:p>
        </w:tc>
        <w:tc>
          <w:tcPr>
            <w:tcW w:w="3572" w:type="dxa"/>
            <w:gridSpan w:val="2"/>
            <w:vAlign w:val="center"/>
          </w:tcPr>
          <w:p>
            <w:pPr>
              <w:spacing w:line="360" w:lineRule="auto"/>
              <w:ind w:firstLine="1157"/>
              <w:jc w:val="left"/>
              <w:rPr>
                <w:rFonts w:ascii="宋体" w:hAnsi="宋体" w:cs="宋体"/>
                <w:szCs w:val="21"/>
              </w:rPr>
            </w:pPr>
            <w:r>
              <w:rPr>
                <w:rFonts w:hint="eastAsia" w:ascii="宋体" w:hAnsi="宋体" w:cs="宋体"/>
                <w:szCs w:val="21"/>
              </w:rPr>
              <w:t>采购文件要求</w:t>
            </w:r>
          </w:p>
        </w:tc>
        <w:tc>
          <w:tcPr>
            <w:tcW w:w="3572" w:type="dxa"/>
            <w:gridSpan w:val="2"/>
            <w:vAlign w:val="center"/>
          </w:tcPr>
          <w:p>
            <w:pPr>
              <w:spacing w:line="360" w:lineRule="auto"/>
              <w:ind w:firstLine="1159"/>
              <w:jc w:val="left"/>
              <w:rPr>
                <w:rFonts w:ascii="宋体" w:hAnsi="宋体" w:cs="宋体"/>
                <w:szCs w:val="21"/>
              </w:rPr>
            </w:pPr>
            <w:r>
              <w:rPr>
                <w:rFonts w:hint="eastAsia" w:ascii="宋体" w:hAnsi="宋体" w:cs="宋体"/>
                <w:szCs w:val="21"/>
              </w:rPr>
              <w:t>投标文件响应</w:t>
            </w:r>
          </w:p>
        </w:tc>
        <w:tc>
          <w:tcPr>
            <w:tcW w:w="841" w:type="dxa"/>
            <w:vMerge w:val="restart"/>
            <w:tcBorders>
              <w:bottom w:val="nil"/>
            </w:tcBorders>
            <w:vAlign w:val="center"/>
          </w:tcPr>
          <w:p>
            <w:pPr>
              <w:spacing w:line="360" w:lineRule="auto"/>
              <w:jc w:val="left"/>
              <w:rPr>
                <w:rFonts w:ascii="宋体" w:hAnsi="宋体" w:cs="宋体"/>
                <w:szCs w:val="21"/>
              </w:rPr>
            </w:pPr>
          </w:p>
          <w:p>
            <w:pPr>
              <w:spacing w:line="360" w:lineRule="auto"/>
              <w:jc w:val="left"/>
              <w:rPr>
                <w:rFonts w:ascii="宋体" w:hAnsi="宋体" w:cs="宋体"/>
                <w:szCs w:val="21"/>
              </w:rPr>
            </w:pPr>
          </w:p>
          <w:p>
            <w:pPr>
              <w:spacing w:line="360" w:lineRule="auto"/>
              <w:ind w:firstLine="213"/>
              <w:jc w:val="left"/>
              <w:rPr>
                <w:rFonts w:ascii="宋体" w:hAnsi="宋体" w:cs="宋体"/>
                <w:szCs w:val="21"/>
              </w:rPr>
            </w:pPr>
            <w:r>
              <w:rPr>
                <w:rFonts w:hint="eastAsia" w:ascii="宋体" w:hAnsi="宋体" w:cs="宋体"/>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2" w:hRule="atLeast"/>
        </w:trPr>
        <w:tc>
          <w:tcPr>
            <w:tcW w:w="661" w:type="dxa"/>
            <w:vMerge w:val="continue"/>
            <w:tcBorders>
              <w:top w:val="nil"/>
            </w:tcBorders>
            <w:vAlign w:val="center"/>
          </w:tcPr>
          <w:p>
            <w:pPr>
              <w:spacing w:line="360" w:lineRule="auto"/>
              <w:jc w:val="left"/>
              <w:rPr>
                <w:rFonts w:ascii="宋体" w:hAnsi="宋体" w:cs="宋体"/>
                <w:szCs w:val="21"/>
              </w:rPr>
            </w:pPr>
          </w:p>
        </w:tc>
        <w:tc>
          <w:tcPr>
            <w:tcW w:w="1786" w:type="dxa"/>
            <w:vAlign w:val="center"/>
          </w:tcPr>
          <w:p>
            <w:pPr>
              <w:spacing w:line="360" w:lineRule="auto"/>
              <w:jc w:val="left"/>
              <w:rPr>
                <w:rFonts w:ascii="宋体" w:hAnsi="宋体" w:cs="宋体"/>
                <w:szCs w:val="21"/>
              </w:rPr>
            </w:pPr>
          </w:p>
          <w:p>
            <w:pPr>
              <w:spacing w:line="360" w:lineRule="auto"/>
              <w:ind w:firstLine="273"/>
              <w:jc w:val="left"/>
              <w:rPr>
                <w:rFonts w:ascii="宋体" w:hAnsi="宋体" w:cs="宋体"/>
                <w:szCs w:val="21"/>
              </w:rPr>
            </w:pPr>
            <w:r>
              <w:rPr>
                <w:rFonts w:hint="eastAsia" w:ascii="宋体" w:hAnsi="宋体" w:cs="宋体"/>
                <w:szCs w:val="21"/>
              </w:rPr>
              <w:t>章节、条款号</w:t>
            </w:r>
          </w:p>
        </w:tc>
        <w:tc>
          <w:tcPr>
            <w:tcW w:w="1786" w:type="dxa"/>
            <w:vAlign w:val="center"/>
          </w:tcPr>
          <w:p>
            <w:pPr>
              <w:spacing w:line="360" w:lineRule="auto"/>
              <w:jc w:val="left"/>
              <w:rPr>
                <w:rFonts w:ascii="宋体" w:hAnsi="宋体" w:cs="宋体"/>
                <w:szCs w:val="21"/>
              </w:rPr>
            </w:pPr>
          </w:p>
          <w:p>
            <w:pPr>
              <w:spacing w:line="360" w:lineRule="auto"/>
              <w:ind w:firstLine="265"/>
              <w:jc w:val="left"/>
              <w:rPr>
                <w:rFonts w:ascii="宋体" w:hAnsi="宋体" w:cs="宋体"/>
                <w:szCs w:val="21"/>
              </w:rPr>
            </w:pPr>
            <w:r>
              <w:rPr>
                <w:rFonts w:hint="eastAsia" w:ascii="宋体" w:hAnsi="宋体" w:cs="宋体"/>
                <w:szCs w:val="21"/>
              </w:rPr>
              <w:t>条款内容描述</w:t>
            </w:r>
          </w:p>
        </w:tc>
        <w:tc>
          <w:tcPr>
            <w:tcW w:w="1786" w:type="dxa"/>
            <w:vAlign w:val="center"/>
          </w:tcPr>
          <w:p>
            <w:pPr>
              <w:spacing w:line="360" w:lineRule="auto"/>
              <w:jc w:val="left"/>
              <w:rPr>
                <w:rFonts w:ascii="宋体" w:hAnsi="宋体" w:cs="宋体"/>
                <w:szCs w:val="21"/>
              </w:rPr>
            </w:pPr>
          </w:p>
          <w:p>
            <w:pPr>
              <w:spacing w:line="360" w:lineRule="auto"/>
              <w:ind w:firstLine="271"/>
              <w:jc w:val="left"/>
              <w:rPr>
                <w:rFonts w:ascii="宋体" w:hAnsi="宋体" w:cs="宋体"/>
                <w:szCs w:val="21"/>
              </w:rPr>
            </w:pPr>
            <w:r>
              <w:rPr>
                <w:rFonts w:hint="eastAsia" w:ascii="宋体" w:hAnsi="宋体" w:cs="宋体"/>
                <w:szCs w:val="21"/>
              </w:rPr>
              <w:t>章节、条款号</w:t>
            </w:r>
          </w:p>
        </w:tc>
        <w:tc>
          <w:tcPr>
            <w:tcW w:w="1786" w:type="dxa"/>
            <w:vAlign w:val="center"/>
          </w:tcPr>
          <w:p>
            <w:pPr>
              <w:spacing w:line="360" w:lineRule="auto"/>
              <w:jc w:val="left"/>
              <w:rPr>
                <w:rFonts w:ascii="宋体" w:hAnsi="宋体" w:cs="宋体"/>
                <w:szCs w:val="21"/>
              </w:rPr>
            </w:pPr>
          </w:p>
          <w:p>
            <w:pPr>
              <w:spacing w:line="360" w:lineRule="auto"/>
              <w:ind w:firstLine="265"/>
              <w:jc w:val="left"/>
              <w:rPr>
                <w:rFonts w:ascii="宋体" w:hAnsi="宋体" w:cs="宋体"/>
                <w:szCs w:val="21"/>
              </w:rPr>
            </w:pPr>
            <w:r>
              <w:rPr>
                <w:rFonts w:hint="eastAsia" w:ascii="宋体" w:hAnsi="宋体" w:cs="宋体"/>
                <w:szCs w:val="21"/>
              </w:rPr>
              <w:t>条款内容描述</w:t>
            </w:r>
          </w:p>
        </w:tc>
        <w:tc>
          <w:tcPr>
            <w:tcW w:w="841" w:type="dxa"/>
            <w:vMerge w:val="continue"/>
            <w:tcBorders>
              <w:top w:val="nil"/>
            </w:tcBorders>
            <w:vAlign w:val="center"/>
          </w:tcPr>
          <w:p>
            <w:pPr>
              <w:spacing w:line="360" w:lineRule="auto"/>
              <w:jc w:val="left"/>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2" w:hRule="atLeast"/>
        </w:trPr>
        <w:tc>
          <w:tcPr>
            <w:tcW w:w="661" w:type="dxa"/>
            <w:vAlign w:val="center"/>
          </w:tcPr>
          <w:p>
            <w:pPr>
              <w:spacing w:line="360" w:lineRule="auto"/>
              <w:jc w:val="left"/>
              <w:rPr>
                <w:rFonts w:ascii="宋体" w:hAnsi="宋体" w:cs="宋体"/>
                <w:szCs w:val="21"/>
              </w:rPr>
            </w:pPr>
          </w:p>
        </w:tc>
        <w:tc>
          <w:tcPr>
            <w:tcW w:w="1786" w:type="dxa"/>
            <w:vAlign w:val="center"/>
          </w:tcPr>
          <w:p>
            <w:pPr>
              <w:spacing w:line="360" w:lineRule="auto"/>
              <w:jc w:val="left"/>
              <w:rPr>
                <w:rFonts w:ascii="宋体" w:hAnsi="宋体" w:cs="宋体"/>
                <w:szCs w:val="21"/>
              </w:rPr>
            </w:pPr>
          </w:p>
        </w:tc>
        <w:tc>
          <w:tcPr>
            <w:tcW w:w="1786" w:type="dxa"/>
            <w:vAlign w:val="center"/>
          </w:tcPr>
          <w:p>
            <w:pPr>
              <w:spacing w:line="360" w:lineRule="auto"/>
              <w:jc w:val="left"/>
              <w:rPr>
                <w:rFonts w:ascii="宋体" w:hAnsi="宋体" w:cs="宋体"/>
                <w:szCs w:val="21"/>
              </w:rPr>
            </w:pPr>
          </w:p>
        </w:tc>
        <w:tc>
          <w:tcPr>
            <w:tcW w:w="1786" w:type="dxa"/>
            <w:vAlign w:val="center"/>
          </w:tcPr>
          <w:p>
            <w:pPr>
              <w:spacing w:line="360" w:lineRule="auto"/>
              <w:jc w:val="left"/>
              <w:rPr>
                <w:rFonts w:ascii="宋体" w:hAnsi="宋体" w:cs="宋体"/>
                <w:szCs w:val="21"/>
              </w:rPr>
            </w:pPr>
          </w:p>
        </w:tc>
        <w:tc>
          <w:tcPr>
            <w:tcW w:w="1786" w:type="dxa"/>
            <w:vAlign w:val="center"/>
          </w:tcPr>
          <w:p>
            <w:pPr>
              <w:spacing w:line="360" w:lineRule="auto"/>
              <w:jc w:val="left"/>
              <w:rPr>
                <w:rFonts w:ascii="宋体" w:hAnsi="宋体" w:cs="宋体"/>
                <w:szCs w:val="21"/>
              </w:rPr>
            </w:pPr>
          </w:p>
        </w:tc>
        <w:tc>
          <w:tcPr>
            <w:tcW w:w="841" w:type="dxa"/>
            <w:vAlign w:val="center"/>
          </w:tcPr>
          <w:p>
            <w:pPr>
              <w:spacing w:line="360" w:lineRule="auto"/>
              <w:jc w:val="left"/>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2" w:hRule="atLeast"/>
        </w:trPr>
        <w:tc>
          <w:tcPr>
            <w:tcW w:w="661" w:type="dxa"/>
            <w:vAlign w:val="center"/>
          </w:tcPr>
          <w:p>
            <w:pPr>
              <w:spacing w:line="360" w:lineRule="auto"/>
              <w:jc w:val="left"/>
              <w:rPr>
                <w:rFonts w:ascii="宋体" w:hAnsi="宋体" w:cs="宋体"/>
                <w:szCs w:val="21"/>
              </w:rPr>
            </w:pPr>
          </w:p>
        </w:tc>
        <w:tc>
          <w:tcPr>
            <w:tcW w:w="1786" w:type="dxa"/>
            <w:vAlign w:val="center"/>
          </w:tcPr>
          <w:p>
            <w:pPr>
              <w:spacing w:line="360" w:lineRule="auto"/>
              <w:jc w:val="left"/>
              <w:rPr>
                <w:rFonts w:ascii="宋体" w:hAnsi="宋体" w:cs="宋体"/>
                <w:szCs w:val="21"/>
              </w:rPr>
            </w:pPr>
          </w:p>
        </w:tc>
        <w:tc>
          <w:tcPr>
            <w:tcW w:w="1786" w:type="dxa"/>
            <w:vAlign w:val="center"/>
          </w:tcPr>
          <w:p>
            <w:pPr>
              <w:spacing w:line="360" w:lineRule="auto"/>
              <w:jc w:val="left"/>
              <w:rPr>
                <w:rFonts w:ascii="宋体" w:hAnsi="宋体" w:cs="宋体"/>
                <w:szCs w:val="21"/>
              </w:rPr>
            </w:pPr>
          </w:p>
        </w:tc>
        <w:tc>
          <w:tcPr>
            <w:tcW w:w="1786" w:type="dxa"/>
            <w:vAlign w:val="center"/>
          </w:tcPr>
          <w:p>
            <w:pPr>
              <w:spacing w:line="360" w:lineRule="auto"/>
              <w:jc w:val="left"/>
              <w:rPr>
                <w:rFonts w:ascii="宋体" w:hAnsi="宋体" w:cs="宋体"/>
                <w:szCs w:val="21"/>
              </w:rPr>
            </w:pPr>
          </w:p>
        </w:tc>
        <w:tc>
          <w:tcPr>
            <w:tcW w:w="1786" w:type="dxa"/>
            <w:vAlign w:val="center"/>
          </w:tcPr>
          <w:p>
            <w:pPr>
              <w:spacing w:line="360" w:lineRule="auto"/>
              <w:jc w:val="left"/>
              <w:rPr>
                <w:rFonts w:ascii="宋体" w:hAnsi="宋体" w:cs="宋体"/>
                <w:szCs w:val="21"/>
              </w:rPr>
            </w:pPr>
          </w:p>
        </w:tc>
        <w:tc>
          <w:tcPr>
            <w:tcW w:w="841" w:type="dxa"/>
            <w:vAlign w:val="center"/>
          </w:tcPr>
          <w:p>
            <w:pPr>
              <w:spacing w:line="360" w:lineRule="auto"/>
              <w:jc w:val="left"/>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2" w:hRule="atLeast"/>
        </w:trPr>
        <w:tc>
          <w:tcPr>
            <w:tcW w:w="661" w:type="dxa"/>
            <w:vAlign w:val="center"/>
          </w:tcPr>
          <w:p>
            <w:pPr>
              <w:spacing w:line="360" w:lineRule="auto"/>
              <w:jc w:val="left"/>
              <w:rPr>
                <w:rFonts w:ascii="宋体" w:hAnsi="宋体" w:cs="宋体"/>
                <w:szCs w:val="21"/>
              </w:rPr>
            </w:pPr>
          </w:p>
        </w:tc>
        <w:tc>
          <w:tcPr>
            <w:tcW w:w="1786" w:type="dxa"/>
            <w:vAlign w:val="center"/>
          </w:tcPr>
          <w:p>
            <w:pPr>
              <w:spacing w:line="360" w:lineRule="auto"/>
              <w:jc w:val="left"/>
              <w:rPr>
                <w:rFonts w:ascii="宋体" w:hAnsi="宋体" w:cs="宋体"/>
                <w:szCs w:val="21"/>
              </w:rPr>
            </w:pPr>
          </w:p>
        </w:tc>
        <w:tc>
          <w:tcPr>
            <w:tcW w:w="1786" w:type="dxa"/>
            <w:vAlign w:val="center"/>
          </w:tcPr>
          <w:p>
            <w:pPr>
              <w:spacing w:line="360" w:lineRule="auto"/>
              <w:jc w:val="left"/>
              <w:rPr>
                <w:rFonts w:ascii="宋体" w:hAnsi="宋体" w:cs="宋体"/>
                <w:szCs w:val="21"/>
              </w:rPr>
            </w:pPr>
          </w:p>
        </w:tc>
        <w:tc>
          <w:tcPr>
            <w:tcW w:w="1786" w:type="dxa"/>
            <w:vAlign w:val="center"/>
          </w:tcPr>
          <w:p>
            <w:pPr>
              <w:spacing w:line="360" w:lineRule="auto"/>
              <w:jc w:val="left"/>
              <w:rPr>
                <w:rFonts w:ascii="宋体" w:hAnsi="宋体" w:cs="宋体"/>
                <w:szCs w:val="21"/>
              </w:rPr>
            </w:pPr>
          </w:p>
        </w:tc>
        <w:tc>
          <w:tcPr>
            <w:tcW w:w="1786" w:type="dxa"/>
            <w:vAlign w:val="center"/>
          </w:tcPr>
          <w:p>
            <w:pPr>
              <w:spacing w:line="360" w:lineRule="auto"/>
              <w:jc w:val="left"/>
              <w:rPr>
                <w:rFonts w:ascii="宋体" w:hAnsi="宋体" w:cs="宋体"/>
                <w:szCs w:val="21"/>
              </w:rPr>
            </w:pPr>
          </w:p>
        </w:tc>
        <w:tc>
          <w:tcPr>
            <w:tcW w:w="841" w:type="dxa"/>
            <w:vAlign w:val="center"/>
          </w:tcPr>
          <w:p>
            <w:pPr>
              <w:spacing w:line="360" w:lineRule="auto"/>
              <w:jc w:val="left"/>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2" w:hRule="atLeast"/>
        </w:trPr>
        <w:tc>
          <w:tcPr>
            <w:tcW w:w="661" w:type="dxa"/>
            <w:vAlign w:val="center"/>
          </w:tcPr>
          <w:p>
            <w:pPr>
              <w:spacing w:line="360" w:lineRule="auto"/>
              <w:jc w:val="left"/>
              <w:rPr>
                <w:rFonts w:ascii="宋体" w:hAnsi="宋体" w:cs="宋体"/>
                <w:szCs w:val="21"/>
              </w:rPr>
            </w:pPr>
          </w:p>
        </w:tc>
        <w:tc>
          <w:tcPr>
            <w:tcW w:w="1786" w:type="dxa"/>
            <w:vAlign w:val="center"/>
          </w:tcPr>
          <w:p>
            <w:pPr>
              <w:spacing w:line="360" w:lineRule="auto"/>
              <w:jc w:val="left"/>
              <w:rPr>
                <w:rFonts w:ascii="宋体" w:hAnsi="宋体" w:cs="宋体"/>
                <w:szCs w:val="21"/>
              </w:rPr>
            </w:pPr>
          </w:p>
        </w:tc>
        <w:tc>
          <w:tcPr>
            <w:tcW w:w="1786" w:type="dxa"/>
            <w:vAlign w:val="center"/>
          </w:tcPr>
          <w:p>
            <w:pPr>
              <w:spacing w:line="360" w:lineRule="auto"/>
              <w:jc w:val="left"/>
              <w:rPr>
                <w:rFonts w:ascii="宋体" w:hAnsi="宋体" w:cs="宋体"/>
                <w:szCs w:val="21"/>
              </w:rPr>
            </w:pPr>
          </w:p>
        </w:tc>
        <w:tc>
          <w:tcPr>
            <w:tcW w:w="1786" w:type="dxa"/>
            <w:vAlign w:val="center"/>
          </w:tcPr>
          <w:p>
            <w:pPr>
              <w:spacing w:line="360" w:lineRule="auto"/>
              <w:jc w:val="left"/>
              <w:rPr>
                <w:rFonts w:ascii="宋体" w:hAnsi="宋体" w:cs="宋体"/>
                <w:szCs w:val="21"/>
              </w:rPr>
            </w:pPr>
          </w:p>
        </w:tc>
        <w:tc>
          <w:tcPr>
            <w:tcW w:w="1786" w:type="dxa"/>
            <w:vAlign w:val="center"/>
          </w:tcPr>
          <w:p>
            <w:pPr>
              <w:spacing w:line="360" w:lineRule="auto"/>
              <w:jc w:val="left"/>
              <w:rPr>
                <w:rFonts w:ascii="宋体" w:hAnsi="宋体" w:cs="宋体"/>
                <w:szCs w:val="21"/>
              </w:rPr>
            </w:pPr>
          </w:p>
        </w:tc>
        <w:tc>
          <w:tcPr>
            <w:tcW w:w="841" w:type="dxa"/>
            <w:vAlign w:val="center"/>
          </w:tcPr>
          <w:p>
            <w:pPr>
              <w:spacing w:line="360" w:lineRule="auto"/>
              <w:jc w:val="left"/>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2" w:hRule="atLeast"/>
        </w:trPr>
        <w:tc>
          <w:tcPr>
            <w:tcW w:w="661" w:type="dxa"/>
            <w:vAlign w:val="center"/>
          </w:tcPr>
          <w:p>
            <w:pPr>
              <w:spacing w:line="360" w:lineRule="auto"/>
              <w:jc w:val="left"/>
              <w:rPr>
                <w:rFonts w:ascii="宋体" w:hAnsi="宋体" w:cs="宋体"/>
                <w:szCs w:val="21"/>
              </w:rPr>
            </w:pPr>
          </w:p>
        </w:tc>
        <w:tc>
          <w:tcPr>
            <w:tcW w:w="1786" w:type="dxa"/>
            <w:vAlign w:val="center"/>
          </w:tcPr>
          <w:p>
            <w:pPr>
              <w:spacing w:line="360" w:lineRule="auto"/>
              <w:jc w:val="left"/>
              <w:rPr>
                <w:rFonts w:ascii="宋体" w:hAnsi="宋体" w:cs="宋体"/>
                <w:szCs w:val="21"/>
              </w:rPr>
            </w:pPr>
          </w:p>
        </w:tc>
        <w:tc>
          <w:tcPr>
            <w:tcW w:w="1786" w:type="dxa"/>
            <w:vAlign w:val="center"/>
          </w:tcPr>
          <w:p>
            <w:pPr>
              <w:spacing w:line="360" w:lineRule="auto"/>
              <w:jc w:val="left"/>
              <w:rPr>
                <w:rFonts w:ascii="宋体" w:hAnsi="宋体" w:cs="宋体"/>
                <w:szCs w:val="21"/>
              </w:rPr>
            </w:pPr>
          </w:p>
        </w:tc>
        <w:tc>
          <w:tcPr>
            <w:tcW w:w="1786" w:type="dxa"/>
            <w:vAlign w:val="center"/>
          </w:tcPr>
          <w:p>
            <w:pPr>
              <w:spacing w:line="360" w:lineRule="auto"/>
              <w:jc w:val="left"/>
              <w:rPr>
                <w:rFonts w:ascii="宋体" w:hAnsi="宋体" w:cs="宋体"/>
                <w:szCs w:val="21"/>
              </w:rPr>
            </w:pPr>
          </w:p>
        </w:tc>
        <w:tc>
          <w:tcPr>
            <w:tcW w:w="1786" w:type="dxa"/>
            <w:vAlign w:val="center"/>
          </w:tcPr>
          <w:p>
            <w:pPr>
              <w:spacing w:line="360" w:lineRule="auto"/>
              <w:jc w:val="left"/>
              <w:rPr>
                <w:rFonts w:ascii="宋体" w:hAnsi="宋体" w:cs="宋体"/>
                <w:szCs w:val="21"/>
              </w:rPr>
            </w:pPr>
          </w:p>
        </w:tc>
        <w:tc>
          <w:tcPr>
            <w:tcW w:w="841" w:type="dxa"/>
            <w:vAlign w:val="center"/>
          </w:tcPr>
          <w:p>
            <w:pPr>
              <w:spacing w:line="360" w:lineRule="auto"/>
              <w:jc w:val="left"/>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2" w:hRule="atLeast"/>
        </w:trPr>
        <w:tc>
          <w:tcPr>
            <w:tcW w:w="661" w:type="dxa"/>
            <w:vAlign w:val="center"/>
          </w:tcPr>
          <w:p>
            <w:pPr>
              <w:spacing w:line="360" w:lineRule="auto"/>
              <w:jc w:val="left"/>
              <w:rPr>
                <w:rFonts w:ascii="宋体" w:hAnsi="宋体" w:cs="宋体"/>
                <w:szCs w:val="21"/>
              </w:rPr>
            </w:pPr>
          </w:p>
        </w:tc>
        <w:tc>
          <w:tcPr>
            <w:tcW w:w="1786" w:type="dxa"/>
            <w:vAlign w:val="center"/>
          </w:tcPr>
          <w:p>
            <w:pPr>
              <w:spacing w:line="360" w:lineRule="auto"/>
              <w:jc w:val="left"/>
              <w:rPr>
                <w:rFonts w:ascii="宋体" w:hAnsi="宋体" w:cs="宋体"/>
                <w:szCs w:val="21"/>
              </w:rPr>
            </w:pPr>
          </w:p>
        </w:tc>
        <w:tc>
          <w:tcPr>
            <w:tcW w:w="1786" w:type="dxa"/>
            <w:vAlign w:val="center"/>
          </w:tcPr>
          <w:p>
            <w:pPr>
              <w:spacing w:line="360" w:lineRule="auto"/>
              <w:jc w:val="left"/>
              <w:rPr>
                <w:rFonts w:ascii="宋体" w:hAnsi="宋体" w:cs="宋体"/>
                <w:szCs w:val="21"/>
              </w:rPr>
            </w:pPr>
          </w:p>
        </w:tc>
        <w:tc>
          <w:tcPr>
            <w:tcW w:w="1786" w:type="dxa"/>
            <w:vAlign w:val="center"/>
          </w:tcPr>
          <w:p>
            <w:pPr>
              <w:spacing w:line="360" w:lineRule="auto"/>
              <w:jc w:val="left"/>
              <w:rPr>
                <w:rFonts w:ascii="宋体" w:hAnsi="宋体" w:cs="宋体"/>
                <w:szCs w:val="21"/>
              </w:rPr>
            </w:pPr>
          </w:p>
        </w:tc>
        <w:tc>
          <w:tcPr>
            <w:tcW w:w="1786" w:type="dxa"/>
            <w:vAlign w:val="center"/>
          </w:tcPr>
          <w:p>
            <w:pPr>
              <w:spacing w:line="360" w:lineRule="auto"/>
              <w:jc w:val="left"/>
              <w:rPr>
                <w:rFonts w:ascii="宋体" w:hAnsi="宋体" w:cs="宋体"/>
                <w:szCs w:val="21"/>
              </w:rPr>
            </w:pPr>
          </w:p>
        </w:tc>
        <w:tc>
          <w:tcPr>
            <w:tcW w:w="841" w:type="dxa"/>
            <w:vAlign w:val="center"/>
          </w:tcPr>
          <w:p>
            <w:pPr>
              <w:spacing w:line="360" w:lineRule="auto"/>
              <w:jc w:val="left"/>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2" w:hRule="atLeast"/>
        </w:trPr>
        <w:tc>
          <w:tcPr>
            <w:tcW w:w="661" w:type="dxa"/>
            <w:vAlign w:val="center"/>
          </w:tcPr>
          <w:p>
            <w:pPr>
              <w:spacing w:line="360" w:lineRule="auto"/>
              <w:jc w:val="left"/>
              <w:rPr>
                <w:rFonts w:ascii="宋体" w:hAnsi="宋体" w:cs="宋体"/>
                <w:szCs w:val="21"/>
              </w:rPr>
            </w:pPr>
          </w:p>
        </w:tc>
        <w:tc>
          <w:tcPr>
            <w:tcW w:w="1786" w:type="dxa"/>
            <w:vAlign w:val="center"/>
          </w:tcPr>
          <w:p>
            <w:pPr>
              <w:spacing w:line="360" w:lineRule="auto"/>
              <w:jc w:val="left"/>
              <w:rPr>
                <w:rFonts w:ascii="宋体" w:hAnsi="宋体" w:cs="宋体"/>
                <w:szCs w:val="21"/>
              </w:rPr>
            </w:pPr>
          </w:p>
        </w:tc>
        <w:tc>
          <w:tcPr>
            <w:tcW w:w="1786" w:type="dxa"/>
            <w:vAlign w:val="center"/>
          </w:tcPr>
          <w:p>
            <w:pPr>
              <w:spacing w:line="360" w:lineRule="auto"/>
              <w:jc w:val="left"/>
              <w:rPr>
                <w:rFonts w:ascii="宋体" w:hAnsi="宋体" w:cs="宋体"/>
                <w:szCs w:val="21"/>
              </w:rPr>
            </w:pPr>
          </w:p>
        </w:tc>
        <w:tc>
          <w:tcPr>
            <w:tcW w:w="1786" w:type="dxa"/>
            <w:vAlign w:val="center"/>
          </w:tcPr>
          <w:p>
            <w:pPr>
              <w:spacing w:line="360" w:lineRule="auto"/>
              <w:jc w:val="left"/>
              <w:rPr>
                <w:rFonts w:ascii="宋体" w:hAnsi="宋体" w:cs="宋体"/>
                <w:szCs w:val="21"/>
              </w:rPr>
            </w:pPr>
          </w:p>
        </w:tc>
        <w:tc>
          <w:tcPr>
            <w:tcW w:w="1786" w:type="dxa"/>
            <w:vAlign w:val="center"/>
          </w:tcPr>
          <w:p>
            <w:pPr>
              <w:spacing w:line="360" w:lineRule="auto"/>
              <w:jc w:val="left"/>
              <w:rPr>
                <w:rFonts w:ascii="宋体" w:hAnsi="宋体" w:cs="宋体"/>
                <w:szCs w:val="21"/>
              </w:rPr>
            </w:pPr>
          </w:p>
        </w:tc>
        <w:tc>
          <w:tcPr>
            <w:tcW w:w="841" w:type="dxa"/>
            <w:vAlign w:val="center"/>
          </w:tcPr>
          <w:p>
            <w:pPr>
              <w:spacing w:line="360" w:lineRule="auto"/>
              <w:jc w:val="left"/>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2" w:hRule="atLeast"/>
        </w:trPr>
        <w:tc>
          <w:tcPr>
            <w:tcW w:w="661" w:type="dxa"/>
            <w:vAlign w:val="center"/>
          </w:tcPr>
          <w:p>
            <w:pPr>
              <w:spacing w:line="360" w:lineRule="auto"/>
              <w:jc w:val="left"/>
              <w:rPr>
                <w:rFonts w:ascii="宋体" w:hAnsi="宋体" w:cs="宋体"/>
                <w:szCs w:val="21"/>
              </w:rPr>
            </w:pPr>
          </w:p>
        </w:tc>
        <w:tc>
          <w:tcPr>
            <w:tcW w:w="1786" w:type="dxa"/>
            <w:vAlign w:val="center"/>
          </w:tcPr>
          <w:p>
            <w:pPr>
              <w:spacing w:line="360" w:lineRule="auto"/>
              <w:jc w:val="left"/>
              <w:rPr>
                <w:rFonts w:ascii="宋体" w:hAnsi="宋体" w:cs="宋体"/>
                <w:szCs w:val="21"/>
              </w:rPr>
            </w:pPr>
          </w:p>
        </w:tc>
        <w:tc>
          <w:tcPr>
            <w:tcW w:w="1786" w:type="dxa"/>
            <w:vAlign w:val="center"/>
          </w:tcPr>
          <w:p>
            <w:pPr>
              <w:spacing w:line="360" w:lineRule="auto"/>
              <w:jc w:val="left"/>
              <w:rPr>
                <w:rFonts w:ascii="宋体" w:hAnsi="宋体" w:cs="宋体"/>
                <w:szCs w:val="21"/>
              </w:rPr>
            </w:pPr>
          </w:p>
        </w:tc>
        <w:tc>
          <w:tcPr>
            <w:tcW w:w="1786" w:type="dxa"/>
            <w:vAlign w:val="center"/>
          </w:tcPr>
          <w:p>
            <w:pPr>
              <w:spacing w:line="360" w:lineRule="auto"/>
              <w:jc w:val="left"/>
              <w:rPr>
                <w:rFonts w:ascii="宋体" w:hAnsi="宋体" w:cs="宋体"/>
                <w:szCs w:val="21"/>
              </w:rPr>
            </w:pPr>
          </w:p>
        </w:tc>
        <w:tc>
          <w:tcPr>
            <w:tcW w:w="1786" w:type="dxa"/>
            <w:vAlign w:val="center"/>
          </w:tcPr>
          <w:p>
            <w:pPr>
              <w:spacing w:line="360" w:lineRule="auto"/>
              <w:jc w:val="left"/>
              <w:rPr>
                <w:rFonts w:ascii="宋体" w:hAnsi="宋体" w:cs="宋体"/>
                <w:szCs w:val="21"/>
              </w:rPr>
            </w:pPr>
          </w:p>
        </w:tc>
        <w:tc>
          <w:tcPr>
            <w:tcW w:w="841" w:type="dxa"/>
            <w:vAlign w:val="center"/>
          </w:tcPr>
          <w:p>
            <w:pPr>
              <w:spacing w:line="360" w:lineRule="auto"/>
              <w:jc w:val="left"/>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2" w:hRule="atLeast"/>
        </w:trPr>
        <w:tc>
          <w:tcPr>
            <w:tcW w:w="661" w:type="dxa"/>
            <w:vAlign w:val="center"/>
          </w:tcPr>
          <w:p>
            <w:pPr>
              <w:spacing w:line="360" w:lineRule="auto"/>
              <w:jc w:val="left"/>
              <w:rPr>
                <w:rFonts w:ascii="宋体" w:hAnsi="宋体" w:cs="宋体"/>
                <w:szCs w:val="21"/>
              </w:rPr>
            </w:pPr>
          </w:p>
        </w:tc>
        <w:tc>
          <w:tcPr>
            <w:tcW w:w="1786" w:type="dxa"/>
            <w:vAlign w:val="center"/>
          </w:tcPr>
          <w:p>
            <w:pPr>
              <w:spacing w:line="360" w:lineRule="auto"/>
              <w:jc w:val="left"/>
              <w:rPr>
                <w:rFonts w:ascii="宋体" w:hAnsi="宋体" w:cs="宋体"/>
                <w:szCs w:val="21"/>
              </w:rPr>
            </w:pPr>
          </w:p>
        </w:tc>
        <w:tc>
          <w:tcPr>
            <w:tcW w:w="1786" w:type="dxa"/>
            <w:vAlign w:val="center"/>
          </w:tcPr>
          <w:p>
            <w:pPr>
              <w:spacing w:line="360" w:lineRule="auto"/>
              <w:jc w:val="left"/>
              <w:rPr>
                <w:rFonts w:ascii="宋体" w:hAnsi="宋体" w:cs="宋体"/>
                <w:szCs w:val="21"/>
              </w:rPr>
            </w:pPr>
          </w:p>
        </w:tc>
        <w:tc>
          <w:tcPr>
            <w:tcW w:w="1786" w:type="dxa"/>
            <w:vAlign w:val="center"/>
          </w:tcPr>
          <w:p>
            <w:pPr>
              <w:spacing w:line="360" w:lineRule="auto"/>
              <w:jc w:val="left"/>
              <w:rPr>
                <w:rFonts w:ascii="宋体" w:hAnsi="宋体" w:cs="宋体"/>
                <w:szCs w:val="21"/>
              </w:rPr>
            </w:pPr>
          </w:p>
        </w:tc>
        <w:tc>
          <w:tcPr>
            <w:tcW w:w="1786" w:type="dxa"/>
            <w:vAlign w:val="center"/>
          </w:tcPr>
          <w:p>
            <w:pPr>
              <w:spacing w:line="360" w:lineRule="auto"/>
              <w:jc w:val="left"/>
              <w:rPr>
                <w:rFonts w:ascii="宋体" w:hAnsi="宋体" w:cs="宋体"/>
                <w:szCs w:val="21"/>
              </w:rPr>
            </w:pPr>
          </w:p>
        </w:tc>
        <w:tc>
          <w:tcPr>
            <w:tcW w:w="841" w:type="dxa"/>
            <w:vAlign w:val="center"/>
          </w:tcPr>
          <w:p>
            <w:pPr>
              <w:spacing w:line="360" w:lineRule="auto"/>
              <w:jc w:val="left"/>
              <w:rPr>
                <w:rFonts w:ascii="宋体" w:hAnsi="宋体" w:cs="宋体"/>
                <w:szCs w:val="21"/>
              </w:rPr>
            </w:pPr>
          </w:p>
        </w:tc>
      </w:tr>
    </w:tbl>
    <w:p>
      <w:pPr>
        <w:spacing w:line="360" w:lineRule="auto"/>
        <w:ind w:firstLine="8"/>
        <w:jc w:val="left"/>
        <w:rPr>
          <w:rFonts w:ascii="宋体" w:hAnsi="宋体" w:cs="宋体"/>
          <w:szCs w:val="21"/>
        </w:rPr>
      </w:pPr>
      <w:r>
        <w:rPr>
          <w:rFonts w:hint="eastAsia" w:ascii="宋体" w:hAnsi="宋体" w:cs="宋体"/>
          <w:szCs w:val="21"/>
        </w:rPr>
        <w:t>注：若不填写或只填写“无”视作完全响应采购文件的要求。</w:t>
      </w:r>
    </w:p>
    <w:p>
      <w:pPr>
        <w:spacing w:line="360" w:lineRule="auto"/>
        <w:ind w:firstLine="320"/>
        <w:jc w:val="left"/>
        <w:rPr>
          <w:rFonts w:ascii="宋体" w:hAnsi="宋体" w:cs="宋体"/>
          <w:szCs w:val="21"/>
        </w:rPr>
      </w:pPr>
    </w:p>
    <w:p>
      <w:pPr>
        <w:spacing w:line="360" w:lineRule="auto"/>
        <w:ind w:firstLine="8"/>
        <w:jc w:val="right"/>
        <w:rPr>
          <w:rFonts w:ascii="宋体" w:hAnsi="宋体" w:cs="宋体"/>
          <w:szCs w:val="21"/>
        </w:rPr>
      </w:pPr>
      <w:r>
        <w:rPr>
          <w:rFonts w:hint="eastAsia" w:ascii="宋体" w:hAnsi="宋体" w:cs="宋体"/>
          <w:szCs w:val="21"/>
        </w:rPr>
        <w:t>供应商全称（盖单位公章）：</w:t>
      </w:r>
    </w:p>
    <w:p>
      <w:pPr>
        <w:spacing w:line="360" w:lineRule="auto"/>
        <w:ind w:firstLine="9"/>
        <w:jc w:val="right"/>
        <w:rPr>
          <w:rFonts w:ascii="宋体" w:hAnsi="宋体" w:cs="宋体"/>
          <w:szCs w:val="21"/>
        </w:rPr>
      </w:pPr>
      <w:r>
        <w:rPr>
          <w:rFonts w:hint="eastAsia" w:ascii="宋体" w:hAnsi="宋体" w:cs="宋体"/>
          <w:szCs w:val="21"/>
        </w:rPr>
        <w:t>法定代表人或授权代表（签字或盖章）：</w:t>
      </w:r>
    </w:p>
    <w:p>
      <w:pPr>
        <w:spacing w:line="360" w:lineRule="auto"/>
        <w:ind w:firstLine="44"/>
        <w:jc w:val="right"/>
        <w:rPr>
          <w:rFonts w:ascii="宋体" w:hAnsi="宋体" w:cs="宋体"/>
          <w:szCs w:val="21"/>
        </w:rPr>
      </w:pPr>
      <w:r>
        <w:rPr>
          <w:rFonts w:hint="eastAsia" w:ascii="宋体" w:hAnsi="宋体" w:cs="宋体"/>
          <w:szCs w:val="21"/>
        </w:rPr>
        <w:t>日期：年  月  日</w:t>
      </w:r>
    </w:p>
    <w:p>
      <w:pPr>
        <w:spacing w:line="360" w:lineRule="auto"/>
        <w:jc w:val="right"/>
        <w:rPr>
          <w:rFonts w:ascii="宋体" w:hAnsi="宋体" w:cs="宋体"/>
          <w:szCs w:val="21"/>
        </w:rPr>
        <w:sectPr>
          <w:headerReference r:id="rId34" w:type="default"/>
          <w:footerReference r:id="rId35" w:type="default"/>
          <w:pgSz w:w="11906" w:h="16839"/>
          <w:pgMar w:top="1440" w:right="1800" w:bottom="1440" w:left="1800" w:header="878" w:footer="1045" w:gutter="0"/>
          <w:cols w:space="720" w:num="1"/>
        </w:sectPr>
      </w:pPr>
    </w:p>
    <w:p>
      <w:pPr>
        <w:pStyle w:val="4"/>
        <w:ind w:firstLine="482"/>
        <w:rPr>
          <w:rFonts w:ascii="宋体" w:hAnsi="宋体" w:cs="宋体"/>
        </w:rPr>
      </w:pPr>
      <w:r>
        <w:rPr>
          <w:rFonts w:hint="eastAsia" w:ascii="宋体" w:hAnsi="宋体" w:cs="宋体"/>
        </w:rPr>
        <w:t>3.10采购</w:t>
      </w:r>
      <w:r>
        <w:rPr>
          <w:rFonts w:hint="eastAsia" w:ascii="宋体" w:hAnsi="宋体" w:cs="宋体"/>
          <w:lang w:val="en-US" w:eastAsia="zh-CN"/>
        </w:rPr>
        <w:t>服务</w:t>
      </w:r>
      <w:r>
        <w:rPr>
          <w:rFonts w:hint="eastAsia" w:ascii="宋体" w:hAnsi="宋体" w:cs="宋体"/>
        </w:rPr>
        <w:t>需求点对点应答</w:t>
      </w:r>
    </w:p>
    <w:p>
      <w:pPr>
        <w:rPr>
          <w:rFonts w:ascii="宋体" w:hAnsi="宋体" w:cs="宋体"/>
        </w:rPr>
      </w:pPr>
    </w:p>
    <w:p>
      <w:pPr>
        <w:spacing w:line="360" w:lineRule="auto"/>
        <w:ind w:firstLine="424" w:firstLineChars="202"/>
        <w:jc w:val="left"/>
        <w:rPr>
          <w:rFonts w:ascii="宋体" w:hAnsi="宋体" w:cs="宋体"/>
          <w:szCs w:val="21"/>
        </w:rPr>
        <w:sectPr>
          <w:headerReference r:id="rId36" w:type="default"/>
          <w:footerReference r:id="rId37" w:type="default"/>
          <w:pgSz w:w="11906" w:h="16839"/>
          <w:pgMar w:top="1440" w:right="1800" w:bottom="1440" w:left="1800" w:header="878" w:footer="1045" w:gutter="0"/>
          <w:cols w:space="720" w:num="1"/>
        </w:sectPr>
      </w:pPr>
      <w:r>
        <w:rPr>
          <w:rFonts w:hint="eastAsia" w:ascii="宋体" w:hAnsi="宋体" w:cs="宋体"/>
          <w:szCs w:val="21"/>
          <w:lang w:val="en-US" w:eastAsia="zh-CN"/>
        </w:rPr>
        <w:t>投标</w:t>
      </w:r>
      <w:r>
        <w:rPr>
          <w:rFonts w:hint="eastAsia" w:ascii="宋体" w:hAnsi="宋体" w:cs="宋体"/>
          <w:szCs w:val="21"/>
        </w:rPr>
        <w:t>供应商应当逐条对照第六章采购服务需求内容进行点对点应答，应答内容仅能为“满足”、“不满足”、“部分满足”或“满足并优于”中的一个。如为“不满足”、“部分满足”或“满足并优于”，供应商还需在应答情况后详细说明不满足或优于的具体情况。</w:t>
      </w:r>
    </w:p>
    <w:p>
      <w:pPr>
        <w:pStyle w:val="4"/>
        <w:ind w:firstLine="482"/>
        <w:rPr>
          <w:rFonts w:ascii="宋体" w:hAnsi="宋体" w:cs="宋体"/>
        </w:rPr>
      </w:pPr>
      <w:r>
        <w:rPr>
          <w:rFonts w:hint="eastAsia" w:ascii="宋体" w:hAnsi="宋体" w:cs="宋体"/>
        </w:rPr>
        <w:t>3.11关于本项目的技术方案（格式内容自拟）</w:t>
      </w:r>
    </w:p>
    <w:p>
      <w:pPr>
        <w:spacing w:line="360" w:lineRule="auto"/>
        <w:ind w:firstLine="420" w:firstLineChars="200"/>
        <w:jc w:val="left"/>
        <w:rPr>
          <w:rFonts w:ascii="宋体" w:hAnsi="宋体" w:cs="宋体"/>
          <w:szCs w:val="21"/>
        </w:rPr>
      </w:pPr>
      <w:r>
        <w:rPr>
          <w:rFonts w:hint="eastAsia" w:ascii="宋体" w:hAnsi="宋体" w:cs="宋体"/>
          <w:szCs w:val="21"/>
        </w:rPr>
        <w:t>技术方案的合理性与先进性</w:t>
      </w:r>
    </w:p>
    <w:p>
      <w:pPr>
        <w:spacing w:line="360" w:lineRule="auto"/>
        <w:ind w:firstLine="420" w:firstLineChars="200"/>
        <w:jc w:val="left"/>
        <w:rPr>
          <w:rFonts w:ascii="宋体" w:hAnsi="宋体" w:cs="宋体"/>
          <w:szCs w:val="21"/>
        </w:rPr>
      </w:pPr>
      <w:r>
        <w:rPr>
          <w:rFonts w:hint="eastAsia" w:ascii="宋体" w:hAnsi="宋体" w:cs="宋体"/>
          <w:szCs w:val="21"/>
        </w:rPr>
        <w:t>项目组织实施</w:t>
      </w:r>
    </w:p>
    <w:p>
      <w:pPr>
        <w:spacing w:line="360" w:lineRule="auto"/>
        <w:ind w:firstLine="420" w:firstLineChars="200"/>
        <w:jc w:val="left"/>
        <w:rPr>
          <w:rFonts w:ascii="宋体" w:hAnsi="宋体" w:cs="宋体"/>
          <w:szCs w:val="21"/>
        </w:rPr>
      </w:pPr>
      <w:r>
        <w:rPr>
          <w:rFonts w:hint="eastAsia" w:ascii="宋体" w:hAnsi="宋体" w:cs="宋体"/>
          <w:szCs w:val="21"/>
        </w:rPr>
        <w:t>售后服务</w:t>
      </w:r>
    </w:p>
    <w:p>
      <w:pPr>
        <w:spacing w:line="360" w:lineRule="auto"/>
        <w:ind w:firstLine="420" w:firstLineChars="200"/>
        <w:jc w:val="left"/>
        <w:rPr>
          <w:rFonts w:ascii="宋体" w:hAnsi="宋体" w:cs="宋体"/>
          <w:szCs w:val="21"/>
        </w:rPr>
      </w:pPr>
      <w:r>
        <w:rPr>
          <w:rFonts w:hint="eastAsia" w:ascii="宋体" w:hAnsi="宋体" w:cs="宋体"/>
          <w:szCs w:val="21"/>
        </w:rPr>
        <w:t>培训服务</w:t>
      </w:r>
    </w:p>
    <w:p>
      <w:pPr>
        <w:spacing w:line="360" w:lineRule="auto"/>
        <w:ind w:firstLine="420" w:firstLineChars="200"/>
        <w:jc w:val="left"/>
        <w:rPr>
          <w:rFonts w:ascii="宋体" w:hAnsi="宋体" w:cs="宋体"/>
          <w:szCs w:val="21"/>
        </w:rPr>
      </w:pPr>
      <w:r>
        <w:rPr>
          <w:rFonts w:hint="eastAsia" w:ascii="宋体" w:hAnsi="宋体" w:cs="宋体"/>
          <w:szCs w:val="21"/>
        </w:rPr>
        <w:t>项目组成员</w:t>
      </w:r>
    </w:p>
    <w:p>
      <w:pPr>
        <w:pStyle w:val="4"/>
        <w:ind w:firstLine="482"/>
        <w:rPr>
          <w:rFonts w:ascii="宋体" w:hAnsi="宋体" w:cs="宋体"/>
        </w:rPr>
        <w:sectPr>
          <w:pgSz w:w="11906" w:h="16839"/>
          <w:pgMar w:top="1440" w:right="1800" w:bottom="1440" w:left="1800" w:header="878" w:footer="1045" w:gutter="0"/>
          <w:cols w:space="720" w:num="1"/>
        </w:sectPr>
      </w:pPr>
    </w:p>
    <w:p>
      <w:pPr>
        <w:pStyle w:val="4"/>
        <w:ind w:firstLine="482"/>
        <w:rPr>
          <w:rFonts w:ascii="宋体" w:hAnsi="宋体" w:cs="宋体"/>
        </w:rPr>
      </w:pPr>
      <w:r>
        <w:rPr>
          <w:rFonts w:hint="eastAsia" w:ascii="宋体" w:hAnsi="宋体" w:cs="宋体"/>
        </w:rPr>
        <w:t>附：拟派项目组成员配备情况表</w:t>
      </w:r>
    </w:p>
    <w:p>
      <w:pPr>
        <w:spacing w:line="360" w:lineRule="auto"/>
        <w:ind w:firstLine="2641"/>
        <w:jc w:val="left"/>
        <w:rPr>
          <w:rFonts w:ascii="宋体" w:hAnsi="宋体" w:cs="宋体"/>
          <w:szCs w:val="21"/>
        </w:rPr>
      </w:pPr>
      <w:r>
        <w:rPr>
          <w:rFonts w:hint="eastAsia" w:ascii="宋体" w:hAnsi="宋体" w:cs="宋体"/>
          <w:szCs w:val="21"/>
        </w:rPr>
        <w:t>（1）拟派项目组成员配备情况表</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71"/>
        <w:gridCol w:w="945"/>
        <w:gridCol w:w="1583"/>
        <w:gridCol w:w="698"/>
        <w:gridCol w:w="671"/>
        <w:gridCol w:w="535"/>
        <w:gridCol w:w="806"/>
        <w:gridCol w:w="1450"/>
        <w:gridCol w:w="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4" w:hRule="atLeast"/>
        </w:trPr>
        <w:tc>
          <w:tcPr>
            <w:tcW w:w="771" w:type="dxa"/>
            <w:vAlign w:val="center"/>
          </w:tcPr>
          <w:p>
            <w:pPr>
              <w:spacing w:line="360" w:lineRule="auto"/>
              <w:jc w:val="center"/>
              <w:rPr>
                <w:rFonts w:ascii="宋体" w:hAnsi="宋体" w:cs="宋体"/>
                <w:szCs w:val="21"/>
              </w:rPr>
            </w:pPr>
            <w:r>
              <w:rPr>
                <w:rFonts w:hint="eastAsia" w:ascii="宋体" w:hAnsi="宋体" w:cs="宋体"/>
                <w:szCs w:val="21"/>
              </w:rPr>
              <w:t>序号</w:t>
            </w:r>
          </w:p>
        </w:tc>
        <w:tc>
          <w:tcPr>
            <w:tcW w:w="945" w:type="dxa"/>
            <w:vAlign w:val="center"/>
          </w:tcPr>
          <w:p>
            <w:pPr>
              <w:spacing w:line="360" w:lineRule="auto"/>
              <w:jc w:val="center"/>
              <w:rPr>
                <w:rFonts w:ascii="宋体" w:hAnsi="宋体" w:cs="宋体"/>
                <w:szCs w:val="21"/>
              </w:rPr>
            </w:pPr>
            <w:r>
              <w:rPr>
                <w:rFonts w:hint="eastAsia" w:ascii="宋体" w:hAnsi="宋体" w:cs="宋体"/>
                <w:szCs w:val="21"/>
              </w:rPr>
              <w:t>姓名</w:t>
            </w:r>
          </w:p>
        </w:tc>
        <w:tc>
          <w:tcPr>
            <w:tcW w:w="1583" w:type="dxa"/>
            <w:vAlign w:val="center"/>
          </w:tcPr>
          <w:p>
            <w:pPr>
              <w:spacing w:line="360" w:lineRule="auto"/>
              <w:jc w:val="center"/>
              <w:rPr>
                <w:rFonts w:ascii="宋体" w:hAnsi="宋体" w:cs="宋体"/>
                <w:szCs w:val="21"/>
              </w:rPr>
            </w:pPr>
            <w:r>
              <w:rPr>
                <w:rFonts w:hint="eastAsia" w:ascii="宋体" w:hAnsi="宋体" w:cs="宋体"/>
                <w:szCs w:val="21"/>
              </w:rPr>
              <w:t>本项目拟任岗位</w:t>
            </w:r>
          </w:p>
        </w:tc>
        <w:tc>
          <w:tcPr>
            <w:tcW w:w="698" w:type="dxa"/>
            <w:vAlign w:val="center"/>
          </w:tcPr>
          <w:p>
            <w:pPr>
              <w:spacing w:line="360" w:lineRule="auto"/>
              <w:jc w:val="center"/>
              <w:rPr>
                <w:rFonts w:ascii="宋体" w:hAnsi="宋体" w:cs="宋体"/>
                <w:szCs w:val="21"/>
              </w:rPr>
            </w:pPr>
            <w:r>
              <w:rPr>
                <w:rFonts w:hint="eastAsia" w:ascii="宋体" w:hAnsi="宋体" w:cs="宋体"/>
                <w:szCs w:val="21"/>
              </w:rPr>
              <w:t>年龄</w:t>
            </w:r>
          </w:p>
        </w:tc>
        <w:tc>
          <w:tcPr>
            <w:tcW w:w="671" w:type="dxa"/>
            <w:vAlign w:val="center"/>
          </w:tcPr>
          <w:p>
            <w:pPr>
              <w:spacing w:line="360" w:lineRule="auto"/>
              <w:jc w:val="center"/>
              <w:rPr>
                <w:rFonts w:ascii="宋体" w:hAnsi="宋体" w:cs="宋体"/>
                <w:szCs w:val="21"/>
              </w:rPr>
            </w:pPr>
            <w:r>
              <w:rPr>
                <w:rFonts w:hint="eastAsia" w:ascii="宋体" w:hAnsi="宋体" w:cs="宋体"/>
                <w:szCs w:val="21"/>
              </w:rPr>
              <w:t>性别</w:t>
            </w:r>
          </w:p>
        </w:tc>
        <w:tc>
          <w:tcPr>
            <w:tcW w:w="535" w:type="dxa"/>
            <w:vAlign w:val="center"/>
          </w:tcPr>
          <w:p>
            <w:pPr>
              <w:spacing w:line="360" w:lineRule="auto"/>
              <w:jc w:val="center"/>
              <w:rPr>
                <w:rFonts w:ascii="宋体" w:hAnsi="宋体" w:cs="宋体"/>
                <w:szCs w:val="21"/>
              </w:rPr>
            </w:pPr>
            <w:r>
              <w:rPr>
                <w:rFonts w:hint="eastAsia" w:ascii="宋体" w:hAnsi="宋体" w:cs="宋体"/>
                <w:szCs w:val="21"/>
              </w:rPr>
              <w:t>专业</w:t>
            </w:r>
          </w:p>
        </w:tc>
        <w:tc>
          <w:tcPr>
            <w:tcW w:w="806" w:type="dxa"/>
            <w:vAlign w:val="center"/>
          </w:tcPr>
          <w:p>
            <w:pPr>
              <w:spacing w:line="360" w:lineRule="auto"/>
              <w:jc w:val="center"/>
              <w:rPr>
                <w:rFonts w:ascii="宋体" w:hAnsi="宋体" w:cs="宋体"/>
                <w:szCs w:val="21"/>
              </w:rPr>
            </w:pPr>
            <w:r>
              <w:rPr>
                <w:rFonts w:hint="eastAsia" w:ascii="宋体" w:hAnsi="宋体" w:cs="宋体"/>
                <w:szCs w:val="21"/>
              </w:rPr>
              <w:t>专业年限</w:t>
            </w:r>
          </w:p>
        </w:tc>
        <w:tc>
          <w:tcPr>
            <w:tcW w:w="1450" w:type="dxa"/>
            <w:vAlign w:val="center"/>
          </w:tcPr>
          <w:p>
            <w:pPr>
              <w:spacing w:line="360" w:lineRule="auto"/>
              <w:jc w:val="center"/>
              <w:rPr>
                <w:rFonts w:ascii="宋体" w:hAnsi="宋体" w:cs="宋体"/>
                <w:szCs w:val="21"/>
              </w:rPr>
            </w:pPr>
            <w:r>
              <w:rPr>
                <w:rFonts w:hint="eastAsia" w:ascii="宋体" w:hAnsi="宋体" w:cs="宋体"/>
                <w:szCs w:val="21"/>
              </w:rPr>
              <w:t>职务、职称</w:t>
            </w:r>
          </w:p>
          <w:p>
            <w:pPr>
              <w:spacing w:line="360" w:lineRule="auto"/>
              <w:jc w:val="center"/>
              <w:rPr>
                <w:rFonts w:ascii="宋体" w:hAnsi="宋体" w:cs="宋体"/>
                <w:szCs w:val="21"/>
              </w:rPr>
            </w:pPr>
            <w:r>
              <w:rPr>
                <w:rFonts w:hint="eastAsia" w:ascii="宋体" w:hAnsi="宋体" w:cs="宋体"/>
                <w:szCs w:val="21"/>
              </w:rPr>
              <w:t>、执业资格</w:t>
            </w:r>
          </w:p>
        </w:tc>
        <w:tc>
          <w:tcPr>
            <w:tcW w:w="857" w:type="dxa"/>
            <w:vAlign w:val="center"/>
          </w:tcPr>
          <w:p>
            <w:pPr>
              <w:spacing w:line="360" w:lineRule="auto"/>
              <w:jc w:val="center"/>
              <w:rPr>
                <w:rFonts w:ascii="宋体" w:hAnsi="宋体" w:cs="宋体"/>
                <w:szCs w:val="21"/>
              </w:rPr>
            </w:pPr>
            <w:r>
              <w:rPr>
                <w:rFonts w:hint="eastAsia" w:ascii="宋体" w:hAnsi="宋体" w:cs="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3" w:hRule="atLeast"/>
        </w:trPr>
        <w:tc>
          <w:tcPr>
            <w:tcW w:w="771" w:type="dxa"/>
          </w:tcPr>
          <w:p>
            <w:pPr>
              <w:spacing w:line="360" w:lineRule="auto"/>
              <w:jc w:val="left"/>
              <w:rPr>
                <w:rFonts w:ascii="宋体" w:hAnsi="宋体" w:cs="宋体"/>
                <w:szCs w:val="21"/>
              </w:rPr>
            </w:pPr>
          </w:p>
        </w:tc>
        <w:tc>
          <w:tcPr>
            <w:tcW w:w="945" w:type="dxa"/>
          </w:tcPr>
          <w:p>
            <w:pPr>
              <w:spacing w:line="360" w:lineRule="auto"/>
              <w:jc w:val="left"/>
              <w:rPr>
                <w:rFonts w:ascii="宋体" w:hAnsi="宋体" w:cs="宋体"/>
                <w:szCs w:val="21"/>
              </w:rPr>
            </w:pPr>
          </w:p>
        </w:tc>
        <w:tc>
          <w:tcPr>
            <w:tcW w:w="1583" w:type="dxa"/>
          </w:tcPr>
          <w:p>
            <w:pPr>
              <w:spacing w:line="360" w:lineRule="auto"/>
              <w:jc w:val="left"/>
              <w:rPr>
                <w:rFonts w:ascii="宋体" w:hAnsi="宋体" w:cs="宋体"/>
                <w:szCs w:val="21"/>
              </w:rPr>
            </w:pPr>
          </w:p>
        </w:tc>
        <w:tc>
          <w:tcPr>
            <w:tcW w:w="698" w:type="dxa"/>
          </w:tcPr>
          <w:p>
            <w:pPr>
              <w:spacing w:line="360" w:lineRule="auto"/>
              <w:jc w:val="left"/>
              <w:rPr>
                <w:rFonts w:ascii="宋体" w:hAnsi="宋体" w:cs="宋体"/>
                <w:szCs w:val="21"/>
              </w:rPr>
            </w:pPr>
          </w:p>
        </w:tc>
        <w:tc>
          <w:tcPr>
            <w:tcW w:w="671" w:type="dxa"/>
          </w:tcPr>
          <w:p>
            <w:pPr>
              <w:spacing w:line="360" w:lineRule="auto"/>
              <w:jc w:val="left"/>
              <w:rPr>
                <w:rFonts w:ascii="宋体" w:hAnsi="宋体" w:cs="宋体"/>
                <w:szCs w:val="21"/>
              </w:rPr>
            </w:pPr>
          </w:p>
        </w:tc>
        <w:tc>
          <w:tcPr>
            <w:tcW w:w="535" w:type="dxa"/>
          </w:tcPr>
          <w:p>
            <w:pPr>
              <w:spacing w:line="360" w:lineRule="auto"/>
              <w:jc w:val="left"/>
              <w:rPr>
                <w:rFonts w:ascii="宋体" w:hAnsi="宋体" w:cs="宋体"/>
                <w:szCs w:val="21"/>
              </w:rPr>
            </w:pPr>
          </w:p>
        </w:tc>
        <w:tc>
          <w:tcPr>
            <w:tcW w:w="806" w:type="dxa"/>
          </w:tcPr>
          <w:p>
            <w:pPr>
              <w:spacing w:line="360" w:lineRule="auto"/>
              <w:jc w:val="left"/>
              <w:rPr>
                <w:rFonts w:ascii="宋体" w:hAnsi="宋体" w:cs="宋体"/>
                <w:szCs w:val="21"/>
              </w:rPr>
            </w:pPr>
          </w:p>
        </w:tc>
        <w:tc>
          <w:tcPr>
            <w:tcW w:w="1450" w:type="dxa"/>
          </w:tcPr>
          <w:p>
            <w:pPr>
              <w:spacing w:line="360" w:lineRule="auto"/>
              <w:jc w:val="left"/>
              <w:rPr>
                <w:rFonts w:ascii="宋体" w:hAnsi="宋体" w:cs="宋体"/>
                <w:szCs w:val="21"/>
              </w:rPr>
            </w:pPr>
          </w:p>
        </w:tc>
        <w:tc>
          <w:tcPr>
            <w:tcW w:w="857" w:type="dxa"/>
          </w:tcPr>
          <w:p>
            <w:pPr>
              <w:spacing w:line="360" w:lineRule="auto"/>
              <w:jc w:val="lef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0" w:hRule="atLeast"/>
        </w:trPr>
        <w:tc>
          <w:tcPr>
            <w:tcW w:w="771" w:type="dxa"/>
          </w:tcPr>
          <w:p>
            <w:pPr>
              <w:spacing w:line="360" w:lineRule="auto"/>
              <w:jc w:val="left"/>
              <w:rPr>
                <w:rFonts w:ascii="宋体" w:hAnsi="宋体" w:cs="宋体"/>
                <w:szCs w:val="21"/>
              </w:rPr>
            </w:pPr>
          </w:p>
        </w:tc>
        <w:tc>
          <w:tcPr>
            <w:tcW w:w="945" w:type="dxa"/>
          </w:tcPr>
          <w:p>
            <w:pPr>
              <w:spacing w:line="360" w:lineRule="auto"/>
              <w:jc w:val="left"/>
              <w:rPr>
                <w:rFonts w:ascii="宋体" w:hAnsi="宋体" w:cs="宋体"/>
                <w:szCs w:val="21"/>
              </w:rPr>
            </w:pPr>
          </w:p>
        </w:tc>
        <w:tc>
          <w:tcPr>
            <w:tcW w:w="1583" w:type="dxa"/>
          </w:tcPr>
          <w:p>
            <w:pPr>
              <w:spacing w:line="360" w:lineRule="auto"/>
              <w:jc w:val="left"/>
              <w:rPr>
                <w:rFonts w:ascii="宋体" w:hAnsi="宋体" w:cs="宋体"/>
                <w:szCs w:val="21"/>
              </w:rPr>
            </w:pPr>
          </w:p>
        </w:tc>
        <w:tc>
          <w:tcPr>
            <w:tcW w:w="698" w:type="dxa"/>
          </w:tcPr>
          <w:p>
            <w:pPr>
              <w:spacing w:line="360" w:lineRule="auto"/>
              <w:jc w:val="left"/>
              <w:rPr>
                <w:rFonts w:ascii="宋体" w:hAnsi="宋体" w:cs="宋体"/>
                <w:szCs w:val="21"/>
              </w:rPr>
            </w:pPr>
          </w:p>
        </w:tc>
        <w:tc>
          <w:tcPr>
            <w:tcW w:w="671" w:type="dxa"/>
          </w:tcPr>
          <w:p>
            <w:pPr>
              <w:spacing w:line="360" w:lineRule="auto"/>
              <w:jc w:val="left"/>
              <w:rPr>
                <w:rFonts w:ascii="宋体" w:hAnsi="宋体" w:cs="宋体"/>
                <w:szCs w:val="21"/>
              </w:rPr>
            </w:pPr>
          </w:p>
        </w:tc>
        <w:tc>
          <w:tcPr>
            <w:tcW w:w="535" w:type="dxa"/>
          </w:tcPr>
          <w:p>
            <w:pPr>
              <w:spacing w:line="360" w:lineRule="auto"/>
              <w:jc w:val="left"/>
              <w:rPr>
                <w:rFonts w:ascii="宋体" w:hAnsi="宋体" w:cs="宋体"/>
                <w:szCs w:val="21"/>
              </w:rPr>
            </w:pPr>
          </w:p>
        </w:tc>
        <w:tc>
          <w:tcPr>
            <w:tcW w:w="806" w:type="dxa"/>
          </w:tcPr>
          <w:p>
            <w:pPr>
              <w:spacing w:line="360" w:lineRule="auto"/>
              <w:jc w:val="left"/>
              <w:rPr>
                <w:rFonts w:ascii="宋体" w:hAnsi="宋体" w:cs="宋体"/>
                <w:szCs w:val="21"/>
              </w:rPr>
            </w:pPr>
          </w:p>
        </w:tc>
        <w:tc>
          <w:tcPr>
            <w:tcW w:w="1450" w:type="dxa"/>
          </w:tcPr>
          <w:p>
            <w:pPr>
              <w:spacing w:line="360" w:lineRule="auto"/>
              <w:jc w:val="left"/>
              <w:rPr>
                <w:rFonts w:ascii="宋体" w:hAnsi="宋体" w:cs="宋体"/>
                <w:szCs w:val="21"/>
              </w:rPr>
            </w:pPr>
          </w:p>
        </w:tc>
        <w:tc>
          <w:tcPr>
            <w:tcW w:w="857" w:type="dxa"/>
          </w:tcPr>
          <w:p>
            <w:pPr>
              <w:spacing w:line="360" w:lineRule="auto"/>
              <w:jc w:val="lef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0" w:hRule="atLeast"/>
        </w:trPr>
        <w:tc>
          <w:tcPr>
            <w:tcW w:w="771" w:type="dxa"/>
          </w:tcPr>
          <w:p>
            <w:pPr>
              <w:spacing w:line="360" w:lineRule="auto"/>
              <w:jc w:val="left"/>
              <w:rPr>
                <w:rFonts w:ascii="宋体" w:hAnsi="宋体" w:cs="宋体"/>
                <w:szCs w:val="21"/>
              </w:rPr>
            </w:pPr>
          </w:p>
        </w:tc>
        <w:tc>
          <w:tcPr>
            <w:tcW w:w="945" w:type="dxa"/>
          </w:tcPr>
          <w:p>
            <w:pPr>
              <w:spacing w:line="360" w:lineRule="auto"/>
              <w:jc w:val="left"/>
              <w:rPr>
                <w:rFonts w:ascii="宋体" w:hAnsi="宋体" w:cs="宋体"/>
                <w:szCs w:val="21"/>
              </w:rPr>
            </w:pPr>
          </w:p>
        </w:tc>
        <w:tc>
          <w:tcPr>
            <w:tcW w:w="1583" w:type="dxa"/>
          </w:tcPr>
          <w:p>
            <w:pPr>
              <w:spacing w:line="360" w:lineRule="auto"/>
              <w:jc w:val="left"/>
              <w:rPr>
                <w:rFonts w:ascii="宋体" w:hAnsi="宋体" w:cs="宋体"/>
                <w:szCs w:val="21"/>
              </w:rPr>
            </w:pPr>
          </w:p>
        </w:tc>
        <w:tc>
          <w:tcPr>
            <w:tcW w:w="698" w:type="dxa"/>
          </w:tcPr>
          <w:p>
            <w:pPr>
              <w:spacing w:line="360" w:lineRule="auto"/>
              <w:jc w:val="left"/>
              <w:rPr>
                <w:rFonts w:ascii="宋体" w:hAnsi="宋体" w:cs="宋体"/>
                <w:szCs w:val="21"/>
              </w:rPr>
            </w:pPr>
          </w:p>
        </w:tc>
        <w:tc>
          <w:tcPr>
            <w:tcW w:w="671" w:type="dxa"/>
          </w:tcPr>
          <w:p>
            <w:pPr>
              <w:spacing w:line="360" w:lineRule="auto"/>
              <w:jc w:val="left"/>
              <w:rPr>
                <w:rFonts w:ascii="宋体" w:hAnsi="宋体" w:cs="宋体"/>
                <w:szCs w:val="21"/>
              </w:rPr>
            </w:pPr>
          </w:p>
        </w:tc>
        <w:tc>
          <w:tcPr>
            <w:tcW w:w="535" w:type="dxa"/>
          </w:tcPr>
          <w:p>
            <w:pPr>
              <w:spacing w:line="360" w:lineRule="auto"/>
              <w:jc w:val="left"/>
              <w:rPr>
                <w:rFonts w:ascii="宋体" w:hAnsi="宋体" w:cs="宋体"/>
                <w:szCs w:val="21"/>
              </w:rPr>
            </w:pPr>
          </w:p>
        </w:tc>
        <w:tc>
          <w:tcPr>
            <w:tcW w:w="806" w:type="dxa"/>
          </w:tcPr>
          <w:p>
            <w:pPr>
              <w:spacing w:line="360" w:lineRule="auto"/>
              <w:jc w:val="left"/>
              <w:rPr>
                <w:rFonts w:ascii="宋体" w:hAnsi="宋体" w:cs="宋体"/>
                <w:szCs w:val="21"/>
              </w:rPr>
            </w:pPr>
          </w:p>
        </w:tc>
        <w:tc>
          <w:tcPr>
            <w:tcW w:w="1450" w:type="dxa"/>
          </w:tcPr>
          <w:p>
            <w:pPr>
              <w:spacing w:line="360" w:lineRule="auto"/>
              <w:jc w:val="left"/>
              <w:rPr>
                <w:rFonts w:ascii="宋体" w:hAnsi="宋体" w:cs="宋体"/>
                <w:szCs w:val="21"/>
              </w:rPr>
            </w:pPr>
          </w:p>
        </w:tc>
        <w:tc>
          <w:tcPr>
            <w:tcW w:w="857" w:type="dxa"/>
          </w:tcPr>
          <w:p>
            <w:pPr>
              <w:spacing w:line="360" w:lineRule="auto"/>
              <w:jc w:val="lef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0" w:hRule="atLeast"/>
        </w:trPr>
        <w:tc>
          <w:tcPr>
            <w:tcW w:w="771" w:type="dxa"/>
          </w:tcPr>
          <w:p>
            <w:pPr>
              <w:spacing w:line="360" w:lineRule="auto"/>
              <w:jc w:val="left"/>
              <w:rPr>
                <w:rFonts w:ascii="宋体" w:hAnsi="宋体" w:cs="宋体"/>
                <w:szCs w:val="21"/>
              </w:rPr>
            </w:pPr>
          </w:p>
        </w:tc>
        <w:tc>
          <w:tcPr>
            <w:tcW w:w="945" w:type="dxa"/>
          </w:tcPr>
          <w:p>
            <w:pPr>
              <w:spacing w:line="360" w:lineRule="auto"/>
              <w:jc w:val="left"/>
              <w:rPr>
                <w:rFonts w:ascii="宋体" w:hAnsi="宋体" w:cs="宋体"/>
                <w:szCs w:val="21"/>
              </w:rPr>
            </w:pPr>
          </w:p>
        </w:tc>
        <w:tc>
          <w:tcPr>
            <w:tcW w:w="1583" w:type="dxa"/>
          </w:tcPr>
          <w:p>
            <w:pPr>
              <w:spacing w:line="360" w:lineRule="auto"/>
              <w:jc w:val="left"/>
              <w:rPr>
                <w:rFonts w:ascii="宋体" w:hAnsi="宋体" w:cs="宋体"/>
                <w:szCs w:val="21"/>
              </w:rPr>
            </w:pPr>
          </w:p>
        </w:tc>
        <w:tc>
          <w:tcPr>
            <w:tcW w:w="698" w:type="dxa"/>
          </w:tcPr>
          <w:p>
            <w:pPr>
              <w:spacing w:line="360" w:lineRule="auto"/>
              <w:jc w:val="left"/>
              <w:rPr>
                <w:rFonts w:ascii="宋体" w:hAnsi="宋体" w:cs="宋体"/>
                <w:szCs w:val="21"/>
              </w:rPr>
            </w:pPr>
          </w:p>
        </w:tc>
        <w:tc>
          <w:tcPr>
            <w:tcW w:w="671" w:type="dxa"/>
          </w:tcPr>
          <w:p>
            <w:pPr>
              <w:spacing w:line="360" w:lineRule="auto"/>
              <w:jc w:val="left"/>
              <w:rPr>
                <w:rFonts w:ascii="宋体" w:hAnsi="宋体" w:cs="宋体"/>
                <w:szCs w:val="21"/>
              </w:rPr>
            </w:pPr>
          </w:p>
        </w:tc>
        <w:tc>
          <w:tcPr>
            <w:tcW w:w="535" w:type="dxa"/>
          </w:tcPr>
          <w:p>
            <w:pPr>
              <w:spacing w:line="360" w:lineRule="auto"/>
              <w:jc w:val="left"/>
              <w:rPr>
                <w:rFonts w:ascii="宋体" w:hAnsi="宋体" w:cs="宋体"/>
                <w:szCs w:val="21"/>
              </w:rPr>
            </w:pPr>
          </w:p>
        </w:tc>
        <w:tc>
          <w:tcPr>
            <w:tcW w:w="806" w:type="dxa"/>
          </w:tcPr>
          <w:p>
            <w:pPr>
              <w:spacing w:line="360" w:lineRule="auto"/>
              <w:jc w:val="left"/>
              <w:rPr>
                <w:rFonts w:ascii="宋体" w:hAnsi="宋体" w:cs="宋体"/>
                <w:szCs w:val="21"/>
              </w:rPr>
            </w:pPr>
          </w:p>
        </w:tc>
        <w:tc>
          <w:tcPr>
            <w:tcW w:w="1450" w:type="dxa"/>
          </w:tcPr>
          <w:p>
            <w:pPr>
              <w:spacing w:line="360" w:lineRule="auto"/>
              <w:jc w:val="left"/>
              <w:rPr>
                <w:rFonts w:ascii="宋体" w:hAnsi="宋体" w:cs="宋体"/>
                <w:szCs w:val="21"/>
              </w:rPr>
            </w:pPr>
          </w:p>
        </w:tc>
        <w:tc>
          <w:tcPr>
            <w:tcW w:w="857" w:type="dxa"/>
          </w:tcPr>
          <w:p>
            <w:pPr>
              <w:spacing w:line="360" w:lineRule="auto"/>
              <w:jc w:val="lef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0" w:hRule="atLeast"/>
        </w:trPr>
        <w:tc>
          <w:tcPr>
            <w:tcW w:w="771" w:type="dxa"/>
          </w:tcPr>
          <w:p>
            <w:pPr>
              <w:spacing w:line="360" w:lineRule="auto"/>
              <w:jc w:val="left"/>
              <w:rPr>
                <w:rFonts w:ascii="宋体" w:hAnsi="宋体" w:cs="宋体"/>
                <w:szCs w:val="21"/>
              </w:rPr>
            </w:pPr>
          </w:p>
        </w:tc>
        <w:tc>
          <w:tcPr>
            <w:tcW w:w="945" w:type="dxa"/>
          </w:tcPr>
          <w:p>
            <w:pPr>
              <w:spacing w:line="360" w:lineRule="auto"/>
              <w:jc w:val="left"/>
              <w:rPr>
                <w:rFonts w:ascii="宋体" w:hAnsi="宋体" w:cs="宋体"/>
                <w:szCs w:val="21"/>
              </w:rPr>
            </w:pPr>
          </w:p>
        </w:tc>
        <w:tc>
          <w:tcPr>
            <w:tcW w:w="1583" w:type="dxa"/>
          </w:tcPr>
          <w:p>
            <w:pPr>
              <w:spacing w:line="360" w:lineRule="auto"/>
              <w:jc w:val="left"/>
              <w:rPr>
                <w:rFonts w:ascii="宋体" w:hAnsi="宋体" w:cs="宋体"/>
                <w:szCs w:val="21"/>
              </w:rPr>
            </w:pPr>
          </w:p>
        </w:tc>
        <w:tc>
          <w:tcPr>
            <w:tcW w:w="698" w:type="dxa"/>
          </w:tcPr>
          <w:p>
            <w:pPr>
              <w:spacing w:line="360" w:lineRule="auto"/>
              <w:jc w:val="left"/>
              <w:rPr>
                <w:rFonts w:ascii="宋体" w:hAnsi="宋体" w:cs="宋体"/>
                <w:szCs w:val="21"/>
              </w:rPr>
            </w:pPr>
          </w:p>
        </w:tc>
        <w:tc>
          <w:tcPr>
            <w:tcW w:w="671" w:type="dxa"/>
          </w:tcPr>
          <w:p>
            <w:pPr>
              <w:spacing w:line="360" w:lineRule="auto"/>
              <w:jc w:val="left"/>
              <w:rPr>
                <w:rFonts w:ascii="宋体" w:hAnsi="宋体" w:cs="宋体"/>
                <w:szCs w:val="21"/>
              </w:rPr>
            </w:pPr>
          </w:p>
        </w:tc>
        <w:tc>
          <w:tcPr>
            <w:tcW w:w="535" w:type="dxa"/>
          </w:tcPr>
          <w:p>
            <w:pPr>
              <w:spacing w:line="360" w:lineRule="auto"/>
              <w:jc w:val="left"/>
              <w:rPr>
                <w:rFonts w:ascii="宋体" w:hAnsi="宋体" w:cs="宋体"/>
                <w:szCs w:val="21"/>
              </w:rPr>
            </w:pPr>
          </w:p>
        </w:tc>
        <w:tc>
          <w:tcPr>
            <w:tcW w:w="806" w:type="dxa"/>
          </w:tcPr>
          <w:p>
            <w:pPr>
              <w:spacing w:line="360" w:lineRule="auto"/>
              <w:jc w:val="left"/>
              <w:rPr>
                <w:rFonts w:ascii="宋体" w:hAnsi="宋体" w:cs="宋体"/>
                <w:szCs w:val="21"/>
              </w:rPr>
            </w:pPr>
          </w:p>
        </w:tc>
        <w:tc>
          <w:tcPr>
            <w:tcW w:w="1450" w:type="dxa"/>
          </w:tcPr>
          <w:p>
            <w:pPr>
              <w:spacing w:line="360" w:lineRule="auto"/>
              <w:jc w:val="left"/>
              <w:rPr>
                <w:rFonts w:ascii="宋体" w:hAnsi="宋体" w:cs="宋体"/>
                <w:szCs w:val="21"/>
              </w:rPr>
            </w:pPr>
          </w:p>
        </w:tc>
        <w:tc>
          <w:tcPr>
            <w:tcW w:w="857" w:type="dxa"/>
          </w:tcPr>
          <w:p>
            <w:pPr>
              <w:spacing w:line="360" w:lineRule="auto"/>
              <w:jc w:val="lef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0" w:hRule="atLeast"/>
        </w:trPr>
        <w:tc>
          <w:tcPr>
            <w:tcW w:w="771" w:type="dxa"/>
          </w:tcPr>
          <w:p>
            <w:pPr>
              <w:spacing w:line="360" w:lineRule="auto"/>
              <w:jc w:val="left"/>
              <w:rPr>
                <w:rFonts w:ascii="宋体" w:hAnsi="宋体" w:cs="宋体"/>
                <w:szCs w:val="21"/>
              </w:rPr>
            </w:pPr>
          </w:p>
        </w:tc>
        <w:tc>
          <w:tcPr>
            <w:tcW w:w="945" w:type="dxa"/>
          </w:tcPr>
          <w:p>
            <w:pPr>
              <w:spacing w:line="360" w:lineRule="auto"/>
              <w:jc w:val="left"/>
              <w:rPr>
                <w:rFonts w:ascii="宋体" w:hAnsi="宋体" w:cs="宋体"/>
                <w:szCs w:val="21"/>
              </w:rPr>
            </w:pPr>
          </w:p>
        </w:tc>
        <w:tc>
          <w:tcPr>
            <w:tcW w:w="1583" w:type="dxa"/>
          </w:tcPr>
          <w:p>
            <w:pPr>
              <w:spacing w:line="360" w:lineRule="auto"/>
              <w:jc w:val="left"/>
              <w:rPr>
                <w:rFonts w:ascii="宋体" w:hAnsi="宋体" w:cs="宋体"/>
                <w:szCs w:val="21"/>
              </w:rPr>
            </w:pPr>
          </w:p>
        </w:tc>
        <w:tc>
          <w:tcPr>
            <w:tcW w:w="698" w:type="dxa"/>
          </w:tcPr>
          <w:p>
            <w:pPr>
              <w:spacing w:line="360" w:lineRule="auto"/>
              <w:jc w:val="left"/>
              <w:rPr>
                <w:rFonts w:ascii="宋体" w:hAnsi="宋体" w:cs="宋体"/>
                <w:szCs w:val="21"/>
              </w:rPr>
            </w:pPr>
          </w:p>
        </w:tc>
        <w:tc>
          <w:tcPr>
            <w:tcW w:w="671" w:type="dxa"/>
          </w:tcPr>
          <w:p>
            <w:pPr>
              <w:spacing w:line="360" w:lineRule="auto"/>
              <w:jc w:val="left"/>
              <w:rPr>
                <w:rFonts w:ascii="宋体" w:hAnsi="宋体" w:cs="宋体"/>
                <w:szCs w:val="21"/>
              </w:rPr>
            </w:pPr>
          </w:p>
        </w:tc>
        <w:tc>
          <w:tcPr>
            <w:tcW w:w="535" w:type="dxa"/>
          </w:tcPr>
          <w:p>
            <w:pPr>
              <w:spacing w:line="360" w:lineRule="auto"/>
              <w:jc w:val="left"/>
              <w:rPr>
                <w:rFonts w:ascii="宋体" w:hAnsi="宋体" w:cs="宋体"/>
                <w:szCs w:val="21"/>
              </w:rPr>
            </w:pPr>
          </w:p>
        </w:tc>
        <w:tc>
          <w:tcPr>
            <w:tcW w:w="806" w:type="dxa"/>
          </w:tcPr>
          <w:p>
            <w:pPr>
              <w:spacing w:line="360" w:lineRule="auto"/>
              <w:jc w:val="left"/>
              <w:rPr>
                <w:rFonts w:ascii="宋体" w:hAnsi="宋体" w:cs="宋体"/>
                <w:szCs w:val="21"/>
              </w:rPr>
            </w:pPr>
          </w:p>
        </w:tc>
        <w:tc>
          <w:tcPr>
            <w:tcW w:w="1450" w:type="dxa"/>
          </w:tcPr>
          <w:p>
            <w:pPr>
              <w:spacing w:line="360" w:lineRule="auto"/>
              <w:jc w:val="left"/>
              <w:rPr>
                <w:rFonts w:ascii="宋体" w:hAnsi="宋体" w:cs="宋体"/>
                <w:szCs w:val="21"/>
              </w:rPr>
            </w:pPr>
          </w:p>
        </w:tc>
        <w:tc>
          <w:tcPr>
            <w:tcW w:w="857" w:type="dxa"/>
          </w:tcPr>
          <w:p>
            <w:pPr>
              <w:spacing w:line="360" w:lineRule="auto"/>
              <w:jc w:val="lef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0" w:hRule="atLeast"/>
        </w:trPr>
        <w:tc>
          <w:tcPr>
            <w:tcW w:w="771" w:type="dxa"/>
          </w:tcPr>
          <w:p>
            <w:pPr>
              <w:spacing w:line="360" w:lineRule="auto"/>
              <w:jc w:val="left"/>
              <w:rPr>
                <w:rFonts w:ascii="宋体" w:hAnsi="宋体" w:cs="宋体"/>
                <w:szCs w:val="21"/>
              </w:rPr>
            </w:pPr>
          </w:p>
        </w:tc>
        <w:tc>
          <w:tcPr>
            <w:tcW w:w="945" w:type="dxa"/>
          </w:tcPr>
          <w:p>
            <w:pPr>
              <w:spacing w:line="360" w:lineRule="auto"/>
              <w:jc w:val="left"/>
              <w:rPr>
                <w:rFonts w:ascii="宋体" w:hAnsi="宋体" w:cs="宋体"/>
                <w:szCs w:val="21"/>
              </w:rPr>
            </w:pPr>
          </w:p>
        </w:tc>
        <w:tc>
          <w:tcPr>
            <w:tcW w:w="1583" w:type="dxa"/>
          </w:tcPr>
          <w:p>
            <w:pPr>
              <w:spacing w:line="360" w:lineRule="auto"/>
              <w:jc w:val="left"/>
              <w:rPr>
                <w:rFonts w:ascii="宋体" w:hAnsi="宋体" w:cs="宋体"/>
                <w:szCs w:val="21"/>
              </w:rPr>
            </w:pPr>
          </w:p>
        </w:tc>
        <w:tc>
          <w:tcPr>
            <w:tcW w:w="698" w:type="dxa"/>
          </w:tcPr>
          <w:p>
            <w:pPr>
              <w:spacing w:line="360" w:lineRule="auto"/>
              <w:jc w:val="left"/>
              <w:rPr>
                <w:rFonts w:ascii="宋体" w:hAnsi="宋体" w:cs="宋体"/>
                <w:szCs w:val="21"/>
              </w:rPr>
            </w:pPr>
          </w:p>
        </w:tc>
        <w:tc>
          <w:tcPr>
            <w:tcW w:w="671" w:type="dxa"/>
          </w:tcPr>
          <w:p>
            <w:pPr>
              <w:spacing w:line="360" w:lineRule="auto"/>
              <w:jc w:val="left"/>
              <w:rPr>
                <w:rFonts w:ascii="宋体" w:hAnsi="宋体" w:cs="宋体"/>
                <w:szCs w:val="21"/>
              </w:rPr>
            </w:pPr>
          </w:p>
        </w:tc>
        <w:tc>
          <w:tcPr>
            <w:tcW w:w="535" w:type="dxa"/>
          </w:tcPr>
          <w:p>
            <w:pPr>
              <w:spacing w:line="360" w:lineRule="auto"/>
              <w:jc w:val="left"/>
              <w:rPr>
                <w:rFonts w:ascii="宋体" w:hAnsi="宋体" w:cs="宋体"/>
                <w:szCs w:val="21"/>
              </w:rPr>
            </w:pPr>
          </w:p>
        </w:tc>
        <w:tc>
          <w:tcPr>
            <w:tcW w:w="806" w:type="dxa"/>
          </w:tcPr>
          <w:p>
            <w:pPr>
              <w:spacing w:line="360" w:lineRule="auto"/>
              <w:jc w:val="left"/>
              <w:rPr>
                <w:rFonts w:ascii="宋体" w:hAnsi="宋体" w:cs="宋体"/>
                <w:szCs w:val="21"/>
              </w:rPr>
            </w:pPr>
          </w:p>
        </w:tc>
        <w:tc>
          <w:tcPr>
            <w:tcW w:w="1450" w:type="dxa"/>
          </w:tcPr>
          <w:p>
            <w:pPr>
              <w:spacing w:line="360" w:lineRule="auto"/>
              <w:jc w:val="left"/>
              <w:rPr>
                <w:rFonts w:ascii="宋体" w:hAnsi="宋体" w:cs="宋体"/>
                <w:szCs w:val="21"/>
              </w:rPr>
            </w:pPr>
          </w:p>
        </w:tc>
        <w:tc>
          <w:tcPr>
            <w:tcW w:w="857" w:type="dxa"/>
          </w:tcPr>
          <w:p>
            <w:pPr>
              <w:spacing w:line="360" w:lineRule="auto"/>
              <w:jc w:val="lef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0" w:hRule="atLeast"/>
        </w:trPr>
        <w:tc>
          <w:tcPr>
            <w:tcW w:w="771" w:type="dxa"/>
          </w:tcPr>
          <w:p>
            <w:pPr>
              <w:spacing w:line="360" w:lineRule="auto"/>
              <w:jc w:val="left"/>
              <w:rPr>
                <w:rFonts w:ascii="宋体" w:hAnsi="宋体" w:cs="宋体"/>
                <w:szCs w:val="21"/>
              </w:rPr>
            </w:pPr>
          </w:p>
        </w:tc>
        <w:tc>
          <w:tcPr>
            <w:tcW w:w="945" w:type="dxa"/>
          </w:tcPr>
          <w:p>
            <w:pPr>
              <w:spacing w:line="360" w:lineRule="auto"/>
              <w:jc w:val="left"/>
              <w:rPr>
                <w:rFonts w:ascii="宋体" w:hAnsi="宋体" w:cs="宋体"/>
                <w:szCs w:val="21"/>
              </w:rPr>
            </w:pPr>
          </w:p>
        </w:tc>
        <w:tc>
          <w:tcPr>
            <w:tcW w:w="1583" w:type="dxa"/>
          </w:tcPr>
          <w:p>
            <w:pPr>
              <w:spacing w:line="360" w:lineRule="auto"/>
              <w:jc w:val="left"/>
              <w:rPr>
                <w:rFonts w:ascii="宋体" w:hAnsi="宋体" w:cs="宋体"/>
                <w:szCs w:val="21"/>
              </w:rPr>
            </w:pPr>
          </w:p>
        </w:tc>
        <w:tc>
          <w:tcPr>
            <w:tcW w:w="698" w:type="dxa"/>
          </w:tcPr>
          <w:p>
            <w:pPr>
              <w:spacing w:line="360" w:lineRule="auto"/>
              <w:jc w:val="left"/>
              <w:rPr>
                <w:rFonts w:ascii="宋体" w:hAnsi="宋体" w:cs="宋体"/>
                <w:szCs w:val="21"/>
              </w:rPr>
            </w:pPr>
          </w:p>
        </w:tc>
        <w:tc>
          <w:tcPr>
            <w:tcW w:w="671" w:type="dxa"/>
          </w:tcPr>
          <w:p>
            <w:pPr>
              <w:spacing w:line="360" w:lineRule="auto"/>
              <w:jc w:val="left"/>
              <w:rPr>
                <w:rFonts w:ascii="宋体" w:hAnsi="宋体" w:cs="宋体"/>
                <w:szCs w:val="21"/>
              </w:rPr>
            </w:pPr>
          </w:p>
        </w:tc>
        <w:tc>
          <w:tcPr>
            <w:tcW w:w="535" w:type="dxa"/>
          </w:tcPr>
          <w:p>
            <w:pPr>
              <w:spacing w:line="360" w:lineRule="auto"/>
              <w:jc w:val="left"/>
              <w:rPr>
                <w:rFonts w:ascii="宋体" w:hAnsi="宋体" w:cs="宋体"/>
                <w:szCs w:val="21"/>
              </w:rPr>
            </w:pPr>
          </w:p>
        </w:tc>
        <w:tc>
          <w:tcPr>
            <w:tcW w:w="806" w:type="dxa"/>
          </w:tcPr>
          <w:p>
            <w:pPr>
              <w:spacing w:line="360" w:lineRule="auto"/>
              <w:jc w:val="left"/>
              <w:rPr>
                <w:rFonts w:ascii="宋体" w:hAnsi="宋体" w:cs="宋体"/>
                <w:szCs w:val="21"/>
              </w:rPr>
            </w:pPr>
          </w:p>
        </w:tc>
        <w:tc>
          <w:tcPr>
            <w:tcW w:w="1450" w:type="dxa"/>
          </w:tcPr>
          <w:p>
            <w:pPr>
              <w:spacing w:line="360" w:lineRule="auto"/>
              <w:jc w:val="left"/>
              <w:rPr>
                <w:rFonts w:ascii="宋体" w:hAnsi="宋体" w:cs="宋体"/>
                <w:szCs w:val="21"/>
              </w:rPr>
            </w:pPr>
          </w:p>
        </w:tc>
        <w:tc>
          <w:tcPr>
            <w:tcW w:w="857" w:type="dxa"/>
          </w:tcPr>
          <w:p>
            <w:pPr>
              <w:spacing w:line="360" w:lineRule="auto"/>
              <w:jc w:val="lef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0" w:hRule="atLeast"/>
        </w:trPr>
        <w:tc>
          <w:tcPr>
            <w:tcW w:w="771" w:type="dxa"/>
          </w:tcPr>
          <w:p>
            <w:pPr>
              <w:spacing w:line="360" w:lineRule="auto"/>
              <w:jc w:val="left"/>
              <w:rPr>
                <w:rFonts w:ascii="宋体" w:hAnsi="宋体" w:cs="宋体"/>
                <w:szCs w:val="21"/>
              </w:rPr>
            </w:pPr>
          </w:p>
        </w:tc>
        <w:tc>
          <w:tcPr>
            <w:tcW w:w="945" w:type="dxa"/>
          </w:tcPr>
          <w:p>
            <w:pPr>
              <w:spacing w:line="360" w:lineRule="auto"/>
              <w:jc w:val="left"/>
              <w:rPr>
                <w:rFonts w:ascii="宋体" w:hAnsi="宋体" w:cs="宋体"/>
                <w:szCs w:val="21"/>
              </w:rPr>
            </w:pPr>
          </w:p>
        </w:tc>
        <w:tc>
          <w:tcPr>
            <w:tcW w:w="1583" w:type="dxa"/>
          </w:tcPr>
          <w:p>
            <w:pPr>
              <w:spacing w:line="360" w:lineRule="auto"/>
              <w:jc w:val="left"/>
              <w:rPr>
                <w:rFonts w:ascii="宋体" w:hAnsi="宋体" w:cs="宋体"/>
                <w:szCs w:val="21"/>
              </w:rPr>
            </w:pPr>
          </w:p>
        </w:tc>
        <w:tc>
          <w:tcPr>
            <w:tcW w:w="698" w:type="dxa"/>
          </w:tcPr>
          <w:p>
            <w:pPr>
              <w:spacing w:line="360" w:lineRule="auto"/>
              <w:jc w:val="left"/>
              <w:rPr>
                <w:rFonts w:ascii="宋体" w:hAnsi="宋体" w:cs="宋体"/>
                <w:szCs w:val="21"/>
              </w:rPr>
            </w:pPr>
          </w:p>
        </w:tc>
        <w:tc>
          <w:tcPr>
            <w:tcW w:w="671" w:type="dxa"/>
          </w:tcPr>
          <w:p>
            <w:pPr>
              <w:spacing w:line="360" w:lineRule="auto"/>
              <w:jc w:val="left"/>
              <w:rPr>
                <w:rFonts w:ascii="宋体" w:hAnsi="宋体" w:cs="宋体"/>
                <w:szCs w:val="21"/>
              </w:rPr>
            </w:pPr>
          </w:p>
        </w:tc>
        <w:tc>
          <w:tcPr>
            <w:tcW w:w="535" w:type="dxa"/>
          </w:tcPr>
          <w:p>
            <w:pPr>
              <w:spacing w:line="360" w:lineRule="auto"/>
              <w:jc w:val="left"/>
              <w:rPr>
                <w:rFonts w:ascii="宋体" w:hAnsi="宋体" w:cs="宋体"/>
                <w:szCs w:val="21"/>
              </w:rPr>
            </w:pPr>
          </w:p>
        </w:tc>
        <w:tc>
          <w:tcPr>
            <w:tcW w:w="806" w:type="dxa"/>
          </w:tcPr>
          <w:p>
            <w:pPr>
              <w:spacing w:line="360" w:lineRule="auto"/>
              <w:jc w:val="left"/>
              <w:rPr>
                <w:rFonts w:ascii="宋体" w:hAnsi="宋体" w:cs="宋体"/>
                <w:szCs w:val="21"/>
              </w:rPr>
            </w:pPr>
          </w:p>
        </w:tc>
        <w:tc>
          <w:tcPr>
            <w:tcW w:w="1450" w:type="dxa"/>
          </w:tcPr>
          <w:p>
            <w:pPr>
              <w:spacing w:line="360" w:lineRule="auto"/>
              <w:jc w:val="left"/>
              <w:rPr>
                <w:rFonts w:ascii="宋体" w:hAnsi="宋体" w:cs="宋体"/>
                <w:szCs w:val="21"/>
              </w:rPr>
            </w:pPr>
          </w:p>
        </w:tc>
        <w:tc>
          <w:tcPr>
            <w:tcW w:w="857" w:type="dxa"/>
          </w:tcPr>
          <w:p>
            <w:pPr>
              <w:spacing w:line="360" w:lineRule="auto"/>
              <w:jc w:val="lef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0" w:hRule="atLeast"/>
        </w:trPr>
        <w:tc>
          <w:tcPr>
            <w:tcW w:w="771" w:type="dxa"/>
          </w:tcPr>
          <w:p>
            <w:pPr>
              <w:spacing w:line="360" w:lineRule="auto"/>
              <w:jc w:val="left"/>
              <w:rPr>
                <w:rFonts w:ascii="宋体" w:hAnsi="宋体" w:cs="宋体"/>
                <w:szCs w:val="21"/>
              </w:rPr>
            </w:pPr>
          </w:p>
        </w:tc>
        <w:tc>
          <w:tcPr>
            <w:tcW w:w="945" w:type="dxa"/>
          </w:tcPr>
          <w:p>
            <w:pPr>
              <w:spacing w:line="360" w:lineRule="auto"/>
              <w:jc w:val="left"/>
              <w:rPr>
                <w:rFonts w:ascii="宋体" w:hAnsi="宋体" w:cs="宋体"/>
                <w:szCs w:val="21"/>
              </w:rPr>
            </w:pPr>
          </w:p>
        </w:tc>
        <w:tc>
          <w:tcPr>
            <w:tcW w:w="1583" w:type="dxa"/>
          </w:tcPr>
          <w:p>
            <w:pPr>
              <w:spacing w:line="360" w:lineRule="auto"/>
              <w:jc w:val="left"/>
              <w:rPr>
                <w:rFonts w:ascii="宋体" w:hAnsi="宋体" w:cs="宋体"/>
                <w:szCs w:val="21"/>
              </w:rPr>
            </w:pPr>
          </w:p>
        </w:tc>
        <w:tc>
          <w:tcPr>
            <w:tcW w:w="698" w:type="dxa"/>
          </w:tcPr>
          <w:p>
            <w:pPr>
              <w:spacing w:line="360" w:lineRule="auto"/>
              <w:jc w:val="left"/>
              <w:rPr>
                <w:rFonts w:ascii="宋体" w:hAnsi="宋体" w:cs="宋体"/>
                <w:szCs w:val="21"/>
              </w:rPr>
            </w:pPr>
          </w:p>
        </w:tc>
        <w:tc>
          <w:tcPr>
            <w:tcW w:w="671" w:type="dxa"/>
          </w:tcPr>
          <w:p>
            <w:pPr>
              <w:spacing w:line="360" w:lineRule="auto"/>
              <w:jc w:val="left"/>
              <w:rPr>
                <w:rFonts w:ascii="宋体" w:hAnsi="宋体" w:cs="宋体"/>
                <w:szCs w:val="21"/>
              </w:rPr>
            </w:pPr>
          </w:p>
        </w:tc>
        <w:tc>
          <w:tcPr>
            <w:tcW w:w="535" w:type="dxa"/>
          </w:tcPr>
          <w:p>
            <w:pPr>
              <w:spacing w:line="360" w:lineRule="auto"/>
              <w:jc w:val="left"/>
              <w:rPr>
                <w:rFonts w:ascii="宋体" w:hAnsi="宋体" w:cs="宋体"/>
                <w:szCs w:val="21"/>
              </w:rPr>
            </w:pPr>
          </w:p>
        </w:tc>
        <w:tc>
          <w:tcPr>
            <w:tcW w:w="806" w:type="dxa"/>
          </w:tcPr>
          <w:p>
            <w:pPr>
              <w:spacing w:line="360" w:lineRule="auto"/>
              <w:jc w:val="left"/>
              <w:rPr>
                <w:rFonts w:ascii="宋体" w:hAnsi="宋体" w:cs="宋体"/>
                <w:szCs w:val="21"/>
              </w:rPr>
            </w:pPr>
          </w:p>
        </w:tc>
        <w:tc>
          <w:tcPr>
            <w:tcW w:w="1450" w:type="dxa"/>
          </w:tcPr>
          <w:p>
            <w:pPr>
              <w:spacing w:line="360" w:lineRule="auto"/>
              <w:jc w:val="left"/>
              <w:rPr>
                <w:rFonts w:ascii="宋体" w:hAnsi="宋体" w:cs="宋体"/>
                <w:szCs w:val="21"/>
              </w:rPr>
            </w:pPr>
          </w:p>
        </w:tc>
        <w:tc>
          <w:tcPr>
            <w:tcW w:w="857" w:type="dxa"/>
          </w:tcPr>
          <w:p>
            <w:pPr>
              <w:spacing w:line="360" w:lineRule="auto"/>
              <w:jc w:val="lef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0" w:hRule="atLeast"/>
        </w:trPr>
        <w:tc>
          <w:tcPr>
            <w:tcW w:w="771" w:type="dxa"/>
          </w:tcPr>
          <w:p>
            <w:pPr>
              <w:spacing w:line="360" w:lineRule="auto"/>
              <w:jc w:val="left"/>
              <w:rPr>
                <w:rFonts w:ascii="宋体" w:hAnsi="宋体" w:cs="宋体"/>
                <w:szCs w:val="21"/>
              </w:rPr>
            </w:pPr>
          </w:p>
        </w:tc>
        <w:tc>
          <w:tcPr>
            <w:tcW w:w="945" w:type="dxa"/>
          </w:tcPr>
          <w:p>
            <w:pPr>
              <w:spacing w:line="360" w:lineRule="auto"/>
              <w:jc w:val="left"/>
              <w:rPr>
                <w:rFonts w:ascii="宋体" w:hAnsi="宋体" w:cs="宋体"/>
                <w:szCs w:val="21"/>
              </w:rPr>
            </w:pPr>
          </w:p>
        </w:tc>
        <w:tc>
          <w:tcPr>
            <w:tcW w:w="1583" w:type="dxa"/>
          </w:tcPr>
          <w:p>
            <w:pPr>
              <w:spacing w:line="360" w:lineRule="auto"/>
              <w:jc w:val="left"/>
              <w:rPr>
                <w:rFonts w:ascii="宋体" w:hAnsi="宋体" w:cs="宋体"/>
                <w:szCs w:val="21"/>
              </w:rPr>
            </w:pPr>
          </w:p>
        </w:tc>
        <w:tc>
          <w:tcPr>
            <w:tcW w:w="698" w:type="dxa"/>
          </w:tcPr>
          <w:p>
            <w:pPr>
              <w:spacing w:line="360" w:lineRule="auto"/>
              <w:jc w:val="left"/>
              <w:rPr>
                <w:rFonts w:ascii="宋体" w:hAnsi="宋体" w:cs="宋体"/>
                <w:szCs w:val="21"/>
              </w:rPr>
            </w:pPr>
          </w:p>
        </w:tc>
        <w:tc>
          <w:tcPr>
            <w:tcW w:w="671" w:type="dxa"/>
          </w:tcPr>
          <w:p>
            <w:pPr>
              <w:spacing w:line="360" w:lineRule="auto"/>
              <w:jc w:val="left"/>
              <w:rPr>
                <w:rFonts w:ascii="宋体" w:hAnsi="宋体" w:cs="宋体"/>
                <w:szCs w:val="21"/>
              </w:rPr>
            </w:pPr>
          </w:p>
        </w:tc>
        <w:tc>
          <w:tcPr>
            <w:tcW w:w="535" w:type="dxa"/>
          </w:tcPr>
          <w:p>
            <w:pPr>
              <w:spacing w:line="360" w:lineRule="auto"/>
              <w:jc w:val="left"/>
              <w:rPr>
                <w:rFonts w:ascii="宋体" w:hAnsi="宋体" w:cs="宋体"/>
                <w:szCs w:val="21"/>
              </w:rPr>
            </w:pPr>
          </w:p>
        </w:tc>
        <w:tc>
          <w:tcPr>
            <w:tcW w:w="806" w:type="dxa"/>
          </w:tcPr>
          <w:p>
            <w:pPr>
              <w:spacing w:line="360" w:lineRule="auto"/>
              <w:jc w:val="left"/>
              <w:rPr>
                <w:rFonts w:ascii="宋体" w:hAnsi="宋体" w:cs="宋体"/>
                <w:szCs w:val="21"/>
              </w:rPr>
            </w:pPr>
          </w:p>
        </w:tc>
        <w:tc>
          <w:tcPr>
            <w:tcW w:w="1450" w:type="dxa"/>
          </w:tcPr>
          <w:p>
            <w:pPr>
              <w:spacing w:line="360" w:lineRule="auto"/>
              <w:jc w:val="left"/>
              <w:rPr>
                <w:rFonts w:ascii="宋体" w:hAnsi="宋体" w:cs="宋体"/>
                <w:szCs w:val="21"/>
              </w:rPr>
            </w:pPr>
          </w:p>
        </w:tc>
        <w:tc>
          <w:tcPr>
            <w:tcW w:w="857" w:type="dxa"/>
          </w:tcPr>
          <w:p>
            <w:pPr>
              <w:spacing w:line="360" w:lineRule="auto"/>
              <w:jc w:val="lef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0" w:hRule="atLeast"/>
        </w:trPr>
        <w:tc>
          <w:tcPr>
            <w:tcW w:w="771" w:type="dxa"/>
          </w:tcPr>
          <w:p>
            <w:pPr>
              <w:spacing w:line="360" w:lineRule="auto"/>
              <w:jc w:val="left"/>
              <w:rPr>
                <w:rFonts w:ascii="宋体" w:hAnsi="宋体" w:cs="宋体"/>
                <w:szCs w:val="21"/>
              </w:rPr>
            </w:pPr>
          </w:p>
        </w:tc>
        <w:tc>
          <w:tcPr>
            <w:tcW w:w="945" w:type="dxa"/>
          </w:tcPr>
          <w:p>
            <w:pPr>
              <w:spacing w:line="360" w:lineRule="auto"/>
              <w:jc w:val="left"/>
              <w:rPr>
                <w:rFonts w:ascii="宋体" w:hAnsi="宋体" w:cs="宋体"/>
                <w:szCs w:val="21"/>
              </w:rPr>
            </w:pPr>
          </w:p>
        </w:tc>
        <w:tc>
          <w:tcPr>
            <w:tcW w:w="1583" w:type="dxa"/>
          </w:tcPr>
          <w:p>
            <w:pPr>
              <w:spacing w:line="360" w:lineRule="auto"/>
              <w:jc w:val="left"/>
              <w:rPr>
                <w:rFonts w:ascii="宋体" w:hAnsi="宋体" w:cs="宋体"/>
                <w:szCs w:val="21"/>
              </w:rPr>
            </w:pPr>
          </w:p>
        </w:tc>
        <w:tc>
          <w:tcPr>
            <w:tcW w:w="698" w:type="dxa"/>
          </w:tcPr>
          <w:p>
            <w:pPr>
              <w:spacing w:line="360" w:lineRule="auto"/>
              <w:jc w:val="left"/>
              <w:rPr>
                <w:rFonts w:ascii="宋体" w:hAnsi="宋体" w:cs="宋体"/>
                <w:szCs w:val="21"/>
              </w:rPr>
            </w:pPr>
          </w:p>
        </w:tc>
        <w:tc>
          <w:tcPr>
            <w:tcW w:w="671" w:type="dxa"/>
          </w:tcPr>
          <w:p>
            <w:pPr>
              <w:spacing w:line="360" w:lineRule="auto"/>
              <w:jc w:val="left"/>
              <w:rPr>
                <w:rFonts w:ascii="宋体" w:hAnsi="宋体" w:cs="宋体"/>
                <w:szCs w:val="21"/>
              </w:rPr>
            </w:pPr>
          </w:p>
        </w:tc>
        <w:tc>
          <w:tcPr>
            <w:tcW w:w="535" w:type="dxa"/>
          </w:tcPr>
          <w:p>
            <w:pPr>
              <w:spacing w:line="360" w:lineRule="auto"/>
              <w:jc w:val="left"/>
              <w:rPr>
                <w:rFonts w:ascii="宋体" w:hAnsi="宋体" w:cs="宋体"/>
                <w:szCs w:val="21"/>
              </w:rPr>
            </w:pPr>
          </w:p>
        </w:tc>
        <w:tc>
          <w:tcPr>
            <w:tcW w:w="806" w:type="dxa"/>
          </w:tcPr>
          <w:p>
            <w:pPr>
              <w:spacing w:line="360" w:lineRule="auto"/>
              <w:jc w:val="left"/>
              <w:rPr>
                <w:rFonts w:ascii="宋体" w:hAnsi="宋体" w:cs="宋体"/>
                <w:szCs w:val="21"/>
              </w:rPr>
            </w:pPr>
          </w:p>
        </w:tc>
        <w:tc>
          <w:tcPr>
            <w:tcW w:w="1450" w:type="dxa"/>
          </w:tcPr>
          <w:p>
            <w:pPr>
              <w:spacing w:line="360" w:lineRule="auto"/>
              <w:jc w:val="left"/>
              <w:rPr>
                <w:rFonts w:ascii="宋体" w:hAnsi="宋体" w:cs="宋体"/>
                <w:szCs w:val="21"/>
              </w:rPr>
            </w:pPr>
          </w:p>
        </w:tc>
        <w:tc>
          <w:tcPr>
            <w:tcW w:w="857" w:type="dxa"/>
          </w:tcPr>
          <w:p>
            <w:pPr>
              <w:spacing w:line="360" w:lineRule="auto"/>
              <w:jc w:val="lef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0" w:hRule="atLeast"/>
        </w:trPr>
        <w:tc>
          <w:tcPr>
            <w:tcW w:w="771" w:type="dxa"/>
          </w:tcPr>
          <w:p>
            <w:pPr>
              <w:spacing w:line="360" w:lineRule="auto"/>
              <w:jc w:val="left"/>
              <w:rPr>
                <w:rFonts w:ascii="宋体" w:hAnsi="宋体" w:cs="宋体"/>
                <w:szCs w:val="21"/>
              </w:rPr>
            </w:pPr>
          </w:p>
        </w:tc>
        <w:tc>
          <w:tcPr>
            <w:tcW w:w="945" w:type="dxa"/>
          </w:tcPr>
          <w:p>
            <w:pPr>
              <w:spacing w:line="360" w:lineRule="auto"/>
              <w:jc w:val="left"/>
              <w:rPr>
                <w:rFonts w:ascii="宋体" w:hAnsi="宋体" w:cs="宋体"/>
                <w:szCs w:val="21"/>
              </w:rPr>
            </w:pPr>
          </w:p>
        </w:tc>
        <w:tc>
          <w:tcPr>
            <w:tcW w:w="1583" w:type="dxa"/>
          </w:tcPr>
          <w:p>
            <w:pPr>
              <w:spacing w:line="360" w:lineRule="auto"/>
              <w:jc w:val="left"/>
              <w:rPr>
                <w:rFonts w:ascii="宋体" w:hAnsi="宋体" w:cs="宋体"/>
                <w:szCs w:val="21"/>
              </w:rPr>
            </w:pPr>
          </w:p>
        </w:tc>
        <w:tc>
          <w:tcPr>
            <w:tcW w:w="698" w:type="dxa"/>
          </w:tcPr>
          <w:p>
            <w:pPr>
              <w:spacing w:line="360" w:lineRule="auto"/>
              <w:jc w:val="left"/>
              <w:rPr>
                <w:rFonts w:ascii="宋体" w:hAnsi="宋体" w:cs="宋体"/>
                <w:szCs w:val="21"/>
              </w:rPr>
            </w:pPr>
          </w:p>
        </w:tc>
        <w:tc>
          <w:tcPr>
            <w:tcW w:w="671" w:type="dxa"/>
          </w:tcPr>
          <w:p>
            <w:pPr>
              <w:spacing w:line="360" w:lineRule="auto"/>
              <w:jc w:val="left"/>
              <w:rPr>
                <w:rFonts w:ascii="宋体" w:hAnsi="宋体" w:cs="宋体"/>
                <w:szCs w:val="21"/>
              </w:rPr>
            </w:pPr>
          </w:p>
        </w:tc>
        <w:tc>
          <w:tcPr>
            <w:tcW w:w="535" w:type="dxa"/>
          </w:tcPr>
          <w:p>
            <w:pPr>
              <w:spacing w:line="360" w:lineRule="auto"/>
              <w:jc w:val="left"/>
              <w:rPr>
                <w:rFonts w:ascii="宋体" w:hAnsi="宋体" w:cs="宋体"/>
                <w:szCs w:val="21"/>
              </w:rPr>
            </w:pPr>
          </w:p>
        </w:tc>
        <w:tc>
          <w:tcPr>
            <w:tcW w:w="806" w:type="dxa"/>
          </w:tcPr>
          <w:p>
            <w:pPr>
              <w:spacing w:line="360" w:lineRule="auto"/>
              <w:jc w:val="left"/>
              <w:rPr>
                <w:rFonts w:ascii="宋体" w:hAnsi="宋体" w:cs="宋体"/>
                <w:szCs w:val="21"/>
              </w:rPr>
            </w:pPr>
          </w:p>
        </w:tc>
        <w:tc>
          <w:tcPr>
            <w:tcW w:w="1450" w:type="dxa"/>
          </w:tcPr>
          <w:p>
            <w:pPr>
              <w:spacing w:line="360" w:lineRule="auto"/>
              <w:jc w:val="left"/>
              <w:rPr>
                <w:rFonts w:ascii="宋体" w:hAnsi="宋体" w:cs="宋体"/>
                <w:szCs w:val="21"/>
              </w:rPr>
            </w:pPr>
          </w:p>
        </w:tc>
        <w:tc>
          <w:tcPr>
            <w:tcW w:w="857" w:type="dxa"/>
          </w:tcPr>
          <w:p>
            <w:pPr>
              <w:spacing w:line="360" w:lineRule="auto"/>
              <w:jc w:val="lef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0" w:hRule="atLeast"/>
        </w:trPr>
        <w:tc>
          <w:tcPr>
            <w:tcW w:w="771" w:type="dxa"/>
          </w:tcPr>
          <w:p>
            <w:pPr>
              <w:spacing w:line="360" w:lineRule="auto"/>
              <w:jc w:val="left"/>
              <w:rPr>
                <w:rFonts w:ascii="宋体" w:hAnsi="宋体" w:cs="宋体"/>
                <w:szCs w:val="21"/>
              </w:rPr>
            </w:pPr>
          </w:p>
        </w:tc>
        <w:tc>
          <w:tcPr>
            <w:tcW w:w="945" w:type="dxa"/>
          </w:tcPr>
          <w:p>
            <w:pPr>
              <w:spacing w:line="360" w:lineRule="auto"/>
              <w:jc w:val="left"/>
              <w:rPr>
                <w:rFonts w:ascii="宋体" w:hAnsi="宋体" w:cs="宋体"/>
                <w:szCs w:val="21"/>
              </w:rPr>
            </w:pPr>
          </w:p>
        </w:tc>
        <w:tc>
          <w:tcPr>
            <w:tcW w:w="1583" w:type="dxa"/>
          </w:tcPr>
          <w:p>
            <w:pPr>
              <w:spacing w:line="360" w:lineRule="auto"/>
              <w:jc w:val="left"/>
              <w:rPr>
                <w:rFonts w:ascii="宋体" w:hAnsi="宋体" w:cs="宋体"/>
                <w:szCs w:val="21"/>
              </w:rPr>
            </w:pPr>
          </w:p>
        </w:tc>
        <w:tc>
          <w:tcPr>
            <w:tcW w:w="698" w:type="dxa"/>
          </w:tcPr>
          <w:p>
            <w:pPr>
              <w:spacing w:line="360" w:lineRule="auto"/>
              <w:jc w:val="left"/>
              <w:rPr>
                <w:rFonts w:ascii="宋体" w:hAnsi="宋体" w:cs="宋体"/>
                <w:szCs w:val="21"/>
              </w:rPr>
            </w:pPr>
          </w:p>
        </w:tc>
        <w:tc>
          <w:tcPr>
            <w:tcW w:w="671" w:type="dxa"/>
          </w:tcPr>
          <w:p>
            <w:pPr>
              <w:spacing w:line="360" w:lineRule="auto"/>
              <w:jc w:val="left"/>
              <w:rPr>
                <w:rFonts w:ascii="宋体" w:hAnsi="宋体" w:cs="宋体"/>
                <w:szCs w:val="21"/>
              </w:rPr>
            </w:pPr>
          </w:p>
        </w:tc>
        <w:tc>
          <w:tcPr>
            <w:tcW w:w="535" w:type="dxa"/>
          </w:tcPr>
          <w:p>
            <w:pPr>
              <w:spacing w:line="360" w:lineRule="auto"/>
              <w:jc w:val="left"/>
              <w:rPr>
                <w:rFonts w:ascii="宋体" w:hAnsi="宋体" w:cs="宋体"/>
                <w:szCs w:val="21"/>
              </w:rPr>
            </w:pPr>
          </w:p>
        </w:tc>
        <w:tc>
          <w:tcPr>
            <w:tcW w:w="806" w:type="dxa"/>
          </w:tcPr>
          <w:p>
            <w:pPr>
              <w:spacing w:line="360" w:lineRule="auto"/>
              <w:jc w:val="left"/>
              <w:rPr>
                <w:rFonts w:ascii="宋体" w:hAnsi="宋体" w:cs="宋体"/>
                <w:szCs w:val="21"/>
              </w:rPr>
            </w:pPr>
          </w:p>
        </w:tc>
        <w:tc>
          <w:tcPr>
            <w:tcW w:w="1450" w:type="dxa"/>
          </w:tcPr>
          <w:p>
            <w:pPr>
              <w:spacing w:line="360" w:lineRule="auto"/>
              <w:jc w:val="left"/>
              <w:rPr>
                <w:rFonts w:ascii="宋体" w:hAnsi="宋体" w:cs="宋体"/>
                <w:szCs w:val="21"/>
              </w:rPr>
            </w:pPr>
          </w:p>
        </w:tc>
        <w:tc>
          <w:tcPr>
            <w:tcW w:w="857" w:type="dxa"/>
          </w:tcPr>
          <w:p>
            <w:pPr>
              <w:spacing w:line="360" w:lineRule="auto"/>
              <w:jc w:val="lef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0" w:hRule="atLeast"/>
        </w:trPr>
        <w:tc>
          <w:tcPr>
            <w:tcW w:w="771" w:type="dxa"/>
          </w:tcPr>
          <w:p>
            <w:pPr>
              <w:spacing w:line="360" w:lineRule="auto"/>
              <w:jc w:val="left"/>
              <w:rPr>
                <w:rFonts w:ascii="宋体" w:hAnsi="宋体" w:cs="宋体"/>
                <w:szCs w:val="21"/>
              </w:rPr>
            </w:pPr>
          </w:p>
        </w:tc>
        <w:tc>
          <w:tcPr>
            <w:tcW w:w="945" w:type="dxa"/>
          </w:tcPr>
          <w:p>
            <w:pPr>
              <w:spacing w:line="360" w:lineRule="auto"/>
              <w:jc w:val="left"/>
              <w:rPr>
                <w:rFonts w:ascii="宋体" w:hAnsi="宋体" w:cs="宋体"/>
                <w:szCs w:val="21"/>
              </w:rPr>
            </w:pPr>
          </w:p>
        </w:tc>
        <w:tc>
          <w:tcPr>
            <w:tcW w:w="1583" w:type="dxa"/>
          </w:tcPr>
          <w:p>
            <w:pPr>
              <w:spacing w:line="360" w:lineRule="auto"/>
              <w:jc w:val="left"/>
              <w:rPr>
                <w:rFonts w:ascii="宋体" w:hAnsi="宋体" w:cs="宋体"/>
                <w:szCs w:val="21"/>
              </w:rPr>
            </w:pPr>
          </w:p>
        </w:tc>
        <w:tc>
          <w:tcPr>
            <w:tcW w:w="698" w:type="dxa"/>
          </w:tcPr>
          <w:p>
            <w:pPr>
              <w:spacing w:line="360" w:lineRule="auto"/>
              <w:jc w:val="left"/>
              <w:rPr>
                <w:rFonts w:ascii="宋体" w:hAnsi="宋体" w:cs="宋体"/>
                <w:szCs w:val="21"/>
              </w:rPr>
            </w:pPr>
          </w:p>
        </w:tc>
        <w:tc>
          <w:tcPr>
            <w:tcW w:w="671" w:type="dxa"/>
          </w:tcPr>
          <w:p>
            <w:pPr>
              <w:spacing w:line="360" w:lineRule="auto"/>
              <w:jc w:val="left"/>
              <w:rPr>
                <w:rFonts w:ascii="宋体" w:hAnsi="宋体" w:cs="宋体"/>
                <w:szCs w:val="21"/>
              </w:rPr>
            </w:pPr>
          </w:p>
        </w:tc>
        <w:tc>
          <w:tcPr>
            <w:tcW w:w="535" w:type="dxa"/>
          </w:tcPr>
          <w:p>
            <w:pPr>
              <w:spacing w:line="360" w:lineRule="auto"/>
              <w:jc w:val="left"/>
              <w:rPr>
                <w:rFonts w:ascii="宋体" w:hAnsi="宋体" w:cs="宋体"/>
                <w:szCs w:val="21"/>
              </w:rPr>
            </w:pPr>
          </w:p>
        </w:tc>
        <w:tc>
          <w:tcPr>
            <w:tcW w:w="806" w:type="dxa"/>
          </w:tcPr>
          <w:p>
            <w:pPr>
              <w:spacing w:line="360" w:lineRule="auto"/>
              <w:jc w:val="left"/>
              <w:rPr>
                <w:rFonts w:ascii="宋体" w:hAnsi="宋体" w:cs="宋体"/>
                <w:szCs w:val="21"/>
              </w:rPr>
            </w:pPr>
          </w:p>
        </w:tc>
        <w:tc>
          <w:tcPr>
            <w:tcW w:w="1450" w:type="dxa"/>
          </w:tcPr>
          <w:p>
            <w:pPr>
              <w:spacing w:line="360" w:lineRule="auto"/>
              <w:jc w:val="left"/>
              <w:rPr>
                <w:rFonts w:ascii="宋体" w:hAnsi="宋体" w:cs="宋体"/>
                <w:szCs w:val="21"/>
              </w:rPr>
            </w:pPr>
          </w:p>
        </w:tc>
        <w:tc>
          <w:tcPr>
            <w:tcW w:w="857" w:type="dxa"/>
          </w:tcPr>
          <w:p>
            <w:pPr>
              <w:spacing w:line="360" w:lineRule="auto"/>
              <w:jc w:val="lef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7" w:hRule="atLeast"/>
        </w:trPr>
        <w:tc>
          <w:tcPr>
            <w:tcW w:w="771" w:type="dxa"/>
          </w:tcPr>
          <w:p>
            <w:pPr>
              <w:spacing w:line="360" w:lineRule="auto"/>
              <w:jc w:val="left"/>
              <w:rPr>
                <w:rFonts w:ascii="宋体" w:hAnsi="宋体" w:cs="宋体"/>
                <w:szCs w:val="21"/>
              </w:rPr>
            </w:pPr>
          </w:p>
        </w:tc>
        <w:tc>
          <w:tcPr>
            <w:tcW w:w="945" w:type="dxa"/>
          </w:tcPr>
          <w:p>
            <w:pPr>
              <w:spacing w:line="360" w:lineRule="auto"/>
              <w:jc w:val="left"/>
              <w:rPr>
                <w:rFonts w:ascii="宋体" w:hAnsi="宋体" w:cs="宋体"/>
                <w:szCs w:val="21"/>
              </w:rPr>
            </w:pPr>
          </w:p>
        </w:tc>
        <w:tc>
          <w:tcPr>
            <w:tcW w:w="1583" w:type="dxa"/>
          </w:tcPr>
          <w:p>
            <w:pPr>
              <w:spacing w:line="360" w:lineRule="auto"/>
              <w:jc w:val="left"/>
              <w:rPr>
                <w:rFonts w:ascii="宋体" w:hAnsi="宋体" w:cs="宋体"/>
                <w:szCs w:val="21"/>
              </w:rPr>
            </w:pPr>
          </w:p>
        </w:tc>
        <w:tc>
          <w:tcPr>
            <w:tcW w:w="698" w:type="dxa"/>
          </w:tcPr>
          <w:p>
            <w:pPr>
              <w:spacing w:line="360" w:lineRule="auto"/>
              <w:jc w:val="left"/>
              <w:rPr>
                <w:rFonts w:ascii="宋体" w:hAnsi="宋体" w:cs="宋体"/>
                <w:szCs w:val="21"/>
              </w:rPr>
            </w:pPr>
          </w:p>
        </w:tc>
        <w:tc>
          <w:tcPr>
            <w:tcW w:w="671" w:type="dxa"/>
          </w:tcPr>
          <w:p>
            <w:pPr>
              <w:spacing w:line="360" w:lineRule="auto"/>
              <w:jc w:val="left"/>
              <w:rPr>
                <w:rFonts w:ascii="宋体" w:hAnsi="宋体" w:cs="宋体"/>
                <w:szCs w:val="21"/>
              </w:rPr>
            </w:pPr>
          </w:p>
        </w:tc>
        <w:tc>
          <w:tcPr>
            <w:tcW w:w="535" w:type="dxa"/>
          </w:tcPr>
          <w:p>
            <w:pPr>
              <w:spacing w:line="360" w:lineRule="auto"/>
              <w:jc w:val="left"/>
              <w:rPr>
                <w:rFonts w:ascii="宋体" w:hAnsi="宋体" w:cs="宋体"/>
                <w:szCs w:val="21"/>
              </w:rPr>
            </w:pPr>
          </w:p>
        </w:tc>
        <w:tc>
          <w:tcPr>
            <w:tcW w:w="806" w:type="dxa"/>
          </w:tcPr>
          <w:p>
            <w:pPr>
              <w:spacing w:line="360" w:lineRule="auto"/>
              <w:jc w:val="left"/>
              <w:rPr>
                <w:rFonts w:ascii="宋体" w:hAnsi="宋体" w:cs="宋体"/>
                <w:szCs w:val="21"/>
              </w:rPr>
            </w:pPr>
          </w:p>
        </w:tc>
        <w:tc>
          <w:tcPr>
            <w:tcW w:w="1450" w:type="dxa"/>
          </w:tcPr>
          <w:p>
            <w:pPr>
              <w:spacing w:line="360" w:lineRule="auto"/>
              <w:jc w:val="left"/>
              <w:rPr>
                <w:rFonts w:ascii="宋体" w:hAnsi="宋体" w:cs="宋体"/>
                <w:szCs w:val="21"/>
              </w:rPr>
            </w:pPr>
          </w:p>
        </w:tc>
        <w:tc>
          <w:tcPr>
            <w:tcW w:w="857" w:type="dxa"/>
          </w:tcPr>
          <w:p>
            <w:pPr>
              <w:spacing w:line="360" w:lineRule="auto"/>
              <w:jc w:val="left"/>
              <w:rPr>
                <w:rFonts w:ascii="宋体" w:hAnsi="宋体" w:cs="宋体"/>
                <w:szCs w:val="21"/>
              </w:rPr>
            </w:pPr>
          </w:p>
        </w:tc>
      </w:tr>
    </w:tbl>
    <w:p>
      <w:pPr>
        <w:spacing w:line="360" w:lineRule="auto"/>
        <w:ind w:firstLine="23"/>
        <w:jc w:val="left"/>
        <w:rPr>
          <w:rFonts w:ascii="宋体" w:hAnsi="宋体" w:cs="宋体"/>
          <w:szCs w:val="21"/>
        </w:rPr>
      </w:pPr>
      <w:r>
        <w:rPr>
          <w:rFonts w:hint="eastAsia" w:ascii="宋体" w:hAnsi="宋体" w:cs="宋体"/>
          <w:szCs w:val="21"/>
        </w:rPr>
        <w:t>注：涉及评分项的其它证明材料附后。</w:t>
      </w:r>
    </w:p>
    <w:p>
      <w:pPr>
        <w:spacing w:line="360" w:lineRule="auto"/>
        <w:jc w:val="left"/>
        <w:rPr>
          <w:rFonts w:ascii="宋体" w:hAnsi="宋体" w:cs="宋体"/>
          <w:szCs w:val="21"/>
        </w:rPr>
      </w:pPr>
    </w:p>
    <w:p>
      <w:pPr>
        <w:spacing w:line="360" w:lineRule="auto"/>
        <w:ind w:firstLine="8"/>
        <w:jc w:val="right"/>
        <w:rPr>
          <w:rFonts w:ascii="宋体" w:hAnsi="宋体" w:cs="宋体"/>
          <w:szCs w:val="21"/>
        </w:rPr>
      </w:pPr>
      <w:r>
        <w:rPr>
          <w:rFonts w:hint="eastAsia" w:ascii="宋体" w:hAnsi="宋体" w:cs="宋体"/>
          <w:szCs w:val="21"/>
        </w:rPr>
        <w:t>供应商全称（盖单位公章）：</w:t>
      </w:r>
    </w:p>
    <w:p>
      <w:pPr>
        <w:spacing w:line="360" w:lineRule="auto"/>
        <w:ind w:firstLine="9"/>
        <w:jc w:val="right"/>
        <w:rPr>
          <w:rFonts w:ascii="宋体" w:hAnsi="宋体" w:cs="宋体"/>
          <w:szCs w:val="21"/>
        </w:rPr>
      </w:pPr>
      <w:r>
        <w:rPr>
          <w:rFonts w:hint="eastAsia" w:ascii="宋体" w:hAnsi="宋体" w:cs="宋体"/>
          <w:szCs w:val="21"/>
        </w:rPr>
        <w:t>法定代表人或授权代表（签字或盖章）：</w:t>
      </w:r>
    </w:p>
    <w:p>
      <w:pPr>
        <w:spacing w:line="360" w:lineRule="auto"/>
        <w:ind w:firstLine="44"/>
        <w:jc w:val="right"/>
        <w:rPr>
          <w:rFonts w:ascii="宋体" w:hAnsi="宋体" w:cs="宋体"/>
          <w:szCs w:val="21"/>
        </w:rPr>
      </w:pPr>
      <w:r>
        <w:rPr>
          <w:rFonts w:hint="eastAsia" w:ascii="宋体" w:hAnsi="宋体" w:cs="宋体"/>
          <w:szCs w:val="21"/>
        </w:rPr>
        <w:t>日期：年  月  日</w:t>
      </w:r>
    </w:p>
    <w:p>
      <w:pPr>
        <w:spacing w:line="360" w:lineRule="auto"/>
        <w:jc w:val="right"/>
        <w:rPr>
          <w:rFonts w:ascii="宋体" w:hAnsi="宋体" w:cs="宋体"/>
          <w:szCs w:val="21"/>
        </w:rPr>
        <w:sectPr>
          <w:pgSz w:w="11906" w:h="16839"/>
          <w:pgMar w:top="1440" w:right="1800" w:bottom="1440" w:left="1800" w:header="878" w:footer="1045" w:gutter="0"/>
          <w:cols w:space="720" w:num="1"/>
        </w:sectPr>
      </w:pPr>
    </w:p>
    <w:p>
      <w:pPr>
        <w:spacing w:line="360" w:lineRule="auto"/>
        <w:jc w:val="center"/>
        <w:rPr>
          <w:rFonts w:ascii="宋体" w:hAnsi="宋体" w:cs="宋体"/>
          <w:szCs w:val="21"/>
        </w:rPr>
      </w:pPr>
      <w:r>
        <w:rPr>
          <w:rFonts w:hint="eastAsia" w:ascii="宋体" w:hAnsi="宋体" w:cs="宋体"/>
          <w:szCs w:val="21"/>
        </w:rPr>
        <w:t>（2）项目负责人简历表</w:t>
      </w:r>
    </w:p>
    <w:p>
      <w:pPr>
        <w:spacing w:line="360" w:lineRule="auto"/>
        <w:jc w:val="left"/>
        <w:rPr>
          <w:rFonts w:ascii="宋体" w:hAnsi="宋体" w:cs="宋体"/>
          <w:szCs w:val="21"/>
        </w:rPr>
      </w:pPr>
    </w:p>
    <w:tbl>
      <w:tblPr>
        <w:tblStyle w:val="1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72"/>
        <w:gridCol w:w="1390"/>
        <w:gridCol w:w="1156"/>
        <w:gridCol w:w="1057"/>
        <w:gridCol w:w="205"/>
        <w:gridCol w:w="1625"/>
        <w:gridCol w:w="469"/>
        <w:gridCol w:w="12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0" w:hRule="atLeast"/>
          <w:jc w:val="center"/>
        </w:trPr>
        <w:tc>
          <w:tcPr>
            <w:tcW w:w="1472" w:type="dxa"/>
            <w:vAlign w:val="center"/>
          </w:tcPr>
          <w:p>
            <w:pPr>
              <w:spacing w:line="360" w:lineRule="auto"/>
              <w:jc w:val="center"/>
              <w:rPr>
                <w:rFonts w:ascii="宋体" w:hAnsi="宋体" w:cs="宋体"/>
                <w:szCs w:val="21"/>
              </w:rPr>
            </w:pPr>
            <w:r>
              <w:rPr>
                <w:rFonts w:hint="eastAsia" w:ascii="宋体" w:hAnsi="宋体" w:cs="宋体"/>
                <w:szCs w:val="21"/>
              </w:rPr>
              <w:t>姓名</w:t>
            </w:r>
          </w:p>
        </w:tc>
        <w:tc>
          <w:tcPr>
            <w:tcW w:w="1390" w:type="dxa"/>
            <w:vAlign w:val="center"/>
          </w:tcPr>
          <w:p>
            <w:pPr>
              <w:spacing w:line="360" w:lineRule="auto"/>
              <w:jc w:val="center"/>
              <w:rPr>
                <w:rFonts w:ascii="宋体" w:hAnsi="宋体" w:cs="宋体"/>
                <w:szCs w:val="21"/>
              </w:rPr>
            </w:pPr>
          </w:p>
        </w:tc>
        <w:tc>
          <w:tcPr>
            <w:tcW w:w="1156" w:type="dxa"/>
            <w:vAlign w:val="center"/>
          </w:tcPr>
          <w:p>
            <w:pPr>
              <w:spacing w:line="360" w:lineRule="auto"/>
              <w:jc w:val="center"/>
              <w:rPr>
                <w:rFonts w:ascii="宋体" w:hAnsi="宋体" w:cs="宋体"/>
                <w:szCs w:val="21"/>
              </w:rPr>
            </w:pPr>
            <w:r>
              <w:rPr>
                <w:rFonts w:hint="eastAsia" w:ascii="宋体" w:hAnsi="宋体" w:cs="宋体"/>
                <w:szCs w:val="21"/>
              </w:rPr>
              <w:t>年龄</w:t>
            </w:r>
          </w:p>
        </w:tc>
        <w:tc>
          <w:tcPr>
            <w:tcW w:w="1262" w:type="dxa"/>
            <w:gridSpan w:val="2"/>
            <w:vAlign w:val="center"/>
          </w:tcPr>
          <w:p>
            <w:pPr>
              <w:spacing w:line="360" w:lineRule="auto"/>
              <w:jc w:val="center"/>
              <w:rPr>
                <w:rFonts w:ascii="宋体" w:hAnsi="宋体" w:cs="宋体"/>
                <w:szCs w:val="21"/>
              </w:rPr>
            </w:pPr>
          </w:p>
        </w:tc>
        <w:tc>
          <w:tcPr>
            <w:tcW w:w="2094" w:type="dxa"/>
            <w:gridSpan w:val="2"/>
            <w:vAlign w:val="center"/>
          </w:tcPr>
          <w:p>
            <w:pPr>
              <w:spacing w:line="360" w:lineRule="auto"/>
              <w:jc w:val="center"/>
              <w:rPr>
                <w:rFonts w:ascii="宋体" w:hAnsi="宋体" w:cs="宋体"/>
                <w:szCs w:val="21"/>
              </w:rPr>
            </w:pPr>
            <w:r>
              <w:rPr>
                <w:rFonts w:hint="eastAsia" w:ascii="宋体" w:hAnsi="宋体" w:cs="宋体"/>
                <w:szCs w:val="21"/>
              </w:rPr>
              <w:t>专业</w:t>
            </w:r>
          </w:p>
        </w:tc>
        <w:tc>
          <w:tcPr>
            <w:tcW w:w="1273" w:type="dxa"/>
            <w:vAlign w:val="center"/>
          </w:tcPr>
          <w:p>
            <w:pPr>
              <w:spacing w:line="360" w:lineRule="auto"/>
              <w:jc w:val="center"/>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2" w:hRule="atLeast"/>
          <w:jc w:val="center"/>
        </w:trPr>
        <w:tc>
          <w:tcPr>
            <w:tcW w:w="1472" w:type="dxa"/>
            <w:vAlign w:val="center"/>
          </w:tcPr>
          <w:p>
            <w:pPr>
              <w:spacing w:line="360" w:lineRule="auto"/>
              <w:jc w:val="center"/>
              <w:rPr>
                <w:rFonts w:ascii="宋体" w:hAnsi="宋体" w:cs="宋体"/>
                <w:szCs w:val="21"/>
              </w:rPr>
            </w:pPr>
            <w:r>
              <w:rPr>
                <w:rFonts w:hint="eastAsia" w:ascii="宋体" w:hAnsi="宋体" w:cs="宋体"/>
                <w:szCs w:val="21"/>
              </w:rPr>
              <w:t>职称</w:t>
            </w:r>
          </w:p>
        </w:tc>
        <w:tc>
          <w:tcPr>
            <w:tcW w:w="1390" w:type="dxa"/>
            <w:vAlign w:val="center"/>
          </w:tcPr>
          <w:p>
            <w:pPr>
              <w:spacing w:line="360" w:lineRule="auto"/>
              <w:jc w:val="center"/>
              <w:rPr>
                <w:rFonts w:ascii="宋体" w:hAnsi="宋体" w:cs="宋体"/>
                <w:szCs w:val="21"/>
              </w:rPr>
            </w:pPr>
          </w:p>
        </w:tc>
        <w:tc>
          <w:tcPr>
            <w:tcW w:w="1156" w:type="dxa"/>
            <w:vAlign w:val="center"/>
          </w:tcPr>
          <w:p>
            <w:pPr>
              <w:spacing w:line="360" w:lineRule="auto"/>
              <w:jc w:val="center"/>
              <w:rPr>
                <w:rFonts w:ascii="宋体" w:hAnsi="宋体" w:cs="宋体"/>
                <w:szCs w:val="21"/>
              </w:rPr>
            </w:pPr>
            <w:r>
              <w:rPr>
                <w:rFonts w:hint="eastAsia" w:ascii="宋体" w:hAnsi="宋体" w:cs="宋体"/>
                <w:szCs w:val="21"/>
              </w:rPr>
              <w:t>职务</w:t>
            </w:r>
          </w:p>
        </w:tc>
        <w:tc>
          <w:tcPr>
            <w:tcW w:w="1262" w:type="dxa"/>
            <w:gridSpan w:val="2"/>
            <w:vAlign w:val="center"/>
          </w:tcPr>
          <w:p>
            <w:pPr>
              <w:spacing w:line="360" w:lineRule="auto"/>
              <w:jc w:val="center"/>
              <w:rPr>
                <w:rFonts w:ascii="宋体" w:hAnsi="宋体" w:cs="宋体"/>
                <w:szCs w:val="21"/>
              </w:rPr>
            </w:pPr>
          </w:p>
        </w:tc>
        <w:tc>
          <w:tcPr>
            <w:tcW w:w="2094" w:type="dxa"/>
            <w:gridSpan w:val="2"/>
            <w:vAlign w:val="center"/>
          </w:tcPr>
          <w:p>
            <w:pPr>
              <w:spacing w:line="360" w:lineRule="auto"/>
              <w:jc w:val="center"/>
              <w:rPr>
                <w:rFonts w:ascii="宋体" w:hAnsi="宋体" w:cs="宋体"/>
                <w:szCs w:val="21"/>
              </w:rPr>
            </w:pPr>
            <w:r>
              <w:rPr>
                <w:rFonts w:hint="eastAsia" w:ascii="宋体" w:hAnsi="宋体" w:cs="宋体"/>
                <w:szCs w:val="21"/>
              </w:rPr>
              <w:t>拟在本项目担任职务</w:t>
            </w:r>
          </w:p>
        </w:tc>
        <w:tc>
          <w:tcPr>
            <w:tcW w:w="1273" w:type="dxa"/>
            <w:vAlign w:val="center"/>
          </w:tcPr>
          <w:p>
            <w:pPr>
              <w:spacing w:line="360" w:lineRule="auto"/>
              <w:jc w:val="center"/>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6" w:hRule="atLeast"/>
          <w:jc w:val="center"/>
        </w:trPr>
        <w:tc>
          <w:tcPr>
            <w:tcW w:w="1472" w:type="dxa"/>
            <w:vAlign w:val="center"/>
          </w:tcPr>
          <w:p>
            <w:pPr>
              <w:spacing w:line="360" w:lineRule="auto"/>
              <w:jc w:val="center"/>
              <w:rPr>
                <w:rFonts w:ascii="宋体" w:hAnsi="宋体" w:cs="宋体"/>
                <w:szCs w:val="21"/>
              </w:rPr>
            </w:pPr>
            <w:r>
              <w:rPr>
                <w:rFonts w:hint="eastAsia" w:ascii="宋体" w:hAnsi="宋体" w:cs="宋体"/>
                <w:szCs w:val="21"/>
              </w:rPr>
              <w:t>毕业学校</w:t>
            </w:r>
          </w:p>
        </w:tc>
        <w:tc>
          <w:tcPr>
            <w:tcW w:w="7175" w:type="dxa"/>
            <w:gridSpan w:val="7"/>
            <w:vAlign w:val="center"/>
          </w:tcPr>
          <w:p>
            <w:pPr>
              <w:tabs>
                <w:tab w:val="left" w:pos="1538"/>
              </w:tabs>
              <w:spacing w:line="360" w:lineRule="auto"/>
              <w:jc w:val="center"/>
              <w:rPr>
                <w:rFonts w:ascii="宋体" w:hAnsi="宋体" w:cs="宋体"/>
                <w:szCs w:val="21"/>
              </w:rPr>
            </w:pPr>
            <w:r>
              <w:rPr>
                <w:rFonts w:hint="eastAsia" w:ascii="宋体" w:hAnsi="宋体" w:cs="宋体"/>
                <w:szCs w:val="21"/>
              </w:rPr>
              <w:t>年  月毕业于  学校  系(科)，学制  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8647" w:type="dxa"/>
            <w:gridSpan w:val="8"/>
            <w:vAlign w:val="center"/>
          </w:tcPr>
          <w:p>
            <w:pPr>
              <w:spacing w:line="360" w:lineRule="auto"/>
              <w:jc w:val="center"/>
              <w:rPr>
                <w:rFonts w:ascii="宋体" w:hAnsi="宋体" w:cs="宋体"/>
                <w:szCs w:val="21"/>
              </w:rPr>
            </w:pPr>
            <w:r>
              <w:rPr>
                <w:rFonts w:hint="eastAsia" w:ascii="宋体" w:hAnsi="宋体" w:cs="宋体"/>
                <w:szCs w:val="21"/>
              </w:rPr>
              <w:t>经历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3" w:hRule="atLeast"/>
          <w:jc w:val="center"/>
        </w:trPr>
        <w:tc>
          <w:tcPr>
            <w:tcW w:w="1472" w:type="dxa"/>
            <w:vAlign w:val="center"/>
          </w:tcPr>
          <w:p>
            <w:pPr>
              <w:spacing w:line="360" w:lineRule="auto"/>
              <w:jc w:val="center"/>
              <w:rPr>
                <w:rFonts w:ascii="宋体" w:hAnsi="宋体" w:cs="宋体"/>
                <w:szCs w:val="21"/>
              </w:rPr>
            </w:pPr>
            <w:r>
              <w:rPr>
                <w:rFonts w:hint="eastAsia" w:ascii="宋体" w:hAnsi="宋体" w:cs="宋体"/>
                <w:szCs w:val="21"/>
              </w:rPr>
              <w:t>年 月</w:t>
            </w:r>
          </w:p>
        </w:tc>
        <w:tc>
          <w:tcPr>
            <w:tcW w:w="3603" w:type="dxa"/>
            <w:gridSpan w:val="3"/>
            <w:vAlign w:val="center"/>
          </w:tcPr>
          <w:p>
            <w:pPr>
              <w:spacing w:line="360" w:lineRule="auto"/>
              <w:jc w:val="center"/>
              <w:rPr>
                <w:rFonts w:ascii="宋体" w:hAnsi="宋体" w:cs="宋体"/>
                <w:szCs w:val="21"/>
              </w:rPr>
            </w:pPr>
            <w:r>
              <w:rPr>
                <w:rFonts w:hint="eastAsia" w:ascii="宋体" w:hAnsi="宋体" w:cs="宋体"/>
                <w:szCs w:val="21"/>
              </w:rPr>
              <w:t>工作经历</w:t>
            </w:r>
          </w:p>
        </w:tc>
        <w:tc>
          <w:tcPr>
            <w:tcW w:w="1830" w:type="dxa"/>
            <w:gridSpan w:val="2"/>
            <w:vAlign w:val="center"/>
          </w:tcPr>
          <w:p>
            <w:pPr>
              <w:spacing w:line="360" w:lineRule="auto"/>
              <w:jc w:val="center"/>
              <w:rPr>
                <w:rFonts w:ascii="宋体" w:hAnsi="宋体" w:cs="宋体"/>
                <w:szCs w:val="21"/>
              </w:rPr>
            </w:pPr>
            <w:r>
              <w:rPr>
                <w:rFonts w:hint="eastAsia" w:ascii="宋体" w:hAnsi="宋体" w:cs="宋体"/>
                <w:szCs w:val="21"/>
              </w:rPr>
              <w:t>担任何职</w:t>
            </w:r>
          </w:p>
        </w:tc>
        <w:tc>
          <w:tcPr>
            <w:tcW w:w="1742" w:type="dxa"/>
            <w:gridSpan w:val="2"/>
            <w:vAlign w:val="center"/>
          </w:tcPr>
          <w:p>
            <w:pPr>
              <w:spacing w:line="360" w:lineRule="auto"/>
              <w:jc w:val="center"/>
              <w:rPr>
                <w:rFonts w:ascii="宋体" w:hAnsi="宋体" w:cs="宋体"/>
                <w:szCs w:val="21"/>
              </w:rPr>
            </w:pPr>
            <w:r>
              <w:rPr>
                <w:rFonts w:hint="eastAsia" w:ascii="宋体" w:hAnsi="宋体" w:cs="宋体"/>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9" w:hRule="atLeast"/>
          <w:jc w:val="center"/>
        </w:trPr>
        <w:tc>
          <w:tcPr>
            <w:tcW w:w="1472" w:type="dxa"/>
            <w:vAlign w:val="center"/>
          </w:tcPr>
          <w:p>
            <w:pPr>
              <w:spacing w:line="360" w:lineRule="auto"/>
              <w:jc w:val="center"/>
              <w:rPr>
                <w:rFonts w:ascii="宋体" w:hAnsi="宋体" w:cs="宋体"/>
                <w:szCs w:val="21"/>
              </w:rPr>
            </w:pPr>
          </w:p>
        </w:tc>
        <w:tc>
          <w:tcPr>
            <w:tcW w:w="3603" w:type="dxa"/>
            <w:gridSpan w:val="3"/>
            <w:vAlign w:val="center"/>
          </w:tcPr>
          <w:p>
            <w:pPr>
              <w:spacing w:line="360" w:lineRule="auto"/>
              <w:jc w:val="center"/>
              <w:rPr>
                <w:rFonts w:ascii="宋体" w:hAnsi="宋体" w:cs="宋体"/>
                <w:szCs w:val="21"/>
              </w:rPr>
            </w:pPr>
          </w:p>
        </w:tc>
        <w:tc>
          <w:tcPr>
            <w:tcW w:w="1830" w:type="dxa"/>
            <w:gridSpan w:val="2"/>
            <w:vAlign w:val="center"/>
          </w:tcPr>
          <w:p>
            <w:pPr>
              <w:spacing w:line="360" w:lineRule="auto"/>
              <w:jc w:val="center"/>
              <w:rPr>
                <w:rFonts w:ascii="宋体" w:hAnsi="宋体" w:cs="宋体"/>
                <w:szCs w:val="21"/>
              </w:rPr>
            </w:pPr>
          </w:p>
        </w:tc>
        <w:tc>
          <w:tcPr>
            <w:tcW w:w="1742" w:type="dxa"/>
            <w:gridSpan w:val="2"/>
            <w:vAlign w:val="center"/>
          </w:tcPr>
          <w:p>
            <w:pPr>
              <w:spacing w:line="360" w:lineRule="auto"/>
              <w:jc w:val="center"/>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1" w:hRule="atLeast"/>
          <w:jc w:val="center"/>
        </w:trPr>
        <w:tc>
          <w:tcPr>
            <w:tcW w:w="8647" w:type="dxa"/>
            <w:gridSpan w:val="8"/>
            <w:vAlign w:val="center"/>
          </w:tcPr>
          <w:p>
            <w:pPr>
              <w:spacing w:line="360" w:lineRule="auto"/>
              <w:jc w:val="center"/>
              <w:rPr>
                <w:rFonts w:ascii="宋体" w:hAnsi="宋体" w:cs="宋体"/>
                <w:szCs w:val="21"/>
              </w:rPr>
            </w:pPr>
            <w:r>
              <w:rPr>
                <w:rFonts w:hint="eastAsia" w:ascii="宋体" w:hAnsi="宋体" w:cs="宋体"/>
                <w:szCs w:val="21"/>
              </w:rPr>
              <w:t>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7" w:hRule="atLeast"/>
          <w:jc w:val="center"/>
        </w:trPr>
        <w:tc>
          <w:tcPr>
            <w:tcW w:w="1472" w:type="dxa"/>
            <w:vAlign w:val="center"/>
          </w:tcPr>
          <w:p>
            <w:pPr>
              <w:spacing w:line="360" w:lineRule="auto"/>
              <w:jc w:val="center"/>
              <w:rPr>
                <w:rFonts w:ascii="宋体" w:hAnsi="宋体" w:cs="宋体"/>
                <w:szCs w:val="21"/>
              </w:rPr>
            </w:pPr>
            <w:r>
              <w:rPr>
                <w:rFonts w:hint="eastAsia" w:ascii="宋体" w:hAnsi="宋体" w:cs="宋体"/>
                <w:szCs w:val="21"/>
              </w:rPr>
              <w:t>序号</w:t>
            </w:r>
          </w:p>
        </w:tc>
        <w:tc>
          <w:tcPr>
            <w:tcW w:w="3603" w:type="dxa"/>
            <w:gridSpan w:val="3"/>
            <w:vAlign w:val="center"/>
          </w:tcPr>
          <w:p>
            <w:pPr>
              <w:spacing w:line="360" w:lineRule="auto"/>
              <w:jc w:val="center"/>
              <w:rPr>
                <w:rFonts w:ascii="宋体" w:hAnsi="宋体" w:cs="宋体"/>
                <w:szCs w:val="21"/>
              </w:rPr>
            </w:pPr>
            <w:r>
              <w:rPr>
                <w:rFonts w:hint="eastAsia" w:ascii="宋体" w:hAnsi="宋体" w:cs="宋体"/>
                <w:szCs w:val="21"/>
              </w:rPr>
              <w:t>证书名称（编号）</w:t>
            </w:r>
          </w:p>
        </w:tc>
        <w:tc>
          <w:tcPr>
            <w:tcW w:w="1830" w:type="dxa"/>
            <w:gridSpan w:val="2"/>
            <w:vAlign w:val="center"/>
          </w:tcPr>
          <w:p>
            <w:pPr>
              <w:spacing w:line="360" w:lineRule="auto"/>
              <w:jc w:val="center"/>
              <w:rPr>
                <w:rFonts w:ascii="宋体" w:hAnsi="宋体" w:cs="宋体"/>
                <w:szCs w:val="21"/>
              </w:rPr>
            </w:pPr>
            <w:r>
              <w:rPr>
                <w:rFonts w:hint="eastAsia" w:ascii="宋体" w:hAnsi="宋体" w:cs="宋体"/>
                <w:szCs w:val="21"/>
              </w:rPr>
              <w:t>颁发机构</w:t>
            </w:r>
          </w:p>
        </w:tc>
        <w:tc>
          <w:tcPr>
            <w:tcW w:w="1742" w:type="dxa"/>
            <w:gridSpan w:val="2"/>
            <w:vAlign w:val="center"/>
          </w:tcPr>
          <w:p>
            <w:pPr>
              <w:spacing w:line="360" w:lineRule="auto"/>
              <w:jc w:val="center"/>
              <w:rPr>
                <w:rFonts w:ascii="宋体" w:hAnsi="宋体" w:cs="宋体"/>
                <w:szCs w:val="21"/>
              </w:rPr>
            </w:pPr>
            <w:r>
              <w:rPr>
                <w:rFonts w:hint="eastAsia" w:ascii="宋体" w:hAnsi="宋体" w:cs="宋体"/>
                <w:szCs w:val="21"/>
              </w:rPr>
              <w:t>颁发时间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jc w:val="center"/>
        </w:trPr>
        <w:tc>
          <w:tcPr>
            <w:tcW w:w="1472" w:type="dxa"/>
            <w:vAlign w:val="center"/>
          </w:tcPr>
          <w:p>
            <w:pPr>
              <w:spacing w:line="360" w:lineRule="auto"/>
              <w:jc w:val="center"/>
              <w:rPr>
                <w:rFonts w:ascii="宋体" w:hAnsi="宋体" w:cs="宋体"/>
                <w:szCs w:val="21"/>
              </w:rPr>
            </w:pPr>
          </w:p>
        </w:tc>
        <w:tc>
          <w:tcPr>
            <w:tcW w:w="3603" w:type="dxa"/>
            <w:gridSpan w:val="3"/>
            <w:vAlign w:val="center"/>
          </w:tcPr>
          <w:p>
            <w:pPr>
              <w:spacing w:line="360" w:lineRule="auto"/>
              <w:jc w:val="center"/>
              <w:rPr>
                <w:rFonts w:ascii="宋体" w:hAnsi="宋体" w:cs="宋体"/>
                <w:szCs w:val="21"/>
              </w:rPr>
            </w:pPr>
          </w:p>
        </w:tc>
        <w:tc>
          <w:tcPr>
            <w:tcW w:w="1830" w:type="dxa"/>
            <w:gridSpan w:val="2"/>
            <w:vAlign w:val="center"/>
          </w:tcPr>
          <w:p>
            <w:pPr>
              <w:spacing w:line="360" w:lineRule="auto"/>
              <w:jc w:val="center"/>
              <w:rPr>
                <w:rFonts w:ascii="宋体" w:hAnsi="宋体" w:cs="宋体"/>
                <w:szCs w:val="21"/>
              </w:rPr>
            </w:pPr>
          </w:p>
        </w:tc>
        <w:tc>
          <w:tcPr>
            <w:tcW w:w="1742" w:type="dxa"/>
            <w:gridSpan w:val="2"/>
            <w:vAlign w:val="center"/>
          </w:tcPr>
          <w:p>
            <w:pPr>
              <w:spacing w:line="360" w:lineRule="auto"/>
              <w:jc w:val="center"/>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jc w:val="center"/>
        </w:trPr>
        <w:tc>
          <w:tcPr>
            <w:tcW w:w="1472" w:type="dxa"/>
            <w:vAlign w:val="center"/>
          </w:tcPr>
          <w:p>
            <w:pPr>
              <w:spacing w:line="360" w:lineRule="auto"/>
              <w:jc w:val="center"/>
              <w:rPr>
                <w:rFonts w:ascii="宋体" w:hAnsi="宋体" w:cs="宋体"/>
                <w:szCs w:val="21"/>
              </w:rPr>
            </w:pPr>
          </w:p>
        </w:tc>
        <w:tc>
          <w:tcPr>
            <w:tcW w:w="3603" w:type="dxa"/>
            <w:gridSpan w:val="3"/>
            <w:vAlign w:val="center"/>
          </w:tcPr>
          <w:p>
            <w:pPr>
              <w:spacing w:line="360" w:lineRule="auto"/>
              <w:jc w:val="center"/>
              <w:rPr>
                <w:rFonts w:ascii="宋体" w:hAnsi="宋体" w:cs="宋体"/>
                <w:szCs w:val="21"/>
              </w:rPr>
            </w:pPr>
          </w:p>
        </w:tc>
        <w:tc>
          <w:tcPr>
            <w:tcW w:w="1830" w:type="dxa"/>
            <w:gridSpan w:val="2"/>
            <w:vAlign w:val="center"/>
          </w:tcPr>
          <w:p>
            <w:pPr>
              <w:spacing w:line="360" w:lineRule="auto"/>
              <w:jc w:val="center"/>
              <w:rPr>
                <w:rFonts w:ascii="宋体" w:hAnsi="宋体" w:cs="宋体"/>
                <w:szCs w:val="21"/>
              </w:rPr>
            </w:pPr>
          </w:p>
        </w:tc>
        <w:tc>
          <w:tcPr>
            <w:tcW w:w="1742" w:type="dxa"/>
            <w:gridSpan w:val="2"/>
            <w:vAlign w:val="center"/>
          </w:tcPr>
          <w:p>
            <w:pPr>
              <w:spacing w:line="360" w:lineRule="auto"/>
              <w:jc w:val="center"/>
              <w:rPr>
                <w:rFonts w:ascii="宋体" w:hAnsi="宋体" w:cs="宋体"/>
                <w:szCs w:val="21"/>
              </w:rPr>
            </w:pPr>
          </w:p>
        </w:tc>
      </w:tr>
    </w:tbl>
    <w:p>
      <w:pPr>
        <w:spacing w:line="360" w:lineRule="auto"/>
        <w:ind w:firstLine="346"/>
        <w:jc w:val="left"/>
        <w:rPr>
          <w:rFonts w:ascii="宋体" w:hAnsi="宋体" w:cs="宋体"/>
          <w:szCs w:val="21"/>
        </w:rPr>
      </w:pPr>
      <w:r>
        <w:rPr>
          <w:rFonts w:hint="eastAsia" w:ascii="宋体" w:hAnsi="宋体" w:cs="宋体"/>
          <w:szCs w:val="21"/>
        </w:rPr>
        <w:t>注：</w:t>
      </w:r>
    </w:p>
    <w:p>
      <w:pPr>
        <w:spacing w:line="360" w:lineRule="auto"/>
        <w:ind w:firstLine="126"/>
        <w:jc w:val="left"/>
        <w:rPr>
          <w:rFonts w:ascii="宋体" w:hAnsi="宋体" w:cs="宋体"/>
          <w:szCs w:val="21"/>
        </w:rPr>
      </w:pPr>
      <w:r>
        <w:rPr>
          <w:rFonts w:hint="eastAsia" w:ascii="宋体" w:hAnsi="宋体" w:cs="宋体"/>
          <w:szCs w:val="21"/>
        </w:rPr>
        <w:t>（1）以上人员须提供身份证及有效期内的相关证书扫描件加盖公章，并提供本单位为其缴纳的近三个月的社保缴纳证明。（如与评分有关的，出具的证明材料需满足评审依据，否则不予得分。）</w:t>
      </w:r>
    </w:p>
    <w:p>
      <w:pPr>
        <w:spacing w:line="360" w:lineRule="auto"/>
        <w:ind w:firstLine="126"/>
        <w:jc w:val="left"/>
        <w:rPr>
          <w:rFonts w:ascii="宋体" w:hAnsi="宋体" w:cs="宋体"/>
          <w:szCs w:val="21"/>
        </w:rPr>
      </w:pPr>
      <w:r>
        <w:rPr>
          <w:rFonts w:hint="eastAsia" w:ascii="宋体" w:hAnsi="宋体" w:cs="宋体"/>
          <w:szCs w:val="21"/>
        </w:rPr>
        <w:t>（2）项目组成员的履历可参考本表格式填写。</w:t>
      </w:r>
    </w:p>
    <w:p>
      <w:pPr>
        <w:spacing w:line="360" w:lineRule="auto"/>
        <w:jc w:val="left"/>
        <w:rPr>
          <w:rFonts w:ascii="宋体" w:hAnsi="宋体" w:cs="宋体"/>
          <w:szCs w:val="21"/>
        </w:rPr>
      </w:pPr>
    </w:p>
    <w:p>
      <w:pPr>
        <w:spacing w:line="360" w:lineRule="auto"/>
        <w:jc w:val="left"/>
        <w:rPr>
          <w:rFonts w:ascii="宋体" w:hAnsi="宋体" w:cs="宋体"/>
          <w:szCs w:val="21"/>
        </w:rPr>
      </w:pPr>
    </w:p>
    <w:p>
      <w:pPr>
        <w:spacing w:line="360" w:lineRule="auto"/>
        <w:jc w:val="left"/>
        <w:rPr>
          <w:rFonts w:ascii="宋体" w:hAnsi="宋体" w:cs="宋体"/>
          <w:szCs w:val="21"/>
        </w:rPr>
      </w:pPr>
    </w:p>
    <w:p>
      <w:pPr>
        <w:spacing w:line="360" w:lineRule="auto"/>
        <w:jc w:val="left"/>
        <w:rPr>
          <w:rFonts w:ascii="宋体" w:hAnsi="宋体" w:cs="宋体"/>
          <w:szCs w:val="21"/>
        </w:rPr>
      </w:pPr>
    </w:p>
    <w:p>
      <w:pPr>
        <w:spacing w:line="360" w:lineRule="auto"/>
        <w:jc w:val="left"/>
        <w:rPr>
          <w:rFonts w:ascii="宋体" w:hAnsi="宋体" w:cs="宋体"/>
          <w:szCs w:val="21"/>
        </w:rPr>
      </w:pPr>
    </w:p>
    <w:p>
      <w:pPr>
        <w:spacing w:line="360" w:lineRule="auto"/>
        <w:ind w:firstLine="8"/>
        <w:jc w:val="right"/>
        <w:rPr>
          <w:rFonts w:ascii="宋体" w:hAnsi="宋体" w:cs="宋体"/>
          <w:szCs w:val="21"/>
        </w:rPr>
      </w:pPr>
      <w:r>
        <w:rPr>
          <w:rFonts w:hint="eastAsia" w:ascii="宋体" w:hAnsi="宋体" w:cs="宋体"/>
          <w:szCs w:val="21"/>
        </w:rPr>
        <w:t>供应商全称（盖单位公章）：</w:t>
      </w:r>
    </w:p>
    <w:p>
      <w:pPr>
        <w:spacing w:line="360" w:lineRule="auto"/>
        <w:ind w:firstLine="9"/>
        <w:jc w:val="right"/>
        <w:rPr>
          <w:rFonts w:ascii="宋体" w:hAnsi="宋体" w:cs="宋体"/>
          <w:szCs w:val="21"/>
        </w:rPr>
      </w:pPr>
      <w:r>
        <w:rPr>
          <w:rFonts w:hint="eastAsia" w:ascii="宋体" w:hAnsi="宋体" w:cs="宋体"/>
          <w:szCs w:val="21"/>
        </w:rPr>
        <w:t>法定代表人或授权代表（签字或盖章）：</w:t>
      </w:r>
    </w:p>
    <w:p>
      <w:pPr>
        <w:spacing w:line="360" w:lineRule="auto"/>
        <w:ind w:firstLine="44"/>
        <w:jc w:val="right"/>
        <w:rPr>
          <w:rFonts w:ascii="宋体" w:hAnsi="宋体" w:cs="宋体"/>
          <w:szCs w:val="21"/>
        </w:rPr>
      </w:pPr>
      <w:r>
        <w:rPr>
          <w:rFonts w:hint="eastAsia" w:ascii="宋体" w:hAnsi="宋体" w:cs="宋体"/>
          <w:szCs w:val="21"/>
        </w:rPr>
        <w:t>日期：年  月  日</w:t>
      </w:r>
    </w:p>
    <w:p>
      <w:pPr>
        <w:spacing w:line="360" w:lineRule="auto"/>
        <w:jc w:val="right"/>
        <w:rPr>
          <w:rFonts w:ascii="宋体" w:hAnsi="宋体" w:cs="宋体"/>
          <w:szCs w:val="21"/>
        </w:rPr>
        <w:sectPr>
          <w:headerReference r:id="rId38" w:type="default"/>
          <w:footerReference r:id="rId39" w:type="default"/>
          <w:pgSz w:w="11906" w:h="16839"/>
          <w:pgMar w:top="1440" w:right="1800" w:bottom="1440" w:left="1800" w:header="878" w:footer="1045" w:gutter="0"/>
          <w:cols w:space="720" w:num="1"/>
        </w:sectPr>
      </w:pPr>
    </w:p>
    <w:p>
      <w:pPr>
        <w:pStyle w:val="4"/>
        <w:ind w:firstLine="482"/>
        <w:rPr>
          <w:rFonts w:ascii="宋体" w:hAnsi="宋体" w:cs="宋体"/>
        </w:rPr>
      </w:pPr>
      <w:r>
        <w:rPr>
          <w:rFonts w:hint="eastAsia" w:ascii="宋体" w:hAnsi="宋体" w:cs="宋体"/>
        </w:rPr>
        <w:t>3.12知识产权承诺函</w:t>
      </w:r>
    </w:p>
    <w:p>
      <w:pPr>
        <w:spacing w:line="360" w:lineRule="auto"/>
        <w:ind w:firstLine="3396"/>
        <w:jc w:val="left"/>
        <w:rPr>
          <w:rFonts w:ascii="宋体" w:hAnsi="宋体" w:cs="宋体"/>
          <w:szCs w:val="21"/>
        </w:rPr>
      </w:pPr>
      <w:r>
        <w:rPr>
          <w:rFonts w:hint="eastAsia" w:ascii="宋体" w:hAnsi="宋体" w:cs="宋体"/>
          <w:szCs w:val="21"/>
        </w:rPr>
        <w:t>知识产权承诺函</w:t>
      </w:r>
    </w:p>
    <w:p>
      <w:pPr>
        <w:spacing w:line="360" w:lineRule="auto"/>
        <w:jc w:val="left"/>
        <w:rPr>
          <w:rFonts w:ascii="宋体" w:hAnsi="宋体" w:cs="宋体"/>
          <w:szCs w:val="21"/>
        </w:rPr>
      </w:pPr>
    </w:p>
    <w:p>
      <w:pPr>
        <w:spacing w:line="360" w:lineRule="auto"/>
        <w:jc w:val="left"/>
        <w:rPr>
          <w:rFonts w:ascii="宋体" w:hAnsi="宋体" w:cs="宋体"/>
          <w:szCs w:val="21"/>
        </w:rPr>
      </w:pPr>
    </w:p>
    <w:p>
      <w:pPr>
        <w:spacing w:line="360" w:lineRule="auto"/>
        <w:ind w:firstLine="11"/>
        <w:jc w:val="left"/>
        <w:rPr>
          <w:rFonts w:ascii="宋体" w:hAnsi="宋体" w:cs="宋体"/>
          <w:szCs w:val="21"/>
          <w:u w:val="single"/>
        </w:rPr>
      </w:pPr>
      <w:r>
        <w:rPr>
          <w:rFonts w:hint="eastAsia" w:ascii="宋体" w:hAnsi="宋体" w:cs="宋体"/>
          <w:szCs w:val="21"/>
          <w:u w:val="single"/>
        </w:rPr>
        <w:t>杭州市城乡建设委员会：</w:t>
      </w:r>
    </w:p>
    <w:p>
      <w:pPr>
        <w:spacing w:line="360" w:lineRule="auto"/>
        <w:ind w:firstLine="430"/>
        <w:jc w:val="left"/>
        <w:rPr>
          <w:rFonts w:ascii="宋体" w:hAnsi="宋体" w:cs="宋体"/>
          <w:szCs w:val="21"/>
        </w:rPr>
      </w:pPr>
      <w:r>
        <w:rPr>
          <w:rFonts w:hint="eastAsia" w:ascii="宋体" w:hAnsi="宋体" w:cs="宋体"/>
          <w:szCs w:val="21"/>
        </w:rPr>
        <w:t>我公司承诺：</w:t>
      </w:r>
    </w:p>
    <w:p>
      <w:pPr>
        <w:spacing w:line="360" w:lineRule="auto"/>
        <w:ind w:firstLine="424"/>
        <w:jc w:val="left"/>
        <w:rPr>
          <w:rFonts w:ascii="宋体" w:hAnsi="宋体" w:cs="宋体"/>
          <w:szCs w:val="21"/>
        </w:rPr>
      </w:pPr>
      <w:r>
        <w:rPr>
          <w:rFonts w:hint="eastAsia" w:ascii="宋体" w:hAnsi="宋体" w:cs="宋体"/>
          <w:szCs w:val="21"/>
        </w:rPr>
        <w:t>如中标，我方在本合同项下完成的所有形式的工作成果所有权和知识产权归属于甲、乙双方所有。</w:t>
      </w:r>
    </w:p>
    <w:p>
      <w:pPr>
        <w:spacing w:line="360" w:lineRule="auto"/>
        <w:ind w:firstLine="422"/>
        <w:jc w:val="left"/>
        <w:rPr>
          <w:rFonts w:ascii="宋体" w:hAnsi="宋体" w:cs="宋体"/>
          <w:szCs w:val="21"/>
        </w:rPr>
      </w:pPr>
      <w:r>
        <w:rPr>
          <w:rFonts w:hint="eastAsia" w:ascii="宋体" w:hAnsi="宋体" w:cs="宋体"/>
          <w:szCs w:val="21"/>
        </w:rPr>
        <w:t>我公司所交付成果材料中，如有画面、音乐、配音等，未侵犯他人的商标权、专利权、肖像权、著作权等在先权利。否则因此产生的一切法律后果以及责任由我方承担。</w:t>
      </w:r>
    </w:p>
    <w:p>
      <w:pPr>
        <w:spacing w:line="360" w:lineRule="auto"/>
        <w:jc w:val="left"/>
        <w:rPr>
          <w:rFonts w:ascii="宋体" w:hAnsi="宋体" w:cs="宋体"/>
          <w:szCs w:val="21"/>
        </w:rPr>
      </w:pPr>
    </w:p>
    <w:p>
      <w:pPr>
        <w:spacing w:line="360" w:lineRule="auto"/>
        <w:jc w:val="left"/>
        <w:rPr>
          <w:rFonts w:ascii="宋体" w:hAnsi="宋体" w:cs="宋体"/>
          <w:szCs w:val="21"/>
        </w:rPr>
      </w:pPr>
    </w:p>
    <w:p>
      <w:pPr>
        <w:spacing w:line="360" w:lineRule="auto"/>
        <w:jc w:val="left"/>
        <w:rPr>
          <w:rFonts w:ascii="宋体" w:hAnsi="宋体" w:cs="宋体"/>
          <w:szCs w:val="21"/>
        </w:rPr>
      </w:pPr>
    </w:p>
    <w:p>
      <w:pPr>
        <w:spacing w:line="360" w:lineRule="auto"/>
        <w:ind w:firstLine="8"/>
        <w:jc w:val="right"/>
        <w:rPr>
          <w:rFonts w:ascii="宋体" w:hAnsi="宋体" w:cs="宋体"/>
          <w:szCs w:val="21"/>
        </w:rPr>
      </w:pPr>
      <w:r>
        <w:rPr>
          <w:rFonts w:hint="eastAsia" w:ascii="宋体" w:hAnsi="宋体" w:cs="宋体"/>
          <w:szCs w:val="21"/>
        </w:rPr>
        <w:t>供应商全称（盖单位公章）：</w:t>
      </w:r>
    </w:p>
    <w:p>
      <w:pPr>
        <w:spacing w:line="360" w:lineRule="auto"/>
        <w:ind w:firstLine="9"/>
        <w:jc w:val="right"/>
        <w:rPr>
          <w:rFonts w:ascii="宋体" w:hAnsi="宋体" w:cs="宋体"/>
          <w:szCs w:val="21"/>
        </w:rPr>
      </w:pPr>
      <w:r>
        <w:rPr>
          <w:rFonts w:hint="eastAsia" w:ascii="宋体" w:hAnsi="宋体" w:cs="宋体"/>
          <w:szCs w:val="21"/>
        </w:rPr>
        <w:t>法定代表人或授权代表（签字或盖章）：</w:t>
      </w:r>
    </w:p>
    <w:p>
      <w:pPr>
        <w:spacing w:line="360" w:lineRule="auto"/>
        <w:ind w:firstLine="44"/>
        <w:jc w:val="right"/>
        <w:rPr>
          <w:rFonts w:ascii="宋体" w:hAnsi="宋体" w:cs="宋体"/>
          <w:szCs w:val="21"/>
        </w:rPr>
      </w:pPr>
      <w:r>
        <w:rPr>
          <w:rFonts w:hint="eastAsia" w:ascii="宋体" w:hAnsi="宋体" w:cs="宋体"/>
          <w:szCs w:val="21"/>
        </w:rPr>
        <w:t>日期：年  月  日</w:t>
      </w:r>
    </w:p>
    <w:p>
      <w:pPr>
        <w:spacing w:line="360" w:lineRule="auto"/>
        <w:jc w:val="right"/>
        <w:rPr>
          <w:rFonts w:ascii="宋体" w:hAnsi="宋体" w:cs="宋体"/>
          <w:szCs w:val="21"/>
        </w:rPr>
      </w:pPr>
    </w:p>
    <w:p>
      <w:pPr>
        <w:spacing w:line="360" w:lineRule="auto"/>
        <w:rPr>
          <w:rFonts w:ascii="宋体" w:hAnsi="宋体" w:cs="宋体"/>
          <w:szCs w:val="21"/>
        </w:rPr>
      </w:pPr>
      <w:r>
        <w:rPr>
          <w:rFonts w:hint="eastAsia" w:ascii="宋体" w:hAnsi="宋体" w:cs="宋体"/>
          <w:szCs w:val="21"/>
        </w:rPr>
        <w:t>▲投标文件中应提供此函</w:t>
      </w:r>
    </w:p>
    <w:p>
      <w:pPr>
        <w:pStyle w:val="5"/>
        <w:rPr>
          <w:rFonts w:ascii="宋体" w:hAnsi="宋体" w:cs="宋体"/>
        </w:rPr>
        <w:sectPr>
          <w:headerReference r:id="rId40" w:type="default"/>
          <w:footerReference r:id="rId41" w:type="default"/>
          <w:pgSz w:w="11906" w:h="16839"/>
          <w:pgMar w:top="1440" w:right="1800" w:bottom="1440" w:left="1800" w:header="878" w:footer="1045" w:gutter="0"/>
          <w:cols w:space="720" w:num="1"/>
        </w:sectPr>
      </w:pPr>
    </w:p>
    <w:p>
      <w:pPr>
        <w:pStyle w:val="4"/>
        <w:ind w:firstLine="482"/>
        <w:rPr>
          <w:rFonts w:ascii="宋体" w:hAnsi="宋体" w:cs="宋体"/>
        </w:rPr>
      </w:pPr>
      <w:r>
        <w:rPr>
          <w:rFonts w:hint="eastAsia" w:ascii="宋体" w:hAnsi="宋体" w:cs="宋体"/>
        </w:rPr>
        <w:t>3.13供应商认为需要提供的其它文件及资料。（如有）</w:t>
      </w:r>
    </w:p>
    <w:p>
      <w:pPr>
        <w:pStyle w:val="4"/>
        <w:ind w:firstLine="482"/>
        <w:rPr>
          <w:rFonts w:ascii="宋体" w:hAnsi="宋体" w:cs="宋体"/>
        </w:rPr>
        <w:sectPr>
          <w:pgSz w:w="11906" w:h="16839"/>
          <w:pgMar w:top="1440" w:right="1800" w:bottom="1440" w:left="1800" w:header="878" w:footer="1045" w:gutter="0"/>
          <w:cols w:space="720" w:num="1"/>
        </w:sectPr>
      </w:pPr>
    </w:p>
    <w:p>
      <w:pPr>
        <w:pStyle w:val="2"/>
        <w:ind w:firstLine="422"/>
        <w:rPr>
          <w:rFonts w:ascii="宋体" w:hAnsi="宋体" w:cs="宋体"/>
          <w:sz w:val="21"/>
          <w:szCs w:val="21"/>
        </w:rPr>
      </w:pPr>
      <w:bookmarkStart w:id="194" w:name="_Toc30316"/>
      <w:r>
        <w:rPr>
          <w:rFonts w:hint="eastAsia" w:ascii="宋体" w:hAnsi="宋体" w:cs="宋体"/>
          <w:sz w:val="21"/>
          <w:szCs w:val="21"/>
        </w:rPr>
        <w:t>四、报价响应文件</w:t>
      </w:r>
      <w:bookmarkEnd w:id="194"/>
    </w:p>
    <w:p>
      <w:pPr>
        <w:pStyle w:val="4"/>
        <w:ind w:firstLine="482"/>
        <w:rPr>
          <w:rFonts w:ascii="宋体" w:hAnsi="宋体" w:cs="宋体"/>
        </w:rPr>
      </w:pPr>
      <w:r>
        <w:rPr>
          <w:rFonts w:hint="eastAsia" w:ascii="宋体" w:hAnsi="宋体" w:cs="宋体"/>
        </w:rPr>
        <w:t>4.1开标一览表</w:t>
      </w:r>
    </w:p>
    <w:p>
      <w:pPr>
        <w:spacing w:line="360" w:lineRule="auto"/>
        <w:ind w:firstLine="1101"/>
        <w:jc w:val="left"/>
        <w:rPr>
          <w:rFonts w:ascii="宋体" w:hAnsi="宋体" w:cs="宋体"/>
          <w:szCs w:val="21"/>
        </w:rPr>
      </w:pPr>
    </w:p>
    <w:p>
      <w:pPr>
        <w:spacing w:line="360" w:lineRule="auto"/>
        <w:jc w:val="center"/>
        <w:rPr>
          <w:rFonts w:ascii="宋体" w:hAnsi="宋体" w:cs="宋体"/>
          <w:szCs w:val="21"/>
        </w:rPr>
      </w:pPr>
      <w:r>
        <w:rPr>
          <w:rFonts w:hint="eastAsia" w:ascii="宋体" w:hAnsi="宋体" w:cs="宋体"/>
          <w:szCs w:val="21"/>
        </w:rPr>
        <w:t>开标一览表</w:t>
      </w:r>
    </w:p>
    <w:p>
      <w:pPr>
        <w:spacing w:line="360" w:lineRule="auto"/>
        <w:jc w:val="left"/>
        <w:rPr>
          <w:rFonts w:ascii="宋体" w:hAnsi="宋体" w:cs="宋体"/>
          <w:szCs w:val="21"/>
        </w:rPr>
      </w:pPr>
      <w:r>
        <w:rPr>
          <w:rFonts w:hint="eastAsia" w:ascii="宋体" w:hAnsi="宋体" w:cs="宋体"/>
          <w:szCs w:val="21"/>
        </w:rPr>
        <w:t>项目名称：</w:t>
      </w:r>
    </w:p>
    <w:p>
      <w:pPr>
        <w:spacing w:line="360" w:lineRule="auto"/>
        <w:jc w:val="left"/>
        <w:rPr>
          <w:rFonts w:ascii="宋体" w:hAnsi="宋体" w:cs="宋体"/>
          <w:szCs w:val="21"/>
        </w:rPr>
      </w:pPr>
      <w:r>
        <w:rPr>
          <w:rFonts w:hint="eastAsia" w:ascii="宋体" w:hAnsi="宋体" w:cs="宋体"/>
          <w:szCs w:val="21"/>
        </w:rPr>
        <w:t>项目编号：</w:t>
      </w:r>
    </w:p>
    <w:p>
      <w:pPr>
        <w:spacing w:line="360" w:lineRule="auto"/>
        <w:jc w:val="left"/>
        <w:rPr>
          <w:rFonts w:ascii="宋体" w:hAnsi="宋体" w:cs="宋体"/>
          <w:szCs w:val="21"/>
        </w:rPr>
      </w:pPr>
    </w:p>
    <w:tbl>
      <w:tblPr>
        <w:tblStyle w:val="15"/>
        <w:tblW w:w="0" w:type="auto"/>
        <w:tblInd w:w="3"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525"/>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182" w:hRule="atLeast"/>
        </w:trPr>
        <w:tc>
          <w:tcPr>
            <w:tcW w:w="8525" w:type="dxa"/>
          </w:tcPr>
          <w:p>
            <w:pPr>
              <w:spacing w:line="360" w:lineRule="auto"/>
              <w:ind w:firstLine="119"/>
              <w:jc w:val="left"/>
              <w:rPr>
                <w:rFonts w:ascii="宋体" w:hAnsi="宋体" w:cs="宋体"/>
                <w:szCs w:val="21"/>
              </w:rPr>
            </w:pPr>
            <w:r>
              <w:rPr>
                <w:rFonts w:hint="eastAsia" w:ascii="宋体" w:hAnsi="宋体" w:cs="宋体"/>
                <w:szCs w:val="21"/>
              </w:rPr>
              <w:t>总报价（人民币小写）¥</w:t>
            </w:r>
            <w:r>
              <w:rPr>
                <w:rFonts w:hint="eastAsia" w:ascii="宋体" w:hAnsi="宋体" w:cs="宋体"/>
                <w:szCs w:val="21"/>
                <w:u w:val="single"/>
              </w:rPr>
              <w:t xml:space="preserve">          </w:t>
            </w:r>
            <w:r>
              <w:rPr>
                <w:rFonts w:hint="eastAsia" w:ascii="宋体" w:hAnsi="宋体" w:cs="宋体"/>
                <w:szCs w:val="21"/>
              </w:rPr>
              <w:t>，</w:t>
            </w:r>
          </w:p>
          <w:p>
            <w:pPr>
              <w:spacing w:line="360" w:lineRule="auto"/>
              <w:ind w:firstLine="1376"/>
              <w:jc w:val="left"/>
              <w:rPr>
                <w:rFonts w:ascii="宋体" w:hAnsi="宋体" w:cs="宋体"/>
                <w:szCs w:val="21"/>
              </w:rPr>
            </w:pPr>
            <w:r>
              <w:rPr>
                <w:rFonts w:hint="eastAsia" w:ascii="宋体" w:hAnsi="宋体" w:cs="宋体"/>
                <w:szCs w:val="21"/>
              </w:rPr>
              <w:t>大写：</w:t>
            </w:r>
            <w:r>
              <w:rPr>
                <w:rFonts w:hint="eastAsia" w:ascii="宋体" w:hAnsi="宋体" w:cs="宋体"/>
                <w:szCs w:val="21"/>
                <w:u w:val="single"/>
              </w:rPr>
              <w:t xml:space="preserve">          </w:t>
            </w:r>
            <w:r>
              <w:rPr>
                <w:rFonts w:hint="eastAsia" w:ascii="宋体" w:hAnsi="宋体" w:cs="宋体"/>
                <w:szCs w:val="21"/>
              </w:rPr>
              <w:t>元</w:t>
            </w:r>
          </w:p>
        </w:tc>
      </w:tr>
    </w:tbl>
    <w:p>
      <w:pPr>
        <w:spacing w:line="360" w:lineRule="auto"/>
        <w:jc w:val="left"/>
        <w:rPr>
          <w:rFonts w:ascii="宋体" w:hAnsi="宋体" w:cs="宋体"/>
          <w:szCs w:val="21"/>
        </w:rPr>
      </w:pPr>
    </w:p>
    <w:p>
      <w:pPr>
        <w:spacing w:line="360" w:lineRule="auto"/>
        <w:jc w:val="left"/>
        <w:rPr>
          <w:rFonts w:ascii="宋体" w:hAnsi="宋体" w:cs="宋体"/>
          <w:szCs w:val="21"/>
        </w:rPr>
      </w:pPr>
      <w:r>
        <w:rPr>
          <w:rFonts w:hint="eastAsia" w:ascii="宋体" w:hAnsi="宋体" w:cs="宋体"/>
          <w:szCs w:val="21"/>
        </w:rPr>
        <w:t>注：“报价方式”以一次报清，完成本项目所需的所有费用必须包含在总报价中，如以后已实施而未列入报价的费用将被视为已含在总价内，采购人均不予支付。</w:t>
      </w:r>
    </w:p>
    <w:p>
      <w:pPr>
        <w:spacing w:line="360" w:lineRule="auto"/>
        <w:jc w:val="left"/>
        <w:rPr>
          <w:rFonts w:ascii="宋体" w:hAnsi="宋体" w:cs="宋体"/>
          <w:szCs w:val="21"/>
        </w:rPr>
      </w:pPr>
    </w:p>
    <w:p>
      <w:pPr>
        <w:spacing w:line="360" w:lineRule="auto"/>
        <w:jc w:val="left"/>
        <w:rPr>
          <w:rFonts w:ascii="宋体" w:hAnsi="宋体" w:cs="宋体"/>
          <w:szCs w:val="21"/>
        </w:rPr>
      </w:pPr>
    </w:p>
    <w:p>
      <w:pPr>
        <w:spacing w:line="360" w:lineRule="auto"/>
        <w:jc w:val="left"/>
        <w:rPr>
          <w:rFonts w:ascii="宋体" w:hAnsi="宋体" w:cs="宋体"/>
          <w:szCs w:val="21"/>
        </w:rPr>
      </w:pPr>
    </w:p>
    <w:p>
      <w:pPr>
        <w:spacing w:line="360" w:lineRule="auto"/>
        <w:jc w:val="left"/>
        <w:rPr>
          <w:rFonts w:ascii="宋体" w:hAnsi="宋体" w:cs="宋体"/>
          <w:szCs w:val="21"/>
        </w:rPr>
      </w:pPr>
    </w:p>
    <w:p>
      <w:pPr>
        <w:spacing w:line="360" w:lineRule="auto"/>
        <w:ind w:firstLine="8"/>
        <w:jc w:val="right"/>
        <w:rPr>
          <w:rFonts w:ascii="宋体" w:hAnsi="宋体" w:cs="宋体"/>
          <w:szCs w:val="21"/>
        </w:rPr>
      </w:pPr>
      <w:r>
        <w:rPr>
          <w:rFonts w:hint="eastAsia" w:ascii="宋体" w:hAnsi="宋体" w:cs="宋体"/>
          <w:szCs w:val="21"/>
        </w:rPr>
        <w:t>供应商全称（盖单位公章）：</w:t>
      </w:r>
    </w:p>
    <w:p>
      <w:pPr>
        <w:spacing w:line="360" w:lineRule="auto"/>
        <w:ind w:firstLine="9"/>
        <w:jc w:val="right"/>
        <w:rPr>
          <w:rFonts w:ascii="宋体" w:hAnsi="宋体" w:cs="宋体"/>
          <w:szCs w:val="21"/>
        </w:rPr>
      </w:pPr>
      <w:r>
        <w:rPr>
          <w:rFonts w:hint="eastAsia" w:ascii="宋体" w:hAnsi="宋体" w:cs="宋体"/>
          <w:szCs w:val="21"/>
        </w:rPr>
        <w:t>法定代表人或授权代表（签字或盖章）：</w:t>
      </w:r>
    </w:p>
    <w:p>
      <w:pPr>
        <w:spacing w:line="360" w:lineRule="auto"/>
        <w:ind w:firstLine="44"/>
        <w:jc w:val="right"/>
        <w:rPr>
          <w:rFonts w:ascii="宋体" w:hAnsi="宋体" w:cs="宋体"/>
          <w:szCs w:val="21"/>
        </w:rPr>
      </w:pPr>
      <w:r>
        <w:rPr>
          <w:rFonts w:hint="eastAsia" w:ascii="宋体" w:hAnsi="宋体" w:cs="宋体"/>
          <w:szCs w:val="21"/>
        </w:rPr>
        <w:t>日期：  年  月  日</w:t>
      </w:r>
    </w:p>
    <w:p>
      <w:pPr>
        <w:spacing w:line="360" w:lineRule="auto"/>
        <w:jc w:val="right"/>
        <w:rPr>
          <w:rFonts w:ascii="宋体" w:hAnsi="宋体" w:cs="宋体"/>
          <w:szCs w:val="21"/>
        </w:rPr>
        <w:sectPr>
          <w:headerReference r:id="rId42" w:type="default"/>
          <w:footerReference r:id="rId43" w:type="default"/>
          <w:pgSz w:w="11906" w:h="16839"/>
          <w:pgMar w:top="1440" w:right="1800" w:bottom="1440" w:left="1800" w:header="878" w:footer="1045" w:gutter="0"/>
          <w:cols w:space="720" w:num="1"/>
        </w:sectPr>
      </w:pPr>
    </w:p>
    <w:p>
      <w:pPr>
        <w:pStyle w:val="4"/>
        <w:ind w:firstLine="482"/>
        <w:rPr>
          <w:rFonts w:ascii="宋体" w:hAnsi="宋体" w:cs="宋体"/>
        </w:rPr>
      </w:pPr>
      <w:r>
        <w:rPr>
          <w:rFonts w:hint="eastAsia" w:ascii="宋体" w:hAnsi="宋体" w:cs="宋体"/>
        </w:rPr>
        <w:t>4.2投标报价明细表</w:t>
      </w:r>
    </w:p>
    <w:p>
      <w:pPr>
        <w:spacing w:line="360" w:lineRule="auto"/>
        <w:jc w:val="left"/>
        <w:rPr>
          <w:rFonts w:ascii="宋体" w:hAnsi="宋体" w:cs="宋体"/>
          <w:szCs w:val="21"/>
        </w:rPr>
      </w:pPr>
    </w:p>
    <w:p>
      <w:pPr>
        <w:spacing w:line="360" w:lineRule="auto"/>
        <w:ind w:firstLine="3413"/>
        <w:jc w:val="left"/>
        <w:rPr>
          <w:rFonts w:ascii="宋体" w:hAnsi="宋体" w:cs="宋体"/>
          <w:szCs w:val="21"/>
        </w:rPr>
      </w:pPr>
      <w:r>
        <w:rPr>
          <w:rFonts w:hint="eastAsia" w:ascii="宋体" w:hAnsi="宋体" w:cs="宋体"/>
          <w:szCs w:val="21"/>
        </w:rPr>
        <w:t>投标报价明细表</w:t>
      </w:r>
    </w:p>
    <w:p>
      <w:pPr>
        <w:spacing w:line="360" w:lineRule="auto"/>
        <w:jc w:val="left"/>
        <w:rPr>
          <w:rFonts w:ascii="宋体" w:hAnsi="宋体" w:cs="宋体"/>
          <w:szCs w:val="21"/>
        </w:rPr>
      </w:pPr>
    </w:p>
    <w:p>
      <w:pPr>
        <w:spacing w:line="360" w:lineRule="auto"/>
        <w:ind w:firstLine="31"/>
        <w:jc w:val="left"/>
        <w:rPr>
          <w:rFonts w:ascii="宋体" w:hAnsi="宋体" w:cs="宋体"/>
          <w:szCs w:val="21"/>
        </w:rPr>
      </w:pPr>
      <w:r>
        <w:rPr>
          <w:rFonts w:hint="eastAsia" w:ascii="宋体" w:hAnsi="宋体" w:cs="宋体"/>
          <w:szCs w:val="21"/>
        </w:rPr>
        <w:t>项目名称：</w:t>
      </w:r>
      <w:r>
        <w:rPr>
          <w:rFonts w:hint="eastAsia" w:ascii="宋体" w:hAnsi="宋体" w:cs="宋体"/>
          <w:szCs w:val="21"/>
          <w:u w:val="single"/>
        </w:rPr>
        <w:t xml:space="preserve">            </w:t>
      </w:r>
      <w:r>
        <w:rPr>
          <w:rFonts w:hint="eastAsia" w:ascii="宋体" w:hAnsi="宋体" w:cs="宋体"/>
          <w:szCs w:val="21"/>
        </w:rPr>
        <w:t xml:space="preserve">          </w:t>
      </w:r>
    </w:p>
    <w:p>
      <w:pPr>
        <w:spacing w:line="360" w:lineRule="auto"/>
        <w:ind w:firstLine="31"/>
        <w:jc w:val="left"/>
        <w:rPr>
          <w:rFonts w:ascii="宋体" w:hAnsi="宋体" w:cs="宋体"/>
          <w:szCs w:val="21"/>
        </w:rPr>
      </w:pPr>
      <w:r>
        <w:rPr>
          <w:rFonts w:hint="eastAsia" w:ascii="宋体" w:hAnsi="宋体" w:cs="宋体"/>
          <w:szCs w:val="21"/>
        </w:rPr>
        <w:t>项目编号：</w:t>
      </w:r>
      <w:r>
        <w:rPr>
          <w:rFonts w:hint="eastAsia" w:ascii="宋体" w:hAnsi="宋体" w:cs="宋体"/>
          <w:szCs w:val="21"/>
          <w:u w:val="single"/>
        </w:rPr>
        <w:t xml:space="preserve">            </w:t>
      </w:r>
      <w:r>
        <w:rPr>
          <w:rFonts w:hint="eastAsia" w:ascii="宋体" w:hAnsi="宋体" w:cs="宋体"/>
          <w:szCs w:val="21"/>
        </w:rPr>
        <w:t xml:space="preserve">          </w:t>
      </w:r>
    </w:p>
    <w:p>
      <w:pPr>
        <w:spacing w:line="360" w:lineRule="auto"/>
        <w:ind w:firstLine="31"/>
        <w:jc w:val="right"/>
        <w:rPr>
          <w:rFonts w:ascii="宋体" w:hAnsi="宋体" w:cs="宋体"/>
          <w:szCs w:val="21"/>
        </w:rPr>
      </w:pPr>
      <w:r>
        <w:rPr>
          <w:rFonts w:hint="eastAsia" w:ascii="宋体" w:hAnsi="宋体" w:cs="宋体"/>
          <w:szCs w:val="21"/>
        </w:rPr>
        <w:t>元人民币</w:t>
      </w:r>
    </w:p>
    <w:tbl>
      <w:tblPr>
        <w:tblStyle w:val="15"/>
        <w:tblW w:w="0" w:type="auto"/>
        <w:tblInd w:w="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75"/>
        <w:gridCol w:w="2374"/>
        <w:gridCol w:w="1543"/>
        <w:gridCol w:w="1054"/>
        <w:gridCol w:w="1625"/>
        <w:gridCol w:w="104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675" w:type="dxa"/>
            <w:tcBorders>
              <w:top w:val="single" w:color="000000" w:sz="6" w:space="0"/>
              <w:left w:val="single" w:color="000000" w:sz="6" w:space="0"/>
            </w:tcBorders>
          </w:tcPr>
          <w:p>
            <w:pPr>
              <w:spacing w:line="360" w:lineRule="auto"/>
              <w:ind w:firstLine="126"/>
              <w:jc w:val="left"/>
              <w:rPr>
                <w:rFonts w:ascii="宋体" w:hAnsi="宋体" w:cs="宋体"/>
                <w:szCs w:val="21"/>
              </w:rPr>
            </w:pPr>
            <w:r>
              <w:rPr>
                <w:rFonts w:hint="eastAsia" w:ascii="宋体" w:hAnsi="宋体" w:cs="宋体"/>
                <w:szCs w:val="21"/>
              </w:rPr>
              <w:t>序号</w:t>
            </w:r>
          </w:p>
        </w:tc>
        <w:tc>
          <w:tcPr>
            <w:tcW w:w="2374" w:type="dxa"/>
            <w:tcBorders>
              <w:top w:val="single" w:color="000000" w:sz="6" w:space="0"/>
            </w:tcBorders>
          </w:tcPr>
          <w:p>
            <w:pPr>
              <w:spacing w:line="360" w:lineRule="auto"/>
              <w:ind w:firstLine="1045"/>
              <w:jc w:val="left"/>
              <w:rPr>
                <w:rFonts w:ascii="宋体" w:hAnsi="宋体" w:cs="宋体"/>
                <w:szCs w:val="21"/>
              </w:rPr>
            </w:pPr>
            <w:r>
              <w:rPr>
                <w:rFonts w:hint="eastAsia" w:ascii="宋体" w:hAnsi="宋体" w:cs="宋体"/>
                <w:szCs w:val="21"/>
              </w:rPr>
              <w:t>名称</w:t>
            </w:r>
          </w:p>
        </w:tc>
        <w:tc>
          <w:tcPr>
            <w:tcW w:w="1543" w:type="dxa"/>
            <w:tcBorders>
              <w:top w:val="single" w:color="000000" w:sz="6" w:space="0"/>
            </w:tcBorders>
          </w:tcPr>
          <w:p>
            <w:pPr>
              <w:spacing w:line="360" w:lineRule="auto"/>
              <w:ind w:firstLine="598"/>
              <w:jc w:val="left"/>
              <w:rPr>
                <w:rFonts w:ascii="宋体" w:hAnsi="宋体" w:cs="宋体"/>
                <w:szCs w:val="21"/>
              </w:rPr>
            </w:pPr>
            <w:r>
              <w:rPr>
                <w:rFonts w:hint="eastAsia" w:ascii="宋体" w:hAnsi="宋体" w:cs="宋体"/>
                <w:szCs w:val="21"/>
              </w:rPr>
              <w:t>数量</w:t>
            </w:r>
          </w:p>
        </w:tc>
        <w:tc>
          <w:tcPr>
            <w:tcW w:w="1054" w:type="dxa"/>
            <w:tcBorders>
              <w:top w:val="single" w:color="000000" w:sz="6" w:space="0"/>
            </w:tcBorders>
          </w:tcPr>
          <w:p>
            <w:pPr>
              <w:spacing w:line="360" w:lineRule="auto"/>
              <w:ind w:firstLine="335"/>
              <w:jc w:val="left"/>
              <w:rPr>
                <w:rFonts w:ascii="宋体" w:hAnsi="宋体" w:cs="宋体"/>
                <w:szCs w:val="21"/>
              </w:rPr>
            </w:pPr>
            <w:r>
              <w:rPr>
                <w:rFonts w:hint="eastAsia" w:ascii="宋体" w:hAnsi="宋体" w:cs="宋体"/>
                <w:szCs w:val="21"/>
              </w:rPr>
              <w:t>单价</w:t>
            </w:r>
          </w:p>
        </w:tc>
        <w:tc>
          <w:tcPr>
            <w:tcW w:w="1625" w:type="dxa"/>
            <w:tcBorders>
              <w:top w:val="single" w:color="000000" w:sz="6" w:space="0"/>
            </w:tcBorders>
          </w:tcPr>
          <w:p>
            <w:pPr>
              <w:spacing w:line="360" w:lineRule="auto"/>
              <w:ind w:firstLine="645"/>
              <w:jc w:val="left"/>
              <w:rPr>
                <w:rFonts w:ascii="宋体" w:hAnsi="宋体" w:cs="宋体"/>
                <w:szCs w:val="21"/>
              </w:rPr>
            </w:pPr>
            <w:r>
              <w:rPr>
                <w:rFonts w:hint="eastAsia" w:ascii="宋体" w:hAnsi="宋体" w:cs="宋体"/>
                <w:szCs w:val="21"/>
              </w:rPr>
              <w:t>总价</w:t>
            </w:r>
          </w:p>
        </w:tc>
        <w:tc>
          <w:tcPr>
            <w:tcW w:w="1049" w:type="dxa"/>
            <w:tcBorders>
              <w:top w:val="single" w:color="000000" w:sz="6" w:space="0"/>
              <w:right w:val="single" w:color="000000" w:sz="6" w:space="0"/>
            </w:tcBorders>
          </w:tcPr>
          <w:p>
            <w:pPr>
              <w:spacing w:line="360" w:lineRule="auto"/>
              <w:ind w:firstLine="328"/>
              <w:jc w:val="left"/>
              <w:rPr>
                <w:rFonts w:ascii="宋体" w:hAnsi="宋体" w:cs="宋体"/>
                <w:szCs w:val="21"/>
              </w:rPr>
            </w:pPr>
            <w:r>
              <w:rPr>
                <w:rFonts w:hint="eastAsia" w:ascii="宋体" w:hAnsi="宋体" w:cs="宋体"/>
                <w:szCs w:val="21"/>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675" w:type="dxa"/>
            <w:tcBorders>
              <w:left w:val="single" w:color="000000" w:sz="6" w:space="0"/>
            </w:tcBorders>
          </w:tcPr>
          <w:p>
            <w:pPr>
              <w:spacing w:line="360" w:lineRule="auto"/>
              <w:jc w:val="left"/>
              <w:rPr>
                <w:rFonts w:ascii="宋体" w:hAnsi="宋体" w:cs="宋体"/>
                <w:szCs w:val="21"/>
              </w:rPr>
            </w:pPr>
          </w:p>
        </w:tc>
        <w:tc>
          <w:tcPr>
            <w:tcW w:w="2374" w:type="dxa"/>
          </w:tcPr>
          <w:p>
            <w:pPr>
              <w:spacing w:line="360" w:lineRule="auto"/>
              <w:jc w:val="left"/>
              <w:rPr>
                <w:rFonts w:ascii="宋体" w:hAnsi="宋体" w:cs="宋体"/>
                <w:szCs w:val="21"/>
              </w:rPr>
            </w:pPr>
          </w:p>
        </w:tc>
        <w:tc>
          <w:tcPr>
            <w:tcW w:w="1543" w:type="dxa"/>
          </w:tcPr>
          <w:p>
            <w:pPr>
              <w:spacing w:line="360" w:lineRule="auto"/>
              <w:jc w:val="left"/>
              <w:rPr>
                <w:rFonts w:ascii="宋体" w:hAnsi="宋体" w:cs="宋体"/>
                <w:szCs w:val="21"/>
              </w:rPr>
            </w:pPr>
          </w:p>
        </w:tc>
        <w:tc>
          <w:tcPr>
            <w:tcW w:w="1054" w:type="dxa"/>
          </w:tcPr>
          <w:p>
            <w:pPr>
              <w:spacing w:line="360" w:lineRule="auto"/>
              <w:jc w:val="left"/>
              <w:rPr>
                <w:rFonts w:ascii="宋体" w:hAnsi="宋体" w:cs="宋体"/>
                <w:szCs w:val="21"/>
              </w:rPr>
            </w:pPr>
          </w:p>
        </w:tc>
        <w:tc>
          <w:tcPr>
            <w:tcW w:w="1625" w:type="dxa"/>
          </w:tcPr>
          <w:p>
            <w:pPr>
              <w:spacing w:line="360" w:lineRule="auto"/>
              <w:jc w:val="left"/>
              <w:rPr>
                <w:rFonts w:ascii="宋体" w:hAnsi="宋体" w:cs="宋体"/>
                <w:szCs w:val="21"/>
              </w:rPr>
            </w:pPr>
          </w:p>
        </w:tc>
        <w:tc>
          <w:tcPr>
            <w:tcW w:w="1049" w:type="dxa"/>
            <w:tcBorders>
              <w:right w:val="single" w:color="000000" w:sz="6" w:space="0"/>
            </w:tcBorders>
          </w:tcPr>
          <w:p>
            <w:pPr>
              <w:spacing w:line="360" w:lineRule="auto"/>
              <w:jc w:val="left"/>
              <w:rPr>
                <w:rFonts w:ascii="宋体" w:hAnsi="宋体" w:cs="宋体"/>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60" w:hRule="atLeast"/>
        </w:trPr>
        <w:tc>
          <w:tcPr>
            <w:tcW w:w="675" w:type="dxa"/>
            <w:tcBorders>
              <w:left w:val="single" w:color="000000" w:sz="6" w:space="0"/>
            </w:tcBorders>
          </w:tcPr>
          <w:p>
            <w:pPr>
              <w:spacing w:line="360" w:lineRule="auto"/>
              <w:jc w:val="left"/>
              <w:rPr>
                <w:rFonts w:ascii="宋体" w:hAnsi="宋体" w:cs="宋体"/>
                <w:szCs w:val="21"/>
              </w:rPr>
            </w:pPr>
          </w:p>
        </w:tc>
        <w:tc>
          <w:tcPr>
            <w:tcW w:w="2374" w:type="dxa"/>
          </w:tcPr>
          <w:p>
            <w:pPr>
              <w:spacing w:line="360" w:lineRule="auto"/>
              <w:jc w:val="left"/>
              <w:rPr>
                <w:rFonts w:ascii="宋体" w:hAnsi="宋体" w:cs="宋体"/>
                <w:szCs w:val="21"/>
              </w:rPr>
            </w:pPr>
          </w:p>
        </w:tc>
        <w:tc>
          <w:tcPr>
            <w:tcW w:w="1543" w:type="dxa"/>
          </w:tcPr>
          <w:p>
            <w:pPr>
              <w:spacing w:line="360" w:lineRule="auto"/>
              <w:jc w:val="left"/>
              <w:rPr>
                <w:rFonts w:ascii="宋体" w:hAnsi="宋体" w:cs="宋体"/>
                <w:szCs w:val="21"/>
              </w:rPr>
            </w:pPr>
          </w:p>
        </w:tc>
        <w:tc>
          <w:tcPr>
            <w:tcW w:w="1054" w:type="dxa"/>
          </w:tcPr>
          <w:p>
            <w:pPr>
              <w:spacing w:line="360" w:lineRule="auto"/>
              <w:jc w:val="left"/>
              <w:rPr>
                <w:rFonts w:ascii="宋体" w:hAnsi="宋体" w:cs="宋体"/>
                <w:szCs w:val="21"/>
              </w:rPr>
            </w:pPr>
          </w:p>
        </w:tc>
        <w:tc>
          <w:tcPr>
            <w:tcW w:w="1625" w:type="dxa"/>
          </w:tcPr>
          <w:p>
            <w:pPr>
              <w:spacing w:line="360" w:lineRule="auto"/>
              <w:jc w:val="left"/>
              <w:rPr>
                <w:rFonts w:ascii="宋体" w:hAnsi="宋体" w:cs="宋体"/>
                <w:szCs w:val="21"/>
              </w:rPr>
            </w:pPr>
          </w:p>
        </w:tc>
        <w:tc>
          <w:tcPr>
            <w:tcW w:w="1049" w:type="dxa"/>
            <w:tcBorders>
              <w:right w:val="single" w:color="000000" w:sz="6" w:space="0"/>
            </w:tcBorders>
          </w:tcPr>
          <w:p>
            <w:pPr>
              <w:spacing w:line="360" w:lineRule="auto"/>
              <w:jc w:val="left"/>
              <w:rPr>
                <w:rFonts w:ascii="宋体" w:hAnsi="宋体" w:cs="宋体"/>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675" w:type="dxa"/>
            <w:tcBorders>
              <w:left w:val="single" w:color="000000" w:sz="6" w:space="0"/>
            </w:tcBorders>
          </w:tcPr>
          <w:p>
            <w:pPr>
              <w:spacing w:line="360" w:lineRule="auto"/>
              <w:jc w:val="left"/>
              <w:rPr>
                <w:rFonts w:ascii="宋体" w:hAnsi="宋体" w:cs="宋体"/>
                <w:szCs w:val="21"/>
              </w:rPr>
            </w:pPr>
          </w:p>
        </w:tc>
        <w:tc>
          <w:tcPr>
            <w:tcW w:w="2374" w:type="dxa"/>
          </w:tcPr>
          <w:p>
            <w:pPr>
              <w:spacing w:line="360" w:lineRule="auto"/>
              <w:jc w:val="left"/>
              <w:rPr>
                <w:rFonts w:ascii="宋体" w:hAnsi="宋体" w:cs="宋体"/>
                <w:szCs w:val="21"/>
              </w:rPr>
            </w:pPr>
          </w:p>
        </w:tc>
        <w:tc>
          <w:tcPr>
            <w:tcW w:w="1543" w:type="dxa"/>
          </w:tcPr>
          <w:p>
            <w:pPr>
              <w:spacing w:line="360" w:lineRule="auto"/>
              <w:jc w:val="left"/>
              <w:rPr>
                <w:rFonts w:ascii="宋体" w:hAnsi="宋体" w:cs="宋体"/>
                <w:szCs w:val="21"/>
              </w:rPr>
            </w:pPr>
          </w:p>
        </w:tc>
        <w:tc>
          <w:tcPr>
            <w:tcW w:w="1054" w:type="dxa"/>
          </w:tcPr>
          <w:p>
            <w:pPr>
              <w:spacing w:line="360" w:lineRule="auto"/>
              <w:jc w:val="left"/>
              <w:rPr>
                <w:rFonts w:ascii="宋体" w:hAnsi="宋体" w:cs="宋体"/>
                <w:szCs w:val="21"/>
              </w:rPr>
            </w:pPr>
          </w:p>
        </w:tc>
        <w:tc>
          <w:tcPr>
            <w:tcW w:w="1625" w:type="dxa"/>
          </w:tcPr>
          <w:p>
            <w:pPr>
              <w:spacing w:line="360" w:lineRule="auto"/>
              <w:jc w:val="left"/>
              <w:rPr>
                <w:rFonts w:ascii="宋体" w:hAnsi="宋体" w:cs="宋体"/>
                <w:szCs w:val="21"/>
              </w:rPr>
            </w:pPr>
          </w:p>
        </w:tc>
        <w:tc>
          <w:tcPr>
            <w:tcW w:w="1049" w:type="dxa"/>
            <w:tcBorders>
              <w:right w:val="single" w:color="000000" w:sz="6" w:space="0"/>
            </w:tcBorders>
          </w:tcPr>
          <w:p>
            <w:pPr>
              <w:spacing w:line="360" w:lineRule="auto"/>
              <w:jc w:val="left"/>
              <w:rPr>
                <w:rFonts w:ascii="宋体" w:hAnsi="宋体" w:cs="宋体"/>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675" w:type="dxa"/>
            <w:tcBorders>
              <w:left w:val="single" w:color="000000" w:sz="6" w:space="0"/>
            </w:tcBorders>
          </w:tcPr>
          <w:p>
            <w:pPr>
              <w:spacing w:line="360" w:lineRule="auto"/>
              <w:jc w:val="left"/>
              <w:rPr>
                <w:rFonts w:ascii="宋体" w:hAnsi="宋体" w:cs="宋体"/>
                <w:szCs w:val="21"/>
              </w:rPr>
            </w:pPr>
          </w:p>
        </w:tc>
        <w:tc>
          <w:tcPr>
            <w:tcW w:w="2374" w:type="dxa"/>
          </w:tcPr>
          <w:p>
            <w:pPr>
              <w:spacing w:line="360" w:lineRule="auto"/>
              <w:jc w:val="left"/>
              <w:rPr>
                <w:rFonts w:ascii="宋体" w:hAnsi="宋体" w:cs="宋体"/>
                <w:szCs w:val="21"/>
              </w:rPr>
            </w:pPr>
          </w:p>
        </w:tc>
        <w:tc>
          <w:tcPr>
            <w:tcW w:w="1543" w:type="dxa"/>
          </w:tcPr>
          <w:p>
            <w:pPr>
              <w:spacing w:line="360" w:lineRule="auto"/>
              <w:jc w:val="left"/>
              <w:rPr>
                <w:rFonts w:ascii="宋体" w:hAnsi="宋体" w:cs="宋体"/>
                <w:szCs w:val="21"/>
              </w:rPr>
            </w:pPr>
          </w:p>
        </w:tc>
        <w:tc>
          <w:tcPr>
            <w:tcW w:w="1054" w:type="dxa"/>
          </w:tcPr>
          <w:p>
            <w:pPr>
              <w:spacing w:line="360" w:lineRule="auto"/>
              <w:jc w:val="left"/>
              <w:rPr>
                <w:rFonts w:ascii="宋体" w:hAnsi="宋体" w:cs="宋体"/>
                <w:szCs w:val="21"/>
              </w:rPr>
            </w:pPr>
          </w:p>
        </w:tc>
        <w:tc>
          <w:tcPr>
            <w:tcW w:w="1625" w:type="dxa"/>
          </w:tcPr>
          <w:p>
            <w:pPr>
              <w:spacing w:line="360" w:lineRule="auto"/>
              <w:jc w:val="left"/>
              <w:rPr>
                <w:rFonts w:ascii="宋体" w:hAnsi="宋体" w:cs="宋体"/>
                <w:szCs w:val="21"/>
              </w:rPr>
            </w:pPr>
          </w:p>
        </w:tc>
        <w:tc>
          <w:tcPr>
            <w:tcW w:w="1049" w:type="dxa"/>
            <w:tcBorders>
              <w:right w:val="single" w:color="000000" w:sz="6" w:space="0"/>
            </w:tcBorders>
          </w:tcPr>
          <w:p>
            <w:pPr>
              <w:spacing w:line="360" w:lineRule="auto"/>
              <w:jc w:val="left"/>
              <w:rPr>
                <w:rFonts w:ascii="宋体" w:hAnsi="宋体" w:cs="宋体"/>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675" w:type="dxa"/>
            <w:tcBorders>
              <w:left w:val="single" w:color="000000" w:sz="6" w:space="0"/>
            </w:tcBorders>
          </w:tcPr>
          <w:p>
            <w:pPr>
              <w:spacing w:line="360" w:lineRule="auto"/>
              <w:jc w:val="left"/>
              <w:rPr>
                <w:rFonts w:ascii="宋体" w:hAnsi="宋体" w:cs="宋体"/>
                <w:szCs w:val="21"/>
              </w:rPr>
            </w:pPr>
          </w:p>
        </w:tc>
        <w:tc>
          <w:tcPr>
            <w:tcW w:w="2374" w:type="dxa"/>
          </w:tcPr>
          <w:p>
            <w:pPr>
              <w:spacing w:line="360" w:lineRule="auto"/>
              <w:jc w:val="left"/>
              <w:rPr>
                <w:rFonts w:ascii="宋体" w:hAnsi="宋体" w:cs="宋体"/>
                <w:szCs w:val="21"/>
              </w:rPr>
            </w:pPr>
          </w:p>
        </w:tc>
        <w:tc>
          <w:tcPr>
            <w:tcW w:w="1543" w:type="dxa"/>
          </w:tcPr>
          <w:p>
            <w:pPr>
              <w:spacing w:line="360" w:lineRule="auto"/>
              <w:jc w:val="left"/>
              <w:rPr>
                <w:rFonts w:ascii="宋体" w:hAnsi="宋体" w:cs="宋体"/>
                <w:szCs w:val="21"/>
              </w:rPr>
            </w:pPr>
          </w:p>
        </w:tc>
        <w:tc>
          <w:tcPr>
            <w:tcW w:w="1054" w:type="dxa"/>
          </w:tcPr>
          <w:p>
            <w:pPr>
              <w:spacing w:line="360" w:lineRule="auto"/>
              <w:jc w:val="left"/>
              <w:rPr>
                <w:rFonts w:ascii="宋体" w:hAnsi="宋体" w:cs="宋体"/>
                <w:szCs w:val="21"/>
              </w:rPr>
            </w:pPr>
          </w:p>
        </w:tc>
        <w:tc>
          <w:tcPr>
            <w:tcW w:w="1625" w:type="dxa"/>
          </w:tcPr>
          <w:p>
            <w:pPr>
              <w:spacing w:line="360" w:lineRule="auto"/>
              <w:jc w:val="left"/>
              <w:rPr>
                <w:rFonts w:ascii="宋体" w:hAnsi="宋体" w:cs="宋体"/>
                <w:szCs w:val="21"/>
              </w:rPr>
            </w:pPr>
          </w:p>
        </w:tc>
        <w:tc>
          <w:tcPr>
            <w:tcW w:w="1049" w:type="dxa"/>
            <w:tcBorders>
              <w:right w:val="single" w:color="000000" w:sz="6" w:space="0"/>
            </w:tcBorders>
          </w:tcPr>
          <w:p>
            <w:pPr>
              <w:spacing w:line="360" w:lineRule="auto"/>
              <w:jc w:val="left"/>
              <w:rPr>
                <w:rFonts w:ascii="宋体" w:hAnsi="宋体" w:cs="宋体"/>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675" w:type="dxa"/>
            <w:tcBorders>
              <w:left w:val="single" w:color="000000" w:sz="6" w:space="0"/>
            </w:tcBorders>
          </w:tcPr>
          <w:p>
            <w:pPr>
              <w:spacing w:line="360" w:lineRule="auto"/>
              <w:jc w:val="left"/>
              <w:rPr>
                <w:rFonts w:ascii="宋体" w:hAnsi="宋体" w:cs="宋体"/>
                <w:szCs w:val="21"/>
              </w:rPr>
            </w:pPr>
          </w:p>
        </w:tc>
        <w:tc>
          <w:tcPr>
            <w:tcW w:w="2374" w:type="dxa"/>
          </w:tcPr>
          <w:p>
            <w:pPr>
              <w:spacing w:line="360" w:lineRule="auto"/>
              <w:jc w:val="left"/>
              <w:rPr>
                <w:rFonts w:ascii="宋体" w:hAnsi="宋体" w:cs="宋体"/>
                <w:szCs w:val="21"/>
              </w:rPr>
            </w:pPr>
          </w:p>
        </w:tc>
        <w:tc>
          <w:tcPr>
            <w:tcW w:w="1543" w:type="dxa"/>
          </w:tcPr>
          <w:p>
            <w:pPr>
              <w:spacing w:line="360" w:lineRule="auto"/>
              <w:jc w:val="left"/>
              <w:rPr>
                <w:rFonts w:ascii="宋体" w:hAnsi="宋体" w:cs="宋体"/>
                <w:szCs w:val="21"/>
              </w:rPr>
            </w:pPr>
          </w:p>
        </w:tc>
        <w:tc>
          <w:tcPr>
            <w:tcW w:w="1054" w:type="dxa"/>
          </w:tcPr>
          <w:p>
            <w:pPr>
              <w:spacing w:line="360" w:lineRule="auto"/>
              <w:jc w:val="left"/>
              <w:rPr>
                <w:rFonts w:ascii="宋体" w:hAnsi="宋体" w:cs="宋体"/>
                <w:szCs w:val="21"/>
              </w:rPr>
            </w:pPr>
          </w:p>
        </w:tc>
        <w:tc>
          <w:tcPr>
            <w:tcW w:w="1625" w:type="dxa"/>
          </w:tcPr>
          <w:p>
            <w:pPr>
              <w:spacing w:line="360" w:lineRule="auto"/>
              <w:jc w:val="left"/>
              <w:rPr>
                <w:rFonts w:ascii="宋体" w:hAnsi="宋体" w:cs="宋体"/>
                <w:szCs w:val="21"/>
              </w:rPr>
            </w:pPr>
          </w:p>
        </w:tc>
        <w:tc>
          <w:tcPr>
            <w:tcW w:w="1049" w:type="dxa"/>
            <w:tcBorders>
              <w:right w:val="single" w:color="000000" w:sz="6" w:space="0"/>
            </w:tcBorders>
          </w:tcPr>
          <w:p>
            <w:pPr>
              <w:spacing w:line="360" w:lineRule="auto"/>
              <w:jc w:val="left"/>
              <w:rPr>
                <w:rFonts w:ascii="宋体" w:hAnsi="宋体" w:cs="宋体"/>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675" w:type="dxa"/>
            <w:tcBorders>
              <w:left w:val="single" w:color="000000" w:sz="6" w:space="0"/>
            </w:tcBorders>
          </w:tcPr>
          <w:p>
            <w:pPr>
              <w:spacing w:line="360" w:lineRule="auto"/>
              <w:jc w:val="left"/>
              <w:rPr>
                <w:rFonts w:ascii="宋体" w:hAnsi="宋体" w:cs="宋体"/>
                <w:szCs w:val="21"/>
              </w:rPr>
            </w:pPr>
          </w:p>
        </w:tc>
        <w:tc>
          <w:tcPr>
            <w:tcW w:w="2374" w:type="dxa"/>
          </w:tcPr>
          <w:p>
            <w:pPr>
              <w:spacing w:line="360" w:lineRule="auto"/>
              <w:jc w:val="left"/>
              <w:rPr>
                <w:rFonts w:ascii="宋体" w:hAnsi="宋体" w:cs="宋体"/>
                <w:szCs w:val="21"/>
              </w:rPr>
            </w:pPr>
          </w:p>
        </w:tc>
        <w:tc>
          <w:tcPr>
            <w:tcW w:w="1543" w:type="dxa"/>
          </w:tcPr>
          <w:p>
            <w:pPr>
              <w:spacing w:line="360" w:lineRule="auto"/>
              <w:jc w:val="left"/>
              <w:rPr>
                <w:rFonts w:ascii="宋体" w:hAnsi="宋体" w:cs="宋体"/>
                <w:szCs w:val="21"/>
              </w:rPr>
            </w:pPr>
          </w:p>
        </w:tc>
        <w:tc>
          <w:tcPr>
            <w:tcW w:w="1054" w:type="dxa"/>
          </w:tcPr>
          <w:p>
            <w:pPr>
              <w:spacing w:line="360" w:lineRule="auto"/>
              <w:jc w:val="left"/>
              <w:rPr>
                <w:rFonts w:ascii="宋体" w:hAnsi="宋体" w:cs="宋体"/>
                <w:szCs w:val="21"/>
              </w:rPr>
            </w:pPr>
          </w:p>
        </w:tc>
        <w:tc>
          <w:tcPr>
            <w:tcW w:w="1625" w:type="dxa"/>
          </w:tcPr>
          <w:p>
            <w:pPr>
              <w:spacing w:line="360" w:lineRule="auto"/>
              <w:jc w:val="left"/>
              <w:rPr>
                <w:rFonts w:ascii="宋体" w:hAnsi="宋体" w:cs="宋体"/>
                <w:szCs w:val="21"/>
              </w:rPr>
            </w:pPr>
          </w:p>
        </w:tc>
        <w:tc>
          <w:tcPr>
            <w:tcW w:w="1049" w:type="dxa"/>
            <w:tcBorders>
              <w:right w:val="single" w:color="000000" w:sz="6" w:space="0"/>
            </w:tcBorders>
          </w:tcPr>
          <w:p>
            <w:pPr>
              <w:spacing w:line="360" w:lineRule="auto"/>
              <w:jc w:val="left"/>
              <w:rPr>
                <w:rFonts w:ascii="宋体" w:hAnsi="宋体" w:cs="宋体"/>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675" w:type="dxa"/>
            <w:tcBorders>
              <w:left w:val="single" w:color="000000" w:sz="6" w:space="0"/>
            </w:tcBorders>
          </w:tcPr>
          <w:p>
            <w:pPr>
              <w:spacing w:line="360" w:lineRule="auto"/>
              <w:jc w:val="left"/>
              <w:rPr>
                <w:rFonts w:ascii="宋体" w:hAnsi="宋体" w:cs="宋体"/>
                <w:szCs w:val="21"/>
              </w:rPr>
            </w:pPr>
          </w:p>
        </w:tc>
        <w:tc>
          <w:tcPr>
            <w:tcW w:w="2374" w:type="dxa"/>
          </w:tcPr>
          <w:p>
            <w:pPr>
              <w:spacing w:line="360" w:lineRule="auto"/>
              <w:jc w:val="left"/>
              <w:rPr>
                <w:rFonts w:ascii="宋体" w:hAnsi="宋体" w:cs="宋体"/>
                <w:szCs w:val="21"/>
              </w:rPr>
            </w:pPr>
          </w:p>
        </w:tc>
        <w:tc>
          <w:tcPr>
            <w:tcW w:w="1543" w:type="dxa"/>
          </w:tcPr>
          <w:p>
            <w:pPr>
              <w:spacing w:line="360" w:lineRule="auto"/>
              <w:jc w:val="left"/>
              <w:rPr>
                <w:rFonts w:ascii="宋体" w:hAnsi="宋体" w:cs="宋体"/>
                <w:szCs w:val="21"/>
              </w:rPr>
            </w:pPr>
          </w:p>
        </w:tc>
        <w:tc>
          <w:tcPr>
            <w:tcW w:w="1054" w:type="dxa"/>
          </w:tcPr>
          <w:p>
            <w:pPr>
              <w:spacing w:line="360" w:lineRule="auto"/>
              <w:jc w:val="left"/>
              <w:rPr>
                <w:rFonts w:ascii="宋体" w:hAnsi="宋体" w:cs="宋体"/>
                <w:szCs w:val="21"/>
              </w:rPr>
            </w:pPr>
          </w:p>
        </w:tc>
        <w:tc>
          <w:tcPr>
            <w:tcW w:w="1625" w:type="dxa"/>
          </w:tcPr>
          <w:p>
            <w:pPr>
              <w:spacing w:line="360" w:lineRule="auto"/>
              <w:jc w:val="left"/>
              <w:rPr>
                <w:rFonts w:ascii="宋体" w:hAnsi="宋体" w:cs="宋体"/>
                <w:szCs w:val="21"/>
              </w:rPr>
            </w:pPr>
          </w:p>
        </w:tc>
        <w:tc>
          <w:tcPr>
            <w:tcW w:w="1049" w:type="dxa"/>
            <w:tcBorders>
              <w:right w:val="single" w:color="000000" w:sz="6" w:space="0"/>
            </w:tcBorders>
          </w:tcPr>
          <w:p>
            <w:pPr>
              <w:spacing w:line="360" w:lineRule="auto"/>
              <w:jc w:val="left"/>
              <w:rPr>
                <w:rFonts w:ascii="宋体" w:hAnsi="宋体" w:cs="宋体"/>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675" w:type="dxa"/>
            <w:tcBorders>
              <w:left w:val="single" w:color="000000" w:sz="6" w:space="0"/>
            </w:tcBorders>
          </w:tcPr>
          <w:p>
            <w:pPr>
              <w:spacing w:line="360" w:lineRule="auto"/>
              <w:jc w:val="left"/>
              <w:rPr>
                <w:rFonts w:ascii="宋体" w:hAnsi="宋体" w:cs="宋体"/>
                <w:szCs w:val="21"/>
              </w:rPr>
            </w:pPr>
          </w:p>
        </w:tc>
        <w:tc>
          <w:tcPr>
            <w:tcW w:w="2374" w:type="dxa"/>
          </w:tcPr>
          <w:p>
            <w:pPr>
              <w:spacing w:line="360" w:lineRule="auto"/>
              <w:jc w:val="left"/>
              <w:rPr>
                <w:rFonts w:ascii="宋体" w:hAnsi="宋体" w:cs="宋体"/>
                <w:szCs w:val="21"/>
              </w:rPr>
            </w:pPr>
          </w:p>
        </w:tc>
        <w:tc>
          <w:tcPr>
            <w:tcW w:w="1543" w:type="dxa"/>
          </w:tcPr>
          <w:p>
            <w:pPr>
              <w:spacing w:line="360" w:lineRule="auto"/>
              <w:jc w:val="left"/>
              <w:rPr>
                <w:rFonts w:ascii="宋体" w:hAnsi="宋体" w:cs="宋体"/>
                <w:szCs w:val="21"/>
              </w:rPr>
            </w:pPr>
          </w:p>
        </w:tc>
        <w:tc>
          <w:tcPr>
            <w:tcW w:w="1054" w:type="dxa"/>
          </w:tcPr>
          <w:p>
            <w:pPr>
              <w:spacing w:line="360" w:lineRule="auto"/>
              <w:jc w:val="left"/>
              <w:rPr>
                <w:rFonts w:ascii="宋体" w:hAnsi="宋体" w:cs="宋体"/>
                <w:szCs w:val="21"/>
              </w:rPr>
            </w:pPr>
          </w:p>
        </w:tc>
        <w:tc>
          <w:tcPr>
            <w:tcW w:w="1625" w:type="dxa"/>
          </w:tcPr>
          <w:p>
            <w:pPr>
              <w:spacing w:line="360" w:lineRule="auto"/>
              <w:jc w:val="left"/>
              <w:rPr>
                <w:rFonts w:ascii="宋体" w:hAnsi="宋体" w:cs="宋体"/>
                <w:szCs w:val="21"/>
              </w:rPr>
            </w:pPr>
          </w:p>
        </w:tc>
        <w:tc>
          <w:tcPr>
            <w:tcW w:w="1049" w:type="dxa"/>
            <w:tcBorders>
              <w:right w:val="single" w:color="000000" w:sz="6" w:space="0"/>
            </w:tcBorders>
          </w:tcPr>
          <w:p>
            <w:pPr>
              <w:spacing w:line="360" w:lineRule="auto"/>
              <w:jc w:val="left"/>
              <w:rPr>
                <w:rFonts w:ascii="宋体" w:hAnsi="宋体" w:cs="宋体"/>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675" w:type="dxa"/>
            <w:tcBorders>
              <w:left w:val="single" w:color="000000" w:sz="6" w:space="0"/>
            </w:tcBorders>
          </w:tcPr>
          <w:p>
            <w:pPr>
              <w:spacing w:line="360" w:lineRule="auto"/>
              <w:jc w:val="left"/>
              <w:rPr>
                <w:rFonts w:ascii="宋体" w:hAnsi="宋体" w:cs="宋体"/>
                <w:szCs w:val="21"/>
              </w:rPr>
            </w:pPr>
          </w:p>
        </w:tc>
        <w:tc>
          <w:tcPr>
            <w:tcW w:w="2374" w:type="dxa"/>
          </w:tcPr>
          <w:p>
            <w:pPr>
              <w:spacing w:line="360" w:lineRule="auto"/>
              <w:jc w:val="left"/>
              <w:rPr>
                <w:rFonts w:ascii="宋体" w:hAnsi="宋体" w:cs="宋体"/>
                <w:szCs w:val="21"/>
              </w:rPr>
            </w:pPr>
          </w:p>
        </w:tc>
        <w:tc>
          <w:tcPr>
            <w:tcW w:w="1543" w:type="dxa"/>
          </w:tcPr>
          <w:p>
            <w:pPr>
              <w:spacing w:line="360" w:lineRule="auto"/>
              <w:jc w:val="left"/>
              <w:rPr>
                <w:rFonts w:ascii="宋体" w:hAnsi="宋体" w:cs="宋体"/>
                <w:szCs w:val="21"/>
              </w:rPr>
            </w:pPr>
          </w:p>
        </w:tc>
        <w:tc>
          <w:tcPr>
            <w:tcW w:w="1054" w:type="dxa"/>
          </w:tcPr>
          <w:p>
            <w:pPr>
              <w:spacing w:line="360" w:lineRule="auto"/>
              <w:jc w:val="left"/>
              <w:rPr>
                <w:rFonts w:ascii="宋体" w:hAnsi="宋体" w:cs="宋体"/>
                <w:szCs w:val="21"/>
              </w:rPr>
            </w:pPr>
          </w:p>
        </w:tc>
        <w:tc>
          <w:tcPr>
            <w:tcW w:w="1625" w:type="dxa"/>
          </w:tcPr>
          <w:p>
            <w:pPr>
              <w:spacing w:line="360" w:lineRule="auto"/>
              <w:jc w:val="left"/>
              <w:rPr>
                <w:rFonts w:ascii="宋体" w:hAnsi="宋体" w:cs="宋体"/>
                <w:szCs w:val="21"/>
              </w:rPr>
            </w:pPr>
          </w:p>
        </w:tc>
        <w:tc>
          <w:tcPr>
            <w:tcW w:w="1049" w:type="dxa"/>
            <w:tcBorders>
              <w:right w:val="single" w:color="000000" w:sz="6" w:space="0"/>
            </w:tcBorders>
          </w:tcPr>
          <w:p>
            <w:pPr>
              <w:spacing w:line="360" w:lineRule="auto"/>
              <w:jc w:val="left"/>
              <w:rPr>
                <w:rFonts w:ascii="宋体" w:hAnsi="宋体" w:cs="宋体"/>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3049" w:type="dxa"/>
            <w:gridSpan w:val="2"/>
            <w:tcBorders>
              <w:left w:val="single" w:color="000000" w:sz="6" w:space="0"/>
            </w:tcBorders>
          </w:tcPr>
          <w:p>
            <w:pPr>
              <w:spacing w:line="360" w:lineRule="auto"/>
              <w:ind w:firstLine="687"/>
              <w:jc w:val="left"/>
              <w:rPr>
                <w:rFonts w:ascii="宋体" w:hAnsi="宋体" w:cs="宋体"/>
                <w:szCs w:val="21"/>
              </w:rPr>
            </w:pPr>
            <w:r>
              <w:rPr>
                <w:rFonts w:hint="eastAsia" w:ascii="宋体" w:hAnsi="宋体" w:cs="宋体"/>
                <w:szCs w:val="21"/>
              </w:rPr>
              <w:t>投标总价（小写）</w:t>
            </w:r>
          </w:p>
        </w:tc>
        <w:tc>
          <w:tcPr>
            <w:tcW w:w="5271" w:type="dxa"/>
            <w:gridSpan w:val="4"/>
            <w:tcBorders>
              <w:right w:val="single" w:color="000000" w:sz="6" w:space="0"/>
            </w:tcBorders>
          </w:tcPr>
          <w:p>
            <w:pPr>
              <w:spacing w:line="360" w:lineRule="auto"/>
              <w:jc w:val="left"/>
              <w:rPr>
                <w:rFonts w:ascii="宋体" w:hAnsi="宋体" w:cs="宋体"/>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 w:hRule="atLeast"/>
        </w:trPr>
        <w:tc>
          <w:tcPr>
            <w:tcW w:w="3049" w:type="dxa"/>
            <w:gridSpan w:val="2"/>
            <w:tcBorders>
              <w:left w:val="single" w:color="000000" w:sz="6" w:space="0"/>
              <w:bottom w:val="single" w:color="000000" w:sz="6" w:space="0"/>
            </w:tcBorders>
          </w:tcPr>
          <w:p>
            <w:pPr>
              <w:spacing w:line="360" w:lineRule="auto"/>
              <w:ind w:firstLine="687"/>
              <w:jc w:val="left"/>
              <w:rPr>
                <w:rFonts w:ascii="宋体" w:hAnsi="宋体" w:cs="宋体"/>
                <w:szCs w:val="21"/>
              </w:rPr>
            </w:pPr>
            <w:r>
              <w:rPr>
                <w:rFonts w:hint="eastAsia" w:ascii="宋体" w:hAnsi="宋体" w:cs="宋体"/>
                <w:szCs w:val="21"/>
              </w:rPr>
              <w:t>投标总价（大写）</w:t>
            </w:r>
          </w:p>
        </w:tc>
        <w:tc>
          <w:tcPr>
            <w:tcW w:w="5271" w:type="dxa"/>
            <w:gridSpan w:val="4"/>
            <w:tcBorders>
              <w:bottom w:val="single" w:color="000000" w:sz="6" w:space="0"/>
              <w:right w:val="single" w:color="000000" w:sz="6" w:space="0"/>
            </w:tcBorders>
          </w:tcPr>
          <w:p>
            <w:pPr>
              <w:spacing w:line="360" w:lineRule="auto"/>
              <w:jc w:val="left"/>
              <w:rPr>
                <w:rFonts w:ascii="宋体" w:hAnsi="宋体" w:cs="宋体"/>
                <w:szCs w:val="21"/>
              </w:rPr>
            </w:pPr>
          </w:p>
        </w:tc>
      </w:tr>
    </w:tbl>
    <w:p>
      <w:pPr>
        <w:spacing w:line="360" w:lineRule="auto"/>
        <w:jc w:val="left"/>
        <w:rPr>
          <w:rFonts w:ascii="宋体" w:hAnsi="宋体" w:cs="宋体"/>
          <w:szCs w:val="21"/>
        </w:rPr>
      </w:pPr>
    </w:p>
    <w:p>
      <w:pPr>
        <w:spacing w:line="360" w:lineRule="auto"/>
        <w:ind w:firstLine="28"/>
        <w:jc w:val="left"/>
        <w:rPr>
          <w:rFonts w:ascii="宋体" w:hAnsi="宋体" w:cs="宋体"/>
          <w:szCs w:val="21"/>
        </w:rPr>
      </w:pPr>
      <w:r>
        <w:rPr>
          <w:rFonts w:hint="eastAsia" w:ascii="宋体" w:hAnsi="宋体" w:cs="宋体"/>
          <w:szCs w:val="21"/>
        </w:rPr>
        <w:t>注：1.供应商根据实际情况可在表中报价明细的基础上进行扩展。</w:t>
      </w:r>
    </w:p>
    <w:p>
      <w:pPr>
        <w:spacing w:line="360" w:lineRule="auto"/>
        <w:ind w:firstLine="447" w:firstLineChars="213"/>
        <w:jc w:val="left"/>
        <w:rPr>
          <w:rFonts w:ascii="宋体" w:hAnsi="宋体" w:cs="宋体"/>
          <w:szCs w:val="21"/>
        </w:rPr>
      </w:pPr>
      <w:r>
        <w:rPr>
          <w:rFonts w:hint="eastAsia" w:ascii="宋体" w:hAnsi="宋体" w:cs="宋体"/>
          <w:szCs w:val="21"/>
        </w:rPr>
        <w:t>2.上表所述“总报价”应与“开标一览表”中的总报价一致，如有矛盾，以“开标一览表”中的为准。</w:t>
      </w:r>
    </w:p>
    <w:p>
      <w:pPr>
        <w:spacing w:line="360" w:lineRule="auto"/>
        <w:ind w:firstLine="8"/>
        <w:jc w:val="right"/>
        <w:rPr>
          <w:rFonts w:ascii="宋体" w:hAnsi="宋体" w:cs="宋体"/>
          <w:szCs w:val="21"/>
        </w:rPr>
      </w:pPr>
      <w:r>
        <w:rPr>
          <w:rFonts w:hint="eastAsia" w:ascii="宋体" w:hAnsi="宋体" w:cs="宋体"/>
          <w:szCs w:val="21"/>
        </w:rPr>
        <w:t>供应商全称（盖单位公章）：</w:t>
      </w:r>
    </w:p>
    <w:p>
      <w:pPr>
        <w:spacing w:line="360" w:lineRule="auto"/>
        <w:ind w:firstLine="9"/>
        <w:jc w:val="right"/>
        <w:rPr>
          <w:rFonts w:ascii="宋体" w:hAnsi="宋体" w:cs="宋体"/>
          <w:szCs w:val="21"/>
        </w:rPr>
      </w:pPr>
      <w:r>
        <w:rPr>
          <w:rFonts w:hint="eastAsia" w:ascii="宋体" w:hAnsi="宋体" w:cs="宋体"/>
          <w:szCs w:val="21"/>
        </w:rPr>
        <w:t>法定代表人或授权代表（签字或盖章）：</w:t>
      </w:r>
    </w:p>
    <w:p>
      <w:pPr>
        <w:spacing w:line="360" w:lineRule="auto"/>
        <w:ind w:firstLine="44"/>
        <w:jc w:val="right"/>
        <w:rPr>
          <w:rFonts w:ascii="宋体" w:hAnsi="宋体" w:cs="宋体"/>
          <w:szCs w:val="21"/>
        </w:rPr>
      </w:pPr>
      <w:r>
        <w:rPr>
          <w:rFonts w:hint="eastAsia" w:ascii="宋体" w:hAnsi="宋体" w:cs="宋体"/>
          <w:szCs w:val="21"/>
        </w:rPr>
        <w:t>日期：年月日</w:t>
      </w:r>
    </w:p>
    <w:p>
      <w:pPr>
        <w:spacing w:line="360" w:lineRule="auto"/>
        <w:jc w:val="right"/>
        <w:rPr>
          <w:rFonts w:ascii="宋体" w:hAnsi="宋体" w:cs="宋体"/>
          <w:szCs w:val="21"/>
        </w:rPr>
        <w:sectPr>
          <w:headerReference r:id="rId44" w:type="default"/>
          <w:footerReference r:id="rId45" w:type="default"/>
          <w:pgSz w:w="11906" w:h="16839"/>
          <w:pgMar w:top="1440" w:right="1800" w:bottom="1440" w:left="1800" w:header="878" w:footer="1045" w:gutter="0"/>
          <w:cols w:space="720" w:num="1"/>
        </w:sectPr>
      </w:pPr>
    </w:p>
    <w:p>
      <w:pPr>
        <w:pStyle w:val="4"/>
        <w:ind w:firstLine="482"/>
        <w:rPr>
          <w:rFonts w:ascii="宋体" w:hAnsi="宋体" w:cs="宋体"/>
        </w:rPr>
      </w:pPr>
      <w:r>
        <w:rPr>
          <w:rFonts w:hint="eastAsia" w:ascii="宋体" w:hAnsi="宋体" w:cs="宋体"/>
        </w:rPr>
        <w:t>4.3成本测算依据</w:t>
      </w:r>
    </w:p>
    <w:p>
      <w:pPr>
        <w:spacing w:line="360" w:lineRule="auto"/>
        <w:jc w:val="left"/>
        <w:rPr>
          <w:rFonts w:ascii="宋体" w:hAnsi="宋体" w:cs="宋体"/>
          <w:szCs w:val="21"/>
        </w:rPr>
      </w:pPr>
    </w:p>
    <w:p>
      <w:pPr>
        <w:spacing w:line="360" w:lineRule="auto"/>
        <w:ind w:firstLine="3647"/>
        <w:jc w:val="left"/>
        <w:rPr>
          <w:rFonts w:ascii="宋体" w:hAnsi="宋体" w:cs="宋体"/>
          <w:szCs w:val="21"/>
        </w:rPr>
      </w:pPr>
      <w:r>
        <w:rPr>
          <w:rFonts w:hint="eastAsia" w:ascii="宋体" w:hAnsi="宋体" w:cs="宋体"/>
          <w:szCs w:val="21"/>
        </w:rPr>
        <w:t>成本测算依据</w:t>
      </w:r>
    </w:p>
    <w:p>
      <w:pPr>
        <w:spacing w:line="360" w:lineRule="auto"/>
        <w:jc w:val="left"/>
        <w:textAlignment w:val="center"/>
        <w:rPr>
          <w:rFonts w:ascii="宋体" w:hAnsi="宋体" w:cs="宋体"/>
          <w:szCs w:val="21"/>
        </w:rPr>
      </w:pPr>
      <w:r>
        <w:rPr>
          <w:rFonts w:hint="eastAsia" w:ascii="宋体" w:hAnsi="宋体" w:cs="宋体"/>
          <w:szCs w:val="21"/>
        </w:rPr>
        <w:drawing>
          <wp:inline distT="0" distB="0" distL="0" distR="0">
            <wp:extent cx="5238750" cy="4343400"/>
            <wp:effectExtent l="0" t="0" r="0" b="0"/>
            <wp:docPr id="2" name="图片 2" descr="IM 96"/>
            <wp:cNvGraphicFramePr/>
            <a:graphic xmlns:a="http://schemas.openxmlformats.org/drawingml/2006/main">
              <a:graphicData uri="http://schemas.openxmlformats.org/drawingml/2006/picture">
                <pic:pic xmlns:pic="http://schemas.openxmlformats.org/drawingml/2006/picture">
                  <pic:nvPicPr>
                    <pic:cNvPr id="2" name="图片 2" descr="IM 96"/>
                    <pic:cNvPicPr>
                      <a:picLocks noChangeArrowheads="1"/>
                    </pic:cNvPicPr>
                  </pic:nvPicPr>
                  <pic:blipFill>
                    <a:blip r:embed="rId53">
                      <a:extLst>
                        <a:ext uri="{28A0092B-C50C-407E-A947-70E740481C1C}">
                          <a14:useLocalDpi xmlns:a14="http://schemas.microsoft.com/office/drawing/2010/main" val="0"/>
                        </a:ext>
                      </a:extLst>
                    </a:blip>
                    <a:srcRect/>
                    <a:stretch>
                      <a:fillRect/>
                    </a:stretch>
                  </pic:blipFill>
                  <pic:spPr>
                    <a:xfrm>
                      <a:off x="0" y="0"/>
                      <a:ext cx="5238750" cy="4343400"/>
                    </a:xfrm>
                    <a:prstGeom prst="rect">
                      <a:avLst/>
                    </a:prstGeom>
                    <a:noFill/>
                    <a:ln>
                      <a:noFill/>
                    </a:ln>
                  </pic:spPr>
                </pic:pic>
              </a:graphicData>
            </a:graphic>
          </wp:inline>
        </w:drawing>
      </w:r>
    </w:p>
    <w:p>
      <w:pPr>
        <w:spacing w:line="360" w:lineRule="auto"/>
        <w:ind w:firstLine="121"/>
        <w:jc w:val="left"/>
        <w:rPr>
          <w:rFonts w:ascii="宋体" w:hAnsi="宋体" w:cs="宋体"/>
          <w:szCs w:val="21"/>
        </w:rPr>
      </w:pPr>
      <w:r>
        <w:rPr>
          <w:rFonts w:hint="eastAsia" w:ascii="宋体" w:hAnsi="宋体" w:cs="宋体"/>
          <w:szCs w:val="21"/>
        </w:rPr>
        <w:t>注：各供应商须对本项目投标报价的合理性进行说明，形式不限。</w:t>
      </w:r>
    </w:p>
    <w:p>
      <w:pPr>
        <w:spacing w:line="360" w:lineRule="auto"/>
        <w:jc w:val="left"/>
        <w:rPr>
          <w:rFonts w:ascii="宋体" w:hAnsi="宋体" w:cs="宋体"/>
          <w:szCs w:val="21"/>
        </w:rPr>
      </w:pPr>
    </w:p>
    <w:p>
      <w:pPr>
        <w:spacing w:line="360" w:lineRule="auto"/>
        <w:jc w:val="left"/>
        <w:rPr>
          <w:rFonts w:ascii="宋体" w:hAnsi="宋体" w:cs="宋体"/>
          <w:szCs w:val="21"/>
        </w:rPr>
      </w:pPr>
    </w:p>
    <w:p>
      <w:pPr>
        <w:spacing w:line="360" w:lineRule="auto"/>
        <w:jc w:val="left"/>
        <w:rPr>
          <w:rFonts w:ascii="宋体" w:hAnsi="宋体" w:cs="宋体"/>
          <w:szCs w:val="21"/>
        </w:rPr>
      </w:pPr>
    </w:p>
    <w:p>
      <w:pPr>
        <w:spacing w:line="360" w:lineRule="auto"/>
        <w:ind w:firstLine="8"/>
        <w:jc w:val="right"/>
        <w:rPr>
          <w:rFonts w:ascii="宋体" w:hAnsi="宋体" w:cs="宋体"/>
          <w:szCs w:val="21"/>
        </w:rPr>
      </w:pPr>
      <w:r>
        <w:rPr>
          <w:rFonts w:hint="eastAsia" w:ascii="宋体" w:hAnsi="宋体" w:cs="宋体"/>
          <w:szCs w:val="21"/>
        </w:rPr>
        <w:t>供应商全称（盖单位公章）：</w:t>
      </w:r>
    </w:p>
    <w:p>
      <w:pPr>
        <w:spacing w:line="360" w:lineRule="auto"/>
        <w:ind w:firstLine="9"/>
        <w:jc w:val="right"/>
        <w:rPr>
          <w:rFonts w:ascii="宋体" w:hAnsi="宋体" w:cs="宋体"/>
          <w:szCs w:val="21"/>
        </w:rPr>
      </w:pPr>
      <w:r>
        <w:rPr>
          <w:rFonts w:hint="eastAsia" w:ascii="宋体" w:hAnsi="宋体" w:cs="宋体"/>
          <w:szCs w:val="21"/>
        </w:rPr>
        <w:t>法定代表人或授权代表（签字或盖章）：</w:t>
      </w:r>
    </w:p>
    <w:p>
      <w:pPr>
        <w:spacing w:line="360" w:lineRule="auto"/>
        <w:ind w:firstLine="44"/>
        <w:jc w:val="right"/>
        <w:rPr>
          <w:rFonts w:ascii="宋体" w:hAnsi="宋体" w:cs="宋体"/>
          <w:szCs w:val="21"/>
        </w:rPr>
      </w:pPr>
      <w:r>
        <w:rPr>
          <w:rFonts w:hint="eastAsia" w:ascii="宋体" w:hAnsi="宋体" w:cs="宋体"/>
          <w:szCs w:val="21"/>
        </w:rPr>
        <w:t>日期：年月日</w:t>
      </w:r>
    </w:p>
    <w:p>
      <w:pPr>
        <w:spacing w:line="360" w:lineRule="auto"/>
        <w:jc w:val="right"/>
        <w:rPr>
          <w:rFonts w:ascii="宋体" w:hAnsi="宋体" w:cs="宋体"/>
          <w:szCs w:val="21"/>
        </w:rPr>
        <w:sectPr>
          <w:headerReference r:id="rId46" w:type="default"/>
          <w:footerReference r:id="rId47" w:type="default"/>
          <w:pgSz w:w="11906" w:h="16839"/>
          <w:pgMar w:top="1440" w:right="1800" w:bottom="1440" w:left="1800" w:header="878" w:footer="1045" w:gutter="0"/>
          <w:cols w:space="720" w:num="1"/>
        </w:sectPr>
      </w:pPr>
    </w:p>
    <w:p>
      <w:pPr>
        <w:pStyle w:val="4"/>
        <w:ind w:firstLine="482"/>
        <w:rPr>
          <w:rFonts w:ascii="宋体" w:hAnsi="宋体" w:cs="宋体"/>
        </w:rPr>
      </w:pPr>
      <w:r>
        <w:rPr>
          <w:rFonts w:hint="eastAsia" w:ascii="宋体" w:hAnsi="宋体" w:cs="宋体"/>
        </w:rPr>
        <w:t>4.4缴纳采购代理服务费承诺书</w:t>
      </w:r>
    </w:p>
    <w:p>
      <w:pPr>
        <w:jc w:val="left"/>
        <w:rPr>
          <w:rFonts w:ascii="宋体" w:hAnsi="宋体" w:cs="宋体"/>
          <w:b/>
        </w:rPr>
      </w:pPr>
    </w:p>
    <w:p>
      <w:pPr>
        <w:jc w:val="center"/>
        <w:rPr>
          <w:rFonts w:ascii="宋体" w:hAnsi="宋体" w:cs="宋体"/>
          <w:b/>
          <w:sz w:val="36"/>
          <w:szCs w:val="36"/>
        </w:rPr>
      </w:pPr>
    </w:p>
    <w:p>
      <w:pPr>
        <w:jc w:val="center"/>
        <w:rPr>
          <w:rFonts w:ascii="宋体" w:hAnsi="宋体" w:cs="宋体"/>
          <w:b/>
          <w:sz w:val="36"/>
          <w:szCs w:val="36"/>
        </w:rPr>
      </w:pPr>
      <w:r>
        <w:rPr>
          <w:rFonts w:hint="eastAsia" w:ascii="宋体" w:hAnsi="宋体" w:cs="宋体"/>
          <w:b/>
          <w:sz w:val="36"/>
          <w:szCs w:val="36"/>
        </w:rPr>
        <w:t>缴纳采购代理服务费承诺书</w:t>
      </w:r>
    </w:p>
    <w:p>
      <w:pPr>
        <w:jc w:val="left"/>
        <w:rPr>
          <w:rFonts w:ascii="宋体" w:hAnsi="宋体" w:cs="宋体"/>
          <w:b/>
        </w:rPr>
      </w:pPr>
    </w:p>
    <w:p>
      <w:pPr>
        <w:jc w:val="left"/>
        <w:rPr>
          <w:rFonts w:ascii="宋体" w:hAnsi="宋体" w:cs="宋体"/>
          <w:b/>
        </w:rPr>
      </w:pPr>
    </w:p>
    <w:p>
      <w:pPr>
        <w:spacing w:line="360" w:lineRule="auto"/>
        <w:rPr>
          <w:rFonts w:ascii="宋体" w:hAnsi="宋体" w:cs="宋体"/>
          <w:szCs w:val="21"/>
        </w:rPr>
      </w:pPr>
      <w:r>
        <w:rPr>
          <w:rFonts w:hint="eastAsia" w:ascii="宋体" w:hAnsi="宋体" w:cs="宋体"/>
          <w:szCs w:val="21"/>
        </w:rPr>
        <w:t>华信咨询设计研究院有限公司：</w:t>
      </w:r>
    </w:p>
    <w:p>
      <w:pPr>
        <w:spacing w:line="360" w:lineRule="auto"/>
        <w:ind w:firstLine="420" w:firstLineChars="200"/>
        <w:rPr>
          <w:rFonts w:ascii="宋体" w:hAnsi="宋体" w:cs="宋体"/>
          <w:szCs w:val="21"/>
        </w:rPr>
      </w:pPr>
      <w:r>
        <w:rPr>
          <w:rFonts w:hint="eastAsia" w:ascii="宋体" w:hAnsi="宋体" w:cs="宋体"/>
          <w:szCs w:val="21"/>
        </w:rPr>
        <w:t>我单位在你公司组织的</w:t>
      </w:r>
      <w:r>
        <w:rPr>
          <w:rFonts w:hint="eastAsia" w:ascii="宋体" w:hAnsi="宋体" w:cs="宋体"/>
          <w:szCs w:val="21"/>
          <w:u w:val="single"/>
        </w:rPr>
        <w:t>杭州市城乡建设委员会CIM基础信息平台软件开发项目</w:t>
      </w:r>
      <w:r>
        <w:rPr>
          <w:rFonts w:hint="eastAsia" w:ascii="宋体" w:hAnsi="宋体" w:cs="宋体"/>
          <w:szCs w:val="21"/>
        </w:rPr>
        <w:t>，</w:t>
      </w:r>
      <w:r>
        <w:rPr>
          <w:rFonts w:hint="eastAsia" w:ascii="宋体" w:hAnsi="宋体" w:cs="宋体"/>
          <w:szCs w:val="21"/>
          <w:u w:val="single"/>
        </w:rPr>
        <w:t>HXDI-2021-SJW001</w:t>
      </w:r>
      <w:r>
        <w:rPr>
          <w:rFonts w:hint="eastAsia" w:ascii="宋体" w:hAnsi="宋体" w:cs="宋体"/>
          <w:szCs w:val="21"/>
        </w:rPr>
        <w:t>（项目编号）的采购中若获中标，我单位保证按采购文件投标须知前附表的规定，向你公司即华信咨询设计研究院有限公司支付采购代理服务费。如我单位未按上述承诺支付采购代理服务费，你公司有权取消我单位中标资格，由此产生的一切法律后果和责任由我单位承担。我单位声明放弃对此提出任何异议和追索的权利。</w:t>
      </w:r>
    </w:p>
    <w:p>
      <w:pPr>
        <w:spacing w:line="360" w:lineRule="auto"/>
        <w:ind w:firstLine="420" w:firstLineChars="200"/>
        <w:rPr>
          <w:rFonts w:ascii="宋体" w:hAnsi="宋体" w:cs="宋体"/>
          <w:szCs w:val="21"/>
        </w:rPr>
      </w:pPr>
      <w:r>
        <w:rPr>
          <w:rFonts w:hint="eastAsia" w:ascii="宋体" w:hAnsi="宋体" w:cs="宋体"/>
          <w:szCs w:val="21"/>
        </w:rPr>
        <w:t>特此承诺。</w:t>
      </w:r>
    </w:p>
    <w:p>
      <w:pPr>
        <w:spacing w:line="360" w:lineRule="auto"/>
        <w:jc w:val="right"/>
        <w:rPr>
          <w:rFonts w:ascii="宋体" w:hAnsi="宋体" w:cs="宋体"/>
          <w:szCs w:val="21"/>
        </w:rPr>
      </w:pPr>
      <w:r>
        <w:rPr>
          <w:rFonts w:hint="eastAsia" w:ascii="宋体" w:hAnsi="宋体" w:cs="宋体"/>
          <w:szCs w:val="21"/>
        </w:rPr>
        <w:t>供应商全称（盖单位公章）：</w:t>
      </w:r>
    </w:p>
    <w:p>
      <w:pPr>
        <w:spacing w:line="360" w:lineRule="auto"/>
        <w:jc w:val="right"/>
        <w:rPr>
          <w:rFonts w:ascii="宋体" w:hAnsi="宋体" w:cs="宋体"/>
          <w:szCs w:val="21"/>
        </w:rPr>
      </w:pPr>
      <w:r>
        <w:rPr>
          <w:rFonts w:hint="eastAsia" w:ascii="宋体" w:hAnsi="宋体" w:cs="宋体"/>
          <w:szCs w:val="21"/>
        </w:rPr>
        <w:t>投标文件签署人（签字或盖章）：</w:t>
      </w:r>
    </w:p>
    <w:p>
      <w:pPr>
        <w:spacing w:line="360" w:lineRule="auto"/>
        <w:ind w:right="360"/>
        <w:jc w:val="right"/>
        <w:rPr>
          <w:rFonts w:ascii="宋体" w:hAnsi="宋体" w:cs="宋体"/>
          <w:szCs w:val="21"/>
        </w:rPr>
      </w:pPr>
      <w:r>
        <w:rPr>
          <w:rFonts w:hint="eastAsia" w:ascii="宋体" w:hAnsi="宋体" w:cs="宋体"/>
          <w:szCs w:val="21"/>
        </w:rPr>
        <w:t>日期：年月日</w:t>
      </w:r>
    </w:p>
    <w:p>
      <w:pPr>
        <w:spacing w:line="360" w:lineRule="auto"/>
        <w:rPr>
          <w:rFonts w:ascii="宋体" w:hAnsi="宋体" w:cs="宋体"/>
          <w:szCs w:val="21"/>
        </w:rPr>
      </w:pPr>
      <w:r>
        <w:rPr>
          <w:rFonts w:hint="eastAsia" w:ascii="宋体" w:hAnsi="宋体" w:cs="宋体"/>
          <w:szCs w:val="21"/>
        </w:rPr>
        <w:t>▲投标文件中应提供此函</w:t>
      </w:r>
    </w:p>
    <w:p>
      <w:pPr>
        <w:pStyle w:val="8"/>
        <w:adjustRightInd w:val="0"/>
        <w:snapToGrid w:val="0"/>
        <w:spacing w:line="360" w:lineRule="auto"/>
        <w:ind w:firstLine="480"/>
        <w:rPr>
          <w:rFonts w:hAnsi="宋体" w:cs="宋体"/>
          <w:szCs w:val="21"/>
        </w:rPr>
      </w:pPr>
    </w:p>
    <w:p>
      <w:pPr>
        <w:pStyle w:val="7"/>
        <w:ind w:firstLine="0"/>
        <w:rPr>
          <w:rFonts w:hAnsi="宋体" w:cs="宋体"/>
          <w:kern w:val="2"/>
        </w:rPr>
        <w:sectPr>
          <w:pgSz w:w="11906" w:h="16839"/>
          <w:pgMar w:top="1440" w:right="1800" w:bottom="1440" w:left="1800" w:header="878" w:footer="1045" w:gutter="0"/>
          <w:cols w:space="720" w:num="1"/>
        </w:sectPr>
      </w:pPr>
    </w:p>
    <w:p>
      <w:pPr>
        <w:pStyle w:val="4"/>
        <w:ind w:firstLine="482"/>
        <w:rPr>
          <w:rFonts w:ascii="宋体" w:hAnsi="宋体" w:cs="宋体"/>
        </w:rPr>
      </w:pPr>
      <w:r>
        <w:rPr>
          <w:rFonts w:hint="eastAsia" w:ascii="宋体" w:hAnsi="宋体" w:cs="宋体"/>
        </w:rPr>
        <w:t>4.5中小企业声明函及其相关的充分的证明材料</w:t>
      </w:r>
      <w:bookmarkEnd w:id="188"/>
    </w:p>
    <w:p>
      <w:pPr>
        <w:spacing w:line="360" w:lineRule="auto"/>
        <w:ind w:left="211" w:hanging="211" w:hangingChars="100"/>
        <w:jc w:val="center"/>
        <w:rPr>
          <w:rFonts w:ascii="宋体" w:hAnsi="宋体" w:cs="宋体"/>
          <w:b/>
          <w:bCs/>
          <w:szCs w:val="21"/>
        </w:rPr>
      </w:pPr>
    </w:p>
    <w:p>
      <w:pPr>
        <w:spacing w:line="360" w:lineRule="auto"/>
        <w:ind w:left="211" w:hanging="211" w:hangingChars="100"/>
        <w:jc w:val="center"/>
        <w:rPr>
          <w:rFonts w:ascii="宋体" w:hAnsi="宋体" w:cs="宋体"/>
          <w:b/>
          <w:bCs/>
          <w:szCs w:val="21"/>
        </w:rPr>
      </w:pPr>
      <w:r>
        <w:rPr>
          <w:rFonts w:hint="eastAsia" w:ascii="宋体" w:hAnsi="宋体" w:cs="宋体"/>
          <w:b/>
          <w:bCs/>
          <w:szCs w:val="21"/>
        </w:rPr>
        <w:t>中小企业声明函</w:t>
      </w:r>
    </w:p>
    <w:p>
      <w:pPr>
        <w:jc w:val="center"/>
        <w:rPr>
          <w:rFonts w:ascii="宋体" w:hAnsi="宋体" w:cs="宋体"/>
        </w:rPr>
      </w:pPr>
      <w:r>
        <w:rPr>
          <w:rFonts w:hint="eastAsia" w:ascii="宋体" w:hAnsi="宋体" w:cs="宋体"/>
        </w:rPr>
        <w:t>【非小微企业不用提供】</w:t>
      </w:r>
    </w:p>
    <w:p>
      <w:pPr>
        <w:pStyle w:val="14"/>
        <w:spacing w:after="0" w:line="360" w:lineRule="auto"/>
        <w:ind w:firstLine="210"/>
        <w:rPr>
          <w:rFonts w:ascii="宋体" w:hAnsi="宋体" w:cs="宋体"/>
          <w:szCs w:val="21"/>
        </w:rPr>
      </w:pPr>
    </w:p>
    <w:p>
      <w:pPr>
        <w:pStyle w:val="6"/>
        <w:autoSpaceDE w:val="0"/>
        <w:autoSpaceDN w:val="0"/>
        <w:spacing w:after="0" w:line="360" w:lineRule="auto"/>
        <w:ind w:firstLine="420" w:firstLineChars="200"/>
        <w:rPr>
          <w:rFonts w:ascii="宋体" w:hAnsi="宋体" w:cs="宋体"/>
          <w:szCs w:val="21"/>
        </w:rPr>
      </w:pPr>
      <w:r>
        <w:rPr>
          <w:rFonts w:hint="eastAsia" w:ascii="宋体" w:hAnsi="宋体" w:cs="宋体"/>
          <w:szCs w:val="21"/>
        </w:rPr>
        <w:t>本公司郑重声明，根据《政府采购促进中小企业发展管理办法》（财库﹝2020﹞46 号）的规定，本公司参加</w:t>
      </w:r>
      <w:r>
        <w:rPr>
          <w:rFonts w:hint="eastAsia" w:ascii="宋体" w:hAnsi="宋体" w:cs="宋体"/>
          <w:i/>
          <w:szCs w:val="21"/>
          <w:u w:val="single"/>
        </w:rPr>
        <w:t xml:space="preserve">          （采购人）</w:t>
      </w:r>
      <w:r>
        <w:rPr>
          <w:rFonts w:hint="eastAsia" w:ascii="宋体" w:hAnsi="宋体" w:cs="宋体"/>
          <w:szCs w:val="21"/>
        </w:rPr>
        <w:t>的</w:t>
      </w:r>
      <w:r>
        <w:rPr>
          <w:rFonts w:hint="eastAsia" w:ascii="宋体" w:hAnsi="宋体" w:cs="宋体"/>
          <w:i/>
          <w:szCs w:val="21"/>
          <w:u w:val="single"/>
        </w:rPr>
        <w:t xml:space="preserve">            （项目名称）</w:t>
      </w:r>
      <w:r>
        <w:rPr>
          <w:rFonts w:hint="eastAsia" w:ascii="宋体" w:hAnsi="宋体" w:cs="宋体"/>
          <w:szCs w:val="21"/>
        </w:rPr>
        <w:t>采购活动，</w:t>
      </w:r>
      <w:r>
        <w:rPr>
          <w:rFonts w:hint="eastAsia" w:ascii="宋体" w:hAnsi="宋体" w:cs="宋体"/>
          <w:b/>
          <w:bCs/>
          <w:szCs w:val="21"/>
        </w:rPr>
        <w:t>服务</w:t>
      </w:r>
      <w:r>
        <w:rPr>
          <w:rFonts w:hint="eastAsia" w:ascii="宋体" w:hAnsi="宋体" w:cs="宋体"/>
          <w:b/>
          <w:bCs/>
          <w:w w:val="95"/>
          <w:szCs w:val="21"/>
        </w:rPr>
        <w:t>全部由符合政策要求的中小企业承接。</w:t>
      </w:r>
      <w:r>
        <w:rPr>
          <w:rFonts w:hint="eastAsia" w:ascii="宋体" w:hAnsi="宋体" w:cs="宋体"/>
          <w:w w:val="95"/>
          <w:szCs w:val="21"/>
        </w:rPr>
        <w:t>相关企业（含</w:t>
      </w:r>
      <w:r>
        <w:rPr>
          <w:rFonts w:hint="eastAsia" w:ascii="宋体" w:hAnsi="宋体" w:cs="宋体"/>
          <w:szCs w:val="21"/>
        </w:rPr>
        <w:t>签订分包意向协议的中小企业）的具体情况如下：</w:t>
      </w:r>
    </w:p>
    <w:p>
      <w:pPr>
        <w:pStyle w:val="36"/>
        <w:tabs>
          <w:tab w:val="left" w:pos="1243"/>
        </w:tabs>
        <w:autoSpaceDE w:val="0"/>
        <w:autoSpaceDN w:val="0"/>
        <w:spacing w:line="360" w:lineRule="auto"/>
        <w:ind w:firstLine="400"/>
        <w:rPr>
          <w:rFonts w:ascii="宋体" w:hAnsi="宋体" w:cs="宋体"/>
          <w:szCs w:val="21"/>
        </w:rPr>
      </w:pPr>
      <w:r>
        <w:rPr>
          <w:rFonts w:hint="eastAsia" w:ascii="宋体" w:hAnsi="宋体" w:cs="宋体"/>
          <w:iCs/>
          <w:w w:val="96"/>
          <w:szCs w:val="21"/>
        </w:rPr>
        <w:t>1.</w:t>
      </w:r>
      <w:r>
        <w:rPr>
          <w:rFonts w:hint="eastAsia" w:ascii="宋体" w:hAnsi="宋体" w:cs="宋体"/>
          <w:i/>
          <w:w w:val="96"/>
          <w:szCs w:val="21"/>
          <w:u w:val="single"/>
        </w:rPr>
        <w:t xml:space="preserve">            （项目名称）</w:t>
      </w:r>
      <w:r>
        <w:rPr>
          <w:rFonts w:hint="eastAsia" w:ascii="宋体" w:hAnsi="宋体" w:cs="宋体"/>
          <w:w w:val="99"/>
          <w:szCs w:val="21"/>
        </w:rPr>
        <w:t>，属于</w:t>
      </w:r>
      <w:r>
        <w:rPr>
          <w:rFonts w:hint="eastAsia" w:ascii="宋体" w:hAnsi="宋体" w:cs="宋体"/>
          <w:i/>
          <w:w w:val="96"/>
          <w:szCs w:val="21"/>
          <w:u w:val="single"/>
        </w:rPr>
        <w:t xml:space="preserve"> 软件和信息技术服务业 </w:t>
      </w:r>
      <w:r>
        <w:rPr>
          <w:rFonts w:hint="eastAsia" w:ascii="宋体" w:hAnsi="宋体" w:cs="宋体"/>
          <w:w w:val="99"/>
          <w:szCs w:val="21"/>
        </w:rPr>
        <w:t>；承接企业为</w:t>
      </w:r>
      <w:r>
        <w:rPr>
          <w:rFonts w:hint="eastAsia" w:ascii="宋体" w:hAnsi="宋体" w:cs="宋体"/>
          <w:i/>
          <w:w w:val="96"/>
          <w:szCs w:val="21"/>
          <w:u w:val="single"/>
        </w:rPr>
        <w:t>（企业名称）</w:t>
      </w:r>
      <w:r>
        <w:rPr>
          <w:rFonts w:hint="eastAsia" w:ascii="宋体" w:hAnsi="宋体" w:cs="宋体"/>
          <w:w w:val="99"/>
          <w:szCs w:val="21"/>
        </w:rPr>
        <w:t>，从业人员</w:t>
      </w:r>
      <w:r>
        <w:rPr>
          <w:rFonts w:hint="eastAsia" w:ascii="宋体" w:hAnsi="宋体" w:cs="宋体"/>
          <w:w w:val="99"/>
          <w:szCs w:val="21"/>
          <w:u w:val="single"/>
        </w:rPr>
        <w:t xml:space="preserve"> </w:t>
      </w:r>
      <w:r>
        <w:rPr>
          <w:rFonts w:hint="eastAsia" w:ascii="宋体" w:hAnsi="宋体" w:cs="宋体"/>
          <w:szCs w:val="21"/>
          <w:u w:val="single"/>
        </w:rPr>
        <w:tab/>
      </w:r>
      <w:r>
        <w:rPr>
          <w:rFonts w:hint="eastAsia" w:ascii="宋体" w:hAnsi="宋体" w:cs="宋体"/>
          <w:szCs w:val="21"/>
          <w:u w:val="single"/>
        </w:rPr>
        <w:t xml:space="preserve"> </w:t>
      </w:r>
      <w:r>
        <w:rPr>
          <w:rFonts w:hint="eastAsia" w:ascii="宋体" w:hAnsi="宋体" w:cs="宋体"/>
          <w:w w:val="99"/>
          <w:szCs w:val="21"/>
        </w:rPr>
        <w:t>人，营业</w:t>
      </w:r>
      <w:r>
        <w:rPr>
          <w:rFonts w:hint="eastAsia" w:ascii="宋体" w:hAnsi="宋体" w:cs="宋体"/>
          <w:szCs w:val="21"/>
        </w:rPr>
        <w:t>收入为</w:t>
      </w:r>
      <w:r>
        <w:rPr>
          <w:rFonts w:hint="eastAsia" w:ascii="宋体" w:hAnsi="宋体" w:cs="宋体"/>
          <w:szCs w:val="21"/>
          <w:u w:val="single"/>
        </w:rPr>
        <w:t xml:space="preserve"> </w:t>
      </w:r>
      <w:r>
        <w:rPr>
          <w:rFonts w:hint="eastAsia" w:ascii="宋体" w:hAnsi="宋体" w:cs="宋体"/>
          <w:szCs w:val="21"/>
          <w:u w:val="single"/>
        </w:rPr>
        <w:tab/>
      </w:r>
      <w:r>
        <w:rPr>
          <w:rFonts w:hint="eastAsia" w:ascii="宋体" w:hAnsi="宋体" w:cs="宋体"/>
          <w:szCs w:val="21"/>
          <w:u w:val="single"/>
        </w:rPr>
        <w:t xml:space="preserve"> </w:t>
      </w:r>
      <w:r>
        <w:rPr>
          <w:rFonts w:hint="eastAsia" w:ascii="宋体" w:hAnsi="宋体" w:cs="宋体"/>
          <w:szCs w:val="21"/>
        </w:rPr>
        <w:t>万元，资产总额为</w:t>
      </w:r>
      <w:r>
        <w:rPr>
          <w:rFonts w:hint="eastAsia" w:ascii="宋体" w:hAnsi="宋体" w:cs="宋体"/>
          <w:szCs w:val="21"/>
          <w:u w:val="single"/>
        </w:rPr>
        <w:t xml:space="preserve"> </w:t>
      </w:r>
      <w:r>
        <w:rPr>
          <w:rFonts w:hint="eastAsia" w:ascii="宋体" w:hAnsi="宋体" w:cs="宋体"/>
          <w:szCs w:val="21"/>
          <w:u w:val="single"/>
        </w:rPr>
        <w:tab/>
      </w:r>
      <w:r>
        <w:rPr>
          <w:rFonts w:hint="eastAsia" w:ascii="宋体" w:hAnsi="宋体" w:cs="宋体"/>
          <w:szCs w:val="21"/>
        </w:rPr>
        <w:t>万元</w:t>
      </w:r>
      <w:r>
        <w:fldChar w:fldCharType="begin"/>
      </w:r>
      <w:r>
        <w:instrText xml:space="preserve"> HYPERLINK \l "_bookmark1" </w:instrText>
      </w:r>
      <w:r>
        <w:fldChar w:fldCharType="separate"/>
      </w:r>
      <w:r>
        <w:rPr>
          <w:rFonts w:hint="eastAsia" w:ascii="宋体" w:hAnsi="宋体" w:cs="宋体"/>
          <w:szCs w:val="21"/>
          <w:vertAlign w:val="superscript"/>
        </w:rPr>
        <w:t>1</w:t>
      </w:r>
      <w:r>
        <w:rPr>
          <w:rFonts w:hint="eastAsia" w:ascii="宋体" w:hAnsi="宋体" w:cs="宋体"/>
          <w:szCs w:val="21"/>
          <w:vertAlign w:val="superscript"/>
        </w:rPr>
        <w:fldChar w:fldCharType="end"/>
      </w:r>
      <w:r>
        <w:rPr>
          <w:rFonts w:hint="eastAsia" w:ascii="宋体" w:hAnsi="宋体" w:cs="宋体"/>
          <w:szCs w:val="21"/>
        </w:rPr>
        <w:t>，属于</w:t>
      </w:r>
      <w:r>
        <w:rPr>
          <w:rFonts w:hint="eastAsia" w:ascii="宋体" w:hAnsi="宋体" w:cs="宋体"/>
          <w:i/>
          <w:szCs w:val="21"/>
          <w:u w:val="single"/>
        </w:rPr>
        <w:t>（中型企业、</w:t>
      </w:r>
      <w:r>
        <w:rPr>
          <w:rFonts w:hint="eastAsia" w:ascii="宋体" w:hAnsi="宋体" w:cs="宋体"/>
          <w:i/>
          <w:w w:val="96"/>
          <w:szCs w:val="21"/>
          <w:u w:val="single"/>
        </w:rPr>
        <w:t>小型企业、微型企业）</w:t>
      </w:r>
      <w:r>
        <w:rPr>
          <w:rFonts w:hint="eastAsia" w:ascii="宋体" w:hAnsi="宋体" w:cs="宋体"/>
          <w:w w:val="99"/>
          <w:szCs w:val="21"/>
        </w:rPr>
        <w:t>；</w:t>
      </w:r>
    </w:p>
    <w:p>
      <w:pPr>
        <w:pStyle w:val="6"/>
        <w:autoSpaceDE w:val="0"/>
        <w:autoSpaceDN w:val="0"/>
        <w:spacing w:after="0" w:line="360" w:lineRule="auto"/>
        <w:ind w:firstLine="420" w:firstLineChars="200"/>
        <w:rPr>
          <w:rFonts w:ascii="宋体" w:hAnsi="宋体" w:cs="宋体"/>
          <w:szCs w:val="21"/>
        </w:rPr>
      </w:pPr>
      <w:r>
        <w:rPr>
          <w:rFonts w:hint="eastAsia" w:ascii="宋体" w:hAnsi="宋体" w:cs="宋体"/>
          <w:szCs w:val="21"/>
        </w:rPr>
        <w:t>以上企业，不属于大企业的分支机构，不存在控股股东为大企业的情形，也不存在与大企业的负责人为同一人的情形。</w:t>
      </w:r>
    </w:p>
    <w:p>
      <w:pPr>
        <w:pStyle w:val="6"/>
        <w:autoSpaceDE w:val="0"/>
        <w:autoSpaceDN w:val="0"/>
        <w:spacing w:after="0" w:line="360" w:lineRule="auto"/>
        <w:ind w:firstLine="420" w:firstLineChars="200"/>
        <w:rPr>
          <w:rFonts w:ascii="宋体" w:hAnsi="宋体" w:cs="宋体"/>
          <w:szCs w:val="21"/>
        </w:rPr>
      </w:pPr>
      <w:r>
        <w:rPr>
          <w:rFonts w:hint="eastAsia" w:ascii="宋体" w:hAnsi="宋体" w:cs="宋体"/>
          <w:szCs w:val="21"/>
        </w:rPr>
        <w:t>本企业对上述声明内容的真实性负责。如有虚假，将依法承担相应责任。</w:t>
      </w:r>
    </w:p>
    <w:p>
      <w:pPr>
        <w:spacing w:line="360" w:lineRule="auto"/>
        <w:ind w:firstLine="420"/>
        <w:jc w:val="right"/>
        <w:rPr>
          <w:rFonts w:ascii="宋体" w:hAnsi="宋体" w:cs="宋体"/>
          <w:szCs w:val="21"/>
        </w:rPr>
      </w:pPr>
    </w:p>
    <w:p>
      <w:pPr>
        <w:pStyle w:val="8"/>
        <w:adjustRightInd w:val="0"/>
        <w:snapToGrid w:val="0"/>
        <w:spacing w:line="360" w:lineRule="auto"/>
        <w:ind w:firstLine="480"/>
        <w:rPr>
          <w:rFonts w:hAnsi="宋体" w:cs="宋体"/>
          <w:b/>
          <w:szCs w:val="21"/>
        </w:rPr>
      </w:pPr>
      <w:r>
        <w:rPr>
          <w:rFonts w:hint="eastAsia" w:hAnsi="宋体" w:cs="宋体"/>
          <w:b/>
          <w:szCs w:val="21"/>
        </w:rPr>
        <w:t>供应商全称（盖单位公章）：</w:t>
      </w:r>
    </w:p>
    <w:p>
      <w:pPr>
        <w:spacing w:line="360" w:lineRule="auto"/>
        <w:ind w:firstLine="422" w:firstLineChars="200"/>
        <w:rPr>
          <w:rFonts w:ascii="宋体" w:hAnsi="宋体" w:cs="宋体"/>
          <w:b/>
          <w:bCs/>
          <w:szCs w:val="21"/>
        </w:rPr>
      </w:pPr>
      <w:r>
        <w:rPr>
          <w:rFonts w:hint="eastAsia" w:ascii="宋体" w:hAnsi="宋体" w:cs="宋体"/>
          <w:b/>
          <w:bCs/>
          <w:szCs w:val="21"/>
        </w:rPr>
        <w:t>日期：</w:t>
      </w:r>
      <w:r>
        <w:rPr>
          <w:rFonts w:hint="eastAsia" w:ascii="宋体" w:hAnsi="宋体" w:cs="宋体"/>
          <w:b/>
          <w:bCs/>
          <w:szCs w:val="21"/>
        </w:rPr>
        <w:tab/>
      </w:r>
      <w:r>
        <w:rPr>
          <w:rFonts w:hint="eastAsia" w:ascii="宋体" w:hAnsi="宋体" w:cs="宋体"/>
          <w:b/>
          <w:bCs/>
          <w:szCs w:val="21"/>
        </w:rPr>
        <w:t>年</w:t>
      </w:r>
      <w:r>
        <w:rPr>
          <w:rFonts w:hint="eastAsia" w:ascii="宋体" w:hAnsi="宋体" w:cs="宋体"/>
          <w:b/>
          <w:bCs/>
          <w:szCs w:val="21"/>
        </w:rPr>
        <w:tab/>
      </w:r>
      <w:r>
        <w:rPr>
          <w:rFonts w:hint="eastAsia" w:ascii="宋体" w:hAnsi="宋体" w:cs="宋体"/>
          <w:b/>
          <w:bCs/>
          <w:szCs w:val="21"/>
        </w:rPr>
        <w:t>月</w:t>
      </w:r>
      <w:r>
        <w:rPr>
          <w:rFonts w:hint="eastAsia" w:ascii="宋体" w:hAnsi="宋体" w:cs="宋体"/>
          <w:b/>
          <w:bCs/>
          <w:szCs w:val="21"/>
        </w:rPr>
        <w:tab/>
      </w:r>
      <w:r>
        <w:rPr>
          <w:rFonts w:hint="eastAsia" w:ascii="宋体" w:hAnsi="宋体" w:cs="宋体"/>
          <w:b/>
          <w:bCs/>
          <w:szCs w:val="21"/>
        </w:rPr>
        <w:t>日</w:t>
      </w:r>
    </w:p>
    <w:p>
      <w:pPr>
        <w:spacing w:line="360" w:lineRule="auto"/>
        <w:ind w:firstLine="420"/>
        <w:jc w:val="right"/>
        <w:rPr>
          <w:rFonts w:ascii="宋体" w:hAnsi="宋体" w:cs="宋体"/>
          <w:szCs w:val="21"/>
        </w:rPr>
      </w:pPr>
    </w:p>
    <w:p>
      <w:pPr>
        <w:pStyle w:val="5"/>
        <w:rPr>
          <w:rFonts w:ascii="宋体" w:hAnsi="宋体" w:cs="宋体"/>
          <w:szCs w:val="21"/>
        </w:rPr>
      </w:pPr>
    </w:p>
    <w:p>
      <w:pPr>
        <w:snapToGrid w:val="0"/>
        <w:spacing w:line="360" w:lineRule="auto"/>
        <w:rPr>
          <w:rFonts w:ascii="宋体" w:hAnsi="宋体" w:cs="宋体"/>
          <w:b/>
          <w:szCs w:val="21"/>
        </w:rPr>
      </w:pPr>
      <w:r>
        <w:rPr>
          <w:rFonts w:hint="eastAsia" w:ascii="宋体" w:hAnsi="宋体" w:cs="宋体"/>
          <w:b/>
          <w:szCs w:val="21"/>
        </w:rPr>
        <w:t>说明：</w:t>
      </w:r>
    </w:p>
    <w:p>
      <w:pPr>
        <w:snapToGrid w:val="0"/>
        <w:spacing w:line="360" w:lineRule="auto"/>
        <w:rPr>
          <w:rFonts w:ascii="宋体" w:hAnsi="宋体" w:cs="宋体"/>
          <w:bCs/>
          <w:sz w:val="20"/>
        </w:rPr>
      </w:pPr>
      <w:r>
        <w:rPr>
          <w:rFonts w:hint="eastAsia" w:ascii="宋体" w:hAnsi="宋体" w:cs="宋体"/>
          <w:bCs/>
          <w:sz w:val="20"/>
        </w:rPr>
        <w:t>1.从业人员、营业收入、资产总额填报上一年度数据，无上一年度数据的新成立企业可不填报。</w:t>
      </w:r>
    </w:p>
    <w:p>
      <w:pPr>
        <w:snapToGrid w:val="0"/>
        <w:spacing w:line="360" w:lineRule="auto"/>
        <w:rPr>
          <w:rFonts w:ascii="宋体" w:hAnsi="宋体" w:cs="宋体"/>
          <w:bCs/>
          <w:sz w:val="20"/>
        </w:rPr>
      </w:pPr>
      <w:r>
        <w:rPr>
          <w:rFonts w:hint="eastAsia" w:ascii="宋体" w:hAnsi="宋体" w:cs="宋体"/>
          <w:bCs/>
          <w:sz w:val="20"/>
        </w:rPr>
        <w:t>2.本项目所属行业：软件和信息技术服务业，请勿修改行业名称。</w:t>
      </w:r>
    </w:p>
    <w:p>
      <w:pPr>
        <w:snapToGrid w:val="0"/>
        <w:spacing w:line="360" w:lineRule="auto"/>
        <w:rPr>
          <w:rFonts w:ascii="宋体" w:hAnsi="宋体" w:cs="宋体"/>
          <w:bCs/>
          <w:sz w:val="20"/>
        </w:rPr>
      </w:pPr>
      <w:r>
        <w:rPr>
          <w:rFonts w:hint="eastAsia" w:ascii="宋体" w:hAnsi="宋体" w:cs="宋体"/>
          <w:bCs/>
          <w:sz w:val="20"/>
        </w:rPr>
        <w:t>3.表中括号内（中型企业、小型企业、微型企业），必须选择其中一类，不能同时填写多类。</w:t>
      </w:r>
    </w:p>
    <w:p>
      <w:pPr>
        <w:snapToGrid w:val="0"/>
        <w:spacing w:line="360" w:lineRule="auto"/>
        <w:rPr>
          <w:rFonts w:ascii="宋体" w:hAnsi="宋体" w:cs="宋体"/>
          <w:bCs/>
          <w:sz w:val="20"/>
        </w:rPr>
      </w:pPr>
      <w:r>
        <w:rPr>
          <w:rFonts w:hint="eastAsia" w:ascii="宋体" w:hAnsi="宋体" w:cs="宋体"/>
          <w:bCs/>
          <w:sz w:val="20"/>
        </w:rPr>
        <w:t>4.中小企业划型标准规定（工信部联企业[2011]300号）附后。</w:t>
      </w:r>
    </w:p>
    <w:p>
      <w:pPr>
        <w:snapToGrid w:val="0"/>
        <w:spacing w:line="360" w:lineRule="auto"/>
        <w:rPr>
          <w:rFonts w:ascii="宋体" w:hAnsi="宋体" w:cs="宋体"/>
          <w:bCs/>
          <w:sz w:val="20"/>
        </w:rPr>
        <w:sectPr>
          <w:headerReference r:id="rId48" w:type="default"/>
          <w:footerReference r:id="rId49" w:type="default"/>
          <w:footerReference r:id="rId50" w:type="even"/>
          <w:pgSz w:w="11850" w:h="16783"/>
          <w:pgMar w:top="1440" w:right="1800" w:bottom="1440" w:left="1800" w:header="851" w:footer="851" w:gutter="0"/>
          <w:cols w:space="720" w:num="1"/>
          <w:docGrid w:linePitch="272" w:charSpace="-3831"/>
        </w:sectPr>
      </w:pPr>
    </w:p>
    <w:p>
      <w:pPr>
        <w:pStyle w:val="5"/>
        <w:rPr>
          <w:rFonts w:ascii="宋体" w:hAnsi="宋体" w:cs="宋体"/>
        </w:rPr>
        <w:sectPr>
          <w:pgSz w:w="16783" w:h="11850" w:orient="landscape"/>
          <w:pgMar w:top="1800" w:right="1440" w:bottom="1800" w:left="1440" w:header="851" w:footer="851" w:gutter="0"/>
          <w:cols w:space="720" w:num="1"/>
          <w:docGrid w:linePitch="272" w:charSpace="-3831"/>
        </w:sectPr>
      </w:pPr>
      <w:r>
        <w:rPr>
          <w:rFonts w:hint="eastAsia" w:ascii="宋体" w:hAnsi="宋体" w:cs="宋体"/>
        </w:rPr>
        <w:drawing>
          <wp:inline distT="0" distB="0" distL="0" distR="0">
            <wp:extent cx="8565515" cy="5177790"/>
            <wp:effectExtent l="0" t="0" r="14605" b="381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a:xfrm>
                      <a:off x="0" y="0"/>
                      <a:ext cx="8565515" cy="5177790"/>
                    </a:xfrm>
                    <a:prstGeom prst="rect">
                      <a:avLst/>
                    </a:prstGeom>
                    <a:noFill/>
                    <a:ln>
                      <a:noFill/>
                    </a:ln>
                  </pic:spPr>
                </pic:pic>
              </a:graphicData>
            </a:graphic>
          </wp:inline>
        </w:drawing>
      </w:r>
    </w:p>
    <w:p>
      <w:pPr>
        <w:spacing w:line="360" w:lineRule="auto"/>
        <w:jc w:val="center"/>
        <w:rPr>
          <w:rFonts w:ascii="宋体" w:hAnsi="宋体" w:cs="宋体"/>
          <w:b/>
          <w:szCs w:val="21"/>
        </w:rPr>
      </w:pPr>
      <w:r>
        <w:rPr>
          <w:rFonts w:hint="eastAsia" w:ascii="宋体" w:hAnsi="宋体" w:cs="宋体"/>
          <w:b/>
          <w:szCs w:val="21"/>
        </w:rPr>
        <w:t>监狱企业声明函</w:t>
      </w:r>
    </w:p>
    <w:p>
      <w:pPr>
        <w:spacing w:line="360" w:lineRule="auto"/>
        <w:jc w:val="center"/>
        <w:rPr>
          <w:rFonts w:ascii="宋体" w:hAnsi="宋体" w:cs="宋体"/>
          <w:b/>
          <w:szCs w:val="21"/>
        </w:rPr>
      </w:pPr>
      <w:r>
        <w:rPr>
          <w:rFonts w:hint="eastAsia" w:ascii="宋体" w:hAnsi="宋体" w:cs="宋体"/>
          <w:b/>
          <w:szCs w:val="21"/>
        </w:rPr>
        <w:t>【非监狱企业不用提供】</w:t>
      </w:r>
    </w:p>
    <w:p>
      <w:pPr>
        <w:pStyle w:val="6"/>
        <w:spacing w:after="0" w:line="360" w:lineRule="auto"/>
        <w:rPr>
          <w:rFonts w:ascii="宋体" w:hAnsi="宋体" w:cs="宋体"/>
          <w:b/>
          <w:szCs w:val="21"/>
        </w:rPr>
      </w:pPr>
    </w:p>
    <w:p>
      <w:pPr>
        <w:spacing w:line="360" w:lineRule="auto"/>
        <w:ind w:firstLine="420" w:firstLineChars="200"/>
        <w:rPr>
          <w:rFonts w:ascii="宋体" w:hAnsi="宋体" w:cs="宋体"/>
          <w:szCs w:val="21"/>
        </w:rPr>
      </w:pPr>
      <w:r>
        <w:rPr>
          <w:rFonts w:hint="eastAsia" w:ascii="宋体" w:hAnsi="宋体" w:cs="宋体"/>
          <w:szCs w:val="21"/>
        </w:rPr>
        <w:t>本企业郑重声明，根据《关于政府采购支持监狱企业发展有关问题的通知》（财库[2014]68号）的规定，本企业为监狱企业。</w:t>
      </w:r>
    </w:p>
    <w:p>
      <w:pPr>
        <w:spacing w:line="360" w:lineRule="auto"/>
        <w:ind w:firstLine="420" w:firstLineChars="200"/>
        <w:rPr>
          <w:rFonts w:ascii="宋体" w:hAnsi="宋体" w:cs="宋体"/>
          <w:szCs w:val="21"/>
        </w:rPr>
      </w:pPr>
      <w:r>
        <w:rPr>
          <w:rFonts w:hint="eastAsia" w:ascii="宋体" w:hAnsi="宋体" w:cs="宋体"/>
          <w:szCs w:val="21"/>
        </w:rPr>
        <w:t>根据上述标准，我企业属于监狱企业的理由为：。</w:t>
      </w:r>
    </w:p>
    <w:p>
      <w:pPr>
        <w:spacing w:line="360" w:lineRule="auto"/>
        <w:ind w:firstLine="420" w:firstLineChars="200"/>
        <w:rPr>
          <w:rFonts w:ascii="宋体" w:hAnsi="宋体" w:cs="宋体"/>
          <w:szCs w:val="21"/>
        </w:rPr>
      </w:pPr>
      <w:r>
        <w:rPr>
          <w:rFonts w:hint="eastAsia" w:ascii="宋体" w:hAnsi="宋体" w:cs="宋体"/>
          <w:szCs w:val="21"/>
        </w:rPr>
        <w:t>本企业为参加（项目名称：</w:t>
      </w:r>
      <w:r>
        <w:rPr>
          <w:rFonts w:hint="eastAsia" w:ascii="宋体" w:hAnsi="宋体" w:cs="宋体"/>
          <w:szCs w:val="21"/>
        </w:rPr>
        <w:tab/>
      </w:r>
      <w:r>
        <w:rPr>
          <w:rFonts w:hint="eastAsia" w:ascii="宋体" w:hAnsi="宋体" w:cs="宋体"/>
          <w:szCs w:val="21"/>
        </w:rPr>
        <w:t>）（项目编号：</w:t>
      </w:r>
      <w:r>
        <w:rPr>
          <w:rFonts w:hint="eastAsia" w:ascii="宋体" w:hAnsi="宋体" w:cs="宋体"/>
          <w:szCs w:val="21"/>
        </w:rPr>
        <w:tab/>
      </w:r>
      <w:r>
        <w:rPr>
          <w:rFonts w:hint="eastAsia" w:ascii="宋体" w:hAnsi="宋体" w:cs="宋体"/>
          <w:szCs w:val="21"/>
        </w:rPr>
        <w:t>）采购活动提供本企业的产品。</w:t>
      </w:r>
    </w:p>
    <w:p>
      <w:pPr>
        <w:spacing w:line="360" w:lineRule="auto"/>
        <w:ind w:firstLine="420" w:firstLineChars="200"/>
        <w:rPr>
          <w:rFonts w:ascii="宋体" w:hAnsi="宋体" w:cs="宋体"/>
          <w:szCs w:val="21"/>
        </w:rPr>
      </w:pPr>
      <w:r>
        <w:rPr>
          <w:rFonts w:hint="eastAsia" w:ascii="宋体" w:hAnsi="宋体" w:cs="宋体"/>
          <w:szCs w:val="21"/>
        </w:rPr>
        <w:t>本企业对上述声明的真实性负责。如有虚假，将依法承担相应责任。</w:t>
      </w:r>
    </w:p>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pPr>
    </w:p>
    <w:p>
      <w:pPr>
        <w:pStyle w:val="8"/>
        <w:adjustRightInd w:val="0"/>
        <w:snapToGrid w:val="0"/>
        <w:spacing w:line="360" w:lineRule="auto"/>
        <w:ind w:firstLine="480"/>
        <w:rPr>
          <w:rFonts w:hAnsi="宋体" w:cs="宋体"/>
          <w:b/>
          <w:szCs w:val="21"/>
        </w:rPr>
      </w:pPr>
      <w:r>
        <w:rPr>
          <w:rFonts w:hint="eastAsia" w:hAnsi="宋体" w:cs="宋体"/>
          <w:b/>
          <w:szCs w:val="21"/>
        </w:rPr>
        <w:t>供应商全称（盖单位公章）：</w:t>
      </w:r>
    </w:p>
    <w:p>
      <w:pPr>
        <w:spacing w:line="360" w:lineRule="auto"/>
        <w:ind w:firstLine="422" w:firstLineChars="200"/>
        <w:rPr>
          <w:rFonts w:ascii="宋体" w:hAnsi="宋体" w:cs="宋体"/>
          <w:b/>
          <w:bCs/>
          <w:szCs w:val="21"/>
        </w:rPr>
      </w:pPr>
      <w:r>
        <w:rPr>
          <w:rFonts w:hint="eastAsia" w:ascii="宋体" w:hAnsi="宋体" w:cs="宋体"/>
          <w:b/>
          <w:bCs/>
          <w:szCs w:val="21"/>
        </w:rPr>
        <w:t>日期：</w:t>
      </w:r>
      <w:r>
        <w:rPr>
          <w:rFonts w:hint="eastAsia" w:ascii="宋体" w:hAnsi="宋体" w:cs="宋体"/>
          <w:b/>
          <w:bCs/>
          <w:szCs w:val="21"/>
        </w:rPr>
        <w:tab/>
      </w:r>
      <w:r>
        <w:rPr>
          <w:rFonts w:hint="eastAsia" w:ascii="宋体" w:hAnsi="宋体" w:cs="宋体"/>
          <w:b/>
          <w:bCs/>
          <w:szCs w:val="21"/>
        </w:rPr>
        <w:t>年</w:t>
      </w:r>
      <w:r>
        <w:rPr>
          <w:rFonts w:hint="eastAsia" w:ascii="宋体" w:hAnsi="宋体" w:cs="宋体"/>
          <w:b/>
          <w:bCs/>
          <w:szCs w:val="21"/>
        </w:rPr>
        <w:tab/>
      </w:r>
      <w:r>
        <w:rPr>
          <w:rFonts w:hint="eastAsia" w:ascii="宋体" w:hAnsi="宋体" w:cs="宋体"/>
          <w:b/>
          <w:bCs/>
          <w:szCs w:val="21"/>
        </w:rPr>
        <w:t>月</w:t>
      </w:r>
      <w:r>
        <w:rPr>
          <w:rFonts w:hint="eastAsia" w:ascii="宋体" w:hAnsi="宋体" w:cs="宋体"/>
          <w:b/>
          <w:bCs/>
          <w:szCs w:val="21"/>
        </w:rPr>
        <w:tab/>
      </w:r>
      <w:r>
        <w:rPr>
          <w:rFonts w:hint="eastAsia" w:ascii="宋体" w:hAnsi="宋体" w:cs="宋体"/>
          <w:b/>
          <w:bCs/>
          <w:szCs w:val="21"/>
        </w:rPr>
        <w:t>日</w:t>
      </w:r>
    </w:p>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pPr>
      <w:r>
        <w:rPr>
          <w:rFonts w:hint="eastAsia" w:ascii="宋体" w:hAnsi="宋体" w:cs="宋体"/>
          <w:szCs w:val="21"/>
        </w:rPr>
        <w:t>监狱企业参加政府采购活动时，应当提供由省级以上监狱管理局、戒毒管理局（含新疆生产建设兵团）出具的属于监狱企业的证明文件。</w:t>
      </w:r>
    </w:p>
    <w:p>
      <w:pPr>
        <w:spacing w:line="360" w:lineRule="auto"/>
        <w:ind w:firstLine="420" w:firstLineChars="200"/>
        <w:rPr>
          <w:rFonts w:ascii="宋体" w:hAnsi="宋体" w:cs="宋体"/>
          <w:szCs w:val="21"/>
        </w:rPr>
      </w:pPr>
      <w:r>
        <w:rPr>
          <w:rFonts w:hint="eastAsia" w:ascii="宋体" w:hAnsi="宋体" w:cs="宋体"/>
          <w:szCs w:val="21"/>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pPr>
    </w:p>
    <w:p>
      <w:pPr>
        <w:spacing w:line="360" w:lineRule="auto"/>
        <w:ind w:firstLine="420"/>
        <w:rPr>
          <w:rFonts w:ascii="宋体" w:hAnsi="宋体" w:cs="宋体"/>
          <w:szCs w:val="21"/>
        </w:rPr>
      </w:pPr>
    </w:p>
    <w:p>
      <w:pPr>
        <w:spacing w:line="360" w:lineRule="auto"/>
        <w:ind w:firstLine="420"/>
        <w:rPr>
          <w:rFonts w:ascii="宋体" w:hAnsi="宋体" w:cs="宋体"/>
          <w:szCs w:val="21"/>
        </w:rPr>
      </w:pPr>
    </w:p>
    <w:p>
      <w:pPr>
        <w:spacing w:line="360" w:lineRule="auto"/>
        <w:ind w:firstLine="420"/>
        <w:rPr>
          <w:rFonts w:ascii="宋体" w:hAnsi="宋体" w:cs="宋体"/>
          <w:szCs w:val="21"/>
        </w:rPr>
      </w:pPr>
    </w:p>
    <w:p>
      <w:pPr>
        <w:spacing w:line="360" w:lineRule="auto"/>
        <w:ind w:firstLine="420"/>
        <w:rPr>
          <w:rFonts w:ascii="宋体" w:hAnsi="宋体" w:cs="宋体"/>
          <w:szCs w:val="21"/>
        </w:rPr>
      </w:pPr>
    </w:p>
    <w:p>
      <w:pPr>
        <w:spacing w:line="360" w:lineRule="auto"/>
        <w:ind w:firstLine="420"/>
        <w:rPr>
          <w:rFonts w:ascii="宋体" w:hAnsi="宋体" w:cs="宋体"/>
          <w:szCs w:val="21"/>
        </w:rPr>
      </w:pPr>
    </w:p>
    <w:p>
      <w:pPr>
        <w:spacing w:line="360" w:lineRule="auto"/>
        <w:ind w:firstLine="420"/>
        <w:rPr>
          <w:rFonts w:ascii="宋体" w:hAnsi="宋体" w:cs="宋体"/>
          <w:szCs w:val="21"/>
        </w:rPr>
      </w:pPr>
    </w:p>
    <w:p>
      <w:pPr>
        <w:spacing w:line="360" w:lineRule="auto"/>
        <w:ind w:firstLine="420"/>
        <w:rPr>
          <w:rFonts w:ascii="宋体" w:hAnsi="宋体" w:cs="宋体"/>
          <w:szCs w:val="21"/>
        </w:rPr>
      </w:pPr>
    </w:p>
    <w:p>
      <w:pPr>
        <w:spacing w:line="360" w:lineRule="auto"/>
        <w:ind w:firstLine="420"/>
        <w:rPr>
          <w:rFonts w:ascii="宋体" w:hAnsi="宋体" w:cs="宋体"/>
          <w:szCs w:val="21"/>
        </w:rPr>
      </w:pPr>
    </w:p>
    <w:p>
      <w:pPr>
        <w:spacing w:line="360" w:lineRule="auto"/>
        <w:ind w:firstLine="420"/>
        <w:rPr>
          <w:rFonts w:ascii="宋体" w:hAnsi="宋体" w:cs="宋体"/>
          <w:szCs w:val="21"/>
        </w:rPr>
      </w:pPr>
    </w:p>
    <w:p>
      <w:pPr>
        <w:spacing w:line="360" w:lineRule="auto"/>
        <w:ind w:firstLine="420"/>
        <w:rPr>
          <w:rFonts w:ascii="宋体" w:hAnsi="宋体" w:cs="宋体"/>
          <w:szCs w:val="21"/>
        </w:rPr>
      </w:pPr>
    </w:p>
    <w:p>
      <w:pPr>
        <w:spacing w:line="360" w:lineRule="auto"/>
        <w:ind w:firstLine="420"/>
        <w:rPr>
          <w:rFonts w:ascii="宋体" w:hAnsi="宋体" w:cs="宋体"/>
          <w:szCs w:val="21"/>
        </w:rPr>
      </w:pPr>
    </w:p>
    <w:p>
      <w:pPr>
        <w:pStyle w:val="14"/>
        <w:spacing w:after="0" w:line="360" w:lineRule="auto"/>
        <w:ind w:firstLine="210"/>
        <w:rPr>
          <w:rFonts w:ascii="宋体" w:hAnsi="宋体" w:cs="宋体"/>
          <w:szCs w:val="21"/>
        </w:rPr>
      </w:pPr>
    </w:p>
    <w:p>
      <w:pPr>
        <w:pStyle w:val="14"/>
        <w:spacing w:after="0" w:line="360" w:lineRule="auto"/>
        <w:ind w:firstLine="210"/>
        <w:rPr>
          <w:rFonts w:ascii="宋体" w:hAnsi="宋体" w:cs="宋体"/>
          <w:szCs w:val="21"/>
        </w:rPr>
      </w:pPr>
    </w:p>
    <w:p>
      <w:pPr>
        <w:spacing w:line="360" w:lineRule="auto"/>
        <w:jc w:val="center"/>
        <w:rPr>
          <w:rFonts w:ascii="宋体" w:hAnsi="宋体" w:cs="宋体"/>
          <w:b/>
          <w:szCs w:val="21"/>
        </w:rPr>
      </w:pPr>
      <w:r>
        <w:rPr>
          <w:rFonts w:hint="eastAsia" w:ascii="宋体" w:hAnsi="宋体" w:cs="宋体"/>
          <w:b/>
          <w:szCs w:val="21"/>
        </w:rPr>
        <w:t>残疾人福利性单位声明函</w:t>
      </w:r>
    </w:p>
    <w:p>
      <w:pPr>
        <w:spacing w:line="360" w:lineRule="auto"/>
        <w:jc w:val="center"/>
        <w:rPr>
          <w:rFonts w:ascii="宋体" w:hAnsi="宋体" w:cs="宋体"/>
          <w:b/>
          <w:szCs w:val="21"/>
        </w:rPr>
      </w:pPr>
      <w:r>
        <w:rPr>
          <w:rFonts w:hint="eastAsia" w:ascii="宋体" w:hAnsi="宋体" w:cs="宋体"/>
          <w:b/>
          <w:szCs w:val="21"/>
        </w:rPr>
        <w:t>【非残疾人福利性单位不用提供】</w:t>
      </w:r>
    </w:p>
    <w:p>
      <w:pPr>
        <w:pStyle w:val="6"/>
        <w:spacing w:after="0" w:line="360" w:lineRule="auto"/>
        <w:rPr>
          <w:rFonts w:ascii="宋体" w:hAnsi="宋体" w:cs="宋体"/>
          <w:b/>
          <w:szCs w:val="21"/>
        </w:rPr>
      </w:pPr>
    </w:p>
    <w:p>
      <w:pPr>
        <w:pStyle w:val="6"/>
        <w:spacing w:after="0" w:line="360" w:lineRule="auto"/>
        <w:rPr>
          <w:rFonts w:ascii="宋体" w:hAnsi="宋体" w:cs="宋体"/>
          <w:b/>
          <w:szCs w:val="21"/>
        </w:rPr>
      </w:pPr>
    </w:p>
    <w:p>
      <w:pPr>
        <w:spacing w:line="588" w:lineRule="exact"/>
        <w:ind w:firstLine="420" w:firstLineChars="200"/>
        <w:rPr>
          <w:rFonts w:ascii="宋体" w:hAnsi="宋体" w:cs="宋体"/>
          <w:szCs w:val="21"/>
        </w:rPr>
      </w:pPr>
      <w:r>
        <w:rPr>
          <w:rFonts w:hint="eastAsia" w:ascii="宋体" w:hAnsi="宋体" w:cs="宋体"/>
          <w:szCs w:val="21"/>
        </w:rPr>
        <w:t>本单位郑重声明，根据《财政部 民政部 中国残疾人联合会关于促进残疾人就业政府采购政策的通知》（财库〔2017〕 141号）的规定，本单位为符合条件的残疾人福利性单位，且本单位参加______单位的______项目采购活动提供由本单位提供服务。</w:t>
      </w:r>
    </w:p>
    <w:p>
      <w:pPr>
        <w:spacing w:line="588" w:lineRule="exact"/>
        <w:ind w:firstLine="420" w:firstLineChars="200"/>
        <w:rPr>
          <w:rFonts w:ascii="宋体" w:hAnsi="宋体" w:cs="宋体"/>
          <w:spacing w:val="6"/>
          <w:szCs w:val="21"/>
        </w:rPr>
      </w:pPr>
      <w:r>
        <w:rPr>
          <w:rFonts w:hint="eastAsia" w:ascii="宋体" w:hAnsi="宋体" w:cs="宋体"/>
          <w:szCs w:val="21"/>
        </w:rPr>
        <w:t>本单位对上述声明的真实性负责。如有虚假，将依法承担相应责任。</w:t>
      </w:r>
    </w:p>
    <w:p>
      <w:pPr>
        <w:spacing w:line="360" w:lineRule="auto"/>
        <w:ind w:firstLine="420" w:firstLineChars="200"/>
        <w:rPr>
          <w:rFonts w:ascii="宋体" w:hAnsi="宋体" w:cs="宋体"/>
          <w:szCs w:val="21"/>
        </w:rPr>
      </w:pPr>
    </w:p>
    <w:p>
      <w:pPr>
        <w:pStyle w:val="6"/>
        <w:spacing w:after="0" w:line="360" w:lineRule="auto"/>
        <w:rPr>
          <w:rFonts w:ascii="宋体" w:hAnsi="宋体" w:cs="宋体"/>
          <w:szCs w:val="21"/>
        </w:rPr>
      </w:pPr>
    </w:p>
    <w:p>
      <w:pPr>
        <w:pStyle w:val="8"/>
        <w:adjustRightInd w:val="0"/>
        <w:snapToGrid w:val="0"/>
        <w:spacing w:line="360" w:lineRule="auto"/>
        <w:ind w:firstLine="480"/>
        <w:rPr>
          <w:rFonts w:hAnsi="宋体" w:cs="宋体"/>
          <w:b/>
          <w:szCs w:val="21"/>
        </w:rPr>
      </w:pPr>
      <w:r>
        <w:rPr>
          <w:rFonts w:hint="eastAsia" w:hAnsi="宋体" w:cs="宋体"/>
          <w:b/>
          <w:szCs w:val="21"/>
        </w:rPr>
        <w:t>供应商全称（盖单位公章）：</w:t>
      </w:r>
    </w:p>
    <w:p>
      <w:pPr>
        <w:spacing w:line="360" w:lineRule="auto"/>
        <w:ind w:firstLine="422" w:firstLineChars="200"/>
        <w:rPr>
          <w:rFonts w:ascii="宋体" w:hAnsi="宋体" w:cs="宋体"/>
          <w:b/>
          <w:bCs/>
          <w:szCs w:val="21"/>
        </w:rPr>
      </w:pPr>
      <w:r>
        <w:rPr>
          <w:rFonts w:hint="eastAsia" w:ascii="宋体" w:hAnsi="宋体" w:cs="宋体"/>
          <w:b/>
          <w:bCs/>
          <w:szCs w:val="21"/>
        </w:rPr>
        <w:t>日期：</w:t>
      </w:r>
      <w:r>
        <w:rPr>
          <w:rFonts w:hint="eastAsia" w:ascii="宋体" w:hAnsi="宋体" w:cs="宋体"/>
          <w:b/>
          <w:bCs/>
          <w:szCs w:val="21"/>
        </w:rPr>
        <w:tab/>
      </w:r>
      <w:r>
        <w:rPr>
          <w:rFonts w:hint="eastAsia" w:ascii="宋体" w:hAnsi="宋体" w:cs="宋体"/>
          <w:b/>
          <w:bCs/>
          <w:szCs w:val="21"/>
        </w:rPr>
        <w:t>年</w:t>
      </w:r>
      <w:r>
        <w:rPr>
          <w:rFonts w:hint="eastAsia" w:ascii="宋体" w:hAnsi="宋体" w:cs="宋体"/>
          <w:b/>
          <w:bCs/>
          <w:szCs w:val="21"/>
        </w:rPr>
        <w:tab/>
      </w:r>
      <w:r>
        <w:rPr>
          <w:rFonts w:hint="eastAsia" w:ascii="宋体" w:hAnsi="宋体" w:cs="宋体"/>
          <w:b/>
          <w:bCs/>
          <w:szCs w:val="21"/>
        </w:rPr>
        <w:t>月</w:t>
      </w:r>
      <w:r>
        <w:rPr>
          <w:rFonts w:hint="eastAsia" w:ascii="宋体" w:hAnsi="宋体" w:cs="宋体"/>
          <w:b/>
          <w:bCs/>
          <w:szCs w:val="21"/>
        </w:rPr>
        <w:tab/>
      </w:r>
      <w:r>
        <w:rPr>
          <w:rFonts w:hint="eastAsia" w:ascii="宋体" w:hAnsi="宋体" w:cs="宋体"/>
          <w:b/>
          <w:bCs/>
          <w:szCs w:val="21"/>
        </w:rPr>
        <w:t>日</w:t>
      </w:r>
    </w:p>
    <w:p>
      <w:pPr>
        <w:pStyle w:val="6"/>
        <w:tabs>
          <w:tab w:val="left" w:pos="7019"/>
          <w:tab w:val="left" w:pos="7619"/>
          <w:tab w:val="left" w:pos="8099"/>
        </w:tabs>
        <w:spacing w:after="0" w:line="360" w:lineRule="auto"/>
        <w:rPr>
          <w:rFonts w:ascii="宋体" w:hAnsi="宋体" w:cs="宋体"/>
          <w:szCs w:val="21"/>
        </w:rPr>
      </w:pPr>
    </w:p>
    <w:p>
      <w:pPr>
        <w:pStyle w:val="4"/>
        <w:ind w:firstLine="482"/>
        <w:rPr>
          <w:rFonts w:ascii="宋体" w:hAnsi="宋体" w:cs="宋体"/>
        </w:rPr>
      </w:pPr>
      <w:r>
        <w:rPr>
          <w:rFonts w:hint="eastAsia" w:ascii="宋体" w:hAnsi="宋体" w:cs="宋体"/>
          <w:szCs w:val="21"/>
        </w:rPr>
        <w:br w:type="page"/>
      </w:r>
      <w:r>
        <w:rPr>
          <w:rFonts w:hint="eastAsia" w:ascii="宋体" w:hAnsi="宋体" w:cs="宋体"/>
        </w:rPr>
        <w:t>4.6供应商认为针对报价需要说明的其他文件及资料。</w:t>
      </w:r>
    </w:p>
    <w:p>
      <w:pPr>
        <w:pStyle w:val="8"/>
        <w:adjustRightInd w:val="0"/>
        <w:snapToGrid w:val="0"/>
        <w:spacing w:line="360" w:lineRule="auto"/>
        <w:ind w:firstLine="480"/>
        <w:rPr>
          <w:rFonts w:hAnsi="宋体" w:cs="宋体"/>
          <w:szCs w:val="21"/>
        </w:rPr>
      </w:pPr>
    </w:p>
    <w:p>
      <w:pPr>
        <w:pStyle w:val="8"/>
        <w:adjustRightInd w:val="0"/>
        <w:snapToGrid w:val="0"/>
        <w:spacing w:line="360" w:lineRule="auto"/>
        <w:ind w:firstLine="480"/>
        <w:rPr>
          <w:rFonts w:hAnsi="宋体" w:cs="宋体"/>
          <w:szCs w:val="21"/>
        </w:rPr>
      </w:pPr>
    </w:p>
    <w:p>
      <w:pPr>
        <w:pStyle w:val="2"/>
        <w:ind w:firstLine="562"/>
        <w:rPr>
          <w:rFonts w:ascii="宋体" w:hAnsi="宋体" w:cs="宋体"/>
        </w:rPr>
        <w:sectPr>
          <w:pgSz w:w="11850" w:h="16783"/>
          <w:pgMar w:top="1440" w:right="1800" w:bottom="1440" w:left="1800" w:header="851" w:footer="851" w:gutter="0"/>
          <w:cols w:space="720" w:num="1"/>
          <w:docGrid w:linePitch="272" w:charSpace="-3831"/>
        </w:sectPr>
      </w:pPr>
    </w:p>
    <w:p>
      <w:pPr>
        <w:pStyle w:val="2"/>
        <w:ind w:firstLine="0" w:firstLineChars="0"/>
        <w:rPr>
          <w:rFonts w:ascii="宋体" w:hAnsi="宋体" w:cs="宋体"/>
        </w:rPr>
      </w:pPr>
      <w:bookmarkStart w:id="195" w:name="_Toc27798"/>
      <w:r>
        <w:rPr>
          <w:rFonts w:hint="eastAsia" w:ascii="宋体" w:hAnsi="宋体" w:cs="宋体"/>
        </w:rPr>
        <w:t>五、其他</w:t>
      </w:r>
      <w:bookmarkEnd w:id="195"/>
    </w:p>
    <w:p>
      <w:pPr>
        <w:spacing w:line="480" w:lineRule="auto"/>
        <w:jc w:val="center"/>
        <w:rPr>
          <w:rFonts w:ascii="宋体" w:hAnsi="宋体" w:cs="宋体"/>
          <w:b/>
          <w:bCs/>
          <w:sz w:val="24"/>
          <w:szCs w:val="32"/>
        </w:rPr>
      </w:pPr>
      <w:r>
        <w:rPr>
          <w:rFonts w:hint="eastAsia" w:ascii="宋体" w:hAnsi="宋体" w:cs="宋体"/>
          <w:b/>
          <w:bCs/>
          <w:sz w:val="24"/>
          <w:szCs w:val="32"/>
        </w:rPr>
        <w:t>政府采购活动现场确认声明书</w:t>
      </w:r>
    </w:p>
    <w:p>
      <w:pPr>
        <w:pStyle w:val="37"/>
        <w:widowControl w:val="0"/>
        <w:snapToGrid w:val="0"/>
        <w:spacing w:line="360" w:lineRule="auto"/>
        <w:jc w:val="both"/>
        <w:rPr>
          <w:rFonts w:hint="default" w:hAnsi="宋体" w:cs="宋体"/>
          <w:b/>
          <w:szCs w:val="21"/>
        </w:rPr>
      </w:pPr>
      <w:r>
        <w:rPr>
          <w:rFonts w:hAnsi="宋体" w:cs="宋体"/>
          <w:szCs w:val="21"/>
          <w:u w:val="single"/>
        </w:rPr>
        <w:t>华信咨询设计研究院有限公司</w:t>
      </w:r>
      <w:r>
        <w:rPr>
          <w:rFonts w:hAnsi="宋体" w:cs="宋体"/>
          <w:szCs w:val="21"/>
        </w:rPr>
        <w:t>（采购组织机构名称）：</w:t>
      </w:r>
    </w:p>
    <w:p>
      <w:pPr>
        <w:pStyle w:val="37"/>
        <w:widowControl w:val="0"/>
        <w:snapToGrid w:val="0"/>
        <w:spacing w:line="360" w:lineRule="auto"/>
        <w:ind w:firstLine="420" w:firstLineChars="200"/>
        <w:jc w:val="both"/>
        <w:rPr>
          <w:rFonts w:hint="default" w:hAnsi="宋体" w:cs="宋体"/>
          <w:szCs w:val="21"/>
          <w:u w:val="single"/>
        </w:rPr>
      </w:pPr>
      <w:r>
        <w:rPr>
          <w:rFonts w:hAnsi="宋体" w:cs="宋体"/>
          <w:szCs w:val="21"/>
        </w:rPr>
        <w:t>本人经由</w:t>
      </w:r>
      <w:r>
        <w:rPr>
          <w:rFonts w:hAnsi="宋体" w:cs="宋体"/>
          <w:szCs w:val="21"/>
          <w:u w:val="single"/>
        </w:rPr>
        <w:t>（单位）</w:t>
      </w:r>
      <w:r>
        <w:rPr>
          <w:rFonts w:hAnsi="宋体" w:cs="宋体"/>
          <w:szCs w:val="21"/>
        </w:rPr>
        <w:t>负责人</w:t>
      </w:r>
      <w:r>
        <w:rPr>
          <w:rFonts w:hAnsi="宋体" w:cs="宋体"/>
          <w:szCs w:val="21"/>
          <w:u w:val="single"/>
        </w:rPr>
        <w:t>（姓名）</w:t>
      </w:r>
      <w:r>
        <w:rPr>
          <w:rFonts w:hAnsi="宋体" w:cs="宋体"/>
          <w:szCs w:val="21"/>
        </w:rPr>
        <w:t>合法授权参加</w:t>
      </w:r>
      <w:r>
        <w:rPr>
          <w:rFonts w:hAnsi="宋体" w:cs="宋体"/>
          <w:szCs w:val="21"/>
          <w:u w:val="single"/>
        </w:rPr>
        <w:t xml:space="preserve">       </w:t>
      </w:r>
      <w:r>
        <w:rPr>
          <w:rFonts w:hAnsi="宋体" w:cs="宋体"/>
          <w:szCs w:val="21"/>
        </w:rPr>
        <w:t>（编号：</w:t>
      </w:r>
      <w:r>
        <w:rPr>
          <w:rFonts w:hAnsi="宋体" w:cs="宋体"/>
          <w:szCs w:val="21"/>
          <w:u w:val="single"/>
        </w:rPr>
        <w:t xml:space="preserve">          </w:t>
      </w:r>
      <w:r>
        <w:rPr>
          <w:rFonts w:hAnsi="宋体" w:cs="宋体"/>
          <w:szCs w:val="21"/>
        </w:rPr>
        <w:t>）政府采购活动，经与本单位法人代表（负责人）联系确认，现就有关公平竞争事项郑重声明如下：</w:t>
      </w:r>
    </w:p>
    <w:p>
      <w:pPr>
        <w:pStyle w:val="38"/>
        <w:widowControl/>
        <w:snapToGrid w:val="0"/>
        <w:spacing w:line="360" w:lineRule="auto"/>
        <w:ind w:firstLine="420" w:firstLineChars="200"/>
        <w:rPr>
          <w:rFonts w:hint="default" w:ascii="宋体" w:hAnsi="宋体" w:cs="宋体"/>
          <w:szCs w:val="21"/>
        </w:rPr>
      </w:pPr>
      <w:r>
        <w:rPr>
          <w:rFonts w:ascii="宋体" w:hAnsi="宋体" w:cs="宋体"/>
          <w:szCs w:val="21"/>
        </w:rPr>
        <w:t>一、本单位与采购人之间□不存在利害关系□存在下列利害关系：</w:t>
      </w:r>
    </w:p>
    <w:p>
      <w:pPr>
        <w:pStyle w:val="38"/>
        <w:widowControl/>
        <w:snapToGrid w:val="0"/>
        <w:spacing w:line="360" w:lineRule="auto"/>
        <w:ind w:firstLine="420" w:firstLineChars="200"/>
        <w:rPr>
          <w:rFonts w:hint="default" w:ascii="宋体" w:hAnsi="宋体" w:cs="宋体"/>
          <w:szCs w:val="21"/>
        </w:rPr>
      </w:pPr>
      <w:r>
        <w:rPr>
          <w:rFonts w:ascii="宋体" w:hAnsi="宋体" w:cs="宋体"/>
          <w:szCs w:val="21"/>
        </w:rPr>
        <w:t>A.投资关系B.行政隶属关系C.业务指导关系</w:t>
      </w:r>
    </w:p>
    <w:p>
      <w:pPr>
        <w:pStyle w:val="38"/>
        <w:widowControl/>
        <w:snapToGrid w:val="0"/>
        <w:spacing w:line="360" w:lineRule="auto"/>
        <w:ind w:firstLine="420" w:firstLineChars="200"/>
        <w:rPr>
          <w:rFonts w:hint="default" w:ascii="宋体" w:hAnsi="宋体" w:cs="宋体"/>
          <w:szCs w:val="21"/>
        </w:rPr>
      </w:pPr>
      <w:r>
        <w:rPr>
          <w:rFonts w:ascii="宋体" w:hAnsi="宋体" w:cs="宋体"/>
          <w:szCs w:val="21"/>
        </w:rPr>
        <w:t>D.其他可能影响采购公正的利害关系</w:t>
      </w:r>
      <w:r>
        <w:rPr>
          <w:rFonts w:ascii="宋体" w:hAnsi="宋体" w:cs="宋体"/>
          <w:szCs w:val="21"/>
          <w:u w:val="single"/>
        </w:rPr>
        <w:t>（如有，请如实说明）</w:t>
      </w:r>
      <w:r>
        <w:rPr>
          <w:rFonts w:ascii="宋体" w:hAnsi="宋体" w:cs="宋体"/>
          <w:szCs w:val="21"/>
        </w:rPr>
        <w:t>。</w:t>
      </w:r>
    </w:p>
    <w:p>
      <w:pPr>
        <w:pStyle w:val="38"/>
        <w:widowControl/>
        <w:snapToGrid w:val="0"/>
        <w:spacing w:line="360" w:lineRule="auto"/>
        <w:ind w:firstLine="420" w:firstLineChars="200"/>
        <w:rPr>
          <w:rFonts w:hint="default" w:ascii="宋体" w:hAnsi="宋体" w:cs="宋体"/>
          <w:szCs w:val="21"/>
        </w:rPr>
      </w:pPr>
      <w:r>
        <w:rPr>
          <w:rFonts w:ascii="宋体" w:hAnsi="宋体" w:cs="宋体"/>
          <w:szCs w:val="21"/>
        </w:rPr>
        <w:t>二、现已清楚知道参加本项目采购活动的其他所有供应商名称，本单位□与其他所有供应商之间均不存在利害关系□与</w:t>
      </w:r>
      <w:r>
        <w:rPr>
          <w:rFonts w:ascii="宋体" w:hAnsi="宋体" w:cs="宋体"/>
          <w:szCs w:val="21"/>
          <w:u w:val="single"/>
        </w:rPr>
        <w:t>（供应商名称）</w:t>
      </w:r>
      <w:r>
        <w:rPr>
          <w:rFonts w:ascii="宋体" w:hAnsi="宋体" w:cs="宋体"/>
          <w:szCs w:val="21"/>
        </w:rPr>
        <w:t>之间存在下列利害关系：</w:t>
      </w:r>
    </w:p>
    <w:p>
      <w:pPr>
        <w:pStyle w:val="37"/>
        <w:widowControl w:val="0"/>
        <w:snapToGrid w:val="0"/>
        <w:spacing w:line="360" w:lineRule="auto"/>
        <w:ind w:firstLine="420" w:firstLineChars="200"/>
        <w:jc w:val="both"/>
        <w:rPr>
          <w:rFonts w:hint="default" w:hAnsi="宋体" w:cs="宋体"/>
          <w:szCs w:val="21"/>
        </w:rPr>
      </w:pPr>
      <w:r>
        <w:rPr>
          <w:rFonts w:hAnsi="宋体" w:cs="宋体"/>
          <w:szCs w:val="21"/>
        </w:rPr>
        <w:t>A.法定代表人或负责人或实际控制人是同一人</w:t>
      </w:r>
    </w:p>
    <w:p>
      <w:pPr>
        <w:pStyle w:val="37"/>
        <w:widowControl w:val="0"/>
        <w:snapToGrid w:val="0"/>
        <w:spacing w:line="360" w:lineRule="auto"/>
        <w:ind w:firstLine="420" w:firstLineChars="200"/>
        <w:jc w:val="both"/>
        <w:rPr>
          <w:rFonts w:hint="default" w:hAnsi="宋体" w:cs="宋体"/>
          <w:szCs w:val="21"/>
        </w:rPr>
      </w:pPr>
      <w:r>
        <w:rPr>
          <w:rFonts w:hAnsi="宋体" w:cs="宋体"/>
          <w:szCs w:val="21"/>
        </w:rPr>
        <w:t>B.法定代表人或负责人或实际控制人是夫妻关系</w:t>
      </w:r>
    </w:p>
    <w:p>
      <w:pPr>
        <w:pStyle w:val="37"/>
        <w:widowControl w:val="0"/>
        <w:snapToGrid w:val="0"/>
        <w:spacing w:line="360" w:lineRule="auto"/>
        <w:ind w:firstLine="420" w:firstLineChars="200"/>
        <w:jc w:val="both"/>
        <w:rPr>
          <w:rFonts w:hint="default" w:hAnsi="宋体" w:cs="宋体"/>
          <w:szCs w:val="21"/>
        </w:rPr>
      </w:pPr>
      <w:r>
        <w:rPr>
          <w:rFonts w:hAnsi="宋体" w:cs="宋体"/>
          <w:szCs w:val="21"/>
        </w:rPr>
        <w:t>C.法定代表人或负责人或实际控制人是直系血亲关系</w:t>
      </w:r>
    </w:p>
    <w:p>
      <w:pPr>
        <w:pStyle w:val="37"/>
        <w:widowControl w:val="0"/>
        <w:snapToGrid w:val="0"/>
        <w:spacing w:line="360" w:lineRule="auto"/>
        <w:ind w:firstLine="420" w:firstLineChars="200"/>
        <w:jc w:val="both"/>
        <w:rPr>
          <w:rFonts w:hint="default" w:hAnsi="宋体" w:cs="宋体"/>
          <w:szCs w:val="21"/>
        </w:rPr>
      </w:pPr>
      <w:r>
        <w:rPr>
          <w:rFonts w:hAnsi="宋体" w:cs="宋体"/>
          <w:szCs w:val="21"/>
        </w:rPr>
        <w:t>D.法定代表人或负责人或实际控制人存在三代以内旁系血亲关系</w:t>
      </w:r>
    </w:p>
    <w:p>
      <w:pPr>
        <w:pStyle w:val="37"/>
        <w:widowControl w:val="0"/>
        <w:snapToGrid w:val="0"/>
        <w:spacing w:line="360" w:lineRule="auto"/>
        <w:ind w:firstLine="420" w:firstLineChars="200"/>
        <w:jc w:val="both"/>
        <w:rPr>
          <w:rFonts w:hint="default" w:hAnsi="宋体" w:cs="宋体"/>
          <w:szCs w:val="21"/>
        </w:rPr>
      </w:pPr>
      <w:r>
        <w:rPr>
          <w:rFonts w:hAnsi="宋体" w:cs="宋体"/>
          <w:szCs w:val="21"/>
        </w:rPr>
        <w:t>E.法定代表人或负责人或实际控制人存在近姻亲关系</w:t>
      </w:r>
    </w:p>
    <w:p>
      <w:pPr>
        <w:pStyle w:val="37"/>
        <w:widowControl w:val="0"/>
        <w:snapToGrid w:val="0"/>
        <w:spacing w:line="360" w:lineRule="auto"/>
        <w:ind w:firstLine="420" w:firstLineChars="200"/>
        <w:jc w:val="both"/>
        <w:rPr>
          <w:rFonts w:hint="default" w:hAnsi="宋体" w:cs="宋体"/>
          <w:szCs w:val="21"/>
        </w:rPr>
      </w:pPr>
      <w:r>
        <w:rPr>
          <w:rFonts w:hAnsi="宋体" w:cs="宋体"/>
          <w:szCs w:val="21"/>
        </w:rPr>
        <w:t>F.法定代表人或负责人或实际控制人存在股份控制或实际控制关系</w:t>
      </w:r>
    </w:p>
    <w:p>
      <w:pPr>
        <w:pStyle w:val="37"/>
        <w:widowControl w:val="0"/>
        <w:snapToGrid w:val="0"/>
        <w:spacing w:line="360" w:lineRule="auto"/>
        <w:ind w:firstLine="420" w:firstLineChars="200"/>
        <w:jc w:val="both"/>
        <w:rPr>
          <w:rFonts w:hint="default" w:hAnsi="宋体" w:cs="宋体"/>
          <w:szCs w:val="21"/>
        </w:rPr>
      </w:pPr>
      <w:r>
        <w:rPr>
          <w:rFonts w:hAnsi="宋体" w:cs="宋体"/>
          <w:szCs w:val="21"/>
        </w:rPr>
        <w:t>G.存在共同直接或间接投资设立子公司、联营企业和合营企业情况</w:t>
      </w:r>
    </w:p>
    <w:p>
      <w:pPr>
        <w:pStyle w:val="37"/>
        <w:widowControl w:val="0"/>
        <w:snapToGrid w:val="0"/>
        <w:spacing w:line="360" w:lineRule="auto"/>
        <w:ind w:firstLine="420" w:firstLineChars="200"/>
        <w:jc w:val="both"/>
        <w:rPr>
          <w:rFonts w:hint="default" w:hAnsi="宋体" w:cs="宋体"/>
          <w:szCs w:val="21"/>
        </w:rPr>
      </w:pPr>
      <w:r>
        <w:rPr>
          <w:rFonts w:hAnsi="宋体" w:cs="宋体"/>
          <w:szCs w:val="21"/>
        </w:rPr>
        <w:t>H.存在分级代理或代销关系、同一生产制造商关系、管理关系、重要业务（占主营业务收入50%以上）或重要财务往来关系（如融资）等其他实质性控制关系</w:t>
      </w:r>
    </w:p>
    <w:p>
      <w:pPr>
        <w:pStyle w:val="37"/>
        <w:widowControl w:val="0"/>
        <w:snapToGrid w:val="0"/>
        <w:spacing w:line="360" w:lineRule="auto"/>
        <w:ind w:firstLine="420" w:firstLineChars="200"/>
        <w:jc w:val="both"/>
        <w:rPr>
          <w:rFonts w:hint="default" w:hAnsi="宋体" w:cs="宋体"/>
          <w:szCs w:val="21"/>
        </w:rPr>
      </w:pPr>
      <w:r>
        <w:rPr>
          <w:rFonts w:hAnsi="宋体" w:cs="宋体"/>
          <w:szCs w:val="21"/>
        </w:rPr>
        <w:t>I.其他利害关系情况。</w:t>
      </w:r>
    </w:p>
    <w:p>
      <w:pPr>
        <w:pStyle w:val="38"/>
        <w:widowControl/>
        <w:snapToGrid w:val="0"/>
        <w:spacing w:line="360" w:lineRule="auto"/>
        <w:ind w:firstLine="420" w:firstLineChars="200"/>
        <w:rPr>
          <w:rFonts w:hint="default" w:ascii="宋体" w:hAnsi="宋体" w:cs="宋体"/>
          <w:szCs w:val="21"/>
        </w:rPr>
      </w:pPr>
      <w:r>
        <w:rPr>
          <w:rFonts w:ascii="宋体" w:hAnsi="宋体" w:cs="宋体"/>
          <w:szCs w:val="21"/>
        </w:rPr>
        <w:t>三、现已清楚知道并严格遵守政府采购法律法规和现场纪律。</w:t>
      </w:r>
    </w:p>
    <w:p>
      <w:pPr>
        <w:pStyle w:val="38"/>
        <w:widowControl/>
        <w:snapToGrid w:val="0"/>
        <w:spacing w:line="360" w:lineRule="auto"/>
        <w:ind w:firstLine="420" w:firstLineChars="200"/>
        <w:rPr>
          <w:rFonts w:hint="default" w:ascii="宋体" w:hAnsi="宋体" w:cs="宋体"/>
          <w:szCs w:val="21"/>
        </w:rPr>
      </w:pPr>
      <w:r>
        <w:rPr>
          <w:rFonts w:ascii="宋体" w:hAnsi="宋体" w:cs="宋体"/>
          <w:szCs w:val="21"/>
        </w:rPr>
        <w:t>四、我发现供应商之间存在或可能存在上述第二条第项利害关系。</w:t>
      </w:r>
    </w:p>
    <w:p>
      <w:pPr>
        <w:pStyle w:val="37"/>
        <w:widowControl w:val="0"/>
        <w:snapToGrid w:val="0"/>
        <w:spacing w:line="360" w:lineRule="auto"/>
        <w:ind w:firstLine="420" w:firstLineChars="200"/>
        <w:rPr>
          <w:rFonts w:hint="default" w:hAnsi="宋体" w:cs="宋体"/>
          <w:szCs w:val="21"/>
        </w:rPr>
      </w:pPr>
    </w:p>
    <w:p>
      <w:pPr>
        <w:pStyle w:val="37"/>
        <w:widowControl w:val="0"/>
        <w:snapToGrid w:val="0"/>
        <w:spacing w:line="360" w:lineRule="auto"/>
        <w:ind w:firstLine="420" w:firstLineChars="200"/>
        <w:rPr>
          <w:rFonts w:hint="default" w:hAnsi="宋体" w:cs="宋体"/>
          <w:szCs w:val="21"/>
        </w:rPr>
      </w:pPr>
    </w:p>
    <w:p>
      <w:pPr>
        <w:pStyle w:val="37"/>
        <w:widowControl w:val="0"/>
        <w:adjustRightInd w:val="0"/>
        <w:snapToGrid w:val="0"/>
        <w:spacing w:line="360" w:lineRule="auto"/>
        <w:ind w:firstLine="420" w:firstLineChars="200"/>
        <w:jc w:val="right"/>
        <w:rPr>
          <w:rFonts w:hint="default" w:hAnsi="宋体" w:cs="宋体"/>
          <w:szCs w:val="21"/>
        </w:rPr>
      </w:pPr>
      <w:r>
        <w:rPr>
          <w:rFonts w:hAnsi="宋体" w:cs="宋体"/>
          <w:szCs w:val="21"/>
        </w:rPr>
        <w:t>供应商代表签名：</w:t>
      </w:r>
    </w:p>
    <w:p>
      <w:pPr>
        <w:pStyle w:val="8"/>
        <w:wordWrap w:val="0"/>
        <w:adjustRightInd w:val="0"/>
        <w:snapToGrid w:val="0"/>
        <w:spacing w:line="360" w:lineRule="auto"/>
        <w:jc w:val="right"/>
        <w:rPr>
          <w:rFonts w:hAnsi="宋体" w:cs="宋体"/>
          <w:szCs w:val="21"/>
        </w:rPr>
      </w:pPr>
      <w:r>
        <w:rPr>
          <w:rFonts w:hint="eastAsia" w:hAnsi="宋体" w:cs="宋体"/>
          <w:szCs w:val="21"/>
        </w:rPr>
        <w:t>2021年   月   日</w:t>
      </w:r>
    </w:p>
    <w:bookmarkEnd w:id="189"/>
    <w:bookmarkEnd w:id="190"/>
    <w:p>
      <w:pPr>
        <w:pStyle w:val="8"/>
        <w:adjustRightInd w:val="0"/>
        <w:snapToGrid w:val="0"/>
        <w:spacing w:line="360" w:lineRule="auto"/>
        <w:jc w:val="center"/>
        <w:rPr>
          <w:rFonts w:hAnsi="宋体" w:cs="宋体"/>
          <w:b/>
          <w:bCs/>
          <w:szCs w:val="21"/>
        </w:rPr>
        <w:sectPr>
          <w:pgSz w:w="11850" w:h="16783"/>
          <w:pgMar w:top="1440" w:right="1800" w:bottom="1440" w:left="1800" w:header="851" w:footer="851" w:gutter="0"/>
          <w:cols w:space="720" w:num="1"/>
          <w:docGrid w:linePitch="272" w:charSpace="-3831"/>
        </w:sectPr>
      </w:pPr>
    </w:p>
    <w:p>
      <w:pPr>
        <w:pStyle w:val="8"/>
        <w:adjustRightInd w:val="0"/>
        <w:snapToGrid w:val="0"/>
        <w:spacing w:line="360" w:lineRule="auto"/>
        <w:jc w:val="center"/>
        <w:rPr>
          <w:rFonts w:hAnsi="宋体" w:cs="宋体"/>
          <w:b/>
          <w:bCs/>
          <w:szCs w:val="21"/>
        </w:rPr>
      </w:pPr>
      <w:r>
        <w:rPr>
          <w:rFonts w:hint="eastAsia" w:hAnsi="宋体" w:cs="宋体"/>
          <w:b/>
          <w:bCs/>
          <w:szCs w:val="21"/>
        </w:rPr>
        <w:t>政府采购支持中小企业信用融资相关事项通知</w:t>
      </w:r>
    </w:p>
    <w:p>
      <w:pPr>
        <w:pStyle w:val="8"/>
        <w:adjustRightInd w:val="0"/>
        <w:snapToGrid w:val="0"/>
        <w:spacing w:line="360" w:lineRule="auto"/>
        <w:ind w:firstLine="480"/>
        <w:jc w:val="center"/>
        <w:rPr>
          <w:rFonts w:hAnsi="宋体" w:cs="宋体"/>
          <w:b/>
          <w:bCs/>
          <w:szCs w:val="21"/>
        </w:rPr>
      </w:pPr>
    </w:p>
    <w:p>
      <w:pPr>
        <w:pStyle w:val="8"/>
        <w:adjustRightInd w:val="0"/>
        <w:snapToGrid w:val="0"/>
        <w:spacing w:line="360" w:lineRule="auto"/>
        <w:ind w:firstLine="420" w:firstLineChars="200"/>
        <w:rPr>
          <w:rFonts w:hAnsi="宋体" w:cs="宋体"/>
          <w:szCs w:val="21"/>
        </w:rPr>
      </w:pPr>
      <w:r>
        <w:rPr>
          <w:rFonts w:hint="eastAsia" w:hAnsi="宋体" w:cs="宋体"/>
          <w:szCs w:val="21"/>
        </w:rPr>
        <w:t>为支持和促进中小企业发展，进一步发挥政府采购政策功能，杭州市财政局与省银监局、市金融办、市经信委共同出台了《杭州市政府采购支持中小企业信用融资暂行办法》，并从2014年7月1日起正式启动信用融资工作，现将相关事项通知如下：</w:t>
      </w:r>
    </w:p>
    <w:p>
      <w:pPr>
        <w:pStyle w:val="8"/>
        <w:adjustRightInd w:val="0"/>
        <w:snapToGrid w:val="0"/>
        <w:spacing w:line="360" w:lineRule="auto"/>
        <w:ind w:firstLine="210" w:firstLineChars="100"/>
        <w:rPr>
          <w:rFonts w:hAnsi="宋体" w:cs="宋体"/>
          <w:szCs w:val="21"/>
        </w:rPr>
      </w:pPr>
      <w:r>
        <w:rPr>
          <w:rFonts w:hint="eastAsia" w:hAnsi="宋体" w:cs="宋体"/>
          <w:szCs w:val="21"/>
        </w:rPr>
        <w:t>一、适用对象</w:t>
      </w:r>
    </w:p>
    <w:p>
      <w:pPr>
        <w:pStyle w:val="8"/>
        <w:adjustRightInd w:val="0"/>
        <w:snapToGrid w:val="0"/>
        <w:spacing w:line="360" w:lineRule="auto"/>
        <w:ind w:firstLine="420" w:firstLineChars="200"/>
        <w:rPr>
          <w:rFonts w:hAnsi="宋体" w:cs="宋体"/>
          <w:szCs w:val="21"/>
        </w:rPr>
      </w:pPr>
      <w:r>
        <w:rPr>
          <w:rFonts w:hint="eastAsia" w:hAnsi="宋体" w:cs="宋体"/>
          <w:szCs w:val="21"/>
        </w:rPr>
        <w:t>在杭州市政府采购网上注册入库，并取得杭州市政府采购合同的杭州市内中小企业供应商。</w:t>
      </w:r>
    </w:p>
    <w:p>
      <w:pPr>
        <w:pStyle w:val="8"/>
        <w:adjustRightInd w:val="0"/>
        <w:snapToGrid w:val="0"/>
        <w:spacing w:line="360" w:lineRule="auto"/>
        <w:ind w:firstLine="210" w:firstLineChars="100"/>
        <w:rPr>
          <w:rFonts w:hAnsi="宋体" w:cs="宋体"/>
          <w:szCs w:val="21"/>
        </w:rPr>
      </w:pPr>
      <w:r>
        <w:rPr>
          <w:rFonts w:hint="eastAsia" w:hAnsi="宋体" w:cs="宋体"/>
          <w:szCs w:val="21"/>
        </w:rPr>
        <w:t>二、相关信息获取方式</w:t>
      </w:r>
    </w:p>
    <w:p>
      <w:pPr>
        <w:pStyle w:val="8"/>
        <w:adjustRightInd w:val="0"/>
        <w:snapToGrid w:val="0"/>
        <w:spacing w:line="360" w:lineRule="auto"/>
        <w:ind w:firstLine="420" w:firstLineChars="200"/>
        <w:rPr>
          <w:rFonts w:hAnsi="宋体" w:cs="宋体"/>
          <w:szCs w:val="21"/>
        </w:rPr>
      </w:pPr>
      <w:r>
        <w:rPr>
          <w:rFonts w:hint="eastAsia" w:hAnsi="宋体" w:cs="宋体"/>
          <w:szCs w:val="21"/>
        </w:rPr>
        <w:t>请登陆杭州市政府采购网（http://cg.hzft.gov.cn）“中小企业信用融资”专栏，可查看信用融资政策文件及各相关银行服务方案。</w:t>
      </w:r>
    </w:p>
    <w:p>
      <w:pPr>
        <w:pStyle w:val="8"/>
        <w:adjustRightInd w:val="0"/>
        <w:snapToGrid w:val="0"/>
        <w:spacing w:line="360" w:lineRule="auto"/>
        <w:ind w:firstLine="210" w:firstLineChars="100"/>
        <w:rPr>
          <w:rFonts w:hAnsi="宋体" w:cs="宋体"/>
          <w:szCs w:val="21"/>
        </w:rPr>
      </w:pPr>
      <w:r>
        <w:rPr>
          <w:rFonts w:hint="eastAsia" w:hAnsi="宋体" w:cs="宋体"/>
          <w:szCs w:val="21"/>
        </w:rPr>
        <w:t>三、申请方式和步骤</w:t>
      </w:r>
    </w:p>
    <w:p>
      <w:pPr>
        <w:pStyle w:val="8"/>
        <w:adjustRightInd w:val="0"/>
        <w:snapToGrid w:val="0"/>
        <w:spacing w:line="360" w:lineRule="auto"/>
        <w:ind w:firstLine="480"/>
        <w:rPr>
          <w:rFonts w:hAnsi="宋体" w:cs="宋体"/>
          <w:szCs w:val="21"/>
        </w:rPr>
      </w:pPr>
      <w:r>
        <w:rPr>
          <w:rFonts w:hint="eastAsia" w:hAnsi="宋体" w:cs="宋体"/>
          <w:szCs w:val="21"/>
        </w:rPr>
        <w:t>1、供应商若有融资意向，需先与六家合作银行对接，办理相关融资前期手续；</w:t>
      </w:r>
    </w:p>
    <w:p>
      <w:pPr>
        <w:pStyle w:val="8"/>
        <w:adjustRightInd w:val="0"/>
        <w:snapToGrid w:val="0"/>
        <w:spacing w:line="360" w:lineRule="auto"/>
        <w:ind w:firstLine="480"/>
        <w:rPr>
          <w:rFonts w:hAnsi="宋体" w:cs="宋体"/>
          <w:szCs w:val="21"/>
        </w:rPr>
      </w:pPr>
      <w:r>
        <w:rPr>
          <w:rFonts w:hint="eastAsia" w:hAnsi="宋体" w:cs="宋体"/>
          <w:szCs w:val="21"/>
        </w:rPr>
        <w:t>2、中标后，供应商应与采购单位或者采购代理机构及时联系，告知融资需求；</w:t>
      </w:r>
    </w:p>
    <w:p>
      <w:pPr>
        <w:pStyle w:val="8"/>
        <w:adjustRightInd w:val="0"/>
        <w:snapToGrid w:val="0"/>
        <w:spacing w:line="360" w:lineRule="auto"/>
        <w:ind w:firstLine="480"/>
        <w:rPr>
          <w:rFonts w:hAnsi="宋体" w:cs="宋体"/>
          <w:szCs w:val="21"/>
        </w:rPr>
      </w:pPr>
      <w:r>
        <w:rPr>
          <w:rFonts w:hint="eastAsia" w:hAnsi="宋体" w:cs="宋体"/>
          <w:szCs w:val="21"/>
        </w:rPr>
        <w:t>3、采购单位或者采购代理机构在政府采购信息系统录入中标合同信息时，须在合同备案页“是否为可融资合同”前打勾，并选择相应的信用融资合作银行，录入账号信息；</w:t>
      </w:r>
    </w:p>
    <w:p>
      <w:pPr>
        <w:pStyle w:val="8"/>
        <w:adjustRightInd w:val="0"/>
        <w:snapToGrid w:val="0"/>
        <w:spacing w:line="360" w:lineRule="auto"/>
        <w:ind w:firstLine="480"/>
        <w:rPr>
          <w:rFonts w:hAnsi="宋体" w:cs="宋体"/>
          <w:szCs w:val="21"/>
        </w:rPr>
      </w:pPr>
      <w:r>
        <w:rPr>
          <w:rFonts w:hint="eastAsia" w:hAnsi="宋体" w:cs="宋体"/>
          <w:szCs w:val="21"/>
        </w:rPr>
        <w:t>4、相关信息录入后，相关合作银行将在政府采购信息系统查询到合同备案信息，经审核，与供应商联系并办理相关融资事宜。</w:t>
      </w:r>
    </w:p>
    <w:p>
      <w:pPr>
        <w:pStyle w:val="8"/>
        <w:adjustRightInd w:val="0"/>
        <w:snapToGrid w:val="0"/>
        <w:spacing w:line="360" w:lineRule="auto"/>
        <w:ind w:firstLine="210" w:firstLineChars="100"/>
        <w:rPr>
          <w:rFonts w:hAnsi="宋体" w:cs="宋体"/>
          <w:szCs w:val="21"/>
        </w:rPr>
      </w:pPr>
      <w:r>
        <w:rPr>
          <w:rFonts w:hint="eastAsia" w:hAnsi="宋体" w:cs="宋体"/>
          <w:szCs w:val="21"/>
        </w:rPr>
        <w:t>四、注意事项</w:t>
      </w:r>
    </w:p>
    <w:p>
      <w:pPr>
        <w:pStyle w:val="8"/>
        <w:adjustRightInd w:val="0"/>
        <w:snapToGrid w:val="0"/>
        <w:spacing w:line="360" w:lineRule="auto"/>
        <w:ind w:firstLine="480"/>
        <w:rPr>
          <w:rFonts w:hAnsi="宋体" w:cs="宋体"/>
          <w:szCs w:val="21"/>
        </w:rPr>
      </w:pPr>
      <w:r>
        <w:rPr>
          <w:rFonts w:hint="eastAsia" w:hAnsi="宋体" w:cs="宋体"/>
          <w:szCs w:val="21"/>
        </w:rPr>
        <w:t>请各采购单位和采购代理机构积极支持和配合政府采购信用融资工作，在合同备案环节务必请仔细核对收款银行、账号信息等内容，一旦录入将无法修改。</w:t>
      </w:r>
    </w:p>
    <w:p>
      <w:pPr>
        <w:pStyle w:val="8"/>
        <w:adjustRightInd w:val="0"/>
        <w:snapToGrid w:val="0"/>
        <w:spacing w:line="360" w:lineRule="auto"/>
        <w:ind w:firstLine="480"/>
        <w:rPr>
          <w:rFonts w:hAnsi="宋体" w:cs="宋体"/>
          <w:szCs w:val="21"/>
        </w:rPr>
      </w:pPr>
    </w:p>
    <w:p>
      <w:pPr>
        <w:pStyle w:val="8"/>
        <w:wordWrap w:val="0"/>
        <w:adjustRightInd w:val="0"/>
        <w:snapToGrid w:val="0"/>
        <w:spacing w:line="360" w:lineRule="auto"/>
        <w:jc w:val="center"/>
        <w:rPr>
          <w:rFonts w:hAnsi="宋体" w:cs="宋体"/>
          <w:szCs w:val="21"/>
        </w:rPr>
      </w:pPr>
    </w:p>
    <w:p>
      <w:pPr>
        <w:pStyle w:val="8"/>
        <w:adjustRightInd w:val="0"/>
        <w:snapToGrid w:val="0"/>
        <w:spacing w:line="360" w:lineRule="auto"/>
        <w:rPr>
          <w:rFonts w:hAnsi="宋体" w:cs="宋体"/>
          <w:szCs w:val="21"/>
        </w:rPr>
      </w:pPr>
    </w:p>
    <w:p>
      <w:pPr>
        <w:pStyle w:val="8"/>
        <w:adjustRightInd w:val="0"/>
        <w:snapToGrid w:val="0"/>
        <w:spacing w:line="360" w:lineRule="auto"/>
        <w:rPr>
          <w:rFonts w:hAnsi="宋体" w:cs="宋体"/>
          <w:szCs w:val="21"/>
        </w:rPr>
      </w:pPr>
    </w:p>
    <w:p>
      <w:pPr>
        <w:pStyle w:val="8"/>
        <w:adjustRightInd w:val="0"/>
        <w:snapToGrid w:val="0"/>
        <w:spacing w:line="360" w:lineRule="auto"/>
        <w:rPr>
          <w:rFonts w:hAnsi="宋体" w:cs="宋体"/>
          <w:szCs w:val="21"/>
        </w:rPr>
      </w:pPr>
    </w:p>
    <w:p>
      <w:pPr>
        <w:pStyle w:val="3"/>
        <w:numPr>
          <w:ilvl w:val="0"/>
          <w:numId w:val="9"/>
        </w:numPr>
        <w:rPr>
          <w:rFonts w:ascii="宋体" w:hAnsi="宋体" w:cs="宋体"/>
          <w:color w:val="auto"/>
          <w:sz w:val="21"/>
          <w:szCs w:val="21"/>
        </w:rPr>
        <w:sectPr>
          <w:pgSz w:w="11850" w:h="16783"/>
          <w:pgMar w:top="1440" w:right="1800" w:bottom="1440" w:left="1800" w:header="851" w:footer="851" w:gutter="0"/>
          <w:cols w:space="720" w:num="1"/>
          <w:docGrid w:linePitch="272" w:charSpace="-3831"/>
        </w:sectPr>
      </w:pPr>
    </w:p>
    <w:p>
      <w:pPr>
        <w:pStyle w:val="3"/>
        <w:rPr>
          <w:rFonts w:ascii="宋体" w:hAnsi="宋体" w:cs="宋体"/>
          <w:color w:val="auto"/>
        </w:rPr>
      </w:pPr>
      <w:bookmarkStart w:id="196" w:name="_Toc470431975"/>
      <w:bookmarkStart w:id="197" w:name="_Hlk11761414"/>
      <w:bookmarkStart w:id="198" w:name="_Toc28703"/>
      <w:bookmarkStart w:id="199" w:name="_Toc470431981"/>
      <w:r>
        <w:rPr>
          <w:rFonts w:hint="eastAsia" w:ascii="宋体" w:hAnsi="宋体" w:cs="宋体"/>
          <w:color w:val="auto"/>
        </w:rPr>
        <w:t>第六章  采购服务需求</w:t>
      </w:r>
      <w:bookmarkEnd w:id="196"/>
      <w:bookmarkEnd w:id="197"/>
      <w:bookmarkEnd w:id="198"/>
    </w:p>
    <w:p>
      <w:pPr>
        <w:snapToGrid w:val="0"/>
        <w:spacing w:line="440" w:lineRule="exact"/>
        <w:ind w:firstLine="420" w:firstLineChars="200"/>
        <w:jc w:val="left"/>
        <w:rPr>
          <w:rFonts w:hint="eastAsia" w:ascii="宋体" w:hAnsi="宋体" w:eastAsia="宋体" w:cs="宋体"/>
          <w:b/>
          <w:sz w:val="21"/>
          <w:szCs w:val="21"/>
        </w:rPr>
      </w:pPr>
      <w:r>
        <w:rPr>
          <w:rFonts w:hint="eastAsia" w:ascii="宋体" w:hAnsi="宋体" w:eastAsia="宋体" w:cs="宋体"/>
          <w:sz w:val="21"/>
          <w:szCs w:val="21"/>
        </w:rPr>
        <w:t>属于实质性要求条款的，已用符号“▲”标明，否则属于非实质性要求。</w:t>
      </w:r>
    </w:p>
    <w:p>
      <w:pPr>
        <w:tabs>
          <w:tab w:val="left" w:pos="480"/>
        </w:tabs>
        <w:spacing w:line="440" w:lineRule="exact"/>
        <w:ind w:hanging="50"/>
        <w:jc w:val="left"/>
        <w:outlineLvl w:val="1"/>
        <w:rPr>
          <w:rFonts w:hint="eastAsia" w:ascii="宋体" w:hAnsi="宋体" w:eastAsia="宋体" w:cs="宋体"/>
          <w:bCs/>
          <w:sz w:val="21"/>
          <w:szCs w:val="21"/>
          <w:lang w:eastAsia="zh-Hans"/>
        </w:rPr>
      </w:pPr>
      <w:r>
        <w:rPr>
          <w:rFonts w:hint="eastAsia" w:ascii="宋体" w:hAnsi="宋体" w:eastAsia="宋体" w:cs="宋体"/>
          <w:bCs/>
          <w:sz w:val="21"/>
          <w:szCs w:val="21"/>
        </w:rPr>
        <w:t>一、项目内容及建设目标</w:t>
      </w:r>
    </w:p>
    <w:p>
      <w:pPr>
        <w:snapToGrid w:val="0"/>
        <w:spacing w:line="360" w:lineRule="auto"/>
        <w:ind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1.建设目标</w:t>
      </w:r>
    </w:p>
    <w:p>
      <w:pPr>
        <w:snapToGrid w:val="0"/>
        <w:spacing w:line="360" w:lineRule="auto"/>
        <w:ind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1）形成城市三维空间数据底板，推动数字城市和物理城市同步规划同步建设。汇聚各类时空基础数据、资源调查数据、规划管控数据、工程建设项目数据、公共专题数据、物联网感知数据等地上地下、室内室外、历史现状未来多维多尺度信息模型数据和城市感知数据，构建统一、规范、动态的CIM数据资源体系，形成城市三维数据底板。实现CIM数据资源的高效在线管理，实现业务信息与二维空间信息、三维空间信息的有机融合，满足业务协同、信息联动的需要，并对多源、海量数据进行动态汇聚更新，进而从横向上、纵向上实现与各级部门的信息共享。</w:t>
      </w:r>
    </w:p>
    <w:p>
      <w:pPr>
        <w:snapToGrid w:val="0"/>
        <w:spacing w:line="360" w:lineRule="auto"/>
        <w:ind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2）发挥CIM平台基础支撑作用，全面推进CIM+应用。基于CIM数据资源库，采用先进的BIM模型、数据挖掘分析、微服务等技术，实现城市信息多场景的二三维一体化展示，从宏观到微观、从整体到局部对城市规划、城市建设、城市管理进行数字化表达为智慧杭州的建设提供强有力的信息化支撑，推动城市转型和高质量发展，推进城市治理体系和能力现代化。</w:t>
      </w:r>
    </w:p>
    <w:p>
      <w:pPr>
        <w:snapToGrid w:val="0"/>
        <w:spacing w:line="360" w:lineRule="auto"/>
        <w:ind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（3）探索全面、高效、联动、新型的城市管理模式，实现城市建设科学化、三维空间化、精细化管理能力的提升，推动城市管理由局部向全面的跃升。</w:t>
      </w:r>
    </w:p>
    <w:p>
      <w:pPr>
        <w:snapToGrid w:val="0"/>
        <w:spacing w:line="360" w:lineRule="auto"/>
        <w:ind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2.建设内容</w:t>
      </w:r>
    </w:p>
    <w:p>
      <w:pPr>
        <w:snapToGrid w:val="0"/>
        <w:spacing w:line="360" w:lineRule="auto"/>
        <w:ind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本期项目通过汇聚CIM数据资源，建设杭州市CIM基础信息平台，实现城市各类信息的二三维管理、业务协同及CIM+应用场景的试点应用。项目建设内容与规模具体如下：</w:t>
      </w:r>
    </w:p>
    <w:p>
      <w:pPr>
        <w:snapToGrid w:val="0"/>
        <w:spacing w:line="360" w:lineRule="auto"/>
        <w:ind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2.1标准规范体系建设</w:t>
      </w:r>
    </w:p>
    <w:p>
      <w:pPr>
        <w:snapToGrid w:val="0"/>
        <w:spacing w:line="360" w:lineRule="auto"/>
        <w:ind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CIM系统建设需能承载城市三维模型数据、BIM模型数据、资源调查数据（包括国土调查、地质调查、水资源、城市部件等）、公共专题、工程建设项目数据、规划管控等多源多维数据，数据结构、数据格式、数据接口等需规范统一，以指导全市CIM平台的建设。包括：杭州市CIM基础信息平台数据标准规范、杭州市CIM基础信息平台共享接口规范、杭州市CIM基础信息平台应用规范。</w:t>
      </w:r>
    </w:p>
    <w:p>
      <w:pPr>
        <w:snapToGrid w:val="0"/>
        <w:spacing w:line="360" w:lineRule="auto"/>
        <w:ind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2.2CIM数据资源体系建设</w:t>
      </w:r>
    </w:p>
    <w:p>
      <w:pPr>
        <w:snapToGrid w:val="0"/>
        <w:spacing w:line="360" w:lineRule="auto"/>
        <w:ind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汇聚全域覆盖的多比例尺、多类型、多时相时空基础地理信息、资源调查数据、规划管控数据、城市三维模型等数据；集成以时空基础数据、规划管控数据、资源调查数据、公共专题数据、工程建设项目数据等数据为一体的CIM数据资源库，实现城市信息的综合管理。最终形成涵盖城市微观要素到宏观状况，反映规划、历史与现状，动态获取与更新的CIM数据资源体系，实现城市信息模型数据共建共享共用。</w:t>
      </w:r>
    </w:p>
    <w:p>
      <w:pPr>
        <w:snapToGrid w:val="0"/>
        <w:spacing w:line="360" w:lineRule="auto"/>
        <w:ind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2.3杭州市CIM基础信息平台建设</w:t>
      </w:r>
    </w:p>
    <w:p>
      <w:pPr>
        <w:snapToGrid w:val="0"/>
        <w:spacing w:line="360" w:lineRule="auto"/>
        <w:ind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通过杭州市CIM基础信息平台的建设，实现城市各类数据包括基础数据、城市三维模型、BIM模型数据、工程建设施工数据、设计数据等数据的汇聚、处理、检查、入库、更新、展示、分析、共享，包括杭州市数据归集管理子系统、数据融合治理子系统、数据挖掘分析子系统、数据综合展示子系统、数据共享服务子系统、运维管理子系统等。</w:t>
      </w:r>
    </w:p>
    <w:p>
      <w:pPr>
        <w:snapToGrid w:val="0"/>
        <w:spacing w:line="360" w:lineRule="auto"/>
        <w:ind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2.4CIM+试点应用场景建设</w:t>
      </w:r>
    </w:p>
    <w:p>
      <w:pPr>
        <w:snapToGrid w:val="0"/>
        <w:spacing w:line="360" w:lineRule="auto"/>
        <w:ind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基于杭州市CIM基础信息平台，构建包括地下空间安全管理、楼宇安全管理、综合视频感知赋能、智慧社区、亚运会城市安全管理等试点场景建设等。</w:t>
      </w:r>
    </w:p>
    <w:p>
      <w:pPr>
        <w:tabs>
          <w:tab w:val="left" w:pos="480"/>
        </w:tabs>
        <w:spacing w:before="120" w:beforeLines="50" w:after="120" w:afterLines="50" w:line="360" w:lineRule="auto"/>
        <w:ind w:left="50"/>
        <w:jc w:val="left"/>
        <w:outlineLvl w:val="1"/>
        <w:rPr>
          <w:rFonts w:hint="eastAsia" w:ascii="宋体" w:hAnsi="宋体" w:eastAsia="宋体" w:cs="宋体"/>
          <w:b/>
          <w:color w:val="000000"/>
          <w:sz w:val="21"/>
          <w:szCs w:val="21"/>
        </w:rPr>
      </w:pPr>
      <w:r>
        <w:rPr>
          <w:rFonts w:hint="eastAsia" w:ascii="宋体" w:hAnsi="宋体" w:eastAsia="宋体" w:cs="宋体"/>
          <w:bCs/>
          <w:color w:val="000000"/>
          <w:sz w:val="21"/>
          <w:szCs w:val="21"/>
        </w:rPr>
        <w:t>二、项目建设内容与能力要求</w:t>
      </w:r>
    </w:p>
    <w:tbl>
      <w:tblPr>
        <w:tblStyle w:val="15"/>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4"/>
        <w:gridCol w:w="730"/>
        <w:gridCol w:w="770"/>
        <w:gridCol w:w="525"/>
        <w:gridCol w:w="1476"/>
        <w:gridCol w:w="1693"/>
        <w:gridCol w:w="4"/>
        <w:gridCol w:w="27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90" w:type="pct"/>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sz w:val="21"/>
                <w:szCs w:val="21"/>
              </w:rPr>
              <w:t>序号</w:t>
            </w:r>
          </w:p>
        </w:tc>
        <w:tc>
          <w:tcPr>
            <w:tcW w:w="483" w:type="pct"/>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大类编号</w:t>
            </w:r>
          </w:p>
        </w:tc>
        <w:tc>
          <w:tcPr>
            <w:tcW w:w="507" w:type="pct"/>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项目名称</w:t>
            </w:r>
          </w:p>
        </w:tc>
        <w:tc>
          <w:tcPr>
            <w:tcW w:w="2003" w:type="pct"/>
            <w:gridSpan w:val="4"/>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建设内容</w:t>
            </w:r>
          </w:p>
        </w:tc>
        <w:tc>
          <w:tcPr>
            <w:tcW w:w="1715" w:type="pct"/>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内容描述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290" w:type="pct"/>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sz w:val="21"/>
                <w:szCs w:val="21"/>
              </w:rPr>
              <w:t>1</w:t>
            </w:r>
          </w:p>
        </w:tc>
        <w:tc>
          <w:tcPr>
            <w:tcW w:w="483" w:type="pct"/>
            <w:vMerge w:val="restart"/>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一</w:t>
            </w:r>
          </w:p>
        </w:tc>
        <w:tc>
          <w:tcPr>
            <w:tcW w:w="507" w:type="pct"/>
            <w:vMerge w:val="restart"/>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CIM基础数据体系建设试点</w:t>
            </w:r>
            <w:r>
              <w:rPr>
                <w:rFonts w:hint="eastAsia" w:ascii="宋体" w:hAnsi="宋体" w:eastAsia="宋体" w:cs="宋体"/>
                <w:b/>
                <w:bCs/>
                <w:color w:val="000000"/>
                <w:kern w:val="0"/>
                <w:sz w:val="21"/>
                <w:szCs w:val="21"/>
              </w:rPr>
              <w:br w:type="textWrapping"/>
            </w:r>
            <w:r>
              <w:rPr>
                <w:rFonts w:hint="eastAsia" w:ascii="宋体" w:hAnsi="宋体" w:eastAsia="宋体" w:cs="宋体"/>
                <w:b/>
                <w:bCs/>
                <w:i/>
                <w:iCs/>
                <w:color w:val="000000"/>
                <w:kern w:val="0"/>
                <w:sz w:val="21"/>
                <w:szCs w:val="21"/>
                <w:u w:val="single"/>
              </w:rPr>
              <w:t>仅指本次需要新增生成的数据，而非所有对接的数据</w:t>
            </w:r>
          </w:p>
        </w:tc>
        <w:tc>
          <w:tcPr>
            <w:tcW w:w="362" w:type="pct"/>
            <w:vMerge w:val="restart"/>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全域</w:t>
            </w:r>
          </w:p>
        </w:tc>
        <w:tc>
          <w:tcPr>
            <w:tcW w:w="584" w:type="pct"/>
            <w:vMerge w:val="restart"/>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城市肌理三维模型</w:t>
            </w:r>
          </w:p>
        </w:tc>
        <w:tc>
          <w:tcPr>
            <w:tcW w:w="1055" w:type="pct"/>
            <w:gridSpan w:val="2"/>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影像融合</w:t>
            </w:r>
          </w:p>
        </w:tc>
        <w:tc>
          <w:tcPr>
            <w:tcW w:w="1715" w:type="pct"/>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全市域卫星影像（1.6万平方公里）、主城区1:1000正射影像图（约4000幅）、主城区周边1:2000正射影像图（约3000幅）的影像融合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90" w:type="pct"/>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sz w:val="21"/>
                <w:szCs w:val="21"/>
              </w:rPr>
              <w:t>2</w:t>
            </w:r>
          </w:p>
        </w:tc>
        <w:tc>
          <w:tcPr>
            <w:tcW w:w="483" w:type="pct"/>
            <w:vMerge w:val="continue"/>
            <w:vAlign w:val="center"/>
          </w:tcPr>
          <w:p>
            <w:pPr>
              <w:widowControl/>
              <w:jc w:val="left"/>
              <w:rPr>
                <w:rFonts w:hint="eastAsia" w:ascii="宋体" w:hAnsi="宋体" w:eastAsia="宋体" w:cs="宋体"/>
                <w:b/>
                <w:bCs/>
                <w:color w:val="000000"/>
                <w:kern w:val="0"/>
                <w:sz w:val="21"/>
                <w:szCs w:val="21"/>
              </w:rPr>
            </w:pPr>
          </w:p>
        </w:tc>
        <w:tc>
          <w:tcPr>
            <w:tcW w:w="507" w:type="pct"/>
            <w:vMerge w:val="continue"/>
            <w:vAlign w:val="center"/>
          </w:tcPr>
          <w:p>
            <w:pPr>
              <w:widowControl/>
              <w:jc w:val="left"/>
              <w:rPr>
                <w:rFonts w:hint="eastAsia" w:ascii="宋体" w:hAnsi="宋体" w:eastAsia="宋体" w:cs="宋体"/>
                <w:b/>
                <w:bCs/>
                <w:color w:val="000000"/>
                <w:kern w:val="0"/>
                <w:sz w:val="21"/>
                <w:szCs w:val="21"/>
              </w:rPr>
            </w:pPr>
          </w:p>
        </w:tc>
        <w:tc>
          <w:tcPr>
            <w:tcW w:w="362" w:type="pct"/>
            <w:vMerge w:val="continue"/>
            <w:vAlign w:val="center"/>
          </w:tcPr>
          <w:p>
            <w:pPr>
              <w:widowControl/>
              <w:jc w:val="left"/>
              <w:rPr>
                <w:rFonts w:hint="eastAsia" w:ascii="宋体" w:hAnsi="宋体" w:eastAsia="宋体" w:cs="宋体"/>
                <w:color w:val="000000"/>
                <w:kern w:val="0"/>
                <w:sz w:val="21"/>
                <w:szCs w:val="21"/>
              </w:rPr>
            </w:pPr>
          </w:p>
        </w:tc>
        <w:tc>
          <w:tcPr>
            <w:tcW w:w="584" w:type="pct"/>
            <w:vMerge w:val="continue"/>
            <w:vAlign w:val="center"/>
          </w:tcPr>
          <w:p>
            <w:pPr>
              <w:widowControl/>
              <w:jc w:val="left"/>
              <w:rPr>
                <w:rFonts w:hint="eastAsia" w:ascii="宋体" w:hAnsi="宋体" w:eastAsia="宋体" w:cs="宋体"/>
                <w:color w:val="000000"/>
                <w:kern w:val="0"/>
                <w:sz w:val="21"/>
                <w:szCs w:val="21"/>
              </w:rPr>
            </w:pPr>
          </w:p>
        </w:tc>
        <w:tc>
          <w:tcPr>
            <w:tcW w:w="1055" w:type="pct"/>
            <w:gridSpan w:val="2"/>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地表影像模型生成</w:t>
            </w:r>
          </w:p>
        </w:tc>
        <w:tc>
          <w:tcPr>
            <w:tcW w:w="1715" w:type="pct"/>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影像融合成果与数字高程模型融合生成地表影像模型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290" w:type="pct"/>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sz w:val="21"/>
                <w:szCs w:val="21"/>
              </w:rPr>
              <w:t>3</w:t>
            </w:r>
          </w:p>
        </w:tc>
        <w:tc>
          <w:tcPr>
            <w:tcW w:w="483" w:type="pct"/>
            <w:vMerge w:val="continue"/>
            <w:vAlign w:val="center"/>
          </w:tcPr>
          <w:p>
            <w:pPr>
              <w:widowControl/>
              <w:jc w:val="left"/>
              <w:rPr>
                <w:rFonts w:hint="eastAsia" w:ascii="宋体" w:hAnsi="宋体" w:eastAsia="宋体" w:cs="宋体"/>
                <w:b/>
                <w:bCs/>
                <w:color w:val="000000"/>
                <w:kern w:val="0"/>
                <w:sz w:val="21"/>
                <w:szCs w:val="21"/>
              </w:rPr>
            </w:pPr>
          </w:p>
        </w:tc>
        <w:tc>
          <w:tcPr>
            <w:tcW w:w="507" w:type="pct"/>
            <w:vMerge w:val="continue"/>
            <w:vAlign w:val="center"/>
          </w:tcPr>
          <w:p>
            <w:pPr>
              <w:widowControl/>
              <w:jc w:val="left"/>
              <w:rPr>
                <w:rFonts w:hint="eastAsia" w:ascii="宋体" w:hAnsi="宋体" w:eastAsia="宋体" w:cs="宋体"/>
                <w:b/>
                <w:bCs/>
                <w:color w:val="000000"/>
                <w:kern w:val="0"/>
                <w:sz w:val="21"/>
                <w:szCs w:val="21"/>
              </w:rPr>
            </w:pPr>
          </w:p>
        </w:tc>
        <w:tc>
          <w:tcPr>
            <w:tcW w:w="362" w:type="pct"/>
            <w:vMerge w:val="continue"/>
            <w:vAlign w:val="center"/>
          </w:tcPr>
          <w:p>
            <w:pPr>
              <w:widowControl/>
              <w:jc w:val="left"/>
              <w:rPr>
                <w:rFonts w:hint="eastAsia" w:ascii="宋体" w:hAnsi="宋体" w:eastAsia="宋体" w:cs="宋体"/>
                <w:color w:val="000000"/>
                <w:kern w:val="0"/>
                <w:sz w:val="21"/>
                <w:szCs w:val="21"/>
              </w:rPr>
            </w:pPr>
          </w:p>
        </w:tc>
        <w:tc>
          <w:tcPr>
            <w:tcW w:w="584" w:type="pct"/>
            <w:vMerge w:val="continue"/>
            <w:vAlign w:val="center"/>
          </w:tcPr>
          <w:p>
            <w:pPr>
              <w:widowControl/>
              <w:jc w:val="left"/>
              <w:rPr>
                <w:rFonts w:hint="eastAsia" w:ascii="宋体" w:hAnsi="宋体" w:eastAsia="宋体" w:cs="宋体"/>
                <w:color w:val="000000"/>
                <w:kern w:val="0"/>
                <w:sz w:val="21"/>
                <w:szCs w:val="21"/>
              </w:rPr>
            </w:pPr>
          </w:p>
        </w:tc>
        <w:tc>
          <w:tcPr>
            <w:tcW w:w="1055" w:type="pct"/>
            <w:gridSpan w:val="2"/>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地理空间框架数据处理</w:t>
            </w:r>
          </w:p>
        </w:tc>
        <w:tc>
          <w:tcPr>
            <w:tcW w:w="1715" w:type="pct"/>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基于市规资部门的地理空间框架数据，行政区划分级提取，道路数据梳理及网络化连通处理，水系要素提取及制图综合，POI及注记筛选，居民地要素提取及制图综合，数据信息化分级等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90" w:type="pct"/>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sz w:val="21"/>
                <w:szCs w:val="21"/>
              </w:rPr>
              <w:t>4</w:t>
            </w:r>
          </w:p>
        </w:tc>
        <w:tc>
          <w:tcPr>
            <w:tcW w:w="483" w:type="pct"/>
            <w:vMerge w:val="continue"/>
            <w:vAlign w:val="center"/>
          </w:tcPr>
          <w:p>
            <w:pPr>
              <w:widowControl/>
              <w:jc w:val="left"/>
              <w:rPr>
                <w:rFonts w:hint="eastAsia" w:ascii="宋体" w:hAnsi="宋体" w:eastAsia="宋体" w:cs="宋体"/>
                <w:b/>
                <w:bCs/>
                <w:color w:val="000000"/>
                <w:kern w:val="0"/>
                <w:sz w:val="21"/>
                <w:szCs w:val="21"/>
              </w:rPr>
            </w:pPr>
          </w:p>
        </w:tc>
        <w:tc>
          <w:tcPr>
            <w:tcW w:w="507" w:type="pct"/>
            <w:vMerge w:val="continue"/>
            <w:vAlign w:val="center"/>
          </w:tcPr>
          <w:p>
            <w:pPr>
              <w:widowControl/>
              <w:jc w:val="left"/>
              <w:rPr>
                <w:rFonts w:hint="eastAsia" w:ascii="宋体" w:hAnsi="宋体" w:eastAsia="宋体" w:cs="宋体"/>
                <w:b/>
                <w:bCs/>
                <w:color w:val="000000"/>
                <w:kern w:val="0"/>
                <w:sz w:val="21"/>
                <w:szCs w:val="21"/>
              </w:rPr>
            </w:pPr>
          </w:p>
        </w:tc>
        <w:tc>
          <w:tcPr>
            <w:tcW w:w="362" w:type="pct"/>
            <w:vMerge w:val="continue"/>
            <w:vAlign w:val="center"/>
          </w:tcPr>
          <w:p>
            <w:pPr>
              <w:widowControl/>
              <w:jc w:val="left"/>
              <w:rPr>
                <w:rFonts w:hint="eastAsia" w:ascii="宋体" w:hAnsi="宋体" w:eastAsia="宋体" w:cs="宋体"/>
                <w:color w:val="000000"/>
                <w:kern w:val="0"/>
                <w:sz w:val="21"/>
                <w:szCs w:val="21"/>
              </w:rPr>
            </w:pPr>
          </w:p>
        </w:tc>
        <w:tc>
          <w:tcPr>
            <w:tcW w:w="584" w:type="pct"/>
            <w:vMerge w:val="continue"/>
            <w:vAlign w:val="center"/>
          </w:tcPr>
          <w:p>
            <w:pPr>
              <w:widowControl/>
              <w:jc w:val="left"/>
              <w:rPr>
                <w:rFonts w:hint="eastAsia" w:ascii="宋体" w:hAnsi="宋体" w:eastAsia="宋体" w:cs="宋体"/>
                <w:color w:val="000000"/>
                <w:kern w:val="0"/>
                <w:sz w:val="21"/>
                <w:szCs w:val="21"/>
              </w:rPr>
            </w:pPr>
          </w:p>
        </w:tc>
        <w:tc>
          <w:tcPr>
            <w:tcW w:w="1055" w:type="pct"/>
            <w:gridSpan w:val="2"/>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主城区（约1000平方公里）建筑体块模型</w:t>
            </w:r>
          </w:p>
        </w:tc>
        <w:tc>
          <w:tcPr>
            <w:tcW w:w="1715" w:type="pct"/>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基于居民地要素处理成果，结合市规资部门的DOM、DSM等生成建筑体块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90" w:type="pct"/>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sz w:val="21"/>
                <w:szCs w:val="21"/>
              </w:rPr>
              <w:t>5</w:t>
            </w:r>
          </w:p>
        </w:tc>
        <w:tc>
          <w:tcPr>
            <w:tcW w:w="483" w:type="pct"/>
            <w:vMerge w:val="continue"/>
            <w:vAlign w:val="center"/>
          </w:tcPr>
          <w:p>
            <w:pPr>
              <w:widowControl/>
              <w:jc w:val="left"/>
              <w:rPr>
                <w:rFonts w:hint="eastAsia" w:ascii="宋体" w:hAnsi="宋体" w:eastAsia="宋体" w:cs="宋体"/>
                <w:b/>
                <w:bCs/>
                <w:color w:val="000000"/>
                <w:kern w:val="0"/>
                <w:sz w:val="21"/>
                <w:szCs w:val="21"/>
              </w:rPr>
            </w:pPr>
          </w:p>
        </w:tc>
        <w:tc>
          <w:tcPr>
            <w:tcW w:w="507" w:type="pct"/>
            <w:vMerge w:val="continue"/>
            <w:vAlign w:val="center"/>
          </w:tcPr>
          <w:p>
            <w:pPr>
              <w:widowControl/>
              <w:jc w:val="left"/>
              <w:rPr>
                <w:rFonts w:hint="eastAsia" w:ascii="宋体" w:hAnsi="宋体" w:eastAsia="宋体" w:cs="宋体"/>
                <w:b/>
                <w:bCs/>
                <w:color w:val="000000"/>
                <w:kern w:val="0"/>
                <w:sz w:val="21"/>
                <w:szCs w:val="21"/>
              </w:rPr>
            </w:pPr>
          </w:p>
        </w:tc>
        <w:tc>
          <w:tcPr>
            <w:tcW w:w="362" w:type="pct"/>
            <w:vMerge w:val="continue"/>
            <w:vAlign w:val="center"/>
          </w:tcPr>
          <w:p>
            <w:pPr>
              <w:widowControl/>
              <w:jc w:val="left"/>
              <w:rPr>
                <w:rFonts w:hint="eastAsia" w:ascii="宋体" w:hAnsi="宋体" w:eastAsia="宋体" w:cs="宋体"/>
                <w:color w:val="000000"/>
                <w:kern w:val="0"/>
                <w:sz w:val="21"/>
                <w:szCs w:val="21"/>
              </w:rPr>
            </w:pPr>
          </w:p>
        </w:tc>
        <w:tc>
          <w:tcPr>
            <w:tcW w:w="584" w:type="pct"/>
            <w:vMerge w:val="continue"/>
            <w:vAlign w:val="center"/>
          </w:tcPr>
          <w:p>
            <w:pPr>
              <w:widowControl/>
              <w:jc w:val="left"/>
              <w:rPr>
                <w:rFonts w:hint="eastAsia" w:ascii="宋体" w:hAnsi="宋体" w:eastAsia="宋体" w:cs="宋体"/>
                <w:color w:val="000000"/>
                <w:kern w:val="0"/>
                <w:sz w:val="21"/>
                <w:szCs w:val="21"/>
              </w:rPr>
            </w:pPr>
          </w:p>
        </w:tc>
        <w:tc>
          <w:tcPr>
            <w:tcW w:w="1055" w:type="pct"/>
            <w:gridSpan w:val="2"/>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数据融合生成城市肌理模型</w:t>
            </w:r>
          </w:p>
        </w:tc>
        <w:tc>
          <w:tcPr>
            <w:tcW w:w="1715" w:type="pct"/>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数据融合生成城市肌理模型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jc w:val="center"/>
        </w:trPr>
        <w:tc>
          <w:tcPr>
            <w:tcW w:w="290" w:type="pct"/>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sz w:val="21"/>
                <w:szCs w:val="21"/>
              </w:rPr>
              <w:t>6</w:t>
            </w:r>
          </w:p>
        </w:tc>
        <w:tc>
          <w:tcPr>
            <w:tcW w:w="483" w:type="pct"/>
            <w:vMerge w:val="continue"/>
            <w:vAlign w:val="center"/>
          </w:tcPr>
          <w:p>
            <w:pPr>
              <w:widowControl/>
              <w:jc w:val="left"/>
              <w:rPr>
                <w:rFonts w:hint="eastAsia" w:ascii="宋体" w:hAnsi="宋体" w:eastAsia="宋体" w:cs="宋体"/>
                <w:b/>
                <w:bCs/>
                <w:color w:val="000000"/>
                <w:kern w:val="0"/>
                <w:sz w:val="21"/>
                <w:szCs w:val="21"/>
              </w:rPr>
            </w:pPr>
          </w:p>
        </w:tc>
        <w:tc>
          <w:tcPr>
            <w:tcW w:w="507" w:type="pct"/>
            <w:vMerge w:val="continue"/>
            <w:vAlign w:val="center"/>
          </w:tcPr>
          <w:p>
            <w:pPr>
              <w:widowControl/>
              <w:jc w:val="left"/>
              <w:rPr>
                <w:rFonts w:hint="eastAsia" w:ascii="宋体" w:hAnsi="宋体" w:eastAsia="宋体" w:cs="宋体"/>
                <w:b/>
                <w:bCs/>
                <w:color w:val="000000"/>
                <w:kern w:val="0"/>
                <w:sz w:val="21"/>
                <w:szCs w:val="21"/>
              </w:rPr>
            </w:pPr>
          </w:p>
        </w:tc>
        <w:tc>
          <w:tcPr>
            <w:tcW w:w="362" w:type="pct"/>
            <w:vMerge w:val="restart"/>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试点地区</w:t>
            </w:r>
          </w:p>
        </w:tc>
        <w:tc>
          <w:tcPr>
            <w:tcW w:w="584" w:type="pct"/>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地下管线三维建模</w:t>
            </w:r>
          </w:p>
        </w:tc>
        <w:tc>
          <w:tcPr>
            <w:tcW w:w="1055" w:type="pct"/>
            <w:gridSpan w:val="2"/>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主城区范围内选取试点道路（道路长度约5公里）地下管线二维数据处理及二三维一体化建模</w:t>
            </w:r>
          </w:p>
        </w:tc>
        <w:tc>
          <w:tcPr>
            <w:tcW w:w="1715" w:type="pct"/>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试点区域道路（如文三路、莫干山路局部路段）沿线污水、雨水、自来水、燃气等综合管线，总长度超过20公里，包含二维数据整理、三维数据建模以及构件库建设等工作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90" w:type="pct"/>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sz w:val="21"/>
                <w:szCs w:val="21"/>
              </w:rPr>
              <w:t>7</w:t>
            </w:r>
          </w:p>
        </w:tc>
        <w:tc>
          <w:tcPr>
            <w:tcW w:w="483" w:type="pct"/>
            <w:vMerge w:val="continue"/>
            <w:vAlign w:val="center"/>
          </w:tcPr>
          <w:p>
            <w:pPr>
              <w:widowControl/>
              <w:jc w:val="left"/>
              <w:rPr>
                <w:rFonts w:hint="eastAsia" w:ascii="宋体" w:hAnsi="宋体" w:eastAsia="宋体" w:cs="宋体"/>
                <w:b/>
                <w:bCs/>
                <w:color w:val="000000"/>
                <w:kern w:val="0"/>
                <w:sz w:val="21"/>
                <w:szCs w:val="21"/>
              </w:rPr>
            </w:pPr>
          </w:p>
        </w:tc>
        <w:tc>
          <w:tcPr>
            <w:tcW w:w="507" w:type="pct"/>
            <w:vMerge w:val="continue"/>
            <w:vAlign w:val="center"/>
          </w:tcPr>
          <w:p>
            <w:pPr>
              <w:widowControl/>
              <w:jc w:val="left"/>
              <w:rPr>
                <w:rFonts w:hint="eastAsia" w:ascii="宋体" w:hAnsi="宋体" w:eastAsia="宋体" w:cs="宋体"/>
                <w:b/>
                <w:bCs/>
                <w:color w:val="000000"/>
                <w:kern w:val="0"/>
                <w:sz w:val="21"/>
                <w:szCs w:val="21"/>
              </w:rPr>
            </w:pPr>
          </w:p>
        </w:tc>
        <w:tc>
          <w:tcPr>
            <w:tcW w:w="362" w:type="pct"/>
            <w:vMerge w:val="continue"/>
            <w:vAlign w:val="center"/>
          </w:tcPr>
          <w:p>
            <w:pPr>
              <w:widowControl/>
              <w:jc w:val="left"/>
              <w:rPr>
                <w:rFonts w:hint="eastAsia" w:ascii="宋体" w:hAnsi="宋体" w:eastAsia="宋体" w:cs="宋体"/>
                <w:color w:val="000000"/>
                <w:kern w:val="0"/>
                <w:sz w:val="21"/>
                <w:szCs w:val="21"/>
              </w:rPr>
            </w:pPr>
          </w:p>
        </w:tc>
        <w:tc>
          <w:tcPr>
            <w:tcW w:w="584" w:type="pct"/>
            <w:vMerge w:val="restart"/>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地下空间三维建模</w:t>
            </w:r>
          </w:p>
        </w:tc>
        <w:tc>
          <w:tcPr>
            <w:tcW w:w="1055" w:type="pct"/>
            <w:gridSpan w:val="2"/>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主城区范围内选取1个地铁站建设三维仿真模型</w:t>
            </w:r>
          </w:p>
        </w:tc>
        <w:tc>
          <w:tcPr>
            <w:tcW w:w="1715" w:type="pct"/>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真实空间坐标测量与空间场景建模。包含站厅层、站台层格局，及其设施设备/关键标识标记。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90" w:type="pct"/>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sz w:val="21"/>
                <w:szCs w:val="21"/>
              </w:rPr>
              <w:t>8</w:t>
            </w:r>
          </w:p>
        </w:tc>
        <w:tc>
          <w:tcPr>
            <w:tcW w:w="483" w:type="pct"/>
            <w:vMerge w:val="continue"/>
            <w:vAlign w:val="center"/>
          </w:tcPr>
          <w:p>
            <w:pPr>
              <w:widowControl/>
              <w:jc w:val="left"/>
              <w:rPr>
                <w:rFonts w:hint="eastAsia" w:ascii="宋体" w:hAnsi="宋体" w:eastAsia="宋体" w:cs="宋体"/>
                <w:b/>
                <w:bCs/>
                <w:color w:val="000000"/>
                <w:kern w:val="0"/>
                <w:sz w:val="21"/>
                <w:szCs w:val="21"/>
              </w:rPr>
            </w:pPr>
          </w:p>
        </w:tc>
        <w:tc>
          <w:tcPr>
            <w:tcW w:w="507" w:type="pct"/>
            <w:vMerge w:val="continue"/>
            <w:vAlign w:val="center"/>
          </w:tcPr>
          <w:p>
            <w:pPr>
              <w:widowControl/>
              <w:jc w:val="left"/>
              <w:rPr>
                <w:rFonts w:hint="eastAsia" w:ascii="宋体" w:hAnsi="宋体" w:eastAsia="宋体" w:cs="宋体"/>
                <w:b/>
                <w:bCs/>
                <w:color w:val="000000"/>
                <w:kern w:val="0"/>
                <w:sz w:val="21"/>
                <w:szCs w:val="21"/>
              </w:rPr>
            </w:pPr>
          </w:p>
        </w:tc>
        <w:tc>
          <w:tcPr>
            <w:tcW w:w="362" w:type="pct"/>
            <w:vMerge w:val="continue"/>
            <w:vAlign w:val="center"/>
          </w:tcPr>
          <w:p>
            <w:pPr>
              <w:widowControl/>
              <w:jc w:val="left"/>
              <w:rPr>
                <w:rFonts w:hint="eastAsia" w:ascii="宋体" w:hAnsi="宋体" w:eastAsia="宋体" w:cs="宋体"/>
                <w:color w:val="000000"/>
                <w:kern w:val="0"/>
                <w:sz w:val="21"/>
                <w:szCs w:val="21"/>
              </w:rPr>
            </w:pPr>
          </w:p>
        </w:tc>
        <w:tc>
          <w:tcPr>
            <w:tcW w:w="584" w:type="pct"/>
            <w:vMerge w:val="continue"/>
            <w:vAlign w:val="center"/>
          </w:tcPr>
          <w:p>
            <w:pPr>
              <w:widowControl/>
              <w:jc w:val="left"/>
              <w:rPr>
                <w:rFonts w:hint="eastAsia" w:ascii="宋体" w:hAnsi="宋体" w:eastAsia="宋体" w:cs="宋体"/>
                <w:color w:val="000000"/>
                <w:kern w:val="0"/>
                <w:sz w:val="21"/>
                <w:szCs w:val="21"/>
              </w:rPr>
            </w:pPr>
          </w:p>
        </w:tc>
        <w:tc>
          <w:tcPr>
            <w:tcW w:w="1055" w:type="pct"/>
            <w:gridSpan w:val="2"/>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主城区范围内选取2个地铁区间段建设三维空间布局模型</w:t>
            </w:r>
          </w:p>
        </w:tc>
        <w:tc>
          <w:tcPr>
            <w:tcW w:w="1715" w:type="pct"/>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区间段隧道外壁空间场景建模与空间定位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90" w:type="pct"/>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sz w:val="21"/>
                <w:szCs w:val="21"/>
              </w:rPr>
              <w:t>9</w:t>
            </w:r>
          </w:p>
        </w:tc>
        <w:tc>
          <w:tcPr>
            <w:tcW w:w="483" w:type="pct"/>
            <w:vMerge w:val="continue"/>
            <w:vAlign w:val="center"/>
          </w:tcPr>
          <w:p>
            <w:pPr>
              <w:widowControl/>
              <w:jc w:val="left"/>
              <w:rPr>
                <w:rFonts w:hint="eastAsia" w:ascii="宋体" w:hAnsi="宋体" w:eastAsia="宋体" w:cs="宋体"/>
                <w:b/>
                <w:bCs/>
                <w:color w:val="000000"/>
                <w:kern w:val="0"/>
                <w:sz w:val="21"/>
                <w:szCs w:val="21"/>
              </w:rPr>
            </w:pPr>
          </w:p>
        </w:tc>
        <w:tc>
          <w:tcPr>
            <w:tcW w:w="507" w:type="pct"/>
            <w:vMerge w:val="continue"/>
            <w:vAlign w:val="center"/>
          </w:tcPr>
          <w:p>
            <w:pPr>
              <w:widowControl/>
              <w:jc w:val="left"/>
              <w:rPr>
                <w:rFonts w:hint="eastAsia" w:ascii="宋体" w:hAnsi="宋体" w:eastAsia="宋体" w:cs="宋体"/>
                <w:b/>
                <w:bCs/>
                <w:color w:val="000000"/>
                <w:kern w:val="0"/>
                <w:sz w:val="21"/>
                <w:szCs w:val="21"/>
              </w:rPr>
            </w:pPr>
          </w:p>
        </w:tc>
        <w:tc>
          <w:tcPr>
            <w:tcW w:w="362" w:type="pct"/>
            <w:vMerge w:val="continue"/>
            <w:vAlign w:val="center"/>
          </w:tcPr>
          <w:p>
            <w:pPr>
              <w:widowControl/>
              <w:jc w:val="left"/>
              <w:rPr>
                <w:rFonts w:hint="eastAsia" w:ascii="宋体" w:hAnsi="宋体" w:eastAsia="宋体" w:cs="宋体"/>
                <w:color w:val="000000"/>
                <w:kern w:val="0"/>
                <w:sz w:val="21"/>
                <w:szCs w:val="21"/>
              </w:rPr>
            </w:pPr>
          </w:p>
        </w:tc>
        <w:tc>
          <w:tcPr>
            <w:tcW w:w="584" w:type="pct"/>
            <w:vMerge w:val="continue"/>
            <w:vAlign w:val="center"/>
          </w:tcPr>
          <w:p>
            <w:pPr>
              <w:widowControl/>
              <w:jc w:val="left"/>
              <w:rPr>
                <w:rFonts w:hint="eastAsia" w:ascii="宋体" w:hAnsi="宋体" w:eastAsia="宋体" w:cs="宋体"/>
                <w:color w:val="000000"/>
                <w:kern w:val="0"/>
                <w:sz w:val="21"/>
                <w:szCs w:val="21"/>
              </w:rPr>
            </w:pPr>
          </w:p>
        </w:tc>
        <w:tc>
          <w:tcPr>
            <w:tcW w:w="1055" w:type="pct"/>
            <w:gridSpan w:val="2"/>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建设试点地下管廊建立三维空间布局模型，长度约1公里</w:t>
            </w:r>
          </w:p>
        </w:tc>
        <w:tc>
          <w:tcPr>
            <w:tcW w:w="1715" w:type="pct"/>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地下管廊外壁空间场景建模与空间定位，参照《浙江省建筑信息模型(BIM)技术推广应用费用计价参考依据》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290" w:type="pct"/>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sz w:val="21"/>
                <w:szCs w:val="21"/>
              </w:rPr>
              <w:t>10</w:t>
            </w:r>
          </w:p>
        </w:tc>
        <w:tc>
          <w:tcPr>
            <w:tcW w:w="483" w:type="pct"/>
            <w:vMerge w:val="continue"/>
            <w:vAlign w:val="center"/>
          </w:tcPr>
          <w:p>
            <w:pPr>
              <w:widowControl/>
              <w:jc w:val="left"/>
              <w:rPr>
                <w:rFonts w:hint="eastAsia" w:ascii="宋体" w:hAnsi="宋体" w:eastAsia="宋体" w:cs="宋体"/>
                <w:b/>
                <w:bCs/>
                <w:color w:val="000000"/>
                <w:kern w:val="0"/>
                <w:sz w:val="21"/>
                <w:szCs w:val="21"/>
              </w:rPr>
            </w:pPr>
          </w:p>
        </w:tc>
        <w:tc>
          <w:tcPr>
            <w:tcW w:w="507" w:type="pct"/>
            <w:vMerge w:val="continue"/>
            <w:vAlign w:val="center"/>
          </w:tcPr>
          <w:p>
            <w:pPr>
              <w:widowControl/>
              <w:jc w:val="left"/>
              <w:rPr>
                <w:rFonts w:hint="eastAsia" w:ascii="宋体" w:hAnsi="宋体" w:eastAsia="宋体" w:cs="宋体"/>
                <w:b/>
                <w:bCs/>
                <w:color w:val="000000"/>
                <w:kern w:val="0"/>
                <w:sz w:val="21"/>
                <w:szCs w:val="21"/>
              </w:rPr>
            </w:pPr>
          </w:p>
        </w:tc>
        <w:tc>
          <w:tcPr>
            <w:tcW w:w="362" w:type="pct"/>
            <w:vMerge w:val="continue"/>
            <w:vAlign w:val="center"/>
          </w:tcPr>
          <w:p>
            <w:pPr>
              <w:widowControl/>
              <w:jc w:val="left"/>
              <w:rPr>
                <w:rFonts w:hint="eastAsia" w:ascii="宋体" w:hAnsi="宋体" w:eastAsia="宋体" w:cs="宋体"/>
                <w:color w:val="000000"/>
                <w:kern w:val="0"/>
                <w:sz w:val="21"/>
                <w:szCs w:val="21"/>
              </w:rPr>
            </w:pPr>
          </w:p>
        </w:tc>
        <w:tc>
          <w:tcPr>
            <w:tcW w:w="584" w:type="pct"/>
            <w:vMerge w:val="restart"/>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三维地名地址库建设（本期建设0.5万户）</w:t>
            </w:r>
          </w:p>
        </w:tc>
        <w:tc>
          <w:tcPr>
            <w:tcW w:w="1055" w:type="pct"/>
            <w:gridSpan w:val="2"/>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实景三维试点覆盖区内选取住宅相对集中区域开展住宅到户的空间实体建设</w:t>
            </w:r>
          </w:p>
        </w:tc>
        <w:tc>
          <w:tcPr>
            <w:tcW w:w="1715" w:type="pct"/>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含行政区划实体、小区院落实体、楼幢实体、单元实体、户实体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jc w:val="center"/>
        </w:trPr>
        <w:tc>
          <w:tcPr>
            <w:tcW w:w="290" w:type="pct"/>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sz w:val="21"/>
                <w:szCs w:val="21"/>
              </w:rPr>
              <w:t>11</w:t>
            </w:r>
          </w:p>
        </w:tc>
        <w:tc>
          <w:tcPr>
            <w:tcW w:w="483" w:type="pct"/>
            <w:vMerge w:val="continue"/>
            <w:vAlign w:val="center"/>
          </w:tcPr>
          <w:p>
            <w:pPr>
              <w:widowControl/>
              <w:jc w:val="left"/>
              <w:rPr>
                <w:rFonts w:hint="eastAsia" w:ascii="宋体" w:hAnsi="宋体" w:eastAsia="宋体" w:cs="宋体"/>
                <w:b/>
                <w:bCs/>
                <w:color w:val="000000"/>
                <w:kern w:val="0"/>
                <w:sz w:val="21"/>
                <w:szCs w:val="21"/>
              </w:rPr>
            </w:pPr>
          </w:p>
        </w:tc>
        <w:tc>
          <w:tcPr>
            <w:tcW w:w="507" w:type="pct"/>
            <w:vMerge w:val="continue"/>
            <w:vAlign w:val="center"/>
          </w:tcPr>
          <w:p>
            <w:pPr>
              <w:widowControl/>
              <w:jc w:val="left"/>
              <w:rPr>
                <w:rFonts w:hint="eastAsia" w:ascii="宋体" w:hAnsi="宋体" w:eastAsia="宋体" w:cs="宋体"/>
                <w:b/>
                <w:bCs/>
                <w:color w:val="000000"/>
                <w:kern w:val="0"/>
                <w:sz w:val="21"/>
                <w:szCs w:val="21"/>
              </w:rPr>
            </w:pPr>
          </w:p>
        </w:tc>
        <w:tc>
          <w:tcPr>
            <w:tcW w:w="362" w:type="pct"/>
            <w:vMerge w:val="continue"/>
            <w:vAlign w:val="center"/>
          </w:tcPr>
          <w:p>
            <w:pPr>
              <w:widowControl/>
              <w:jc w:val="left"/>
              <w:rPr>
                <w:rFonts w:hint="eastAsia" w:ascii="宋体" w:hAnsi="宋体" w:eastAsia="宋体" w:cs="宋体"/>
                <w:color w:val="000000"/>
                <w:kern w:val="0"/>
                <w:sz w:val="21"/>
                <w:szCs w:val="21"/>
              </w:rPr>
            </w:pPr>
          </w:p>
        </w:tc>
        <w:tc>
          <w:tcPr>
            <w:tcW w:w="584" w:type="pct"/>
            <w:vMerge w:val="continue"/>
            <w:vAlign w:val="center"/>
          </w:tcPr>
          <w:p>
            <w:pPr>
              <w:widowControl/>
              <w:jc w:val="left"/>
              <w:rPr>
                <w:rFonts w:hint="eastAsia" w:ascii="宋体" w:hAnsi="宋体" w:eastAsia="宋体" w:cs="宋体"/>
                <w:color w:val="000000"/>
                <w:kern w:val="0"/>
                <w:sz w:val="21"/>
                <w:szCs w:val="21"/>
              </w:rPr>
            </w:pPr>
          </w:p>
        </w:tc>
        <w:tc>
          <w:tcPr>
            <w:tcW w:w="1055" w:type="pct"/>
            <w:gridSpan w:val="2"/>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实景三维试点覆盖区内选取住宅相对集中区域开展住宅到户的地理语义建设</w:t>
            </w:r>
          </w:p>
        </w:tc>
        <w:tc>
          <w:tcPr>
            <w:tcW w:w="1715" w:type="pct"/>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在试点区域内，梳理整合市政法委统一地址库、市规资局地名地址库、市公安局标准地址库，形成标准地理语义，含行政区划、小区院落、楼幢、单元、户，以及周边道路、小区出入口、门岗等附属地理语义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290" w:type="pct"/>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sz w:val="21"/>
                <w:szCs w:val="21"/>
              </w:rPr>
              <w:t>12</w:t>
            </w:r>
          </w:p>
        </w:tc>
        <w:tc>
          <w:tcPr>
            <w:tcW w:w="483" w:type="pct"/>
            <w:vMerge w:val="continue"/>
            <w:vAlign w:val="center"/>
          </w:tcPr>
          <w:p>
            <w:pPr>
              <w:widowControl/>
              <w:jc w:val="left"/>
              <w:rPr>
                <w:rFonts w:hint="eastAsia" w:ascii="宋体" w:hAnsi="宋体" w:eastAsia="宋体" w:cs="宋体"/>
                <w:b/>
                <w:bCs/>
                <w:color w:val="000000"/>
                <w:kern w:val="0"/>
                <w:sz w:val="21"/>
                <w:szCs w:val="21"/>
              </w:rPr>
            </w:pPr>
          </w:p>
        </w:tc>
        <w:tc>
          <w:tcPr>
            <w:tcW w:w="507" w:type="pct"/>
            <w:vMerge w:val="continue"/>
            <w:vAlign w:val="center"/>
          </w:tcPr>
          <w:p>
            <w:pPr>
              <w:widowControl/>
              <w:jc w:val="left"/>
              <w:rPr>
                <w:rFonts w:hint="eastAsia" w:ascii="宋体" w:hAnsi="宋体" w:eastAsia="宋体" w:cs="宋体"/>
                <w:b/>
                <w:bCs/>
                <w:color w:val="000000"/>
                <w:kern w:val="0"/>
                <w:sz w:val="21"/>
                <w:szCs w:val="21"/>
              </w:rPr>
            </w:pPr>
          </w:p>
        </w:tc>
        <w:tc>
          <w:tcPr>
            <w:tcW w:w="362" w:type="pct"/>
            <w:vMerge w:val="continue"/>
            <w:vAlign w:val="center"/>
          </w:tcPr>
          <w:p>
            <w:pPr>
              <w:widowControl/>
              <w:jc w:val="left"/>
              <w:rPr>
                <w:rFonts w:hint="eastAsia" w:ascii="宋体" w:hAnsi="宋体" w:eastAsia="宋体" w:cs="宋体"/>
                <w:color w:val="000000"/>
                <w:kern w:val="0"/>
                <w:sz w:val="21"/>
                <w:szCs w:val="21"/>
              </w:rPr>
            </w:pPr>
          </w:p>
        </w:tc>
        <w:tc>
          <w:tcPr>
            <w:tcW w:w="584" w:type="pct"/>
            <w:vMerge w:val="continue"/>
            <w:vAlign w:val="center"/>
          </w:tcPr>
          <w:p>
            <w:pPr>
              <w:widowControl/>
              <w:jc w:val="left"/>
              <w:rPr>
                <w:rFonts w:hint="eastAsia" w:ascii="宋体" w:hAnsi="宋体" w:eastAsia="宋体" w:cs="宋体"/>
                <w:color w:val="000000"/>
                <w:kern w:val="0"/>
                <w:sz w:val="21"/>
                <w:szCs w:val="21"/>
              </w:rPr>
            </w:pPr>
          </w:p>
        </w:tc>
        <w:tc>
          <w:tcPr>
            <w:tcW w:w="1055" w:type="pct"/>
            <w:gridSpan w:val="2"/>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实景三维试点覆盖区内选取住宅相对集中区域开展住宅到户的一标三实融合</w:t>
            </w:r>
          </w:p>
        </w:tc>
        <w:tc>
          <w:tcPr>
            <w:tcW w:w="1715" w:type="pct"/>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将一标三实映射到户，建立语义关联关系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90" w:type="pct"/>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sz w:val="21"/>
                <w:szCs w:val="21"/>
              </w:rPr>
              <w:t>13</w:t>
            </w:r>
          </w:p>
        </w:tc>
        <w:tc>
          <w:tcPr>
            <w:tcW w:w="483" w:type="pct"/>
            <w:vMerge w:val="continue"/>
            <w:vAlign w:val="center"/>
          </w:tcPr>
          <w:p>
            <w:pPr>
              <w:widowControl/>
              <w:jc w:val="left"/>
              <w:rPr>
                <w:rFonts w:hint="eastAsia" w:ascii="宋体" w:hAnsi="宋体" w:eastAsia="宋体" w:cs="宋体"/>
                <w:b/>
                <w:bCs/>
                <w:color w:val="000000"/>
                <w:kern w:val="0"/>
                <w:sz w:val="21"/>
                <w:szCs w:val="21"/>
              </w:rPr>
            </w:pPr>
          </w:p>
        </w:tc>
        <w:tc>
          <w:tcPr>
            <w:tcW w:w="507" w:type="pct"/>
            <w:vMerge w:val="continue"/>
            <w:vAlign w:val="center"/>
          </w:tcPr>
          <w:p>
            <w:pPr>
              <w:widowControl/>
              <w:jc w:val="left"/>
              <w:rPr>
                <w:rFonts w:hint="eastAsia" w:ascii="宋体" w:hAnsi="宋体" w:eastAsia="宋体" w:cs="宋体"/>
                <w:b/>
                <w:bCs/>
                <w:color w:val="000000"/>
                <w:kern w:val="0"/>
                <w:sz w:val="21"/>
                <w:szCs w:val="21"/>
              </w:rPr>
            </w:pPr>
          </w:p>
        </w:tc>
        <w:tc>
          <w:tcPr>
            <w:tcW w:w="362" w:type="pct"/>
            <w:vMerge w:val="continue"/>
            <w:vAlign w:val="center"/>
          </w:tcPr>
          <w:p>
            <w:pPr>
              <w:widowControl/>
              <w:jc w:val="left"/>
              <w:rPr>
                <w:rFonts w:hint="eastAsia" w:ascii="宋体" w:hAnsi="宋体" w:eastAsia="宋体" w:cs="宋体"/>
                <w:color w:val="000000"/>
                <w:kern w:val="0"/>
                <w:sz w:val="21"/>
                <w:szCs w:val="21"/>
              </w:rPr>
            </w:pPr>
          </w:p>
        </w:tc>
        <w:tc>
          <w:tcPr>
            <w:tcW w:w="584" w:type="pct"/>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三维场景整合</w:t>
            </w:r>
          </w:p>
        </w:tc>
        <w:tc>
          <w:tcPr>
            <w:tcW w:w="1055" w:type="pct"/>
            <w:gridSpan w:val="2"/>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模型镶嵌处理、样式处理、调度策略</w:t>
            </w:r>
          </w:p>
        </w:tc>
        <w:tc>
          <w:tcPr>
            <w:tcW w:w="1715" w:type="pct"/>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模型镶嵌处理、样式处理、调度策略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90" w:type="pct"/>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sz w:val="21"/>
                <w:szCs w:val="21"/>
              </w:rPr>
              <w:t>14</w:t>
            </w:r>
          </w:p>
        </w:tc>
        <w:tc>
          <w:tcPr>
            <w:tcW w:w="483" w:type="pct"/>
            <w:vMerge w:val="continue"/>
            <w:vAlign w:val="center"/>
          </w:tcPr>
          <w:p>
            <w:pPr>
              <w:widowControl/>
              <w:jc w:val="left"/>
              <w:rPr>
                <w:rFonts w:hint="eastAsia" w:ascii="宋体" w:hAnsi="宋体" w:eastAsia="宋体" w:cs="宋体"/>
                <w:b/>
                <w:bCs/>
                <w:color w:val="000000"/>
                <w:kern w:val="0"/>
                <w:sz w:val="21"/>
                <w:szCs w:val="21"/>
              </w:rPr>
            </w:pPr>
          </w:p>
        </w:tc>
        <w:tc>
          <w:tcPr>
            <w:tcW w:w="507" w:type="pct"/>
            <w:vMerge w:val="continue"/>
            <w:vAlign w:val="center"/>
          </w:tcPr>
          <w:p>
            <w:pPr>
              <w:widowControl/>
              <w:jc w:val="left"/>
              <w:rPr>
                <w:rFonts w:hint="eastAsia" w:ascii="宋体" w:hAnsi="宋体" w:eastAsia="宋体" w:cs="宋体"/>
                <w:b/>
                <w:bCs/>
                <w:color w:val="000000"/>
                <w:kern w:val="0"/>
                <w:sz w:val="21"/>
                <w:szCs w:val="21"/>
              </w:rPr>
            </w:pPr>
          </w:p>
        </w:tc>
        <w:tc>
          <w:tcPr>
            <w:tcW w:w="362" w:type="pct"/>
            <w:vMerge w:val="continue"/>
            <w:vAlign w:val="center"/>
          </w:tcPr>
          <w:p>
            <w:pPr>
              <w:widowControl/>
              <w:jc w:val="left"/>
              <w:rPr>
                <w:rFonts w:hint="eastAsia" w:ascii="宋体" w:hAnsi="宋体" w:eastAsia="宋体" w:cs="宋体"/>
                <w:color w:val="000000"/>
                <w:kern w:val="0"/>
                <w:sz w:val="21"/>
                <w:szCs w:val="21"/>
              </w:rPr>
            </w:pPr>
          </w:p>
        </w:tc>
        <w:tc>
          <w:tcPr>
            <w:tcW w:w="584" w:type="pct"/>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实景三维模型展示</w:t>
            </w:r>
          </w:p>
        </w:tc>
        <w:tc>
          <w:tcPr>
            <w:tcW w:w="1055" w:type="pct"/>
            <w:gridSpan w:val="2"/>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主城区范围约100平方公里</w:t>
            </w:r>
          </w:p>
        </w:tc>
        <w:tc>
          <w:tcPr>
            <w:tcW w:w="1715" w:type="pct"/>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高精度倾斜摄影（3~5厘米）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290" w:type="pct"/>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sz w:val="21"/>
                <w:szCs w:val="21"/>
              </w:rPr>
              <w:t>15</w:t>
            </w:r>
          </w:p>
        </w:tc>
        <w:tc>
          <w:tcPr>
            <w:tcW w:w="483" w:type="pct"/>
            <w:vMerge w:val="restart"/>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二</w:t>
            </w:r>
          </w:p>
        </w:tc>
        <w:tc>
          <w:tcPr>
            <w:tcW w:w="507" w:type="pct"/>
            <w:vMerge w:val="restart"/>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CIM基础平台支撑能力</w:t>
            </w:r>
          </w:p>
        </w:tc>
        <w:tc>
          <w:tcPr>
            <w:tcW w:w="362" w:type="pct"/>
            <w:vMerge w:val="restart"/>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数据归集管理</w:t>
            </w:r>
          </w:p>
        </w:tc>
        <w:tc>
          <w:tcPr>
            <w:tcW w:w="584" w:type="pct"/>
            <w:vMerge w:val="restart"/>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数据接入模块</w:t>
            </w:r>
          </w:p>
        </w:tc>
        <w:tc>
          <w:tcPr>
            <w:tcW w:w="1055" w:type="pct"/>
            <w:gridSpan w:val="2"/>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二三维GIS数据接入</w:t>
            </w:r>
          </w:p>
        </w:tc>
        <w:tc>
          <w:tcPr>
            <w:tcW w:w="1715" w:type="pct"/>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主流GIS数据文件（Geojson、Shapefile、GDB、MDB、GeoTIF、IMG等）及PostgreSQL空间数据库的统一读取与识别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290" w:type="pct"/>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sz w:val="21"/>
                <w:szCs w:val="21"/>
              </w:rPr>
              <w:t>16</w:t>
            </w:r>
          </w:p>
        </w:tc>
        <w:tc>
          <w:tcPr>
            <w:tcW w:w="483" w:type="pct"/>
            <w:vMerge w:val="continue"/>
            <w:vAlign w:val="center"/>
          </w:tcPr>
          <w:p>
            <w:pPr>
              <w:widowControl/>
              <w:jc w:val="left"/>
              <w:rPr>
                <w:rFonts w:hint="eastAsia" w:ascii="宋体" w:hAnsi="宋体" w:eastAsia="宋体" w:cs="宋体"/>
                <w:b/>
                <w:bCs/>
                <w:color w:val="000000"/>
                <w:kern w:val="0"/>
                <w:sz w:val="21"/>
                <w:szCs w:val="21"/>
              </w:rPr>
            </w:pPr>
          </w:p>
        </w:tc>
        <w:tc>
          <w:tcPr>
            <w:tcW w:w="507" w:type="pct"/>
            <w:vMerge w:val="continue"/>
            <w:vAlign w:val="center"/>
          </w:tcPr>
          <w:p>
            <w:pPr>
              <w:widowControl/>
              <w:jc w:val="left"/>
              <w:rPr>
                <w:rFonts w:hint="eastAsia" w:ascii="宋体" w:hAnsi="宋体" w:eastAsia="宋体" w:cs="宋体"/>
                <w:b/>
                <w:bCs/>
                <w:color w:val="000000"/>
                <w:kern w:val="0"/>
                <w:sz w:val="21"/>
                <w:szCs w:val="21"/>
              </w:rPr>
            </w:pPr>
          </w:p>
        </w:tc>
        <w:tc>
          <w:tcPr>
            <w:tcW w:w="362" w:type="pct"/>
            <w:vMerge w:val="continue"/>
            <w:vAlign w:val="center"/>
          </w:tcPr>
          <w:p>
            <w:pPr>
              <w:widowControl/>
              <w:jc w:val="left"/>
              <w:rPr>
                <w:rFonts w:hint="eastAsia" w:ascii="宋体" w:hAnsi="宋体" w:eastAsia="宋体" w:cs="宋体"/>
                <w:color w:val="000000"/>
                <w:kern w:val="0"/>
                <w:sz w:val="21"/>
                <w:szCs w:val="21"/>
              </w:rPr>
            </w:pPr>
          </w:p>
        </w:tc>
        <w:tc>
          <w:tcPr>
            <w:tcW w:w="584" w:type="pct"/>
            <w:vMerge w:val="continue"/>
            <w:vAlign w:val="center"/>
          </w:tcPr>
          <w:p>
            <w:pPr>
              <w:widowControl/>
              <w:jc w:val="left"/>
              <w:rPr>
                <w:rFonts w:hint="eastAsia" w:ascii="宋体" w:hAnsi="宋体" w:eastAsia="宋体" w:cs="宋体"/>
                <w:color w:val="000000"/>
                <w:kern w:val="0"/>
                <w:sz w:val="21"/>
                <w:szCs w:val="21"/>
              </w:rPr>
            </w:pPr>
          </w:p>
        </w:tc>
        <w:tc>
          <w:tcPr>
            <w:tcW w:w="1055" w:type="pct"/>
            <w:gridSpan w:val="2"/>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非BIM三维数据接入</w:t>
            </w:r>
          </w:p>
        </w:tc>
        <w:tc>
          <w:tcPr>
            <w:tcW w:w="1715" w:type="pct"/>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支持OSGB、OBJ等格式的倾斜摄影生产数据；支持对简单白模、带纹理白模的读取识别；支持城市设计、地下管线、地下空间等室内外精细模型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90" w:type="pct"/>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sz w:val="21"/>
                <w:szCs w:val="21"/>
              </w:rPr>
              <w:t>17</w:t>
            </w:r>
          </w:p>
        </w:tc>
        <w:tc>
          <w:tcPr>
            <w:tcW w:w="483" w:type="pct"/>
            <w:vMerge w:val="continue"/>
            <w:vAlign w:val="center"/>
          </w:tcPr>
          <w:p>
            <w:pPr>
              <w:widowControl/>
              <w:jc w:val="left"/>
              <w:rPr>
                <w:rFonts w:hint="eastAsia" w:ascii="宋体" w:hAnsi="宋体" w:eastAsia="宋体" w:cs="宋体"/>
                <w:b/>
                <w:bCs/>
                <w:color w:val="000000"/>
                <w:kern w:val="0"/>
                <w:sz w:val="21"/>
                <w:szCs w:val="21"/>
              </w:rPr>
            </w:pPr>
          </w:p>
        </w:tc>
        <w:tc>
          <w:tcPr>
            <w:tcW w:w="507" w:type="pct"/>
            <w:vMerge w:val="continue"/>
            <w:vAlign w:val="center"/>
          </w:tcPr>
          <w:p>
            <w:pPr>
              <w:widowControl/>
              <w:jc w:val="left"/>
              <w:rPr>
                <w:rFonts w:hint="eastAsia" w:ascii="宋体" w:hAnsi="宋体" w:eastAsia="宋体" w:cs="宋体"/>
                <w:b/>
                <w:bCs/>
                <w:color w:val="000000"/>
                <w:kern w:val="0"/>
                <w:sz w:val="21"/>
                <w:szCs w:val="21"/>
              </w:rPr>
            </w:pPr>
          </w:p>
        </w:tc>
        <w:tc>
          <w:tcPr>
            <w:tcW w:w="362" w:type="pct"/>
            <w:vMerge w:val="continue"/>
            <w:vAlign w:val="center"/>
          </w:tcPr>
          <w:p>
            <w:pPr>
              <w:widowControl/>
              <w:jc w:val="left"/>
              <w:rPr>
                <w:rFonts w:hint="eastAsia" w:ascii="宋体" w:hAnsi="宋体" w:eastAsia="宋体" w:cs="宋体"/>
                <w:color w:val="000000"/>
                <w:kern w:val="0"/>
                <w:sz w:val="21"/>
                <w:szCs w:val="21"/>
              </w:rPr>
            </w:pPr>
          </w:p>
        </w:tc>
        <w:tc>
          <w:tcPr>
            <w:tcW w:w="584" w:type="pct"/>
            <w:vMerge w:val="continue"/>
            <w:vAlign w:val="center"/>
          </w:tcPr>
          <w:p>
            <w:pPr>
              <w:widowControl/>
              <w:jc w:val="left"/>
              <w:rPr>
                <w:rFonts w:hint="eastAsia" w:ascii="宋体" w:hAnsi="宋体" w:eastAsia="宋体" w:cs="宋体"/>
                <w:color w:val="000000"/>
                <w:kern w:val="0"/>
                <w:sz w:val="21"/>
                <w:szCs w:val="21"/>
              </w:rPr>
            </w:pPr>
          </w:p>
        </w:tc>
        <w:tc>
          <w:tcPr>
            <w:tcW w:w="1055" w:type="pct"/>
            <w:gridSpan w:val="2"/>
            <w:vMerge w:val="restart"/>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政务数据接入</w:t>
            </w:r>
          </w:p>
        </w:tc>
        <w:tc>
          <w:tcPr>
            <w:tcW w:w="1715" w:type="pct"/>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链接浙江省空间治理数字化平台，进行数据接口开发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90" w:type="pct"/>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sz w:val="21"/>
                <w:szCs w:val="21"/>
              </w:rPr>
              <w:t>18</w:t>
            </w:r>
          </w:p>
        </w:tc>
        <w:tc>
          <w:tcPr>
            <w:tcW w:w="483" w:type="pct"/>
            <w:vMerge w:val="continue"/>
            <w:vAlign w:val="center"/>
          </w:tcPr>
          <w:p>
            <w:pPr>
              <w:widowControl/>
              <w:jc w:val="left"/>
              <w:rPr>
                <w:rFonts w:hint="eastAsia" w:ascii="宋体" w:hAnsi="宋体" w:eastAsia="宋体" w:cs="宋体"/>
                <w:b/>
                <w:bCs/>
                <w:color w:val="000000"/>
                <w:kern w:val="0"/>
                <w:sz w:val="21"/>
                <w:szCs w:val="21"/>
              </w:rPr>
            </w:pPr>
          </w:p>
        </w:tc>
        <w:tc>
          <w:tcPr>
            <w:tcW w:w="507" w:type="pct"/>
            <w:vMerge w:val="continue"/>
            <w:vAlign w:val="center"/>
          </w:tcPr>
          <w:p>
            <w:pPr>
              <w:widowControl/>
              <w:jc w:val="left"/>
              <w:rPr>
                <w:rFonts w:hint="eastAsia" w:ascii="宋体" w:hAnsi="宋体" w:eastAsia="宋体" w:cs="宋体"/>
                <w:b/>
                <w:bCs/>
                <w:color w:val="000000"/>
                <w:kern w:val="0"/>
                <w:sz w:val="21"/>
                <w:szCs w:val="21"/>
              </w:rPr>
            </w:pPr>
          </w:p>
        </w:tc>
        <w:tc>
          <w:tcPr>
            <w:tcW w:w="362" w:type="pct"/>
            <w:vMerge w:val="continue"/>
            <w:vAlign w:val="center"/>
          </w:tcPr>
          <w:p>
            <w:pPr>
              <w:widowControl/>
              <w:jc w:val="left"/>
              <w:rPr>
                <w:rFonts w:hint="eastAsia" w:ascii="宋体" w:hAnsi="宋体" w:eastAsia="宋体" w:cs="宋体"/>
                <w:color w:val="000000"/>
                <w:kern w:val="0"/>
                <w:sz w:val="21"/>
                <w:szCs w:val="21"/>
              </w:rPr>
            </w:pPr>
          </w:p>
        </w:tc>
        <w:tc>
          <w:tcPr>
            <w:tcW w:w="584" w:type="pct"/>
            <w:vMerge w:val="continue"/>
            <w:vAlign w:val="center"/>
          </w:tcPr>
          <w:p>
            <w:pPr>
              <w:widowControl/>
              <w:jc w:val="left"/>
              <w:rPr>
                <w:rFonts w:hint="eastAsia" w:ascii="宋体" w:hAnsi="宋体" w:eastAsia="宋体" w:cs="宋体"/>
                <w:color w:val="000000"/>
                <w:kern w:val="0"/>
                <w:sz w:val="21"/>
                <w:szCs w:val="21"/>
              </w:rPr>
            </w:pPr>
          </w:p>
        </w:tc>
        <w:tc>
          <w:tcPr>
            <w:tcW w:w="1055" w:type="pct"/>
            <w:gridSpan w:val="2"/>
            <w:vMerge w:val="continue"/>
            <w:vAlign w:val="center"/>
          </w:tcPr>
          <w:p>
            <w:pPr>
              <w:widowControl/>
              <w:jc w:val="left"/>
              <w:rPr>
                <w:rFonts w:hint="eastAsia" w:ascii="宋体" w:hAnsi="宋体" w:eastAsia="宋体" w:cs="宋体"/>
                <w:color w:val="000000"/>
                <w:kern w:val="0"/>
                <w:sz w:val="21"/>
                <w:szCs w:val="21"/>
              </w:rPr>
            </w:pPr>
          </w:p>
        </w:tc>
        <w:tc>
          <w:tcPr>
            <w:tcW w:w="1715" w:type="pct"/>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链接杭州市城市大脑，进行数据接口开发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90" w:type="pct"/>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sz w:val="21"/>
                <w:szCs w:val="21"/>
              </w:rPr>
              <w:t>19</w:t>
            </w:r>
          </w:p>
        </w:tc>
        <w:tc>
          <w:tcPr>
            <w:tcW w:w="483" w:type="pct"/>
            <w:vMerge w:val="continue"/>
            <w:vAlign w:val="center"/>
          </w:tcPr>
          <w:p>
            <w:pPr>
              <w:widowControl/>
              <w:jc w:val="left"/>
              <w:rPr>
                <w:rFonts w:hint="eastAsia" w:ascii="宋体" w:hAnsi="宋体" w:eastAsia="宋体" w:cs="宋体"/>
                <w:b/>
                <w:bCs/>
                <w:color w:val="000000"/>
                <w:kern w:val="0"/>
                <w:sz w:val="21"/>
                <w:szCs w:val="21"/>
              </w:rPr>
            </w:pPr>
          </w:p>
        </w:tc>
        <w:tc>
          <w:tcPr>
            <w:tcW w:w="507" w:type="pct"/>
            <w:vMerge w:val="continue"/>
            <w:vAlign w:val="center"/>
          </w:tcPr>
          <w:p>
            <w:pPr>
              <w:widowControl/>
              <w:jc w:val="left"/>
              <w:rPr>
                <w:rFonts w:hint="eastAsia" w:ascii="宋体" w:hAnsi="宋体" w:eastAsia="宋体" w:cs="宋体"/>
                <w:b/>
                <w:bCs/>
                <w:color w:val="000000"/>
                <w:kern w:val="0"/>
                <w:sz w:val="21"/>
                <w:szCs w:val="21"/>
              </w:rPr>
            </w:pPr>
          </w:p>
        </w:tc>
        <w:tc>
          <w:tcPr>
            <w:tcW w:w="362" w:type="pct"/>
            <w:vMerge w:val="continue"/>
            <w:vAlign w:val="center"/>
          </w:tcPr>
          <w:p>
            <w:pPr>
              <w:widowControl/>
              <w:jc w:val="left"/>
              <w:rPr>
                <w:rFonts w:hint="eastAsia" w:ascii="宋体" w:hAnsi="宋体" w:eastAsia="宋体" w:cs="宋体"/>
                <w:color w:val="000000"/>
                <w:kern w:val="0"/>
                <w:sz w:val="21"/>
                <w:szCs w:val="21"/>
              </w:rPr>
            </w:pPr>
          </w:p>
        </w:tc>
        <w:tc>
          <w:tcPr>
            <w:tcW w:w="584" w:type="pct"/>
            <w:vMerge w:val="continue"/>
            <w:vAlign w:val="center"/>
          </w:tcPr>
          <w:p>
            <w:pPr>
              <w:widowControl/>
              <w:jc w:val="left"/>
              <w:rPr>
                <w:rFonts w:hint="eastAsia" w:ascii="宋体" w:hAnsi="宋体" w:eastAsia="宋体" w:cs="宋体"/>
                <w:color w:val="000000"/>
                <w:kern w:val="0"/>
                <w:sz w:val="21"/>
                <w:szCs w:val="21"/>
              </w:rPr>
            </w:pPr>
          </w:p>
        </w:tc>
        <w:tc>
          <w:tcPr>
            <w:tcW w:w="1055" w:type="pct"/>
            <w:gridSpan w:val="2"/>
            <w:vMerge w:val="continue"/>
            <w:vAlign w:val="center"/>
          </w:tcPr>
          <w:p>
            <w:pPr>
              <w:widowControl/>
              <w:jc w:val="left"/>
              <w:rPr>
                <w:rFonts w:hint="eastAsia" w:ascii="宋体" w:hAnsi="宋体" w:eastAsia="宋体" w:cs="宋体"/>
                <w:color w:val="000000"/>
                <w:kern w:val="0"/>
                <w:sz w:val="21"/>
                <w:szCs w:val="21"/>
              </w:rPr>
            </w:pPr>
          </w:p>
        </w:tc>
        <w:tc>
          <w:tcPr>
            <w:tcW w:w="1715" w:type="pct"/>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链接杭州市智慧工地系统，进行数据接口开发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90" w:type="pct"/>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sz w:val="21"/>
                <w:szCs w:val="21"/>
              </w:rPr>
              <w:t>20</w:t>
            </w:r>
          </w:p>
        </w:tc>
        <w:tc>
          <w:tcPr>
            <w:tcW w:w="483" w:type="pct"/>
            <w:vMerge w:val="continue"/>
            <w:vAlign w:val="center"/>
          </w:tcPr>
          <w:p>
            <w:pPr>
              <w:widowControl/>
              <w:jc w:val="left"/>
              <w:rPr>
                <w:rFonts w:hint="eastAsia" w:ascii="宋体" w:hAnsi="宋体" w:eastAsia="宋体" w:cs="宋体"/>
                <w:b/>
                <w:bCs/>
                <w:color w:val="000000"/>
                <w:kern w:val="0"/>
                <w:sz w:val="21"/>
                <w:szCs w:val="21"/>
              </w:rPr>
            </w:pPr>
          </w:p>
        </w:tc>
        <w:tc>
          <w:tcPr>
            <w:tcW w:w="507" w:type="pct"/>
            <w:vMerge w:val="continue"/>
            <w:vAlign w:val="center"/>
          </w:tcPr>
          <w:p>
            <w:pPr>
              <w:widowControl/>
              <w:jc w:val="left"/>
              <w:rPr>
                <w:rFonts w:hint="eastAsia" w:ascii="宋体" w:hAnsi="宋体" w:eastAsia="宋体" w:cs="宋体"/>
                <w:b/>
                <w:bCs/>
                <w:color w:val="000000"/>
                <w:kern w:val="0"/>
                <w:sz w:val="21"/>
                <w:szCs w:val="21"/>
              </w:rPr>
            </w:pPr>
          </w:p>
        </w:tc>
        <w:tc>
          <w:tcPr>
            <w:tcW w:w="362" w:type="pct"/>
            <w:vMerge w:val="continue"/>
            <w:vAlign w:val="center"/>
          </w:tcPr>
          <w:p>
            <w:pPr>
              <w:widowControl/>
              <w:jc w:val="left"/>
              <w:rPr>
                <w:rFonts w:hint="eastAsia" w:ascii="宋体" w:hAnsi="宋体" w:eastAsia="宋体" w:cs="宋体"/>
                <w:color w:val="000000"/>
                <w:kern w:val="0"/>
                <w:sz w:val="21"/>
                <w:szCs w:val="21"/>
              </w:rPr>
            </w:pPr>
          </w:p>
        </w:tc>
        <w:tc>
          <w:tcPr>
            <w:tcW w:w="584" w:type="pct"/>
            <w:vMerge w:val="continue"/>
            <w:vAlign w:val="center"/>
          </w:tcPr>
          <w:p>
            <w:pPr>
              <w:widowControl/>
              <w:jc w:val="left"/>
              <w:rPr>
                <w:rFonts w:hint="eastAsia" w:ascii="宋体" w:hAnsi="宋体" w:eastAsia="宋体" w:cs="宋体"/>
                <w:color w:val="000000"/>
                <w:kern w:val="0"/>
                <w:sz w:val="21"/>
                <w:szCs w:val="21"/>
              </w:rPr>
            </w:pPr>
          </w:p>
        </w:tc>
        <w:tc>
          <w:tcPr>
            <w:tcW w:w="1055" w:type="pct"/>
            <w:gridSpan w:val="2"/>
            <w:vMerge w:val="continue"/>
            <w:vAlign w:val="center"/>
          </w:tcPr>
          <w:p>
            <w:pPr>
              <w:widowControl/>
              <w:jc w:val="left"/>
              <w:rPr>
                <w:rFonts w:hint="eastAsia" w:ascii="宋体" w:hAnsi="宋体" w:eastAsia="宋体" w:cs="宋体"/>
                <w:color w:val="000000"/>
                <w:kern w:val="0"/>
                <w:sz w:val="21"/>
                <w:szCs w:val="21"/>
              </w:rPr>
            </w:pPr>
          </w:p>
        </w:tc>
        <w:tc>
          <w:tcPr>
            <w:tcW w:w="1715" w:type="pct"/>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链接杭州市“1369”工程项目全过程数字化管理系统，进行数据接口开发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90" w:type="pct"/>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sz w:val="21"/>
                <w:szCs w:val="21"/>
              </w:rPr>
              <w:t>21</w:t>
            </w:r>
          </w:p>
        </w:tc>
        <w:tc>
          <w:tcPr>
            <w:tcW w:w="483" w:type="pct"/>
            <w:vMerge w:val="continue"/>
            <w:vAlign w:val="center"/>
          </w:tcPr>
          <w:p>
            <w:pPr>
              <w:widowControl/>
              <w:jc w:val="left"/>
              <w:rPr>
                <w:rFonts w:hint="eastAsia" w:ascii="宋体" w:hAnsi="宋体" w:eastAsia="宋体" w:cs="宋体"/>
                <w:b/>
                <w:bCs/>
                <w:color w:val="000000"/>
                <w:kern w:val="0"/>
                <w:sz w:val="21"/>
                <w:szCs w:val="21"/>
              </w:rPr>
            </w:pPr>
          </w:p>
        </w:tc>
        <w:tc>
          <w:tcPr>
            <w:tcW w:w="507" w:type="pct"/>
            <w:vMerge w:val="continue"/>
            <w:vAlign w:val="center"/>
          </w:tcPr>
          <w:p>
            <w:pPr>
              <w:widowControl/>
              <w:jc w:val="left"/>
              <w:rPr>
                <w:rFonts w:hint="eastAsia" w:ascii="宋体" w:hAnsi="宋体" w:eastAsia="宋体" w:cs="宋体"/>
                <w:b/>
                <w:bCs/>
                <w:color w:val="000000"/>
                <w:kern w:val="0"/>
                <w:sz w:val="21"/>
                <w:szCs w:val="21"/>
              </w:rPr>
            </w:pPr>
          </w:p>
        </w:tc>
        <w:tc>
          <w:tcPr>
            <w:tcW w:w="362" w:type="pct"/>
            <w:vMerge w:val="continue"/>
            <w:vAlign w:val="center"/>
          </w:tcPr>
          <w:p>
            <w:pPr>
              <w:widowControl/>
              <w:jc w:val="left"/>
              <w:rPr>
                <w:rFonts w:hint="eastAsia" w:ascii="宋体" w:hAnsi="宋体" w:eastAsia="宋体" w:cs="宋体"/>
                <w:color w:val="000000"/>
                <w:kern w:val="0"/>
                <w:sz w:val="21"/>
                <w:szCs w:val="21"/>
              </w:rPr>
            </w:pPr>
          </w:p>
        </w:tc>
        <w:tc>
          <w:tcPr>
            <w:tcW w:w="584" w:type="pct"/>
            <w:vMerge w:val="continue"/>
            <w:vAlign w:val="center"/>
          </w:tcPr>
          <w:p>
            <w:pPr>
              <w:widowControl/>
              <w:jc w:val="left"/>
              <w:rPr>
                <w:rFonts w:hint="eastAsia" w:ascii="宋体" w:hAnsi="宋体" w:eastAsia="宋体" w:cs="宋体"/>
                <w:color w:val="000000"/>
                <w:kern w:val="0"/>
                <w:sz w:val="21"/>
                <w:szCs w:val="21"/>
              </w:rPr>
            </w:pPr>
          </w:p>
        </w:tc>
        <w:tc>
          <w:tcPr>
            <w:tcW w:w="1055" w:type="pct"/>
            <w:gridSpan w:val="2"/>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BIM数据接入</w:t>
            </w:r>
          </w:p>
        </w:tc>
        <w:tc>
          <w:tcPr>
            <w:tcW w:w="1715" w:type="pct"/>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BIM数据是按照文件形式提交模式，提供数据接口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90" w:type="pct"/>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sz w:val="21"/>
                <w:szCs w:val="21"/>
              </w:rPr>
              <w:t>22</w:t>
            </w:r>
          </w:p>
        </w:tc>
        <w:tc>
          <w:tcPr>
            <w:tcW w:w="483" w:type="pct"/>
            <w:vMerge w:val="continue"/>
            <w:vAlign w:val="center"/>
          </w:tcPr>
          <w:p>
            <w:pPr>
              <w:widowControl/>
              <w:jc w:val="left"/>
              <w:rPr>
                <w:rFonts w:hint="eastAsia" w:ascii="宋体" w:hAnsi="宋体" w:eastAsia="宋体" w:cs="宋体"/>
                <w:b/>
                <w:bCs/>
                <w:color w:val="000000"/>
                <w:kern w:val="0"/>
                <w:sz w:val="21"/>
                <w:szCs w:val="21"/>
              </w:rPr>
            </w:pPr>
          </w:p>
        </w:tc>
        <w:tc>
          <w:tcPr>
            <w:tcW w:w="507" w:type="pct"/>
            <w:vMerge w:val="continue"/>
            <w:vAlign w:val="center"/>
          </w:tcPr>
          <w:p>
            <w:pPr>
              <w:widowControl/>
              <w:jc w:val="left"/>
              <w:rPr>
                <w:rFonts w:hint="eastAsia" w:ascii="宋体" w:hAnsi="宋体" w:eastAsia="宋体" w:cs="宋体"/>
                <w:b/>
                <w:bCs/>
                <w:color w:val="000000"/>
                <w:kern w:val="0"/>
                <w:sz w:val="21"/>
                <w:szCs w:val="21"/>
              </w:rPr>
            </w:pPr>
          </w:p>
        </w:tc>
        <w:tc>
          <w:tcPr>
            <w:tcW w:w="362" w:type="pct"/>
            <w:vMerge w:val="continue"/>
            <w:vAlign w:val="center"/>
          </w:tcPr>
          <w:p>
            <w:pPr>
              <w:widowControl/>
              <w:jc w:val="left"/>
              <w:rPr>
                <w:rFonts w:hint="eastAsia" w:ascii="宋体" w:hAnsi="宋体" w:eastAsia="宋体" w:cs="宋体"/>
                <w:color w:val="000000"/>
                <w:kern w:val="0"/>
                <w:sz w:val="21"/>
                <w:szCs w:val="21"/>
              </w:rPr>
            </w:pPr>
          </w:p>
        </w:tc>
        <w:tc>
          <w:tcPr>
            <w:tcW w:w="584" w:type="pct"/>
            <w:vMerge w:val="continue"/>
            <w:vAlign w:val="center"/>
          </w:tcPr>
          <w:p>
            <w:pPr>
              <w:widowControl/>
              <w:jc w:val="left"/>
              <w:rPr>
                <w:rFonts w:hint="eastAsia" w:ascii="宋体" w:hAnsi="宋体" w:eastAsia="宋体" w:cs="宋体"/>
                <w:color w:val="000000"/>
                <w:kern w:val="0"/>
                <w:sz w:val="21"/>
                <w:szCs w:val="21"/>
              </w:rPr>
            </w:pPr>
          </w:p>
        </w:tc>
        <w:tc>
          <w:tcPr>
            <w:tcW w:w="1055" w:type="pct"/>
            <w:gridSpan w:val="2"/>
            <w:vMerge w:val="restart"/>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物联感知数据接入</w:t>
            </w:r>
          </w:p>
        </w:tc>
        <w:tc>
          <w:tcPr>
            <w:tcW w:w="1715" w:type="pct"/>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实时数据接入：接入物联网设备实时数据和事件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90" w:type="pct"/>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sz w:val="21"/>
                <w:szCs w:val="21"/>
              </w:rPr>
              <w:t>23</w:t>
            </w:r>
          </w:p>
        </w:tc>
        <w:tc>
          <w:tcPr>
            <w:tcW w:w="483" w:type="pct"/>
            <w:vMerge w:val="continue"/>
            <w:vAlign w:val="center"/>
          </w:tcPr>
          <w:p>
            <w:pPr>
              <w:widowControl/>
              <w:jc w:val="left"/>
              <w:rPr>
                <w:rFonts w:hint="eastAsia" w:ascii="宋体" w:hAnsi="宋体" w:eastAsia="宋体" w:cs="宋体"/>
                <w:b/>
                <w:bCs/>
                <w:color w:val="000000"/>
                <w:kern w:val="0"/>
                <w:sz w:val="21"/>
                <w:szCs w:val="21"/>
              </w:rPr>
            </w:pPr>
          </w:p>
        </w:tc>
        <w:tc>
          <w:tcPr>
            <w:tcW w:w="507" w:type="pct"/>
            <w:vMerge w:val="continue"/>
            <w:vAlign w:val="center"/>
          </w:tcPr>
          <w:p>
            <w:pPr>
              <w:widowControl/>
              <w:jc w:val="left"/>
              <w:rPr>
                <w:rFonts w:hint="eastAsia" w:ascii="宋体" w:hAnsi="宋体" w:eastAsia="宋体" w:cs="宋体"/>
                <w:b/>
                <w:bCs/>
                <w:color w:val="000000"/>
                <w:kern w:val="0"/>
                <w:sz w:val="21"/>
                <w:szCs w:val="21"/>
              </w:rPr>
            </w:pPr>
          </w:p>
        </w:tc>
        <w:tc>
          <w:tcPr>
            <w:tcW w:w="362" w:type="pct"/>
            <w:vMerge w:val="continue"/>
            <w:vAlign w:val="center"/>
          </w:tcPr>
          <w:p>
            <w:pPr>
              <w:widowControl/>
              <w:jc w:val="left"/>
              <w:rPr>
                <w:rFonts w:hint="eastAsia" w:ascii="宋体" w:hAnsi="宋体" w:eastAsia="宋体" w:cs="宋体"/>
                <w:color w:val="000000"/>
                <w:kern w:val="0"/>
                <w:sz w:val="21"/>
                <w:szCs w:val="21"/>
              </w:rPr>
            </w:pPr>
          </w:p>
        </w:tc>
        <w:tc>
          <w:tcPr>
            <w:tcW w:w="584" w:type="pct"/>
            <w:vMerge w:val="continue"/>
            <w:vAlign w:val="center"/>
          </w:tcPr>
          <w:p>
            <w:pPr>
              <w:widowControl/>
              <w:jc w:val="left"/>
              <w:rPr>
                <w:rFonts w:hint="eastAsia" w:ascii="宋体" w:hAnsi="宋体" w:eastAsia="宋体" w:cs="宋体"/>
                <w:color w:val="000000"/>
                <w:kern w:val="0"/>
                <w:sz w:val="21"/>
                <w:szCs w:val="21"/>
              </w:rPr>
            </w:pPr>
          </w:p>
        </w:tc>
        <w:tc>
          <w:tcPr>
            <w:tcW w:w="1055" w:type="pct"/>
            <w:gridSpan w:val="2"/>
            <w:vMerge w:val="continue"/>
            <w:vAlign w:val="center"/>
          </w:tcPr>
          <w:p>
            <w:pPr>
              <w:widowControl/>
              <w:jc w:val="left"/>
              <w:rPr>
                <w:rFonts w:hint="eastAsia" w:ascii="宋体" w:hAnsi="宋体" w:eastAsia="宋体" w:cs="宋体"/>
                <w:color w:val="000000"/>
                <w:kern w:val="0"/>
                <w:sz w:val="21"/>
                <w:szCs w:val="21"/>
              </w:rPr>
            </w:pPr>
          </w:p>
        </w:tc>
        <w:tc>
          <w:tcPr>
            <w:tcW w:w="1715" w:type="pct"/>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静态数据接入：物联网设备的基础信息（ID、名称、位置、产商等）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90" w:type="pct"/>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sz w:val="21"/>
                <w:szCs w:val="21"/>
              </w:rPr>
              <w:t>24</w:t>
            </w:r>
          </w:p>
        </w:tc>
        <w:tc>
          <w:tcPr>
            <w:tcW w:w="483" w:type="pct"/>
            <w:vMerge w:val="continue"/>
            <w:vAlign w:val="center"/>
          </w:tcPr>
          <w:p>
            <w:pPr>
              <w:widowControl/>
              <w:jc w:val="left"/>
              <w:rPr>
                <w:rFonts w:hint="eastAsia" w:ascii="宋体" w:hAnsi="宋体" w:eastAsia="宋体" w:cs="宋体"/>
                <w:b/>
                <w:bCs/>
                <w:color w:val="000000"/>
                <w:kern w:val="0"/>
                <w:sz w:val="21"/>
                <w:szCs w:val="21"/>
              </w:rPr>
            </w:pPr>
          </w:p>
        </w:tc>
        <w:tc>
          <w:tcPr>
            <w:tcW w:w="507" w:type="pct"/>
            <w:vMerge w:val="continue"/>
            <w:vAlign w:val="center"/>
          </w:tcPr>
          <w:p>
            <w:pPr>
              <w:widowControl/>
              <w:jc w:val="left"/>
              <w:rPr>
                <w:rFonts w:hint="eastAsia" w:ascii="宋体" w:hAnsi="宋体" w:eastAsia="宋体" w:cs="宋体"/>
                <w:b/>
                <w:bCs/>
                <w:color w:val="000000"/>
                <w:kern w:val="0"/>
                <w:sz w:val="21"/>
                <w:szCs w:val="21"/>
              </w:rPr>
            </w:pPr>
          </w:p>
        </w:tc>
        <w:tc>
          <w:tcPr>
            <w:tcW w:w="362" w:type="pct"/>
            <w:vMerge w:val="continue"/>
            <w:vAlign w:val="center"/>
          </w:tcPr>
          <w:p>
            <w:pPr>
              <w:widowControl/>
              <w:jc w:val="left"/>
              <w:rPr>
                <w:rFonts w:hint="eastAsia" w:ascii="宋体" w:hAnsi="宋体" w:eastAsia="宋体" w:cs="宋体"/>
                <w:color w:val="000000"/>
                <w:kern w:val="0"/>
                <w:sz w:val="21"/>
                <w:szCs w:val="21"/>
              </w:rPr>
            </w:pPr>
          </w:p>
        </w:tc>
        <w:tc>
          <w:tcPr>
            <w:tcW w:w="584" w:type="pct"/>
            <w:vMerge w:val="continue"/>
            <w:vAlign w:val="center"/>
          </w:tcPr>
          <w:p>
            <w:pPr>
              <w:widowControl/>
              <w:jc w:val="left"/>
              <w:rPr>
                <w:rFonts w:hint="eastAsia" w:ascii="宋体" w:hAnsi="宋体" w:eastAsia="宋体" w:cs="宋体"/>
                <w:color w:val="000000"/>
                <w:kern w:val="0"/>
                <w:sz w:val="21"/>
                <w:szCs w:val="21"/>
              </w:rPr>
            </w:pPr>
          </w:p>
        </w:tc>
        <w:tc>
          <w:tcPr>
            <w:tcW w:w="1055" w:type="pct"/>
            <w:gridSpan w:val="2"/>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视频数据接入</w:t>
            </w:r>
          </w:p>
        </w:tc>
        <w:tc>
          <w:tcPr>
            <w:tcW w:w="1715" w:type="pct"/>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对在线接入数据的更新频次、精度、流量等进行统一监控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290" w:type="pct"/>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sz w:val="21"/>
                <w:szCs w:val="21"/>
              </w:rPr>
              <w:t>25</w:t>
            </w:r>
          </w:p>
        </w:tc>
        <w:tc>
          <w:tcPr>
            <w:tcW w:w="483" w:type="pct"/>
            <w:vMerge w:val="continue"/>
            <w:vAlign w:val="center"/>
          </w:tcPr>
          <w:p>
            <w:pPr>
              <w:widowControl/>
              <w:jc w:val="left"/>
              <w:rPr>
                <w:rFonts w:hint="eastAsia" w:ascii="宋体" w:hAnsi="宋体" w:eastAsia="宋体" w:cs="宋体"/>
                <w:b/>
                <w:bCs/>
                <w:color w:val="000000"/>
                <w:kern w:val="0"/>
                <w:sz w:val="21"/>
                <w:szCs w:val="21"/>
              </w:rPr>
            </w:pPr>
          </w:p>
        </w:tc>
        <w:tc>
          <w:tcPr>
            <w:tcW w:w="507" w:type="pct"/>
            <w:vMerge w:val="continue"/>
            <w:vAlign w:val="center"/>
          </w:tcPr>
          <w:p>
            <w:pPr>
              <w:widowControl/>
              <w:jc w:val="left"/>
              <w:rPr>
                <w:rFonts w:hint="eastAsia" w:ascii="宋体" w:hAnsi="宋体" w:eastAsia="宋体" w:cs="宋体"/>
                <w:b/>
                <w:bCs/>
                <w:color w:val="000000"/>
                <w:kern w:val="0"/>
                <w:sz w:val="21"/>
                <w:szCs w:val="21"/>
              </w:rPr>
            </w:pPr>
          </w:p>
        </w:tc>
        <w:tc>
          <w:tcPr>
            <w:tcW w:w="362" w:type="pct"/>
            <w:vMerge w:val="continue"/>
            <w:vAlign w:val="center"/>
          </w:tcPr>
          <w:p>
            <w:pPr>
              <w:widowControl/>
              <w:jc w:val="left"/>
              <w:rPr>
                <w:rFonts w:hint="eastAsia" w:ascii="宋体" w:hAnsi="宋体" w:eastAsia="宋体" w:cs="宋体"/>
                <w:color w:val="000000"/>
                <w:kern w:val="0"/>
                <w:sz w:val="21"/>
                <w:szCs w:val="21"/>
              </w:rPr>
            </w:pPr>
          </w:p>
        </w:tc>
        <w:tc>
          <w:tcPr>
            <w:tcW w:w="584" w:type="pct"/>
            <w:vMerge w:val="restart"/>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数据标准化模块</w:t>
            </w:r>
          </w:p>
        </w:tc>
        <w:tc>
          <w:tcPr>
            <w:tcW w:w="1055" w:type="pct"/>
            <w:gridSpan w:val="2"/>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空间坐标转换</w:t>
            </w:r>
          </w:p>
        </w:tc>
        <w:tc>
          <w:tcPr>
            <w:tcW w:w="1715" w:type="pct"/>
            <w:vAlign w:val="center"/>
          </w:tcPr>
          <w:p>
            <w:pPr>
              <w:widowControl/>
              <w:jc w:val="left"/>
              <w:rPr>
                <w:rFonts w:hint="eastAsia" w:ascii="宋体" w:hAnsi="宋体" w:eastAsia="宋体" w:cs="宋体"/>
                <w:color w:val="000000"/>
                <w:kern w:val="0"/>
                <w:sz w:val="21"/>
                <w:szCs w:val="21"/>
                <w:highlight w:val="yellow"/>
              </w:rPr>
            </w:pPr>
            <w:r>
              <w:rPr>
                <w:rFonts w:hint="eastAsia" w:ascii="宋体" w:hAnsi="宋体" w:eastAsia="宋体" w:cs="宋体"/>
                <w:color w:val="000000"/>
                <w:kern w:val="0"/>
                <w:sz w:val="21"/>
                <w:szCs w:val="21"/>
              </w:rPr>
              <w:t>支持数据集投影转换、批量投影转换、坐标点转换等坐标转换方式；支持地理坐标与投影坐标相互转换；支持主流三维数据的坐标转换；支持数据坐标系定义。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90" w:type="pct"/>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sz w:val="21"/>
                <w:szCs w:val="21"/>
              </w:rPr>
              <w:t>26</w:t>
            </w:r>
          </w:p>
        </w:tc>
        <w:tc>
          <w:tcPr>
            <w:tcW w:w="483" w:type="pct"/>
            <w:vMerge w:val="continue"/>
            <w:vAlign w:val="center"/>
          </w:tcPr>
          <w:p>
            <w:pPr>
              <w:widowControl/>
              <w:jc w:val="left"/>
              <w:rPr>
                <w:rFonts w:hint="eastAsia" w:ascii="宋体" w:hAnsi="宋体" w:eastAsia="宋体" w:cs="宋体"/>
                <w:b/>
                <w:bCs/>
                <w:color w:val="000000"/>
                <w:kern w:val="0"/>
                <w:sz w:val="21"/>
                <w:szCs w:val="21"/>
              </w:rPr>
            </w:pPr>
          </w:p>
        </w:tc>
        <w:tc>
          <w:tcPr>
            <w:tcW w:w="507" w:type="pct"/>
            <w:vMerge w:val="continue"/>
            <w:vAlign w:val="center"/>
          </w:tcPr>
          <w:p>
            <w:pPr>
              <w:widowControl/>
              <w:jc w:val="left"/>
              <w:rPr>
                <w:rFonts w:hint="eastAsia" w:ascii="宋体" w:hAnsi="宋体" w:eastAsia="宋体" w:cs="宋体"/>
                <w:b/>
                <w:bCs/>
                <w:color w:val="000000"/>
                <w:kern w:val="0"/>
                <w:sz w:val="21"/>
                <w:szCs w:val="21"/>
              </w:rPr>
            </w:pPr>
          </w:p>
        </w:tc>
        <w:tc>
          <w:tcPr>
            <w:tcW w:w="362" w:type="pct"/>
            <w:vMerge w:val="continue"/>
            <w:vAlign w:val="center"/>
          </w:tcPr>
          <w:p>
            <w:pPr>
              <w:widowControl/>
              <w:jc w:val="left"/>
              <w:rPr>
                <w:rFonts w:hint="eastAsia" w:ascii="宋体" w:hAnsi="宋体" w:eastAsia="宋体" w:cs="宋体"/>
                <w:color w:val="000000"/>
                <w:kern w:val="0"/>
                <w:sz w:val="21"/>
                <w:szCs w:val="21"/>
              </w:rPr>
            </w:pPr>
          </w:p>
        </w:tc>
        <w:tc>
          <w:tcPr>
            <w:tcW w:w="584" w:type="pct"/>
            <w:vMerge w:val="continue"/>
            <w:vAlign w:val="center"/>
          </w:tcPr>
          <w:p>
            <w:pPr>
              <w:widowControl/>
              <w:jc w:val="left"/>
              <w:rPr>
                <w:rFonts w:hint="eastAsia" w:ascii="宋体" w:hAnsi="宋体" w:eastAsia="宋体" w:cs="宋体"/>
                <w:color w:val="000000"/>
                <w:kern w:val="0"/>
                <w:sz w:val="21"/>
                <w:szCs w:val="21"/>
              </w:rPr>
            </w:pPr>
          </w:p>
        </w:tc>
        <w:tc>
          <w:tcPr>
            <w:tcW w:w="1055" w:type="pct"/>
            <w:gridSpan w:val="2"/>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二三维GIS数据格式转换</w:t>
            </w:r>
          </w:p>
        </w:tc>
        <w:tc>
          <w:tcPr>
            <w:tcW w:w="1715" w:type="pct"/>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主流GIS数据文件（GeoJSON、Shapefile、GDB、MDB、GeoTIF、IMG等）及空间数据库互相转换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90" w:type="pct"/>
            <w:vAlign w:val="center"/>
          </w:tcPr>
          <w:p>
            <w:pPr>
              <w:widowControl/>
              <w:jc w:val="center"/>
              <w:rPr>
                <w:rFonts w:hint="eastAsia" w:ascii="宋体" w:hAnsi="宋体" w:eastAsia="宋体" w:cs="宋体"/>
                <w:b/>
                <w:bCs/>
                <w:color w:val="000000"/>
                <w:sz w:val="21"/>
                <w:szCs w:val="21"/>
              </w:rPr>
            </w:pPr>
            <w:r>
              <w:rPr>
                <w:rFonts w:hint="eastAsia" w:ascii="宋体" w:hAnsi="宋体" w:eastAsia="宋体" w:cs="宋体"/>
                <w:b/>
                <w:bCs/>
                <w:color w:val="000000"/>
                <w:sz w:val="21"/>
                <w:szCs w:val="21"/>
              </w:rPr>
              <w:t>27</w:t>
            </w:r>
          </w:p>
        </w:tc>
        <w:tc>
          <w:tcPr>
            <w:tcW w:w="483" w:type="pct"/>
            <w:vMerge w:val="continue"/>
            <w:vAlign w:val="center"/>
          </w:tcPr>
          <w:p>
            <w:pPr>
              <w:widowControl/>
              <w:jc w:val="left"/>
              <w:rPr>
                <w:rFonts w:hint="eastAsia" w:ascii="宋体" w:hAnsi="宋体" w:eastAsia="宋体" w:cs="宋体"/>
                <w:b/>
                <w:bCs/>
                <w:color w:val="000000"/>
                <w:kern w:val="0"/>
                <w:sz w:val="21"/>
                <w:szCs w:val="21"/>
              </w:rPr>
            </w:pPr>
          </w:p>
        </w:tc>
        <w:tc>
          <w:tcPr>
            <w:tcW w:w="507" w:type="pct"/>
            <w:vMerge w:val="continue"/>
            <w:vAlign w:val="center"/>
          </w:tcPr>
          <w:p>
            <w:pPr>
              <w:widowControl/>
              <w:jc w:val="left"/>
              <w:rPr>
                <w:rFonts w:hint="eastAsia" w:ascii="宋体" w:hAnsi="宋体" w:eastAsia="宋体" w:cs="宋体"/>
                <w:b/>
                <w:bCs/>
                <w:color w:val="000000"/>
                <w:kern w:val="0"/>
                <w:sz w:val="21"/>
                <w:szCs w:val="21"/>
              </w:rPr>
            </w:pPr>
          </w:p>
        </w:tc>
        <w:tc>
          <w:tcPr>
            <w:tcW w:w="362" w:type="pct"/>
            <w:vMerge w:val="continue"/>
            <w:vAlign w:val="center"/>
          </w:tcPr>
          <w:p>
            <w:pPr>
              <w:widowControl/>
              <w:jc w:val="left"/>
              <w:rPr>
                <w:rFonts w:hint="eastAsia" w:ascii="宋体" w:hAnsi="宋体" w:eastAsia="宋体" w:cs="宋体"/>
                <w:color w:val="000000"/>
                <w:kern w:val="0"/>
                <w:sz w:val="21"/>
                <w:szCs w:val="21"/>
              </w:rPr>
            </w:pPr>
          </w:p>
        </w:tc>
        <w:tc>
          <w:tcPr>
            <w:tcW w:w="584" w:type="pct"/>
            <w:vMerge w:val="continue"/>
            <w:vAlign w:val="center"/>
          </w:tcPr>
          <w:p>
            <w:pPr>
              <w:widowControl/>
              <w:jc w:val="left"/>
              <w:rPr>
                <w:rFonts w:hint="eastAsia" w:ascii="宋体" w:hAnsi="宋体" w:eastAsia="宋体" w:cs="宋体"/>
                <w:color w:val="000000"/>
                <w:kern w:val="0"/>
                <w:sz w:val="21"/>
                <w:szCs w:val="21"/>
              </w:rPr>
            </w:pPr>
          </w:p>
        </w:tc>
        <w:tc>
          <w:tcPr>
            <w:tcW w:w="1055" w:type="pct"/>
            <w:gridSpan w:val="2"/>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非BIM三维模型数据格式转换</w:t>
            </w:r>
          </w:p>
        </w:tc>
        <w:tc>
          <w:tcPr>
            <w:tcW w:w="1715" w:type="pct"/>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支持主流非BIM三维数据的格式相互转换。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290" w:type="pct"/>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sz w:val="21"/>
                <w:szCs w:val="21"/>
              </w:rPr>
              <w:t>28</w:t>
            </w:r>
          </w:p>
        </w:tc>
        <w:tc>
          <w:tcPr>
            <w:tcW w:w="483" w:type="pct"/>
            <w:vMerge w:val="continue"/>
            <w:vAlign w:val="center"/>
          </w:tcPr>
          <w:p>
            <w:pPr>
              <w:widowControl/>
              <w:jc w:val="left"/>
              <w:rPr>
                <w:rFonts w:hint="eastAsia" w:ascii="宋体" w:hAnsi="宋体" w:eastAsia="宋体" w:cs="宋体"/>
                <w:b/>
                <w:bCs/>
                <w:color w:val="000000"/>
                <w:kern w:val="0"/>
                <w:sz w:val="21"/>
                <w:szCs w:val="21"/>
              </w:rPr>
            </w:pPr>
          </w:p>
        </w:tc>
        <w:tc>
          <w:tcPr>
            <w:tcW w:w="507" w:type="pct"/>
            <w:vMerge w:val="continue"/>
            <w:vAlign w:val="center"/>
          </w:tcPr>
          <w:p>
            <w:pPr>
              <w:widowControl/>
              <w:jc w:val="left"/>
              <w:rPr>
                <w:rFonts w:hint="eastAsia" w:ascii="宋体" w:hAnsi="宋体" w:eastAsia="宋体" w:cs="宋体"/>
                <w:b/>
                <w:bCs/>
                <w:color w:val="000000"/>
                <w:kern w:val="0"/>
                <w:sz w:val="21"/>
                <w:szCs w:val="21"/>
              </w:rPr>
            </w:pPr>
          </w:p>
        </w:tc>
        <w:tc>
          <w:tcPr>
            <w:tcW w:w="362" w:type="pct"/>
            <w:vMerge w:val="continue"/>
            <w:vAlign w:val="center"/>
          </w:tcPr>
          <w:p>
            <w:pPr>
              <w:widowControl/>
              <w:jc w:val="left"/>
              <w:rPr>
                <w:rFonts w:hint="eastAsia" w:ascii="宋体" w:hAnsi="宋体" w:eastAsia="宋体" w:cs="宋体"/>
                <w:color w:val="000000"/>
                <w:kern w:val="0"/>
                <w:sz w:val="21"/>
                <w:szCs w:val="21"/>
              </w:rPr>
            </w:pPr>
          </w:p>
        </w:tc>
        <w:tc>
          <w:tcPr>
            <w:tcW w:w="584" w:type="pct"/>
            <w:vMerge w:val="continue"/>
            <w:vAlign w:val="center"/>
          </w:tcPr>
          <w:p>
            <w:pPr>
              <w:widowControl/>
              <w:jc w:val="left"/>
              <w:rPr>
                <w:rFonts w:hint="eastAsia" w:ascii="宋体" w:hAnsi="宋体" w:eastAsia="宋体" w:cs="宋体"/>
                <w:color w:val="000000"/>
                <w:kern w:val="0"/>
                <w:sz w:val="21"/>
                <w:szCs w:val="21"/>
              </w:rPr>
            </w:pPr>
          </w:p>
        </w:tc>
        <w:tc>
          <w:tcPr>
            <w:tcW w:w="1055" w:type="pct"/>
            <w:gridSpan w:val="2"/>
            <w:vMerge w:val="restart"/>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BIM数据格式转换</w:t>
            </w:r>
          </w:p>
        </w:tc>
        <w:tc>
          <w:tcPr>
            <w:tcW w:w="1715" w:type="pct"/>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针对</w:t>
            </w:r>
            <w:r>
              <w:rPr>
                <w:rFonts w:hint="eastAsia" w:ascii="宋体" w:hAnsi="宋体" w:eastAsia="宋体" w:cs="宋体"/>
                <w:b/>
                <w:bCs/>
                <w:color w:val="000000"/>
                <w:kern w:val="0"/>
                <w:sz w:val="21"/>
                <w:szCs w:val="21"/>
                <w:u w:val="single"/>
              </w:rPr>
              <w:t>Revit模型</w:t>
            </w:r>
            <w:r>
              <w:rPr>
                <w:rFonts w:hint="eastAsia" w:ascii="宋体" w:hAnsi="宋体" w:eastAsia="宋体" w:cs="宋体"/>
                <w:color w:val="000000"/>
                <w:kern w:val="0"/>
                <w:sz w:val="21"/>
                <w:szCs w:val="21"/>
              </w:rPr>
              <w:t>，利用统一格式数据框架接口将BIM文件转换成统一数据标准，通过配置文件的形式进行数据过滤，从而形成具有统一数据标准的BIM数据。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290" w:type="pct"/>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sz w:val="21"/>
                <w:szCs w:val="21"/>
              </w:rPr>
              <w:t>29</w:t>
            </w:r>
          </w:p>
        </w:tc>
        <w:tc>
          <w:tcPr>
            <w:tcW w:w="483" w:type="pct"/>
            <w:vMerge w:val="continue"/>
            <w:vAlign w:val="center"/>
          </w:tcPr>
          <w:p>
            <w:pPr>
              <w:widowControl/>
              <w:jc w:val="left"/>
              <w:rPr>
                <w:rFonts w:hint="eastAsia" w:ascii="宋体" w:hAnsi="宋体" w:eastAsia="宋体" w:cs="宋体"/>
                <w:b/>
                <w:bCs/>
                <w:color w:val="000000"/>
                <w:kern w:val="0"/>
                <w:sz w:val="21"/>
                <w:szCs w:val="21"/>
              </w:rPr>
            </w:pPr>
          </w:p>
        </w:tc>
        <w:tc>
          <w:tcPr>
            <w:tcW w:w="507" w:type="pct"/>
            <w:vMerge w:val="continue"/>
            <w:vAlign w:val="center"/>
          </w:tcPr>
          <w:p>
            <w:pPr>
              <w:widowControl/>
              <w:jc w:val="left"/>
              <w:rPr>
                <w:rFonts w:hint="eastAsia" w:ascii="宋体" w:hAnsi="宋体" w:eastAsia="宋体" w:cs="宋体"/>
                <w:b/>
                <w:bCs/>
                <w:color w:val="000000"/>
                <w:kern w:val="0"/>
                <w:sz w:val="21"/>
                <w:szCs w:val="21"/>
              </w:rPr>
            </w:pPr>
          </w:p>
        </w:tc>
        <w:tc>
          <w:tcPr>
            <w:tcW w:w="362" w:type="pct"/>
            <w:vMerge w:val="continue"/>
            <w:vAlign w:val="center"/>
          </w:tcPr>
          <w:p>
            <w:pPr>
              <w:widowControl/>
              <w:jc w:val="left"/>
              <w:rPr>
                <w:rFonts w:hint="eastAsia" w:ascii="宋体" w:hAnsi="宋体" w:eastAsia="宋体" w:cs="宋体"/>
                <w:color w:val="000000"/>
                <w:kern w:val="0"/>
                <w:sz w:val="21"/>
                <w:szCs w:val="21"/>
              </w:rPr>
            </w:pPr>
          </w:p>
        </w:tc>
        <w:tc>
          <w:tcPr>
            <w:tcW w:w="584" w:type="pct"/>
            <w:vMerge w:val="continue"/>
            <w:vAlign w:val="center"/>
          </w:tcPr>
          <w:p>
            <w:pPr>
              <w:widowControl/>
              <w:jc w:val="left"/>
              <w:rPr>
                <w:rFonts w:hint="eastAsia" w:ascii="宋体" w:hAnsi="宋体" w:eastAsia="宋体" w:cs="宋体"/>
                <w:color w:val="000000"/>
                <w:kern w:val="0"/>
                <w:sz w:val="21"/>
                <w:szCs w:val="21"/>
              </w:rPr>
            </w:pPr>
          </w:p>
        </w:tc>
        <w:tc>
          <w:tcPr>
            <w:tcW w:w="1055" w:type="pct"/>
            <w:gridSpan w:val="2"/>
            <w:vMerge w:val="continue"/>
            <w:vAlign w:val="center"/>
          </w:tcPr>
          <w:p>
            <w:pPr>
              <w:widowControl/>
              <w:jc w:val="left"/>
              <w:rPr>
                <w:rFonts w:hint="eastAsia" w:ascii="宋体" w:hAnsi="宋体" w:eastAsia="宋体" w:cs="宋体"/>
                <w:color w:val="000000"/>
                <w:kern w:val="0"/>
                <w:sz w:val="21"/>
                <w:szCs w:val="21"/>
              </w:rPr>
            </w:pPr>
          </w:p>
        </w:tc>
        <w:tc>
          <w:tcPr>
            <w:tcW w:w="1715" w:type="pct"/>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针对</w:t>
            </w:r>
            <w:r>
              <w:rPr>
                <w:rFonts w:hint="eastAsia" w:ascii="宋体" w:hAnsi="宋体" w:eastAsia="宋体" w:cs="宋体"/>
                <w:b/>
                <w:bCs/>
                <w:color w:val="000000"/>
                <w:kern w:val="0"/>
                <w:sz w:val="21"/>
                <w:szCs w:val="21"/>
                <w:u w:val="single"/>
              </w:rPr>
              <w:t>bentley模型</w:t>
            </w:r>
            <w:r>
              <w:rPr>
                <w:rFonts w:hint="eastAsia" w:ascii="宋体" w:hAnsi="宋体" w:eastAsia="宋体" w:cs="宋体"/>
                <w:color w:val="000000"/>
                <w:kern w:val="0"/>
                <w:sz w:val="21"/>
                <w:szCs w:val="21"/>
              </w:rPr>
              <w:t>，利用统一格式数据框架接口将BIM文件转换成统一数据标准，通过配置文件的形式进行数据过滤，从而形成具有统一数据标准的BIM数据。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290" w:type="pct"/>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sz w:val="21"/>
                <w:szCs w:val="21"/>
              </w:rPr>
              <w:t>30</w:t>
            </w:r>
          </w:p>
        </w:tc>
        <w:tc>
          <w:tcPr>
            <w:tcW w:w="483" w:type="pct"/>
            <w:vMerge w:val="continue"/>
            <w:vAlign w:val="center"/>
          </w:tcPr>
          <w:p>
            <w:pPr>
              <w:widowControl/>
              <w:jc w:val="left"/>
              <w:rPr>
                <w:rFonts w:hint="eastAsia" w:ascii="宋体" w:hAnsi="宋体" w:eastAsia="宋体" w:cs="宋体"/>
                <w:b/>
                <w:bCs/>
                <w:color w:val="000000"/>
                <w:kern w:val="0"/>
                <w:sz w:val="21"/>
                <w:szCs w:val="21"/>
              </w:rPr>
            </w:pPr>
          </w:p>
        </w:tc>
        <w:tc>
          <w:tcPr>
            <w:tcW w:w="507" w:type="pct"/>
            <w:vMerge w:val="continue"/>
            <w:vAlign w:val="center"/>
          </w:tcPr>
          <w:p>
            <w:pPr>
              <w:widowControl/>
              <w:jc w:val="left"/>
              <w:rPr>
                <w:rFonts w:hint="eastAsia" w:ascii="宋体" w:hAnsi="宋体" w:eastAsia="宋体" w:cs="宋体"/>
                <w:b/>
                <w:bCs/>
                <w:color w:val="000000"/>
                <w:kern w:val="0"/>
                <w:sz w:val="21"/>
                <w:szCs w:val="21"/>
              </w:rPr>
            </w:pPr>
          </w:p>
        </w:tc>
        <w:tc>
          <w:tcPr>
            <w:tcW w:w="362" w:type="pct"/>
            <w:vMerge w:val="continue"/>
            <w:vAlign w:val="center"/>
          </w:tcPr>
          <w:p>
            <w:pPr>
              <w:widowControl/>
              <w:jc w:val="left"/>
              <w:rPr>
                <w:rFonts w:hint="eastAsia" w:ascii="宋体" w:hAnsi="宋体" w:eastAsia="宋体" w:cs="宋体"/>
                <w:color w:val="000000"/>
                <w:kern w:val="0"/>
                <w:sz w:val="21"/>
                <w:szCs w:val="21"/>
              </w:rPr>
            </w:pPr>
          </w:p>
        </w:tc>
        <w:tc>
          <w:tcPr>
            <w:tcW w:w="584" w:type="pct"/>
            <w:vMerge w:val="restart"/>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数据质量检测模块</w:t>
            </w:r>
          </w:p>
        </w:tc>
        <w:tc>
          <w:tcPr>
            <w:tcW w:w="1055" w:type="pct"/>
            <w:gridSpan w:val="2"/>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政务数据标准检查</w:t>
            </w:r>
          </w:p>
        </w:tc>
        <w:tc>
          <w:tcPr>
            <w:tcW w:w="1715" w:type="pct"/>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按照数据标准要求，对数据内容的完整性、标准性和准确性进行检测，其中包括交互式设定数据质检规则进行数据异常情况检查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290" w:type="pct"/>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sz w:val="21"/>
                <w:szCs w:val="21"/>
              </w:rPr>
              <w:t>31</w:t>
            </w:r>
          </w:p>
        </w:tc>
        <w:tc>
          <w:tcPr>
            <w:tcW w:w="483" w:type="pct"/>
            <w:vMerge w:val="continue"/>
            <w:vAlign w:val="center"/>
          </w:tcPr>
          <w:p>
            <w:pPr>
              <w:widowControl/>
              <w:jc w:val="left"/>
              <w:rPr>
                <w:rFonts w:hint="eastAsia" w:ascii="宋体" w:hAnsi="宋体" w:eastAsia="宋体" w:cs="宋体"/>
                <w:b/>
                <w:bCs/>
                <w:color w:val="000000"/>
                <w:kern w:val="0"/>
                <w:sz w:val="21"/>
                <w:szCs w:val="21"/>
              </w:rPr>
            </w:pPr>
          </w:p>
        </w:tc>
        <w:tc>
          <w:tcPr>
            <w:tcW w:w="507" w:type="pct"/>
            <w:vMerge w:val="continue"/>
            <w:vAlign w:val="center"/>
          </w:tcPr>
          <w:p>
            <w:pPr>
              <w:widowControl/>
              <w:jc w:val="left"/>
              <w:rPr>
                <w:rFonts w:hint="eastAsia" w:ascii="宋体" w:hAnsi="宋体" w:eastAsia="宋体" w:cs="宋体"/>
                <w:b/>
                <w:bCs/>
                <w:color w:val="000000"/>
                <w:kern w:val="0"/>
                <w:sz w:val="21"/>
                <w:szCs w:val="21"/>
              </w:rPr>
            </w:pPr>
          </w:p>
        </w:tc>
        <w:tc>
          <w:tcPr>
            <w:tcW w:w="362" w:type="pct"/>
            <w:vMerge w:val="continue"/>
            <w:vAlign w:val="center"/>
          </w:tcPr>
          <w:p>
            <w:pPr>
              <w:widowControl/>
              <w:jc w:val="left"/>
              <w:rPr>
                <w:rFonts w:hint="eastAsia" w:ascii="宋体" w:hAnsi="宋体" w:eastAsia="宋体" w:cs="宋体"/>
                <w:color w:val="000000"/>
                <w:kern w:val="0"/>
                <w:sz w:val="21"/>
                <w:szCs w:val="21"/>
              </w:rPr>
            </w:pPr>
          </w:p>
        </w:tc>
        <w:tc>
          <w:tcPr>
            <w:tcW w:w="584" w:type="pct"/>
            <w:vMerge w:val="continue"/>
            <w:vAlign w:val="center"/>
          </w:tcPr>
          <w:p>
            <w:pPr>
              <w:widowControl/>
              <w:jc w:val="left"/>
              <w:rPr>
                <w:rFonts w:hint="eastAsia" w:ascii="宋体" w:hAnsi="宋体" w:eastAsia="宋体" w:cs="宋体"/>
                <w:color w:val="000000"/>
                <w:kern w:val="0"/>
                <w:sz w:val="21"/>
                <w:szCs w:val="21"/>
              </w:rPr>
            </w:pPr>
          </w:p>
        </w:tc>
        <w:tc>
          <w:tcPr>
            <w:tcW w:w="1055" w:type="pct"/>
            <w:gridSpan w:val="2"/>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二三维GIS空间拓扑检查</w:t>
            </w:r>
          </w:p>
        </w:tc>
        <w:tc>
          <w:tcPr>
            <w:tcW w:w="1715" w:type="pct"/>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点、线、面矢量要素间的空间关系检查（连接、重叠、相交、包含、相离等）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jc w:val="center"/>
        </w:trPr>
        <w:tc>
          <w:tcPr>
            <w:tcW w:w="290" w:type="pct"/>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sz w:val="21"/>
                <w:szCs w:val="21"/>
              </w:rPr>
              <w:t>32</w:t>
            </w:r>
          </w:p>
        </w:tc>
        <w:tc>
          <w:tcPr>
            <w:tcW w:w="483" w:type="pct"/>
            <w:vMerge w:val="continue"/>
            <w:vAlign w:val="center"/>
          </w:tcPr>
          <w:p>
            <w:pPr>
              <w:widowControl/>
              <w:jc w:val="left"/>
              <w:rPr>
                <w:rFonts w:hint="eastAsia" w:ascii="宋体" w:hAnsi="宋体" w:eastAsia="宋体" w:cs="宋体"/>
                <w:b/>
                <w:bCs/>
                <w:color w:val="000000"/>
                <w:kern w:val="0"/>
                <w:sz w:val="21"/>
                <w:szCs w:val="21"/>
              </w:rPr>
            </w:pPr>
          </w:p>
        </w:tc>
        <w:tc>
          <w:tcPr>
            <w:tcW w:w="507" w:type="pct"/>
            <w:vMerge w:val="continue"/>
            <w:vAlign w:val="center"/>
          </w:tcPr>
          <w:p>
            <w:pPr>
              <w:widowControl/>
              <w:jc w:val="left"/>
              <w:rPr>
                <w:rFonts w:hint="eastAsia" w:ascii="宋体" w:hAnsi="宋体" w:eastAsia="宋体" w:cs="宋体"/>
                <w:b/>
                <w:bCs/>
                <w:color w:val="000000"/>
                <w:kern w:val="0"/>
                <w:sz w:val="21"/>
                <w:szCs w:val="21"/>
              </w:rPr>
            </w:pPr>
          </w:p>
        </w:tc>
        <w:tc>
          <w:tcPr>
            <w:tcW w:w="362" w:type="pct"/>
            <w:vMerge w:val="continue"/>
            <w:vAlign w:val="center"/>
          </w:tcPr>
          <w:p>
            <w:pPr>
              <w:widowControl/>
              <w:jc w:val="left"/>
              <w:rPr>
                <w:rFonts w:hint="eastAsia" w:ascii="宋体" w:hAnsi="宋体" w:eastAsia="宋体" w:cs="宋体"/>
                <w:color w:val="000000"/>
                <w:kern w:val="0"/>
                <w:sz w:val="21"/>
                <w:szCs w:val="21"/>
              </w:rPr>
            </w:pPr>
          </w:p>
        </w:tc>
        <w:tc>
          <w:tcPr>
            <w:tcW w:w="584" w:type="pct"/>
            <w:vMerge w:val="continue"/>
            <w:vAlign w:val="center"/>
          </w:tcPr>
          <w:p>
            <w:pPr>
              <w:widowControl/>
              <w:jc w:val="left"/>
              <w:rPr>
                <w:rFonts w:hint="eastAsia" w:ascii="宋体" w:hAnsi="宋体" w:eastAsia="宋体" w:cs="宋体"/>
                <w:color w:val="000000"/>
                <w:kern w:val="0"/>
                <w:sz w:val="21"/>
                <w:szCs w:val="21"/>
              </w:rPr>
            </w:pPr>
          </w:p>
        </w:tc>
        <w:tc>
          <w:tcPr>
            <w:tcW w:w="1055" w:type="pct"/>
            <w:gridSpan w:val="2"/>
            <w:vMerge w:val="restart"/>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BIM数据质量检测</w:t>
            </w:r>
          </w:p>
        </w:tc>
        <w:tc>
          <w:tcPr>
            <w:tcW w:w="1715" w:type="pct"/>
            <w:vAlign w:val="center"/>
          </w:tcPr>
          <w:p>
            <w:pPr>
              <w:widowControl/>
              <w:jc w:val="left"/>
              <w:rPr>
                <w:rFonts w:hint="eastAsia" w:ascii="宋体" w:hAnsi="宋体" w:eastAsia="宋体" w:cs="宋体"/>
                <w:color w:val="000000"/>
                <w:sz w:val="21"/>
                <w:szCs w:val="21"/>
              </w:rPr>
            </w:pPr>
            <w:r>
              <w:rPr>
                <w:rFonts w:hint="eastAsia" w:ascii="宋体" w:hAnsi="宋体" w:eastAsia="宋体" w:cs="宋体"/>
                <w:color w:val="000000"/>
                <w:kern w:val="0"/>
                <w:sz w:val="21"/>
                <w:szCs w:val="21"/>
              </w:rPr>
              <w:t>按照数据标准对</w:t>
            </w:r>
            <w:r>
              <w:rPr>
                <w:rFonts w:hint="eastAsia" w:ascii="宋体" w:hAnsi="宋体" w:eastAsia="宋体" w:cs="宋体"/>
                <w:b/>
                <w:bCs/>
                <w:color w:val="000000"/>
                <w:kern w:val="0"/>
                <w:sz w:val="21"/>
                <w:szCs w:val="21"/>
                <w:u w:val="single"/>
              </w:rPr>
              <w:t>建筑及场地BIM</w:t>
            </w:r>
            <w:r>
              <w:rPr>
                <w:rFonts w:hint="eastAsia" w:ascii="宋体" w:hAnsi="宋体" w:eastAsia="宋体" w:cs="宋体"/>
                <w:color w:val="000000"/>
                <w:kern w:val="0"/>
                <w:sz w:val="21"/>
                <w:szCs w:val="21"/>
              </w:rPr>
              <w:t>的数据质量进行检测，提供可视化图形环境实现模型的三维实时显示、交互属性查询、模型测量分析，完成对数据完整性、有效性、合法性的校验，并可输出数据质检结果。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5" w:hRule="atLeast"/>
          <w:jc w:val="center"/>
        </w:trPr>
        <w:tc>
          <w:tcPr>
            <w:tcW w:w="290" w:type="pct"/>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sz w:val="21"/>
                <w:szCs w:val="21"/>
              </w:rPr>
              <w:t>33</w:t>
            </w:r>
          </w:p>
        </w:tc>
        <w:tc>
          <w:tcPr>
            <w:tcW w:w="483" w:type="pct"/>
            <w:vMerge w:val="continue"/>
            <w:vAlign w:val="center"/>
          </w:tcPr>
          <w:p>
            <w:pPr>
              <w:widowControl/>
              <w:jc w:val="left"/>
              <w:rPr>
                <w:rFonts w:hint="eastAsia" w:ascii="宋体" w:hAnsi="宋体" w:eastAsia="宋体" w:cs="宋体"/>
                <w:b/>
                <w:bCs/>
                <w:color w:val="000000"/>
                <w:kern w:val="0"/>
                <w:sz w:val="21"/>
                <w:szCs w:val="21"/>
              </w:rPr>
            </w:pPr>
          </w:p>
        </w:tc>
        <w:tc>
          <w:tcPr>
            <w:tcW w:w="507" w:type="pct"/>
            <w:vMerge w:val="continue"/>
            <w:vAlign w:val="center"/>
          </w:tcPr>
          <w:p>
            <w:pPr>
              <w:widowControl/>
              <w:jc w:val="left"/>
              <w:rPr>
                <w:rFonts w:hint="eastAsia" w:ascii="宋体" w:hAnsi="宋体" w:eastAsia="宋体" w:cs="宋体"/>
                <w:b/>
                <w:bCs/>
                <w:color w:val="000000"/>
                <w:kern w:val="0"/>
                <w:sz w:val="21"/>
                <w:szCs w:val="21"/>
              </w:rPr>
            </w:pPr>
          </w:p>
        </w:tc>
        <w:tc>
          <w:tcPr>
            <w:tcW w:w="362" w:type="pct"/>
            <w:vMerge w:val="continue"/>
            <w:vAlign w:val="center"/>
          </w:tcPr>
          <w:p>
            <w:pPr>
              <w:widowControl/>
              <w:jc w:val="left"/>
              <w:rPr>
                <w:rFonts w:hint="eastAsia" w:ascii="宋体" w:hAnsi="宋体" w:eastAsia="宋体" w:cs="宋体"/>
                <w:color w:val="000000"/>
                <w:kern w:val="0"/>
                <w:sz w:val="21"/>
                <w:szCs w:val="21"/>
              </w:rPr>
            </w:pPr>
          </w:p>
        </w:tc>
        <w:tc>
          <w:tcPr>
            <w:tcW w:w="584" w:type="pct"/>
            <w:vMerge w:val="continue"/>
            <w:vAlign w:val="center"/>
          </w:tcPr>
          <w:p>
            <w:pPr>
              <w:widowControl/>
              <w:jc w:val="left"/>
              <w:rPr>
                <w:rFonts w:hint="eastAsia" w:ascii="宋体" w:hAnsi="宋体" w:eastAsia="宋体" w:cs="宋体"/>
                <w:color w:val="000000"/>
                <w:kern w:val="0"/>
                <w:sz w:val="21"/>
                <w:szCs w:val="21"/>
              </w:rPr>
            </w:pPr>
          </w:p>
        </w:tc>
        <w:tc>
          <w:tcPr>
            <w:tcW w:w="1055" w:type="pct"/>
            <w:gridSpan w:val="2"/>
            <w:vMerge w:val="continue"/>
            <w:vAlign w:val="center"/>
          </w:tcPr>
          <w:p>
            <w:pPr>
              <w:widowControl/>
              <w:jc w:val="left"/>
              <w:rPr>
                <w:rFonts w:hint="eastAsia" w:ascii="宋体" w:hAnsi="宋体" w:eastAsia="宋体" w:cs="宋体"/>
                <w:color w:val="000000"/>
                <w:kern w:val="0"/>
                <w:sz w:val="21"/>
                <w:szCs w:val="21"/>
              </w:rPr>
            </w:pPr>
          </w:p>
        </w:tc>
        <w:tc>
          <w:tcPr>
            <w:tcW w:w="1715" w:type="pct"/>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按照数据标准对</w:t>
            </w:r>
            <w:r>
              <w:rPr>
                <w:rFonts w:hint="eastAsia" w:ascii="宋体" w:hAnsi="宋体" w:eastAsia="宋体" w:cs="宋体"/>
                <w:b/>
                <w:bCs/>
                <w:color w:val="000000"/>
                <w:kern w:val="0"/>
                <w:sz w:val="21"/>
                <w:szCs w:val="21"/>
                <w:u w:val="single"/>
              </w:rPr>
              <w:t>市政线性设施及场站BIM（各类管线、管廊、环卫）</w:t>
            </w:r>
            <w:r>
              <w:rPr>
                <w:rFonts w:hint="eastAsia" w:ascii="宋体" w:hAnsi="宋体" w:eastAsia="宋体" w:cs="宋体"/>
                <w:color w:val="000000"/>
                <w:kern w:val="0"/>
                <w:sz w:val="21"/>
                <w:szCs w:val="21"/>
              </w:rPr>
              <w:t>的数据质量进行检测，提供可视化图形环境实现模型的三维实时显示、交互属性查询、模型测量分析，完成对数据完整性、有效性、合法性的校验，并可输出数据质检结果。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90" w:type="pct"/>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sz w:val="21"/>
                <w:szCs w:val="21"/>
              </w:rPr>
              <w:t>34</w:t>
            </w:r>
          </w:p>
        </w:tc>
        <w:tc>
          <w:tcPr>
            <w:tcW w:w="483" w:type="pct"/>
            <w:vMerge w:val="continue"/>
            <w:vAlign w:val="center"/>
          </w:tcPr>
          <w:p>
            <w:pPr>
              <w:widowControl/>
              <w:jc w:val="left"/>
              <w:rPr>
                <w:rFonts w:hint="eastAsia" w:ascii="宋体" w:hAnsi="宋体" w:eastAsia="宋体" w:cs="宋体"/>
                <w:b/>
                <w:bCs/>
                <w:color w:val="000000"/>
                <w:kern w:val="0"/>
                <w:sz w:val="21"/>
                <w:szCs w:val="21"/>
              </w:rPr>
            </w:pPr>
          </w:p>
        </w:tc>
        <w:tc>
          <w:tcPr>
            <w:tcW w:w="507" w:type="pct"/>
            <w:vMerge w:val="continue"/>
            <w:vAlign w:val="center"/>
          </w:tcPr>
          <w:p>
            <w:pPr>
              <w:widowControl/>
              <w:jc w:val="left"/>
              <w:rPr>
                <w:rFonts w:hint="eastAsia" w:ascii="宋体" w:hAnsi="宋体" w:eastAsia="宋体" w:cs="宋体"/>
                <w:b/>
                <w:bCs/>
                <w:color w:val="000000"/>
                <w:kern w:val="0"/>
                <w:sz w:val="21"/>
                <w:szCs w:val="21"/>
              </w:rPr>
            </w:pPr>
          </w:p>
        </w:tc>
        <w:tc>
          <w:tcPr>
            <w:tcW w:w="362" w:type="pct"/>
            <w:vMerge w:val="restart"/>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数据融合治理</w:t>
            </w:r>
          </w:p>
        </w:tc>
        <w:tc>
          <w:tcPr>
            <w:tcW w:w="584" w:type="pct"/>
            <w:vMerge w:val="restart"/>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语义融合引擎</w:t>
            </w:r>
          </w:p>
        </w:tc>
        <w:tc>
          <w:tcPr>
            <w:tcW w:w="1055" w:type="pct"/>
            <w:gridSpan w:val="2"/>
            <w:vMerge w:val="restart"/>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三维地名地址管理</w:t>
            </w:r>
          </w:p>
        </w:tc>
        <w:tc>
          <w:tcPr>
            <w:tcW w:w="1715" w:type="pct"/>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地理实体对象化管理（政区、院落、建筑物），含标准地名地址、空间语义和实体映射关系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90" w:type="pct"/>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sz w:val="21"/>
                <w:szCs w:val="21"/>
              </w:rPr>
              <w:t>35</w:t>
            </w:r>
          </w:p>
        </w:tc>
        <w:tc>
          <w:tcPr>
            <w:tcW w:w="483" w:type="pct"/>
            <w:vMerge w:val="continue"/>
            <w:vAlign w:val="center"/>
          </w:tcPr>
          <w:p>
            <w:pPr>
              <w:widowControl/>
              <w:jc w:val="left"/>
              <w:rPr>
                <w:rFonts w:hint="eastAsia" w:ascii="宋体" w:hAnsi="宋体" w:eastAsia="宋体" w:cs="宋体"/>
                <w:b/>
                <w:bCs/>
                <w:color w:val="000000"/>
                <w:kern w:val="0"/>
                <w:sz w:val="21"/>
                <w:szCs w:val="21"/>
              </w:rPr>
            </w:pPr>
          </w:p>
        </w:tc>
        <w:tc>
          <w:tcPr>
            <w:tcW w:w="507" w:type="pct"/>
            <w:vMerge w:val="continue"/>
            <w:vAlign w:val="center"/>
          </w:tcPr>
          <w:p>
            <w:pPr>
              <w:widowControl/>
              <w:jc w:val="left"/>
              <w:rPr>
                <w:rFonts w:hint="eastAsia" w:ascii="宋体" w:hAnsi="宋体" w:eastAsia="宋体" w:cs="宋体"/>
                <w:b/>
                <w:bCs/>
                <w:color w:val="000000"/>
                <w:kern w:val="0"/>
                <w:sz w:val="21"/>
                <w:szCs w:val="21"/>
              </w:rPr>
            </w:pPr>
          </w:p>
        </w:tc>
        <w:tc>
          <w:tcPr>
            <w:tcW w:w="362" w:type="pct"/>
            <w:vMerge w:val="continue"/>
            <w:vAlign w:val="center"/>
          </w:tcPr>
          <w:p>
            <w:pPr>
              <w:widowControl/>
              <w:jc w:val="left"/>
              <w:rPr>
                <w:rFonts w:hint="eastAsia" w:ascii="宋体" w:hAnsi="宋体" w:eastAsia="宋体" w:cs="宋体"/>
                <w:color w:val="000000"/>
                <w:kern w:val="0"/>
                <w:sz w:val="21"/>
                <w:szCs w:val="21"/>
              </w:rPr>
            </w:pPr>
          </w:p>
        </w:tc>
        <w:tc>
          <w:tcPr>
            <w:tcW w:w="584" w:type="pct"/>
            <w:vMerge w:val="continue"/>
            <w:vAlign w:val="center"/>
          </w:tcPr>
          <w:p>
            <w:pPr>
              <w:widowControl/>
              <w:jc w:val="left"/>
              <w:rPr>
                <w:rFonts w:hint="eastAsia" w:ascii="宋体" w:hAnsi="宋体" w:eastAsia="宋体" w:cs="宋体"/>
                <w:color w:val="000000"/>
                <w:kern w:val="0"/>
                <w:sz w:val="21"/>
                <w:szCs w:val="21"/>
              </w:rPr>
            </w:pPr>
          </w:p>
        </w:tc>
        <w:tc>
          <w:tcPr>
            <w:tcW w:w="1055" w:type="pct"/>
            <w:gridSpan w:val="2"/>
            <w:vMerge w:val="continue"/>
            <w:vAlign w:val="center"/>
          </w:tcPr>
          <w:p>
            <w:pPr>
              <w:widowControl/>
              <w:jc w:val="left"/>
              <w:rPr>
                <w:rFonts w:hint="eastAsia" w:ascii="宋体" w:hAnsi="宋体" w:eastAsia="宋体" w:cs="宋体"/>
                <w:color w:val="000000"/>
                <w:kern w:val="0"/>
                <w:sz w:val="21"/>
                <w:szCs w:val="21"/>
              </w:rPr>
            </w:pPr>
          </w:p>
        </w:tc>
        <w:tc>
          <w:tcPr>
            <w:tcW w:w="1715" w:type="pct"/>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训练库、CIM三维地名地址基准母库和系列语义字典管理与维护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290" w:type="pct"/>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sz w:val="21"/>
                <w:szCs w:val="21"/>
              </w:rPr>
              <w:t>36</w:t>
            </w:r>
          </w:p>
        </w:tc>
        <w:tc>
          <w:tcPr>
            <w:tcW w:w="483" w:type="pct"/>
            <w:vMerge w:val="continue"/>
            <w:vAlign w:val="center"/>
          </w:tcPr>
          <w:p>
            <w:pPr>
              <w:widowControl/>
              <w:jc w:val="left"/>
              <w:rPr>
                <w:rFonts w:hint="eastAsia" w:ascii="宋体" w:hAnsi="宋体" w:eastAsia="宋体" w:cs="宋体"/>
                <w:b/>
                <w:bCs/>
                <w:color w:val="000000"/>
                <w:kern w:val="0"/>
                <w:sz w:val="21"/>
                <w:szCs w:val="21"/>
              </w:rPr>
            </w:pPr>
          </w:p>
        </w:tc>
        <w:tc>
          <w:tcPr>
            <w:tcW w:w="507" w:type="pct"/>
            <w:vMerge w:val="continue"/>
            <w:vAlign w:val="center"/>
          </w:tcPr>
          <w:p>
            <w:pPr>
              <w:widowControl/>
              <w:jc w:val="left"/>
              <w:rPr>
                <w:rFonts w:hint="eastAsia" w:ascii="宋体" w:hAnsi="宋体" w:eastAsia="宋体" w:cs="宋体"/>
                <w:b/>
                <w:bCs/>
                <w:color w:val="000000"/>
                <w:kern w:val="0"/>
                <w:sz w:val="21"/>
                <w:szCs w:val="21"/>
              </w:rPr>
            </w:pPr>
          </w:p>
        </w:tc>
        <w:tc>
          <w:tcPr>
            <w:tcW w:w="362" w:type="pct"/>
            <w:vMerge w:val="continue"/>
            <w:vAlign w:val="center"/>
          </w:tcPr>
          <w:p>
            <w:pPr>
              <w:widowControl/>
              <w:jc w:val="left"/>
              <w:rPr>
                <w:rFonts w:hint="eastAsia" w:ascii="宋体" w:hAnsi="宋体" w:eastAsia="宋体" w:cs="宋体"/>
                <w:color w:val="000000"/>
                <w:kern w:val="0"/>
                <w:sz w:val="21"/>
                <w:szCs w:val="21"/>
              </w:rPr>
            </w:pPr>
          </w:p>
        </w:tc>
        <w:tc>
          <w:tcPr>
            <w:tcW w:w="584" w:type="pct"/>
            <w:vMerge w:val="continue"/>
            <w:vAlign w:val="center"/>
          </w:tcPr>
          <w:p>
            <w:pPr>
              <w:widowControl/>
              <w:jc w:val="left"/>
              <w:rPr>
                <w:rFonts w:hint="eastAsia" w:ascii="宋体" w:hAnsi="宋体" w:eastAsia="宋体" w:cs="宋体"/>
                <w:color w:val="000000"/>
                <w:kern w:val="0"/>
                <w:sz w:val="21"/>
                <w:szCs w:val="21"/>
              </w:rPr>
            </w:pPr>
          </w:p>
        </w:tc>
        <w:tc>
          <w:tcPr>
            <w:tcW w:w="1055" w:type="pct"/>
            <w:gridSpan w:val="2"/>
            <w:vMerge w:val="continue"/>
            <w:vAlign w:val="center"/>
          </w:tcPr>
          <w:p>
            <w:pPr>
              <w:widowControl/>
              <w:jc w:val="left"/>
              <w:rPr>
                <w:rFonts w:hint="eastAsia" w:ascii="宋体" w:hAnsi="宋体" w:eastAsia="宋体" w:cs="宋体"/>
                <w:color w:val="000000"/>
                <w:kern w:val="0"/>
                <w:sz w:val="21"/>
                <w:szCs w:val="21"/>
              </w:rPr>
            </w:pPr>
          </w:p>
        </w:tc>
        <w:tc>
          <w:tcPr>
            <w:tcW w:w="1715" w:type="pct"/>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三维地名地址统一空间编码及第三方地址解析、转换、关联（政法委统一地址库、公安标准地址库、规资地名地址库等）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90" w:type="pct"/>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sz w:val="21"/>
                <w:szCs w:val="21"/>
              </w:rPr>
              <w:t>37</w:t>
            </w:r>
          </w:p>
        </w:tc>
        <w:tc>
          <w:tcPr>
            <w:tcW w:w="483" w:type="pct"/>
            <w:vMerge w:val="continue"/>
            <w:vAlign w:val="center"/>
          </w:tcPr>
          <w:p>
            <w:pPr>
              <w:widowControl/>
              <w:jc w:val="left"/>
              <w:rPr>
                <w:rFonts w:hint="eastAsia" w:ascii="宋体" w:hAnsi="宋体" w:eastAsia="宋体" w:cs="宋体"/>
                <w:b/>
                <w:bCs/>
                <w:color w:val="000000"/>
                <w:kern w:val="0"/>
                <w:sz w:val="21"/>
                <w:szCs w:val="21"/>
              </w:rPr>
            </w:pPr>
          </w:p>
        </w:tc>
        <w:tc>
          <w:tcPr>
            <w:tcW w:w="507" w:type="pct"/>
            <w:vMerge w:val="continue"/>
            <w:vAlign w:val="center"/>
          </w:tcPr>
          <w:p>
            <w:pPr>
              <w:widowControl/>
              <w:jc w:val="left"/>
              <w:rPr>
                <w:rFonts w:hint="eastAsia" w:ascii="宋体" w:hAnsi="宋体" w:eastAsia="宋体" w:cs="宋体"/>
                <w:b/>
                <w:bCs/>
                <w:color w:val="000000"/>
                <w:kern w:val="0"/>
                <w:sz w:val="21"/>
                <w:szCs w:val="21"/>
              </w:rPr>
            </w:pPr>
          </w:p>
        </w:tc>
        <w:tc>
          <w:tcPr>
            <w:tcW w:w="362" w:type="pct"/>
            <w:vMerge w:val="continue"/>
            <w:vAlign w:val="center"/>
          </w:tcPr>
          <w:p>
            <w:pPr>
              <w:widowControl/>
              <w:jc w:val="left"/>
              <w:rPr>
                <w:rFonts w:hint="eastAsia" w:ascii="宋体" w:hAnsi="宋体" w:eastAsia="宋体" w:cs="宋体"/>
                <w:color w:val="000000"/>
                <w:kern w:val="0"/>
                <w:sz w:val="21"/>
                <w:szCs w:val="21"/>
              </w:rPr>
            </w:pPr>
          </w:p>
        </w:tc>
        <w:tc>
          <w:tcPr>
            <w:tcW w:w="584" w:type="pct"/>
            <w:vMerge w:val="continue"/>
            <w:vAlign w:val="center"/>
          </w:tcPr>
          <w:p>
            <w:pPr>
              <w:widowControl/>
              <w:jc w:val="left"/>
              <w:rPr>
                <w:rFonts w:hint="eastAsia" w:ascii="宋体" w:hAnsi="宋体" w:eastAsia="宋体" w:cs="宋体"/>
                <w:color w:val="000000"/>
                <w:kern w:val="0"/>
                <w:sz w:val="21"/>
                <w:szCs w:val="21"/>
              </w:rPr>
            </w:pPr>
          </w:p>
        </w:tc>
        <w:tc>
          <w:tcPr>
            <w:tcW w:w="1055" w:type="pct"/>
            <w:gridSpan w:val="2"/>
            <w:vMerge w:val="continue"/>
            <w:vAlign w:val="center"/>
          </w:tcPr>
          <w:p>
            <w:pPr>
              <w:widowControl/>
              <w:jc w:val="left"/>
              <w:rPr>
                <w:rFonts w:hint="eastAsia" w:ascii="宋体" w:hAnsi="宋体" w:eastAsia="宋体" w:cs="宋体"/>
                <w:color w:val="000000"/>
                <w:kern w:val="0"/>
                <w:sz w:val="21"/>
                <w:szCs w:val="21"/>
              </w:rPr>
            </w:pPr>
          </w:p>
        </w:tc>
        <w:tc>
          <w:tcPr>
            <w:tcW w:w="1715" w:type="pct"/>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地名地址冲突检测、空间校验等，地址更新记录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90" w:type="pct"/>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sz w:val="21"/>
                <w:szCs w:val="21"/>
              </w:rPr>
              <w:t>38</w:t>
            </w:r>
          </w:p>
        </w:tc>
        <w:tc>
          <w:tcPr>
            <w:tcW w:w="483" w:type="pct"/>
            <w:vMerge w:val="continue"/>
            <w:vAlign w:val="center"/>
          </w:tcPr>
          <w:p>
            <w:pPr>
              <w:widowControl/>
              <w:jc w:val="left"/>
              <w:rPr>
                <w:rFonts w:hint="eastAsia" w:ascii="宋体" w:hAnsi="宋体" w:eastAsia="宋体" w:cs="宋体"/>
                <w:b/>
                <w:bCs/>
                <w:color w:val="000000"/>
                <w:kern w:val="0"/>
                <w:sz w:val="21"/>
                <w:szCs w:val="21"/>
              </w:rPr>
            </w:pPr>
          </w:p>
        </w:tc>
        <w:tc>
          <w:tcPr>
            <w:tcW w:w="507" w:type="pct"/>
            <w:vMerge w:val="continue"/>
            <w:vAlign w:val="center"/>
          </w:tcPr>
          <w:p>
            <w:pPr>
              <w:widowControl/>
              <w:jc w:val="left"/>
              <w:rPr>
                <w:rFonts w:hint="eastAsia" w:ascii="宋体" w:hAnsi="宋体" w:eastAsia="宋体" w:cs="宋体"/>
                <w:b/>
                <w:bCs/>
                <w:color w:val="000000"/>
                <w:kern w:val="0"/>
                <w:sz w:val="21"/>
                <w:szCs w:val="21"/>
              </w:rPr>
            </w:pPr>
          </w:p>
        </w:tc>
        <w:tc>
          <w:tcPr>
            <w:tcW w:w="362" w:type="pct"/>
            <w:vMerge w:val="continue"/>
            <w:vAlign w:val="center"/>
          </w:tcPr>
          <w:p>
            <w:pPr>
              <w:widowControl/>
              <w:jc w:val="left"/>
              <w:rPr>
                <w:rFonts w:hint="eastAsia" w:ascii="宋体" w:hAnsi="宋体" w:eastAsia="宋体" w:cs="宋体"/>
                <w:color w:val="000000"/>
                <w:kern w:val="0"/>
                <w:sz w:val="21"/>
                <w:szCs w:val="21"/>
              </w:rPr>
            </w:pPr>
          </w:p>
        </w:tc>
        <w:tc>
          <w:tcPr>
            <w:tcW w:w="584" w:type="pct"/>
            <w:vMerge w:val="continue"/>
            <w:vAlign w:val="center"/>
          </w:tcPr>
          <w:p>
            <w:pPr>
              <w:widowControl/>
              <w:jc w:val="left"/>
              <w:rPr>
                <w:rFonts w:hint="eastAsia" w:ascii="宋体" w:hAnsi="宋体" w:eastAsia="宋体" w:cs="宋体"/>
                <w:color w:val="000000"/>
                <w:kern w:val="0"/>
                <w:sz w:val="21"/>
                <w:szCs w:val="21"/>
              </w:rPr>
            </w:pPr>
          </w:p>
        </w:tc>
        <w:tc>
          <w:tcPr>
            <w:tcW w:w="1055" w:type="pct"/>
            <w:gridSpan w:val="2"/>
            <w:vMerge w:val="restart"/>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非空间数据空间化</w:t>
            </w:r>
          </w:p>
        </w:tc>
        <w:tc>
          <w:tcPr>
            <w:tcW w:w="1715" w:type="pct"/>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地址自动化推荐，支持中文、拼音、首拼等前缀推荐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90" w:type="pct"/>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sz w:val="21"/>
                <w:szCs w:val="21"/>
              </w:rPr>
              <w:t>39</w:t>
            </w:r>
          </w:p>
        </w:tc>
        <w:tc>
          <w:tcPr>
            <w:tcW w:w="483" w:type="pct"/>
            <w:vMerge w:val="continue"/>
            <w:vAlign w:val="center"/>
          </w:tcPr>
          <w:p>
            <w:pPr>
              <w:widowControl/>
              <w:jc w:val="left"/>
              <w:rPr>
                <w:rFonts w:hint="eastAsia" w:ascii="宋体" w:hAnsi="宋体" w:eastAsia="宋体" w:cs="宋体"/>
                <w:b/>
                <w:bCs/>
                <w:color w:val="000000"/>
                <w:kern w:val="0"/>
                <w:sz w:val="21"/>
                <w:szCs w:val="21"/>
              </w:rPr>
            </w:pPr>
          </w:p>
        </w:tc>
        <w:tc>
          <w:tcPr>
            <w:tcW w:w="507" w:type="pct"/>
            <w:vMerge w:val="continue"/>
            <w:vAlign w:val="center"/>
          </w:tcPr>
          <w:p>
            <w:pPr>
              <w:widowControl/>
              <w:jc w:val="left"/>
              <w:rPr>
                <w:rFonts w:hint="eastAsia" w:ascii="宋体" w:hAnsi="宋体" w:eastAsia="宋体" w:cs="宋体"/>
                <w:b/>
                <w:bCs/>
                <w:color w:val="000000"/>
                <w:kern w:val="0"/>
                <w:sz w:val="21"/>
                <w:szCs w:val="21"/>
              </w:rPr>
            </w:pPr>
          </w:p>
        </w:tc>
        <w:tc>
          <w:tcPr>
            <w:tcW w:w="362" w:type="pct"/>
            <w:vMerge w:val="continue"/>
            <w:vAlign w:val="center"/>
          </w:tcPr>
          <w:p>
            <w:pPr>
              <w:widowControl/>
              <w:jc w:val="left"/>
              <w:rPr>
                <w:rFonts w:hint="eastAsia" w:ascii="宋体" w:hAnsi="宋体" w:eastAsia="宋体" w:cs="宋体"/>
                <w:color w:val="000000"/>
                <w:kern w:val="0"/>
                <w:sz w:val="21"/>
                <w:szCs w:val="21"/>
              </w:rPr>
            </w:pPr>
          </w:p>
        </w:tc>
        <w:tc>
          <w:tcPr>
            <w:tcW w:w="584" w:type="pct"/>
            <w:vMerge w:val="continue"/>
            <w:vAlign w:val="center"/>
          </w:tcPr>
          <w:p>
            <w:pPr>
              <w:widowControl/>
              <w:jc w:val="left"/>
              <w:rPr>
                <w:rFonts w:hint="eastAsia" w:ascii="宋体" w:hAnsi="宋体" w:eastAsia="宋体" w:cs="宋体"/>
                <w:color w:val="000000"/>
                <w:kern w:val="0"/>
                <w:sz w:val="21"/>
                <w:szCs w:val="21"/>
              </w:rPr>
            </w:pPr>
          </w:p>
        </w:tc>
        <w:tc>
          <w:tcPr>
            <w:tcW w:w="1055" w:type="pct"/>
            <w:gridSpan w:val="2"/>
            <w:vMerge w:val="continue"/>
            <w:vAlign w:val="center"/>
          </w:tcPr>
          <w:p>
            <w:pPr>
              <w:widowControl/>
              <w:jc w:val="left"/>
              <w:rPr>
                <w:rFonts w:hint="eastAsia" w:ascii="宋体" w:hAnsi="宋体" w:eastAsia="宋体" w:cs="宋体"/>
                <w:color w:val="000000"/>
                <w:kern w:val="0"/>
                <w:sz w:val="21"/>
                <w:szCs w:val="21"/>
              </w:rPr>
            </w:pPr>
          </w:p>
        </w:tc>
        <w:tc>
          <w:tcPr>
            <w:tcW w:w="1715" w:type="pct"/>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地址匹配算法，支持多种地址尺度、检索匹配模式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90" w:type="pct"/>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sz w:val="21"/>
                <w:szCs w:val="21"/>
              </w:rPr>
              <w:t>40</w:t>
            </w:r>
          </w:p>
        </w:tc>
        <w:tc>
          <w:tcPr>
            <w:tcW w:w="483" w:type="pct"/>
            <w:vMerge w:val="continue"/>
            <w:vAlign w:val="center"/>
          </w:tcPr>
          <w:p>
            <w:pPr>
              <w:widowControl/>
              <w:jc w:val="left"/>
              <w:rPr>
                <w:rFonts w:hint="eastAsia" w:ascii="宋体" w:hAnsi="宋体" w:eastAsia="宋体" w:cs="宋体"/>
                <w:b/>
                <w:bCs/>
                <w:color w:val="000000"/>
                <w:kern w:val="0"/>
                <w:sz w:val="21"/>
                <w:szCs w:val="21"/>
              </w:rPr>
            </w:pPr>
          </w:p>
        </w:tc>
        <w:tc>
          <w:tcPr>
            <w:tcW w:w="507" w:type="pct"/>
            <w:vMerge w:val="continue"/>
            <w:vAlign w:val="center"/>
          </w:tcPr>
          <w:p>
            <w:pPr>
              <w:widowControl/>
              <w:jc w:val="left"/>
              <w:rPr>
                <w:rFonts w:hint="eastAsia" w:ascii="宋体" w:hAnsi="宋体" w:eastAsia="宋体" w:cs="宋体"/>
                <w:b/>
                <w:bCs/>
                <w:color w:val="000000"/>
                <w:kern w:val="0"/>
                <w:sz w:val="21"/>
                <w:szCs w:val="21"/>
              </w:rPr>
            </w:pPr>
          </w:p>
        </w:tc>
        <w:tc>
          <w:tcPr>
            <w:tcW w:w="362" w:type="pct"/>
            <w:vMerge w:val="continue"/>
            <w:vAlign w:val="center"/>
          </w:tcPr>
          <w:p>
            <w:pPr>
              <w:widowControl/>
              <w:jc w:val="left"/>
              <w:rPr>
                <w:rFonts w:hint="eastAsia" w:ascii="宋体" w:hAnsi="宋体" w:eastAsia="宋体" w:cs="宋体"/>
                <w:color w:val="000000"/>
                <w:kern w:val="0"/>
                <w:sz w:val="21"/>
                <w:szCs w:val="21"/>
              </w:rPr>
            </w:pPr>
          </w:p>
        </w:tc>
        <w:tc>
          <w:tcPr>
            <w:tcW w:w="584" w:type="pct"/>
            <w:vMerge w:val="continue"/>
            <w:vAlign w:val="center"/>
          </w:tcPr>
          <w:p>
            <w:pPr>
              <w:widowControl/>
              <w:jc w:val="left"/>
              <w:rPr>
                <w:rFonts w:hint="eastAsia" w:ascii="宋体" w:hAnsi="宋体" w:eastAsia="宋体" w:cs="宋体"/>
                <w:color w:val="000000"/>
                <w:kern w:val="0"/>
                <w:sz w:val="21"/>
                <w:szCs w:val="21"/>
              </w:rPr>
            </w:pPr>
          </w:p>
        </w:tc>
        <w:tc>
          <w:tcPr>
            <w:tcW w:w="1055" w:type="pct"/>
            <w:gridSpan w:val="2"/>
            <w:vMerge w:val="continue"/>
            <w:vAlign w:val="center"/>
          </w:tcPr>
          <w:p>
            <w:pPr>
              <w:widowControl/>
              <w:jc w:val="left"/>
              <w:rPr>
                <w:rFonts w:hint="eastAsia" w:ascii="宋体" w:hAnsi="宋体" w:eastAsia="宋体" w:cs="宋体"/>
                <w:color w:val="000000"/>
                <w:kern w:val="0"/>
                <w:sz w:val="21"/>
                <w:szCs w:val="21"/>
              </w:rPr>
            </w:pPr>
          </w:p>
        </w:tc>
        <w:tc>
          <w:tcPr>
            <w:tcW w:w="1715" w:type="pct"/>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结果反馈与结果评估，支持异常及缺漏地址上报、匹配任务精度统计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90" w:type="pct"/>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sz w:val="21"/>
                <w:szCs w:val="21"/>
              </w:rPr>
              <w:t>41</w:t>
            </w:r>
          </w:p>
        </w:tc>
        <w:tc>
          <w:tcPr>
            <w:tcW w:w="483" w:type="pct"/>
            <w:vMerge w:val="continue"/>
            <w:vAlign w:val="center"/>
          </w:tcPr>
          <w:p>
            <w:pPr>
              <w:widowControl/>
              <w:jc w:val="left"/>
              <w:rPr>
                <w:rFonts w:hint="eastAsia" w:ascii="宋体" w:hAnsi="宋体" w:eastAsia="宋体" w:cs="宋体"/>
                <w:b/>
                <w:bCs/>
                <w:color w:val="000000"/>
                <w:kern w:val="0"/>
                <w:sz w:val="21"/>
                <w:szCs w:val="21"/>
              </w:rPr>
            </w:pPr>
          </w:p>
        </w:tc>
        <w:tc>
          <w:tcPr>
            <w:tcW w:w="507" w:type="pct"/>
            <w:vMerge w:val="continue"/>
            <w:vAlign w:val="center"/>
          </w:tcPr>
          <w:p>
            <w:pPr>
              <w:widowControl/>
              <w:jc w:val="left"/>
              <w:rPr>
                <w:rFonts w:hint="eastAsia" w:ascii="宋体" w:hAnsi="宋体" w:eastAsia="宋体" w:cs="宋体"/>
                <w:b/>
                <w:bCs/>
                <w:color w:val="000000"/>
                <w:kern w:val="0"/>
                <w:sz w:val="21"/>
                <w:szCs w:val="21"/>
              </w:rPr>
            </w:pPr>
          </w:p>
        </w:tc>
        <w:tc>
          <w:tcPr>
            <w:tcW w:w="362" w:type="pct"/>
            <w:vMerge w:val="continue"/>
            <w:vAlign w:val="center"/>
          </w:tcPr>
          <w:p>
            <w:pPr>
              <w:widowControl/>
              <w:jc w:val="left"/>
              <w:rPr>
                <w:rFonts w:hint="eastAsia" w:ascii="宋体" w:hAnsi="宋体" w:eastAsia="宋体" w:cs="宋体"/>
                <w:color w:val="000000"/>
                <w:kern w:val="0"/>
                <w:sz w:val="21"/>
                <w:szCs w:val="21"/>
              </w:rPr>
            </w:pPr>
          </w:p>
        </w:tc>
        <w:tc>
          <w:tcPr>
            <w:tcW w:w="584" w:type="pct"/>
            <w:vMerge w:val="continue"/>
            <w:vAlign w:val="center"/>
          </w:tcPr>
          <w:p>
            <w:pPr>
              <w:widowControl/>
              <w:jc w:val="left"/>
              <w:rPr>
                <w:rFonts w:hint="eastAsia" w:ascii="宋体" w:hAnsi="宋体" w:eastAsia="宋体" w:cs="宋体"/>
                <w:color w:val="000000"/>
                <w:kern w:val="0"/>
                <w:sz w:val="21"/>
                <w:szCs w:val="21"/>
              </w:rPr>
            </w:pPr>
          </w:p>
        </w:tc>
        <w:tc>
          <w:tcPr>
            <w:tcW w:w="1055" w:type="pct"/>
            <w:gridSpan w:val="2"/>
            <w:vMerge w:val="continue"/>
            <w:vAlign w:val="center"/>
          </w:tcPr>
          <w:p>
            <w:pPr>
              <w:widowControl/>
              <w:jc w:val="left"/>
              <w:rPr>
                <w:rFonts w:hint="eastAsia" w:ascii="宋体" w:hAnsi="宋体" w:eastAsia="宋体" w:cs="宋体"/>
                <w:color w:val="000000"/>
                <w:kern w:val="0"/>
                <w:sz w:val="21"/>
                <w:szCs w:val="21"/>
              </w:rPr>
            </w:pPr>
          </w:p>
        </w:tc>
        <w:tc>
          <w:tcPr>
            <w:tcW w:w="1715" w:type="pct"/>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批量表单数据空间化上图，空间化成果发布与分享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90" w:type="pct"/>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sz w:val="21"/>
                <w:szCs w:val="21"/>
              </w:rPr>
              <w:t>42</w:t>
            </w:r>
          </w:p>
        </w:tc>
        <w:tc>
          <w:tcPr>
            <w:tcW w:w="483" w:type="pct"/>
            <w:vMerge w:val="continue"/>
            <w:vAlign w:val="center"/>
          </w:tcPr>
          <w:p>
            <w:pPr>
              <w:widowControl/>
              <w:jc w:val="left"/>
              <w:rPr>
                <w:rFonts w:hint="eastAsia" w:ascii="宋体" w:hAnsi="宋体" w:eastAsia="宋体" w:cs="宋体"/>
                <w:b/>
                <w:bCs/>
                <w:color w:val="000000"/>
                <w:kern w:val="0"/>
                <w:sz w:val="21"/>
                <w:szCs w:val="21"/>
              </w:rPr>
            </w:pPr>
          </w:p>
        </w:tc>
        <w:tc>
          <w:tcPr>
            <w:tcW w:w="507" w:type="pct"/>
            <w:vMerge w:val="continue"/>
            <w:vAlign w:val="center"/>
          </w:tcPr>
          <w:p>
            <w:pPr>
              <w:widowControl/>
              <w:jc w:val="left"/>
              <w:rPr>
                <w:rFonts w:hint="eastAsia" w:ascii="宋体" w:hAnsi="宋体" w:eastAsia="宋体" w:cs="宋体"/>
                <w:b/>
                <w:bCs/>
                <w:color w:val="000000"/>
                <w:kern w:val="0"/>
                <w:sz w:val="21"/>
                <w:szCs w:val="21"/>
              </w:rPr>
            </w:pPr>
          </w:p>
        </w:tc>
        <w:tc>
          <w:tcPr>
            <w:tcW w:w="362" w:type="pct"/>
            <w:vMerge w:val="continue"/>
            <w:vAlign w:val="center"/>
          </w:tcPr>
          <w:p>
            <w:pPr>
              <w:widowControl/>
              <w:jc w:val="left"/>
              <w:rPr>
                <w:rFonts w:hint="eastAsia" w:ascii="宋体" w:hAnsi="宋体" w:eastAsia="宋体" w:cs="宋体"/>
                <w:color w:val="000000"/>
                <w:kern w:val="0"/>
                <w:sz w:val="21"/>
                <w:szCs w:val="21"/>
              </w:rPr>
            </w:pPr>
          </w:p>
        </w:tc>
        <w:tc>
          <w:tcPr>
            <w:tcW w:w="584" w:type="pct"/>
            <w:vMerge w:val="continue"/>
            <w:vAlign w:val="center"/>
          </w:tcPr>
          <w:p>
            <w:pPr>
              <w:widowControl/>
              <w:jc w:val="left"/>
              <w:rPr>
                <w:rFonts w:hint="eastAsia" w:ascii="宋体" w:hAnsi="宋体" w:eastAsia="宋体" w:cs="宋体"/>
                <w:color w:val="000000"/>
                <w:kern w:val="0"/>
                <w:sz w:val="21"/>
                <w:szCs w:val="21"/>
              </w:rPr>
            </w:pPr>
          </w:p>
        </w:tc>
        <w:tc>
          <w:tcPr>
            <w:tcW w:w="1055" w:type="pct"/>
            <w:gridSpan w:val="2"/>
            <w:vMerge w:val="restart"/>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专题数据集空间融合</w:t>
            </w:r>
          </w:p>
        </w:tc>
        <w:tc>
          <w:tcPr>
            <w:tcW w:w="1715" w:type="pct"/>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多源专题数据空间关联建库，实现异构异源专题数据集的空间关联与融合，提供数据服务与分享。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90" w:type="pct"/>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sz w:val="21"/>
                <w:szCs w:val="21"/>
              </w:rPr>
              <w:t>43</w:t>
            </w:r>
          </w:p>
        </w:tc>
        <w:tc>
          <w:tcPr>
            <w:tcW w:w="483" w:type="pct"/>
            <w:vMerge w:val="continue"/>
            <w:vAlign w:val="center"/>
          </w:tcPr>
          <w:p>
            <w:pPr>
              <w:widowControl/>
              <w:jc w:val="left"/>
              <w:rPr>
                <w:rFonts w:hint="eastAsia" w:ascii="宋体" w:hAnsi="宋体" w:eastAsia="宋体" w:cs="宋体"/>
                <w:b/>
                <w:bCs/>
                <w:color w:val="000000"/>
                <w:kern w:val="0"/>
                <w:sz w:val="21"/>
                <w:szCs w:val="21"/>
              </w:rPr>
            </w:pPr>
          </w:p>
        </w:tc>
        <w:tc>
          <w:tcPr>
            <w:tcW w:w="507" w:type="pct"/>
            <w:vMerge w:val="continue"/>
            <w:vAlign w:val="center"/>
          </w:tcPr>
          <w:p>
            <w:pPr>
              <w:widowControl/>
              <w:jc w:val="left"/>
              <w:rPr>
                <w:rFonts w:hint="eastAsia" w:ascii="宋体" w:hAnsi="宋体" w:eastAsia="宋体" w:cs="宋体"/>
                <w:b/>
                <w:bCs/>
                <w:color w:val="000000"/>
                <w:kern w:val="0"/>
                <w:sz w:val="21"/>
                <w:szCs w:val="21"/>
              </w:rPr>
            </w:pPr>
          </w:p>
        </w:tc>
        <w:tc>
          <w:tcPr>
            <w:tcW w:w="362" w:type="pct"/>
            <w:vMerge w:val="continue"/>
            <w:vAlign w:val="center"/>
          </w:tcPr>
          <w:p>
            <w:pPr>
              <w:widowControl/>
              <w:jc w:val="left"/>
              <w:rPr>
                <w:rFonts w:hint="eastAsia" w:ascii="宋体" w:hAnsi="宋体" w:eastAsia="宋体" w:cs="宋体"/>
                <w:color w:val="000000"/>
                <w:kern w:val="0"/>
                <w:sz w:val="21"/>
                <w:szCs w:val="21"/>
              </w:rPr>
            </w:pPr>
          </w:p>
        </w:tc>
        <w:tc>
          <w:tcPr>
            <w:tcW w:w="584" w:type="pct"/>
            <w:vMerge w:val="continue"/>
            <w:vAlign w:val="center"/>
          </w:tcPr>
          <w:p>
            <w:pPr>
              <w:widowControl/>
              <w:jc w:val="left"/>
              <w:rPr>
                <w:rFonts w:hint="eastAsia" w:ascii="宋体" w:hAnsi="宋体" w:eastAsia="宋体" w:cs="宋体"/>
                <w:color w:val="000000"/>
                <w:kern w:val="0"/>
                <w:sz w:val="21"/>
                <w:szCs w:val="21"/>
              </w:rPr>
            </w:pPr>
          </w:p>
        </w:tc>
        <w:tc>
          <w:tcPr>
            <w:tcW w:w="1055" w:type="pct"/>
            <w:gridSpan w:val="2"/>
            <w:vMerge w:val="continue"/>
            <w:vAlign w:val="center"/>
          </w:tcPr>
          <w:p>
            <w:pPr>
              <w:widowControl/>
              <w:jc w:val="left"/>
              <w:rPr>
                <w:rFonts w:hint="eastAsia" w:ascii="宋体" w:hAnsi="宋体" w:eastAsia="宋体" w:cs="宋体"/>
                <w:color w:val="000000"/>
                <w:kern w:val="0"/>
                <w:sz w:val="21"/>
                <w:szCs w:val="21"/>
              </w:rPr>
            </w:pPr>
          </w:p>
        </w:tc>
        <w:tc>
          <w:tcPr>
            <w:tcW w:w="1715" w:type="pct"/>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多源数据上图、关联到统一的空间实体对象，实现不同来源数据的空间对齐。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90" w:type="pct"/>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sz w:val="21"/>
                <w:szCs w:val="21"/>
              </w:rPr>
              <w:t>44</w:t>
            </w:r>
          </w:p>
        </w:tc>
        <w:tc>
          <w:tcPr>
            <w:tcW w:w="483" w:type="pct"/>
            <w:vMerge w:val="continue"/>
            <w:vAlign w:val="center"/>
          </w:tcPr>
          <w:p>
            <w:pPr>
              <w:widowControl/>
              <w:jc w:val="left"/>
              <w:rPr>
                <w:rFonts w:hint="eastAsia" w:ascii="宋体" w:hAnsi="宋体" w:eastAsia="宋体" w:cs="宋体"/>
                <w:b/>
                <w:bCs/>
                <w:color w:val="000000"/>
                <w:kern w:val="0"/>
                <w:sz w:val="21"/>
                <w:szCs w:val="21"/>
              </w:rPr>
            </w:pPr>
          </w:p>
        </w:tc>
        <w:tc>
          <w:tcPr>
            <w:tcW w:w="507" w:type="pct"/>
            <w:vMerge w:val="continue"/>
            <w:vAlign w:val="center"/>
          </w:tcPr>
          <w:p>
            <w:pPr>
              <w:widowControl/>
              <w:jc w:val="left"/>
              <w:rPr>
                <w:rFonts w:hint="eastAsia" w:ascii="宋体" w:hAnsi="宋体" w:eastAsia="宋体" w:cs="宋体"/>
                <w:b/>
                <w:bCs/>
                <w:color w:val="000000"/>
                <w:kern w:val="0"/>
                <w:sz w:val="21"/>
                <w:szCs w:val="21"/>
              </w:rPr>
            </w:pPr>
          </w:p>
        </w:tc>
        <w:tc>
          <w:tcPr>
            <w:tcW w:w="362" w:type="pct"/>
            <w:vMerge w:val="continue"/>
            <w:vAlign w:val="center"/>
          </w:tcPr>
          <w:p>
            <w:pPr>
              <w:widowControl/>
              <w:jc w:val="left"/>
              <w:rPr>
                <w:rFonts w:hint="eastAsia" w:ascii="宋体" w:hAnsi="宋体" w:eastAsia="宋体" w:cs="宋体"/>
                <w:color w:val="000000"/>
                <w:kern w:val="0"/>
                <w:sz w:val="21"/>
                <w:szCs w:val="21"/>
              </w:rPr>
            </w:pPr>
          </w:p>
        </w:tc>
        <w:tc>
          <w:tcPr>
            <w:tcW w:w="584" w:type="pct"/>
            <w:vMerge w:val="continue"/>
            <w:vAlign w:val="center"/>
          </w:tcPr>
          <w:p>
            <w:pPr>
              <w:widowControl/>
              <w:jc w:val="left"/>
              <w:rPr>
                <w:rFonts w:hint="eastAsia" w:ascii="宋体" w:hAnsi="宋体" w:eastAsia="宋体" w:cs="宋体"/>
                <w:color w:val="000000"/>
                <w:kern w:val="0"/>
                <w:sz w:val="21"/>
                <w:szCs w:val="21"/>
              </w:rPr>
            </w:pPr>
          </w:p>
        </w:tc>
        <w:tc>
          <w:tcPr>
            <w:tcW w:w="1055" w:type="pct"/>
            <w:gridSpan w:val="2"/>
            <w:vMerge w:val="continue"/>
            <w:vAlign w:val="center"/>
          </w:tcPr>
          <w:p>
            <w:pPr>
              <w:widowControl/>
              <w:jc w:val="left"/>
              <w:rPr>
                <w:rFonts w:hint="eastAsia" w:ascii="宋体" w:hAnsi="宋体" w:eastAsia="宋体" w:cs="宋体"/>
                <w:color w:val="000000"/>
                <w:kern w:val="0"/>
                <w:sz w:val="21"/>
                <w:szCs w:val="21"/>
              </w:rPr>
            </w:pPr>
          </w:p>
        </w:tc>
        <w:tc>
          <w:tcPr>
            <w:tcW w:w="1715" w:type="pct"/>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专题CIM空间连接查询，以空间实体为纽带，提供数据集内、跨数据集的关联查询与级联检索。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90" w:type="pct"/>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sz w:val="21"/>
                <w:szCs w:val="21"/>
              </w:rPr>
              <w:t>45</w:t>
            </w:r>
          </w:p>
        </w:tc>
        <w:tc>
          <w:tcPr>
            <w:tcW w:w="483" w:type="pct"/>
            <w:vMerge w:val="continue"/>
            <w:vAlign w:val="center"/>
          </w:tcPr>
          <w:p>
            <w:pPr>
              <w:widowControl/>
              <w:jc w:val="left"/>
              <w:rPr>
                <w:rFonts w:hint="eastAsia" w:ascii="宋体" w:hAnsi="宋体" w:eastAsia="宋体" w:cs="宋体"/>
                <w:b/>
                <w:bCs/>
                <w:color w:val="000000"/>
                <w:kern w:val="0"/>
                <w:sz w:val="21"/>
                <w:szCs w:val="21"/>
              </w:rPr>
            </w:pPr>
          </w:p>
        </w:tc>
        <w:tc>
          <w:tcPr>
            <w:tcW w:w="507" w:type="pct"/>
            <w:vMerge w:val="continue"/>
            <w:vAlign w:val="center"/>
          </w:tcPr>
          <w:p>
            <w:pPr>
              <w:widowControl/>
              <w:jc w:val="left"/>
              <w:rPr>
                <w:rFonts w:hint="eastAsia" w:ascii="宋体" w:hAnsi="宋体" w:eastAsia="宋体" w:cs="宋体"/>
                <w:b/>
                <w:bCs/>
                <w:color w:val="000000"/>
                <w:kern w:val="0"/>
                <w:sz w:val="21"/>
                <w:szCs w:val="21"/>
              </w:rPr>
            </w:pPr>
          </w:p>
        </w:tc>
        <w:tc>
          <w:tcPr>
            <w:tcW w:w="362" w:type="pct"/>
            <w:vMerge w:val="continue"/>
            <w:vAlign w:val="center"/>
          </w:tcPr>
          <w:p>
            <w:pPr>
              <w:widowControl/>
              <w:jc w:val="left"/>
              <w:rPr>
                <w:rFonts w:hint="eastAsia" w:ascii="宋体" w:hAnsi="宋体" w:eastAsia="宋体" w:cs="宋体"/>
                <w:color w:val="000000"/>
                <w:kern w:val="0"/>
                <w:sz w:val="21"/>
                <w:szCs w:val="21"/>
              </w:rPr>
            </w:pPr>
          </w:p>
        </w:tc>
        <w:tc>
          <w:tcPr>
            <w:tcW w:w="584" w:type="pct"/>
            <w:vMerge w:val="continue"/>
            <w:vAlign w:val="center"/>
          </w:tcPr>
          <w:p>
            <w:pPr>
              <w:widowControl/>
              <w:jc w:val="left"/>
              <w:rPr>
                <w:rFonts w:hint="eastAsia" w:ascii="宋体" w:hAnsi="宋体" w:eastAsia="宋体" w:cs="宋体"/>
                <w:color w:val="000000"/>
                <w:kern w:val="0"/>
                <w:sz w:val="21"/>
                <w:szCs w:val="21"/>
              </w:rPr>
            </w:pPr>
          </w:p>
        </w:tc>
        <w:tc>
          <w:tcPr>
            <w:tcW w:w="1055" w:type="pct"/>
            <w:gridSpan w:val="2"/>
            <w:vMerge w:val="restart"/>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专题集逆向地理检索</w:t>
            </w:r>
          </w:p>
        </w:tc>
        <w:tc>
          <w:tcPr>
            <w:tcW w:w="1715" w:type="pct"/>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识别三维场景中的三维空间实体，获取标准地址、语义信息、实体几何。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90" w:type="pct"/>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sz w:val="21"/>
                <w:szCs w:val="21"/>
              </w:rPr>
              <w:t>46</w:t>
            </w:r>
          </w:p>
        </w:tc>
        <w:tc>
          <w:tcPr>
            <w:tcW w:w="483" w:type="pct"/>
            <w:vMerge w:val="continue"/>
            <w:vAlign w:val="center"/>
          </w:tcPr>
          <w:p>
            <w:pPr>
              <w:widowControl/>
              <w:jc w:val="left"/>
              <w:rPr>
                <w:rFonts w:hint="eastAsia" w:ascii="宋体" w:hAnsi="宋体" w:eastAsia="宋体" w:cs="宋体"/>
                <w:b/>
                <w:bCs/>
                <w:color w:val="000000"/>
                <w:kern w:val="0"/>
                <w:sz w:val="21"/>
                <w:szCs w:val="21"/>
              </w:rPr>
            </w:pPr>
          </w:p>
        </w:tc>
        <w:tc>
          <w:tcPr>
            <w:tcW w:w="507" w:type="pct"/>
            <w:vMerge w:val="continue"/>
            <w:vAlign w:val="center"/>
          </w:tcPr>
          <w:p>
            <w:pPr>
              <w:widowControl/>
              <w:jc w:val="left"/>
              <w:rPr>
                <w:rFonts w:hint="eastAsia" w:ascii="宋体" w:hAnsi="宋体" w:eastAsia="宋体" w:cs="宋体"/>
                <w:b/>
                <w:bCs/>
                <w:color w:val="000000"/>
                <w:kern w:val="0"/>
                <w:sz w:val="21"/>
                <w:szCs w:val="21"/>
              </w:rPr>
            </w:pPr>
          </w:p>
        </w:tc>
        <w:tc>
          <w:tcPr>
            <w:tcW w:w="362" w:type="pct"/>
            <w:vMerge w:val="continue"/>
            <w:vAlign w:val="center"/>
          </w:tcPr>
          <w:p>
            <w:pPr>
              <w:widowControl/>
              <w:jc w:val="left"/>
              <w:rPr>
                <w:rFonts w:hint="eastAsia" w:ascii="宋体" w:hAnsi="宋体" w:eastAsia="宋体" w:cs="宋体"/>
                <w:color w:val="000000"/>
                <w:kern w:val="0"/>
                <w:sz w:val="21"/>
                <w:szCs w:val="21"/>
              </w:rPr>
            </w:pPr>
          </w:p>
        </w:tc>
        <w:tc>
          <w:tcPr>
            <w:tcW w:w="584" w:type="pct"/>
            <w:vMerge w:val="continue"/>
            <w:vAlign w:val="center"/>
          </w:tcPr>
          <w:p>
            <w:pPr>
              <w:widowControl/>
              <w:jc w:val="left"/>
              <w:rPr>
                <w:rFonts w:hint="eastAsia" w:ascii="宋体" w:hAnsi="宋体" w:eastAsia="宋体" w:cs="宋体"/>
                <w:color w:val="000000"/>
                <w:kern w:val="0"/>
                <w:sz w:val="21"/>
                <w:szCs w:val="21"/>
              </w:rPr>
            </w:pPr>
          </w:p>
        </w:tc>
        <w:tc>
          <w:tcPr>
            <w:tcW w:w="1055" w:type="pct"/>
            <w:gridSpan w:val="2"/>
            <w:vMerge w:val="continue"/>
            <w:vAlign w:val="center"/>
          </w:tcPr>
          <w:p>
            <w:pPr>
              <w:widowControl/>
              <w:jc w:val="left"/>
              <w:rPr>
                <w:rFonts w:hint="eastAsia" w:ascii="宋体" w:hAnsi="宋体" w:eastAsia="宋体" w:cs="宋体"/>
                <w:color w:val="000000"/>
                <w:kern w:val="0"/>
                <w:sz w:val="21"/>
                <w:szCs w:val="21"/>
              </w:rPr>
            </w:pPr>
          </w:p>
        </w:tc>
        <w:tc>
          <w:tcPr>
            <w:tcW w:w="1715" w:type="pct"/>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基于地理坐标点、区域空间范围约束，实现专题要素检索及映射关系检索。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290" w:type="pct"/>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sz w:val="21"/>
                <w:szCs w:val="21"/>
              </w:rPr>
              <w:t>47</w:t>
            </w:r>
          </w:p>
        </w:tc>
        <w:tc>
          <w:tcPr>
            <w:tcW w:w="483" w:type="pct"/>
            <w:vMerge w:val="continue"/>
            <w:vAlign w:val="center"/>
          </w:tcPr>
          <w:p>
            <w:pPr>
              <w:widowControl/>
              <w:jc w:val="left"/>
              <w:rPr>
                <w:rFonts w:hint="eastAsia" w:ascii="宋体" w:hAnsi="宋体" w:eastAsia="宋体" w:cs="宋体"/>
                <w:b/>
                <w:bCs/>
                <w:color w:val="000000"/>
                <w:kern w:val="0"/>
                <w:sz w:val="21"/>
                <w:szCs w:val="21"/>
              </w:rPr>
            </w:pPr>
          </w:p>
        </w:tc>
        <w:tc>
          <w:tcPr>
            <w:tcW w:w="507" w:type="pct"/>
            <w:vMerge w:val="continue"/>
            <w:vAlign w:val="center"/>
          </w:tcPr>
          <w:p>
            <w:pPr>
              <w:widowControl/>
              <w:jc w:val="left"/>
              <w:rPr>
                <w:rFonts w:hint="eastAsia" w:ascii="宋体" w:hAnsi="宋体" w:eastAsia="宋体" w:cs="宋体"/>
                <w:b/>
                <w:bCs/>
                <w:color w:val="000000"/>
                <w:kern w:val="0"/>
                <w:sz w:val="21"/>
                <w:szCs w:val="21"/>
              </w:rPr>
            </w:pPr>
          </w:p>
        </w:tc>
        <w:tc>
          <w:tcPr>
            <w:tcW w:w="362" w:type="pct"/>
            <w:vMerge w:val="continue"/>
            <w:vAlign w:val="center"/>
          </w:tcPr>
          <w:p>
            <w:pPr>
              <w:widowControl/>
              <w:jc w:val="left"/>
              <w:rPr>
                <w:rFonts w:hint="eastAsia" w:ascii="宋体" w:hAnsi="宋体" w:eastAsia="宋体" w:cs="宋体"/>
                <w:color w:val="000000"/>
                <w:kern w:val="0"/>
                <w:sz w:val="21"/>
                <w:szCs w:val="21"/>
              </w:rPr>
            </w:pPr>
          </w:p>
        </w:tc>
        <w:tc>
          <w:tcPr>
            <w:tcW w:w="584" w:type="pct"/>
            <w:vMerge w:val="continue"/>
            <w:vAlign w:val="center"/>
          </w:tcPr>
          <w:p>
            <w:pPr>
              <w:widowControl/>
              <w:jc w:val="left"/>
              <w:rPr>
                <w:rFonts w:hint="eastAsia" w:ascii="宋体" w:hAnsi="宋体" w:eastAsia="宋体" w:cs="宋体"/>
                <w:color w:val="000000"/>
                <w:kern w:val="0"/>
                <w:sz w:val="21"/>
                <w:szCs w:val="21"/>
              </w:rPr>
            </w:pPr>
          </w:p>
        </w:tc>
        <w:tc>
          <w:tcPr>
            <w:tcW w:w="1055" w:type="pct"/>
            <w:gridSpan w:val="2"/>
            <w:vMerge w:val="continue"/>
            <w:vAlign w:val="center"/>
          </w:tcPr>
          <w:p>
            <w:pPr>
              <w:widowControl/>
              <w:jc w:val="left"/>
              <w:rPr>
                <w:rFonts w:hint="eastAsia" w:ascii="宋体" w:hAnsi="宋体" w:eastAsia="宋体" w:cs="宋体"/>
                <w:color w:val="000000"/>
                <w:kern w:val="0"/>
                <w:sz w:val="21"/>
                <w:szCs w:val="21"/>
              </w:rPr>
            </w:pPr>
          </w:p>
        </w:tc>
        <w:tc>
          <w:tcPr>
            <w:tcW w:w="1715" w:type="pct"/>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基于地理空间实体，检索级联空间实体（如楼幢实体下的单元、楼层、房屋），实现系列专题要素检索及映射关系检索。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90" w:type="pct"/>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sz w:val="21"/>
                <w:szCs w:val="21"/>
              </w:rPr>
              <w:t>48</w:t>
            </w:r>
          </w:p>
        </w:tc>
        <w:tc>
          <w:tcPr>
            <w:tcW w:w="483" w:type="pct"/>
            <w:vMerge w:val="continue"/>
            <w:vAlign w:val="center"/>
          </w:tcPr>
          <w:p>
            <w:pPr>
              <w:widowControl/>
              <w:jc w:val="left"/>
              <w:rPr>
                <w:rFonts w:hint="eastAsia" w:ascii="宋体" w:hAnsi="宋体" w:eastAsia="宋体" w:cs="宋体"/>
                <w:b/>
                <w:bCs/>
                <w:color w:val="000000"/>
                <w:kern w:val="0"/>
                <w:sz w:val="21"/>
                <w:szCs w:val="21"/>
              </w:rPr>
            </w:pPr>
          </w:p>
        </w:tc>
        <w:tc>
          <w:tcPr>
            <w:tcW w:w="507" w:type="pct"/>
            <w:vMerge w:val="continue"/>
            <w:vAlign w:val="center"/>
          </w:tcPr>
          <w:p>
            <w:pPr>
              <w:widowControl/>
              <w:jc w:val="left"/>
              <w:rPr>
                <w:rFonts w:hint="eastAsia" w:ascii="宋体" w:hAnsi="宋体" w:eastAsia="宋体" w:cs="宋体"/>
                <w:b/>
                <w:bCs/>
                <w:color w:val="000000"/>
                <w:kern w:val="0"/>
                <w:sz w:val="21"/>
                <w:szCs w:val="21"/>
              </w:rPr>
            </w:pPr>
          </w:p>
        </w:tc>
        <w:tc>
          <w:tcPr>
            <w:tcW w:w="362" w:type="pct"/>
            <w:vMerge w:val="continue"/>
            <w:vAlign w:val="center"/>
          </w:tcPr>
          <w:p>
            <w:pPr>
              <w:widowControl/>
              <w:jc w:val="left"/>
              <w:rPr>
                <w:rFonts w:hint="eastAsia" w:ascii="宋体" w:hAnsi="宋体" w:eastAsia="宋体" w:cs="宋体"/>
                <w:color w:val="000000"/>
                <w:kern w:val="0"/>
                <w:sz w:val="21"/>
                <w:szCs w:val="21"/>
              </w:rPr>
            </w:pPr>
          </w:p>
        </w:tc>
        <w:tc>
          <w:tcPr>
            <w:tcW w:w="584" w:type="pct"/>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统一编码引擎</w:t>
            </w:r>
          </w:p>
        </w:tc>
        <w:tc>
          <w:tcPr>
            <w:tcW w:w="1055" w:type="pct"/>
            <w:gridSpan w:val="2"/>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标准网格引擎</w:t>
            </w:r>
          </w:p>
        </w:tc>
        <w:tc>
          <w:tcPr>
            <w:tcW w:w="1715" w:type="pct"/>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构建统一空间编码作为空间唯一身份证，以映射城市数字空间和实体空间的对应关系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90" w:type="pct"/>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sz w:val="21"/>
                <w:szCs w:val="21"/>
              </w:rPr>
              <w:t>49</w:t>
            </w:r>
          </w:p>
        </w:tc>
        <w:tc>
          <w:tcPr>
            <w:tcW w:w="483" w:type="pct"/>
            <w:vMerge w:val="continue"/>
            <w:vAlign w:val="center"/>
          </w:tcPr>
          <w:p>
            <w:pPr>
              <w:widowControl/>
              <w:jc w:val="left"/>
              <w:rPr>
                <w:rFonts w:hint="eastAsia" w:ascii="宋体" w:hAnsi="宋体" w:eastAsia="宋体" w:cs="宋体"/>
                <w:b/>
                <w:bCs/>
                <w:color w:val="000000"/>
                <w:kern w:val="0"/>
                <w:sz w:val="21"/>
                <w:szCs w:val="21"/>
              </w:rPr>
            </w:pPr>
          </w:p>
        </w:tc>
        <w:tc>
          <w:tcPr>
            <w:tcW w:w="507" w:type="pct"/>
            <w:vMerge w:val="continue"/>
            <w:vAlign w:val="center"/>
          </w:tcPr>
          <w:p>
            <w:pPr>
              <w:widowControl/>
              <w:jc w:val="left"/>
              <w:rPr>
                <w:rFonts w:hint="eastAsia" w:ascii="宋体" w:hAnsi="宋体" w:eastAsia="宋体" w:cs="宋体"/>
                <w:b/>
                <w:bCs/>
                <w:color w:val="000000"/>
                <w:kern w:val="0"/>
                <w:sz w:val="21"/>
                <w:szCs w:val="21"/>
              </w:rPr>
            </w:pPr>
          </w:p>
        </w:tc>
        <w:tc>
          <w:tcPr>
            <w:tcW w:w="362" w:type="pct"/>
            <w:vMerge w:val="restart"/>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数据挖掘分析</w:t>
            </w:r>
          </w:p>
        </w:tc>
        <w:tc>
          <w:tcPr>
            <w:tcW w:w="584" w:type="pct"/>
            <w:vMerge w:val="restart"/>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基础算子库</w:t>
            </w:r>
          </w:p>
        </w:tc>
        <w:tc>
          <w:tcPr>
            <w:tcW w:w="1055" w:type="pct"/>
            <w:gridSpan w:val="2"/>
            <w:vMerge w:val="restart"/>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基础空间算子</w:t>
            </w:r>
          </w:p>
        </w:tc>
        <w:tc>
          <w:tcPr>
            <w:tcW w:w="1715" w:type="pct"/>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空间量测（含空间距离、面积等）、通视分析、可视域分析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290" w:type="pct"/>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sz w:val="21"/>
                <w:szCs w:val="21"/>
              </w:rPr>
              <w:t>50</w:t>
            </w:r>
          </w:p>
        </w:tc>
        <w:tc>
          <w:tcPr>
            <w:tcW w:w="483" w:type="pct"/>
            <w:vMerge w:val="continue"/>
            <w:vAlign w:val="center"/>
          </w:tcPr>
          <w:p>
            <w:pPr>
              <w:widowControl/>
              <w:jc w:val="left"/>
              <w:rPr>
                <w:rFonts w:hint="eastAsia" w:ascii="宋体" w:hAnsi="宋体" w:eastAsia="宋体" w:cs="宋体"/>
                <w:b/>
                <w:bCs/>
                <w:color w:val="000000"/>
                <w:kern w:val="0"/>
                <w:sz w:val="21"/>
                <w:szCs w:val="21"/>
              </w:rPr>
            </w:pPr>
          </w:p>
        </w:tc>
        <w:tc>
          <w:tcPr>
            <w:tcW w:w="507" w:type="pct"/>
            <w:vMerge w:val="continue"/>
            <w:vAlign w:val="center"/>
          </w:tcPr>
          <w:p>
            <w:pPr>
              <w:widowControl/>
              <w:jc w:val="left"/>
              <w:rPr>
                <w:rFonts w:hint="eastAsia" w:ascii="宋体" w:hAnsi="宋体" w:eastAsia="宋体" w:cs="宋体"/>
                <w:b/>
                <w:bCs/>
                <w:color w:val="000000"/>
                <w:kern w:val="0"/>
                <w:sz w:val="21"/>
                <w:szCs w:val="21"/>
              </w:rPr>
            </w:pPr>
          </w:p>
        </w:tc>
        <w:tc>
          <w:tcPr>
            <w:tcW w:w="362" w:type="pct"/>
            <w:vMerge w:val="continue"/>
            <w:vAlign w:val="center"/>
          </w:tcPr>
          <w:p>
            <w:pPr>
              <w:widowControl/>
              <w:jc w:val="left"/>
              <w:rPr>
                <w:rFonts w:hint="eastAsia" w:ascii="宋体" w:hAnsi="宋体" w:eastAsia="宋体" w:cs="宋体"/>
                <w:color w:val="000000"/>
                <w:kern w:val="0"/>
                <w:sz w:val="21"/>
                <w:szCs w:val="21"/>
              </w:rPr>
            </w:pPr>
          </w:p>
        </w:tc>
        <w:tc>
          <w:tcPr>
            <w:tcW w:w="584" w:type="pct"/>
            <w:vMerge w:val="continue"/>
            <w:vAlign w:val="center"/>
          </w:tcPr>
          <w:p>
            <w:pPr>
              <w:widowControl/>
              <w:jc w:val="left"/>
              <w:rPr>
                <w:rFonts w:hint="eastAsia" w:ascii="宋体" w:hAnsi="宋体" w:eastAsia="宋体" w:cs="宋体"/>
                <w:color w:val="000000"/>
                <w:kern w:val="0"/>
                <w:sz w:val="21"/>
                <w:szCs w:val="21"/>
              </w:rPr>
            </w:pPr>
          </w:p>
        </w:tc>
        <w:tc>
          <w:tcPr>
            <w:tcW w:w="1055" w:type="pct"/>
            <w:gridSpan w:val="2"/>
            <w:vMerge w:val="continue"/>
            <w:vAlign w:val="center"/>
          </w:tcPr>
          <w:p>
            <w:pPr>
              <w:widowControl/>
              <w:jc w:val="left"/>
              <w:rPr>
                <w:rFonts w:hint="eastAsia" w:ascii="宋体" w:hAnsi="宋体" w:eastAsia="宋体" w:cs="宋体"/>
                <w:color w:val="000000"/>
                <w:kern w:val="0"/>
                <w:sz w:val="21"/>
                <w:szCs w:val="21"/>
              </w:rPr>
            </w:pPr>
          </w:p>
        </w:tc>
        <w:tc>
          <w:tcPr>
            <w:tcW w:w="1715" w:type="pct"/>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选择缓冲区分析、空间拓扑分析、日照分析、地形分析、密度分析、OD分析、服务范围分析、连通性分析、网络拓扑分析、属性统计、空间查询分析等基础分析算子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90" w:type="pct"/>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sz w:val="21"/>
                <w:szCs w:val="21"/>
              </w:rPr>
              <w:t>51</w:t>
            </w:r>
          </w:p>
        </w:tc>
        <w:tc>
          <w:tcPr>
            <w:tcW w:w="483" w:type="pct"/>
            <w:vMerge w:val="continue"/>
            <w:vAlign w:val="center"/>
          </w:tcPr>
          <w:p>
            <w:pPr>
              <w:widowControl/>
              <w:jc w:val="left"/>
              <w:rPr>
                <w:rFonts w:hint="eastAsia" w:ascii="宋体" w:hAnsi="宋体" w:eastAsia="宋体" w:cs="宋体"/>
                <w:b/>
                <w:bCs/>
                <w:color w:val="000000"/>
                <w:kern w:val="0"/>
                <w:sz w:val="21"/>
                <w:szCs w:val="21"/>
              </w:rPr>
            </w:pPr>
          </w:p>
        </w:tc>
        <w:tc>
          <w:tcPr>
            <w:tcW w:w="507" w:type="pct"/>
            <w:vMerge w:val="continue"/>
            <w:vAlign w:val="center"/>
          </w:tcPr>
          <w:p>
            <w:pPr>
              <w:widowControl/>
              <w:jc w:val="left"/>
              <w:rPr>
                <w:rFonts w:hint="eastAsia" w:ascii="宋体" w:hAnsi="宋体" w:eastAsia="宋体" w:cs="宋体"/>
                <w:b/>
                <w:bCs/>
                <w:color w:val="000000"/>
                <w:kern w:val="0"/>
                <w:sz w:val="21"/>
                <w:szCs w:val="21"/>
              </w:rPr>
            </w:pPr>
          </w:p>
        </w:tc>
        <w:tc>
          <w:tcPr>
            <w:tcW w:w="362" w:type="pct"/>
            <w:vMerge w:val="continue"/>
            <w:vAlign w:val="center"/>
          </w:tcPr>
          <w:p>
            <w:pPr>
              <w:widowControl/>
              <w:jc w:val="left"/>
              <w:rPr>
                <w:rFonts w:hint="eastAsia" w:ascii="宋体" w:hAnsi="宋体" w:eastAsia="宋体" w:cs="宋体"/>
                <w:color w:val="000000"/>
                <w:kern w:val="0"/>
                <w:sz w:val="21"/>
                <w:szCs w:val="21"/>
              </w:rPr>
            </w:pPr>
          </w:p>
        </w:tc>
        <w:tc>
          <w:tcPr>
            <w:tcW w:w="584" w:type="pct"/>
            <w:vMerge w:val="continue"/>
            <w:vAlign w:val="center"/>
          </w:tcPr>
          <w:p>
            <w:pPr>
              <w:widowControl/>
              <w:jc w:val="left"/>
              <w:rPr>
                <w:rFonts w:hint="eastAsia" w:ascii="宋体" w:hAnsi="宋体" w:eastAsia="宋体" w:cs="宋体"/>
                <w:color w:val="000000"/>
                <w:kern w:val="0"/>
                <w:sz w:val="21"/>
                <w:szCs w:val="21"/>
              </w:rPr>
            </w:pPr>
          </w:p>
        </w:tc>
        <w:tc>
          <w:tcPr>
            <w:tcW w:w="1055" w:type="pct"/>
            <w:gridSpan w:val="2"/>
            <w:vMerge w:val="restart"/>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制高点分析</w:t>
            </w:r>
          </w:p>
        </w:tc>
        <w:tc>
          <w:tcPr>
            <w:tcW w:w="1715" w:type="pct"/>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静态制高点分析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90" w:type="pct"/>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sz w:val="21"/>
                <w:szCs w:val="21"/>
              </w:rPr>
              <w:t>52</w:t>
            </w:r>
          </w:p>
        </w:tc>
        <w:tc>
          <w:tcPr>
            <w:tcW w:w="483" w:type="pct"/>
            <w:vMerge w:val="continue"/>
            <w:vAlign w:val="center"/>
          </w:tcPr>
          <w:p>
            <w:pPr>
              <w:widowControl/>
              <w:jc w:val="left"/>
              <w:rPr>
                <w:rFonts w:hint="eastAsia" w:ascii="宋体" w:hAnsi="宋体" w:eastAsia="宋体" w:cs="宋体"/>
                <w:b/>
                <w:bCs/>
                <w:color w:val="000000"/>
                <w:kern w:val="0"/>
                <w:sz w:val="21"/>
                <w:szCs w:val="21"/>
              </w:rPr>
            </w:pPr>
          </w:p>
        </w:tc>
        <w:tc>
          <w:tcPr>
            <w:tcW w:w="507" w:type="pct"/>
            <w:vMerge w:val="continue"/>
            <w:vAlign w:val="center"/>
          </w:tcPr>
          <w:p>
            <w:pPr>
              <w:widowControl/>
              <w:jc w:val="left"/>
              <w:rPr>
                <w:rFonts w:hint="eastAsia" w:ascii="宋体" w:hAnsi="宋体" w:eastAsia="宋体" w:cs="宋体"/>
                <w:b/>
                <w:bCs/>
                <w:color w:val="000000"/>
                <w:kern w:val="0"/>
                <w:sz w:val="21"/>
                <w:szCs w:val="21"/>
              </w:rPr>
            </w:pPr>
          </w:p>
        </w:tc>
        <w:tc>
          <w:tcPr>
            <w:tcW w:w="362" w:type="pct"/>
            <w:vMerge w:val="continue"/>
            <w:vAlign w:val="center"/>
          </w:tcPr>
          <w:p>
            <w:pPr>
              <w:widowControl/>
              <w:jc w:val="left"/>
              <w:rPr>
                <w:rFonts w:hint="eastAsia" w:ascii="宋体" w:hAnsi="宋体" w:eastAsia="宋体" w:cs="宋体"/>
                <w:color w:val="000000"/>
                <w:kern w:val="0"/>
                <w:sz w:val="21"/>
                <w:szCs w:val="21"/>
              </w:rPr>
            </w:pPr>
          </w:p>
        </w:tc>
        <w:tc>
          <w:tcPr>
            <w:tcW w:w="584" w:type="pct"/>
            <w:vMerge w:val="continue"/>
            <w:vAlign w:val="center"/>
          </w:tcPr>
          <w:p>
            <w:pPr>
              <w:widowControl/>
              <w:jc w:val="left"/>
              <w:rPr>
                <w:rFonts w:hint="eastAsia" w:ascii="宋体" w:hAnsi="宋体" w:eastAsia="宋体" w:cs="宋体"/>
                <w:color w:val="000000"/>
                <w:kern w:val="0"/>
                <w:sz w:val="21"/>
                <w:szCs w:val="21"/>
              </w:rPr>
            </w:pPr>
          </w:p>
        </w:tc>
        <w:tc>
          <w:tcPr>
            <w:tcW w:w="1055" w:type="pct"/>
            <w:gridSpan w:val="2"/>
            <w:vMerge w:val="continue"/>
            <w:vAlign w:val="center"/>
          </w:tcPr>
          <w:p>
            <w:pPr>
              <w:widowControl/>
              <w:jc w:val="left"/>
              <w:rPr>
                <w:rFonts w:hint="eastAsia" w:ascii="宋体" w:hAnsi="宋体" w:eastAsia="宋体" w:cs="宋体"/>
                <w:color w:val="000000"/>
                <w:kern w:val="0"/>
                <w:sz w:val="21"/>
                <w:szCs w:val="21"/>
              </w:rPr>
            </w:pPr>
          </w:p>
        </w:tc>
        <w:tc>
          <w:tcPr>
            <w:tcW w:w="1715" w:type="pct"/>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动态制高点分析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90" w:type="pct"/>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sz w:val="21"/>
                <w:szCs w:val="21"/>
              </w:rPr>
              <w:t>53</w:t>
            </w:r>
          </w:p>
        </w:tc>
        <w:tc>
          <w:tcPr>
            <w:tcW w:w="483" w:type="pct"/>
            <w:vMerge w:val="continue"/>
            <w:vAlign w:val="center"/>
          </w:tcPr>
          <w:p>
            <w:pPr>
              <w:widowControl/>
              <w:jc w:val="left"/>
              <w:rPr>
                <w:rFonts w:hint="eastAsia" w:ascii="宋体" w:hAnsi="宋体" w:eastAsia="宋体" w:cs="宋体"/>
                <w:b/>
                <w:bCs/>
                <w:color w:val="000000"/>
                <w:kern w:val="0"/>
                <w:sz w:val="21"/>
                <w:szCs w:val="21"/>
              </w:rPr>
            </w:pPr>
          </w:p>
        </w:tc>
        <w:tc>
          <w:tcPr>
            <w:tcW w:w="507" w:type="pct"/>
            <w:vMerge w:val="continue"/>
            <w:vAlign w:val="center"/>
          </w:tcPr>
          <w:p>
            <w:pPr>
              <w:widowControl/>
              <w:jc w:val="left"/>
              <w:rPr>
                <w:rFonts w:hint="eastAsia" w:ascii="宋体" w:hAnsi="宋体" w:eastAsia="宋体" w:cs="宋体"/>
                <w:b/>
                <w:bCs/>
                <w:color w:val="000000"/>
                <w:kern w:val="0"/>
                <w:sz w:val="21"/>
                <w:szCs w:val="21"/>
              </w:rPr>
            </w:pPr>
          </w:p>
        </w:tc>
        <w:tc>
          <w:tcPr>
            <w:tcW w:w="362" w:type="pct"/>
            <w:vMerge w:val="continue"/>
            <w:vAlign w:val="center"/>
          </w:tcPr>
          <w:p>
            <w:pPr>
              <w:widowControl/>
              <w:jc w:val="left"/>
              <w:rPr>
                <w:rFonts w:hint="eastAsia" w:ascii="宋体" w:hAnsi="宋体" w:eastAsia="宋体" w:cs="宋体"/>
                <w:color w:val="000000"/>
                <w:kern w:val="0"/>
                <w:sz w:val="21"/>
                <w:szCs w:val="21"/>
              </w:rPr>
            </w:pPr>
          </w:p>
        </w:tc>
        <w:tc>
          <w:tcPr>
            <w:tcW w:w="584" w:type="pct"/>
            <w:vMerge w:val="continue"/>
            <w:vAlign w:val="center"/>
          </w:tcPr>
          <w:p>
            <w:pPr>
              <w:widowControl/>
              <w:jc w:val="left"/>
              <w:rPr>
                <w:rFonts w:hint="eastAsia" w:ascii="宋体" w:hAnsi="宋体" w:eastAsia="宋体" w:cs="宋体"/>
                <w:color w:val="000000"/>
                <w:kern w:val="0"/>
                <w:sz w:val="21"/>
                <w:szCs w:val="21"/>
              </w:rPr>
            </w:pPr>
          </w:p>
        </w:tc>
        <w:tc>
          <w:tcPr>
            <w:tcW w:w="1055" w:type="pct"/>
            <w:gridSpan w:val="2"/>
            <w:vMerge w:val="restart"/>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三维盲区分析（已知相机姿态）</w:t>
            </w:r>
          </w:p>
        </w:tc>
        <w:tc>
          <w:tcPr>
            <w:tcW w:w="1715" w:type="pct"/>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监控相机姿态参数空间拟合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90" w:type="pct"/>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sz w:val="21"/>
                <w:szCs w:val="21"/>
              </w:rPr>
              <w:t>54</w:t>
            </w:r>
          </w:p>
        </w:tc>
        <w:tc>
          <w:tcPr>
            <w:tcW w:w="483" w:type="pct"/>
            <w:vMerge w:val="continue"/>
            <w:vAlign w:val="center"/>
          </w:tcPr>
          <w:p>
            <w:pPr>
              <w:widowControl/>
              <w:jc w:val="left"/>
              <w:rPr>
                <w:rFonts w:hint="eastAsia" w:ascii="宋体" w:hAnsi="宋体" w:eastAsia="宋体" w:cs="宋体"/>
                <w:b/>
                <w:bCs/>
                <w:color w:val="000000"/>
                <w:kern w:val="0"/>
                <w:sz w:val="21"/>
                <w:szCs w:val="21"/>
              </w:rPr>
            </w:pPr>
          </w:p>
        </w:tc>
        <w:tc>
          <w:tcPr>
            <w:tcW w:w="507" w:type="pct"/>
            <w:vMerge w:val="continue"/>
            <w:vAlign w:val="center"/>
          </w:tcPr>
          <w:p>
            <w:pPr>
              <w:widowControl/>
              <w:jc w:val="left"/>
              <w:rPr>
                <w:rFonts w:hint="eastAsia" w:ascii="宋体" w:hAnsi="宋体" w:eastAsia="宋体" w:cs="宋体"/>
                <w:b/>
                <w:bCs/>
                <w:color w:val="000000"/>
                <w:kern w:val="0"/>
                <w:sz w:val="21"/>
                <w:szCs w:val="21"/>
              </w:rPr>
            </w:pPr>
          </w:p>
        </w:tc>
        <w:tc>
          <w:tcPr>
            <w:tcW w:w="362" w:type="pct"/>
            <w:vMerge w:val="continue"/>
            <w:vAlign w:val="center"/>
          </w:tcPr>
          <w:p>
            <w:pPr>
              <w:widowControl/>
              <w:jc w:val="left"/>
              <w:rPr>
                <w:rFonts w:hint="eastAsia" w:ascii="宋体" w:hAnsi="宋体" w:eastAsia="宋体" w:cs="宋体"/>
                <w:color w:val="000000"/>
                <w:kern w:val="0"/>
                <w:sz w:val="21"/>
                <w:szCs w:val="21"/>
              </w:rPr>
            </w:pPr>
          </w:p>
        </w:tc>
        <w:tc>
          <w:tcPr>
            <w:tcW w:w="584" w:type="pct"/>
            <w:vMerge w:val="continue"/>
            <w:vAlign w:val="center"/>
          </w:tcPr>
          <w:p>
            <w:pPr>
              <w:widowControl/>
              <w:jc w:val="left"/>
              <w:rPr>
                <w:rFonts w:hint="eastAsia" w:ascii="宋体" w:hAnsi="宋体" w:eastAsia="宋体" w:cs="宋体"/>
                <w:color w:val="000000"/>
                <w:kern w:val="0"/>
                <w:sz w:val="21"/>
                <w:szCs w:val="21"/>
              </w:rPr>
            </w:pPr>
          </w:p>
        </w:tc>
        <w:tc>
          <w:tcPr>
            <w:tcW w:w="1055" w:type="pct"/>
            <w:gridSpan w:val="2"/>
            <w:vMerge w:val="continue"/>
            <w:vAlign w:val="center"/>
          </w:tcPr>
          <w:p>
            <w:pPr>
              <w:widowControl/>
              <w:jc w:val="left"/>
              <w:rPr>
                <w:rFonts w:hint="eastAsia" w:ascii="宋体" w:hAnsi="宋体" w:eastAsia="宋体" w:cs="宋体"/>
                <w:color w:val="000000"/>
                <w:kern w:val="0"/>
                <w:sz w:val="21"/>
                <w:szCs w:val="21"/>
              </w:rPr>
            </w:pPr>
          </w:p>
        </w:tc>
        <w:tc>
          <w:tcPr>
            <w:tcW w:w="1715" w:type="pct"/>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监控相机姿态跟踪拟合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90" w:type="pct"/>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sz w:val="21"/>
                <w:szCs w:val="21"/>
              </w:rPr>
              <w:t>55</w:t>
            </w:r>
          </w:p>
        </w:tc>
        <w:tc>
          <w:tcPr>
            <w:tcW w:w="483" w:type="pct"/>
            <w:vMerge w:val="continue"/>
            <w:vAlign w:val="center"/>
          </w:tcPr>
          <w:p>
            <w:pPr>
              <w:widowControl/>
              <w:jc w:val="left"/>
              <w:rPr>
                <w:rFonts w:hint="eastAsia" w:ascii="宋体" w:hAnsi="宋体" w:eastAsia="宋体" w:cs="宋体"/>
                <w:b/>
                <w:bCs/>
                <w:color w:val="000000"/>
                <w:kern w:val="0"/>
                <w:sz w:val="21"/>
                <w:szCs w:val="21"/>
              </w:rPr>
            </w:pPr>
          </w:p>
        </w:tc>
        <w:tc>
          <w:tcPr>
            <w:tcW w:w="507" w:type="pct"/>
            <w:vMerge w:val="continue"/>
            <w:vAlign w:val="center"/>
          </w:tcPr>
          <w:p>
            <w:pPr>
              <w:widowControl/>
              <w:jc w:val="left"/>
              <w:rPr>
                <w:rFonts w:hint="eastAsia" w:ascii="宋体" w:hAnsi="宋体" w:eastAsia="宋体" w:cs="宋体"/>
                <w:b/>
                <w:bCs/>
                <w:color w:val="000000"/>
                <w:kern w:val="0"/>
                <w:sz w:val="21"/>
                <w:szCs w:val="21"/>
              </w:rPr>
            </w:pPr>
          </w:p>
        </w:tc>
        <w:tc>
          <w:tcPr>
            <w:tcW w:w="362" w:type="pct"/>
            <w:vMerge w:val="continue"/>
            <w:vAlign w:val="center"/>
          </w:tcPr>
          <w:p>
            <w:pPr>
              <w:widowControl/>
              <w:jc w:val="left"/>
              <w:rPr>
                <w:rFonts w:hint="eastAsia" w:ascii="宋体" w:hAnsi="宋体" w:eastAsia="宋体" w:cs="宋体"/>
                <w:color w:val="000000"/>
                <w:kern w:val="0"/>
                <w:sz w:val="21"/>
                <w:szCs w:val="21"/>
              </w:rPr>
            </w:pPr>
          </w:p>
        </w:tc>
        <w:tc>
          <w:tcPr>
            <w:tcW w:w="584" w:type="pct"/>
            <w:vMerge w:val="continue"/>
            <w:vAlign w:val="center"/>
          </w:tcPr>
          <w:p>
            <w:pPr>
              <w:widowControl/>
              <w:jc w:val="left"/>
              <w:rPr>
                <w:rFonts w:hint="eastAsia" w:ascii="宋体" w:hAnsi="宋体" w:eastAsia="宋体" w:cs="宋体"/>
                <w:color w:val="000000"/>
                <w:kern w:val="0"/>
                <w:sz w:val="21"/>
                <w:szCs w:val="21"/>
              </w:rPr>
            </w:pPr>
          </w:p>
        </w:tc>
        <w:tc>
          <w:tcPr>
            <w:tcW w:w="1055" w:type="pct"/>
            <w:gridSpan w:val="2"/>
            <w:vMerge w:val="continue"/>
            <w:vAlign w:val="center"/>
          </w:tcPr>
          <w:p>
            <w:pPr>
              <w:widowControl/>
              <w:jc w:val="left"/>
              <w:rPr>
                <w:rFonts w:hint="eastAsia" w:ascii="宋体" w:hAnsi="宋体" w:eastAsia="宋体" w:cs="宋体"/>
                <w:color w:val="000000"/>
                <w:kern w:val="0"/>
                <w:sz w:val="21"/>
                <w:szCs w:val="21"/>
              </w:rPr>
            </w:pPr>
          </w:p>
        </w:tc>
        <w:tc>
          <w:tcPr>
            <w:tcW w:w="1715" w:type="pct"/>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多视点多向通视模拟与分析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90" w:type="pct"/>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sz w:val="21"/>
                <w:szCs w:val="21"/>
              </w:rPr>
              <w:t>56</w:t>
            </w:r>
          </w:p>
        </w:tc>
        <w:tc>
          <w:tcPr>
            <w:tcW w:w="483" w:type="pct"/>
            <w:vMerge w:val="continue"/>
            <w:vAlign w:val="center"/>
          </w:tcPr>
          <w:p>
            <w:pPr>
              <w:widowControl/>
              <w:jc w:val="left"/>
              <w:rPr>
                <w:rFonts w:hint="eastAsia" w:ascii="宋体" w:hAnsi="宋体" w:eastAsia="宋体" w:cs="宋体"/>
                <w:b/>
                <w:bCs/>
                <w:color w:val="000000"/>
                <w:kern w:val="0"/>
                <w:sz w:val="21"/>
                <w:szCs w:val="21"/>
              </w:rPr>
            </w:pPr>
          </w:p>
        </w:tc>
        <w:tc>
          <w:tcPr>
            <w:tcW w:w="507" w:type="pct"/>
            <w:vMerge w:val="continue"/>
            <w:vAlign w:val="center"/>
          </w:tcPr>
          <w:p>
            <w:pPr>
              <w:widowControl/>
              <w:jc w:val="left"/>
              <w:rPr>
                <w:rFonts w:hint="eastAsia" w:ascii="宋体" w:hAnsi="宋体" w:eastAsia="宋体" w:cs="宋体"/>
                <w:b/>
                <w:bCs/>
                <w:color w:val="000000"/>
                <w:kern w:val="0"/>
                <w:sz w:val="21"/>
                <w:szCs w:val="21"/>
              </w:rPr>
            </w:pPr>
          </w:p>
        </w:tc>
        <w:tc>
          <w:tcPr>
            <w:tcW w:w="362" w:type="pct"/>
            <w:vMerge w:val="continue"/>
            <w:vAlign w:val="center"/>
          </w:tcPr>
          <w:p>
            <w:pPr>
              <w:widowControl/>
              <w:jc w:val="left"/>
              <w:rPr>
                <w:rFonts w:hint="eastAsia" w:ascii="宋体" w:hAnsi="宋体" w:eastAsia="宋体" w:cs="宋体"/>
                <w:color w:val="000000"/>
                <w:kern w:val="0"/>
                <w:sz w:val="21"/>
                <w:szCs w:val="21"/>
              </w:rPr>
            </w:pPr>
          </w:p>
        </w:tc>
        <w:tc>
          <w:tcPr>
            <w:tcW w:w="584" w:type="pct"/>
            <w:vMerge w:val="continue"/>
            <w:vAlign w:val="center"/>
          </w:tcPr>
          <w:p>
            <w:pPr>
              <w:widowControl/>
              <w:jc w:val="left"/>
              <w:rPr>
                <w:rFonts w:hint="eastAsia" w:ascii="宋体" w:hAnsi="宋体" w:eastAsia="宋体" w:cs="宋体"/>
                <w:color w:val="000000"/>
                <w:kern w:val="0"/>
                <w:sz w:val="21"/>
                <w:szCs w:val="21"/>
              </w:rPr>
            </w:pPr>
          </w:p>
        </w:tc>
        <w:tc>
          <w:tcPr>
            <w:tcW w:w="1055" w:type="pct"/>
            <w:gridSpan w:val="2"/>
            <w:vMerge w:val="continue"/>
            <w:vAlign w:val="center"/>
          </w:tcPr>
          <w:p>
            <w:pPr>
              <w:widowControl/>
              <w:jc w:val="left"/>
              <w:rPr>
                <w:rFonts w:hint="eastAsia" w:ascii="宋体" w:hAnsi="宋体" w:eastAsia="宋体" w:cs="宋体"/>
                <w:color w:val="000000"/>
                <w:kern w:val="0"/>
                <w:sz w:val="21"/>
                <w:szCs w:val="21"/>
              </w:rPr>
            </w:pPr>
          </w:p>
        </w:tc>
        <w:tc>
          <w:tcPr>
            <w:tcW w:w="1715" w:type="pct"/>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视域叠加计算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90" w:type="pct"/>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sz w:val="21"/>
                <w:szCs w:val="21"/>
              </w:rPr>
              <w:t>57</w:t>
            </w:r>
          </w:p>
        </w:tc>
        <w:tc>
          <w:tcPr>
            <w:tcW w:w="483" w:type="pct"/>
            <w:vMerge w:val="continue"/>
            <w:vAlign w:val="center"/>
          </w:tcPr>
          <w:p>
            <w:pPr>
              <w:widowControl/>
              <w:jc w:val="left"/>
              <w:rPr>
                <w:rFonts w:hint="eastAsia" w:ascii="宋体" w:hAnsi="宋体" w:eastAsia="宋体" w:cs="宋体"/>
                <w:b/>
                <w:bCs/>
                <w:color w:val="000000"/>
                <w:kern w:val="0"/>
                <w:sz w:val="21"/>
                <w:szCs w:val="21"/>
              </w:rPr>
            </w:pPr>
          </w:p>
        </w:tc>
        <w:tc>
          <w:tcPr>
            <w:tcW w:w="507" w:type="pct"/>
            <w:vMerge w:val="continue"/>
            <w:vAlign w:val="center"/>
          </w:tcPr>
          <w:p>
            <w:pPr>
              <w:widowControl/>
              <w:jc w:val="left"/>
              <w:rPr>
                <w:rFonts w:hint="eastAsia" w:ascii="宋体" w:hAnsi="宋体" w:eastAsia="宋体" w:cs="宋体"/>
                <w:b/>
                <w:bCs/>
                <w:color w:val="000000"/>
                <w:kern w:val="0"/>
                <w:sz w:val="21"/>
                <w:szCs w:val="21"/>
              </w:rPr>
            </w:pPr>
          </w:p>
        </w:tc>
        <w:tc>
          <w:tcPr>
            <w:tcW w:w="362" w:type="pct"/>
            <w:vMerge w:val="continue"/>
            <w:vAlign w:val="center"/>
          </w:tcPr>
          <w:p>
            <w:pPr>
              <w:widowControl/>
              <w:jc w:val="left"/>
              <w:rPr>
                <w:rFonts w:hint="eastAsia" w:ascii="宋体" w:hAnsi="宋体" w:eastAsia="宋体" w:cs="宋体"/>
                <w:color w:val="000000"/>
                <w:kern w:val="0"/>
                <w:sz w:val="21"/>
                <w:szCs w:val="21"/>
              </w:rPr>
            </w:pPr>
          </w:p>
        </w:tc>
        <w:tc>
          <w:tcPr>
            <w:tcW w:w="584" w:type="pct"/>
            <w:vMerge w:val="restart"/>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模型量算库</w:t>
            </w:r>
          </w:p>
        </w:tc>
        <w:tc>
          <w:tcPr>
            <w:tcW w:w="1055" w:type="pct"/>
            <w:gridSpan w:val="2"/>
            <w:vMerge w:val="restart"/>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模型计算指标</w:t>
            </w:r>
          </w:p>
        </w:tc>
        <w:tc>
          <w:tcPr>
            <w:tcW w:w="1715" w:type="pct"/>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建筑模型计算指标（8个）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90" w:type="pct"/>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sz w:val="21"/>
                <w:szCs w:val="21"/>
              </w:rPr>
              <w:t>58</w:t>
            </w:r>
          </w:p>
        </w:tc>
        <w:tc>
          <w:tcPr>
            <w:tcW w:w="483" w:type="pct"/>
            <w:vMerge w:val="continue"/>
            <w:vAlign w:val="center"/>
          </w:tcPr>
          <w:p>
            <w:pPr>
              <w:widowControl/>
              <w:jc w:val="left"/>
              <w:rPr>
                <w:rFonts w:hint="eastAsia" w:ascii="宋体" w:hAnsi="宋体" w:eastAsia="宋体" w:cs="宋体"/>
                <w:b/>
                <w:bCs/>
                <w:color w:val="000000"/>
                <w:kern w:val="0"/>
                <w:sz w:val="21"/>
                <w:szCs w:val="21"/>
              </w:rPr>
            </w:pPr>
          </w:p>
        </w:tc>
        <w:tc>
          <w:tcPr>
            <w:tcW w:w="507" w:type="pct"/>
            <w:vMerge w:val="continue"/>
            <w:vAlign w:val="center"/>
          </w:tcPr>
          <w:p>
            <w:pPr>
              <w:widowControl/>
              <w:jc w:val="left"/>
              <w:rPr>
                <w:rFonts w:hint="eastAsia" w:ascii="宋体" w:hAnsi="宋体" w:eastAsia="宋体" w:cs="宋体"/>
                <w:b/>
                <w:bCs/>
                <w:color w:val="000000"/>
                <w:kern w:val="0"/>
                <w:sz w:val="21"/>
                <w:szCs w:val="21"/>
              </w:rPr>
            </w:pPr>
          </w:p>
        </w:tc>
        <w:tc>
          <w:tcPr>
            <w:tcW w:w="362" w:type="pct"/>
            <w:vMerge w:val="continue"/>
            <w:vAlign w:val="center"/>
          </w:tcPr>
          <w:p>
            <w:pPr>
              <w:widowControl/>
              <w:jc w:val="left"/>
              <w:rPr>
                <w:rFonts w:hint="eastAsia" w:ascii="宋体" w:hAnsi="宋体" w:eastAsia="宋体" w:cs="宋体"/>
                <w:color w:val="000000"/>
                <w:kern w:val="0"/>
                <w:sz w:val="21"/>
                <w:szCs w:val="21"/>
              </w:rPr>
            </w:pPr>
          </w:p>
        </w:tc>
        <w:tc>
          <w:tcPr>
            <w:tcW w:w="584" w:type="pct"/>
            <w:vMerge w:val="continue"/>
            <w:vAlign w:val="center"/>
          </w:tcPr>
          <w:p>
            <w:pPr>
              <w:widowControl/>
              <w:jc w:val="left"/>
              <w:rPr>
                <w:rFonts w:hint="eastAsia" w:ascii="宋体" w:hAnsi="宋体" w:eastAsia="宋体" w:cs="宋体"/>
                <w:color w:val="000000"/>
                <w:kern w:val="0"/>
                <w:sz w:val="21"/>
                <w:szCs w:val="21"/>
              </w:rPr>
            </w:pPr>
          </w:p>
        </w:tc>
        <w:tc>
          <w:tcPr>
            <w:tcW w:w="1055" w:type="pct"/>
            <w:gridSpan w:val="2"/>
            <w:vMerge w:val="continue"/>
            <w:vAlign w:val="center"/>
          </w:tcPr>
          <w:p>
            <w:pPr>
              <w:widowControl/>
              <w:jc w:val="left"/>
              <w:rPr>
                <w:rFonts w:hint="eastAsia" w:ascii="宋体" w:hAnsi="宋体" w:eastAsia="宋体" w:cs="宋体"/>
                <w:color w:val="000000"/>
                <w:kern w:val="0"/>
                <w:sz w:val="21"/>
                <w:szCs w:val="21"/>
              </w:rPr>
            </w:pPr>
          </w:p>
        </w:tc>
        <w:tc>
          <w:tcPr>
            <w:tcW w:w="1715" w:type="pct"/>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市政模型计算指标（15个）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290" w:type="pct"/>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sz w:val="21"/>
                <w:szCs w:val="21"/>
              </w:rPr>
              <w:t>59</w:t>
            </w:r>
          </w:p>
        </w:tc>
        <w:tc>
          <w:tcPr>
            <w:tcW w:w="483" w:type="pct"/>
            <w:vMerge w:val="continue"/>
            <w:vAlign w:val="center"/>
          </w:tcPr>
          <w:p>
            <w:pPr>
              <w:widowControl/>
              <w:jc w:val="left"/>
              <w:rPr>
                <w:rFonts w:hint="eastAsia" w:ascii="宋体" w:hAnsi="宋体" w:eastAsia="宋体" w:cs="宋体"/>
                <w:b/>
                <w:bCs/>
                <w:color w:val="000000"/>
                <w:kern w:val="0"/>
                <w:sz w:val="21"/>
                <w:szCs w:val="21"/>
              </w:rPr>
            </w:pPr>
          </w:p>
        </w:tc>
        <w:tc>
          <w:tcPr>
            <w:tcW w:w="507" w:type="pct"/>
            <w:vMerge w:val="continue"/>
            <w:vAlign w:val="center"/>
          </w:tcPr>
          <w:p>
            <w:pPr>
              <w:widowControl/>
              <w:jc w:val="left"/>
              <w:rPr>
                <w:rFonts w:hint="eastAsia" w:ascii="宋体" w:hAnsi="宋体" w:eastAsia="宋体" w:cs="宋体"/>
                <w:b/>
                <w:bCs/>
                <w:color w:val="000000"/>
                <w:kern w:val="0"/>
                <w:sz w:val="21"/>
                <w:szCs w:val="21"/>
              </w:rPr>
            </w:pPr>
          </w:p>
        </w:tc>
        <w:tc>
          <w:tcPr>
            <w:tcW w:w="362" w:type="pct"/>
            <w:vMerge w:val="continue"/>
            <w:vAlign w:val="center"/>
          </w:tcPr>
          <w:p>
            <w:pPr>
              <w:widowControl/>
              <w:jc w:val="left"/>
              <w:rPr>
                <w:rFonts w:hint="eastAsia" w:ascii="宋体" w:hAnsi="宋体" w:eastAsia="宋体" w:cs="宋体"/>
                <w:color w:val="000000"/>
                <w:kern w:val="0"/>
                <w:sz w:val="21"/>
                <w:szCs w:val="21"/>
              </w:rPr>
            </w:pPr>
          </w:p>
        </w:tc>
        <w:tc>
          <w:tcPr>
            <w:tcW w:w="584" w:type="pct"/>
            <w:vMerge w:val="continue"/>
            <w:vAlign w:val="center"/>
          </w:tcPr>
          <w:p>
            <w:pPr>
              <w:widowControl/>
              <w:jc w:val="left"/>
              <w:rPr>
                <w:rFonts w:hint="eastAsia" w:ascii="宋体" w:hAnsi="宋体" w:eastAsia="宋体" w:cs="宋体"/>
                <w:color w:val="000000"/>
                <w:kern w:val="0"/>
                <w:sz w:val="21"/>
                <w:szCs w:val="21"/>
              </w:rPr>
            </w:pPr>
          </w:p>
        </w:tc>
        <w:tc>
          <w:tcPr>
            <w:tcW w:w="1055" w:type="pct"/>
            <w:gridSpan w:val="2"/>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建设类分析指标</w:t>
            </w:r>
          </w:p>
        </w:tc>
        <w:tc>
          <w:tcPr>
            <w:tcW w:w="1715" w:type="pct"/>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基于精细化三维空间数据对建筑分布、毛细化服务设施和城市家具分布、绿化资源价值等城市品质因子进行分析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290" w:type="pct"/>
            <w:vAlign w:val="center"/>
          </w:tcPr>
          <w:p>
            <w:pPr>
              <w:widowControl/>
              <w:jc w:val="center"/>
              <w:rPr>
                <w:rFonts w:hint="eastAsia" w:ascii="宋体" w:hAnsi="宋体" w:eastAsia="宋体" w:cs="宋体"/>
                <w:b/>
                <w:bCs/>
                <w:color w:val="000000"/>
                <w:sz w:val="21"/>
                <w:szCs w:val="21"/>
              </w:rPr>
            </w:pPr>
            <w:r>
              <w:rPr>
                <w:rFonts w:hint="eastAsia" w:ascii="宋体" w:hAnsi="宋体" w:eastAsia="宋体" w:cs="宋体"/>
                <w:b/>
                <w:bCs/>
                <w:color w:val="000000"/>
                <w:sz w:val="21"/>
                <w:szCs w:val="21"/>
              </w:rPr>
              <w:t>60</w:t>
            </w:r>
          </w:p>
        </w:tc>
        <w:tc>
          <w:tcPr>
            <w:tcW w:w="483" w:type="pct"/>
            <w:vMerge w:val="continue"/>
            <w:vAlign w:val="center"/>
          </w:tcPr>
          <w:p>
            <w:pPr>
              <w:widowControl/>
              <w:jc w:val="left"/>
              <w:rPr>
                <w:rFonts w:hint="eastAsia" w:ascii="宋体" w:hAnsi="宋体" w:eastAsia="宋体" w:cs="宋体"/>
                <w:b/>
                <w:bCs/>
                <w:color w:val="000000"/>
                <w:kern w:val="0"/>
                <w:sz w:val="21"/>
                <w:szCs w:val="21"/>
              </w:rPr>
            </w:pPr>
          </w:p>
        </w:tc>
        <w:tc>
          <w:tcPr>
            <w:tcW w:w="507" w:type="pct"/>
            <w:vMerge w:val="continue"/>
            <w:vAlign w:val="center"/>
          </w:tcPr>
          <w:p>
            <w:pPr>
              <w:widowControl/>
              <w:jc w:val="left"/>
              <w:rPr>
                <w:rFonts w:hint="eastAsia" w:ascii="宋体" w:hAnsi="宋体" w:eastAsia="宋体" w:cs="宋体"/>
                <w:b/>
                <w:bCs/>
                <w:color w:val="000000"/>
                <w:kern w:val="0"/>
                <w:sz w:val="21"/>
                <w:szCs w:val="21"/>
              </w:rPr>
            </w:pPr>
          </w:p>
        </w:tc>
        <w:tc>
          <w:tcPr>
            <w:tcW w:w="362" w:type="pct"/>
            <w:vMerge w:val="continue"/>
            <w:vAlign w:val="center"/>
          </w:tcPr>
          <w:p>
            <w:pPr>
              <w:widowControl/>
              <w:jc w:val="left"/>
              <w:rPr>
                <w:rFonts w:hint="eastAsia" w:ascii="宋体" w:hAnsi="宋体" w:eastAsia="宋体" w:cs="宋体"/>
                <w:color w:val="000000"/>
                <w:kern w:val="0"/>
                <w:sz w:val="21"/>
                <w:szCs w:val="21"/>
              </w:rPr>
            </w:pPr>
          </w:p>
        </w:tc>
        <w:tc>
          <w:tcPr>
            <w:tcW w:w="584" w:type="pct"/>
            <w:vMerge w:val="continue"/>
            <w:vAlign w:val="center"/>
          </w:tcPr>
          <w:p>
            <w:pPr>
              <w:widowControl/>
              <w:jc w:val="left"/>
              <w:rPr>
                <w:rFonts w:hint="eastAsia" w:ascii="宋体" w:hAnsi="宋体" w:eastAsia="宋体" w:cs="宋体"/>
                <w:color w:val="000000"/>
                <w:kern w:val="0"/>
                <w:sz w:val="21"/>
                <w:szCs w:val="21"/>
              </w:rPr>
            </w:pPr>
          </w:p>
        </w:tc>
        <w:tc>
          <w:tcPr>
            <w:tcW w:w="1055" w:type="pct"/>
            <w:gridSpan w:val="2"/>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指标管理</w:t>
            </w:r>
          </w:p>
        </w:tc>
        <w:tc>
          <w:tcPr>
            <w:tcW w:w="1715" w:type="pct"/>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实现指标库指标统一管理功能，包括区域管理、策略管理、审查对象管理、指标项管理、指标关联算法管理、指标面板管理、指标版本管理功能。并提供指标库指标统一呈现，查询等辅助管理功能。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290" w:type="pct"/>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sz w:val="21"/>
                <w:szCs w:val="21"/>
              </w:rPr>
              <w:t>61</w:t>
            </w:r>
          </w:p>
        </w:tc>
        <w:tc>
          <w:tcPr>
            <w:tcW w:w="483" w:type="pct"/>
            <w:vMerge w:val="continue"/>
            <w:vAlign w:val="center"/>
          </w:tcPr>
          <w:p>
            <w:pPr>
              <w:widowControl/>
              <w:jc w:val="left"/>
              <w:rPr>
                <w:rFonts w:hint="eastAsia" w:ascii="宋体" w:hAnsi="宋体" w:eastAsia="宋体" w:cs="宋体"/>
                <w:b/>
                <w:bCs/>
                <w:color w:val="000000"/>
                <w:kern w:val="0"/>
                <w:sz w:val="21"/>
                <w:szCs w:val="21"/>
              </w:rPr>
            </w:pPr>
          </w:p>
        </w:tc>
        <w:tc>
          <w:tcPr>
            <w:tcW w:w="507" w:type="pct"/>
            <w:vMerge w:val="continue"/>
            <w:vAlign w:val="center"/>
          </w:tcPr>
          <w:p>
            <w:pPr>
              <w:widowControl/>
              <w:jc w:val="left"/>
              <w:rPr>
                <w:rFonts w:hint="eastAsia" w:ascii="宋体" w:hAnsi="宋体" w:eastAsia="宋体" w:cs="宋体"/>
                <w:b/>
                <w:bCs/>
                <w:color w:val="000000"/>
                <w:kern w:val="0"/>
                <w:sz w:val="21"/>
                <w:szCs w:val="21"/>
              </w:rPr>
            </w:pPr>
          </w:p>
        </w:tc>
        <w:tc>
          <w:tcPr>
            <w:tcW w:w="362" w:type="pct"/>
            <w:vMerge w:val="continue"/>
            <w:vAlign w:val="center"/>
          </w:tcPr>
          <w:p>
            <w:pPr>
              <w:widowControl/>
              <w:jc w:val="left"/>
              <w:rPr>
                <w:rFonts w:hint="eastAsia" w:ascii="宋体" w:hAnsi="宋体" w:eastAsia="宋体" w:cs="宋体"/>
                <w:color w:val="000000"/>
                <w:kern w:val="0"/>
                <w:sz w:val="21"/>
                <w:szCs w:val="21"/>
              </w:rPr>
            </w:pPr>
          </w:p>
        </w:tc>
        <w:tc>
          <w:tcPr>
            <w:tcW w:w="584" w:type="pct"/>
            <w:vMerge w:val="restart"/>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分析模型库</w:t>
            </w:r>
          </w:p>
        </w:tc>
        <w:tc>
          <w:tcPr>
            <w:tcW w:w="1055" w:type="pct"/>
            <w:gridSpan w:val="2"/>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影响范围分析模型</w:t>
            </w:r>
          </w:p>
        </w:tc>
        <w:tc>
          <w:tcPr>
            <w:tcW w:w="1715" w:type="pct"/>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针对噪音扩散、烟尘扩散、电信信号场强分析、雨水淹没、空间关联分析等影响范围分析模型，选择1个模型上架使用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90" w:type="pct"/>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sz w:val="21"/>
                <w:szCs w:val="21"/>
              </w:rPr>
              <w:t>62</w:t>
            </w:r>
          </w:p>
        </w:tc>
        <w:tc>
          <w:tcPr>
            <w:tcW w:w="483" w:type="pct"/>
            <w:vMerge w:val="continue"/>
            <w:vAlign w:val="center"/>
          </w:tcPr>
          <w:p>
            <w:pPr>
              <w:widowControl/>
              <w:jc w:val="left"/>
              <w:rPr>
                <w:rFonts w:hint="eastAsia" w:ascii="宋体" w:hAnsi="宋体" w:eastAsia="宋体" w:cs="宋体"/>
                <w:b/>
                <w:bCs/>
                <w:color w:val="000000"/>
                <w:kern w:val="0"/>
                <w:sz w:val="21"/>
                <w:szCs w:val="21"/>
              </w:rPr>
            </w:pPr>
          </w:p>
        </w:tc>
        <w:tc>
          <w:tcPr>
            <w:tcW w:w="507" w:type="pct"/>
            <w:vMerge w:val="continue"/>
            <w:vAlign w:val="center"/>
          </w:tcPr>
          <w:p>
            <w:pPr>
              <w:widowControl/>
              <w:jc w:val="left"/>
              <w:rPr>
                <w:rFonts w:hint="eastAsia" w:ascii="宋体" w:hAnsi="宋体" w:eastAsia="宋体" w:cs="宋体"/>
                <w:b/>
                <w:bCs/>
                <w:color w:val="000000"/>
                <w:kern w:val="0"/>
                <w:sz w:val="21"/>
                <w:szCs w:val="21"/>
              </w:rPr>
            </w:pPr>
          </w:p>
        </w:tc>
        <w:tc>
          <w:tcPr>
            <w:tcW w:w="362" w:type="pct"/>
            <w:vMerge w:val="continue"/>
            <w:vAlign w:val="center"/>
          </w:tcPr>
          <w:p>
            <w:pPr>
              <w:widowControl/>
              <w:jc w:val="left"/>
              <w:rPr>
                <w:rFonts w:hint="eastAsia" w:ascii="宋体" w:hAnsi="宋体" w:eastAsia="宋体" w:cs="宋体"/>
                <w:color w:val="000000"/>
                <w:kern w:val="0"/>
                <w:sz w:val="21"/>
                <w:szCs w:val="21"/>
              </w:rPr>
            </w:pPr>
          </w:p>
        </w:tc>
        <w:tc>
          <w:tcPr>
            <w:tcW w:w="584" w:type="pct"/>
            <w:vMerge w:val="continue"/>
            <w:vAlign w:val="center"/>
          </w:tcPr>
          <w:p>
            <w:pPr>
              <w:widowControl/>
              <w:jc w:val="left"/>
              <w:rPr>
                <w:rFonts w:hint="eastAsia" w:ascii="宋体" w:hAnsi="宋体" w:eastAsia="宋体" w:cs="宋体"/>
                <w:color w:val="000000"/>
                <w:kern w:val="0"/>
                <w:sz w:val="21"/>
                <w:szCs w:val="21"/>
              </w:rPr>
            </w:pPr>
          </w:p>
        </w:tc>
        <w:tc>
          <w:tcPr>
            <w:tcW w:w="1055" w:type="pct"/>
            <w:gridSpan w:val="2"/>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模拟仿真分析模型</w:t>
            </w:r>
          </w:p>
        </w:tc>
        <w:tc>
          <w:tcPr>
            <w:tcW w:w="1715" w:type="pct"/>
            <w:vAlign w:val="center"/>
          </w:tcPr>
          <w:p>
            <w:pPr>
              <w:widowControl/>
              <w:jc w:val="left"/>
              <w:rPr>
                <w:rFonts w:hint="eastAsia" w:ascii="宋体" w:hAnsi="宋体" w:eastAsia="宋体" w:cs="宋体"/>
                <w:dstrike/>
                <w:color w:val="000000"/>
                <w:kern w:val="0"/>
                <w:sz w:val="21"/>
                <w:szCs w:val="21"/>
              </w:rPr>
            </w:pPr>
            <w:r>
              <w:rPr>
                <w:rFonts w:hint="eastAsia" w:ascii="宋体" w:hAnsi="宋体" w:eastAsia="宋体" w:cs="宋体"/>
                <w:color w:val="000000"/>
                <w:kern w:val="0"/>
                <w:sz w:val="21"/>
                <w:szCs w:val="21"/>
              </w:rPr>
              <w:t>针对人流疏散、消防模拟、交通模拟、生态环境动态分析等不同需求选择1个模型上架使用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90" w:type="pct"/>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sz w:val="21"/>
                <w:szCs w:val="21"/>
              </w:rPr>
              <w:t>63</w:t>
            </w:r>
          </w:p>
        </w:tc>
        <w:tc>
          <w:tcPr>
            <w:tcW w:w="483" w:type="pct"/>
            <w:vMerge w:val="continue"/>
            <w:vAlign w:val="center"/>
          </w:tcPr>
          <w:p>
            <w:pPr>
              <w:widowControl/>
              <w:jc w:val="left"/>
              <w:rPr>
                <w:rFonts w:hint="eastAsia" w:ascii="宋体" w:hAnsi="宋体" w:eastAsia="宋体" w:cs="宋体"/>
                <w:b/>
                <w:bCs/>
                <w:color w:val="000000"/>
                <w:kern w:val="0"/>
                <w:sz w:val="21"/>
                <w:szCs w:val="21"/>
              </w:rPr>
            </w:pPr>
          </w:p>
        </w:tc>
        <w:tc>
          <w:tcPr>
            <w:tcW w:w="507" w:type="pct"/>
            <w:vMerge w:val="continue"/>
            <w:vAlign w:val="center"/>
          </w:tcPr>
          <w:p>
            <w:pPr>
              <w:widowControl/>
              <w:jc w:val="left"/>
              <w:rPr>
                <w:rFonts w:hint="eastAsia" w:ascii="宋体" w:hAnsi="宋体" w:eastAsia="宋体" w:cs="宋体"/>
                <w:b/>
                <w:bCs/>
                <w:color w:val="000000"/>
                <w:kern w:val="0"/>
                <w:sz w:val="21"/>
                <w:szCs w:val="21"/>
              </w:rPr>
            </w:pPr>
          </w:p>
        </w:tc>
        <w:tc>
          <w:tcPr>
            <w:tcW w:w="362" w:type="pct"/>
            <w:vMerge w:val="restart"/>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数据共享服务</w:t>
            </w:r>
          </w:p>
        </w:tc>
        <w:tc>
          <w:tcPr>
            <w:tcW w:w="584" w:type="pct"/>
            <w:vMerge w:val="restart"/>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统一服务</w:t>
            </w:r>
          </w:p>
        </w:tc>
        <w:tc>
          <w:tcPr>
            <w:tcW w:w="1055" w:type="pct"/>
            <w:gridSpan w:val="2"/>
            <w:vMerge w:val="restart"/>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空间数据服务</w:t>
            </w:r>
          </w:p>
        </w:tc>
        <w:tc>
          <w:tcPr>
            <w:tcW w:w="1715" w:type="pct"/>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CIM地图服务（含WMS、WMTS、WFS、三维地图服务）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90" w:type="pct"/>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sz w:val="21"/>
                <w:szCs w:val="21"/>
              </w:rPr>
              <w:t>64</w:t>
            </w:r>
          </w:p>
        </w:tc>
        <w:tc>
          <w:tcPr>
            <w:tcW w:w="483" w:type="pct"/>
            <w:vMerge w:val="continue"/>
            <w:vAlign w:val="center"/>
          </w:tcPr>
          <w:p>
            <w:pPr>
              <w:widowControl/>
              <w:jc w:val="left"/>
              <w:rPr>
                <w:rFonts w:hint="eastAsia" w:ascii="宋体" w:hAnsi="宋体" w:eastAsia="宋体" w:cs="宋体"/>
                <w:b/>
                <w:bCs/>
                <w:color w:val="000000"/>
                <w:kern w:val="0"/>
                <w:sz w:val="21"/>
                <w:szCs w:val="21"/>
              </w:rPr>
            </w:pPr>
          </w:p>
        </w:tc>
        <w:tc>
          <w:tcPr>
            <w:tcW w:w="507" w:type="pct"/>
            <w:vMerge w:val="continue"/>
            <w:vAlign w:val="center"/>
          </w:tcPr>
          <w:p>
            <w:pPr>
              <w:widowControl/>
              <w:jc w:val="left"/>
              <w:rPr>
                <w:rFonts w:hint="eastAsia" w:ascii="宋体" w:hAnsi="宋体" w:eastAsia="宋体" w:cs="宋体"/>
                <w:b/>
                <w:bCs/>
                <w:color w:val="000000"/>
                <w:kern w:val="0"/>
                <w:sz w:val="21"/>
                <w:szCs w:val="21"/>
              </w:rPr>
            </w:pPr>
          </w:p>
        </w:tc>
        <w:tc>
          <w:tcPr>
            <w:tcW w:w="362" w:type="pct"/>
            <w:vMerge w:val="continue"/>
            <w:vAlign w:val="center"/>
          </w:tcPr>
          <w:p>
            <w:pPr>
              <w:widowControl/>
              <w:jc w:val="left"/>
              <w:rPr>
                <w:rFonts w:hint="eastAsia" w:ascii="宋体" w:hAnsi="宋体" w:eastAsia="宋体" w:cs="宋体"/>
                <w:color w:val="000000"/>
                <w:kern w:val="0"/>
                <w:sz w:val="21"/>
                <w:szCs w:val="21"/>
              </w:rPr>
            </w:pPr>
          </w:p>
        </w:tc>
        <w:tc>
          <w:tcPr>
            <w:tcW w:w="584" w:type="pct"/>
            <w:vMerge w:val="continue"/>
            <w:vAlign w:val="center"/>
          </w:tcPr>
          <w:p>
            <w:pPr>
              <w:widowControl/>
              <w:jc w:val="left"/>
              <w:rPr>
                <w:rFonts w:hint="eastAsia" w:ascii="宋体" w:hAnsi="宋体" w:eastAsia="宋体" w:cs="宋体"/>
                <w:color w:val="000000"/>
                <w:kern w:val="0"/>
                <w:sz w:val="21"/>
                <w:szCs w:val="21"/>
              </w:rPr>
            </w:pPr>
          </w:p>
        </w:tc>
        <w:tc>
          <w:tcPr>
            <w:tcW w:w="1055" w:type="pct"/>
            <w:gridSpan w:val="2"/>
            <w:vMerge w:val="continue"/>
            <w:vAlign w:val="center"/>
          </w:tcPr>
          <w:p>
            <w:pPr>
              <w:widowControl/>
              <w:jc w:val="left"/>
              <w:rPr>
                <w:rFonts w:hint="eastAsia" w:ascii="宋体" w:hAnsi="宋体" w:eastAsia="宋体" w:cs="宋体"/>
                <w:color w:val="000000"/>
                <w:kern w:val="0"/>
                <w:sz w:val="21"/>
                <w:szCs w:val="21"/>
              </w:rPr>
            </w:pPr>
          </w:p>
        </w:tc>
        <w:tc>
          <w:tcPr>
            <w:tcW w:w="1715" w:type="pct"/>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CIM数据服务（二三维GIS数据资源服务）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90" w:type="pct"/>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sz w:val="21"/>
                <w:szCs w:val="21"/>
              </w:rPr>
              <w:t>65</w:t>
            </w:r>
          </w:p>
        </w:tc>
        <w:tc>
          <w:tcPr>
            <w:tcW w:w="483" w:type="pct"/>
            <w:vMerge w:val="continue"/>
            <w:vAlign w:val="center"/>
          </w:tcPr>
          <w:p>
            <w:pPr>
              <w:widowControl/>
              <w:jc w:val="left"/>
              <w:rPr>
                <w:rFonts w:hint="eastAsia" w:ascii="宋体" w:hAnsi="宋体" w:eastAsia="宋体" w:cs="宋体"/>
                <w:b/>
                <w:bCs/>
                <w:color w:val="000000"/>
                <w:kern w:val="0"/>
                <w:sz w:val="21"/>
                <w:szCs w:val="21"/>
              </w:rPr>
            </w:pPr>
          </w:p>
        </w:tc>
        <w:tc>
          <w:tcPr>
            <w:tcW w:w="507" w:type="pct"/>
            <w:vMerge w:val="continue"/>
            <w:vAlign w:val="center"/>
          </w:tcPr>
          <w:p>
            <w:pPr>
              <w:widowControl/>
              <w:jc w:val="left"/>
              <w:rPr>
                <w:rFonts w:hint="eastAsia" w:ascii="宋体" w:hAnsi="宋体" w:eastAsia="宋体" w:cs="宋体"/>
                <w:b/>
                <w:bCs/>
                <w:color w:val="000000"/>
                <w:kern w:val="0"/>
                <w:sz w:val="21"/>
                <w:szCs w:val="21"/>
              </w:rPr>
            </w:pPr>
          </w:p>
        </w:tc>
        <w:tc>
          <w:tcPr>
            <w:tcW w:w="362" w:type="pct"/>
            <w:vMerge w:val="continue"/>
            <w:vAlign w:val="center"/>
          </w:tcPr>
          <w:p>
            <w:pPr>
              <w:widowControl/>
              <w:jc w:val="left"/>
              <w:rPr>
                <w:rFonts w:hint="eastAsia" w:ascii="宋体" w:hAnsi="宋体" w:eastAsia="宋体" w:cs="宋体"/>
                <w:color w:val="000000"/>
                <w:kern w:val="0"/>
                <w:sz w:val="21"/>
                <w:szCs w:val="21"/>
              </w:rPr>
            </w:pPr>
          </w:p>
        </w:tc>
        <w:tc>
          <w:tcPr>
            <w:tcW w:w="584" w:type="pct"/>
            <w:vMerge w:val="continue"/>
            <w:vAlign w:val="center"/>
          </w:tcPr>
          <w:p>
            <w:pPr>
              <w:widowControl/>
              <w:jc w:val="left"/>
              <w:rPr>
                <w:rFonts w:hint="eastAsia" w:ascii="宋体" w:hAnsi="宋体" w:eastAsia="宋体" w:cs="宋体"/>
                <w:color w:val="000000"/>
                <w:kern w:val="0"/>
                <w:sz w:val="21"/>
                <w:szCs w:val="21"/>
              </w:rPr>
            </w:pPr>
          </w:p>
        </w:tc>
        <w:tc>
          <w:tcPr>
            <w:tcW w:w="1055" w:type="pct"/>
            <w:gridSpan w:val="2"/>
            <w:vMerge w:val="continue"/>
            <w:vAlign w:val="center"/>
          </w:tcPr>
          <w:p>
            <w:pPr>
              <w:widowControl/>
              <w:jc w:val="left"/>
              <w:rPr>
                <w:rFonts w:hint="eastAsia" w:ascii="宋体" w:hAnsi="宋体" w:eastAsia="宋体" w:cs="宋体"/>
                <w:color w:val="000000"/>
                <w:kern w:val="0"/>
                <w:sz w:val="21"/>
                <w:szCs w:val="21"/>
              </w:rPr>
            </w:pPr>
          </w:p>
        </w:tc>
        <w:tc>
          <w:tcPr>
            <w:tcW w:w="1715" w:type="pct"/>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CIM三维BIM数据服务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90" w:type="pct"/>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sz w:val="21"/>
                <w:szCs w:val="21"/>
              </w:rPr>
              <w:t>66</w:t>
            </w:r>
          </w:p>
        </w:tc>
        <w:tc>
          <w:tcPr>
            <w:tcW w:w="483" w:type="pct"/>
            <w:vMerge w:val="continue"/>
            <w:vAlign w:val="center"/>
          </w:tcPr>
          <w:p>
            <w:pPr>
              <w:widowControl/>
              <w:jc w:val="left"/>
              <w:rPr>
                <w:rFonts w:hint="eastAsia" w:ascii="宋体" w:hAnsi="宋体" w:eastAsia="宋体" w:cs="宋体"/>
                <w:b/>
                <w:bCs/>
                <w:color w:val="000000"/>
                <w:kern w:val="0"/>
                <w:sz w:val="21"/>
                <w:szCs w:val="21"/>
              </w:rPr>
            </w:pPr>
          </w:p>
        </w:tc>
        <w:tc>
          <w:tcPr>
            <w:tcW w:w="507" w:type="pct"/>
            <w:vMerge w:val="continue"/>
            <w:vAlign w:val="center"/>
          </w:tcPr>
          <w:p>
            <w:pPr>
              <w:widowControl/>
              <w:jc w:val="left"/>
              <w:rPr>
                <w:rFonts w:hint="eastAsia" w:ascii="宋体" w:hAnsi="宋体" w:eastAsia="宋体" w:cs="宋体"/>
                <w:b/>
                <w:bCs/>
                <w:color w:val="000000"/>
                <w:kern w:val="0"/>
                <w:sz w:val="21"/>
                <w:szCs w:val="21"/>
              </w:rPr>
            </w:pPr>
          </w:p>
        </w:tc>
        <w:tc>
          <w:tcPr>
            <w:tcW w:w="362" w:type="pct"/>
            <w:vMerge w:val="continue"/>
            <w:vAlign w:val="center"/>
          </w:tcPr>
          <w:p>
            <w:pPr>
              <w:widowControl/>
              <w:jc w:val="left"/>
              <w:rPr>
                <w:rFonts w:hint="eastAsia" w:ascii="宋体" w:hAnsi="宋体" w:eastAsia="宋体" w:cs="宋体"/>
                <w:color w:val="000000"/>
                <w:kern w:val="0"/>
                <w:sz w:val="21"/>
                <w:szCs w:val="21"/>
              </w:rPr>
            </w:pPr>
          </w:p>
        </w:tc>
        <w:tc>
          <w:tcPr>
            <w:tcW w:w="584" w:type="pct"/>
            <w:vMerge w:val="continue"/>
            <w:vAlign w:val="center"/>
          </w:tcPr>
          <w:p>
            <w:pPr>
              <w:widowControl/>
              <w:jc w:val="left"/>
              <w:rPr>
                <w:rFonts w:hint="eastAsia" w:ascii="宋体" w:hAnsi="宋体" w:eastAsia="宋体" w:cs="宋体"/>
                <w:color w:val="000000"/>
                <w:kern w:val="0"/>
                <w:sz w:val="21"/>
                <w:szCs w:val="21"/>
              </w:rPr>
            </w:pPr>
          </w:p>
        </w:tc>
        <w:tc>
          <w:tcPr>
            <w:tcW w:w="1055" w:type="pct"/>
            <w:gridSpan w:val="2"/>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业务数据服务</w:t>
            </w:r>
          </w:p>
        </w:tc>
        <w:tc>
          <w:tcPr>
            <w:tcW w:w="1715" w:type="pct"/>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各类政务数据服务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90" w:type="pct"/>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sz w:val="21"/>
                <w:szCs w:val="21"/>
              </w:rPr>
              <w:t>67</w:t>
            </w:r>
          </w:p>
        </w:tc>
        <w:tc>
          <w:tcPr>
            <w:tcW w:w="483" w:type="pct"/>
            <w:vMerge w:val="continue"/>
            <w:vAlign w:val="center"/>
          </w:tcPr>
          <w:p>
            <w:pPr>
              <w:widowControl/>
              <w:jc w:val="left"/>
              <w:rPr>
                <w:rFonts w:hint="eastAsia" w:ascii="宋体" w:hAnsi="宋体" w:eastAsia="宋体" w:cs="宋体"/>
                <w:b/>
                <w:bCs/>
                <w:color w:val="000000"/>
                <w:kern w:val="0"/>
                <w:sz w:val="21"/>
                <w:szCs w:val="21"/>
              </w:rPr>
            </w:pPr>
          </w:p>
        </w:tc>
        <w:tc>
          <w:tcPr>
            <w:tcW w:w="507" w:type="pct"/>
            <w:vMerge w:val="continue"/>
            <w:vAlign w:val="center"/>
          </w:tcPr>
          <w:p>
            <w:pPr>
              <w:widowControl/>
              <w:jc w:val="left"/>
              <w:rPr>
                <w:rFonts w:hint="eastAsia" w:ascii="宋体" w:hAnsi="宋体" w:eastAsia="宋体" w:cs="宋体"/>
                <w:b/>
                <w:bCs/>
                <w:color w:val="000000"/>
                <w:kern w:val="0"/>
                <w:sz w:val="21"/>
                <w:szCs w:val="21"/>
              </w:rPr>
            </w:pPr>
          </w:p>
        </w:tc>
        <w:tc>
          <w:tcPr>
            <w:tcW w:w="362" w:type="pct"/>
            <w:vMerge w:val="continue"/>
            <w:vAlign w:val="center"/>
          </w:tcPr>
          <w:p>
            <w:pPr>
              <w:widowControl/>
              <w:jc w:val="left"/>
              <w:rPr>
                <w:rFonts w:hint="eastAsia" w:ascii="宋体" w:hAnsi="宋体" w:eastAsia="宋体" w:cs="宋体"/>
                <w:color w:val="000000"/>
                <w:kern w:val="0"/>
                <w:sz w:val="21"/>
                <w:szCs w:val="21"/>
              </w:rPr>
            </w:pPr>
          </w:p>
        </w:tc>
        <w:tc>
          <w:tcPr>
            <w:tcW w:w="584" w:type="pct"/>
            <w:vMerge w:val="continue"/>
            <w:vAlign w:val="center"/>
          </w:tcPr>
          <w:p>
            <w:pPr>
              <w:widowControl/>
              <w:jc w:val="left"/>
              <w:rPr>
                <w:rFonts w:hint="eastAsia" w:ascii="宋体" w:hAnsi="宋体" w:eastAsia="宋体" w:cs="宋体"/>
                <w:color w:val="000000"/>
                <w:kern w:val="0"/>
                <w:sz w:val="21"/>
                <w:szCs w:val="21"/>
              </w:rPr>
            </w:pPr>
          </w:p>
        </w:tc>
        <w:tc>
          <w:tcPr>
            <w:tcW w:w="1055" w:type="pct"/>
            <w:gridSpan w:val="2"/>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图档数据服务</w:t>
            </w:r>
          </w:p>
        </w:tc>
        <w:tc>
          <w:tcPr>
            <w:tcW w:w="1715" w:type="pct"/>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各类图片、文档数据服务（图档数据主要包括用地红线、报批红线图、供地红线图、设计方案、施工图、竣工图和竣工测绘图，这些图形数据存在着紧密的前后关联关系，所以需要按相关关系发布为服务供业务系统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5" w:hRule="atLeast"/>
          <w:jc w:val="center"/>
        </w:trPr>
        <w:tc>
          <w:tcPr>
            <w:tcW w:w="290" w:type="pct"/>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sz w:val="21"/>
                <w:szCs w:val="21"/>
              </w:rPr>
              <w:t>68</w:t>
            </w:r>
          </w:p>
        </w:tc>
        <w:tc>
          <w:tcPr>
            <w:tcW w:w="483" w:type="pct"/>
            <w:vMerge w:val="continue"/>
            <w:vAlign w:val="center"/>
          </w:tcPr>
          <w:p>
            <w:pPr>
              <w:widowControl/>
              <w:jc w:val="left"/>
              <w:rPr>
                <w:rFonts w:hint="eastAsia" w:ascii="宋体" w:hAnsi="宋体" w:eastAsia="宋体" w:cs="宋体"/>
                <w:b/>
                <w:bCs/>
                <w:color w:val="000000"/>
                <w:kern w:val="0"/>
                <w:sz w:val="21"/>
                <w:szCs w:val="21"/>
              </w:rPr>
            </w:pPr>
          </w:p>
        </w:tc>
        <w:tc>
          <w:tcPr>
            <w:tcW w:w="507" w:type="pct"/>
            <w:vMerge w:val="continue"/>
            <w:vAlign w:val="center"/>
          </w:tcPr>
          <w:p>
            <w:pPr>
              <w:widowControl/>
              <w:jc w:val="left"/>
              <w:rPr>
                <w:rFonts w:hint="eastAsia" w:ascii="宋体" w:hAnsi="宋体" w:eastAsia="宋体" w:cs="宋体"/>
                <w:b/>
                <w:bCs/>
                <w:color w:val="000000"/>
                <w:kern w:val="0"/>
                <w:sz w:val="21"/>
                <w:szCs w:val="21"/>
              </w:rPr>
            </w:pPr>
          </w:p>
        </w:tc>
        <w:tc>
          <w:tcPr>
            <w:tcW w:w="362" w:type="pct"/>
            <w:vMerge w:val="continue"/>
            <w:vAlign w:val="center"/>
          </w:tcPr>
          <w:p>
            <w:pPr>
              <w:widowControl/>
              <w:jc w:val="left"/>
              <w:rPr>
                <w:rFonts w:hint="eastAsia" w:ascii="宋体" w:hAnsi="宋体" w:eastAsia="宋体" w:cs="宋体"/>
                <w:color w:val="000000"/>
                <w:kern w:val="0"/>
                <w:sz w:val="21"/>
                <w:szCs w:val="21"/>
              </w:rPr>
            </w:pPr>
          </w:p>
        </w:tc>
        <w:tc>
          <w:tcPr>
            <w:tcW w:w="584" w:type="pct"/>
            <w:vMerge w:val="continue"/>
            <w:vAlign w:val="center"/>
          </w:tcPr>
          <w:p>
            <w:pPr>
              <w:widowControl/>
              <w:jc w:val="left"/>
              <w:rPr>
                <w:rFonts w:hint="eastAsia" w:ascii="宋体" w:hAnsi="宋体" w:eastAsia="宋体" w:cs="宋体"/>
                <w:color w:val="000000"/>
                <w:kern w:val="0"/>
                <w:sz w:val="21"/>
                <w:szCs w:val="21"/>
              </w:rPr>
            </w:pPr>
          </w:p>
        </w:tc>
        <w:tc>
          <w:tcPr>
            <w:tcW w:w="1055" w:type="pct"/>
            <w:gridSpan w:val="2"/>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服务统一查找</w:t>
            </w:r>
          </w:p>
        </w:tc>
        <w:tc>
          <w:tcPr>
            <w:tcW w:w="1715" w:type="pct"/>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实现用户对服务产品的快速浏览，方便用户了解所需的服务资源，从而提高本平台的可用性。模块可通过服务类型、时间、专题等形式分类呈现各类服务资源，也可查看每条服务的具体明细及调用方式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290" w:type="pct"/>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sz w:val="21"/>
                <w:szCs w:val="21"/>
              </w:rPr>
              <w:t>69</w:t>
            </w:r>
          </w:p>
        </w:tc>
        <w:tc>
          <w:tcPr>
            <w:tcW w:w="483" w:type="pct"/>
            <w:vMerge w:val="continue"/>
            <w:vAlign w:val="center"/>
          </w:tcPr>
          <w:p>
            <w:pPr>
              <w:widowControl/>
              <w:jc w:val="left"/>
              <w:rPr>
                <w:rFonts w:hint="eastAsia" w:ascii="宋体" w:hAnsi="宋体" w:eastAsia="宋体" w:cs="宋体"/>
                <w:b/>
                <w:bCs/>
                <w:color w:val="000000"/>
                <w:kern w:val="0"/>
                <w:sz w:val="21"/>
                <w:szCs w:val="21"/>
              </w:rPr>
            </w:pPr>
          </w:p>
        </w:tc>
        <w:tc>
          <w:tcPr>
            <w:tcW w:w="507" w:type="pct"/>
            <w:vMerge w:val="continue"/>
            <w:vAlign w:val="center"/>
          </w:tcPr>
          <w:p>
            <w:pPr>
              <w:widowControl/>
              <w:jc w:val="left"/>
              <w:rPr>
                <w:rFonts w:hint="eastAsia" w:ascii="宋体" w:hAnsi="宋体" w:eastAsia="宋体" w:cs="宋体"/>
                <w:b/>
                <w:bCs/>
                <w:color w:val="000000"/>
                <w:kern w:val="0"/>
                <w:sz w:val="21"/>
                <w:szCs w:val="21"/>
              </w:rPr>
            </w:pPr>
          </w:p>
        </w:tc>
        <w:tc>
          <w:tcPr>
            <w:tcW w:w="362" w:type="pct"/>
            <w:vMerge w:val="continue"/>
            <w:vAlign w:val="center"/>
          </w:tcPr>
          <w:p>
            <w:pPr>
              <w:widowControl/>
              <w:jc w:val="left"/>
              <w:rPr>
                <w:rFonts w:hint="eastAsia" w:ascii="宋体" w:hAnsi="宋体" w:eastAsia="宋体" w:cs="宋体"/>
                <w:color w:val="000000"/>
                <w:kern w:val="0"/>
                <w:sz w:val="21"/>
                <w:szCs w:val="21"/>
              </w:rPr>
            </w:pPr>
          </w:p>
        </w:tc>
        <w:tc>
          <w:tcPr>
            <w:tcW w:w="584" w:type="pct"/>
            <w:vMerge w:val="continue"/>
            <w:vAlign w:val="center"/>
          </w:tcPr>
          <w:p>
            <w:pPr>
              <w:widowControl/>
              <w:jc w:val="left"/>
              <w:rPr>
                <w:rFonts w:hint="eastAsia" w:ascii="宋体" w:hAnsi="宋体" w:eastAsia="宋体" w:cs="宋体"/>
                <w:color w:val="000000"/>
                <w:kern w:val="0"/>
                <w:sz w:val="21"/>
                <w:szCs w:val="21"/>
              </w:rPr>
            </w:pPr>
          </w:p>
        </w:tc>
        <w:tc>
          <w:tcPr>
            <w:tcW w:w="1055" w:type="pct"/>
            <w:gridSpan w:val="2"/>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服务统一代理</w:t>
            </w:r>
          </w:p>
        </w:tc>
        <w:tc>
          <w:tcPr>
            <w:tcW w:w="1715" w:type="pct"/>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系统提供对生成的API统一代理功能。统一代理包含数据表转API、生成API资源统一服务和服务细粒度管理等功能，支持服务细粒度管理功能，对服务权限、内容、性能进行增强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290" w:type="pct"/>
            <w:vAlign w:val="center"/>
          </w:tcPr>
          <w:p>
            <w:pPr>
              <w:widowControl/>
              <w:jc w:val="center"/>
              <w:rPr>
                <w:rFonts w:hint="eastAsia" w:ascii="宋体" w:hAnsi="宋体" w:eastAsia="宋体" w:cs="宋体"/>
                <w:b/>
                <w:bCs/>
                <w:color w:val="000000"/>
                <w:sz w:val="21"/>
                <w:szCs w:val="21"/>
              </w:rPr>
            </w:pPr>
            <w:r>
              <w:rPr>
                <w:rFonts w:hint="eastAsia" w:ascii="宋体" w:hAnsi="宋体" w:eastAsia="宋体" w:cs="宋体"/>
                <w:b/>
                <w:bCs/>
                <w:color w:val="000000"/>
                <w:sz w:val="21"/>
                <w:szCs w:val="21"/>
              </w:rPr>
              <w:t>70</w:t>
            </w:r>
          </w:p>
        </w:tc>
        <w:tc>
          <w:tcPr>
            <w:tcW w:w="483" w:type="pct"/>
            <w:vMerge w:val="continue"/>
            <w:vAlign w:val="center"/>
          </w:tcPr>
          <w:p>
            <w:pPr>
              <w:widowControl/>
              <w:jc w:val="left"/>
              <w:rPr>
                <w:rFonts w:hint="eastAsia" w:ascii="宋体" w:hAnsi="宋体" w:eastAsia="宋体" w:cs="宋体"/>
                <w:b/>
                <w:bCs/>
                <w:color w:val="000000"/>
                <w:kern w:val="0"/>
                <w:sz w:val="21"/>
                <w:szCs w:val="21"/>
              </w:rPr>
            </w:pPr>
          </w:p>
        </w:tc>
        <w:tc>
          <w:tcPr>
            <w:tcW w:w="507" w:type="pct"/>
            <w:vMerge w:val="continue"/>
            <w:vAlign w:val="center"/>
          </w:tcPr>
          <w:p>
            <w:pPr>
              <w:widowControl/>
              <w:jc w:val="left"/>
              <w:rPr>
                <w:rFonts w:hint="eastAsia" w:ascii="宋体" w:hAnsi="宋体" w:eastAsia="宋体" w:cs="宋体"/>
                <w:b/>
                <w:bCs/>
                <w:color w:val="000000"/>
                <w:kern w:val="0"/>
                <w:sz w:val="21"/>
                <w:szCs w:val="21"/>
              </w:rPr>
            </w:pPr>
          </w:p>
        </w:tc>
        <w:tc>
          <w:tcPr>
            <w:tcW w:w="362" w:type="pct"/>
            <w:vMerge w:val="continue"/>
            <w:vAlign w:val="center"/>
          </w:tcPr>
          <w:p>
            <w:pPr>
              <w:widowControl/>
              <w:jc w:val="left"/>
              <w:rPr>
                <w:rFonts w:hint="eastAsia" w:ascii="宋体" w:hAnsi="宋体" w:eastAsia="宋体" w:cs="宋体"/>
                <w:color w:val="000000"/>
                <w:kern w:val="0"/>
                <w:sz w:val="21"/>
                <w:szCs w:val="21"/>
              </w:rPr>
            </w:pPr>
          </w:p>
        </w:tc>
        <w:tc>
          <w:tcPr>
            <w:tcW w:w="584" w:type="pct"/>
            <w:vMerge w:val="continue"/>
            <w:vAlign w:val="center"/>
          </w:tcPr>
          <w:p>
            <w:pPr>
              <w:widowControl/>
              <w:jc w:val="left"/>
              <w:rPr>
                <w:rFonts w:hint="eastAsia" w:ascii="宋体" w:hAnsi="宋体" w:eastAsia="宋体" w:cs="宋体"/>
                <w:color w:val="000000"/>
                <w:kern w:val="0"/>
                <w:sz w:val="21"/>
                <w:szCs w:val="21"/>
              </w:rPr>
            </w:pPr>
          </w:p>
        </w:tc>
        <w:tc>
          <w:tcPr>
            <w:tcW w:w="1055" w:type="pct"/>
            <w:gridSpan w:val="2"/>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统一服务监控</w:t>
            </w:r>
          </w:p>
        </w:tc>
        <w:tc>
          <w:tcPr>
            <w:tcW w:w="1715" w:type="pct"/>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系统提供API调用的实时监控功能。系统提供对服务的调用汇总和明细管理功能。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290" w:type="pct"/>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sz w:val="21"/>
                <w:szCs w:val="21"/>
              </w:rPr>
              <w:t>71</w:t>
            </w:r>
          </w:p>
        </w:tc>
        <w:tc>
          <w:tcPr>
            <w:tcW w:w="483" w:type="pct"/>
            <w:vMerge w:val="continue"/>
            <w:vAlign w:val="center"/>
          </w:tcPr>
          <w:p>
            <w:pPr>
              <w:widowControl/>
              <w:jc w:val="left"/>
              <w:rPr>
                <w:rFonts w:hint="eastAsia" w:ascii="宋体" w:hAnsi="宋体" w:eastAsia="宋体" w:cs="宋体"/>
                <w:b/>
                <w:bCs/>
                <w:color w:val="000000"/>
                <w:kern w:val="0"/>
                <w:sz w:val="21"/>
                <w:szCs w:val="21"/>
              </w:rPr>
            </w:pPr>
          </w:p>
        </w:tc>
        <w:tc>
          <w:tcPr>
            <w:tcW w:w="507" w:type="pct"/>
            <w:vMerge w:val="continue"/>
            <w:vAlign w:val="center"/>
          </w:tcPr>
          <w:p>
            <w:pPr>
              <w:widowControl/>
              <w:jc w:val="left"/>
              <w:rPr>
                <w:rFonts w:hint="eastAsia" w:ascii="宋体" w:hAnsi="宋体" w:eastAsia="宋体" w:cs="宋体"/>
                <w:b/>
                <w:bCs/>
                <w:color w:val="000000"/>
                <w:kern w:val="0"/>
                <w:sz w:val="21"/>
                <w:szCs w:val="21"/>
              </w:rPr>
            </w:pPr>
          </w:p>
        </w:tc>
        <w:tc>
          <w:tcPr>
            <w:tcW w:w="362" w:type="pct"/>
            <w:vMerge w:val="continue"/>
            <w:vAlign w:val="center"/>
          </w:tcPr>
          <w:p>
            <w:pPr>
              <w:widowControl/>
              <w:jc w:val="left"/>
              <w:rPr>
                <w:rFonts w:hint="eastAsia" w:ascii="宋体" w:hAnsi="宋体" w:eastAsia="宋体" w:cs="宋体"/>
                <w:color w:val="000000"/>
                <w:kern w:val="0"/>
                <w:sz w:val="21"/>
                <w:szCs w:val="21"/>
              </w:rPr>
            </w:pPr>
          </w:p>
        </w:tc>
        <w:tc>
          <w:tcPr>
            <w:tcW w:w="584" w:type="pct"/>
            <w:vMerge w:val="restart"/>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开发者平台</w:t>
            </w:r>
          </w:p>
        </w:tc>
        <w:tc>
          <w:tcPr>
            <w:tcW w:w="1055" w:type="pct"/>
            <w:gridSpan w:val="2"/>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API接口设计规则制定</w:t>
            </w:r>
          </w:p>
        </w:tc>
        <w:tc>
          <w:tcPr>
            <w:tcW w:w="1715" w:type="pct"/>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设计API接口的开发原则，所有注册到平台上的API接口必须遵循统一的规则才可被统一服务所接管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290" w:type="pct"/>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sz w:val="21"/>
                <w:szCs w:val="21"/>
              </w:rPr>
              <w:t>72</w:t>
            </w:r>
          </w:p>
        </w:tc>
        <w:tc>
          <w:tcPr>
            <w:tcW w:w="483" w:type="pct"/>
            <w:vMerge w:val="continue"/>
            <w:vAlign w:val="center"/>
          </w:tcPr>
          <w:p>
            <w:pPr>
              <w:widowControl/>
              <w:jc w:val="left"/>
              <w:rPr>
                <w:rFonts w:hint="eastAsia" w:ascii="宋体" w:hAnsi="宋体" w:eastAsia="宋体" w:cs="宋体"/>
                <w:b/>
                <w:bCs/>
                <w:color w:val="000000"/>
                <w:kern w:val="0"/>
                <w:sz w:val="21"/>
                <w:szCs w:val="21"/>
              </w:rPr>
            </w:pPr>
          </w:p>
        </w:tc>
        <w:tc>
          <w:tcPr>
            <w:tcW w:w="507" w:type="pct"/>
            <w:vMerge w:val="continue"/>
            <w:vAlign w:val="center"/>
          </w:tcPr>
          <w:p>
            <w:pPr>
              <w:widowControl/>
              <w:jc w:val="left"/>
              <w:rPr>
                <w:rFonts w:hint="eastAsia" w:ascii="宋体" w:hAnsi="宋体" w:eastAsia="宋体" w:cs="宋体"/>
                <w:b/>
                <w:bCs/>
                <w:color w:val="000000"/>
                <w:kern w:val="0"/>
                <w:sz w:val="21"/>
                <w:szCs w:val="21"/>
              </w:rPr>
            </w:pPr>
          </w:p>
        </w:tc>
        <w:tc>
          <w:tcPr>
            <w:tcW w:w="362" w:type="pct"/>
            <w:vMerge w:val="continue"/>
            <w:vAlign w:val="center"/>
          </w:tcPr>
          <w:p>
            <w:pPr>
              <w:widowControl/>
              <w:jc w:val="left"/>
              <w:rPr>
                <w:rFonts w:hint="eastAsia" w:ascii="宋体" w:hAnsi="宋体" w:eastAsia="宋体" w:cs="宋体"/>
                <w:color w:val="000000"/>
                <w:kern w:val="0"/>
                <w:sz w:val="21"/>
                <w:szCs w:val="21"/>
              </w:rPr>
            </w:pPr>
          </w:p>
        </w:tc>
        <w:tc>
          <w:tcPr>
            <w:tcW w:w="584" w:type="pct"/>
            <w:vMerge w:val="continue"/>
            <w:vAlign w:val="center"/>
          </w:tcPr>
          <w:p>
            <w:pPr>
              <w:widowControl/>
              <w:jc w:val="left"/>
              <w:rPr>
                <w:rFonts w:hint="eastAsia" w:ascii="宋体" w:hAnsi="宋体" w:eastAsia="宋体" w:cs="宋体"/>
                <w:color w:val="000000"/>
                <w:kern w:val="0"/>
                <w:sz w:val="21"/>
                <w:szCs w:val="21"/>
              </w:rPr>
            </w:pPr>
          </w:p>
        </w:tc>
        <w:tc>
          <w:tcPr>
            <w:tcW w:w="1055" w:type="pct"/>
            <w:gridSpan w:val="2"/>
            <w:noWrap/>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开发中心</w:t>
            </w:r>
          </w:p>
        </w:tc>
        <w:tc>
          <w:tcPr>
            <w:tcW w:w="1715" w:type="pct"/>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提供web开发sdk能力，包含地图浏览、二三维数据加载、视角控制、添加标注、量测功能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290" w:type="pct"/>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sz w:val="21"/>
                <w:szCs w:val="21"/>
              </w:rPr>
              <w:t>73</w:t>
            </w:r>
          </w:p>
        </w:tc>
        <w:tc>
          <w:tcPr>
            <w:tcW w:w="483" w:type="pct"/>
            <w:vMerge w:val="continue"/>
            <w:vAlign w:val="center"/>
          </w:tcPr>
          <w:p>
            <w:pPr>
              <w:widowControl/>
              <w:jc w:val="left"/>
              <w:rPr>
                <w:rFonts w:hint="eastAsia" w:ascii="宋体" w:hAnsi="宋体" w:eastAsia="宋体" w:cs="宋体"/>
                <w:b/>
                <w:bCs/>
                <w:color w:val="000000"/>
                <w:kern w:val="0"/>
                <w:sz w:val="21"/>
                <w:szCs w:val="21"/>
              </w:rPr>
            </w:pPr>
          </w:p>
        </w:tc>
        <w:tc>
          <w:tcPr>
            <w:tcW w:w="507" w:type="pct"/>
            <w:vMerge w:val="continue"/>
            <w:vAlign w:val="center"/>
          </w:tcPr>
          <w:p>
            <w:pPr>
              <w:widowControl/>
              <w:jc w:val="left"/>
              <w:rPr>
                <w:rFonts w:hint="eastAsia" w:ascii="宋体" w:hAnsi="宋体" w:eastAsia="宋体" w:cs="宋体"/>
                <w:b/>
                <w:bCs/>
                <w:color w:val="000000"/>
                <w:kern w:val="0"/>
                <w:sz w:val="21"/>
                <w:szCs w:val="21"/>
              </w:rPr>
            </w:pPr>
          </w:p>
        </w:tc>
        <w:tc>
          <w:tcPr>
            <w:tcW w:w="362" w:type="pct"/>
            <w:vMerge w:val="continue"/>
            <w:vAlign w:val="center"/>
          </w:tcPr>
          <w:p>
            <w:pPr>
              <w:widowControl/>
              <w:jc w:val="left"/>
              <w:rPr>
                <w:rFonts w:hint="eastAsia" w:ascii="宋体" w:hAnsi="宋体" w:eastAsia="宋体" w:cs="宋体"/>
                <w:color w:val="000000"/>
                <w:kern w:val="0"/>
                <w:sz w:val="21"/>
                <w:szCs w:val="21"/>
              </w:rPr>
            </w:pPr>
          </w:p>
        </w:tc>
        <w:tc>
          <w:tcPr>
            <w:tcW w:w="584" w:type="pct"/>
            <w:vMerge w:val="continue"/>
            <w:vAlign w:val="center"/>
          </w:tcPr>
          <w:p>
            <w:pPr>
              <w:widowControl/>
              <w:jc w:val="left"/>
              <w:rPr>
                <w:rFonts w:hint="eastAsia" w:ascii="宋体" w:hAnsi="宋体" w:eastAsia="宋体" w:cs="宋体"/>
                <w:color w:val="000000"/>
                <w:kern w:val="0"/>
                <w:sz w:val="21"/>
                <w:szCs w:val="21"/>
              </w:rPr>
            </w:pPr>
          </w:p>
        </w:tc>
        <w:tc>
          <w:tcPr>
            <w:tcW w:w="1055" w:type="pct"/>
            <w:gridSpan w:val="2"/>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场景编辑器--二三维数据解析渲染</w:t>
            </w:r>
          </w:p>
        </w:tc>
        <w:tc>
          <w:tcPr>
            <w:tcW w:w="1715" w:type="pct"/>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支持各类二三维数据的基础渲染能力，支持使用在线的场景编辑器快速读取统一服务组件中托管的各类二三维数据服务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290" w:type="pct"/>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sz w:val="21"/>
                <w:szCs w:val="21"/>
              </w:rPr>
              <w:t>74</w:t>
            </w:r>
          </w:p>
        </w:tc>
        <w:tc>
          <w:tcPr>
            <w:tcW w:w="483" w:type="pct"/>
            <w:vMerge w:val="continue"/>
            <w:vAlign w:val="center"/>
          </w:tcPr>
          <w:p>
            <w:pPr>
              <w:widowControl/>
              <w:jc w:val="left"/>
              <w:rPr>
                <w:rFonts w:hint="eastAsia" w:ascii="宋体" w:hAnsi="宋体" w:eastAsia="宋体" w:cs="宋体"/>
                <w:b/>
                <w:bCs/>
                <w:color w:val="000000"/>
                <w:kern w:val="0"/>
                <w:sz w:val="21"/>
                <w:szCs w:val="21"/>
              </w:rPr>
            </w:pPr>
          </w:p>
        </w:tc>
        <w:tc>
          <w:tcPr>
            <w:tcW w:w="507" w:type="pct"/>
            <w:vMerge w:val="continue"/>
            <w:vAlign w:val="center"/>
          </w:tcPr>
          <w:p>
            <w:pPr>
              <w:widowControl/>
              <w:jc w:val="left"/>
              <w:rPr>
                <w:rFonts w:hint="eastAsia" w:ascii="宋体" w:hAnsi="宋体" w:eastAsia="宋体" w:cs="宋体"/>
                <w:b/>
                <w:bCs/>
                <w:color w:val="000000"/>
                <w:kern w:val="0"/>
                <w:sz w:val="21"/>
                <w:szCs w:val="21"/>
              </w:rPr>
            </w:pPr>
          </w:p>
        </w:tc>
        <w:tc>
          <w:tcPr>
            <w:tcW w:w="362" w:type="pct"/>
            <w:vMerge w:val="continue"/>
            <w:vAlign w:val="center"/>
          </w:tcPr>
          <w:p>
            <w:pPr>
              <w:widowControl/>
              <w:jc w:val="left"/>
              <w:rPr>
                <w:rFonts w:hint="eastAsia" w:ascii="宋体" w:hAnsi="宋体" w:eastAsia="宋体" w:cs="宋体"/>
                <w:color w:val="000000"/>
                <w:kern w:val="0"/>
                <w:sz w:val="21"/>
                <w:szCs w:val="21"/>
              </w:rPr>
            </w:pPr>
          </w:p>
        </w:tc>
        <w:tc>
          <w:tcPr>
            <w:tcW w:w="584" w:type="pct"/>
            <w:vMerge w:val="restart"/>
            <w:noWrap/>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平台资产编目</w:t>
            </w:r>
          </w:p>
        </w:tc>
        <w:tc>
          <w:tcPr>
            <w:tcW w:w="1055" w:type="pct"/>
            <w:gridSpan w:val="2"/>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资产目录查询</w:t>
            </w:r>
          </w:p>
        </w:tc>
        <w:tc>
          <w:tcPr>
            <w:tcW w:w="1715" w:type="pct"/>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支持导航树和数据目录浏览，支持对资源目录信息的名称、内容、分类等信息的模糊和精确查询功能，可根据需要对显示方式进行定制, 为用户发现和定位所需的时空数据资源目录信息提供便利, 为使用者提供目录的浏览、查询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90" w:type="pct"/>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sz w:val="21"/>
                <w:szCs w:val="21"/>
              </w:rPr>
              <w:t>75</w:t>
            </w:r>
          </w:p>
        </w:tc>
        <w:tc>
          <w:tcPr>
            <w:tcW w:w="483" w:type="pct"/>
            <w:vMerge w:val="continue"/>
            <w:vAlign w:val="center"/>
          </w:tcPr>
          <w:p>
            <w:pPr>
              <w:widowControl/>
              <w:jc w:val="left"/>
              <w:rPr>
                <w:rFonts w:hint="eastAsia" w:ascii="宋体" w:hAnsi="宋体" w:eastAsia="宋体" w:cs="宋体"/>
                <w:b/>
                <w:bCs/>
                <w:color w:val="000000"/>
                <w:kern w:val="0"/>
                <w:sz w:val="21"/>
                <w:szCs w:val="21"/>
              </w:rPr>
            </w:pPr>
          </w:p>
        </w:tc>
        <w:tc>
          <w:tcPr>
            <w:tcW w:w="507" w:type="pct"/>
            <w:vMerge w:val="continue"/>
            <w:vAlign w:val="center"/>
          </w:tcPr>
          <w:p>
            <w:pPr>
              <w:widowControl/>
              <w:jc w:val="left"/>
              <w:rPr>
                <w:rFonts w:hint="eastAsia" w:ascii="宋体" w:hAnsi="宋体" w:eastAsia="宋体" w:cs="宋体"/>
                <w:b/>
                <w:bCs/>
                <w:color w:val="000000"/>
                <w:kern w:val="0"/>
                <w:sz w:val="21"/>
                <w:szCs w:val="21"/>
              </w:rPr>
            </w:pPr>
          </w:p>
        </w:tc>
        <w:tc>
          <w:tcPr>
            <w:tcW w:w="362" w:type="pct"/>
            <w:vMerge w:val="continue"/>
            <w:vAlign w:val="center"/>
          </w:tcPr>
          <w:p>
            <w:pPr>
              <w:widowControl/>
              <w:jc w:val="left"/>
              <w:rPr>
                <w:rFonts w:hint="eastAsia" w:ascii="宋体" w:hAnsi="宋体" w:eastAsia="宋体" w:cs="宋体"/>
                <w:color w:val="000000"/>
                <w:kern w:val="0"/>
                <w:sz w:val="21"/>
                <w:szCs w:val="21"/>
              </w:rPr>
            </w:pPr>
          </w:p>
        </w:tc>
        <w:tc>
          <w:tcPr>
            <w:tcW w:w="584" w:type="pct"/>
            <w:vMerge w:val="continue"/>
            <w:vAlign w:val="center"/>
          </w:tcPr>
          <w:p>
            <w:pPr>
              <w:widowControl/>
              <w:jc w:val="left"/>
              <w:rPr>
                <w:rFonts w:hint="eastAsia" w:ascii="宋体" w:hAnsi="宋体" w:eastAsia="宋体" w:cs="宋体"/>
                <w:color w:val="000000"/>
                <w:kern w:val="0"/>
                <w:sz w:val="21"/>
                <w:szCs w:val="21"/>
              </w:rPr>
            </w:pPr>
          </w:p>
        </w:tc>
        <w:tc>
          <w:tcPr>
            <w:tcW w:w="1055" w:type="pct"/>
            <w:gridSpan w:val="2"/>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资产目录配置</w:t>
            </w:r>
          </w:p>
        </w:tc>
        <w:tc>
          <w:tcPr>
            <w:tcW w:w="1715" w:type="pct"/>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目录管理支持对数据资源目录的集中、统一、灵活的分类、分级管理，可按照目录信息资源粒度的不同以及数据资源类型的不同，生产不同层次和类型的数据资源目录，也可根据应用需要，按专业、主题、单位等其他使用目的进行目录自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90" w:type="pct"/>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sz w:val="21"/>
                <w:szCs w:val="21"/>
              </w:rPr>
              <w:t>76</w:t>
            </w:r>
          </w:p>
        </w:tc>
        <w:tc>
          <w:tcPr>
            <w:tcW w:w="483" w:type="pct"/>
            <w:vMerge w:val="continue"/>
            <w:vAlign w:val="center"/>
          </w:tcPr>
          <w:p>
            <w:pPr>
              <w:widowControl/>
              <w:jc w:val="left"/>
              <w:rPr>
                <w:rFonts w:hint="eastAsia" w:ascii="宋体" w:hAnsi="宋体" w:eastAsia="宋体" w:cs="宋体"/>
                <w:b/>
                <w:bCs/>
                <w:color w:val="000000"/>
                <w:kern w:val="0"/>
                <w:sz w:val="21"/>
                <w:szCs w:val="21"/>
              </w:rPr>
            </w:pPr>
          </w:p>
        </w:tc>
        <w:tc>
          <w:tcPr>
            <w:tcW w:w="507" w:type="pct"/>
            <w:vMerge w:val="continue"/>
            <w:vAlign w:val="center"/>
          </w:tcPr>
          <w:p>
            <w:pPr>
              <w:widowControl/>
              <w:jc w:val="left"/>
              <w:rPr>
                <w:rFonts w:hint="eastAsia" w:ascii="宋体" w:hAnsi="宋体" w:eastAsia="宋体" w:cs="宋体"/>
                <w:b/>
                <w:bCs/>
                <w:color w:val="000000"/>
                <w:kern w:val="0"/>
                <w:sz w:val="21"/>
                <w:szCs w:val="21"/>
              </w:rPr>
            </w:pPr>
          </w:p>
        </w:tc>
        <w:tc>
          <w:tcPr>
            <w:tcW w:w="362" w:type="pct"/>
            <w:vMerge w:val="continue"/>
            <w:vAlign w:val="center"/>
          </w:tcPr>
          <w:p>
            <w:pPr>
              <w:widowControl/>
              <w:jc w:val="left"/>
              <w:rPr>
                <w:rFonts w:hint="eastAsia" w:ascii="宋体" w:hAnsi="宋体" w:eastAsia="宋体" w:cs="宋体"/>
                <w:color w:val="000000"/>
                <w:kern w:val="0"/>
                <w:sz w:val="21"/>
                <w:szCs w:val="21"/>
              </w:rPr>
            </w:pPr>
          </w:p>
        </w:tc>
        <w:tc>
          <w:tcPr>
            <w:tcW w:w="584" w:type="pct"/>
            <w:vMerge w:val="continue"/>
            <w:vAlign w:val="center"/>
          </w:tcPr>
          <w:p>
            <w:pPr>
              <w:widowControl/>
              <w:jc w:val="left"/>
              <w:rPr>
                <w:rFonts w:hint="eastAsia" w:ascii="宋体" w:hAnsi="宋体" w:eastAsia="宋体" w:cs="宋体"/>
                <w:color w:val="000000"/>
                <w:kern w:val="0"/>
                <w:sz w:val="21"/>
                <w:szCs w:val="21"/>
              </w:rPr>
            </w:pPr>
          </w:p>
        </w:tc>
        <w:tc>
          <w:tcPr>
            <w:tcW w:w="1055" w:type="pct"/>
            <w:gridSpan w:val="2"/>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资产以图搜索</w:t>
            </w:r>
          </w:p>
        </w:tc>
        <w:tc>
          <w:tcPr>
            <w:tcW w:w="1715" w:type="pct"/>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支持区域选择、范围上传、自定义绘图等形式的资产以图搜索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90" w:type="pct"/>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sz w:val="21"/>
                <w:szCs w:val="21"/>
              </w:rPr>
              <w:t>77</w:t>
            </w:r>
          </w:p>
        </w:tc>
        <w:tc>
          <w:tcPr>
            <w:tcW w:w="483" w:type="pct"/>
            <w:vMerge w:val="continue"/>
            <w:vAlign w:val="center"/>
          </w:tcPr>
          <w:p>
            <w:pPr>
              <w:widowControl/>
              <w:jc w:val="left"/>
              <w:rPr>
                <w:rFonts w:hint="eastAsia" w:ascii="宋体" w:hAnsi="宋体" w:eastAsia="宋体" w:cs="宋体"/>
                <w:b/>
                <w:bCs/>
                <w:color w:val="000000"/>
                <w:kern w:val="0"/>
                <w:sz w:val="21"/>
                <w:szCs w:val="21"/>
              </w:rPr>
            </w:pPr>
          </w:p>
        </w:tc>
        <w:tc>
          <w:tcPr>
            <w:tcW w:w="507" w:type="pct"/>
            <w:vMerge w:val="continue"/>
            <w:vAlign w:val="center"/>
          </w:tcPr>
          <w:p>
            <w:pPr>
              <w:widowControl/>
              <w:jc w:val="left"/>
              <w:rPr>
                <w:rFonts w:hint="eastAsia" w:ascii="宋体" w:hAnsi="宋体" w:eastAsia="宋体" w:cs="宋体"/>
                <w:b/>
                <w:bCs/>
                <w:color w:val="000000"/>
                <w:kern w:val="0"/>
                <w:sz w:val="21"/>
                <w:szCs w:val="21"/>
              </w:rPr>
            </w:pPr>
          </w:p>
        </w:tc>
        <w:tc>
          <w:tcPr>
            <w:tcW w:w="362" w:type="pct"/>
            <w:vMerge w:val="continue"/>
            <w:vAlign w:val="center"/>
          </w:tcPr>
          <w:p>
            <w:pPr>
              <w:widowControl/>
              <w:jc w:val="left"/>
              <w:rPr>
                <w:rFonts w:hint="eastAsia" w:ascii="宋体" w:hAnsi="宋体" w:eastAsia="宋体" w:cs="宋体"/>
                <w:color w:val="000000"/>
                <w:kern w:val="0"/>
                <w:sz w:val="21"/>
                <w:szCs w:val="21"/>
              </w:rPr>
            </w:pPr>
          </w:p>
        </w:tc>
        <w:tc>
          <w:tcPr>
            <w:tcW w:w="584" w:type="pct"/>
            <w:vMerge w:val="continue"/>
            <w:vAlign w:val="center"/>
          </w:tcPr>
          <w:p>
            <w:pPr>
              <w:widowControl/>
              <w:jc w:val="left"/>
              <w:rPr>
                <w:rFonts w:hint="eastAsia" w:ascii="宋体" w:hAnsi="宋体" w:eastAsia="宋体" w:cs="宋体"/>
                <w:color w:val="000000"/>
                <w:kern w:val="0"/>
                <w:sz w:val="21"/>
                <w:szCs w:val="21"/>
              </w:rPr>
            </w:pPr>
          </w:p>
        </w:tc>
        <w:tc>
          <w:tcPr>
            <w:tcW w:w="1055" w:type="pct"/>
            <w:gridSpan w:val="2"/>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数据资产智能搜索</w:t>
            </w:r>
          </w:p>
        </w:tc>
        <w:tc>
          <w:tcPr>
            <w:tcW w:w="1715" w:type="pct"/>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系统支持按关键字模糊查询、组合查询的方式进行服务资源检索。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90" w:type="pct"/>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sz w:val="21"/>
                <w:szCs w:val="21"/>
              </w:rPr>
              <w:t>78</w:t>
            </w:r>
          </w:p>
        </w:tc>
        <w:tc>
          <w:tcPr>
            <w:tcW w:w="483" w:type="pct"/>
            <w:vMerge w:val="continue"/>
            <w:vAlign w:val="center"/>
          </w:tcPr>
          <w:p>
            <w:pPr>
              <w:widowControl/>
              <w:jc w:val="left"/>
              <w:rPr>
                <w:rFonts w:hint="eastAsia" w:ascii="宋体" w:hAnsi="宋体" w:eastAsia="宋体" w:cs="宋体"/>
                <w:b/>
                <w:bCs/>
                <w:color w:val="000000"/>
                <w:kern w:val="0"/>
                <w:sz w:val="21"/>
                <w:szCs w:val="21"/>
              </w:rPr>
            </w:pPr>
          </w:p>
        </w:tc>
        <w:tc>
          <w:tcPr>
            <w:tcW w:w="507" w:type="pct"/>
            <w:vMerge w:val="continue"/>
            <w:vAlign w:val="center"/>
          </w:tcPr>
          <w:p>
            <w:pPr>
              <w:widowControl/>
              <w:jc w:val="left"/>
              <w:rPr>
                <w:rFonts w:hint="eastAsia" w:ascii="宋体" w:hAnsi="宋体" w:eastAsia="宋体" w:cs="宋体"/>
                <w:b/>
                <w:bCs/>
                <w:color w:val="000000"/>
                <w:kern w:val="0"/>
                <w:sz w:val="21"/>
                <w:szCs w:val="21"/>
              </w:rPr>
            </w:pPr>
          </w:p>
        </w:tc>
        <w:tc>
          <w:tcPr>
            <w:tcW w:w="362" w:type="pct"/>
            <w:vMerge w:val="restart"/>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数据综合展示</w:t>
            </w:r>
          </w:p>
        </w:tc>
        <w:tc>
          <w:tcPr>
            <w:tcW w:w="584" w:type="pct"/>
            <w:vMerge w:val="restart"/>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解析渲染功能</w:t>
            </w:r>
          </w:p>
        </w:tc>
        <w:tc>
          <w:tcPr>
            <w:tcW w:w="1055" w:type="pct"/>
            <w:gridSpan w:val="2"/>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CIM可视化引擎</w:t>
            </w:r>
          </w:p>
        </w:tc>
        <w:tc>
          <w:tcPr>
            <w:tcW w:w="1715" w:type="pct"/>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CIM可视化引擎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90" w:type="pct"/>
            <w:vAlign w:val="center"/>
          </w:tcPr>
          <w:p>
            <w:pPr>
              <w:widowControl/>
              <w:jc w:val="center"/>
              <w:rPr>
                <w:rFonts w:hint="eastAsia" w:ascii="宋体" w:hAnsi="宋体" w:eastAsia="宋体" w:cs="宋体"/>
                <w:b/>
                <w:bCs/>
                <w:color w:val="000000"/>
                <w:sz w:val="21"/>
                <w:szCs w:val="21"/>
              </w:rPr>
            </w:pPr>
            <w:r>
              <w:rPr>
                <w:rFonts w:hint="eastAsia" w:ascii="宋体" w:hAnsi="宋体" w:eastAsia="宋体" w:cs="宋体"/>
                <w:b/>
                <w:bCs/>
                <w:color w:val="000000"/>
                <w:sz w:val="21"/>
                <w:szCs w:val="21"/>
              </w:rPr>
              <w:t>79</w:t>
            </w:r>
          </w:p>
        </w:tc>
        <w:tc>
          <w:tcPr>
            <w:tcW w:w="483" w:type="pct"/>
            <w:vMerge w:val="continue"/>
            <w:vAlign w:val="center"/>
          </w:tcPr>
          <w:p>
            <w:pPr>
              <w:widowControl/>
              <w:jc w:val="left"/>
              <w:rPr>
                <w:rFonts w:hint="eastAsia" w:ascii="宋体" w:hAnsi="宋体" w:eastAsia="宋体" w:cs="宋体"/>
                <w:b/>
                <w:bCs/>
                <w:color w:val="000000"/>
                <w:kern w:val="0"/>
                <w:sz w:val="21"/>
                <w:szCs w:val="21"/>
              </w:rPr>
            </w:pPr>
          </w:p>
        </w:tc>
        <w:tc>
          <w:tcPr>
            <w:tcW w:w="507" w:type="pct"/>
            <w:vMerge w:val="continue"/>
            <w:vAlign w:val="center"/>
          </w:tcPr>
          <w:p>
            <w:pPr>
              <w:widowControl/>
              <w:jc w:val="left"/>
              <w:rPr>
                <w:rFonts w:hint="eastAsia" w:ascii="宋体" w:hAnsi="宋体" w:eastAsia="宋体" w:cs="宋体"/>
                <w:b/>
                <w:bCs/>
                <w:color w:val="000000"/>
                <w:kern w:val="0"/>
                <w:sz w:val="21"/>
                <w:szCs w:val="21"/>
              </w:rPr>
            </w:pPr>
          </w:p>
        </w:tc>
        <w:tc>
          <w:tcPr>
            <w:tcW w:w="362" w:type="pct"/>
            <w:vMerge w:val="continue"/>
            <w:vAlign w:val="center"/>
          </w:tcPr>
          <w:p>
            <w:pPr>
              <w:widowControl/>
              <w:jc w:val="left"/>
              <w:rPr>
                <w:rFonts w:hint="eastAsia" w:ascii="宋体" w:hAnsi="宋体" w:eastAsia="宋体" w:cs="宋体"/>
                <w:color w:val="000000"/>
                <w:kern w:val="0"/>
                <w:sz w:val="21"/>
                <w:szCs w:val="21"/>
              </w:rPr>
            </w:pPr>
          </w:p>
        </w:tc>
        <w:tc>
          <w:tcPr>
            <w:tcW w:w="584" w:type="pct"/>
            <w:vMerge w:val="continue"/>
            <w:vAlign w:val="center"/>
          </w:tcPr>
          <w:p>
            <w:pPr>
              <w:widowControl/>
              <w:jc w:val="left"/>
              <w:rPr>
                <w:rFonts w:hint="eastAsia" w:ascii="宋体" w:hAnsi="宋体" w:eastAsia="宋体" w:cs="宋体"/>
                <w:color w:val="000000"/>
                <w:kern w:val="0"/>
                <w:sz w:val="21"/>
                <w:szCs w:val="21"/>
              </w:rPr>
            </w:pPr>
          </w:p>
        </w:tc>
        <w:tc>
          <w:tcPr>
            <w:tcW w:w="1055" w:type="pct"/>
            <w:gridSpan w:val="2"/>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超大场景动态加载</w:t>
            </w:r>
          </w:p>
        </w:tc>
        <w:tc>
          <w:tcPr>
            <w:tcW w:w="1715" w:type="pct"/>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支持超大场景空间数据的高性能展示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90" w:type="pct"/>
            <w:vAlign w:val="center"/>
          </w:tcPr>
          <w:p>
            <w:pPr>
              <w:widowControl/>
              <w:jc w:val="center"/>
              <w:rPr>
                <w:rFonts w:hint="eastAsia" w:ascii="宋体" w:hAnsi="宋体" w:eastAsia="宋体" w:cs="宋体"/>
                <w:b/>
                <w:bCs/>
                <w:color w:val="000000"/>
                <w:sz w:val="21"/>
                <w:szCs w:val="21"/>
              </w:rPr>
            </w:pPr>
            <w:r>
              <w:rPr>
                <w:rFonts w:hint="eastAsia" w:ascii="宋体" w:hAnsi="宋体" w:eastAsia="宋体" w:cs="宋体"/>
                <w:b/>
                <w:bCs/>
                <w:color w:val="000000"/>
                <w:sz w:val="21"/>
                <w:szCs w:val="21"/>
              </w:rPr>
              <w:t>80</w:t>
            </w:r>
          </w:p>
        </w:tc>
        <w:tc>
          <w:tcPr>
            <w:tcW w:w="483" w:type="pct"/>
            <w:vMerge w:val="continue"/>
            <w:vAlign w:val="center"/>
          </w:tcPr>
          <w:p>
            <w:pPr>
              <w:widowControl/>
              <w:jc w:val="left"/>
              <w:rPr>
                <w:rFonts w:hint="eastAsia" w:ascii="宋体" w:hAnsi="宋体" w:eastAsia="宋体" w:cs="宋体"/>
                <w:b/>
                <w:bCs/>
                <w:color w:val="000000"/>
                <w:kern w:val="0"/>
                <w:sz w:val="21"/>
                <w:szCs w:val="21"/>
              </w:rPr>
            </w:pPr>
          </w:p>
        </w:tc>
        <w:tc>
          <w:tcPr>
            <w:tcW w:w="507" w:type="pct"/>
            <w:vMerge w:val="continue"/>
            <w:vAlign w:val="center"/>
          </w:tcPr>
          <w:p>
            <w:pPr>
              <w:widowControl/>
              <w:jc w:val="left"/>
              <w:rPr>
                <w:rFonts w:hint="eastAsia" w:ascii="宋体" w:hAnsi="宋体" w:eastAsia="宋体" w:cs="宋体"/>
                <w:b/>
                <w:bCs/>
                <w:color w:val="000000"/>
                <w:kern w:val="0"/>
                <w:sz w:val="21"/>
                <w:szCs w:val="21"/>
              </w:rPr>
            </w:pPr>
          </w:p>
        </w:tc>
        <w:tc>
          <w:tcPr>
            <w:tcW w:w="362" w:type="pct"/>
            <w:vMerge w:val="continue"/>
            <w:vAlign w:val="center"/>
          </w:tcPr>
          <w:p>
            <w:pPr>
              <w:widowControl/>
              <w:jc w:val="left"/>
              <w:rPr>
                <w:rFonts w:hint="eastAsia" w:ascii="宋体" w:hAnsi="宋体" w:eastAsia="宋体" w:cs="宋体"/>
                <w:color w:val="000000"/>
                <w:kern w:val="0"/>
                <w:sz w:val="21"/>
                <w:szCs w:val="21"/>
              </w:rPr>
            </w:pPr>
          </w:p>
        </w:tc>
        <w:tc>
          <w:tcPr>
            <w:tcW w:w="584" w:type="pct"/>
            <w:vMerge w:val="continue"/>
            <w:vAlign w:val="center"/>
          </w:tcPr>
          <w:p>
            <w:pPr>
              <w:widowControl/>
              <w:jc w:val="left"/>
              <w:rPr>
                <w:rFonts w:hint="eastAsia" w:ascii="宋体" w:hAnsi="宋体" w:eastAsia="宋体" w:cs="宋体"/>
                <w:color w:val="000000"/>
                <w:kern w:val="0"/>
                <w:sz w:val="21"/>
                <w:szCs w:val="21"/>
              </w:rPr>
            </w:pPr>
          </w:p>
        </w:tc>
        <w:tc>
          <w:tcPr>
            <w:tcW w:w="1055" w:type="pct"/>
            <w:gridSpan w:val="2"/>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实景风格场景渲染</w:t>
            </w:r>
          </w:p>
        </w:tc>
        <w:tc>
          <w:tcPr>
            <w:tcW w:w="1715" w:type="pct"/>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搭建实景风格场景，实现多类数据的融合加载，数据内容可包含倾斜摄影、城市肌理三维模型、手工三维模型、BIM模型等，并支持在不同空间尺度下的场景、专题要素、注记等数据的流畅渲染及展示。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90" w:type="pct"/>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sz w:val="21"/>
                <w:szCs w:val="21"/>
              </w:rPr>
              <w:t>81</w:t>
            </w:r>
          </w:p>
        </w:tc>
        <w:tc>
          <w:tcPr>
            <w:tcW w:w="483" w:type="pct"/>
            <w:vMerge w:val="continue"/>
            <w:vAlign w:val="center"/>
          </w:tcPr>
          <w:p>
            <w:pPr>
              <w:widowControl/>
              <w:jc w:val="left"/>
              <w:rPr>
                <w:rFonts w:hint="eastAsia" w:ascii="宋体" w:hAnsi="宋体" w:eastAsia="宋体" w:cs="宋体"/>
                <w:b/>
                <w:bCs/>
                <w:color w:val="000000"/>
                <w:kern w:val="0"/>
                <w:sz w:val="21"/>
                <w:szCs w:val="21"/>
              </w:rPr>
            </w:pPr>
          </w:p>
        </w:tc>
        <w:tc>
          <w:tcPr>
            <w:tcW w:w="507" w:type="pct"/>
            <w:vMerge w:val="continue"/>
            <w:vAlign w:val="center"/>
          </w:tcPr>
          <w:p>
            <w:pPr>
              <w:widowControl/>
              <w:jc w:val="left"/>
              <w:rPr>
                <w:rFonts w:hint="eastAsia" w:ascii="宋体" w:hAnsi="宋体" w:eastAsia="宋体" w:cs="宋体"/>
                <w:b/>
                <w:bCs/>
                <w:color w:val="000000"/>
                <w:kern w:val="0"/>
                <w:sz w:val="21"/>
                <w:szCs w:val="21"/>
              </w:rPr>
            </w:pPr>
          </w:p>
        </w:tc>
        <w:tc>
          <w:tcPr>
            <w:tcW w:w="362" w:type="pct"/>
            <w:vMerge w:val="continue"/>
            <w:vAlign w:val="center"/>
          </w:tcPr>
          <w:p>
            <w:pPr>
              <w:widowControl/>
              <w:jc w:val="left"/>
              <w:rPr>
                <w:rFonts w:hint="eastAsia" w:ascii="宋体" w:hAnsi="宋体" w:eastAsia="宋体" w:cs="宋体"/>
                <w:color w:val="000000"/>
                <w:kern w:val="0"/>
                <w:sz w:val="21"/>
                <w:szCs w:val="21"/>
              </w:rPr>
            </w:pPr>
          </w:p>
        </w:tc>
        <w:tc>
          <w:tcPr>
            <w:tcW w:w="584" w:type="pct"/>
            <w:vMerge w:val="continue"/>
            <w:vAlign w:val="center"/>
          </w:tcPr>
          <w:p>
            <w:pPr>
              <w:widowControl/>
              <w:jc w:val="left"/>
              <w:rPr>
                <w:rFonts w:hint="eastAsia" w:ascii="宋体" w:hAnsi="宋体" w:eastAsia="宋体" w:cs="宋体"/>
                <w:color w:val="000000"/>
                <w:kern w:val="0"/>
                <w:sz w:val="21"/>
                <w:szCs w:val="21"/>
              </w:rPr>
            </w:pPr>
          </w:p>
        </w:tc>
        <w:tc>
          <w:tcPr>
            <w:tcW w:w="1055" w:type="pct"/>
            <w:gridSpan w:val="2"/>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真实光照渲染</w:t>
            </w:r>
          </w:p>
        </w:tc>
        <w:tc>
          <w:tcPr>
            <w:tcW w:w="1715" w:type="pct"/>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支持多种光源类型（点光源、聚光灯、平行光），而且可自定义参数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90" w:type="pct"/>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sz w:val="21"/>
                <w:szCs w:val="21"/>
              </w:rPr>
              <w:t>82</w:t>
            </w:r>
          </w:p>
        </w:tc>
        <w:tc>
          <w:tcPr>
            <w:tcW w:w="483" w:type="pct"/>
            <w:vMerge w:val="continue"/>
            <w:vAlign w:val="center"/>
          </w:tcPr>
          <w:p>
            <w:pPr>
              <w:widowControl/>
              <w:jc w:val="left"/>
              <w:rPr>
                <w:rFonts w:hint="eastAsia" w:ascii="宋体" w:hAnsi="宋体" w:eastAsia="宋体" w:cs="宋体"/>
                <w:b/>
                <w:bCs/>
                <w:color w:val="000000"/>
                <w:kern w:val="0"/>
                <w:sz w:val="21"/>
                <w:szCs w:val="21"/>
              </w:rPr>
            </w:pPr>
          </w:p>
        </w:tc>
        <w:tc>
          <w:tcPr>
            <w:tcW w:w="507" w:type="pct"/>
            <w:vMerge w:val="continue"/>
            <w:vAlign w:val="center"/>
          </w:tcPr>
          <w:p>
            <w:pPr>
              <w:widowControl/>
              <w:jc w:val="left"/>
              <w:rPr>
                <w:rFonts w:hint="eastAsia" w:ascii="宋体" w:hAnsi="宋体" w:eastAsia="宋体" w:cs="宋体"/>
                <w:b/>
                <w:bCs/>
                <w:color w:val="000000"/>
                <w:kern w:val="0"/>
                <w:sz w:val="21"/>
                <w:szCs w:val="21"/>
              </w:rPr>
            </w:pPr>
          </w:p>
        </w:tc>
        <w:tc>
          <w:tcPr>
            <w:tcW w:w="362" w:type="pct"/>
            <w:vMerge w:val="continue"/>
            <w:vAlign w:val="center"/>
          </w:tcPr>
          <w:p>
            <w:pPr>
              <w:widowControl/>
              <w:jc w:val="left"/>
              <w:rPr>
                <w:rFonts w:hint="eastAsia" w:ascii="宋体" w:hAnsi="宋体" w:eastAsia="宋体" w:cs="宋体"/>
                <w:color w:val="000000"/>
                <w:kern w:val="0"/>
                <w:sz w:val="21"/>
                <w:szCs w:val="21"/>
              </w:rPr>
            </w:pPr>
          </w:p>
        </w:tc>
        <w:tc>
          <w:tcPr>
            <w:tcW w:w="584" w:type="pct"/>
            <w:vMerge w:val="continue"/>
            <w:vAlign w:val="center"/>
          </w:tcPr>
          <w:p>
            <w:pPr>
              <w:widowControl/>
              <w:jc w:val="left"/>
              <w:rPr>
                <w:rFonts w:hint="eastAsia" w:ascii="宋体" w:hAnsi="宋体" w:eastAsia="宋体" w:cs="宋体"/>
                <w:color w:val="000000"/>
                <w:kern w:val="0"/>
                <w:sz w:val="21"/>
                <w:szCs w:val="21"/>
              </w:rPr>
            </w:pPr>
          </w:p>
        </w:tc>
        <w:tc>
          <w:tcPr>
            <w:tcW w:w="1055" w:type="pct"/>
            <w:gridSpan w:val="2"/>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大气物理模型渲染</w:t>
            </w:r>
          </w:p>
        </w:tc>
        <w:tc>
          <w:tcPr>
            <w:tcW w:w="1715" w:type="pct"/>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支持雨、雪等大气物理模型渲染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90" w:type="pct"/>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sz w:val="21"/>
                <w:szCs w:val="21"/>
              </w:rPr>
              <w:t>83</w:t>
            </w:r>
          </w:p>
        </w:tc>
        <w:tc>
          <w:tcPr>
            <w:tcW w:w="483" w:type="pct"/>
            <w:vMerge w:val="continue"/>
            <w:vAlign w:val="center"/>
          </w:tcPr>
          <w:p>
            <w:pPr>
              <w:widowControl/>
              <w:jc w:val="left"/>
              <w:rPr>
                <w:rFonts w:hint="eastAsia" w:ascii="宋体" w:hAnsi="宋体" w:eastAsia="宋体" w:cs="宋体"/>
                <w:b/>
                <w:bCs/>
                <w:color w:val="000000"/>
                <w:kern w:val="0"/>
                <w:sz w:val="21"/>
                <w:szCs w:val="21"/>
              </w:rPr>
            </w:pPr>
          </w:p>
        </w:tc>
        <w:tc>
          <w:tcPr>
            <w:tcW w:w="507" w:type="pct"/>
            <w:vMerge w:val="continue"/>
            <w:vAlign w:val="center"/>
          </w:tcPr>
          <w:p>
            <w:pPr>
              <w:widowControl/>
              <w:jc w:val="left"/>
              <w:rPr>
                <w:rFonts w:hint="eastAsia" w:ascii="宋体" w:hAnsi="宋体" w:eastAsia="宋体" w:cs="宋体"/>
                <w:b/>
                <w:bCs/>
                <w:color w:val="000000"/>
                <w:kern w:val="0"/>
                <w:sz w:val="21"/>
                <w:szCs w:val="21"/>
              </w:rPr>
            </w:pPr>
          </w:p>
        </w:tc>
        <w:tc>
          <w:tcPr>
            <w:tcW w:w="362" w:type="pct"/>
            <w:vMerge w:val="continue"/>
            <w:vAlign w:val="center"/>
          </w:tcPr>
          <w:p>
            <w:pPr>
              <w:widowControl/>
              <w:jc w:val="left"/>
              <w:rPr>
                <w:rFonts w:hint="eastAsia" w:ascii="宋体" w:hAnsi="宋体" w:eastAsia="宋体" w:cs="宋体"/>
                <w:color w:val="000000"/>
                <w:kern w:val="0"/>
                <w:sz w:val="21"/>
                <w:szCs w:val="21"/>
              </w:rPr>
            </w:pPr>
          </w:p>
        </w:tc>
        <w:tc>
          <w:tcPr>
            <w:tcW w:w="584" w:type="pct"/>
            <w:vMerge w:val="continue"/>
            <w:vAlign w:val="center"/>
          </w:tcPr>
          <w:p>
            <w:pPr>
              <w:widowControl/>
              <w:jc w:val="left"/>
              <w:rPr>
                <w:rFonts w:hint="eastAsia" w:ascii="宋体" w:hAnsi="宋体" w:eastAsia="宋体" w:cs="宋体"/>
                <w:color w:val="000000"/>
                <w:kern w:val="0"/>
                <w:sz w:val="21"/>
                <w:szCs w:val="21"/>
              </w:rPr>
            </w:pPr>
          </w:p>
        </w:tc>
        <w:tc>
          <w:tcPr>
            <w:tcW w:w="1055" w:type="pct"/>
            <w:gridSpan w:val="2"/>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虚拟叠加</w:t>
            </w:r>
          </w:p>
        </w:tc>
        <w:tc>
          <w:tcPr>
            <w:tcW w:w="1715" w:type="pct"/>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将不同类型数据叠加到三维场景中，以便用户进行对比和分析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90" w:type="pct"/>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sz w:val="21"/>
                <w:szCs w:val="21"/>
              </w:rPr>
              <w:t>84</w:t>
            </w:r>
          </w:p>
        </w:tc>
        <w:tc>
          <w:tcPr>
            <w:tcW w:w="483" w:type="pct"/>
            <w:vMerge w:val="continue"/>
            <w:vAlign w:val="center"/>
          </w:tcPr>
          <w:p>
            <w:pPr>
              <w:widowControl/>
              <w:jc w:val="left"/>
              <w:rPr>
                <w:rFonts w:hint="eastAsia" w:ascii="宋体" w:hAnsi="宋体" w:eastAsia="宋体" w:cs="宋体"/>
                <w:b/>
                <w:bCs/>
                <w:color w:val="000000"/>
                <w:kern w:val="0"/>
                <w:sz w:val="21"/>
                <w:szCs w:val="21"/>
              </w:rPr>
            </w:pPr>
          </w:p>
        </w:tc>
        <w:tc>
          <w:tcPr>
            <w:tcW w:w="507" w:type="pct"/>
            <w:vMerge w:val="continue"/>
            <w:vAlign w:val="center"/>
          </w:tcPr>
          <w:p>
            <w:pPr>
              <w:widowControl/>
              <w:jc w:val="left"/>
              <w:rPr>
                <w:rFonts w:hint="eastAsia" w:ascii="宋体" w:hAnsi="宋体" w:eastAsia="宋体" w:cs="宋体"/>
                <w:b/>
                <w:bCs/>
                <w:color w:val="000000"/>
                <w:kern w:val="0"/>
                <w:sz w:val="21"/>
                <w:szCs w:val="21"/>
              </w:rPr>
            </w:pPr>
          </w:p>
        </w:tc>
        <w:tc>
          <w:tcPr>
            <w:tcW w:w="362" w:type="pct"/>
            <w:vMerge w:val="continue"/>
            <w:vAlign w:val="center"/>
          </w:tcPr>
          <w:p>
            <w:pPr>
              <w:widowControl/>
              <w:jc w:val="left"/>
              <w:rPr>
                <w:rFonts w:hint="eastAsia" w:ascii="宋体" w:hAnsi="宋体" w:eastAsia="宋体" w:cs="宋体"/>
                <w:color w:val="000000"/>
                <w:kern w:val="0"/>
                <w:sz w:val="21"/>
                <w:szCs w:val="21"/>
              </w:rPr>
            </w:pPr>
          </w:p>
        </w:tc>
        <w:tc>
          <w:tcPr>
            <w:tcW w:w="584" w:type="pct"/>
            <w:vMerge w:val="continue"/>
            <w:vAlign w:val="center"/>
          </w:tcPr>
          <w:p>
            <w:pPr>
              <w:widowControl/>
              <w:jc w:val="left"/>
              <w:rPr>
                <w:rFonts w:hint="eastAsia" w:ascii="宋体" w:hAnsi="宋体" w:eastAsia="宋体" w:cs="宋体"/>
                <w:color w:val="000000"/>
                <w:kern w:val="0"/>
                <w:sz w:val="21"/>
                <w:szCs w:val="21"/>
              </w:rPr>
            </w:pPr>
          </w:p>
        </w:tc>
        <w:tc>
          <w:tcPr>
            <w:tcW w:w="1055" w:type="pct"/>
            <w:gridSpan w:val="2"/>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数据融合仿真模拟展现</w:t>
            </w:r>
          </w:p>
        </w:tc>
        <w:tc>
          <w:tcPr>
            <w:tcW w:w="1715" w:type="pct"/>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集成视频数据、物联网监测数据至三维CIM空间进行展现和仿真模拟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290" w:type="pct"/>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sz w:val="21"/>
                <w:szCs w:val="21"/>
              </w:rPr>
              <w:t>85</w:t>
            </w:r>
          </w:p>
        </w:tc>
        <w:tc>
          <w:tcPr>
            <w:tcW w:w="483" w:type="pct"/>
            <w:vMerge w:val="continue"/>
            <w:vAlign w:val="center"/>
          </w:tcPr>
          <w:p>
            <w:pPr>
              <w:widowControl/>
              <w:jc w:val="left"/>
              <w:rPr>
                <w:rFonts w:hint="eastAsia" w:ascii="宋体" w:hAnsi="宋体" w:eastAsia="宋体" w:cs="宋体"/>
                <w:b/>
                <w:bCs/>
                <w:color w:val="000000"/>
                <w:kern w:val="0"/>
                <w:sz w:val="21"/>
                <w:szCs w:val="21"/>
              </w:rPr>
            </w:pPr>
          </w:p>
        </w:tc>
        <w:tc>
          <w:tcPr>
            <w:tcW w:w="507" w:type="pct"/>
            <w:vMerge w:val="continue"/>
            <w:vAlign w:val="center"/>
          </w:tcPr>
          <w:p>
            <w:pPr>
              <w:widowControl/>
              <w:jc w:val="left"/>
              <w:rPr>
                <w:rFonts w:hint="eastAsia" w:ascii="宋体" w:hAnsi="宋体" w:eastAsia="宋体" w:cs="宋体"/>
                <w:b/>
                <w:bCs/>
                <w:color w:val="000000"/>
                <w:kern w:val="0"/>
                <w:sz w:val="21"/>
                <w:szCs w:val="21"/>
              </w:rPr>
            </w:pPr>
          </w:p>
        </w:tc>
        <w:tc>
          <w:tcPr>
            <w:tcW w:w="362" w:type="pct"/>
            <w:vMerge w:val="continue"/>
            <w:vAlign w:val="center"/>
          </w:tcPr>
          <w:p>
            <w:pPr>
              <w:widowControl/>
              <w:jc w:val="left"/>
              <w:rPr>
                <w:rFonts w:hint="eastAsia" w:ascii="宋体" w:hAnsi="宋体" w:eastAsia="宋体" w:cs="宋体"/>
                <w:color w:val="000000"/>
                <w:kern w:val="0"/>
                <w:sz w:val="21"/>
                <w:szCs w:val="21"/>
              </w:rPr>
            </w:pPr>
          </w:p>
        </w:tc>
        <w:tc>
          <w:tcPr>
            <w:tcW w:w="584" w:type="pct"/>
            <w:vMerge w:val="restart"/>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交互浏览功能</w:t>
            </w:r>
          </w:p>
        </w:tc>
        <w:tc>
          <w:tcPr>
            <w:tcW w:w="1055" w:type="pct"/>
            <w:gridSpan w:val="2"/>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交互浏览</w:t>
            </w:r>
          </w:p>
        </w:tc>
        <w:tc>
          <w:tcPr>
            <w:tcW w:w="1715" w:type="pct"/>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实现放大、缩小、定位、刷新、漫游、全图、飞行、定位等功能，实现鸟瞰、人视、室内、地下等不同场景的漫游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290" w:type="pct"/>
            <w:vAlign w:val="center"/>
          </w:tcPr>
          <w:p>
            <w:pPr>
              <w:widowControl/>
              <w:jc w:val="center"/>
              <w:rPr>
                <w:rFonts w:hint="eastAsia" w:ascii="宋体" w:hAnsi="宋体" w:eastAsia="宋体" w:cs="宋体"/>
                <w:b/>
                <w:bCs/>
                <w:color w:val="000000"/>
                <w:sz w:val="21"/>
                <w:szCs w:val="21"/>
              </w:rPr>
            </w:pPr>
            <w:r>
              <w:rPr>
                <w:rFonts w:hint="eastAsia" w:ascii="宋体" w:hAnsi="宋体" w:eastAsia="宋体" w:cs="宋体"/>
                <w:b/>
                <w:bCs/>
                <w:color w:val="000000"/>
                <w:sz w:val="21"/>
                <w:szCs w:val="21"/>
              </w:rPr>
              <w:t>86</w:t>
            </w:r>
          </w:p>
        </w:tc>
        <w:tc>
          <w:tcPr>
            <w:tcW w:w="483" w:type="pct"/>
            <w:vMerge w:val="continue"/>
            <w:vAlign w:val="center"/>
          </w:tcPr>
          <w:p>
            <w:pPr>
              <w:widowControl/>
              <w:jc w:val="left"/>
              <w:rPr>
                <w:rFonts w:hint="eastAsia" w:ascii="宋体" w:hAnsi="宋体" w:eastAsia="宋体" w:cs="宋体"/>
                <w:b/>
                <w:bCs/>
                <w:color w:val="000000"/>
                <w:kern w:val="0"/>
                <w:sz w:val="21"/>
                <w:szCs w:val="21"/>
              </w:rPr>
            </w:pPr>
          </w:p>
        </w:tc>
        <w:tc>
          <w:tcPr>
            <w:tcW w:w="507" w:type="pct"/>
            <w:vMerge w:val="continue"/>
            <w:vAlign w:val="center"/>
          </w:tcPr>
          <w:p>
            <w:pPr>
              <w:widowControl/>
              <w:jc w:val="left"/>
              <w:rPr>
                <w:rFonts w:hint="eastAsia" w:ascii="宋体" w:hAnsi="宋体" w:eastAsia="宋体" w:cs="宋体"/>
                <w:b/>
                <w:bCs/>
                <w:color w:val="000000"/>
                <w:kern w:val="0"/>
                <w:sz w:val="21"/>
                <w:szCs w:val="21"/>
              </w:rPr>
            </w:pPr>
          </w:p>
        </w:tc>
        <w:tc>
          <w:tcPr>
            <w:tcW w:w="362" w:type="pct"/>
            <w:vMerge w:val="continue"/>
            <w:vAlign w:val="center"/>
          </w:tcPr>
          <w:p>
            <w:pPr>
              <w:widowControl/>
              <w:jc w:val="left"/>
              <w:rPr>
                <w:rFonts w:hint="eastAsia" w:ascii="宋体" w:hAnsi="宋体" w:eastAsia="宋体" w:cs="宋体"/>
                <w:color w:val="000000"/>
                <w:kern w:val="0"/>
                <w:sz w:val="21"/>
                <w:szCs w:val="21"/>
              </w:rPr>
            </w:pPr>
          </w:p>
        </w:tc>
        <w:tc>
          <w:tcPr>
            <w:tcW w:w="584" w:type="pct"/>
            <w:vMerge w:val="continue"/>
            <w:vAlign w:val="center"/>
          </w:tcPr>
          <w:p>
            <w:pPr>
              <w:widowControl/>
              <w:jc w:val="left"/>
              <w:rPr>
                <w:rFonts w:hint="eastAsia" w:ascii="宋体" w:hAnsi="宋体" w:eastAsia="宋体" w:cs="宋体"/>
                <w:color w:val="000000"/>
                <w:kern w:val="0"/>
                <w:sz w:val="21"/>
                <w:szCs w:val="21"/>
              </w:rPr>
            </w:pPr>
          </w:p>
        </w:tc>
        <w:tc>
          <w:tcPr>
            <w:tcW w:w="1055" w:type="pct"/>
            <w:gridSpan w:val="2"/>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镜头操控</w:t>
            </w:r>
          </w:p>
        </w:tc>
        <w:tc>
          <w:tcPr>
            <w:tcW w:w="1715" w:type="pct"/>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对场景进行漫游浏览，主要包含定点巡查、镜头切换以及环绕观察功能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290" w:type="pct"/>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sz w:val="21"/>
                <w:szCs w:val="21"/>
              </w:rPr>
              <w:t>87</w:t>
            </w:r>
          </w:p>
        </w:tc>
        <w:tc>
          <w:tcPr>
            <w:tcW w:w="483" w:type="pct"/>
            <w:vMerge w:val="continue"/>
            <w:vAlign w:val="center"/>
          </w:tcPr>
          <w:p>
            <w:pPr>
              <w:widowControl/>
              <w:jc w:val="left"/>
              <w:rPr>
                <w:rFonts w:hint="eastAsia" w:ascii="宋体" w:hAnsi="宋体" w:eastAsia="宋体" w:cs="宋体"/>
                <w:b/>
                <w:bCs/>
                <w:color w:val="000000"/>
                <w:kern w:val="0"/>
                <w:sz w:val="21"/>
                <w:szCs w:val="21"/>
              </w:rPr>
            </w:pPr>
          </w:p>
        </w:tc>
        <w:tc>
          <w:tcPr>
            <w:tcW w:w="507" w:type="pct"/>
            <w:vMerge w:val="continue"/>
            <w:vAlign w:val="center"/>
          </w:tcPr>
          <w:p>
            <w:pPr>
              <w:widowControl/>
              <w:jc w:val="left"/>
              <w:rPr>
                <w:rFonts w:hint="eastAsia" w:ascii="宋体" w:hAnsi="宋体" w:eastAsia="宋体" w:cs="宋体"/>
                <w:b/>
                <w:bCs/>
                <w:color w:val="000000"/>
                <w:kern w:val="0"/>
                <w:sz w:val="21"/>
                <w:szCs w:val="21"/>
              </w:rPr>
            </w:pPr>
          </w:p>
        </w:tc>
        <w:tc>
          <w:tcPr>
            <w:tcW w:w="362" w:type="pct"/>
            <w:vMerge w:val="continue"/>
            <w:vAlign w:val="center"/>
          </w:tcPr>
          <w:p>
            <w:pPr>
              <w:widowControl/>
              <w:jc w:val="left"/>
              <w:rPr>
                <w:rFonts w:hint="eastAsia" w:ascii="宋体" w:hAnsi="宋体" w:eastAsia="宋体" w:cs="宋体"/>
                <w:color w:val="000000"/>
                <w:kern w:val="0"/>
                <w:sz w:val="21"/>
                <w:szCs w:val="21"/>
              </w:rPr>
            </w:pPr>
          </w:p>
        </w:tc>
        <w:tc>
          <w:tcPr>
            <w:tcW w:w="584" w:type="pct"/>
            <w:vMerge w:val="continue"/>
            <w:vAlign w:val="center"/>
          </w:tcPr>
          <w:p>
            <w:pPr>
              <w:widowControl/>
              <w:jc w:val="left"/>
              <w:rPr>
                <w:rFonts w:hint="eastAsia" w:ascii="宋体" w:hAnsi="宋体" w:eastAsia="宋体" w:cs="宋体"/>
                <w:color w:val="000000"/>
                <w:kern w:val="0"/>
                <w:sz w:val="21"/>
                <w:szCs w:val="21"/>
              </w:rPr>
            </w:pPr>
          </w:p>
        </w:tc>
        <w:tc>
          <w:tcPr>
            <w:tcW w:w="1055" w:type="pct"/>
            <w:gridSpan w:val="2"/>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路线操控</w:t>
            </w:r>
          </w:p>
        </w:tc>
        <w:tc>
          <w:tcPr>
            <w:tcW w:w="1715" w:type="pct"/>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路线操控功能可实现对路径的绘制以及将车辆等轨迹信息直观动态的显示在三维场景中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290" w:type="pct"/>
            <w:vAlign w:val="center"/>
          </w:tcPr>
          <w:p>
            <w:pPr>
              <w:widowControl/>
              <w:jc w:val="center"/>
              <w:rPr>
                <w:rFonts w:hint="eastAsia" w:ascii="宋体" w:hAnsi="宋体" w:eastAsia="宋体" w:cs="宋体"/>
                <w:b/>
                <w:bCs/>
                <w:color w:val="000000"/>
                <w:sz w:val="21"/>
                <w:szCs w:val="21"/>
              </w:rPr>
            </w:pPr>
            <w:r>
              <w:rPr>
                <w:rFonts w:hint="eastAsia" w:ascii="宋体" w:hAnsi="宋体" w:eastAsia="宋体" w:cs="宋体"/>
                <w:b/>
                <w:bCs/>
                <w:color w:val="000000"/>
                <w:sz w:val="21"/>
                <w:szCs w:val="21"/>
              </w:rPr>
              <w:t>88</w:t>
            </w:r>
          </w:p>
        </w:tc>
        <w:tc>
          <w:tcPr>
            <w:tcW w:w="483" w:type="pct"/>
            <w:vMerge w:val="continue"/>
            <w:vAlign w:val="center"/>
          </w:tcPr>
          <w:p>
            <w:pPr>
              <w:widowControl/>
              <w:jc w:val="left"/>
              <w:rPr>
                <w:rFonts w:hint="eastAsia" w:ascii="宋体" w:hAnsi="宋体" w:eastAsia="宋体" w:cs="宋体"/>
                <w:b/>
                <w:bCs/>
                <w:color w:val="000000"/>
                <w:kern w:val="0"/>
                <w:sz w:val="21"/>
                <w:szCs w:val="21"/>
              </w:rPr>
            </w:pPr>
          </w:p>
        </w:tc>
        <w:tc>
          <w:tcPr>
            <w:tcW w:w="507" w:type="pct"/>
            <w:vMerge w:val="continue"/>
            <w:vAlign w:val="center"/>
          </w:tcPr>
          <w:p>
            <w:pPr>
              <w:widowControl/>
              <w:jc w:val="left"/>
              <w:rPr>
                <w:rFonts w:hint="eastAsia" w:ascii="宋体" w:hAnsi="宋体" w:eastAsia="宋体" w:cs="宋体"/>
                <w:b/>
                <w:bCs/>
                <w:color w:val="000000"/>
                <w:kern w:val="0"/>
                <w:sz w:val="21"/>
                <w:szCs w:val="21"/>
              </w:rPr>
            </w:pPr>
          </w:p>
        </w:tc>
        <w:tc>
          <w:tcPr>
            <w:tcW w:w="362" w:type="pct"/>
            <w:vMerge w:val="continue"/>
            <w:vAlign w:val="center"/>
          </w:tcPr>
          <w:p>
            <w:pPr>
              <w:widowControl/>
              <w:jc w:val="left"/>
              <w:rPr>
                <w:rFonts w:hint="eastAsia" w:ascii="宋体" w:hAnsi="宋体" w:eastAsia="宋体" w:cs="宋体"/>
                <w:color w:val="000000"/>
                <w:kern w:val="0"/>
                <w:sz w:val="21"/>
                <w:szCs w:val="21"/>
              </w:rPr>
            </w:pPr>
          </w:p>
        </w:tc>
        <w:tc>
          <w:tcPr>
            <w:tcW w:w="584" w:type="pct"/>
            <w:vMerge w:val="continue"/>
            <w:vAlign w:val="center"/>
          </w:tcPr>
          <w:p>
            <w:pPr>
              <w:widowControl/>
              <w:jc w:val="left"/>
              <w:rPr>
                <w:rFonts w:hint="eastAsia" w:ascii="宋体" w:hAnsi="宋体" w:eastAsia="宋体" w:cs="宋体"/>
                <w:color w:val="000000"/>
                <w:kern w:val="0"/>
                <w:sz w:val="21"/>
                <w:szCs w:val="21"/>
              </w:rPr>
            </w:pPr>
          </w:p>
        </w:tc>
        <w:tc>
          <w:tcPr>
            <w:tcW w:w="1055" w:type="pct"/>
            <w:gridSpan w:val="2"/>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量测功能</w:t>
            </w:r>
          </w:p>
        </w:tc>
        <w:tc>
          <w:tcPr>
            <w:tcW w:w="1715" w:type="pct"/>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垂直距离量测、水平距离量测、折线距离量测、平面面积、面积量测。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290" w:type="pct"/>
            <w:vAlign w:val="center"/>
          </w:tcPr>
          <w:p>
            <w:pPr>
              <w:widowControl/>
              <w:jc w:val="center"/>
              <w:rPr>
                <w:rFonts w:hint="eastAsia" w:ascii="宋体" w:hAnsi="宋体" w:eastAsia="宋体" w:cs="宋体"/>
                <w:b/>
                <w:bCs/>
                <w:color w:val="000000"/>
                <w:sz w:val="21"/>
                <w:szCs w:val="21"/>
              </w:rPr>
            </w:pPr>
            <w:r>
              <w:rPr>
                <w:rFonts w:hint="eastAsia" w:ascii="宋体" w:hAnsi="宋体" w:eastAsia="宋体" w:cs="宋体"/>
                <w:b/>
                <w:bCs/>
                <w:color w:val="000000"/>
                <w:sz w:val="21"/>
                <w:szCs w:val="21"/>
              </w:rPr>
              <w:t>89</w:t>
            </w:r>
          </w:p>
        </w:tc>
        <w:tc>
          <w:tcPr>
            <w:tcW w:w="483" w:type="pct"/>
            <w:vMerge w:val="continue"/>
            <w:vAlign w:val="center"/>
          </w:tcPr>
          <w:p>
            <w:pPr>
              <w:widowControl/>
              <w:jc w:val="left"/>
              <w:rPr>
                <w:rFonts w:hint="eastAsia" w:ascii="宋体" w:hAnsi="宋体" w:eastAsia="宋体" w:cs="宋体"/>
                <w:b/>
                <w:bCs/>
                <w:color w:val="000000"/>
                <w:kern w:val="0"/>
                <w:sz w:val="21"/>
                <w:szCs w:val="21"/>
              </w:rPr>
            </w:pPr>
          </w:p>
        </w:tc>
        <w:tc>
          <w:tcPr>
            <w:tcW w:w="507" w:type="pct"/>
            <w:vMerge w:val="continue"/>
            <w:vAlign w:val="center"/>
          </w:tcPr>
          <w:p>
            <w:pPr>
              <w:widowControl/>
              <w:jc w:val="left"/>
              <w:rPr>
                <w:rFonts w:hint="eastAsia" w:ascii="宋体" w:hAnsi="宋体" w:eastAsia="宋体" w:cs="宋体"/>
                <w:b/>
                <w:bCs/>
                <w:color w:val="000000"/>
                <w:kern w:val="0"/>
                <w:sz w:val="21"/>
                <w:szCs w:val="21"/>
              </w:rPr>
            </w:pPr>
          </w:p>
        </w:tc>
        <w:tc>
          <w:tcPr>
            <w:tcW w:w="362" w:type="pct"/>
            <w:vMerge w:val="continue"/>
            <w:vAlign w:val="center"/>
          </w:tcPr>
          <w:p>
            <w:pPr>
              <w:widowControl/>
              <w:jc w:val="left"/>
              <w:rPr>
                <w:rFonts w:hint="eastAsia" w:ascii="宋体" w:hAnsi="宋体" w:eastAsia="宋体" w:cs="宋体"/>
                <w:color w:val="000000"/>
                <w:kern w:val="0"/>
                <w:sz w:val="21"/>
                <w:szCs w:val="21"/>
              </w:rPr>
            </w:pPr>
          </w:p>
        </w:tc>
        <w:tc>
          <w:tcPr>
            <w:tcW w:w="584" w:type="pct"/>
            <w:vMerge w:val="continue"/>
            <w:vAlign w:val="center"/>
          </w:tcPr>
          <w:p>
            <w:pPr>
              <w:widowControl/>
              <w:jc w:val="left"/>
              <w:rPr>
                <w:rFonts w:hint="eastAsia" w:ascii="宋体" w:hAnsi="宋体" w:eastAsia="宋体" w:cs="宋体"/>
                <w:color w:val="000000"/>
                <w:kern w:val="0"/>
                <w:sz w:val="21"/>
                <w:szCs w:val="21"/>
              </w:rPr>
            </w:pPr>
          </w:p>
        </w:tc>
        <w:tc>
          <w:tcPr>
            <w:tcW w:w="1055" w:type="pct"/>
            <w:gridSpan w:val="2"/>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切图功能</w:t>
            </w:r>
          </w:p>
        </w:tc>
        <w:tc>
          <w:tcPr>
            <w:tcW w:w="1715" w:type="pct"/>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二维地图切图工具、三维地图切图工具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90" w:type="pct"/>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sz w:val="21"/>
                <w:szCs w:val="21"/>
              </w:rPr>
              <w:t>90</w:t>
            </w:r>
          </w:p>
        </w:tc>
        <w:tc>
          <w:tcPr>
            <w:tcW w:w="483" w:type="pct"/>
            <w:vMerge w:val="continue"/>
            <w:vAlign w:val="center"/>
          </w:tcPr>
          <w:p>
            <w:pPr>
              <w:widowControl/>
              <w:jc w:val="left"/>
              <w:rPr>
                <w:rFonts w:hint="eastAsia" w:ascii="宋体" w:hAnsi="宋体" w:eastAsia="宋体" w:cs="宋体"/>
                <w:b/>
                <w:bCs/>
                <w:color w:val="000000"/>
                <w:kern w:val="0"/>
                <w:sz w:val="21"/>
                <w:szCs w:val="21"/>
              </w:rPr>
            </w:pPr>
          </w:p>
        </w:tc>
        <w:tc>
          <w:tcPr>
            <w:tcW w:w="507" w:type="pct"/>
            <w:vMerge w:val="continue"/>
            <w:vAlign w:val="center"/>
          </w:tcPr>
          <w:p>
            <w:pPr>
              <w:widowControl/>
              <w:jc w:val="left"/>
              <w:rPr>
                <w:rFonts w:hint="eastAsia" w:ascii="宋体" w:hAnsi="宋体" w:eastAsia="宋体" w:cs="宋体"/>
                <w:b/>
                <w:bCs/>
                <w:color w:val="000000"/>
                <w:kern w:val="0"/>
                <w:sz w:val="21"/>
                <w:szCs w:val="21"/>
              </w:rPr>
            </w:pPr>
          </w:p>
        </w:tc>
        <w:tc>
          <w:tcPr>
            <w:tcW w:w="362" w:type="pct"/>
            <w:vMerge w:val="continue"/>
            <w:vAlign w:val="center"/>
          </w:tcPr>
          <w:p>
            <w:pPr>
              <w:widowControl/>
              <w:jc w:val="left"/>
              <w:rPr>
                <w:rFonts w:hint="eastAsia" w:ascii="宋体" w:hAnsi="宋体" w:eastAsia="宋体" w:cs="宋体"/>
                <w:color w:val="000000"/>
                <w:kern w:val="0"/>
                <w:sz w:val="21"/>
                <w:szCs w:val="21"/>
              </w:rPr>
            </w:pPr>
          </w:p>
        </w:tc>
        <w:tc>
          <w:tcPr>
            <w:tcW w:w="584" w:type="pct"/>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信息查询功能</w:t>
            </w:r>
          </w:p>
        </w:tc>
        <w:tc>
          <w:tcPr>
            <w:tcW w:w="1055" w:type="pct"/>
            <w:gridSpan w:val="2"/>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信息查询功能</w:t>
            </w:r>
          </w:p>
        </w:tc>
        <w:tc>
          <w:tcPr>
            <w:tcW w:w="1715" w:type="pct"/>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提供地址查询、ID查询、组合交叉查询、关联查询、单体模型查询等多种信息查询方式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90" w:type="pct"/>
            <w:vAlign w:val="center"/>
          </w:tcPr>
          <w:p>
            <w:pPr>
              <w:widowControl/>
              <w:jc w:val="center"/>
              <w:rPr>
                <w:rFonts w:hint="eastAsia" w:ascii="宋体" w:hAnsi="宋体" w:eastAsia="宋体" w:cs="宋体"/>
                <w:b/>
                <w:bCs/>
                <w:color w:val="000000"/>
                <w:sz w:val="21"/>
                <w:szCs w:val="21"/>
              </w:rPr>
            </w:pPr>
            <w:r>
              <w:rPr>
                <w:rFonts w:hint="eastAsia" w:ascii="宋体" w:hAnsi="宋体" w:eastAsia="宋体" w:cs="宋体"/>
                <w:b/>
                <w:bCs/>
                <w:color w:val="000000"/>
                <w:sz w:val="21"/>
                <w:szCs w:val="21"/>
              </w:rPr>
              <w:t>91</w:t>
            </w:r>
          </w:p>
        </w:tc>
        <w:tc>
          <w:tcPr>
            <w:tcW w:w="483" w:type="pct"/>
            <w:vMerge w:val="continue"/>
            <w:vAlign w:val="center"/>
          </w:tcPr>
          <w:p>
            <w:pPr>
              <w:widowControl/>
              <w:jc w:val="left"/>
              <w:rPr>
                <w:rFonts w:hint="eastAsia" w:ascii="宋体" w:hAnsi="宋体" w:eastAsia="宋体" w:cs="宋体"/>
                <w:b/>
                <w:bCs/>
                <w:color w:val="000000"/>
                <w:kern w:val="0"/>
                <w:sz w:val="21"/>
                <w:szCs w:val="21"/>
              </w:rPr>
            </w:pPr>
          </w:p>
        </w:tc>
        <w:tc>
          <w:tcPr>
            <w:tcW w:w="507" w:type="pct"/>
            <w:vMerge w:val="continue"/>
            <w:vAlign w:val="center"/>
          </w:tcPr>
          <w:p>
            <w:pPr>
              <w:widowControl/>
              <w:jc w:val="left"/>
              <w:rPr>
                <w:rFonts w:hint="eastAsia" w:ascii="宋体" w:hAnsi="宋体" w:eastAsia="宋体" w:cs="宋体"/>
                <w:b/>
                <w:bCs/>
                <w:color w:val="000000"/>
                <w:kern w:val="0"/>
                <w:sz w:val="21"/>
                <w:szCs w:val="21"/>
              </w:rPr>
            </w:pPr>
          </w:p>
        </w:tc>
        <w:tc>
          <w:tcPr>
            <w:tcW w:w="362" w:type="pct"/>
            <w:vMerge w:val="continue"/>
            <w:vAlign w:val="center"/>
          </w:tcPr>
          <w:p>
            <w:pPr>
              <w:widowControl/>
              <w:jc w:val="left"/>
              <w:rPr>
                <w:rFonts w:hint="eastAsia" w:ascii="宋体" w:hAnsi="宋体" w:eastAsia="宋体" w:cs="宋体"/>
                <w:color w:val="000000"/>
                <w:kern w:val="0"/>
                <w:sz w:val="21"/>
                <w:szCs w:val="21"/>
              </w:rPr>
            </w:pPr>
          </w:p>
        </w:tc>
        <w:tc>
          <w:tcPr>
            <w:tcW w:w="584" w:type="pct"/>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模型编辑功能</w:t>
            </w:r>
          </w:p>
        </w:tc>
        <w:tc>
          <w:tcPr>
            <w:tcW w:w="1055" w:type="pct"/>
            <w:gridSpan w:val="2"/>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模型编辑功能</w:t>
            </w:r>
          </w:p>
        </w:tc>
        <w:tc>
          <w:tcPr>
            <w:tcW w:w="1715" w:type="pct"/>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提供浏览语义三维模型功能和语义三维模型数据的编辑功能。可对语义三维模型的几何结构以及属性进行编辑，编辑后的结果可直接保存到数据库中。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90" w:type="pct"/>
            <w:vAlign w:val="center"/>
          </w:tcPr>
          <w:p>
            <w:pPr>
              <w:widowControl/>
              <w:jc w:val="center"/>
              <w:rPr>
                <w:rFonts w:hint="eastAsia" w:ascii="宋体" w:hAnsi="宋体" w:eastAsia="宋体" w:cs="宋体"/>
                <w:b/>
                <w:bCs/>
                <w:color w:val="000000"/>
                <w:sz w:val="21"/>
                <w:szCs w:val="21"/>
              </w:rPr>
            </w:pPr>
            <w:r>
              <w:rPr>
                <w:rFonts w:hint="eastAsia" w:ascii="宋体" w:hAnsi="宋体" w:eastAsia="宋体" w:cs="宋体"/>
                <w:b/>
                <w:bCs/>
                <w:color w:val="000000"/>
                <w:sz w:val="21"/>
                <w:szCs w:val="21"/>
              </w:rPr>
              <w:t>92</w:t>
            </w:r>
          </w:p>
        </w:tc>
        <w:tc>
          <w:tcPr>
            <w:tcW w:w="483" w:type="pct"/>
            <w:vMerge w:val="continue"/>
            <w:vAlign w:val="center"/>
          </w:tcPr>
          <w:p>
            <w:pPr>
              <w:widowControl/>
              <w:jc w:val="left"/>
              <w:rPr>
                <w:rFonts w:hint="eastAsia" w:ascii="宋体" w:hAnsi="宋体" w:eastAsia="宋体" w:cs="宋体"/>
                <w:b/>
                <w:bCs/>
                <w:color w:val="000000"/>
                <w:kern w:val="0"/>
                <w:sz w:val="21"/>
                <w:szCs w:val="21"/>
              </w:rPr>
            </w:pPr>
          </w:p>
        </w:tc>
        <w:tc>
          <w:tcPr>
            <w:tcW w:w="507" w:type="pct"/>
            <w:vMerge w:val="continue"/>
            <w:vAlign w:val="center"/>
          </w:tcPr>
          <w:p>
            <w:pPr>
              <w:widowControl/>
              <w:jc w:val="left"/>
              <w:rPr>
                <w:rFonts w:hint="eastAsia" w:ascii="宋体" w:hAnsi="宋体" w:eastAsia="宋体" w:cs="宋体"/>
                <w:b/>
                <w:bCs/>
                <w:color w:val="000000"/>
                <w:kern w:val="0"/>
                <w:sz w:val="21"/>
                <w:szCs w:val="21"/>
              </w:rPr>
            </w:pPr>
          </w:p>
        </w:tc>
        <w:tc>
          <w:tcPr>
            <w:tcW w:w="362" w:type="pct"/>
            <w:vMerge w:val="continue"/>
            <w:vAlign w:val="center"/>
          </w:tcPr>
          <w:p>
            <w:pPr>
              <w:widowControl/>
              <w:jc w:val="left"/>
              <w:rPr>
                <w:rFonts w:hint="eastAsia" w:ascii="宋体" w:hAnsi="宋体" w:eastAsia="宋体" w:cs="宋体"/>
                <w:color w:val="000000"/>
                <w:kern w:val="0"/>
                <w:sz w:val="21"/>
                <w:szCs w:val="21"/>
              </w:rPr>
            </w:pPr>
          </w:p>
        </w:tc>
        <w:tc>
          <w:tcPr>
            <w:tcW w:w="584" w:type="pct"/>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场景构建功能</w:t>
            </w:r>
          </w:p>
        </w:tc>
        <w:tc>
          <w:tcPr>
            <w:tcW w:w="1055" w:type="pct"/>
            <w:gridSpan w:val="2"/>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场景构建功能</w:t>
            </w:r>
          </w:p>
        </w:tc>
        <w:tc>
          <w:tcPr>
            <w:tcW w:w="1715" w:type="pct"/>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构建不同的场景，形成可复用的场景组件。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90" w:type="pct"/>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sz w:val="21"/>
                <w:szCs w:val="21"/>
              </w:rPr>
              <w:t>93</w:t>
            </w:r>
          </w:p>
        </w:tc>
        <w:tc>
          <w:tcPr>
            <w:tcW w:w="483" w:type="pct"/>
            <w:vMerge w:val="continue"/>
            <w:vAlign w:val="center"/>
          </w:tcPr>
          <w:p>
            <w:pPr>
              <w:widowControl/>
              <w:jc w:val="left"/>
              <w:rPr>
                <w:rFonts w:hint="eastAsia" w:ascii="宋体" w:hAnsi="宋体" w:eastAsia="宋体" w:cs="宋体"/>
                <w:b/>
                <w:bCs/>
                <w:color w:val="000000"/>
                <w:kern w:val="0"/>
                <w:sz w:val="21"/>
                <w:szCs w:val="21"/>
              </w:rPr>
            </w:pPr>
          </w:p>
        </w:tc>
        <w:tc>
          <w:tcPr>
            <w:tcW w:w="507" w:type="pct"/>
            <w:vMerge w:val="continue"/>
            <w:vAlign w:val="center"/>
          </w:tcPr>
          <w:p>
            <w:pPr>
              <w:widowControl/>
              <w:jc w:val="left"/>
              <w:rPr>
                <w:rFonts w:hint="eastAsia" w:ascii="宋体" w:hAnsi="宋体" w:eastAsia="宋体" w:cs="宋体"/>
                <w:b/>
                <w:bCs/>
                <w:color w:val="000000"/>
                <w:kern w:val="0"/>
                <w:sz w:val="21"/>
                <w:szCs w:val="21"/>
              </w:rPr>
            </w:pPr>
          </w:p>
        </w:tc>
        <w:tc>
          <w:tcPr>
            <w:tcW w:w="362" w:type="pct"/>
            <w:vMerge w:val="continue"/>
            <w:vAlign w:val="center"/>
          </w:tcPr>
          <w:p>
            <w:pPr>
              <w:widowControl/>
              <w:jc w:val="left"/>
              <w:rPr>
                <w:rFonts w:hint="eastAsia" w:ascii="宋体" w:hAnsi="宋体" w:eastAsia="宋体" w:cs="宋体"/>
                <w:color w:val="000000"/>
                <w:kern w:val="0"/>
                <w:sz w:val="21"/>
                <w:szCs w:val="21"/>
              </w:rPr>
            </w:pPr>
          </w:p>
        </w:tc>
        <w:tc>
          <w:tcPr>
            <w:tcW w:w="584" w:type="pct"/>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场景管理功能</w:t>
            </w:r>
          </w:p>
        </w:tc>
        <w:tc>
          <w:tcPr>
            <w:tcW w:w="1055" w:type="pct"/>
            <w:gridSpan w:val="2"/>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场景管理功能</w:t>
            </w:r>
          </w:p>
        </w:tc>
        <w:tc>
          <w:tcPr>
            <w:tcW w:w="1715" w:type="pct"/>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与场景相关的数据管理、地图配置管理、效果配置管理等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90" w:type="pct"/>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sz w:val="21"/>
                <w:szCs w:val="21"/>
              </w:rPr>
              <w:t>94</w:t>
            </w:r>
          </w:p>
        </w:tc>
        <w:tc>
          <w:tcPr>
            <w:tcW w:w="483" w:type="pct"/>
            <w:vMerge w:val="continue"/>
            <w:vAlign w:val="center"/>
          </w:tcPr>
          <w:p>
            <w:pPr>
              <w:widowControl/>
              <w:jc w:val="left"/>
              <w:rPr>
                <w:rFonts w:hint="eastAsia" w:ascii="宋体" w:hAnsi="宋体" w:eastAsia="宋体" w:cs="宋体"/>
                <w:b/>
                <w:bCs/>
                <w:color w:val="000000"/>
                <w:kern w:val="0"/>
                <w:sz w:val="21"/>
                <w:szCs w:val="21"/>
              </w:rPr>
            </w:pPr>
          </w:p>
        </w:tc>
        <w:tc>
          <w:tcPr>
            <w:tcW w:w="507" w:type="pct"/>
            <w:vMerge w:val="continue"/>
            <w:vAlign w:val="center"/>
          </w:tcPr>
          <w:p>
            <w:pPr>
              <w:widowControl/>
              <w:jc w:val="left"/>
              <w:rPr>
                <w:rFonts w:hint="eastAsia" w:ascii="宋体" w:hAnsi="宋体" w:eastAsia="宋体" w:cs="宋体"/>
                <w:b/>
                <w:bCs/>
                <w:color w:val="000000"/>
                <w:kern w:val="0"/>
                <w:sz w:val="21"/>
                <w:szCs w:val="21"/>
              </w:rPr>
            </w:pPr>
          </w:p>
        </w:tc>
        <w:tc>
          <w:tcPr>
            <w:tcW w:w="947" w:type="pct"/>
            <w:gridSpan w:val="2"/>
            <w:vMerge w:val="restart"/>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综合运维管理子系统</w:t>
            </w:r>
          </w:p>
        </w:tc>
        <w:tc>
          <w:tcPr>
            <w:tcW w:w="1055" w:type="pct"/>
            <w:gridSpan w:val="2"/>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统一用户管理功能</w:t>
            </w:r>
          </w:p>
        </w:tc>
        <w:tc>
          <w:tcPr>
            <w:tcW w:w="1715" w:type="pct"/>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实现对各分项应用子系统中的用户权限管理。具有统一用户认证以及单点登录支持。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90" w:type="pct"/>
            <w:vAlign w:val="center"/>
          </w:tcPr>
          <w:p>
            <w:pPr>
              <w:widowControl/>
              <w:jc w:val="center"/>
              <w:rPr>
                <w:rFonts w:hint="eastAsia" w:ascii="宋体" w:hAnsi="宋体" w:eastAsia="宋体" w:cs="宋体"/>
                <w:b/>
                <w:bCs/>
                <w:color w:val="000000"/>
                <w:sz w:val="21"/>
                <w:szCs w:val="21"/>
              </w:rPr>
            </w:pPr>
            <w:r>
              <w:rPr>
                <w:rFonts w:hint="eastAsia" w:ascii="宋体" w:hAnsi="宋体" w:eastAsia="宋体" w:cs="宋体"/>
                <w:b/>
                <w:bCs/>
                <w:color w:val="000000"/>
                <w:sz w:val="21"/>
                <w:szCs w:val="21"/>
              </w:rPr>
              <w:t>95</w:t>
            </w:r>
          </w:p>
        </w:tc>
        <w:tc>
          <w:tcPr>
            <w:tcW w:w="483" w:type="pct"/>
            <w:vMerge w:val="continue"/>
            <w:vAlign w:val="center"/>
          </w:tcPr>
          <w:p>
            <w:pPr>
              <w:widowControl/>
              <w:jc w:val="left"/>
              <w:rPr>
                <w:rFonts w:hint="eastAsia" w:ascii="宋体" w:hAnsi="宋体" w:eastAsia="宋体" w:cs="宋体"/>
                <w:b/>
                <w:bCs/>
                <w:color w:val="000000"/>
                <w:kern w:val="0"/>
                <w:sz w:val="21"/>
                <w:szCs w:val="21"/>
              </w:rPr>
            </w:pPr>
          </w:p>
        </w:tc>
        <w:tc>
          <w:tcPr>
            <w:tcW w:w="507" w:type="pct"/>
            <w:vMerge w:val="continue"/>
            <w:vAlign w:val="center"/>
          </w:tcPr>
          <w:p>
            <w:pPr>
              <w:widowControl/>
              <w:jc w:val="left"/>
              <w:rPr>
                <w:rFonts w:hint="eastAsia" w:ascii="宋体" w:hAnsi="宋体" w:eastAsia="宋体" w:cs="宋体"/>
                <w:b/>
                <w:bCs/>
                <w:color w:val="000000"/>
                <w:kern w:val="0"/>
                <w:sz w:val="21"/>
                <w:szCs w:val="21"/>
              </w:rPr>
            </w:pPr>
          </w:p>
        </w:tc>
        <w:tc>
          <w:tcPr>
            <w:tcW w:w="947" w:type="pct"/>
            <w:gridSpan w:val="2"/>
            <w:vMerge w:val="continue"/>
            <w:vAlign w:val="center"/>
          </w:tcPr>
          <w:p>
            <w:pPr>
              <w:widowControl/>
              <w:jc w:val="center"/>
              <w:rPr>
                <w:rFonts w:hint="eastAsia" w:ascii="宋体" w:hAnsi="宋体" w:eastAsia="宋体" w:cs="宋体"/>
                <w:color w:val="000000"/>
                <w:kern w:val="0"/>
                <w:sz w:val="21"/>
                <w:szCs w:val="21"/>
              </w:rPr>
            </w:pPr>
          </w:p>
        </w:tc>
        <w:tc>
          <w:tcPr>
            <w:tcW w:w="1055" w:type="pct"/>
            <w:gridSpan w:val="2"/>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菜单权限管理</w:t>
            </w:r>
          </w:p>
        </w:tc>
        <w:tc>
          <w:tcPr>
            <w:tcW w:w="1715" w:type="pct"/>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实现对各分项应用子系统中的用户权限管理。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90" w:type="pct"/>
            <w:vAlign w:val="center"/>
          </w:tcPr>
          <w:p>
            <w:pPr>
              <w:widowControl/>
              <w:jc w:val="center"/>
              <w:rPr>
                <w:rFonts w:hint="eastAsia" w:ascii="宋体" w:hAnsi="宋体" w:eastAsia="宋体" w:cs="宋体"/>
                <w:b/>
                <w:bCs/>
                <w:color w:val="000000"/>
                <w:sz w:val="21"/>
                <w:szCs w:val="21"/>
              </w:rPr>
            </w:pPr>
            <w:r>
              <w:rPr>
                <w:rFonts w:hint="eastAsia" w:ascii="宋体" w:hAnsi="宋体" w:eastAsia="宋体" w:cs="宋体"/>
                <w:b/>
                <w:bCs/>
                <w:color w:val="000000"/>
                <w:sz w:val="21"/>
                <w:szCs w:val="21"/>
              </w:rPr>
              <w:t>96</w:t>
            </w:r>
          </w:p>
        </w:tc>
        <w:tc>
          <w:tcPr>
            <w:tcW w:w="483" w:type="pct"/>
            <w:vMerge w:val="continue"/>
            <w:vAlign w:val="center"/>
          </w:tcPr>
          <w:p>
            <w:pPr>
              <w:widowControl/>
              <w:jc w:val="left"/>
              <w:rPr>
                <w:rFonts w:hint="eastAsia" w:ascii="宋体" w:hAnsi="宋体" w:eastAsia="宋体" w:cs="宋体"/>
                <w:b/>
                <w:bCs/>
                <w:color w:val="000000"/>
                <w:kern w:val="0"/>
                <w:sz w:val="21"/>
                <w:szCs w:val="21"/>
              </w:rPr>
            </w:pPr>
          </w:p>
        </w:tc>
        <w:tc>
          <w:tcPr>
            <w:tcW w:w="507" w:type="pct"/>
            <w:vMerge w:val="continue"/>
            <w:vAlign w:val="center"/>
          </w:tcPr>
          <w:p>
            <w:pPr>
              <w:widowControl/>
              <w:jc w:val="left"/>
              <w:rPr>
                <w:rFonts w:hint="eastAsia" w:ascii="宋体" w:hAnsi="宋体" w:eastAsia="宋体" w:cs="宋体"/>
                <w:b/>
                <w:bCs/>
                <w:color w:val="000000"/>
                <w:kern w:val="0"/>
                <w:sz w:val="21"/>
                <w:szCs w:val="21"/>
              </w:rPr>
            </w:pPr>
          </w:p>
        </w:tc>
        <w:tc>
          <w:tcPr>
            <w:tcW w:w="947" w:type="pct"/>
            <w:gridSpan w:val="2"/>
            <w:vMerge w:val="continue"/>
            <w:vAlign w:val="center"/>
          </w:tcPr>
          <w:p>
            <w:pPr>
              <w:widowControl/>
              <w:jc w:val="center"/>
              <w:rPr>
                <w:rFonts w:hint="eastAsia" w:ascii="宋体" w:hAnsi="宋体" w:eastAsia="宋体" w:cs="宋体"/>
                <w:color w:val="000000"/>
                <w:kern w:val="0"/>
                <w:sz w:val="21"/>
                <w:szCs w:val="21"/>
              </w:rPr>
            </w:pPr>
          </w:p>
        </w:tc>
        <w:tc>
          <w:tcPr>
            <w:tcW w:w="1055" w:type="pct"/>
            <w:gridSpan w:val="2"/>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日志管理</w:t>
            </w:r>
          </w:p>
        </w:tc>
        <w:tc>
          <w:tcPr>
            <w:tcW w:w="1715" w:type="pct"/>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提供系统操作、登录等日志管理。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90" w:type="pct"/>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sz w:val="21"/>
                <w:szCs w:val="21"/>
              </w:rPr>
              <w:t>97</w:t>
            </w:r>
          </w:p>
        </w:tc>
        <w:tc>
          <w:tcPr>
            <w:tcW w:w="483" w:type="pct"/>
            <w:vMerge w:val="continue"/>
            <w:vAlign w:val="center"/>
          </w:tcPr>
          <w:p>
            <w:pPr>
              <w:widowControl/>
              <w:jc w:val="left"/>
              <w:rPr>
                <w:rFonts w:hint="eastAsia" w:ascii="宋体" w:hAnsi="宋体" w:eastAsia="宋体" w:cs="宋体"/>
                <w:b/>
                <w:bCs/>
                <w:color w:val="000000"/>
                <w:kern w:val="0"/>
                <w:sz w:val="21"/>
                <w:szCs w:val="21"/>
              </w:rPr>
            </w:pPr>
          </w:p>
        </w:tc>
        <w:tc>
          <w:tcPr>
            <w:tcW w:w="507" w:type="pct"/>
            <w:vMerge w:val="continue"/>
            <w:vAlign w:val="center"/>
          </w:tcPr>
          <w:p>
            <w:pPr>
              <w:widowControl/>
              <w:jc w:val="left"/>
              <w:rPr>
                <w:rFonts w:hint="eastAsia" w:ascii="宋体" w:hAnsi="宋体" w:eastAsia="宋体" w:cs="宋体"/>
                <w:b/>
                <w:bCs/>
                <w:color w:val="000000"/>
                <w:kern w:val="0"/>
                <w:sz w:val="21"/>
                <w:szCs w:val="21"/>
              </w:rPr>
            </w:pPr>
          </w:p>
        </w:tc>
        <w:tc>
          <w:tcPr>
            <w:tcW w:w="947" w:type="pct"/>
            <w:gridSpan w:val="2"/>
            <w:vMerge w:val="restart"/>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CIM数据仓库分层建设</w:t>
            </w:r>
          </w:p>
        </w:tc>
        <w:tc>
          <w:tcPr>
            <w:tcW w:w="1055" w:type="pct"/>
            <w:gridSpan w:val="2"/>
            <w:vMerge w:val="restart"/>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明细层建库</w:t>
            </w:r>
          </w:p>
        </w:tc>
        <w:tc>
          <w:tcPr>
            <w:tcW w:w="1715" w:type="pct"/>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对政务数据和物联感知数据进行统一建库管理，形成标准数据模型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90" w:type="pct"/>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sz w:val="21"/>
                <w:szCs w:val="21"/>
              </w:rPr>
              <w:t>98</w:t>
            </w:r>
          </w:p>
        </w:tc>
        <w:tc>
          <w:tcPr>
            <w:tcW w:w="483" w:type="pct"/>
            <w:vMerge w:val="continue"/>
            <w:vAlign w:val="center"/>
          </w:tcPr>
          <w:p>
            <w:pPr>
              <w:widowControl/>
              <w:jc w:val="left"/>
              <w:rPr>
                <w:rFonts w:hint="eastAsia" w:ascii="宋体" w:hAnsi="宋体" w:eastAsia="宋体" w:cs="宋体"/>
                <w:b/>
                <w:bCs/>
                <w:color w:val="000000"/>
                <w:kern w:val="0"/>
                <w:sz w:val="21"/>
                <w:szCs w:val="21"/>
              </w:rPr>
            </w:pPr>
          </w:p>
        </w:tc>
        <w:tc>
          <w:tcPr>
            <w:tcW w:w="507" w:type="pct"/>
            <w:vMerge w:val="continue"/>
            <w:vAlign w:val="center"/>
          </w:tcPr>
          <w:p>
            <w:pPr>
              <w:widowControl/>
              <w:jc w:val="left"/>
              <w:rPr>
                <w:rFonts w:hint="eastAsia" w:ascii="宋体" w:hAnsi="宋体" w:eastAsia="宋体" w:cs="宋体"/>
                <w:b/>
                <w:bCs/>
                <w:color w:val="000000"/>
                <w:kern w:val="0"/>
                <w:sz w:val="21"/>
                <w:szCs w:val="21"/>
              </w:rPr>
            </w:pPr>
          </w:p>
        </w:tc>
        <w:tc>
          <w:tcPr>
            <w:tcW w:w="947" w:type="pct"/>
            <w:gridSpan w:val="2"/>
            <w:vMerge w:val="continue"/>
            <w:vAlign w:val="center"/>
          </w:tcPr>
          <w:p>
            <w:pPr>
              <w:widowControl/>
              <w:jc w:val="left"/>
              <w:rPr>
                <w:rFonts w:hint="eastAsia" w:ascii="宋体" w:hAnsi="宋体" w:eastAsia="宋体" w:cs="宋体"/>
                <w:color w:val="000000"/>
                <w:kern w:val="0"/>
                <w:sz w:val="21"/>
                <w:szCs w:val="21"/>
              </w:rPr>
            </w:pPr>
          </w:p>
        </w:tc>
        <w:tc>
          <w:tcPr>
            <w:tcW w:w="1055" w:type="pct"/>
            <w:gridSpan w:val="2"/>
            <w:vMerge w:val="continue"/>
            <w:vAlign w:val="center"/>
          </w:tcPr>
          <w:p>
            <w:pPr>
              <w:widowControl/>
              <w:jc w:val="left"/>
              <w:rPr>
                <w:rFonts w:hint="eastAsia" w:ascii="宋体" w:hAnsi="宋体" w:eastAsia="宋体" w:cs="宋体"/>
                <w:color w:val="000000"/>
                <w:kern w:val="0"/>
                <w:sz w:val="21"/>
                <w:szCs w:val="21"/>
              </w:rPr>
            </w:pPr>
          </w:p>
        </w:tc>
        <w:tc>
          <w:tcPr>
            <w:tcW w:w="1715" w:type="pct"/>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对二三维GIS数据、非BIM三维数据统一管理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90" w:type="pct"/>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sz w:val="21"/>
                <w:szCs w:val="21"/>
              </w:rPr>
              <w:t>99</w:t>
            </w:r>
          </w:p>
        </w:tc>
        <w:tc>
          <w:tcPr>
            <w:tcW w:w="483" w:type="pct"/>
            <w:vMerge w:val="continue"/>
            <w:vAlign w:val="center"/>
          </w:tcPr>
          <w:p>
            <w:pPr>
              <w:widowControl/>
              <w:jc w:val="left"/>
              <w:rPr>
                <w:rFonts w:hint="eastAsia" w:ascii="宋体" w:hAnsi="宋体" w:eastAsia="宋体" w:cs="宋体"/>
                <w:b/>
                <w:bCs/>
                <w:color w:val="000000"/>
                <w:kern w:val="0"/>
                <w:sz w:val="21"/>
                <w:szCs w:val="21"/>
              </w:rPr>
            </w:pPr>
          </w:p>
        </w:tc>
        <w:tc>
          <w:tcPr>
            <w:tcW w:w="507" w:type="pct"/>
            <w:vMerge w:val="continue"/>
            <w:vAlign w:val="center"/>
          </w:tcPr>
          <w:p>
            <w:pPr>
              <w:widowControl/>
              <w:jc w:val="left"/>
              <w:rPr>
                <w:rFonts w:hint="eastAsia" w:ascii="宋体" w:hAnsi="宋体" w:eastAsia="宋体" w:cs="宋体"/>
                <w:b/>
                <w:bCs/>
                <w:color w:val="000000"/>
                <w:kern w:val="0"/>
                <w:sz w:val="21"/>
                <w:szCs w:val="21"/>
              </w:rPr>
            </w:pPr>
          </w:p>
        </w:tc>
        <w:tc>
          <w:tcPr>
            <w:tcW w:w="947" w:type="pct"/>
            <w:gridSpan w:val="2"/>
            <w:vMerge w:val="continue"/>
            <w:vAlign w:val="center"/>
          </w:tcPr>
          <w:p>
            <w:pPr>
              <w:widowControl/>
              <w:jc w:val="left"/>
              <w:rPr>
                <w:rFonts w:hint="eastAsia" w:ascii="宋体" w:hAnsi="宋体" w:eastAsia="宋体" w:cs="宋体"/>
                <w:color w:val="000000"/>
                <w:kern w:val="0"/>
                <w:sz w:val="21"/>
                <w:szCs w:val="21"/>
              </w:rPr>
            </w:pPr>
          </w:p>
        </w:tc>
        <w:tc>
          <w:tcPr>
            <w:tcW w:w="1055" w:type="pct"/>
            <w:gridSpan w:val="2"/>
            <w:vMerge w:val="continue"/>
            <w:vAlign w:val="center"/>
          </w:tcPr>
          <w:p>
            <w:pPr>
              <w:widowControl/>
              <w:jc w:val="left"/>
              <w:rPr>
                <w:rFonts w:hint="eastAsia" w:ascii="宋体" w:hAnsi="宋体" w:eastAsia="宋体" w:cs="宋体"/>
                <w:color w:val="000000"/>
                <w:kern w:val="0"/>
                <w:sz w:val="21"/>
                <w:szCs w:val="21"/>
              </w:rPr>
            </w:pPr>
          </w:p>
        </w:tc>
        <w:tc>
          <w:tcPr>
            <w:tcW w:w="1715" w:type="pct"/>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将不同专业和不同阶段的BIM数据统一建库管理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290" w:type="pct"/>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sz w:val="21"/>
                <w:szCs w:val="21"/>
              </w:rPr>
              <w:t>100</w:t>
            </w:r>
          </w:p>
        </w:tc>
        <w:tc>
          <w:tcPr>
            <w:tcW w:w="483" w:type="pct"/>
            <w:vMerge w:val="continue"/>
            <w:vAlign w:val="center"/>
          </w:tcPr>
          <w:p>
            <w:pPr>
              <w:widowControl/>
              <w:jc w:val="left"/>
              <w:rPr>
                <w:rFonts w:hint="eastAsia" w:ascii="宋体" w:hAnsi="宋体" w:eastAsia="宋体" w:cs="宋体"/>
                <w:b/>
                <w:bCs/>
                <w:color w:val="000000"/>
                <w:kern w:val="0"/>
                <w:sz w:val="21"/>
                <w:szCs w:val="21"/>
              </w:rPr>
            </w:pPr>
          </w:p>
        </w:tc>
        <w:tc>
          <w:tcPr>
            <w:tcW w:w="507" w:type="pct"/>
            <w:vMerge w:val="continue"/>
            <w:vAlign w:val="center"/>
          </w:tcPr>
          <w:p>
            <w:pPr>
              <w:widowControl/>
              <w:jc w:val="left"/>
              <w:rPr>
                <w:rFonts w:hint="eastAsia" w:ascii="宋体" w:hAnsi="宋体" w:eastAsia="宋体" w:cs="宋体"/>
                <w:b/>
                <w:bCs/>
                <w:color w:val="000000"/>
                <w:kern w:val="0"/>
                <w:sz w:val="21"/>
                <w:szCs w:val="21"/>
              </w:rPr>
            </w:pPr>
          </w:p>
        </w:tc>
        <w:tc>
          <w:tcPr>
            <w:tcW w:w="947" w:type="pct"/>
            <w:gridSpan w:val="2"/>
            <w:vMerge w:val="continue"/>
            <w:vAlign w:val="center"/>
          </w:tcPr>
          <w:p>
            <w:pPr>
              <w:widowControl/>
              <w:jc w:val="left"/>
              <w:rPr>
                <w:rFonts w:hint="eastAsia" w:ascii="宋体" w:hAnsi="宋体" w:eastAsia="宋体" w:cs="宋体"/>
                <w:color w:val="000000"/>
                <w:kern w:val="0"/>
                <w:sz w:val="21"/>
                <w:szCs w:val="21"/>
              </w:rPr>
            </w:pPr>
          </w:p>
        </w:tc>
        <w:tc>
          <w:tcPr>
            <w:tcW w:w="1055" w:type="pct"/>
            <w:gridSpan w:val="2"/>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融合层建库</w:t>
            </w:r>
          </w:p>
        </w:tc>
        <w:tc>
          <w:tcPr>
            <w:tcW w:w="1715" w:type="pct"/>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将明细层数据加注地址坐标、空间索引、业务编码、统计映射口径等标签，以星型模型、雪花模型等建立关联关系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90" w:type="pct"/>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sz w:val="21"/>
                <w:szCs w:val="21"/>
              </w:rPr>
              <w:t>101</w:t>
            </w:r>
          </w:p>
        </w:tc>
        <w:tc>
          <w:tcPr>
            <w:tcW w:w="483" w:type="pct"/>
            <w:vMerge w:val="continue"/>
            <w:vAlign w:val="center"/>
          </w:tcPr>
          <w:p>
            <w:pPr>
              <w:widowControl/>
              <w:jc w:val="left"/>
              <w:rPr>
                <w:rFonts w:hint="eastAsia" w:ascii="宋体" w:hAnsi="宋体" w:eastAsia="宋体" w:cs="宋体"/>
                <w:b/>
                <w:bCs/>
                <w:color w:val="000000"/>
                <w:kern w:val="0"/>
                <w:sz w:val="21"/>
                <w:szCs w:val="21"/>
              </w:rPr>
            </w:pPr>
          </w:p>
        </w:tc>
        <w:tc>
          <w:tcPr>
            <w:tcW w:w="507" w:type="pct"/>
            <w:vMerge w:val="continue"/>
            <w:vAlign w:val="center"/>
          </w:tcPr>
          <w:p>
            <w:pPr>
              <w:widowControl/>
              <w:jc w:val="left"/>
              <w:rPr>
                <w:rFonts w:hint="eastAsia" w:ascii="宋体" w:hAnsi="宋体" w:eastAsia="宋体" w:cs="宋体"/>
                <w:b/>
                <w:bCs/>
                <w:color w:val="000000"/>
                <w:kern w:val="0"/>
                <w:sz w:val="21"/>
                <w:szCs w:val="21"/>
              </w:rPr>
            </w:pPr>
          </w:p>
        </w:tc>
        <w:tc>
          <w:tcPr>
            <w:tcW w:w="947" w:type="pct"/>
            <w:gridSpan w:val="2"/>
            <w:vMerge w:val="continue"/>
            <w:vAlign w:val="center"/>
          </w:tcPr>
          <w:p>
            <w:pPr>
              <w:widowControl/>
              <w:jc w:val="left"/>
              <w:rPr>
                <w:rFonts w:hint="eastAsia" w:ascii="宋体" w:hAnsi="宋体" w:eastAsia="宋体" w:cs="宋体"/>
                <w:color w:val="000000"/>
                <w:kern w:val="0"/>
                <w:sz w:val="21"/>
                <w:szCs w:val="21"/>
              </w:rPr>
            </w:pPr>
          </w:p>
        </w:tc>
        <w:tc>
          <w:tcPr>
            <w:tcW w:w="1055" w:type="pct"/>
            <w:gridSpan w:val="2"/>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主题层建库</w:t>
            </w:r>
          </w:p>
        </w:tc>
        <w:tc>
          <w:tcPr>
            <w:tcW w:w="1715" w:type="pct"/>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结合不同监测和决策计算模型的需要建立指标计算表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90" w:type="pct"/>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sz w:val="21"/>
                <w:szCs w:val="21"/>
              </w:rPr>
              <w:t>102</w:t>
            </w:r>
          </w:p>
        </w:tc>
        <w:tc>
          <w:tcPr>
            <w:tcW w:w="483" w:type="pct"/>
            <w:vMerge w:val="continue"/>
            <w:vAlign w:val="center"/>
          </w:tcPr>
          <w:p>
            <w:pPr>
              <w:widowControl/>
              <w:jc w:val="left"/>
              <w:rPr>
                <w:rFonts w:hint="eastAsia" w:ascii="宋体" w:hAnsi="宋体" w:eastAsia="宋体" w:cs="宋体"/>
                <w:b/>
                <w:bCs/>
                <w:color w:val="000000"/>
                <w:kern w:val="0"/>
                <w:sz w:val="21"/>
                <w:szCs w:val="21"/>
              </w:rPr>
            </w:pPr>
          </w:p>
        </w:tc>
        <w:tc>
          <w:tcPr>
            <w:tcW w:w="507" w:type="pct"/>
            <w:vMerge w:val="continue"/>
            <w:vAlign w:val="center"/>
          </w:tcPr>
          <w:p>
            <w:pPr>
              <w:widowControl/>
              <w:jc w:val="left"/>
              <w:rPr>
                <w:rFonts w:hint="eastAsia" w:ascii="宋体" w:hAnsi="宋体" w:eastAsia="宋体" w:cs="宋体"/>
                <w:b/>
                <w:bCs/>
                <w:color w:val="000000"/>
                <w:kern w:val="0"/>
                <w:sz w:val="21"/>
                <w:szCs w:val="21"/>
              </w:rPr>
            </w:pPr>
          </w:p>
        </w:tc>
        <w:tc>
          <w:tcPr>
            <w:tcW w:w="947" w:type="pct"/>
            <w:gridSpan w:val="2"/>
            <w:vMerge w:val="continue"/>
            <w:vAlign w:val="center"/>
          </w:tcPr>
          <w:p>
            <w:pPr>
              <w:widowControl/>
              <w:jc w:val="left"/>
              <w:rPr>
                <w:rFonts w:hint="eastAsia" w:ascii="宋体" w:hAnsi="宋体" w:eastAsia="宋体" w:cs="宋体"/>
                <w:color w:val="000000"/>
                <w:kern w:val="0"/>
                <w:sz w:val="21"/>
                <w:szCs w:val="21"/>
              </w:rPr>
            </w:pPr>
          </w:p>
        </w:tc>
        <w:tc>
          <w:tcPr>
            <w:tcW w:w="1055" w:type="pct"/>
            <w:gridSpan w:val="2"/>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应用层建库</w:t>
            </w:r>
          </w:p>
        </w:tc>
        <w:tc>
          <w:tcPr>
            <w:tcW w:w="1715" w:type="pct"/>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结合不同应用场景搭建应用场景数据库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90" w:type="pct"/>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sz w:val="21"/>
                <w:szCs w:val="21"/>
              </w:rPr>
              <w:t>103</w:t>
            </w:r>
          </w:p>
        </w:tc>
        <w:tc>
          <w:tcPr>
            <w:tcW w:w="483" w:type="pct"/>
            <w:vMerge w:val="restart"/>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三</w:t>
            </w:r>
          </w:p>
        </w:tc>
        <w:tc>
          <w:tcPr>
            <w:tcW w:w="507" w:type="pct"/>
            <w:vMerge w:val="restart"/>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CIM场景应用试点</w:t>
            </w:r>
          </w:p>
        </w:tc>
        <w:tc>
          <w:tcPr>
            <w:tcW w:w="947" w:type="pct"/>
            <w:gridSpan w:val="2"/>
            <w:vMerge w:val="restart"/>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地下空间安全管理</w:t>
            </w:r>
          </w:p>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（选取主城区范围内1~2个地铁施工/工民建深基坑开挖施工工地开展场景设计和建设）</w:t>
            </w:r>
          </w:p>
        </w:tc>
        <w:tc>
          <w:tcPr>
            <w:tcW w:w="1052" w:type="pct"/>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试点工地对周边地上地下环境影响的安全监测及预警信息接入</w:t>
            </w:r>
          </w:p>
        </w:tc>
        <w:tc>
          <w:tcPr>
            <w:tcW w:w="1718" w:type="pct"/>
            <w:gridSpan w:val="2"/>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试点工地对周边地上地下环境影响的安全监测信息、预警信息接入及智能管理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90" w:type="pct"/>
            <w:vAlign w:val="center"/>
          </w:tcPr>
          <w:p>
            <w:pPr>
              <w:widowControl/>
              <w:jc w:val="center"/>
              <w:rPr>
                <w:rFonts w:hint="eastAsia" w:ascii="宋体" w:hAnsi="宋体" w:eastAsia="宋体" w:cs="宋体"/>
                <w:b/>
                <w:bCs/>
                <w:color w:val="000000"/>
                <w:sz w:val="21"/>
                <w:szCs w:val="21"/>
              </w:rPr>
            </w:pPr>
            <w:r>
              <w:rPr>
                <w:rFonts w:hint="eastAsia" w:ascii="宋体" w:hAnsi="宋体" w:eastAsia="宋体" w:cs="宋体"/>
                <w:b/>
                <w:bCs/>
                <w:color w:val="000000"/>
                <w:sz w:val="21"/>
                <w:szCs w:val="21"/>
              </w:rPr>
              <w:t>104</w:t>
            </w:r>
          </w:p>
        </w:tc>
        <w:tc>
          <w:tcPr>
            <w:tcW w:w="483" w:type="pct"/>
            <w:vMerge w:val="continue"/>
            <w:vAlign w:val="center"/>
          </w:tcPr>
          <w:p>
            <w:pPr>
              <w:widowControl/>
              <w:jc w:val="center"/>
              <w:rPr>
                <w:rFonts w:hint="eastAsia" w:ascii="宋体" w:hAnsi="宋体" w:eastAsia="宋体" w:cs="宋体"/>
                <w:b/>
                <w:bCs/>
                <w:color w:val="000000"/>
                <w:kern w:val="0"/>
                <w:sz w:val="21"/>
                <w:szCs w:val="21"/>
              </w:rPr>
            </w:pPr>
          </w:p>
        </w:tc>
        <w:tc>
          <w:tcPr>
            <w:tcW w:w="507" w:type="pct"/>
            <w:vMerge w:val="continue"/>
            <w:vAlign w:val="center"/>
          </w:tcPr>
          <w:p>
            <w:pPr>
              <w:widowControl/>
              <w:jc w:val="center"/>
              <w:rPr>
                <w:rFonts w:hint="eastAsia" w:ascii="宋体" w:hAnsi="宋体" w:eastAsia="宋体" w:cs="宋体"/>
                <w:b/>
                <w:bCs/>
                <w:color w:val="000000"/>
                <w:kern w:val="0"/>
                <w:sz w:val="21"/>
                <w:szCs w:val="21"/>
              </w:rPr>
            </w:pPr>
          </w:p>
        </w:tc>
        <w:tc>
          <w:tcPr>
            <w:tcW w:w="947" w:type="pct"/>
            <w:gridSpan w:val="2"/>
            <w:vMerge w:val="continue"/>
            <w:vAlign w:val="center"/>
          </w:tcPr>
          <w:p>
            <w:pPr>
              <w:widowControl/>
              <w:jc w:val="left"/>
              <w:rPr>
                <w:rFonts w:hint="eastAsia" w:ascii="宋体" w:hAnsi="宋体" w:eastAsia="宋体" w:cs="宋体"/>
                <w:color w:val="000000"/>
                <w:kern w:val="0"/>
                <w:sz w:val="21"/>
                <w:szCs w:val="21"/>
              </w:rPr>
            </w:pPr>
          </w:p>
        </w:tc>
        <w:tc>
          <w:tcPr>
            <w:tcW w:w="1052" w:type="pct"/>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试点地铁站点及区间结构安全监测及预警信息接入</w:t>
            </w:r>
          </w:p>
        </w:tc>
        <w:tc>
          <w:tcPr>
            <w:tcW w:w="1718" w:type="pct"/>
            <w:gridSpan w:val="2"/>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试点地铁站点及区间自身结构安全监测信息、预警信息接入及智能管理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90" w:type="pct"/>
            <w:vAlign w:val="center"/>
          </w:tcPr>
          <w:p>
            <w:pPr>
              <w:widowControl/>
              <w:jc w:val="center"/>
              <w:rPr>
                <w:rFonts w:hint="eastAsia" w:ascii="宋体" w:hAnsi="宋体" w:eastAsia="宋体" w:cs="宋体"/>
                <w:b/>
                <w:bCs/>
                <w:color w:val="000000"/>
                <w:sz w:val="21"/>
                <w:szCs w:val="21"/>
              </w:rPr>
            </w:pPr>
            <w:r>
              <w:rPr>
                <w:rFonts w:hint="eastAsia" w:ascii="宋体" w:hAnsi="宋体" w:eastAsia="宋体" w:cs="宋体"/>
                <w:b/>
                <w:bCs/>
                <w:color w:val="000000"/>
                <w:sz w:val="21"/>
                <w:szCs w:val="21"/>
              </w:rPr>
              <w:t>105</w:t>
            </w:r>
          </w:p>
        </w:tc>
        <w:tc>
          <w:tcPr>
            <w:tcW w:w="483" w:type="pct"/>
            <w:vMerge w:val="continue"/>
            <w:vAlign w:val="center"/>
          </w:tcPr>
          <w:p>
            <w:pPr>
              <w:widowControl/>
              <w:jc w:val="center"/>
              <w:rPr>
                <w:rFonts w:hint="eastAsia" w:ascii="宋体" w:hAnsi="宋体" w:eastAsia="宋体" w:cs="宋体"/>
                <w:b/>
                <w:bCs/>
                <w:color w:val="000000"/>
                <w:kern w:val="0"/>
                <w:sz w:val="21"/>
                <w:szCs w:val="21"/>
              </w:rPr>
            </w:pPr>
          </w:p>
        </w:tc>
        <w:tc>
          <w:tcPr>
            <w:tcW w:w="507" w:type="pct"/>
            <w:vMerge w:val="continue"/>
            <w:vAlign w:val="center"/>
          </w:tcPr>
          <w:p>
            <w:pPr>
              <w:widowControl/>
              <w:jc w:val="center"/>
              <w:rPr>
                <w:rFonts w:hint="eastAsia" w:ascii="宋体" w:hAnsi="宋体" w:eastAsia="宋体" w:cs="宋体"/>
                <w:b/>
                <w:bCs/>
                <w:color w:val="000000"/>
                <w:kern w:val="0"/>
                <w:sz w:val="21"/>
                <w:szCs w:val="21"/>
              </w:rPr>
            </w:pPr>
          </w:p>
        </w:tc>
        <w:tc>
          <w:tcPr>
            <w:tcW w:w="947" w:type="pct"/>
            <w:gridSpan w:val="2"/>
            <w:vMerge w:val="continue"/>
            <w:vAlign w:val="center"/>
          </w:tcPr>
          <w:p>
            <w:pPr>
              <w:widowControl/>
              <w:jc w:val="left"/>
              <w:rPr>
                <w:rFonts w:hint="eastAsia" w:ascii="宋体" w:hAnsi="宋体" w:eastAsia="宋体" w:cs="宋体"/>
                <w:color w:val="000000"/>
                <w:kern w:val="0"/>
                <w:sz w:val="21"/>
                <w:szCs w:val="21"/>
              </w:rPr>
            </w:pPr>
          </w:p>
        </w:tc>
        <w:tc>
          <w:tcPr>
            <w:tcW w:w="1052" w:type="pct"/>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对周边地上地下空间的影响范围分析及资源快速检索调度</w:t>
            </w:r>
          </w:p>
        </w:tc>
        <w:tc>
          <w:tcPr>
            <w:tcW w:w="1718" w:type="pct"/>
            <w:gridSpan w:val="2"/>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对周边地上地下空间的影响范围分析及资源快速检索调度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90" w:type="pct"/>
            <w:vAlign w:val="center"/>
          </w:tcPr>
          <w:p>
            <w:pPr>
              <w:widowControl/>
              <w:jc w:val="center"/>
              <w:rPr>
                <w:rFonts w:hint="eastAsia" w:ascii="宋体" w:hAnsi="宋体" w:eastAsia="宋体" w:cs="宋体"/>
                <w:b/>
                <w:bCs/>
                <w:color w:val="000000"/>
                <w:sz w:val="21"/>
                <w:szCs w:val="21"/>
              </w:rPr>
            </w:pPr>
            <w:r>
              <w:rPr>
                <w:rFonts w:hint="eastAsia" w:ascii="宋体" w:hAnsi="宋体" w:eastAsia="宋体" w:cs="宋体"/>
                <w:b/>
                <w:bCs/>
                <w:color w:val="000000"/>
                <w:sz w:val="21"/>
                <w:szCs w:val="21"/>
              </w:rPr>
              <w:t>106</w:t>
            </w:r>
          </w:p>
        </w:tc>
        <w:tc>
          <w:tcPr>
            <w:tcW w:w="483" w:type="pct"/>
            <w:vMerge w:val="continue"/>
            <w:vAlign w:val="center"/>
          </w:tcPr>
          <w:p>
            <w:pPr>
              <w:widowControl/>
              <w:jc w:val="center"/>
              <w:rPr>
                <w:rFonts w:hint="eastAsia" w:ascii="宋体" w:hAnsi="宋体" w:eastAsia="宋体" w:cs="宋体"/>
                <w:b/>
                <w:bCs/>
                <w:color w:val="000000"/>
                <w:kern w:val="0"/>
                <w:sz w:val="21"/>
                <w:szCs w:val="21"/>
              </w:rPr>
            </w:pPr>
          </w:p>
        </w:tc>
        <w:tc>
          <w:tcPr>
            <w:tcW w:w="507" w:type="pct"/>
            <w:vMerge w:val="continue"/>
            <w:vAlign w:val="center"/>
          </w:tcPr>
          <w:p>
            <w:pPr>
              <w:widowControl/>
              <w:jc w:val="center"/>
              <w:rPr>
                <w:rFonts w:hint="eastAsia" w:ascii="宋体" w:hAnsi="宋体" w:eastAsia="宋体" w:cs="宋体"/>
                <w:b/>
                <w:bCs/>
                <w:color w:val="000000"/>
                <w:kern w:val="0"/>
                <w:sz w:val="21"/>
                <w:szCs w:val="21"/>
              </w:rPr>
            </w:pPr>
          </w:p>
        </w:tc>
        <w:tc>
          <w:tcPr>
            <w:tcW w:w="947" w:type="pct"/>
            <w:gridSpan w:val="2"/>
            <w:vMerge w:val="continue"/>
            <w:vAlign w:val="center"/>
          </w:tcPr>
          <w:p>
            <w:pPr>
              <w:widowControl/>
              <w:jc w:val="left"/>
              <w:rPr>
                <w:rFonts w:hint="eastAsia" w:ascii="宋体" w:hAnsi="宋体" w:eastAsia="宋体" w:cs="宋体"/>
                <w:color w:val="000000"/>
                <w:kern w:val="0"/>
                <w:sz w:val="21"/>
                <w:szCs w:val="21"/>
              </w:rPr>
            </w:pPr>
          </w:p>
        </w:tc>
        <w:tc>
          <w:tcPr>
            <w:tcW w:w="1052" w:type="pct"/>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立体化的地下空间应急电子预案</w:t>
            </w:r>
          </w:p>
        </w:tc>
        <w:tc>
          <w:tcPr>
            <w:tcW w:w="1718" w:type="pct"/>
            <w:gridSpan w:val="2"/>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形成立体化、场景化的地下空间应急电子预案，开展高仿真的数字化应急处置预案推演。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90" w:type="pct"/>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sz w:val="21"/>
                <w:szCs w:val="21"/>
              </w:rPr>
              <w:t>107</w:t>
            </w:r>
          </w:p>
        </w:tc>
        <w:tc>
          <w:tcPr>
            <w:tcW w:w="483" w:type="pct"/>
            <w:vMerge w:val="continue"/>
            <w:vAlign w:val="center"/>
          </w:tcPr>
          <w:p>
            <w:pPr>
              <w:widowControl/>
              <w:jc w:val="left"/>
              <w:rPr>
                <w:rFonts w:hint="eastAsia" w:ascii="宋体" w:hAnsi="宋体" w:eastAsia="宋体" w:cs="宋体"/>
                <w:b/>
                <w:bCs/>
                <w:color w:val="000000"/>
                <w:kern w:val="0"/>
                <w:sz w:val="21"/>
                <w:szCs w:val="21"/>
              </w:rPr>
            </w:pPr>
          </w:p>
        </w:tc>
        <w:tc>
          <w:tcPr>
            <w:tcW w:w="507" w:type="pct"/>
            <w:vMerge w:val="continue"/>
            <w:vAlign w:val="center"/>
          </w:tcPr>
          <w:p>
            <w:pPr>
              <w:widowControl/>
              <w:jc w:val="left"/>
              <w:rPr>
                <w:rFonts w:hint="eastAsia" w:ascii="宋体" w:hAnsi="宋体" w:eastAsia="宋体" w:cs="宋体"/>
                <w:b/>
                <w:bCs/>
                <w:color w:val="000000"/>
                <w:kern w:val="0"/>
                <w:sz w:val="21"/>
                <w:szCs w:val="21"/>
              </w:rPr>
            </w:pPr>
          </w:p>
        </w:tc>
        <w:tc>
          <w:tcPr>
            <w:tcW w:w="947" w:type="pct"/>
            <w:gridSpan w:val="2"/>
            <w:vMerge w:val="restart"/>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楼宇安全管理</w:t>
            </w:r>
          </w:p>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（以钱江新城核心区域为试点区开展场景设计和建设）</w:t>
            </w:r>
          </w:p>
        </w:tc>
        <w:tc>
          <w:tcPr>
            <w:tcW w:w="1052" w:type="pct"/>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试点区域中建立“一楼一档”的建筑安全档案库，对幕墙的建筑进行空间定位</w:t>
            </w:r>
          </w:p>
        </w:tc>
        <w:tc>
          <w:tcPr>
            <w:tcW w:w="1718" w:type="pct"/>
            <w:gridSpan w:val="2"/>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试点区域中建立“一楼一档”的建筑安全档案库，对具有玻璃幕墙和干挂石材的建筑进行空间定位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90" w:type="pct"/>
            <w:vAlign w:val="center"/>
          </w:tcPr>
          <w:p>
            <w:pPr>
              <w:widowControl/>
              <w:jc w:val="center"/>
              <w:rPr>
                <w:rFonts w:hint="eastAsia" w:ascii="宋体" w:hAnsi="宋体" w:eastAsia="宋体" w:cs="宋体"/>
                <w:b/>
                <w:bCs/>
                <w:color w:val="000000"/>
                <w:sz w:val="21"/>
                <w:szCs w:val="21"/>
              </w:rPr>
            </w:pPr>
            <w:r>
              <w:rPr>
                <w:rFonts w:hint="eastAsia" w:ascii="宋体" w:hAnsi="宋体" w:eastAsia="宋体" w:cs="宋体"/>
                <w:b/>
                <w:bCs/>
                <w:color w:val="000000"/>
                <w:sz w:val="21"/>
                <w:szCs w:val="21"/>
              </w:rPr>
              <w:t>108</w:t>
            </w:r>
          </w:p>
        </w:tc>
        <w:tc>
          <w:tcPr>
            <w:tcW w:w="483" w:type="pct"/>
            <w:vMerge w:val="continue"/>
            <w:vAlign w:val="center"/>
          </w:tcPr>
          <w:p>
            <w:pPr>
              <w:widowControl/>
              <w:jc w:val="left"/>
              <w:rPr>
                <w:rFonts w:hint="eastAsia" w:ascii="宋体" w:hAnsi="宋体" w:eastAsia="宋体" w:cs="宋体"/>
                <w:b/>
                <w:bCs/>
                <w:color w:val="000000"/>
                <w:kern w:val="0"/>
                <w:sz w:val="21"/>
                <w:szCs w:val="21"/>
              </w:rPr>
            </w:pPr>
          </w:p>
        </w:tc>
        <w:tc>
          <w:tcPr>
            <w:tcW w:w="507" w:type="pct"/>
            <w:vMerge w:val="continue"/>
            <w:vAlign w:val="center"/>
          </w:tcPr>
          <w:p>
            <w:pPr>
              <w:widowControl/>
              <w:jc w:val="left"/>
              <w:rPr>
                <w:rFonts w:hint="eastAsia" w:ascii="宋体" w:hAnsi="宋体" w:eastAsia="宋体" w:cs="宋体"/>
                <w:b/>
                <w:bCs/>
                <w:color w:val="000000"/>
                <w:kern w:val="0"/>
                <w:sz w:val="21"/>
                <w:szCs w:val="21"/>
              </w:rPr>
            </w:pPr>
          </w:p>
        </w:tc>
        <w:tc>
          <w:tcPr>
            <w:tcW w:w="947" w:type="pct"/>
            <w:gridSpan w:val="2"/>
            <w:vMerge w:val="continue"/>
            <w:vAlign w:val="center"/>
          </w:tcPr>
          <w:p>
            <w:pPr>
              <w:widowControl/>
              <w:jc w:val="left"/>
              <w:rPr>
                <w:rFonts w:hint="eastAsia" w:ascii="宋体" w:hAnsi="宋体" w:eastAsia="宋体" w:cs="宋体"/>
                <w:color w:val="000000"/>
                <w:kern w:val="0"/>
                <w:sz w:val="21"/>
                <w:szCs w:val="21"/>
              </w:rPr>
            </w:pPr>
          </w:p>
        </w:tc>
        <w:tc>
          <w:tcPr>
            <w:tcW w:w="1052" w:type="pct"/>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将建筑主体单位的幕墙定期检查记录进行接入管理</w:t>
            </w:r>
          </w:p>
        </w:tc>
        <w:tc>
          <w:tcPr>
            <w:tcW w:w="1718" w:type="pct"/>
            <w:gridSpan w:val="2"/>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将建筑主体单位的幕墙定期检查记录进行接入管理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90" w:type="pct"/>
            <w:vAlign w:val="center"/>
          </w:tcPr>
          <w:p>
            <w:pPr>
              <w:widowControl/>
              <w:jc w:val="center"/>
              <w:rPr>
                <w:rFonts w:hint="eastAsia" w:ascii="宋体" w:hAnsi="宋体" w:eastAsia="宋体" w:cs="宋体"/>
                <w:b/>
                <w:bCs/>
                <w:color w:val="000000"/>
                <w:sz w:val="21"/>
                <w:szCs w:val="21"/>
              </w:rPr>
            </w:pPr>
            <w:r>
              <w:rPr>
                <w:rFonts w:hint="eastAsia" w:ascii="宋体" w:hAnsi="宋体" w:eastAsia="宋体" w:cs="宋体"/>
                <w:b/>
                <w:bCs/>
                <w:color w:val="000000"/>
                <w:sz w:val="21"/>
                <w:szCs w:val="21"/>
              </w:rPr>
              <w:t>109</w:t>
            </w:r>
          </w:p>
        </w:tc>
        <w:tc>
          <w:tcPr>
            <w:tcW w:w="483" w:type="pct"/>
            <w:vMerge w:val="continue"/>
            <w:vAlign w:val="center"/>
          </w:tcPr>
          <w:p>
            <w:pPr>
              <w:widowControl/>
              <w:jc w:val="left"/>
              <w:rPr>
                <w:rFonts w:hint="eastAsia" w:ascii="宋体" w:hAnsi="宋体" w:eastAsia="宋体" w:cs="宋体"/>
                <w:b/>
                <w:bCs/>
                <w:color w:val="000000"/>
                <w:kern w:val="0"/>
                <w:sz w:val="21"/>
                <w:szCs w:val="21"/>
              </w:rPr>
            </w:pPr>
          </w:p>
        </w:tc>
        <w:tc>
          <w:tcPr>
            <w:tcW w:w="507" w:type="pct"/>
            <w:vMerge w:val="continue"/>
            <w:vAlign w:val="center"/>
          </w:tcPr>
          <w:p>
            <w:pPr>
              <w:widowControl/>
              <w:jc w:val="left"/>
              <w:rPr>
                <w:rFonts w:hint="eastAsia" w:ascii="宋体" w:hAnsi="宋体" w:eastAsia="宋体" w:cs="宋体"/>
                <w:b/>
                <w:bCs/>
                <w:color w:val="000000"/>
                <w:kern w:val="0"/>
                <w:sz w:val="21"/>
                <w:szCs w:val="21"/>
              </w:rPr>
            </w:pPr>
          </w:p>
        </w:tc>
        <w:tc>
          <w:tcPr>
            <w:tcW w:w="947" w:type="pct"/>
            <w:gridSpan w:val="2"/>
            <w:vMerge w:val="continue"/>
            <w:vAlign w:val="center"/>
          </w:tcPr>
          <w:p>
            <w:pPr>
              <w:widowControl/>
              <w:jc w:val="left"/>
              <w:rPr>
                <w:rFonts w:hint="eastAsia" w:ascii="宋体" w:hAnsi="宋体" w:eastAsia="宋体" w:cs="宋体"/>
                <w:color w:val="000000"/>
                <w:kern w:val="0"/>
                <w:sz w:val="21"/>
                <w:szCs w:val="21"/>
              </w:rPr>
            </w:pPr>
          </w:p>
        </w:tc>
        <w:tc>
          <w:tcPr>
            <w:tcW w:w="1052" w:type="pct"/>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对建筑主体单位进行在线提醒和监管</w:t>
            </w:r>
          </w:p>
        </w:tc>
        <w:tc>
          <w:tcPr>
            <w:tcW w:w="1718" w:type="pct"/>
            <w:gridSpan w:val="2"/>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对即将需要进行定期检测、未按时检测、存在隐患的建筑主体单位进行在线主动提醒和监管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90" w:type="pct"/>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sz w:val="21"/>
                <w:szCs w:val="21"/>
              </w:rPr>
              <w:t>110</w:t>
            </w:r>
          </w:p>
        </w:tc>
        <w:tc>
          <w:tcPr>
            <w:tcW w:w="483" w:type="pct"/>
            <w:vMerge w:val="continue"/>
            <w:vAlign w:val="center"/>
          </w:tcPr>
          <w:p>
            <w:pPr>
              <w:widowControl/>
              <w:jc w:val="left"/>
              <w:rPr>
                <w:rFonts w:hint="eastAsia" w:ascii="宋体" w:hAnsi="宋体" w:eastAsia="宋体" w:cs="宋体"/>
                <w:b/>
                <w:bCs/>
                <w:color w:val="000000"/>
                <w:kern w:val="0"/>
                <w:sz w:val="21"/>
                <w:szCs w:val="21"/>
              </w:rPr>
            </w:pPr>
          </w:p>
        </w:tc>
        <w:tc>
          <w:tcPr>
            <w:tcW w:w="507" w:type="pct"/>
            <w:vMerge w:val="continue"/>
            <w:vAlign w:val="center"/>
          </w:tcPr>
          <w:p>
            <w:pPr>
              <w:widowControl/>
              <w:jc w:val="left"/>
              <w:rPr>
                <w:rFonts w:hint="eastAsia" w:ascii="宋体" w:hAnsi="宋体" w:eastAsia="宋体" w:cs="宋体"/>
                <w:b/>
                <w:bCs/>
                <w:color w:val="000000"/>
                <w:kern w:val="0"/>
                <w:sz w:val="21"/>
                <w:szCs w:val="21"/>
              </w:rPr>
            </w:pPr>
          </w:p>
        </w:tc>
        <w:tc>
          <w:tcPr>
            <w:tcW w:w="947" w:type="pct"/>
            <w:gridSpan w:val="2"/>
            <w:vMerge w:val="restart"/>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综合视频感知赋能</w:t>
            </w:r>
          </w:p>
        </w:tc>
        <w:tc>
          <w:tcPr>
            <w:tcW w:w="1052" w:type="pct"/>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全市域监控点位空间分布可视化</w:t>
            </w:r>
          </w:p>
        </w:tc>
        <w:tc>
          <w:tcPr>
            <w:tcW w:w="1718" w:type="pct"/>
            <w:gridSpan w:val="2"/>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基于已有的视频监控资源平台，对全市域监控点位进行空间分布可视化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90" w:type="pct"/>
            <w:vAlign w:val="center"/>
          </w:tcPr>
          <w:p>
            <w:pPr>
              <w:widowControl/>
              <w:jc w:val="center"/>
              <w:rPr>
                <w:rFonts w:hint="eastAsia" w:ascii="宋体" w:hAnsi="宋体" w:eastAsia="宋体" w:cs="宋体"/>
                <w:b/>
                <w:bCs/>
                <w:color w:val="000000"/>
                <w:sz w:val="21"/>
                <w:szCs w:val="21"/>
              </w:rPr>
            </w:pPr>
            <w:r>
              <w:rPr>
                <w:rFonts w:hint="eastAsia" w:ascii="宋体" w:hAnsi="宋体" w:eastAsia="宋体" w:cs="宋体"/>
                <w:b/>
                <w:bCs/>
                <w:color w:val="000000"/>
                <w:sz w:val="21"/>
                <w:szCs w:val="21"/>
              </w:rPr>
              <w:t>111</w:t>
            </w:r>
          </w:p>
        </w:tc>
        <w:tc>
          <w:tcPr>
            <w:tcW w:w="483" w:type="pct"/>
            <w:vMerge w:val="continue"/>
            <w:vAlign w:val="center"/>
          </w:tcPr>
          <w:p>
            <w:pPr>
              <w:widowControl/>
              <w:jc w:val="left"/>
              <w:rPr>
                <w:rFonts w:hint="eastAsia" w:ascii="宋体" w:hAnsi="宋体" w:eastAsia="宋体" w:cs="宋体"/>
                <w:b/>
                <w:bCs/>
                <w:color w:val="000000"/>
                <w:kern w:val="0"/>
                <w:sz w:val="21"/>
                <w:szCs w:val="21"/>
              </w:rPr>
            </w:pPr>
          </w:p>
        </w:tc>
        <w:tc>
          <w:tcPr>
            <w:tcW w:w="507" w:type="pct"/>
            <w:vMerge w:val="continue"/>
            <w:vAlign w:val="center"/>
          </w:tcPr>
          <w:p>
            <w:pPr>
              <w:widowControl/>
              <w:jc w:val="left"/>
              <w:rPr>
                <w:rFonts w:hint="eastAsia" w:ascii="宋体" w:hAnsi="宋体" w:eastAsia="宋体" w:cs="宋体"/>
                <w:b/>
                <w:bCs/>
                <w:color w:val="000000"/>
                <w:kern w:val="0"/>
                <w:sz w:val="21"/>
                <w:szCs w:val="21"/>
              </w:rPr>
            </w:pPr>
          </w:p>
        </w:tc>
        <w:tc>
          <w:tcPr>
            <w:tcW w:w="947" w:type="pct"/>
            <w:gridSpan w:val="2"/>
            <w:vMerge w:val="continue"/>
            <w:vAlign w:val="center"/>
          </w:tcPr>
          <w:p>
            <w:pPr>
              <w:widowControl/>
              <w:jc w:val="left"/>
              <w:rPr>
                <w:rFonts w:hint="eastAsia" w:ascii="宋体" w:hAnsi="宋体" w:eastAsia="宋体" w:cs="宋体"/>
                <w:color w:val="000000"/>
                <w:kern w:val="0"/>
                <w:sz w:val="21"/>
                <w:szCs w:val="21"/>
              </w:rPr>
            </w:pPr>
          </w:p>
        </w:tc>
        <w:tc>
          <w:tcPr>
            <w:tcW w:w="1052" w:type="pct"/>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实时视频流调取及监控画面播放</w:t>
            </w:r>
          </w:p>
        </w:tc>
        <w:tc>
          <w:tcPr>
            <w:tcW w:w="1718" w:type="pct"/>
            <w:gridSpan w:val="2"/>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基于已有的视频监控资源平台，实现实时视频流调取及监控画面播放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90" w:type="pct"/>
            <w:vAlign w:val="center"/>
          </w:tcPr>
          <w:p>
            <w:pPr>
              <w:widowControl/>
              <w:jc w:val="center"/>
              <w:rPr>
                <w:rFonts w:hint="eastAsia" w:ascii="宋体" w:hAnsi="宋体" w:eastAsia="宋体" w:cs="宋体"/>
                <w:b/>
                <w:bCs/>
                <w:color w:val="000000"/>
                <w:sz w:val="21"/>
                <w:szCs w:val="21"/>
              </w:rPr>
            </w:pPr>
            <w:r>
              <w:rPr>
                <w:rFonts w:hint="eastAsia" w:ascii="宋体" w:hAnsi="宋体" w:eastAsia="宋体" w:cs="宋体"/>
                <w:b/>
                <w:bCs/>
                <w:color w:val="000000"/>
                <w:sz w:val="21"/>
                <w:szCs w:val="21"/>
              </w:rPr>
              <w:t>112</w:t>
            </w:r>
          </w:p>
        </w:tc>
        <w:tc>
          <w:tcPr>
            <w:tcW w:w="483" w:type="pct"/>
            <w:vMerge w:val="continue"/>
            <w:vAlign w:val="center"/>
          </w:tcPr>
          <w:p>
            <w:pPr>
              <w:widowControl/>
              <w:jc w:val="left"/>
              <w:rPr>
                <w:rFonts w:hint="eastAsia" w:ascii="宋体" w:hAnsi="宋体" w:eastAsia="宋体" w:cs="宋体"/>
                <w:b/>
                <w:bCs/>
                <w:color w:val="000000"/>
                <w:kern w:val="0"/>
                <w:sz w:val="21"/>
                <w:szCs w:val="21"/>
              </w:rPr>
            </w:pPr>
          </w:p>
        </w:tc>
        <w:tc>
          <w:tcPr>
            <w:tcW w:w="507" w:type="pct"/>
            <w:vMerge w:val="continue"/>
            <w:vAlign w:val="center"/>
          </w:tcPr>
          <w:p>
            <w:pPr>
              <w:widowControl/>
              <w:jc w:val="left"/>
              <w:rPr>
                <w:rFonts w:hint="eastAsia" w:ascii="宋体" w:hAnsi="宋体" w:eastAsia="宋体" w:cs="宋体"/>
                <w:b/>
                <w:bCs/>
                <w:color w:val="000000"/>
                <w:kern w:val="0"/>
                <w:sz w:val="21"/>
                <w:szCs w:val="21"/>
              </w:rPr>
            </w:pPr>
          </w:p>
        </w:tc>
        <w:tc>
          <w:tcPr>
            <w:tcW w:w="947" w:type="pct"/>
            <w:gridSpan w:val="2"/>
            <w:vMerge w:val="continue"/>
            <w:vAlign w:val="center"/>
          </w:tcPr>
          <w:p>
            <w:pPr>
              <w:widowControl/>
              <w:jc w:val="left"/>
              <w:rPr>
                <w:rFonts w:hint="eastAsia" w:ascii="宋体" w:hAnsi="宋体" w:eastAsia="宋体" w:cs="宋体"/>
                <w:color w:val="000000"/>
                <w:kern w:val="0"/>
                <w:sz w:val="21"/>
                <w:szCs w:val="21"/>
              </w:rPr>
            </w:pPr>
          </w:p>
        </w:tc>
        <w:tc>
          <w:tcPr>
            <w:tcW w:w="1052" w:type="pct"/>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试点区域中现有监控资源视域覆盖分析</w:t>
            </w:r>
          </w:p>
        </w:tc>
        <w:tc>
          <w:tcPr>
            <w:tcW w:w="1718" w:type="pct"/>
            <w:gridSpan w:val="2"/>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选取重要区域作为试点区域，在三维场景中开展现有监控资源的重复覆盖和盲区分析，并支持模拟新增监控点位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90" w:type="pct"/>
            <w:vAlign w:val="center"/>
          </w:tcPr>
          <w:p>
            <w:pPr>
              <w:widowControl/>
              <w:jc w:val="center"/>
              <w:rPr>
                <w:rFonts w:hint="eastAsia" w:ascii="宋体" w:hAnsi="宋体" w:eastAsia="宋体" w:cs="宋体"/>
                <w:b/>
                <w:bCs/>
                <w:color w:val="000000"/>
                <w:sz w:val="21"/>
                <w:szCs w:val="21"/>
              </w:rPr>
            </w:pPr>
            <w:r>
              <w:rPr>
                <w:rFonts w:hint="eastAsia" w:ascii="宋体" w:hAnsi="宋体" w:eastAsia="宋体" w:cs="宋体"/>
                <w:b/>
                <w:bCs/>
                <w:color w:val="000000"/>
                <w:sz w:val="21"/>
                <w:szCs w:val="21"/>
              </w:rPr>
              <w:t>113</w:t>
            </w:r>
          </w:p>
        </w:tc>
        <w:tc>
          <w:tcPr>
            <w:tcW w:w="483" w:type="pct"/>
            <w:vMerge w:val="continue"/>
            <w:vAlign w:val="center"/>
          </w:tcPr>
          <w:p>
            <w:pPr>
              <w:widowControl/>
              <w:jc w:val="left"/>
              <w:rPr>
                <w:rFonts w:hint="eastAsia" w:ascii="宋体" w:hAnsi="宋体" w:eastAsia="宋体" w:cs="宋体"/>
                <w:b/>
                <w:bCs/>
                <w:color w:val="000000"/>
                <w:kern w:val="0"/>
                <w:sz w:val="21"/>
                <w:szCs w:val="21"/>
              </w:rPr>
            </w:pPr>
          </w:p>
        </w:tc>
        <w:tc>
          <w:tcPr>
            <w:tcW w:w="507" w:type="pct"/>
            <w:vMerge w:val="continue"/>
            <w:vAlign w:val="center"/>
          </w:tcPr>
          <w:p>
            <w:pPr>
              <w:widowControl/>
              <w:jc w:val="left"/>
              <w:rPr>
                <w:rFonts w:hint="eastAsia" w:ascii="宋体" w:hAnsi="宋体" w:eastAsia="宋体" w:cs="宋体"/>
                <w:b/>
                <w:bCs/>
                <w:color w:val="000000"/>
                <w:kern w:val="0"/>
                <w:sz w:val="21"/>
                <w:szCs w:val="21"/>
              </w:rPr>
            </w:pPr>
          </w:p>
        </w:tc>
        <w:tc>
          <w:tcPr>
            <w:tcW w:w="947" w:type="pct"/>
            <w:gridSpan w:val="2"/>
            <w:vMerge w:val="continue"/>
            <w:vAlign w:val="center"/>
          </w:tcPr>
          <w:p>
            <w:pPr>
              <w:widowControl/>
              <w:jc w:val="left"/>
              <w:rPr>
                <w:rFonts w:hint="eastAsia" w:ascii="宋体" w:hAnsi="宋体" w:eastAsia="宋体" w:cs="宋体"/>
                <w:color w:val="000000"/>
                <w:kern w:val="0"/>
                <w:sz w:val="21"/>
                <w:szCs w:val="21"/>
              </w:rPr>
            </w:pPr>
          </w:p>
        </w:tc>
        <w:tc>
          <w:tcPr>
            <w:tcW w:w="1052" w:type="pct"/>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按名称和编号的关键字检索监控列表及空间定位</w:t>
            </w:r>
          </w:p>
        </w:tc>
        <w:tc>
          <w:tcPr>
            <w:tcW w:w="1718" w:type="pct"/>
            <w:gridSpan w:val="2"/>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按名称和编号的关键字检索监控列表及空间定位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90" w:type="pct"/>
            <w:vAlign w:val="center"/>
          </w:tcPr>
          <w:p>
            <w:pPr>
              <w:widowControl/>
              <w:jc w:val="center"/>
              <w:rPr>
                <w:rFonts w:hint="eastAsia" w:ascii="宋体" w:hAnsi="宋体" w:eastAsia="宋体" w:cs="宋体"/>
                <w:b/>
                <w:bCs/>
                <w:color w:val="000000"/>
                <w:sz w:val="21"/>
                <w:szCs w:val="21"/>
              </w:rPr>
            </w:pPr>
            <w:r>
              <w:rPr>
                <w:rFonts w:hint="eastAsia" w:ascii="宋体" w:hAnsi="宋体" w:eastAsia="宋体" w:cs="宋体"/>
                <w:b/>
                <w:bCs/>
                <w:color w:val="000000"/>
                <w:sz w:val="21"/>
                <w:szCs w:val="21"/>
              </w:rPr>
              <w:t>114</w:t>
            </w:r>
          </w:p>
        </w:tc>
        <w:tc>
          <w:tcPr>
            <w:tcW w:w="483" w:type="pct"/>
            <w:vMerge w:val="continue"/>
            <w:vAlign w:val="center"/>
          </w:tcPr>
          <w:p>
            <w:pPr>
              <w:widowControl/>
              <w:jc w:val="left"/>
              <w:rPr>
                <w:rFonts w:hint="eastAsia" w:ascii="宋体" w:hAnsi="宋体" w:eastAsia="宋体" w:cs="宋体"/>
                <w:b/>
                <w:bCs/>
                <w:color w:val="000000"/>
                <w:kern w:val="0"/>
                <w:sz w:val="21"/>
                <w:szCs w:val="21"/>
              </w:rPr>
            </w:pPr>
          </w:p>
        </w:tc>
        <w:tc>
          <w:tcPr>
            <w:tcW w:w="507" w:type="pct"/>
            <w:vMerge w:val="continue"/>
            <w:vAlign w:val="center"/>
          </w:tcPr>
          <w:p>
            <w:pPr>
              <w:widowControl/>
              <w:jc w:val="left"/>
              <w:rPr>
                <w:rFonts w:hint="eastAsia" w:ascii="宋体" w:hAnsi="宋体" w:eastAsia="宋体" w:cs="宋体"/>
                <w:b/>
                <w:bCs/>
                <w:color w:val="000000"/>
                <w:kern w:val="0"/>
                <w:sz w:val="21"/>
                <w:szCs w:val="21"/>
              </w:rPr>
            </w:pPr>
          </w:p>
        </w:tc>
        <w:tc>
          <w:tcPr>
            <w:tcW w:w="947" w:type="pct"/>
            <w:gridSpan w:val="2"/>
            <w:vMerge w:val="continue"/>
            <w:vAlign w:val="center"/>
          </w:tcPr>
          <w:p>
            <w:pPr>
              <w:widowControl/>
              <w:jc w:val="left"/>
              <w:rPr>
                <w:rFonts w:hint="eastAsia" w:ascii="宋体" w:hAnsi="宋体" w:eastAsia="宋体" w:cs="宋体"/>
                <w:color w:val="000000"/>
                <w:kern w:val="0"/>
                <w:sz w:val="21"/>
                <w:szCs w:val="21"/>
              </w:rPr>
            </w:pPr>
          </w:p>
        </w:tc>
        <w:tc>
          <w:tcPr>
            <w:tcW w:w="1052" w:type="pct"/>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根据经纬度查询周边监控点位</w:t>
            </w:r>
          </w:p>
        </w:tc>
        <w:tc>
          <w:tcPr>
            <w:tcW w:w="1718" w:type="pct"/>
            <w:gridSpan w:val="2"/>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根据经纬度查询周边监控点位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90" w:type="pct"/>
            <w:vAlign w:val="center"/>
          </w:tcPr>
          <w:p>
            <w:pPr>
              <w:widowControl/>
              <w:jc w:val="center"/>
              <w:rPr>
                <w:rFonts w:hint="eastAsia" w:ascii="宋体" w:hAnsi="宋体" w:eastAsia="宋体" w:cs="宋体"/>
                <w:b/>
                <w:bCs/>
                <w:color w:val="000000"/>
                <w:sz w:val="21"/>
                <w:szCs w:val="21"/>
              </w:rPr>
            </w:pPr>
            <w:r>
              <w:rPr>
                <w:rFonts w:hint="eastAsia" w:ascii="宋体" w:hAnsi="宋体" w:eastAsia="宋体" w:cs="宋体"/>
                <w:b/>
                <w:bCs/>
                <w:color w:val="000000"/>
                <w:sz w:val="21"/>
                <w:szCs w:val="21"/>
              </w:rPr>
              <w:t>115</w:t>
            </w:r>
          </w:p>
        </w:tc>
        <w:tc>
          <w:tcPr>
            <w:tcW w:w="483" w:type="pct"/>
            <w:vMerge w:val="continue"/>
            <w:vAlign w:val="center"/>
          </w:tcPr>
          <w:p>
            <w:pPr>
              <w:widowControl/>
              <w:jc w:val="left"/>
              <w:rPr>
                <w:rFonts w:hint="eastAsia" w:ascii="宋体" w:hAnsi="宋体" w:eastAsia="宋体" w:cs="宋体"/>
                <w:b/>
                <w:bCs/>
                <w:color w:val="000000"/>
                <w:kern w:val="0"/>
                <w:sz w:val="21"/>
                <w:szCs w:val="21"/>
              </w:rPr>
            </w:pPr>
          </w:p>
        </w:tc>
        <w:tc>
          <w:tcPr>
            <w:tcW w:w="507" w:type="pct"/>
            <w:vMerge w:val="continue"/>
            <w:vAlign w:val="center"/>
          </w:tcPr>
          <w:p>
            <w:pPr>
              <w:widowControl/>
              <w:jc w:val="left"/>
              <w:rPr>
                <w:rFonts w:hint="eastAsia" w:ascii="宋体" w:hAnsi="宋体" w:eastAsia="宋体" w:cs="宋体"/>
                <w:b/>
                <w:bCs/>
                <w:color w:val="000000"/>
                <w:kern w:val="0"/>
                <w:sz w:val="21"/>
                <w:szCs w:val="21"/>
              </w:rPr>
            </w:pPr>
          </w:p>
        </w:tc>
        <w:tc>
          <w:tcPr>
            <w:tcW w:w="947" w:type="pct"/>
            <w:gridSpan w:val="2"/>
            <w:vMerge w:val="continue"/>
            <w:vAlign w:val="center"/>
          </w:tcPr>
          <w:p>
            <w:pPr>
              <w:widowControl/>
              <w:jc w:val="left"/>
              <w:rPr>
                <w:rFonts w:hint="eastAsia" w:ascii="宋体" w:hAnsi="宋体" w:eastAsia="宋体" w:cs="宋体"/>
                <w:color w:val="000000"/>
                <w:kern w:val="0"/>
                <w:sz w:val="21"/>
                <w:szCs w:val="21"/>
              </w:rPr>
            </w:pPr>
          </w:p>
        </w:tc>
        <w:tc>
          <w:tcPr>
            <w:tcW w:w="1052" w:type="pct"/>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按道路检索沿线周边监控点位</w:t>
            </w:r>
          </w:p>
        </w:tc>
        <w:tc>
          <w:tcPr>
            <w:tcW w:w="1718" w:type="pct"/>
            <w:gridSpan w:val="2"/>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按道路检索沿线周边监控点位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90" w:type="pct"/>
            <w:vAlign w:val="center"/>
          </w:tcPr>
          <w:p>
            <w:pPr>
              <w:widowControl/>
              <w:jc w:val="center"/>
              <w:rPr>
                <w:rFonts w:hint="eastAsia" w:ascii="宋体" w:hAnsi="宋体" w:eastAsia="宋体" w:cs="宋体"/>
                <w:b/>
                <w:bCs/>
                <w:color w:val="000000"/>
                <w:sz w:val="21"/>
                <w:szCs w:val="21"/>
              </w:rPr>
            </w:pPr>
            <w:r>
              <w:rPr>
                <w:rFonts w:hint="eastAsia" w:ascii="宋体" w:hAnsi="宋体" w:eastAsia="宋体" w:cs="宋体"/>
                <w:b/>
                <w:bCs/>
                <w:color w:val="000000"/>
                <w:sz w:val="21"/>
                <w:szCs w:val="21"/>
              </w:rPr>
              <w:t>116</w:t>
            </w:r>
          </w:p>
        </w:tc>
        <w:tc>
          <w:tcPr>
            <w:tcW w:w="483" w:type="pct"/>
            <w:vMerge w:val="continue"/>
            <w:vAlign w:val="center"/>
          </w:tcPr>
          <w:p>
            <w:pPr>
              <w:widowControl/>
              <w:jc w:val="left"/>
              <w:rPr>
                <w:rFonts w:hint="eastAsia" w:ascii="宋体" w:hAnsi="宋体" w:eastAsia="宋体" w:cs="宋体"/>
                <w:b/>
                <w:bCs/>
                <w:color w:val="000000"/>
                <w:kern w:val="0"/>
                <w:sz w:val="21"/>
                <w:szCs w:val="21"/>
              </w:rPr>
            </w:pPr>
          </w:p>
        </w:tc>
        <w:tc>
          <w:tcPr>
            <w:tcW w:w="507" w:type="pct"/>
            <w:vMerge w:val="continue"/>
            <w:vAlign w:val="center"/>
          </w:tcPr>
          <w:p>
            <w:pPr>
              <w:widowControl/>
              <w:jc w:val="left"/>
              <w:rPr>
                <w:rFonts w:hint="eastAsia" w:ascii="宋体" w:hAnsi="宋体" w:eastAsia="宋体" w:cs="宋体"/>
                <w:b/>
                <w:bCs/>
                <w:color w:val="000000"/>
                <w:kern w:val="0"/>
                <w:sz w:val="21"/>
                <w:szCs w:val="21"/>
              </w:rPr>
            </w:pPr>
          </w:p>
        </w:tc>
        <w:tc>
          <w:tcPr>
            <w:tcW w:w="947" w:type="pct"/>
            <w:gridSpan w:val="2"/>
            <w:vMerge w:val="continue"/>
            <w:vAlign w:val="center"/>
          </w:tcPr>
          <w:p>
            <w:pPr>
              <w:widowControl/>
              <w:jc w:val="left"/>
              <w:rPr>
                <w:rFonts w:hint="eastAsia" w:ascii="宋体" w:hAnsi="宋体" w:eastAsia="宋体" w:cs="宋体"/>
                <w:color w:val="000000"/>
                <w:kern w:val="0"/>
                <w:sz w:val="21"/>
                <w:szCs w:val="21"/>
              </w:rPr>
            </w:pPr>
          </w:p>
        </w:tc>
        <w:tc>
          <w:tcPr>
            <w:tcW w:w="1052" w:type="pct"/>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监控对象分组调度预案</w:t>
            </w:r>
          </w:p>
        </w:tc>
        <w:tc>
          <w:tcPr>
            <w:tcW w:w="1718" w:type="pct"/>
            <w:gridSpan w:val="2"/>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对重点区域预设多路监控作为预案分组，并支持一键调度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90" w:type="pct"/>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sz w:val="21"/>
                <w:szCs w:val="21"/>
              </w:rPr>
              <w:t>117</w:t>
            </w:r>
          </w:p>
        </w:tc>
        <w:tc>
          <w:tcPr>
            <w:tcW w:w="483" w:type="pct"/>
            <w:vMerge w:val="continue"/>
            <w:vAlign w:val="center"/>
          </w:tcPr>
          <w:p>
            <w:pPr>
              <w:widowControl/>
              <w:jc w:val="left"/>
              <w:rPr>
                <w:rFonts w:hint="eastAsia" w:ascii="宋体" w:hAnsi="宋体" w:eastAsia="宋体" w:cs="宋体"/>
                <w:b/>
                <w:bCs/>
                <w:color w:val="000000"/>
                <w:kern w:val="0"/>
                <w:sz w:val="21"/>
                <w:szCs w:val="21"/>
              </w:rPr>
            </w:pPr>
          </w:p>
        </w:tc>
        <w:tc>
          <w:tcPr>
            <w:tcW w:w="507" w:type="pct"/>
            <w:vMerge w:val="continue"/>
            <w:vAlign w:val="center"/>
          </w:tcPr>
          <w:p>
            <w:pPr>
              <w:widowControl/>
              <w:jc w:val="left"/>
              <w:rPr>
                <w:rFonts w:hint="eastAsia" w:ascii="宋体" w:hAnsi="宋体" w:eastAsia="宋体" w:cs="宋体"/>
                <w:b/>
                <w:bCs/>
                <w:color w:val="000000"/>
                <w:kern w:val="0"/>
                <w:sz w:val="21"/>
                <w:szCs w:val="21"/>
              </w:rPr>
            </w:pPr>
          </w:p>
        </w:tc>
        <w:tc>
          <w:tcPr>
            <w:tcW w:w="947" w:type="pct"/>
            <w:gridSpan w:val="2"/>
            <w:vMerge w:val="restart"/>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智慧社区应用</w:t>
            </w:r>
          </w:p>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（选取重要亚运场馆和亚运村周边的部分街道社区，或接入部分智慧社区，作为试点区域开展场景设计和建设）</w:t>
            </w:r>
          </w:p>
        </w:tc>
        <w:tc>
          <w:tcPr>
            <w:tcW w:w="1052" w:type="pct"/>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试点区域住房使用性质、人-户的空间化管理</w:t>
            </w:r>
          </w:p>
        </w:tc>
        <w:tc>
          <w:tcPr>
            <w:tcW w:w="1718" w:type="pct"/>
            <w:gridSpan w:val="2"/>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试点区域住房使用性质、户主和现居住人等的空间化管理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90" w:type="pct"/>
            <w:vAlign w:val="center"/>
          </w:tcPr>
          <w:p>
            <w:pPr>
              <w:widowControl/>
              <w:jc w:val="center"/>
              <w:rPr>
                <w:rFonts w:hint="eastAsia" w:ascii="宋体" w:hAnsi="宋体" w:eastAsia="宋体" w:cs="宋体"/>
                <w:b/>
                <w:bCs/>
                <w:color w:val="000000"/>
                <w:sz w:val="21"/>
                <w:szCs w:val="21"/>
              </w:rPr>
            </w:pPr>
            <w:r>
              <w:rPr>
                <w:rFonts w:hint="eastAsia" w:ascii="宋体" w:hAnsi="宋体" w:eastAsia="宋体" w:cs="宋体"/>
                <w:b/>
                <w:bCs/>
                <w:color w:val="000000"/>
                <w:sz w:val="21"/>
                <w:szCs w:val="21"/>
              </w:rPr>
              <w:t>118</w:t>
            </w:r>
          </w:p>
        </w:tc>
        <w:tc>
          <w:tcPr>
            <w:tcW w:w="483" w:type="pct"/>
            <w:vMerge w:val="continue"/>
            <w:vAlign w:val="center"/>
          </w:tcPr>
          <w:p>
            <w:pPr>
              <w:widowControl/>
              <w:jc w:val="left"/>
              <w:rPr>
                <w:rFonts w:hint="eastAsia" w:ascii="宋体" w:hAnsi="宋体" w:eastAsia="宋体" w:cs="宋体"/>
                <w:b/>
                <w:bCs/>
                <w:color w:val="000000"/>
                <w:kern w:val="0"/>
                <w:sz w:val="21"/>
                <w:szCs w:val="21"/>
              </w:rPr>
            </w:pPr>
          </w:p>
        </w:tc>
        <w:tc>
          <w:tcPr>
            <w:tcW w:w="507" w:type="pct"/>
            <w:vMerge w:val="continue"/>
            <w:vAlign w:val="center"/>
          </w:tcPr>
          <w:p>
            <w:pPr>
              <w:widowControl/>
              <w:jc w:val="left"/>
              <w:rPr>
                <w:rFonts w:hint="eastAsia" w:ascii="宋体" w:hAnsi="宋体" w:eastAsia="宋体" w:cs="宋体"/>
                <w:b/>
                <w:bCs/>
                <w:color w:val="000000"/>
                <w:kern w:val="0"/>
                <w:sz w:val="21"/>
                <w:szCs w:val="21"/>
              </w:rPr>
            </w:pPr>
          </w:p>
        </w:tc>
        <w:tc>
          <w:tcPr>
            <w:tcW w:w="947" w:type="pct"/>
            <w:gridSpan w:val="2"/>
            <w:vMerge w:val="continue"/>
            <w:vAlign w:val="center"/>
          </w:tcPr>
          <w:p>
            <w:pPr>
              <w:widowControl/>
              <w:jc w:val="left"/>
              <w:rPr>
                <w:rFonts w:hint="eastAsia" w:ascii="宋体" w:hAnsi="宋体" w:eastAsia="宋体" w:cs="宋体"/>
                <w:color w:val="000000"/>
                <w:kern w:val="0"/>
                <w:sz w:val="21"/>
                <w:szCs w:val="21"/>
              </w:rPr>
            </w:pPr>
          </w:p>
        </w:tc>
        <w:tc>
          <w:tcPr>
            <w:tcW w:w="1052" w:type="pct"/>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对试点区域已有的烟感、门禁、道闸、智能水气表等实时信息进行空间化接入</w:t>
            </w:r>
          </w:p>
        </w:tc>
        <w:tc>
          <w:tcPr>
            <w:tcW w:w="1718" w:type="pct"/>
            <w:gridSpan w:val="2"/>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对试点区域已有的烟感、门禁、道闸、智能水气表等实时信息进行空间化接入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90" w:type="pct"/>
            <w:vAlign w:val="center"/>
          </w:tcPr>
          <w:p>
            <w:pPr>
              <w:widowControl/>
              <w:jc w:val="center"/>
              <w:rPr>
                <w:rFonts w:hint="eastAsia" w:ascii="宋体" w:hAnsi="宋体" w:eastAsia="宋体" w:cs="宋体"/>
                <w:b/>
                <w:bCs/>
                <w:color w:val="000000"/>
                <w:sz w:val="21"/>
                <w:szCs w:val="21"/>
              </w:rPr>
            </w:pPr>
            <w:r>
              <w:rPr>
                <w:rFonts w:hint="eastAsia" w:ascii="宋体" w:hAnsi="宋体" w:eastAsia="宋体" w:cs="宋体"/>
                <w:b/>
                <w:bCs/>
                <w:color w:val="000000"/>
                <w:sz w:val="21"/>
                <w:szCs w:val="21"/>
              </w:rPr>
              <w:t>119</w:t>
            </w:r>
          </w:p>
        </w:tc>
        <w:tc>
          <w:tcPr>
            <w:tcW w:w="483" w:type="pct"/>
            <w:vMerge w:val="continue"/>
            <w:vAlign w:val="center"/>
          </w:tcPr>
          <w:p>
            <w:pPr>
              <w:widowControl/>
              <w:jc w:val="left"/>
              <w:rPr>
                <w:rFonts w:hint="eastAsia" w:ascii="宋体" w:hAnsi="宋体" w:eastAsia="宋体" w:cs="宋体"/>
                <w:b/>
                <w:bCs/>
                <w:color w:val="000000"/>
                <w:kern w:val="0"/>
                <w:sz w:val="21"/>
                <w:szCs w:val="21"/>
              </w:rPr>
            </w:pPr>
          </w:p>
        </w:tc>
        <w:tc>
          <w:tcPr>
            <w:tcW w:w="507" w:type="pct"/>
            <w:vMerge w:val="continue"/>
            <w:vAlign w:val="center"/>
          </w:tcPr>
          <w:p>
            <w:pPr>
              <w:widowControl/>
              <w:jc w:val="left"/>
              <w:rPr>
                <w:rFonts w:hint="eastAsia" w:ascii="宋体" w:hAnsi="宋体" w:eastAsia="宋体" w:cs="宋体"/>
                <w:b/>
                <w:bCs/>
                <w:color w:val="000000"/>
                <w:kern w:val="0"/>
                <w:sz w:val="21"/>
                <w:szCs w:val="21"/>
              </w:rPr>
            </w:pPr>
          </w:p>
        </w:tc>
        <w:tc>
          <w:tcPr>
            <w:tcW w:w="947" w:type="pct"/>
            <w:gridSpan w:val="2"/>
            <w:vMerge w:val="continue"/>
            <w:vAlign w:val="center"/>
          </w:tcPr>
          <w:p>
            <w:pPr>
              <w:widowControl/>
              <w:jc w:val="left"/>
              <w:rPr>
                <w:rFonts w:hint="eastAsia" w:ascii="宋体" w:hAnsi="宋体" w:eastAsia="宋体" w:cs="宋体"/>
                <w:color w:val="000000"/>
                <w:kern w:val="0"/>
                <w:sz w:val="21"/>
                <w:szCs w:val="21"/>
              </w:rPr>
            </w:pPr>
          </w:p>
        </w:tc>
        <w:tc>
          <w:tcPr>
            <w:tcW w:w="1052" w:type="pct"/>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场景化的综合应用分析</w:t>
            </w:r>
          </w:p>
        </w:tc>
        <w:tc>
          <w:tcPr>
            <w:tcW w:w="1718" w:type="pct"/>
            <w:gridSpan w:val="2"/>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在试点区域内实现一个场景化的应用分析，如目标区域综合评价分析、重点关注人群（如重点人员、精卫人员、独居老人）监护服务管理等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90" w:type="pct"/>
            <w:vAlign w:val="center"/>
          </w:tcPr>
          <w:p>
            <w:pPr>
              <w:widowControl/>
              <w:jc w:val="center"/>
              <w:rPr>
                <w:rFonts w:hint="eastAsia" w:ascii="宋体" w:hAnsi="宋体" w:eastAsia="宋体" w:cs="宋体"/>
                <w:b/>
                <w:bCs/>
                <w:color w:val="000000"/>
                <w:sz w:val="21"/>
                <w:szCs w:val="21"/>
              </w:rPr>
            </w:pPr>
            <w:r>
              <w:rPr>
                <w:rFonts w:hint="eastAsia" w:ascii="宋体" w:hAnsi="宋体" w:eastAsia="宋体" w:cs="宋体"/>
                <w:b/>
                <w:bCs/>
                <w:color w:val="000000"/>
                <w:sz w:val="21"/>
                <w:szCs w:val="21"/>
              </w:rPr>
              <w:t>120</w:t>
            </w:r>
          </w:p>
        </w:tc>
        <w:tc>
          <w:tcPr>
            <w:tcW w:w="483" w:type="pct"/>
            <w:vMerge w:val="continue"/>
            <w:vAlign w:val="center"/>
          </w:tcPr>
          <w:p>
            <w:pPr>
              <w:widowControl/>
              <w:jc w:val="left"/>
              <w:rPr>
                <w:rFonts w:hint="eastAsia" w:ascii="宋体" w:hAnsi="宋体" w:eastAsia="宋体" w:cs="宋体"/>
                <w:b/>
                <w:bCs/>
                <w:color w:val="000000"/>
                <w:kern w:val="0"/>
                <w:sz w:val="21"/>
                <w:szCs w:val="21"/>
              </w:rPr>
            </w:pPr>
          </w:p>
        </w:tc>
        <w:tc>
          <w:tcPr>
            <w:tcW w:w="507" w:type="pct"/>
            <w:vMerge w:val="continue"/>
            <w:vAlign w:val="center"/>
          </w:tcPr>
          <w:p>
            <w:pPr>
              <w:widowControl/>
              <w:jc w:val="left"/>
              <w:rPr>
                <w:rFonts w:hint="eastAsia" w:ascii="宋体" w:hAnsi="宋体" w:eastAsia="宋体" w:cs="宋体"/>
                <w:b/>
                <w:bCs/>
                <w:color w:val="000000"/>
                <w:kern w:val="0"/>
                <w:sz w:val="21"/>
                <w:szCs w:val="21"/>
              </w:rPr>
            </w:pPr>
          </w:p>
        </w:tc>
        <w:tc>
          <w:tcPr>
            <w:tcW w:w="947" w:type="pct"/>
            <w:gridSpan w:val="2"/>
            <w:vMerge w:val="restart"/>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亚运会城市安全管理</w:t>
            </w:r>
          </w:p>
          <w:p>
            <w:pPr>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（选取部分亚运场馆的BIM模型数据纳入基础数据资源，开展场景设计和建设）</w:t>
            </w:r>
          </w:p>
        </w:tc>
        <w:tc>
          <w:tcPr>
            <w:tcW w:w="1052" w:type="pct"/>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对获取得到的试点亚运场馆竣工三维模型进行处理</w:t>
            </w:r>
          </w:p>
        </w:tc>
        <w:tc>
          <w:tcPr>
            <w:tcW w:w="1718" w:type="pct"/>
            <w:gridSpan w:val="2"/>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对获取得到的试点亚运场馆竣工三维模型进行处理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90" w:type="pct"/>
            <w:vAlign w:val="center"/>
          </w:tcPr>
          <w:p>
            <w:pPr>
              <w:widowControl/>
              <w:jc w:val="center"/>
              <w:rPr>
                <w:rFonts w:hint="eastAsia" w:ascii="宋体" w:hAnsi="宋体" w:eastAsia="宋体" w:cs="宋体"/>
                <w:b/>
                <w:bCs/>
                <w:color w:val="000000"/>
                <w:sz w:val="21"/>
                <w:szCs w:val="21"/>
              </w:rPr>
            </w:pPr>
            <w:r>
              <w:rPr>
                <w:rFonts w:hint="eastAsia" w:ascii="宋体" w:hAnsi="宋体" w:eastAsia="宋体" w:cs="宋体"/>
                <w:b/>
                <w:bCs/>
                <w:color w:val="000000"/>
                <w:sz w:val="21"/>
                <w:szCs w:val="21"/>
              </w:rPr>
              <w:t>121</w:t>
            </w:r>
          </w:p>
        </w:tc>
        <w:tc>
          <w:tcPr>
            <w:tcW w:w="483" w:type="pct"/>
            <w:vMerge w:val="continue"/>
            <w:vAlign w:val="center"/>
          </w:tcPr>
          <w:p>
            <w:pPr>
              <w:widowControl/>
              <w:jc w:val="left"/>
              <w:rPr>
                <w:rFonts w:hint="eastAsia" w:ascii="宋体" w:hAnsi="宋体" w:eastAsia="宋体" w:cs="宋体"/>
                <w:b/>
                <w:bCs/>
                <w:color w:val="000000"/>
                <w:kern w:val="0"/>
                <w:sz w:val="21"/>
                <w:szCs w:val="21"/>
              </w:rPr>
            </w:pPr>
          </w:p>
        </w:tc>
        <w:tc>
          <w:tcPr>
            <w:tcW w:w="507" w:type="pct"/>
            <w:vMerge w:val="continue"/>
            <w:vAlign w:val="center"/>
          </w:tcPr>
          <w:p>
            <w:pPr>
              <w:widowControl/>
              <w:jc w:val="left"/>
              <w:rPr>
                <w:rFonts w:hint="eastAsia" w:ascii="宋体" w:hAnsi="宋体" w:eastAsia="宋体" w:cs="宋体"/>
                <w:b/>
                <w:bCs/>
                <w:color w:val="000000"/>
                <w:kern w:val="0"/>
                <w:sz w:val="21"/>
                <w:szCs w:val="21"/>
              </w:rPr>
            </w:pPr>
          </w:p>
        </w:tc>
        <w:tc>
          <w:tcPr>
            <w:tcW w:w="947" w:type="pct"/>
            <w:gridSpan w:val="2"/>
            <w:vMerge w:val="continue"/>
            <w:vAlign w:val="center"/>
          </w:tcPr>
          <w:p>
            <w:pPr>
              <w:jc w:val="left"/>
              <w:rPr>
                <w:rFonts w:hint="eastAsia" w:ascii="宋体" w:hAnsi="宋体" w:eastAsia="宋体" w:cs="宋体"/>
                <w:color w:val="000000"/>
                <w:kern w:val="0"/>
                <w:sz w:val="21"/>
                <w:szCs w:val="21"/>
              </w:rPr>
            </w:pPr>
          </w:p>
        </w:tc>
        <w:tc>
          <w:tcPr>
            <w:tcW w:w="1052" w:type="pct"/>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试点场馆内外物联感知设备及感知信息接入</w:t>
            </w:r>
          </w:p>
        </w:tc>
        <w:tc>
          <w:tcPr>
            <w:tcW w:w="1718" w:type="pct"/>
            <w:gridSpan w:val="2"/>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试点场馆内外物联感知设备及感知信息接入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90" w:type="pct"/>
            <w:vAlign w:val="center"/>
          </w:tcPr>
          <w:p>
            <w:pPr>
              <w:widowControl/>
              <w:jc w:val="center"/>
              <w:rPr>
                <w:rFonts w:hint="eastAsia" w:ascii="宋体" w:hAnsi="宋体" w:eastAsia="宋体" w:cs="宋体"/>
                <w:b/>
                <w:bCs/>
                <w:color w:val="000000"/>
                <w:sz w:val="21"/>
                <w:szCs w:val="21"/>
              </w:rPr>
            </w:pPr>
            <w:r>
              <w:rPr>
                <w:rFonts w:hint="eastAsia" w:ascii="宋体" w:hAnsi="宋体" w:eastAsia="宋体" w:cs="宋体"/>
                <w:b/>
                <w:bCs/>
                <w:color w:val="000000"/>
                <w:sz w:val="21"/>
                <w:szCs w:val="21"/>
              </w:rPr>
              <w:t>122</w:t>
            </w:r>
          </w:p>
        </w:tc>
        <w:tc>
          <w:tcPr>
            <w:tcW w:w="483" w:type="pct"/>
            <w:vMerge w:val="continue"/>
            <w:vAlign w:val="center"/>
          </w:tcPr>
          <w:p>
            <w:pPr>
              <w:widowControl/>
              <w:jc w:val="left"/>
              <w:rPr>
                <w:rFonts w:hint="eastAsia" w:ascii="宋体" w:hAnsi="宋体" w:eastAsia="宋体" w:cs="宋体"/>
                <w:b/>
                <w:bCs/>
                <w:color w:val="000000"/>
                <w:kern w:val="0"/>
                <w:sz w:val="21"/>
                <w:szCs w:val="21"/>
              </w:rPr>
            </w:pPr>
          </w:p>
        </w:tc>
        <w:tc>
          <w:tcPr>
            <w:tcW w:w="507" w:type="pct"/>
            <w:vMerge w:val="continue"/>
            <w:vAlign w:val="center"/>
          </w:tcPr>
          <w:p>
            <w:pPr>
              <w:widowControl/>
              <w:jc w:val="left"/>
              <w:rPr>
                <w:rFonts w:hint="eastAsia" w:ascii="宋体" w:hAnsi="宋体" w:eastAsia="宋体" w:cs="宋体"/>
                <w:b/>
                <w:bCs/>
                <w:color w:val="000000"/>
                <w:kern w:val="0"/>
                <w:sz w:val="21"/>
                <w:szCs w:val="21"/>
              </w:rPr>
            </w:pPr>
          </w:p>
        </w:tc>
        <w:tc>
          <w:tcPr>
            <w:tcW w:w="947" w:type="pct"/>
            <w:gridSpan w:val="2"/>
            <w:vMerge w:val="continue"/>
            <w:vAlign w:val="center"/>
          </w:tcPr>
          <w:p>
            <w:pPr>
              <w:jc w:val="left"/>
              <w:rPr>
                <w:rFonts w:hint="eastAsia" w:ascii="宋体" w:hAnsi="宋体" w:eastAsia="宋体" w:cs="宋体"/>
                <w:color w:val="000000"/>
                <w:kern w:val="0"/>
                <w:sz w:val="21"/>
                <w:szCs w:val="21"/>
              </w:rPr>
            </w:pPr>
          </w:p>
        </w:tc>
        <w:tc>
          <w:tcPr>
            <w:tcW w:w="1052" w:type="pct"/>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车路协同</w:t>
            </w:r>
          </w:p>
        </w:tc>
        <w:tc>
          <w:tcPr>
            <w:tcW w:w="1718" w:type="pct"/>
            <w:gridSpan w:val="2"/>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场馆周边人流疏导与交通组织调度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4" w:space="0"/>
          </w:tblBorders>
          <w:tblCellMar>
            <w:top w:w="0" w:type="dxa"/>
            <w:left w:w="108" w:type="dxa"/>
            <w:bottom w:w="0" w:type="dxa"/>
            <w:right w:w="108" w:type="dxa"/>
          </w:tblCellMar>
        </w:tblPrEx>
        <w:trPr>
          <w:trHeight w:val="315" w:hRule="atLeast"/>
          <w:jc w:val="center"/>
        </w:trPr>
        <w:tc>
          <w:tcPr>
            <w:tcW w:w="290" w:type="pct"/>
            <w:tcBorders>
              <w:left w:val="single" w:color="auto" w:sz="4" w:space="0"/>
              <w:right w:val="single" w:color="auto" w:sz="4" w:space="0"/>
            </w:tcBorders>
            <w:vAlign w:val="center"/>
          </w:tcPr>
          <w:p>
            <w:pPr>
              <w:jc w:val="center"/>
              <w:rPr>
                <w:rFonts w:hint="eastAsia" w:ascii="宋体" w:hAnsi="宋体" w:eastAsia="宋体" w:cs="宋体"/>
                <w:color w:val="000000"/>
                <w:kern w:val="0"/>
                <w:sz w:val="21"/>
                <w:szCs w:val="21"/>
              </w:rPr>
            </w:pPr>
            <w:r>
              <w:rPr>
                <w:rFonts w:hint="eastAsia" w:ascii="宋体" w:hAnsi="宋体" w:eastAsia="宋体" w:cs="宋体"/>
                <w:b/>
                <w:bCs/>
                <w:color w:val="000000"/>
                <w:sz w:val="21"/>
                <w:szCs w:val="21"/>
              </w:rPr>
              <w:t>123</w:t>
            </w:r>
          </w:p>
        </w:tc>
        <w:tc>
          <w:tcPr>
            <w:tcW w:w="483" w:type="pct"/>
            <w:vMerge w:val="restart"/>
            <w:tcBorders>
              <w:left w:val="single" w:color="auto" w:sz="4" w:space="0"/>
              <w:right w:val="single" w:color="auto" w:sz="4" w:space="0"/>
            </w:tcBorders>
            <w:vAlign w:val="center"/>
          </w:tcPr>
          <w:p>
            <w:pPr>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四</w:t>
            </w:r>
          </w:p>
        </w:tc>
        <w:tc>
          <w:tcPr>
            <w:tcW w:w="507" w:type="pct"/>
            <w:vMerge w:val="restart"/>
            <w:tcBorders>
              <w:left w:val="single" w:color="auto" w:sz="4" w:space="0"/>
              <w:right w:val="single" w:color="auto" w:sz="4" w:space="0"/>
            </w:tcBorders>
            <w:vAlign w:val="center"/>
          </w:tcPr>
          <w:p>
            <w:pPr>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其它</w:t>
            </w:r>
          </w:p>
        </w:tc>
        <w:tc>
          <w:tcPr>
            <w:tcW w:w="947" w:type="pct"/>
            <w:gridSpan w:val="2"/>
            <w:tcBorders>
              <w:left w:val="single" w:color="auto" w:sz="4" w:space="0"/>
              <w:right w:val="single" w:color="auto" w:sz="4" w:space="0"/>
            </w:tcBorders>
            <w:vAlign w:val="center"/>
          </w:tcPr>
          <w:p>
            <w:pPr>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场景接入</w:t>
            </w:r>
          </w:p>
        </w:tc>
        <w:tc>
          <w:tcPr>
            <w:tcW w:w="2770" w:type="pct"/>
            <w:gridSpan w:val="3"/>
            <w:tcBorders>
              <w:left w:val="single" w:color="auto" w:sz="4" w:space="0"/>
            </w:tcBorders>
            <w:vAlign w:val="center"/>
          </w:tcPr>
          <w:p>
            <w:pPr>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政法委视频监控、政法委统一地址库（部分）、未来社区、亚组委智能亚运、市建委1369项目及房管局相关CIM应用场景接入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4" w:space="0"/>
          </w:tblBorders>
          <w:tblCellMar>
            <w:top w:w="0" w:type="dxa"/>
            <w:left w:w="108" w:type="dxa"/>
            <w:bottom w:w="0" w:type="dxa"/>
            <w:right w:w="108" w:type="dxa"/>
          </w:tblCellMar>
        </w:tblPrEx>
        <w:trPr>
          <w:trHeight w:val="315" w:hRule="atLeast"/>
          <w:jc w:val="center"/>
        </w:trPr>
        <w:tc>
          <w:tcPr>
            <w:tcW w:w="290" w:type="pct"/>
            <w:tcBorders>
              <w:left w:val="single" w:color="auto" w:sz="4" w:space="0"/>
              <w:right w:val="single" w:color="auto" w:sz="4" w:space="0"/>
            </w:tcBorders>
            <w:vAlign w:val="center"/>
          </w:tcPr>
          <w:p>
            <w:pPr>
              <w:jc w:val="center"/>
              <w:rPr>
                <w:rFonts w:hint="eastAsia" w:ascii="宋体" w:hAnsi="宋体" w:eastAsia="宋体" w:cs="宋体"/>
                <w:color w:val="000000"/>
                <w:kern w:val="0"/>
                <w:sz w:val="21"/>
                <w:szCs w:val="21"/>
              </w:rPr>
            </w:pPr>
            <w:r>
              <w:rPr>
                <w:rFonts w:hint="eastAsia" w:ascii="宋体" w:hAnsi="宋体" w:eastAsia="宋体" w:cs="宋体"/>
                <w:b/>
                <w:bCs/>
                <w:color w:val="000000"/>
                <w:sz w:val="21"/>
                <w:szCs w:val="21"/>
              </w:rPr>
              <w:t>124</w:t>
            </w:r>
          </w:p>
        </w:tc>
        <w:tc>
          <w:tcPr>
            <w:tcW w:w="483" w:type="pct"/>
            <w:vMerge w:val="continue"/>
            <w:tcBorders>
              <w:left w:val="single" w:color="auto" w:sz="4" w:space="0"/>
              <w:right w:val="single" w:color="auto" w:sz="4" w:space="0"/>
            </w:tcBorders>
            <w:vAlign w:val="center"/>
          </w:tcPr>
          <w:p>
            <w:pPr>
              <w:jc w:val="left"/>
              <w:rPr>
                <w:rFonts w:hint="eastAsia" w:ascii="宋体" w:hAnsi="宋体" w:eastAsia="宋体" w:cs="宋体"/>
                <w:color w:val="000000"/>
                <w:kern w:val="0"/>
                <w:sz w:val="21"/>
                <w:szCs w:val="21"/>
              </w:rPr>
            </w:pPr>
          </w:p>
        </w:tc>
        <w:tc>
          <w:tcPr>
            <w:tcW w:w="507" w:type="pct"/>
            <w:vMerge w:val="continue"/>
            <w:tcBorders>
              <w:left w:val="single" w:color="auto" w:sz="4" w:space="0"/>
              <w:right w:val="single" w:color="auto" w:sz="4" w:space="0"/>
            </w:tcBorders>
            <w:vAlign w:val="center"/>
          </w:tcPr>
          <w:p>
            <w:pPr>
              <w:jc w:val="left"/>
              <w:rPr>
                <w:rFonts w:hint="eastAsia" w:ascii="宋体" w:hAnsi="宋体" w:eastAsia="宋体" w:cs="宋体"/>
                <w:color w:val="000000"/>
                <w:kern w:val="0"/>
                <w:sz w:val="21"/>
                <w:szCs w:val="21"/>
              </w:rPr>
            </w:pPr>
          </w:p>
        </w:tc>
        <w:tc>
          <w:tcPr>
            <w:tcW w:w="947" w:type="pct"/>
            <w:gridSpan w:val="2"/>
            <w:vMerge w:val="restart"/>
            <w:tcBorders>
              <w:left w:val="single" w:color="auto" w:sz="4" w:space="0"/>
              <w:right w:val="single" w:color="auto" w:sz="4" w:space="0"/>
            </w:tcBorders>
            <w:vAlign w:val="center"/>
          </w:tcPr>
          <w:p>
            <w:pPr>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测评</w:t>
            </w:r>
          </w:p>
        </w:tc>
        <w:tc>
          <w:tcPr>
            <w:tcW w:w="2770" w:type="pct"/>
            <w:gridSpan w:val="3"/>
            <w:tcBorders>
              <w:left w:val="single" w:color="auto" w:sz="4" w:space="0"/>
            </w:tcBorders>
            <w:vAlign w:val="center"/>
          </w:tcPr>
          <w:p>
            <w:pPr>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三级安全等级保护测评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4" w:space="0"/>
          </w:tblBorders>
          <w:tblCellMar>
            <w:top w:w="0" w:type="dxa"/>
            <w:left w:w="108" w:type="dxa"/>
            <w:bottom w:w="0" w:type="dxa"/>
            <w:right w:w="108" w:type="dxa"/>
          </w:tblCellMar>
        </w:tblPrEx>
        <w:trPr>
          <w:trHeight w:val="315" w:hRule="atLeast"/>
          <w:jc w:val="center"/>
        </w:trPr>
        <w:tc>
          <w:tcPr>
            <w:tcW w:w="290" w:type="pct"/>
            <w:tcBorders>
              <w:left w:val="single" w:color="auto" w:sz="4" w:space="0"/>
              <w:right w:val="single" w:color="auto" w:sz="4" w:space="0"/>
            </w:tcBorders>
            <w:vAlign w:val="center"/>
          </w:tcPr>
          <w:p>
            <w:pPr>
              <w:jc w:val="center"/>
              <w:rPr>
                <w:rFonts w:hint="eastAsia" w:ascii="宋体" w:hAnsi="宋体" w:eastAsia="宋体" w:cs="宋体"/>
                <w:color w:val="000000"/>
                <w:kern w:val="0"/>
                <w:sz w:val="21"/>
                <w:szCs w:val="21"/>
              </w:rPr>
            </w:pPr>
            <w:r>
              <w:rPr>
                <w:rFonts w:hint="eastAsia" w:ascii="宋体" w:hAnsi="宋体" w:eastAsia="宋体" w:cs="宋体"/>
                <w:b/>
                <w:bCs/>
                <w:color w:val="000000"/>
                <w:sz w:val="21"/>
                <w:szCs w:val="21"/>
              </w:rPr>
              <w:t>125</w:t>
            </w:r>
          </w:p>
        </w:tc>
        <w:tc>
          <w:tcPr>
            <w:tcW w:w="483" w:type="pct"/>
            <w:vMerge w:val="continue"/>
            <w:tcBorders>
              <w:left w:val="single" w:color="auto" w:sz="4" w:space="0"/>
              <w:right w:val="single" w:color="auto" w:sz="4" w:space="0"/>
            </w:tcBorders>
            <w:vAlign w:val="center"/>
          </w:tcPr>
          <w:p>
            <w:pPr>
              <w:jc w:val="left"/>
              <w:rPr>
                <w:rFonts w:hint="eastAsia" w:ascii="宋体" w:hAnsi="宋体" w:eastAsia="宋体" w:cs="宋体"/>
                <w:color w:val="000000"/>
                <w:kern w:val="0"/>
                <w:sz w:val="21"/>
                <w:szCs w:val="21"/>
              </w:rPr>
            </w:pPr>
          </w:p>
        </w:tc>
        <w:tc>
          <w:tcPr>
            <w:tcW w:w="507" w:type="pct"/>
            <w:vMerge w:val="continue"/>
            <w:tcBorders>
              <w:left w:val="single" w:color="auto" w:sz="4" w:space="0"/>
              <w:right w:val="single" w:color="auto" w:sz="4" w:space="0"/>
            </w:tcBorders>
            <w:vAlign w:val="center"/>
          </w:tcPr>
          <w:p>
            <w:pPr>
              <w:jc w:val="left"/>
              <w:rPr>
                <w:rFonts w:hint="eastAsia" w:ascii="宋体" w:hAnsi="宋体" w:eastAsia="宋体" w:cs="宋体"/>
                <w:color w:val="000000"/>
                <w:kern w:val="0"/>
                <w:sz w:val="21"/>
                <w:szCs w:val="21"/>
              </w:rPr>
            </w:pPr>
          </w:p>
        </w:tc>
        <w:tc>
          <w:tcPr>
            <w:tcW w:w="947" w:type="pct"/>
            <w:gridSpan w:val="2"/>
            <w:vMerge w:val="continue"/>
            <w:tcBorders>
              <w:left w:val="single" w:color="auto" w:sz="4" w:space="0"/>
              <w:right w:val="single" w:color="auto" w:sz="4" w:space="0"/>
            </w:tcBorders>
            <w:vAlign w:val="center"/>
          </w:tcPr>
          <w:p>
            <w:pPr>
              <w:jc w:val="left"/>
              <w:rPr>
                <w:rFonts w:hint="eastAsia" w:ascii="宋体" w:hAnsi="宋体" w:eastAsia="宋体" w:cs="宋体"/>
                <w:color w:val="000000"/>
                <w:kern w:val="0"/>
                <w:sz w:val="21"/>
                <w:szCs w:val="21"/>
              </w:rPr>
            </w:pPr>
          </w:p>
        </w:tc>
        <w:tc>
          <w:tcPr>
            <w:tcW w:w="2770" w:type="pct"/>
            <w:gridSpan w:val="3"/>
            <w:tcBorders>
              <w:left w:val="single" w:color="auto" w:sz="4" w:space="0"/>
            </w:tcBorders>
            <w:vAlign w:val="center"/>
          </w:tcPr>
          <w:p>
            <w:pPr>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第三方软件测评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4" w:space="0"/>
          </w:tblBorders>
          <w:tblCellMar>
            <w:top w:w="0" w:type="dxa"/>
            <w:left w:w="108" w:type="dxa"/>
            <w:bottom w:w="0" w:type="dxa"/>
            <w:right w:w="108" w:type="dxa"/>
          </w:tblCellMar>
        </w:tblPrEx>
        <w:trPr>
          <w:trHeight w:val="389" w:hRule="atLeast"/>
          <w:jc w:val="center"/>
        </w:trPr>
        <w:tc>
          <w:tcPr>
            <w:tcW w:w="290" w:type="pct"/>
            <w:tcBorders>
              <w:left w:val="single" w:color="auto" w:sz="4" w:space="0"/>
              <w:right w:val="single" w:color="auto" w:sz="4" w:space="0"/>
            </w:tcBorders>
            <w:vAlign w:val="center"/>
          </w:tcPr>
          <w:p>
            <w:pPr>
              <w:jc w:val="center"/>
              <w:rPr>
                <w:rFonts w:hint="eastAsia" w:ascii="宋体" w:hAnsi="宋体" w:eastAsia="宋体" w:cs="宋体"/>
                <w:color w:val="000000"/>
                <w:kern w:val="0"/>
                <w:sz w:val="21"/>
                <w:szCs w:val="21"/>
              </w:rPr>
            </w:pPr>
            <w:r>
              <w:rPr>
                <w:rFonts w:hint="eastAsia" w:ascii="宋体" w:hAnsi="宋体" w:eastAsia="宋体" w:cs="宋体"/>
                <w:b/>
                <w:bCs/>
                <w:color w:val="000000"/>
                <w:sz w:val="21"/>
                <w:szCs w:val="21"/>
              </w:rPr>
              <w:t>126</w:t>
            </w:r>
          </w:p>
        </w:tc>
        <w:tc>
          <w:tcPr>
            <w:tcW w:w="483" w:type="pct"/>
            <w:vMerge w:val="continue"/>
            <w:tcBorders>
              <w:left w:val="single" w:color="auto" w:sz="4" w:space="0"/>
              <w:right w:val="single" w:color="auto" w:sz="4" w:space="0"/>
            </w:tcBorders>
            <w:vAlign w:val="center"/>
          </w:tcPr>
          <w:p>
            <w:pPr>
              <w:jc w:val="left"/>
              <w:rPr>
                <w:rFonts w:hint="eastAsia" w:ascii="宋体" w:hAnsi="宋体" w:eastAsia="宋体" w:cs="宋体"/>
                <w:color w:val="000000"/>
                <w:kern w:val="0"/>
                <w:sz w:val="21"/>
                <w:szCs w:val="21"/>
              </w:rPr>
            </w:pPr>
          </w:p>
        </w:tc>
        <w:tc>
          <w:tcPr>
            <w:tcW w:w="507" w:type="pct"/>
            <w:vMerge w:val="continue"/>
            <w:tcBorders>
              <w:left w:val="single" w:color="auto" w:sz="4" w:space="0"/>
              <w:right w:val="single" w:color="auto" w:sz="4" w:space="0"/>
            </w:tcBorders>
            <w:vAlign w:val="center"/>
          </w:tcPr>
          <w:p>
            <w:pPr>
              <w:jc w:val="left"/>
              <w:rPr>
                <w:rFonts w:hint="eastAsia" w:ascii="宋体" w:hAnsi="宋体" w:eastAsia="宋体" w:cs="宋体"/>
                <w:color w:val="000000"/>
                <w:kern w:val="0"/>
                <w:sz w:val="21"/>
                <w:szCs w:val="21"/>
              </w:rPr>
            </w:pPr>
          </w:p>
        </w:tc>
        <w:tc>
          <w:tcPr>
            <w:tcW w:w="947" w:type="pct"/>
            <w:gridSpan w:val="2"/>
            <w:vMerge w:val="restart"/>
            <w:tcBorders>
              <w:left w:val="single" w:color="auto" w:sz="4" w:space="0"/>
            </w:tcBorders>
            <w:vAlign w:val="center"/>
          </w:tcPr>
          <w:p>
            <w:pPr>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系统及数据安全防护</w:t>
            </w:r>
          </w:p>
        </w:tc>
        <w:tc>
          <w:tcPr>
            <w:tcW w:w="2770" w:type="pct"/>
            <w:gridSpan w:val="3"/>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入侵防御系统（IPS）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4" w:space="0"/>
          </w:tblBorders>
          <w:tblCellMar>
            <w:top w:w="0" w:type="dxa"/>
            <w:left w:w="108" w:type="dxa"/>
            <w:bottom w:w="0" w:type="dxa"/>
            <w:right w:w="108" w:type="dxa"/>
          </w:tblCellMar>
        </w:tblPrEx>
        <w:trPr>
          <w:trHeight w:val="315" w:hRule="atLeast"/>
          <w:jc w:val="center"/>
        </w:trPr>
        <w:tc>
          <w:tcPr>
            <w:tcW w:w="290" w:type="pct"/>
            <w:tcBorders>
              <w:left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b/>
                <w:bCs/>
                <w:color w:val="000000"/>
                <w:sz w:val="21"/>
                <w:szCs w:val="21"/>
              </w:rPr>
              <w:t>127</w:t>
            </w:r>
          </w:p>
        </w:tc>
        <w:tc>
          <w:tcPr>
            <w:tcW w:w="483" w:type="pct"/>
            <w:vMerge w:val="continue"/>
            <w:tcBorders>
              <w:left w:val="single" w:color="auto" w:sz="4" w:space="0"/>
              <w:right w:val="single" w:color="auto" w:sz="4" w:space="0"/>
            </w:tcBorders>
            <w:vAlign w:val="center"/>
          </w:tcPr>
          <w:p>
            <w:pPr>
              <w:widowControl/>
              <w:jc w:val="left"/>
              <w:rPr>
                <w:rFonts w:hint="eastAsia" w:ascii="宋体" w:hAnsi="宋体" w:eastAsia="宋体" w:cs="宋体"/>
                <w:color w:val="000000"/>
                <w:kern w:val="0"/>
                <w:sz w:val="21"/>
                <w:szCs w:val="21"/>
              </w:rPr>
            </w:pPr>
          </w:p>
        </w:tc>
        <w:tc>
          <w:tcPr>
            <w:tcW w:w="507" w:type="pct"/>
            <w:vMerge w:val="continue"/>
            <w:tcBorders>
              <w:left w:val="single" w:color="auto" w:sz="4" w:space="0"/>
              <w:right w:val="single" w:color="auto" w:sz="4" w:space="0"/>
            </w:tcBorders>
            <w:vAlign w:val="center"/>
          </w:tcPr>
          <w:p>
            <w:pPr>
              <w:widowControl/>
              <w:jc w:val="left"/>
              <w:rPr>
                <w:rFonts w:hint="eastAsia" w:ascii="宋体" w:hAnsi="宋体" w:eastAsia="宋体" w:cs="宋体"/>
                <w:color w:val="000000"/>
                <w:kern w:val="0"/>
                <w:sz w:val="21"/>
                <w:szCs w:val="21"/>
              </w:rPr>
            </w:pPr>
          </w:p>
        </w:tc>
        <w:tc>
          <w:tcPr>
            <w:tcW w:w="947" w:type="pct"/>
            <w:gridSpan w:val="2"/>
            <w:vMerge w:val="continue"/>
            <w:tcBorders>
              <w:left w:val="single" w:color="auto" w:sz="4" w:space="0"/>
            </w:tcBorders>
            <w:vAlign w:val="center"/>
          </w:tcPr>
          <w:p>
            <w:pPr>
              <w:widowControl/>
              <w:jc w:val="left"/>
              <w:rPr>
                <w:rFonts w:hint="eastAsia" w:ascii="宋体" w:hAnsi="宋体" w:eastAsia="宋体" w:cs="宋体"/>
                <w:color w:val="000000"/>
                <w:kern w:val="0"/>
                <w:sz w:val="21"/>
                <w:szCs w:val="21"/>
              </w:rPr>
            </w:pPr>
          </w:p>
        </w:tc>
        <w:tc>
          <w:tcPr>
            <w:tcW w:w="2770" w:type="pct"/>
            <w:gridSpan w:val="3"/>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数据库审计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4" w:space="0"/>
          </w:tblBorders>
          <w:tblCellMar>
            <w:top w:w="0" w:type="dxa"/>
            <w:left w:w="108" w:type="dxa"/>
            <w:bottom w:w="0" w:type="dxa"/>
            <w:right w:w="108" w:type="dxa"/>
          </w:tblCellMar>
        </w:tblPrEx>
        <w:trPr>
          <w:trHeight w:val="315" w:hRule="atLeast"/>
          <w:jc w:val="center"/>
        </w:trPr>
        <w:tc>
          <w:tcPr>
            <w:tcW w:w="290" w:type="pct"/>
            <w:tcBorders>
              <w:left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b/>
                <w:bCs/>
                <w:color w:val="000000"/>
                <w:sz w:val="21"/>
                <w:szCs w:val="21"/>
              </w:rPr>
              <w:t>128</w:t>
            </w:r>
          </w:p>
        </w:tc>
        <w:tc>
          <w:tcPr>
            <w:tcW w:w="483" w:type="pct"/>
            <w:vMerge w:val="continue"/>
            <w:tcBorders>
              <w:left w:val="single" w:color="auto" w:sz="4" w:space="0"/>
              <w:right w:val="single" w:color="auto" w:sz="4" w:space="0"/>
            </w:tcBorders>
            <w:vAlign w:val="center"/>
          </w:tcPr>
          <w:p>
            <w:pPr>
              <w:widowControl/>
              <w:jc w:val="left"/>
              <w:rPr>
                <w:rFonts w:hint="eastAsia" w:ascii="宋体" w:hAnsi="宋体" w:eastAsia="宋体" w:cs="宋体"/>
                <w:color w:val="000000"/>
                <w:kern w:val="0"/>
                <w:sz w:val="21"/>
                <w:szCs w:val="21"/>
              </w:rPr>
            </w:pPr>
          </w:p>
        </w:tc>
        <w:tc>
          <w:tcPr>
            <w:tcW w:w="507" w:type="pct"/>
            <w:vMerge w:val="continue"/>
            <w:tcBorders>
              <w:left w:val="single" w:color="auto" w:sz="4" w:space="0"/>
              <w:right w:val="single" w:color="auto" w:sz="4" w:space="0"/>
            </w:tcBorders>
            <w:vAlign w:val="center"/>
          </w:tcPr>
          <w:p>
            <w:pPr>
              <w:widowControl/>
              <w:jc w:val="left"/>
              <w:rPr>
                <w:rFonts w:hint="eastAsia" w:ascii="宋体" w:hAnsi="宋体" w:eastAsia="宋体" w:cs="宋体"/>
                <w:color w:val="000000"/>
                <w:kern w:val="0"/>
                <w:sz w:val="21"/>
                <w:szCs w:val="21"/>
              </w:rPr>
            </w:pPr>
          </w:p>
        </w:tc>
        <w:tc>
          <w:tcPr>
            <w:tcW w:w="947" w:type="pct"/>
            <w:gridSpan w:val="2"/>
            <w:vMerge w:val="continue"/>
            <w:tcBorders>
              <w:left w:val="single" w:color="auto" w:sz="4" w:space="0"/>
            </w:tcBorders>
            <w:vAlign w:val="center"/>
          </w:tcPr>
          <w:p>
            <w:pPr>
              <w:widowControl/>
              <w:jc w:val="left"/>
              <w:rPr>
                <w:rFonts w:hint="eastAsia" w:ascii="宋体" w:hAnsi="宋体" w:eastAsia="宋体" w:cs="宋体"/>
                <w:color w:val="000000"/>
                <w:kern w:val="0"/>
                <w:sz w:val="21"/>
                <w:szCs w:val="21"/>
              </w:rPr>
            </w:pPr>
          </w:p>
        </w:tc>
        <w:tc>
          <w:tcPr>
            <w:tcW w:w="2770" w:type="pct"/>
            <w:gridSpan w:val="3"/>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签名服务器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4" w:space="0"/>
          </w:tblBorders>
          <w:tblCellMar>
            <w:top w:w="0" w:type="dxa"/>
            <w:left w:w="108" w:type="dxa"/>
            <w:bottom w:w="0" w:type="dxa"/>
            <w:right w:w="108" w:type="dxa"/>
          </w:tblCellMar>
        </w:tblPrEx>
        <w:trPr>
          <w:trHeight w:val="315" w:hRule="atLeast"/>
          <w:jc w:val="center"/>
        </w:trPr>
        <w:tc>
          <w:tcPr>
            <w:tcW w:w="290" w:type="pct"/>
            <w:tcBorders>
              <w:left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b/>
                <w:bCs/>
                <w:color w:val="000000"/>
                <w:sz w:val="21"/>
                <w:szCs w:val="21"/>
              </w:rPr>
              <w:t>129</w:t>
            </w:r>
          </w:p>
        </w:tc>
        <w:tc>
          <w:tcPr>
            <w:tcW w:w="483" w:type="pct"/>
            <w:vMerge w:val="continue"/>
            <w:tcBorders>
              <w:left w:val="single" w:color="auto" w:sz="4" w:space="0"/>
              <w:right w:val="single" w:color="auto" w:sz="4" w:space="0"/>
            </w:tcBorders>
            <w:vAlign w:val="center"/>
          </w:tcPr>
          <w:p>
            <w:pPr>
              <w:widowControl/>
              <w:jc w:val="left"/>
              <w:rPr>
                <w:rFonts w:hint="eastAsia" w:ascii="宋体" w:hAnsi="宋体" w:eastAsia="宋体" w:cs="宋体"/>
                <w:color w:val="000000"/>
                <w:kern w:val="0"/>
                <w:sz w:val="21"/>
                <w:szCs w:val="21"/>
              </w:rPr>
            </w:pPr>
          </w:p>
        </w:tc>
        <w:tc>
          <w:tcPr>
            <w:tcW w:w="507" w:type="pct"/>
            <w:vMerge w:val="continue"/>
            <w:tcBorders>
              <w:left w:val="single" w:color="auto" w:sz="4" w:space="0"/>
              <w:right w:val="single" w:color="auto" w:sz="4" w:space="0"/>
            </w:tcBorders>
            <w:vAlign w:val="center"/>
          </w:tcPr>
          <w:p>
            <w:pPr>
              <w:widowControl/>
              <w:jc w:val="left"/>
              <w:rPr>
                <w:rFonts w:hint="eastAsia" w:ascii="宋体" w:hAnsi="宋体" w:eastAsia="宋体" w:cs="宋体"/>
                <w:color w:val="000000"/>
                <w:kern w:val="0"/>
                <w:sz w:val="21"/>
                <w:szCs w:val="21"/>
              </w:rPr>
            </w:pPr>
          </w:p>
        </w:tc>
        <w:tc>
          <w:tcPr>
            <w:tcW w:w="947" w:type="pct"/>
            <w:gridSpan w:val="2"/>
            <w:vMerge w:val="continue"/>
            <w:tcBorders>
              <w:left w:val="single" w:color="auto" w:sz="4" w:space="0"/>
            </w:tcBorders>
            <w:vAlign w:val="center"/>
          </w:tcPr>
          <w:p>
            <w:pPr>
              <w:widowControl/>
              <w:jc w:val="left"/>
              <w:rPr>
                <w:rFonts w:hint="eastAsia" w:ascii="宋体" w:hAnsi="宋体" w:eastAsia="宋体" w:cs="宋体"/>
                <w:color w:val="000000"/>
                <w:kern w:val="0"/>
                <w:sz w:val="21"/>
                <w:szCs w:val="21"/>
              </w:rPr>
            </w:pPr>
          </w:p>
        </w:tc>
        <w:tc>
          <w:tcPr>
            <w:tcW w:w="2770" w:type="pct"/>
            <w:gridSpan w:val="3"/>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SSL网关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4" w:space="0"/>
          </w:tblBorders>
          <w:tblCellMar>
            <w:top w:w="0" w:type="dxa"/>
            <w:left w:w="108" w:type="dxa"/>
            <w:bottom w:w="0" w:type="dxa"/>
            <w:right w:w="108" w:type="dxa"/>
          </w:tblCellMar>
        </w:tblPrEx>
        <w:trPr>
          <w:trHeight w:val="315" w:hRule="atLeast"/>
          <w:jc w:val="center"/>
        </w:trPr>
        <w:tc>
          <w:tcPr>
            <w:tcW w:w="290" w:type="pct"/>
            <w:tcBorders>
              <w:left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b/>
                <w:bCs/>
                <w:color w:val="000000"/>
                <w:sz w:val="21"/>
                <w:szCs w:val="21"/>
              </w:rPr>
              <w:t>130</w:t>
            </w:r>
          </w:p>
        </w:tc>
        <w:tc>
          <w:tcPr>
            <w:tcW w:w="483" w:type="pct"/>
            <w:vMerge w:val="continue"/>
            <w:tcBorders>
              <w:left w:val="single" w:color="auto" w:sz="4" w:space="0"/>
              <w:right w:val="single" w:color="auto" w:sz="4" w:space="0"/>
            </w:tcBorders>
            <w:vAlign w:val="center"/>
          </w:tcPr>
          <w:p>
            <w:pPr>
              <w:widowControl/>
              <w:jc w:val="left"/>
              <w:rPr>
                <w:rFonts w:hint="eastAsia" w:ascii="宋体" w:hAnsi="宋体" w:eastAsia="宋体" w:cs="宋体"/>
                <w:color w:val="000000"/>
                <w:kern w:val="0"/>
                <w:sz w:val="21"/>
                <w:szCs w:val="21"/>
              </w:rPr>
            </w:pPr>
          </w:p>
        </w:tc>
        <w:tc>
          <w:tcPr>
            <w:tcW w:w="507" w:type="pct"/>
            <w:vMerge w:val="continue"/>
            <w:tcBorders>
              <w:left w:val="single" w:color="auto" w:sz="4" w:space="0"/>
              <w:right w:val="single" w:color="auto" w:sz="4" w:space="0"/>
            </w:tcBorders>
            <w:vAlign w:val="center"/>
          </w:tcPr>
          <w:p>
            <w:pPr>
              <w:widowControl/>
              <w:jc w:val="left"/>
              <w:rPr>
                <w:rFonts w:hint="eastAsia" w:ascii="宋体" w:hAnsi="宋体" w:eastAsia="宋体" w:cs="宋体"/>
                <w:color w:val="000000"/>
                <w:kern w:val="0"/>
                <w:sz w:val="21"/>
                <w:szCs w:val="21"/>
              </w:rPr>
            </w:pPr>
          </w:p>
        </w:tc>
        <w:tc>
          <w:tcPr>
            <w:tcW w:w="947" w:type="pct"/>
            <w:gridSpan w:val="2"/>
            <w:vMerge w:val="continue"/>
            <w:tcBorders>
              <w:left w:val="single" w:color="auto" w:sz="4" w:space="0"/>
            </w:tcBorders>
            <w:vAlign w:val="center"/>
          </w:tcPr>
          <w:p>
            <w:pPr>
              <w:widowControl/>
              <w:jc w:val="left"/>
              <w:rPr>
                <w:rFonts w:hint="eastAsia" w:ascii="宋体" w:hAnsi="宋体" w:eastAsia="宋体" w:cs="宋体"/>
                <w:color w:val="000000"/>
                <w:kern w:val="0"/>
                <w:sz w:val="21"/>
                <w:szCs w:val="21"/>
              </w:rPr>
            </w:pPr>
          </w:p>
        </w:tc>
        <w:tc>
          <w:tcPr>
            <w:tcW w:w="2770" w:type="pct"/>
            <w:gridSpan w:val="3"/>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数据分类定级管理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4" w:space="0"/>
          </w:tblBorders>
          <w:tblCellMar>
            <w:top w:w="0" w:type="dxa"/>
            <w:left w:w="108" w:type="dxa"/>
            <w:bottom w:w="0" w:type="dxa"/>
            <w:right w:w="108" w:type="dxa"/>
          </w:tblCellMar>
        </w:tblPrEx>
        <w:trPr>
          <w:trHeight w:val="315" w:hRule="atLeast"/>
          <w:jc w:val="center"/>
        </w:trPr>
        <w:tc>
          <w:tcPr>
            <w:tcW w:w="290" w:type="pct"/>
            <w:tcBorders>
              <w:left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b/>
                <w:bCs/>
                <w:color w:val="000000"/>
                <w:sz w:val="21"/>
                <w:szCs w:val="21"/>
              </w:rPr>
              <w:t>131</w:t>
            </w:r>
          </w:p>
        </w:tc>
        <w:tc>
          <w:tcPr>
            <w:tcW w:w="483" w:type="pct"/>
            <w:vMerge w:val="continue"/>
            <w:tcBorders>
              <w:left w:val="single" w:color="auto" w:sz="4" w:space="0"/>
              <w:right w:val="single" w:color="auto" w:sz="4" w:space="0"/>
            </w:tcBorders>
            <w:vAlign w:val="center"/>
          </w:tcPr>
          <w:p>
            <w:pPr>
              <w:widowControl/>
              <w:jc w:val="left"/>
              <w:rPr>
                <w:rFonts w:hint="eastAsia" w:ascii="宋体" w:hAnsi="宋体" w:eastAsia="宋体" w:cs="宋体"/>
                <w:color w:val="000000"/>
                <w:kern w:val="0"/>
                <w:sz w:val="21"/>
                <w:szCs w:val="21"/>
              </w:rPr>
            </w:pPr>
          </w:p>
        </w:tc>
        <w:tc>
          <w:tcPr>
            <w:tcW w:w="507" w:type="pct"/>
            <w:vMerge w:val="continue"/>
            <w:tcBorders>
              <w:left w:val="single" w:color="auto" w:sz="4" w:space="0"/>
              <w:right w:val="single" w:color="auto" w:sz="4" w:space="0"/>
            </w:tcBorders>
            <w:vAlign w:val="center"/>
          </w:tcPr>
          <w:p>
            <w:pPr>
              <w:widowControl/>
              <w:jc w:val="left"/>
              <w:rPr>
                <w:rFonts w:hint="eastAsia" w:ascii="宋体" w:hAnsi="宋体" w:eastAsia="宋体" w:cs="宋体"/>
                <w:color w:val="000000"/>
                <w:kern w:val="0"/>
                <w:sz w:val="21"/>
                <w:szCs w:val="21"/>
              </w:rPr>
            </w:pPr>
          </w:p>
        </w:tc>
        <w:tc>
          <w:tcPr>
            <w:tcW w:w="947" w:type="pct"/>
            <w:gridSpan w:val="2"/>
            <w:vMerge w:val="continue"/>
            <w:tcBorders>
              <w:left w:val="single" w:color="auto" w:sz="4" w:space="0"/>
            </w:tcBorders>
            <w:vAlign w:val="center"/>
          </w:tcPr>
          <w:p>
            <w:pPr>
              <w:widowControl/>
              <w:jc w:val="left"/>
              <w:rPr>
                <w:rFonts w:hint="eastAsia" w:ascii="宋体" w:hAnsi="宋体" w:eastAsia="宋体" w:cs="宋体"/>
                <w:color w:val="000000"/>
                <w:kern w:val="0"/>
                <w:sz w:val="21"/>
                <w:szCs w:val="21"/>
              </w:rPr>
            </w:pPr>
          </w:p>
        </w:tc>
        <w:tc>
          <w:tcPr>
            <w:tcW w:w="2770" w:type="pct"/>
            <w:gridSpan w:val="3"/>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数据脱敏处理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4" w:space="0"/>
          </w:tblBorders>
          <w:tblCellMar>
            <w:top w:w="0" w:type="dxa"/>
            <w:left w:w="108" w:type="dxa"/>
            <w:bottom w:w="0" w:type="dxa"/>
            <w:right w:w="108" w:type="dxa"/>
          </w:tblCellMar>
        </w:tblPrEx>
        <w:trPr>
          <w:trHeight w:val="315" w:hRule="atLeast"/>
          <w:jc w:val="center"/>
        </w:trPr>
        <w:tc>
          <w:tcPr>
            <w:tcW w:w="290" w:type="pct"/>
            <w:tcBorders>
              <w:left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b/>
                <w:bCs/>
                <w:color w:val="000000"/>
                <w:sz w:val="21"/>
                <w:szCs w:val="21"/>
              </w:rPr>
              <w:t>132</w:t>
            </w:r>
          </w:p>
        </w:tc>
        <w:tc>
          <w:tcPr>
            <w:tcW w:w="483" w:type="pct"/>
            <w:vMerge w:val="continue"/>
            <w:tcBorders>
              <w:left w:val="single" w:color="auto" w:sz="4" w:space="0"/>
              <w:right w:val="single" w:color="auto" w:sz="4" w:space="0"/>
            </w:tcBorders>
            <w:vAlign w:val="center"/>
          </w:tcPr>
          <w:p>
            <w:pPr>
              <w:widowControl/>
              <w:jc w:val="left"/>
              <w:rPr>
                <w:rFonts w:hint="eastAsia" w:ascii="宋体" w:hAnsi="宋体" w:eastAsia="宋体" w:cs="宋体"/>
                <w:color w:val="000000"/>
                <w:kern w:val="0"/>
                <w:sz w:val="21"/>
                <w:szCs w:val="21"/>
              </w:rPr>
            </w:pPr>
          </w:p>
        </w:tc>
        <w:tc>
          <w:tcPr>
            <w:tcW w:w="507" w:type="pct"/>
            <w:vMerge w:val="continue"/>
            <w:tcBorders>
              <w:left w:val="single" w:color="auto" w:sz="4" w:space="0"/>
              <w:right w:val="single" w:color="auto" w:sz="4" w:space="0"/>
            </w:tcBorders>
            <w:vAlign w:val="center"/>
          </w:tcPr>
          <w:p>
            <w:pPr>
              <w:widowControl/>
              <w:jc w:val="left"/>
              <w:rPr>
                <w:rFonts w:hint="eastAsia" w:ascii="宋体" w:hAnsi="宋体" w:eastAsia="宋体" w:cs="宋体"/>
                <w:color w:val="000000"/>
                <w:kern w:val="0"/>
                <w:sz w:val="21"/>
                <w:szCs w:val="21"/>
              </w:rPr>
            </w:pPr>
          </w:p>
        </w:tc>
        <w:tc>
          <w:tcPr>
            <w:tcW w:w="947" w:type="pct"/>
            <w:gridSpan w:val="2"/>
            <w:vMerge w:val="continue"/>
            <w:tcBorders>
              <w:left w:val="single" w:color="auto" w:sz="4" w:space="0"/>
            </w:tcBorders>
            <w:vAlign w:val="center"/>
          </w:tcPr>
          <w:p>
            <w:pPr>
              <w:widowControl/>
              <w:jc w:val="left"/>
              <w:rPr>
                <w:rFonts w:hint="eastAsia" w:ascii="宋体" w:hAnsi="宋体" w:eastAsia="宋体" w:cs="宋体"/>
                <w:color w:val="000000"/>
                <w:kern w:val="0"/>
                <w:sz w:val="21"/>
                <w:szCs w:val="21"/>
              </w:rPr>
            </w:pPr>
          </w:p>
        </w:tc>
        <w:tc>
          <w:tcPr>
            <w:tcW w:w="2770" w:type="pct"/>
            <w:gridSpan w:val="3"/>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用户权限管理及身份认证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4" w:space="0"/>
          </w:tblBorders>
          <w:tblCellMar>
            <w:top w:w="0" w:type="dxa"/>
            <w:left w:w="108" w:type="dxa"/>
            <w:bottom w:w="0" w:type="dxa"/>
            <w:right w:w="108" w:type="dxa"/>
          </w:tblCellMar>
        </w:tblPrEx>
        <w:trPr>
          <w:trHeight w:val="315" w:hRule="atLeast"/>
          <w:jc w:val="center"/>
        </w:trPr>
        <w:tc>
          <w:tcPr>
            <w:tcW w:w="290" w:type="pct"/>
            <w:tcBorders>
              <w:left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b/>
                <w:bCs/>
                <w:color w:val="000000"/>
                <w:sz w:val="21"/>
                <w:szCs w:val="21"/>
              </w:rPr>
              <w:t>133</w:t>
            </w:r>
          </w:p>
        </w:tc>
        <w:tc>
          <w:tcPr>
            <w:tcW w:w="483" w:type="pct"/>
            <w:vMerge w:val="continue"/>
            <w:tcBorders>
              <w:left w:val="single" w:color="auto" w:sz="4" w:space="0"/>
              <w:right w:val="single" w:color="auto" w:sz="4" w:space="0"/>
            </w:tcBorders>
            <w:vAlign w:val="center"/>
          </w:tcPr>
          <w:p>
            <w:pPr>
              <w:widowControl/>
              <w:jc w:val="left"/>
              <w:rPr>
                <w:rFonts w:hint="eastAsia" w:ascii="宋体" w:hAnsi="宋体" w:eastAsia="宋体" w:cs="宋体"/>
                <w:color w:val="000000"/>
                <w:kern w:val="0"/>
                <w:sz w:val="21"/>
                <w:szCs w:val="21"/>
              </w:rPr>
            </w:pPr>
          </w:p>
        </w:tc>
        <w:tc>
          <w:tcPr>
            <w:tcW w:w="507" w:type="pct"/>
            <w:vMerge w:val="continue"/>
            <w:tcBorders>
              <w:left w:val="single" w:color="auto" w:sz="4" w:space="0"/>
              <w:right w:val="single" w:color="auto" w:sz="4" w:space="0"/>
            </w:tcBorders>
            <w:vAlign w:val="center"/>
          </w:tcPr>
          <w:p>
            <w:pPr>
              <w:widowControl/>
              <w:jc w:val="left"/>
              <w:rPr>
                <w:rFonts w:hint="eastAsia" w:ascii="宋体" w:hAnsi="宋体" w:eastAsia="宋体" w:cs="宋体"/>
                <w:color w:val="000000"/>
                <w:kern w:val="0"/>
                <w:sz w:val="21"/>
                <w:szCs w:val="21"/>
              </w:rPr>
            </w:pPr>
          </w:p>
        </w:tc>
        <w:tc>
          <w:tcPr>
            <w:tcW w:w="947" w:type="pct"/>
            <w:gridSpan w:val="2"/>
            <w:vMerge w:val="continue"/>
            <w:tcBorders>
              <w:left w:val="single" w:color="auto" w:sz="4" w:space="0"/>
            </w:tcBorders>
            <w:vAlign w:val="center"/>
          </w:tcPr>
          <w:p>
            <w:pPr>
              <w:widowControl/>
              <w:jc w:val="left"/>
              <w:rPr>
                <w:rFonts w:hint="eastAsia" w:ascii="宋体" w:hAnsi="宋体" w:eastAsia="宋体" w:cs="宋体"/>
                <w:color w:val="000000"/>
                <w:kern w:val="0"/>
                <w:sz w:val="21"/>
                <w:szCs w:val="21"/>
              </w:rPr>
            </w:pPr>
          </w:p>
        </w:tc>
        <w:tc>
          <w:tcPr>
            <w:tcW w:w="2770" w:type="pct"/>
            <w:gridSpan w:val="3"/>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渗透测试安全验证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4" w:space="0"/>
          </w:tblBorders>
          <w:tblCellMar>
            <w:top w:w="0" w:type="dxa"/>
            <w:left w:w="108" w:type="dxa"/>
            <w:bottom w:w="0" w:type="dxa"/>
            <w:right w:w="108" w:type="dxa"/>
          </w:tblCellMar>
        </w:tblPrEx>
        <w:trPr>
          <w:trHeight w:val="315" w:hRule="atLeast"/>
          <w:jc w:val="center"/>
        </w:trPr>
        <w:tc>
          <w:tcPr>
            <w:tcW w:w="290" w:type="pct"/>
            <w:tcBorders>
              <w:left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b/>
                <w:bCs/>
                <w:color w:val="000000"/>
                <w:sz w:val="21"/>
                <w:szCs w:val="21"/>
              </w:rPr>
              <w:t>134</w:t>
            </w:r>
          </w:p>
        </w:tc>
        <w:tc>
          <w:tcPr>
            <w:tcW w:w="483" w:type="pct"/>
            <w:vMerge w:val="continue"/>
            <w:tcBorders>
              <w:left w:val="single" w:color="auto" w:sz="4" w:space="0"/>
              <w:right w:val="single" w:color="auto" w:sz="4" w:space="0"/>
            </w:tcBorders>
            <w:vAlign w:val="center"/>
          </w:tcPr>
          <w:p>
            <w:pPr>
              <w:widowControl/>
              <w:jc w:val="left"/>
              <w:rPr>
                <w:rFonts w:hint="eastAsia" w:ascii="宋体" w:hAnsi="宋体" w:eastAsia="宋体" w:cs="宋体"/>
                <w:color w:val="000000"/>
                <w:kern w:val="0"/>
                <w:sz w:val="21"/>
                <w:szCs w:val="21"/>
              </w:rPr>
            </w:pPr>
          </w:p>
        </w:tc>
        <w:tc>
          <w:tcPr>
            <w:tcW w:w="507" w:type="pct"/>
            <w:vMerge w:val="continue"/>
            <w:tcBorders>
              <w:left w:val="single" w:color="auto" w:sz="4" w:space="0"/>
              <w:right w:val="single" w:color="auto" w:sz="4" w:space="0"/>
            </w:tcBorders>
            <w:vAlign w:val="center"/>
          </w:tcPr>
          <w:p>
            <w:pPr>
              <w:widowControl/>
              <w:jc w:val="left"/>
              <w:rPr>
                <w:rFonts w:hint="eastAsia" w:ascii="宋体" w:hAnsi="宋体" w:eastAsia="宋体" w:cs="宋体"/>
                <w:color w:val="000000"/>
                <w:kern w:val="0"/>
                <w:sz w:val="21"/>
                <w:szCs w:val="21"/>
              </w:rPr>
            </w:pPr>
          </w:p>
        </w:tc>
        <w:tc>
          <w:tcPr>
            <w:tcW w:w="947" w:type="pct"/>
            <w:gridSpan w:val="2"/>
            <w:vMerge w:val="continue"/>
            <w:tcBorders>
              <w:left w:val="single" w:color="auto" w:sz="4" w:space="0"/>
            </w:tcBorders>
            <w:vAlign w:val="center"/>
          </w:tcPr>
          <w:p>
            <w:pPr>
              <w:widowControl/>
              <w:jc w:val="left"/>
              <w:rPr>
                <w:rFonts w:hint="eastAsia" w:ascii="宋体" w:hAnsi="宋体" w:eastAsia="宋体" w:cs="宋体"/>
                <w:color w:val="000000"/>
                <w:kern w:val="0"/>
                <w:sz w:val="21"/>
                <w:szCs w:val="21"/>
              </w:rPr>
            </w:pPr>
          </w:p>
        </w:tc>
        <w:tc>
          <w:tcPr>
            <w:tcW w:w="2770" w:type="pct"/>
            <w:gridSpan w:val="3"/>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密码安全管理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4" w:space="0"/>
          </w:tblBorders>
          <w:tblCellMar>
            <w:top w:w="0" w:type="dxa"/>
            <w:left w:w="108" w:type="dxa"/>
            <w:bottom w:w="0" w:type="dxa"/>
            <w:right w:w="108" w:type="dxa"/>
          </w:tblCellMar>
        </w:tblPrEx>
        <w:trPr>
          <w:trHeight w:val="315" w:hRule="atLeast"/>
          <w:jc w:val="center"/>
        </w:trPr>
        <w:tc>
          <w:tcPr>
            <w:tcW w:w="290" w:type="pct"/>
            <w:tcBorders>
              <w:left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b/>
                <w:bCs/>
                <w:color w:val="000000"/>
                <w:sz w:val="21"/>
                <w:szCs w:val="21"/>
              </w:rPr>
              <w:t>135</w:t>
            </w:r>
          </w:p>
        </w:tc>
        <w:tc>
          <w:tcPr>
            <w:tcW w:w="483" w:type="pct"/>
            <w:vMerge w:val="continue"/>
            <w:tcBorders>
              <w:left w:val="single" w:color="auto" w:sz="4" w:space="0"/>
              <w:right w:val="single" w:color="auto" w:sz="4" w:space="0"/>
            </w:tcBorders>
            <w:vAlign w:val="center"/>
          </w:tcPr>
          <w:p>
            <w:pPr>
              <w:widowControl/>
              <w:jc w:val="left"/>
              <w:rPr>
                <w:rFonts w:hint="eastAsia" w:ascii="宋体" w:hAnsi="宋体" w:eastAsia="宋体" w:cs="宋体"/>
                <w:color w:val="000000"/>
                <w:kern w:val="0"/>
                <w:sz w:val="21"/>
                <w:szCs w:val="21"/>
              </w:rPr>
            </w:pPr>
          </w:p>
        </w:tc>
        <w:tc>
          <w:tcPr>
            <w:tcW w:w="507" w:type="pct"/>
            <w:vMerge w:val="continue"/>
            <w:tcBorders>
              <w:left w:val="single" w:color="auto" w:sz="4" w:space="0"/>
              <w:right w:val="single" w:color="auto" w:sz="4" w:space="0"/>
            </w:tcBorders>
            <w:vAlign w:val="center"/>
          </w:tcPr>
          <w:p>
            <w:pPr>
              <w:widowControl/>
              <w:jc w:val="left"/>
              <w:rPr>
                <w:rFonts w:hint="eastAsia" w:ascii="宋体" w:hAnsi="宋体" w:eastAsia="宋体" w:cs="宋体"/>
                <w:color w:val="000000"/>
                <w:kern w:val="0"/>
                <w:sz w:val="21"/>
                <w:szCs w:val="21"/>
              </w:rPr>
            </w:pPr>
          </w:p>
        </w:tc>
        <w:tc>
          <w:tcPr>
            <w:tcW w:w="947" w:type="pct"/>
            <w:gridSpan w:val="2"/>
            <w:vMerge w:val="continue"/>
            <w:tcBorders>
              <w:left w:val="single" w:color="auto" w:sz="4" w:space="0"/>
            </w:tcBorders>
            <w:vAlign w:val="center"/>
          </w:tcPr>
          <w:p>
            <w:pPr>
              <w:widowControl/>
              <w:jc w:val="left"/>
              <w:rPr>
                <w:rFonts w:hint="eastAsia" w:ascii="宋体" w:hAnsi="宋体" w:eastAsia="宋体" w:cs="宋体"/>
                <w:color w:val="000000"/>
                <w:kern w:val="0"/>
                <w:sz w:val="21"/>
                <w:szCs w:val="21"/>
              </w:rPr>
            </w:pPr>
          </w:p>
        </w:tc>
        <w:tc>
          <w:tcPr>
            <w:tcW w:w="2770" w:type="pct"/>
            <w:gridSpan w:val="3"/>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日志安全管理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4" w:space="0"/>
          </w:tblBorders>
          <w:tblCellMar>
            <w:top w:w="0" w:type="dxa"/>
            <w:left w:w="108" w:type="dxa"/>
            <w:bottom w:w="0" w:type="dxa"/>
            <w:right w:w="108" w:type="dxa"/>
          </w:tblCellMar>
        </w:tblPrEx>
        <w:trPr>
          <w:trHeight w:val="315" w:hRule="atLeast"/>
          <w:jc w:val="center"/>
        </w:trPr>
        <w:tc>
          <w:tcPr>
            <w:tcW w:w="290" w:type="pct"/>
            <w:tcBorders>
              <w:left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b/>
                <w:bCs/>
                <w:color w:val="000000"/>
                <w:sz w:val="21"/>
                <w:szCs w:val="21"/>
              </w:rPr>
              <w:t>136</w:t>
            </w:r>
          </w:p>
        </w:tc>
        <w:tc>
          <w:tcPr>
            <w:tcW w:w="483" w:type="pct"/>
            <w:vMerge w:val="continue"/>
            <w:tcBorders>
              <w:left w:val="single" w:color="auto" w:sz="4" w:space="0"/>
              <w:right w:val="single" w:color="auto" w:sz="4" w:space="0"/>
            </w:tcBorders>
            <w:vAlign w:val="center"/>
          </w:tcPr>
          <w:p>
            <w:pPr>
              <w:widowControl/>
              <w:jc w:val="left"/>
              <w:rPr>
                <w:rFonts w:hint="eastAsia" w:ascii="宋体" w:hAnsi="宋体" w:eastAsia="宋体" w:cs="宋体"/>
                <w:color w:val="000000"/>
                <w:kern w:val="0"/>
                <w:sz w:val="21"/>
                <w:szCs w:val="21"/>
              </w:rPr>
            </w:pPr>
          </w:p>
        </w:tc>
        <w:tc>
          <w:tcPr>
            <w:tcW w:w="507" w:type="pct"/>
            <w:vMerge w:val="continue"/>
            <w:tcBorders>
              <w:left w:val="single" w:color="auto" w:sz="4" w:space="0"/>
              <w:right w:val="single" w:color="auto" w:sz="4" w:space="0"/>
            </w:tcBorders>
            <w:vAlign w:val="center"/>
          </w:tcPr>
          <w:p>
            <w:pPr>
              <w:widowControl/>
              <w:jc w:val="left"/>
              <w:rPr>
                <w:rFonts w:hint="eastAsia" w:ascii="宋体" w:hAnsi="宋体" w:eastAsia="宋体" w:cs="宋体"/>
                <w:color w:val="000000"/>
                <w:kern w:val="0"/>
                <w:sz w:val="21"/>
                <w:szCs w:val="21"/>
              </w:rPr>
            </w:pPr>
          </w:p>
        </w:tc>
        <w:tc>
          <w:tcPr>
            <w:tcW w:w="947" w:type="pct"/>
            <w:gridSpan w:val="2"/>
            <w:vMerge w:val="continue"/>
            <w:tcBorders>
              <w:left w:val="single" w:color="auto" w:sz="4" w:space="0"/>
            </w:tcBorders>
            <w:vAlign w:val="center"/>
          </w:tcPr>
          <w:p>
            <w:pPr>
              <w:widowControl/>
              <w:jc w:val="left"/>
              <w:rPr>
                <w:rFonts w:hint="eastAsia" w:ascii="宋体" w:hAnsi="宋体" w:eastAsia="宋体" w:cs="宋体"/>
                <w:color w:val="000000"/>
                <w:kern w:val="0"/>
                <w:sz w:val="21"/>
                <w:szCs w:val="21"/>
              </w:rPr>
            </w:pPr>
          </w:p>
        </w:tc>
        <w:tc>
          <w:tcPr>
            <w:tcW w:w="2770" w:type="pct"/>
            <w:gridSpan w:val="3"/>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代码审计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4" w:space="0"/>
          </w:tblBorders>
          <w:tblCellMar>
            <w:top w:w="0" w:type="dxa"/>
            <w:left w:w="108" w:type="dxa"/>
            <w:bottom w:w="0" w:type="dxa"/>
            <w:right w:w="108" w:type="dxa"/>
          </w:tblCellMar>
        </w:tblPrEx>
        <w:trPr>
          <w:trHeight w:val="315" w:hRule="atLeast"/>
          <w:jc w:val="center"/>
        </w:trPr>
        <w:tc>
          <w:tcPr>
            <w:tcW w:w="290" w:type="pct"/>
            <w:tcBorders>
              <w:left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b/>
                <w:bCs/>
                <w:color w:val="000000"/>
                <w:sz w:val="21"/>
                <w:szCs w:val="21"/>
              </w:rPr>
              <w:t>137</w:t>
            </w:r>
          </w:p>
        </w:tc>
        <w:tc>
          <w:tcPr>
            <w:tcW w:w="483" w:type="pct"/>
            <w:vMerge w:val="continue"/>
            <w:tcBorders>
              <w:left w:val="single" w:color="auto" w:sz="4" w:space="0"/>
              <w:right w:val="single" w:color="auto" w:sz="4" w:space="0"/>
            </w:tcBorders>
            <w:vAlign w:val="center"/>
          </w:tcPr>
          <w:p>
            <w:pPr>
              <w:widowControl/>
              <w:jc w:val="left"/>
              <w:rPr>
                <w:rFonts w:hint="eastAsia" w:ascii="宋体" w:hAnsi="宋体" w:eastAsia="宋体" w:cs="宋体"/>
                <w:color w:val="000000"/>
                <w:kern w:val="0"/>
                <w:sz w:val="21"/>
                <w:szCs w:val="21"/>
              </w:rPr>
            </w:pPr>
          </w:p>
        </w:tc>
        <w:tc>
          <w:tcPr>
            <w:tcW w:w="507" w:type="pct"/>
            <w:vMerge w:val="continue"/>
            <w:tcBorders>
              <w:left w:val="single" w:color="auto" w:sz="4" w:space="0"/>
              <w:right w:val="single" w:color="auto" w:sz="4" w:space="0"/>
            </w:tcBorders>
            <w:vAlign w:val="center"/>
          </w:tcPr>
          <w:p>
            <w:pPr>
              <w:widowControl/>
              <w:jc w:val="left"/>
              <w:rPr>
                <w:rFonts w:hint="eastAsia" w:ascii="宋体" w:hAnsi="宋体" w:eastAsia="宋体" w:cs="宋体"/>
                <w:color w:val="000000"/>
                <w:kern w:val="0"/>
                <w:sz w:val="21"/>
                <w:szCs w:val="21"/>
              </w:rPr>
            </w:pPr>
          </w:p>
        </w:tc>
        <w:tc>
          <w:tcPr>
            <w:tcW w:w="947" w:type="pct"/>
            <w:gridSpan w:val="2"/>
            <w:vMerge w:val="continue"/>
            <w:tcBorders>
              <w:left w:val="single" w:color="auto" w:sz="4" w:space="0"/>
            </w:tcBorders>
            <w:vAlign w:val="center"/>
          </w:tcPr>
          <w:p>
            <w:pPr>
              <w:widowControl/>
              <w:jc w:val="left"/>
              <w:rPr>
                <w:rFonts w:hint="eastAsia" w:ascii="宋体" w:hAnsi="宋体" w:eastAsia="宋体" w:cs="宋体"/>
                <w:color w:val="000000"/>
                <w:kern w:val="0"/>
                <w:sz w:val="21"/>
                <w:szCs w:val="21"/>
              </w:rPr>
            </w:pPr>
          </w:p>
        </w:tc>
        <w:tc>
          <w:tcPr>
            <w:tcW w:w="2770" w:type="pct"/>
            <w:gridSpan w:val="3"/>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安全培训服务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4" w:space="0"/>
          </w:tblBorders>
          <w:tblCellMar>
            <w:top w:w="0" w:type="dxa"/>
            <w:left w:w="108" w:type="dxa"/>
            <w:bottom w:w="0" w:type="dxa"/>
            <w:right w:w="108" w:type="dxa"/>
          </w:tblCellMar>
        </w:tblPrEx>
        <w:trPr>
          <w:trHeight w:val="315" w:hRule="atLeast"/>
          <w:jc w:val="center"/>
        </w:trPr>
        <w:tc>
          <w:tcPr>
            <w:tcW w:w="290" w:type="pct"/>
            <w:tcBorders>
              <w:left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b/>
                <w:bCs/>
                <w:color w:val="000000"/>
                <w:sz w:val="21"/>
                <w:szCs w:val="21"/>
              </w:rPr>
              <w:t>138</w:t>
            </w:r>
          </w:p>
        </w:tc>
        <w:tc>
          <w:tcPr>
            <w:tcW w:w="483" w:type="pct"/>
            <w:vMerge w:val="continue"/>
            <w:tcBorders>
              <w:left w:val="single" w:color="auto" w:sz="4" w:space="0"/>
              <w:right w:val="single" w:color="auto" w:sz="4" w:space="0"/>
            </w:tcBorders>
            <w:vAlign w:val="center"/>
          </w:tcPr>
          <w:p>
            <w:pPr>
              <w:widowControl/>
              <w:jc w:val="left"/>
              <w:rPr>
                <w:rFonts w:hint="eastAsia" w:ascii="宋体" w:hAnsi="宋体" w:eastAsia="宋体" w:cs="宋体"/>
                <w:color w:val="000000"/>
                <w:kern w:val="0"/>
                <w:sz w:val="21"/>
                <w:szCs w:val="21"/>
              </w:rPr>
            </w:pPr>
          </w:p>
        </w:tc>
        <w:tc>
          <w:tcPr>
            <w:tcW w:w="507" w:type="pct"/>
            <w:vMerge w:val="continue"/>
            <w:tcBorders>
              <w:left w:val="single" w:color="auto" w:sz="4" w:space="0"/>
              <w:right w:val="single" w:color="auto" w:sz="4" w:space="0"/>
            </w:tcBorders>
            <w:vAlign w:val="center"/>
          </w:tcPr>
          <w:p>
            <w:pPr>
              <w:widowControl/>
              <w:jc w:val="left"/>
              <w:rPr>
                <w:rFonts w:hint="eastAsia" w:ascii="宋体" w:hAnsi="宋体" w:eastAsia="宋体" w:cs="宋体"/>
                <w:color w:val="000000"/>
                <w:kern w:val="0"/>
                <w:sz w:val="21"/>
                <w:szCs w:val="21"/>
              </w:rPr>
            </w:pPr>
          </w:p>
        </w:tc>
        <w:tc>
          <w:tcPr>
            <w:tcW w:w="947" w:type="pct"/>
            <w:gridSpan w:val="2"/>
            <w:vMerge w:val="continue"/>
            <w:tcBorders>
              <w:left w:val="single" w:color="auto" w:sz="4" w:space="0"/>
            </w:tcBorders>
            <w:vAlign w:val="center"/>
          </w:tcPr>
          <w:p>
            <w:pPr>
              <w:widowControl/>
              <w:jc w:val="left"/>
              <w:rPr>
                <w:rFonts w:hint="eastAsia" w:ascii="宋体" w:hAnsi="宋体" w:eastAsia="宋体" w:cs="宋体"/>
                <w:color w:val="000000"/>
                <w:kern w:val="0"/>
                <w:sz w:val="21"/>
                <w:szCs w:val="21"/>
              </w:rPr>
            </w:pPr>
          </w:p>
        </w:tc>
        <w:tc>
          <w:tcPr>
            <w:tcW w:w="2770" w:type="pct"/>
            <w:gridSpan w:val="3"/>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安全运维支撑</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4" w:space="0"/>
          </w:tblBorders>
          <w:tblCellMar>
            <w:top w:w="0" w:type="dxa"/>
            <w:left w:w="108" w:type="dxa"/>
            <w:bottom w:w="0" w:type="dxa"/>
            <w:right w:w="108" w:type="dxa"/>
          </w:tblCellMar>
        </w:tblPrEx>
        <w:trPr>
          <w:trHeight w:val="331" w:hRule="atLeast"/>
          <w:jc w:val="center"/>
        </w:trPr>
        <w:tc>
          <w:tcPr>
            <w:tcW w:w="290" w:type="pct"/>
            <w:tcBorders>
              <w:left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b/>
                <w:bCs/>
                <w:color w:val="000000"/>
                <w:sz w:val="21"/>
                <w:szCs w:val="21"/>
              </w:rPr>
              <w:t>139</w:t>
            </w:r>
          </w:p>
        </w:tc>
        <w:tc>
          <w:tcPr>
            <w:tcW w:w="483" w:type="pct"/>
            <w:vMerge w:val="continue"/>
            <w:tcBorders>
              <w:left w:val="single" w:color="auto" w:sz="4" w:space="0"/>
              <w:right w:val="single" w:color="auto" w:sz="4" w:space="0"/>
            </w:tcBorders>
            <w:vAlign w:val="center"/>
          </w:tcPr>
          <w:p>
            <w:pPr>
              <w:widowControl/>
              <w:jc w:val="left"/>
              <w:rPr>
                <w:rFonts w:hint="eastAsia" w:ascii="宋体" w:hAnsi="宋体" w:eastAsia="宋体" w:cs="宋体"/>
                <w:color w:val="000000"/>
                <w:kern w:val="0"/>
                <w:sz w:val="21"/>
                <w:szCs w:val="21"/>
              </w:rPr>
            </w:pPr>
          </w:p>
        </w:tc>
        <w:tc>
          <w:tcPr>
            <w:tcW w:w="507" w:type="pct"/>
            <w:vMerge w:val="continue"/>
            <w:tcBorders>
              <w:left w:val="single" w:color="auto" w:sz="4" w:space="0"/>
              <w:right w:val="single" w:color="auto" w:sz="4" w:space="0"/>
            </w:tcBorders>
            <w:vAlign w:val="center"/>
          </w:tcPr>
          <w:p>
            <w:pPr>
              <w:widowControl/>
              <w:jc w:val="left"/>
              <w:rPr>
                <w:rFonts w:hint="eastAsia" w:ascii="宋体" w:hAnsi="宋体" w:eastAsia="宋体" w:cs="宋体"/>
                <w:color w:val="000000"/>
                <w:kern w:val="0"/>
                <w:sz w:val="21"/>
                <w:szCs w:val="21"/>
              </w:rPr>
            </w:pPr>
          </w:p>
        </w:tc>
        <w:tc>
          <w:tcPr>
            <w:tcW w:w="947" w:type="pct"/>
            <w:gridSpan w:val="2"/>
            <w:vMerge w:val="continue"/>
            <w:tcBorders>
              <w:left w:val="single" w:color="auto" w:sz="4" w:space="0"/>
            </w:tcBorders>
            <w:vAlign w:val="center"/>
          </w:tcPr>
          <w:p>
            <w:pPr>
              <w:widowControl/>
              <w:jc w:val="left"/>
              <w:rPr>
                <w:rFonts w:hint="eastAsia" w:ascii="宋体" w:hAnsi="宋体" w:eastAsia="宋体" w:cs="宋体"/>
                <w:color w:val="000000"/>
                <w:kern w:val="0"/>
                <w:sz w:val="21"/>
                <w:szCs w:val="21"/>
              </w:rPr>
            </w:pPr>
          </w:p>
        </w:tc>
        <w:tc>
          <w:tcPr>
            <w:tcW w:w="2770" w:type="pct"/>
            <w:gridSpan w:val="3"/>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密码测评</w:t>
            </w:r>
          </w:p>
        </w:tc>
      </w:tr>
    </w:tbl>
    <w:p>
      <w:pPr>
        <w:widowControl/>
        <w:spacing w:line="440" w:lineRule="exact"/>
        <w:jc w:val="left"/>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注：采购人仅提供基础政务云资源（服务器、存储、操作系统、数据库），其它可能所需的各类软件（含中间件）等均由中标人自行负责。</w:t>
      </w:r>
    </w:p>
    <w:p>
      <w:pPr>
        <w:widowControl/>
        <w:spacing w:line="440" w:lineRule="exact"/>
        <w:jc w:val="left"/>
        <w:rPr>
          <w:rFonts w:hint="eastAsia" w:ascii="宋体" w:hAnsi="宋体" w:eastAsia="宋体" w:cs="宋体"/>
          <w:b/>
          <w:bCs/>
          <w:color w:val="000000"/>
          <w:kern w:val="0"/>
          <w:sz w:val="21"/>
          <w:szCs w:val="21"/>
        </w:rPr>
      </w:pPr>
      <w:r>
        <w:rPr>
          <w:rFonts w:hint="eastAsia" w:ascii="宋体" w:hAnsi="宋体" w:eastAsia="宋体" w:cs="宋体"/>
          <w:sz w:val="21"/>
          <w:szCs w:val="21"/>
        </w:rPr>
        <w:t xml:space="preserve">  </w:t>
      </w:r>
      <w:r>
        <w:rPr>
          <w:rFonts w:hint="eastAsia" w:ascii="宋体" w:hAnsi="宋体" w:eastAsia="宋体" w:cs="宋体"/>
          <w:b/>
          <w:bCs/>
          <w:color w:val="000000"/>
          <w:kern w:val="0"/>
          <w:sz w:val="21"/>
          <w:szCs w:val="21"/>
        </w:rPr>
        <w:t xml:space="preserve">  </w:t>
      </w:r>
    </w:p>
    <w:p>
      <w:pPr>
        <w:pStyle w:val="39"/>
        <w:spacing w:line="440" w:lineRule="exact"/>
        <w:ind w:left="0" w:leftChars="0" w:hanging="50"/>
        <w:rPr>
          <w:rFonts w:hint="eastAsia" w:ascii="宋体" w:hAnsi="宋体" w:eastAsia="宋体" w:cs="宋体"/>
          <w:b/>
          <w:bCs w:val="0"/>
          <w:sz w:val="21"/>
          <w:szCs w:val="21"/>
        </w:rPr>
      </w:pPr>
      <w:r>
        <w:rPr>
          <w:rFonts w:hint="eastAsia" w:ascii="宋体" w:hAnsi="宋体" w:eastAsia="宋体" w:cs="宋体"/>
          <w:b/>
          <w:bCs w:val="0"/>
          <w:sz w:val="21"/>
          <w:szCs w:val="21"/>
        </w:rPr>
        <w:t>三、技术方案要求</w:t>
      </w:r>
    </w:p>
    <w:p>
      <w:pPr>
        <w:pStyle w:val="41"/>
        <w:spacing w:line="440" w:lineRule="exact"/>
        <w:ind w:firstLine="422"/>
        <w:rPr>
          <w:rFonts w:hint="eastAsia" w:ascii="宋体" w:hAnsi="宋体" w:eastAsia="宋体" w:cs="宋体"/>
          <w:b w:val="0"/>
          <w:bCs w:val="0"/>
          <w:sz w:val="21"/>
          <w:szCs w:val="21"/>
        </w:rPr>
      </w:pPr>
      <w:r>
        <w:rPr>
          <w:rFonts w:hint="eastAsia" w:ascii="宋体" w:hAnsi="宋体" w:eastAsia="宋体" w:cs="宋体"/>
          <w:b w:val="0"/>
          <w:bCs w:val="0"/>
          <w:sz w:val="21"/>
          <w:szCs w:val="21"/>
          <w:lang w:eastAsia="zh-Hans"/>
        </w:rPr>
        <w:t>投标</w:t>
      </w:r>
      <w:r>
        <w:rPr>
          <w:rFonts w:hint="eastAsia" w:ascii="宋体" w:hAnsi="宋体" w:eastAsia="宋体" w:cs="宋体"/>
          <w:b w:val="0"/>
          <w:bCs w:val="0"/>
          <w:sz w:val="21"/>
          <w:szCs w:val="21"/>
        </w:rPr>
        <w:t>人需提供</w:t>
      </w:r>
      <w:r>
        <w:rPr>
          <w:rFonts w:hint="eastAsia" w:ascii="宋体" w:hAnsi="宋体" w:eastAsia="宋体" w:cs="宋体"/>
          <w:b w:val="0"/>
          <w:bCs w:val="0"/>
          <w:sz w:val="21"/>
          <w:szCs w:val="21"/>
          <w:lang w:eastAsia="zh-Hans"/>
        </w:rPr>
        <w:t>技术方案</w:t>
      </w:r>
      <w:r>
        <w:rPr>
          <w:rFonts w:hint="eastAsia" w:ascii="宋体" w:hAnsi="宋体" w:eastAsia="宋体" w:cs="宋体"/>
          <w:b w:val="0"/>
          <w:bCs w:val="0"/>
          <w:sz w:val="21"/>
          <w:szCs w:val="21"/>
        </w:rPr>
        <w:t>和组织实施方案。技术方案</w:t>
      </w:r>
      <w:r>
        <w:rPr>
          <w:rFonts w:hint="eastAsia" w:ascii="宋体" w:hAnsi="宋体" w:eastAsia="宋体" w:cs="宋体"/>
          <w:b w:val="0"/>
          <w:bCs w:val="0"/>
          <w:sz w:val="21"/>
          <w:szCs w:val="21"/>
          <w:lang w:eastAsia="zh-Hans"/>
        </w:rPr>
        <w:t>组成需包含</w:t>
      </w:r>
      <w:r>
        <w:rPr>
          <w:rFonts w:hint="eastAsia" w:ascii="宋体" w:hAnsi="宋体" w:eastAsia="宋体" w:cs="宋体"/>
          <w:b w:val="0"/>
          <w:bCs w:val="0"/>
          <w:sz w:val="21"/>
          <w:szCs w:val="21"/>
        </w:rPr>
        <w:t>需求分析</w:t>
      </w:r>
      <w:r>
        <w:rPr>
          <w:rFonts w:hint="eastAsia" w:ascii="宋体" w:hAnsi="宋体" w:eastAsia="宋体" w:cs="宋体"/>
          <w:b w:val="0"/>
          <w:bCs w:val="0"/>
          <w:sz w:val="21"/>
          <w:szCs w:val="21"/>
          <w:lang w:eastAsia="zh-Hans"/>
        </w:rPr>
        <w:t>、总体架构、关键技术、标准规范设计、数据资源体系设计、CIM平台设计、CIM+试点应用场景设计、系统及数据安全防护</w:t>
      </w:r>
      <w:r>
        <w:rPr>
          <w:rFonts w:hint="eastAsia" w:ascii="宋体" w:hAnsi="宋体" w:eastAsia="宋体" w:cs="宋体"/>
          <w:b w:val="0"/>
          <w:bCs w:val="0"/>
          <w:sz w:val="21"/>
          <w:szCs w:val="21"/>
        </w:rPr>
        <w:t>设计等内容。</w:t>
      </w:r>
    </w:p>
    <w:p>
      <w:pPr>
        <w:pStyle w:val="41"/>
        <w:spacing w:line="440" w:lineRule="exact"/>
        <w:ind w:firstLine="422"/>
        <w:rPr>
          <w:rFonts w:hint="eastAsia" w:ascii="宋体" w:hAnsi="宋体" w:eastAsia="宋体" w:cs="宋体"/>
          <w:b w:val="0"/>
          <w:bCs w:val="0"/>
          <w:sz w:val="21"/>
          <w:szCs w:val="21"/>
        </w:rPr>
      </w:pPr>
      <w:r>
        <w:rPr>
          <w:rFonts w:hint="eastAsia" w:ascii="宋体" w:hAnsi="宋体" w:eastAsia="宋体" w:cs="宋体"/>
          <w:b w:val="0"/>
          <w:bCs w:val="0"/>
          <w:sz w:val="21"/>
          <w:szCs w:val="21"/>
        </w:rPr>
        <w:t>其中，CIM平台设计应根据 “</w:t>
      </w:r>
      <w:r>
        <w:rPr>
          <w:rFonts w:hint="eastAsia" w:ascii="宋体" w:hAnsi="宋体" w:eastAsia="宋体" w:cs="宋体"/>
          <w:b w:val="0"/>
          <w:bCs w:val="0"/>
          <w:color w:val="000000"/>
          <w:kern w:val="0"/>
          <w:sz w:val="21"/>
          <w:szCs w:val="21"/>
        </w:rPr>
        <w:t>CIM基础平台支撑能力”的</w:t>
      </w:r>
      <w:r>
        <w:rPr>
          <w:rFonts w:hint="eastAsia" w:ascii="宋体" w:hAnsi="宋体" w:eastAsia="宋体" w:cs="宋体"/>
          <w:b w:val="0"/>
          <w:bCs w:val="0"/>
          <w:sz w:val="21"/>
          <w:szCs w:val="21"/>
        </w:rPr>
        <w:t>要求，完成具体的前后台业务设计，包括门户、业务模块或子系统等，响应CIM平台作为空间数据资源中心和空间数据服务中心的建设需求。投标人提供CIM平台功能清单，针对C</w:t>
      </w:r>
      <w:r>
        <w:rPr>
          <w:rFonts w:hint="eastAsia" w:ascii="宋体" w:hAnsi="宋体" w:eastAsia="宋体" w:cs="宋体"/>
          <w:b w:val="0"/>
          <w:bCs w:val="0"/>
          <w:color w:val="000000"/>
          <w:kern w:val="0"/>
          <w:sz w:val="21"/>
          <w:szCs w:val="21"/>
        </w:rPr>
        <w:t>IM基础平台支撑能力</w:t>
      </w:r>
      <w:r>
        <w:rPr>
          <w:rFonts w:hint="eastAsia" w:ascii="宋体" w:hAnsi="宋体" w:eastAsia="宋体" w:cs="宋体"/>
          <w:b w:val="0"/>
          <w:bCs w:val="0"/>
          <w:sz w:val="21"/>
          <w:szCs w:val="21"/>
        </w:rPr>
        <w:t>清单进行响应，并提供能力清单响应对照表，参考格式如下。</w:t>
      </w:r>
    </w:p>
    <w:tbl>
      <w:tblPr>
        <w:tblStyle w:val="15"/>
        <w:tblW w:w="0" w:type="auto"/>
        <w:jc w:val="center"/>
        <w:tblLayout w:type="fixed"/>
        <w:tblCellMar>
          <w:top w:w="0" w:type="dxa"/>
          <w:left w:w="108" w:type="dxa"/>
          <w:bottom w:w="0" w:type="dxa"/>
          <w:right w:w="108" w:type="dxa"/>
        </w:tblCellMar>
      </w:tblPr>
      <w:tblGrid>
        <w:gridCol w:w="555"/>
        <w:gridCol w:w="1299"/>
        <w:gridCol w:w="1180"/>
        <w:gridCol w:w="1534"/>
        <w:gridCol w:w="2125"/>
        <w:gridCol w:w="1770"/>
      </w:tblGrid>
      <w:tr>
        <w:tblPrEx>
          <w:tblCellMar>
            <w:top w:w="0" w:type="dxa"/>
            <w:left w:w="108" w:type="dxa"/>
            <w:bottom w:w="0" w:type="dxa"/>
            <w:right w:w="108" w:type="dxa"/>
          </w:tblCellMar>
        </w:tblPrEx>
        <w:trPr>
          <w:trHeight w:val="1620" w:hRule="atLeast"/>
          <w:jc w:val="center"/>
        </w:trPr>
        <w:tc>
          <w:tcPr>
            <w:tcW w:w="55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440" w:lineRule="exact"/>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编号</w:t>
            </w:r>
          </w:p>
        </w:tc>
        <w:tc>
          <w:tcPr>
            <w:tcW w:w="1299" w:type="dxa"/>
            <w:tcBorders>
              <w:top w:val="single" w:color="auto" w:sz="4" w:space="0"/>
              <w:left w:val="nil"/>
              <w:bottom w:val="single" w:color="auto" w:sz="4" w:space="0"/>
              <w:right w:val="single" w:color="auto" w:sz="4" w:space="0"/>
            </w:tcBorders>
            <w:shd w:val="clear" w:color="000000" w:fill="FFFFFF"/>
            <w:vAlign w:val="center"/>
          </w:tcPr>
          <w:p>
            <w:pPr>
              <w:widowControl/>
              <w:spacing w:line="440" w:lineRule="exact"/>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功能模块</w:t>
            </w:r>
          </w:p>
        </w:tc>
        <w:tc>
          <w:tcPr>
            <w:tcW w:w="1180" w:type="dxa"/>
            <w:tcBorders>
              <w:top w:val="single" w:color="auto" w:sz="4" w:space="0"/>
              <w:left w:val="nil"/>
              <w:bottom w:val="single" w:color="auto" w:sz="4" w:space="0"/>
              <w:right w:val="single" w:color="auto" w:sz="4" w:space="0"/>
            </w:tcBorders>
            <w:shd w:val="clear" w:color="000000" w:fill="FFFFFF"/>
            <w:vAlign w:val="center"/>
          </w:tcPr>
          <w:p>
            <w:pPr>
              <w:widowControl/>
              <w:spacing w:line="440" w:lineRule="exact"/>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功能点</w:t>
            </w:r>
          </w:p>
        </w:tc>
        <w:tc>
          <w:tcPr>
            <w:tcW w:w="1534" w:type="dxa"/>
            <w:tcBorders>
              <w:top w:val="single" w:color="auto" w:sz="4" w:space="0"/>
              <w:left w:val="nil"/>
              <w:bottom w:val="single" w:color="auto" w:sz="4" w:space="0"/>
              <w:right w:val="single" w:color="auto" w:sz="4" w:space="0"/>
            </w:tcBorders>
            <w:shd w:val="clear" w:color="000000" w:fill="FFFFFF"/>
            <w:vAlign w:val="center"/>
          </w:tcPr>
          <w:p>
            <w:pPr>
              <w:widowControl/>
              <w:spacing w:line="440" w:lineRule="exact"/>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内容描述</w:t>
            </w:r>
          </w:p>
        </w:tc>
        <w:tc>
          <w:tcPr>
            <w:tcW w:w="2125" w:type="dxa"/>
            <w:tcBorders>
              <w:top w:val="single" w:color="auto" w:sz="4" w:space="0"/>
              <w:left w:val="nil"/>
              <w:bottom w:val="single" w:color="auto" w:sz="4" w:space="0"/>
              <w:right w:val="single" w:color="auto" w:sz="4" w:space="0"/>
            </w:tcBorders>
            <w:shd w:val="clear" w:color="000000" w:fill="FFFFFF"/>
            <w:vAlign w:val="center"/>
          </w:tcPr>
          <w:p>
            <w:pPr>
              <w:widowControl/>
              <w:spacing w:line="440" w:lineRule="exact"/>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响应能力序号</w:t>
            </w:r>
          </w:p>
          <w:p>
            <w:pPr>
              <w:widowControl/>
              <w:spacing w:line="440" w:lineRule="exact"/>
              <w:jc w:val="center"/>
              <w:rPr>
                <w:rFonts w:hint="eastAsia" w:ascii="宋体" w:hAnsi="宋体" w:eastAsia="宋体" w:cs="宋体"/>
                <w:b/>
                <w:bCs/>
                <w:color w:val="000000"/>
                <w:kern w:val="0"/>
                <w:sz w:val="21"/>
                <w:szCs w:val="21"/>
              </w:rPr>
            </w:pPr>
            <w:r>
              <w:rPr>
                <w:rFonts w:hint="eastAsia" w:ascii="宋体" w:hAnsi="宋体" w:eastAsia="宋体" w:cs="宋体"/>
                <w:color w:val="000000"/>
                <w:kern w:val="0"/>
                <w:sz w:val="21"/>
                <w:szCs w:val="21"/>
              </w:rPr>
              <w:t>（参照“项目建设内容与能力要求”表格中的“序号”）</w:t>
            </w:r>
          </w:p>
        </w:tc>
        <w:tc>
          <w:tcPr>
            <w:tcW w:w="1770" w:type="dxa"/>
            <w:tcBorders>
              <w:top w:val="single" w:color="auto" w:sz="4" w:space="0"/>
              <w:left w:val="nil"/>
              <w:bottom w:val="single" w:color="auto" w:sz="4" w:space="0"/>
              <w:right w:val="single" w:color="auto" w:sz="4" w:space="0"/>
            </w:tcBorders>
            <w:shd w:val="clear" w:color="000000" w:fill="FFFFFF"/>
            <w:vAlign w:val="center"/>
          </w:tcPr>
          <w:p>
            <w:pPr>
              <w:widowControl/>
              <w:spacing w:line="440" w:lineRule="exact"/>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响应能力要求</w:t>
            </w:r>
          </w:p>
          <w:p>
            <w:pPr>
              <w:widowControl/>
              <w:spacing w:line="440" w:lineRule="exact"/>
              <w:jc w:val="center"/>
              <w:rPr>
                <w:rFonts w:hint="eastAsia" w:ascii="宋体" w:hAnsi="宋体" w:eastAsia="宋体" w:cs="宋体"/>
                <w:sz w:val="21"/>
                <w:szCs w:val="21"/>
              </w:rPr>
            </w:pPr>
            <w:r>
              <w:rPr>
                <w:rFonts w:hint="eastAsia" w:ascii="宋体" w:hAnsi="宋体" w:eastAsia="宋体" w:cs="宋体"/>
                <w:color w:val="000000"/>
                <w:kern w:val="0"/>
                <w:sz w:val="21"/>
                <w:szCs w:val="21"/>
              </w:rPr>
              <w:t>（参照“项目建设内容与能力要求”表格中的“建设内容”）</w:t>
            </w:r>
          </w:p>
        </w:tc>
      </w:tr>
      <w:tr>
        <w:tblPrEx>
          <w:tblCellMar>
            <w:top w:w="0" w:type="dxa"/>
            <w:left w:w="108" w:type="dxa"/>
            <w:bottom w:w="0" w:type="dxa"/>
            <w:right w:w="108" w:type="dxa"/>
          </w:tblCellMar>
        </w:tblPrEx>
        <w:trPr>
          <w:trHeight w:val="405" w:hRule="atLeast"/>
          <w:jc w:val="center"/>
        </w:trPr>
        <w:tc>
          <w:tcPr>
            <w:tcW w:w="555" w:type="dxa"/>
            <w:tcBorders>
              <w:top w:val="nil"/>
              <w:left w:val="single" w:color="auto" w:sz="4" w:space="0"/>
              <w:bottom w:val="single" w:color="auto" w:sz="4" w:space="0"/>
              <w:right w:val="single" w:color="auto" w:sz="4" w:space="0"/>
            </w:tcBorders>
            <w:shd w:val="clear" w:color="auto" w:fill="auto"/>
            <w:vAlign w:val="center"/>
          </w:tcPr>
          <w:p>
            <w:pPr>
              <w:widowControl/>
              <w:spacing w:line="440" w:lineRule="exact"/>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1299" w:type="dxa"/>
            <w:tcBorders>
              <w:top w:val="nil"/>
              <w:left w:val="nil"/>
              <w:bottom w:val="single" w:color="auto" w:sz="4" w:space="0"/>
              <w:right w:val="single" w:color="auto" w:sz="4" w:space="0"/>
            </w:tcBorders>
            <w:shd w:val="clear" w:color="000000" w:fill="FFFFFF"/>
            <w:vAlign w:val="center"/>
          </w:tcPr>
          <w:p>
            <w:pPr>
              <w:widowControl/>
              <w:spacing w:line="440" w:lineRule="exact"/>
              <w:jc w:val="left"/>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　</w:t>
            </w:r>
          </w:p>
        </w:tc>
        <w:tc>
          <w:tcPr>
            <w:tcW w:w="1180" w:type="dxa"/>
            <w:tcBorders>
              <w:top w:val="nil"/>
              <w:left w:val="nil"/>
              <w:bottom w:val="single" w:color="auto" w:sz="4" w:space="0"/>
              <w:right w:val="single" w:color="auto" w:sz="4" w:space="0"/>
            </w:tcBorders>
            <w:shd w:val="clear" w:color="000000" w:fill="FFFFFF"/>
            <w:vAlign w:val="center"/>
          </w:tcPr>
          <w:p>
            <w:pPr>
              <w:widowControl/>
              <w:spacing w:line="440" w:lineRule="exact"/>
              <w:jc w:val="left"/>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　</w:t>
            </w:r>
          </w:p>
        </w:tc>
        <w:tc>
          <w:tcPr>
            <w:tcW w:w="1534" w:type="dxa"/>
            <w:tcBorders>
              <w:top w:val="nil"/>
              <w:left w:val="nil"/>
              <w:bottom w:val="single" w:color="auto" w:sz="4" w:space="0"/>
              <w:right w:val="single" w:color="auto" w:sz="4" w:space="0"/>
            </w:tcBorders>
            <w:shd w:val="clear" w:color="000000" w:fill="FFFFFF"/>
            <w:vAlign w:val="center"/>
          </w:tcPr>
          <w:p>
            <w:pPr>
              <w:widowControl/>
              <w:spacing w:line="440" w:lineRule="exact"/>
              <w:jc w:val="left"/>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　</w:t>
            </w:r>
          </w:p>
        </w:tc>
        <w:tc>
          <w:tcPr>
            <w:tcW w:w="2125" w:type="dxa"/>
            <w:tcBorders>
              <w:top w:val="nil"/>
              <w:left w:val="nil"/>
              <w:bottom w:val="single" w:color="auto" w:sz="4" w:space="0"/>
              <w:right w:val="single" w:color="auto" w:sz="4" w:space="0"/>
            </w:tcBorders>
            <w:shd w:val="clear" w:color="000000" w:fill="FFFFFF"/>
            <w:vAlign w:val="center"/>
          </w:tcPr>
          <w:p>
            <w:pPr>
              <w:widowControl/>
              <w:spacing w:line="440" w:lineRule="exact"/>
              <w:jc w:val="left"/>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　</w:t>
            </w:r>
          </w:p>
        </w:tc>
        <w:tc>
          <w:tcPr>
            <w:tcW w:w="1770" w:type="dxa"/>
            <w:tcBorders>
              <w:top w:val="nil"/>
              <w:left w:val="nil"/>
              <w:bottom w:val="single" w:color="auto" w:sz="4" w:space="0"/>
              <w:right w:val="single" w:color="auto" w:sz="4" w:space="0"/>
            </w:tcBorders>
            <w:shd w:val="clear" w:color="000000" w:fill="FFFFFF"/>
            <w:vAlign w:val="center"/>
          </w:tcPr>
          <w:p>
            <w:pPr>
              <w:widowControl/>
              <w:spacing w:line="440" w:lineRule="exact"/>
              <w:jc w:val="left"/>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　</w:t>
            </w:r>
          </w:p>
        </w:tc>
      </w:tr>
      <w:tr>
        <w:tblPrEx>
          <w:tblCellMar>
            <w:top w:w="0" w:type="dxa"/>
            <w:left w:w="108" w:type="dxa"/>
            <w:bottom w:w="0" w:type="dxa"/>
            <w:right w:w="108" w:type="dxa"/>
          </w:tblCellMar>
        </w:tblPrEx>
        <w:trPr>
          <w:trHeight w:val="405" w:hRule="atLeast"/>
          <w:jc w:val="center"/>
        </w:trPr>
        <w:tc>
          <w:tcPr>
            <w:tcW w:w="555" w:type="dxa"/>
            <w:tcBorders>
              <w:top w:val="nil"/>
              <w:left w:val="single" w:color="auto" w:sz="4" w:space="0"/>
              <w:bottom w:val="single" w:color="auto" w:sz="4" w:space="0"/>
              <w:right w:val="single" w:color="auto" w:sz="4" w:space="0"/>
            </w:tcBorders>
            <w:shd w:val="clear" w:color="auto" w:fill="auto"/>
            <w:vAlign w:val="center"/>
          </w:tcPr>
          <w:p>
            <w:pPr>
              <w:widowControl/>
              <w:spacing w:line="440" w:lineRule="exact"/>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1299" w:type="dxa"/>
            <w:tcBorders>
              <w:top w:val="nil"/>
              <w:left w:val="nil"/>
              <w:bottom w:val="single" w:color="auto" w:sz="4" w:space="0"/>
              <w:right w:val="single" w:color="auto" w:sz="4" w:space="0"/>
            </w:tcBorders>
            <w:shd w:val="clear" w:color="000000" w:fill="FFFFFF"/>
            <w:vAlign w:val="center"/>
          </w:tcPr>
          <w:p>
            <w:pPr>
              <w:widowControl/>
              <w:spacing w:line="440" w:lineRule="exact"/>
              <w:jc w:val="left"/>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　</w:t>
            </w:r>
          </w:p>
        </w:tc>
        <w:tc>
          <w:tcPr>
            <w:tcW w:w="1180" w:type="dxa"/>
            <w:tcBorders>
              <w:top w:val="nil"/>
              <w:left w:val="nil"/>
              <w:bottom w:val="single" w:color="auto" w:sz="4" w:space="0"/>
              <w:right w:val="single" w:color="auto" w:sz="4" w:space="0"/>
            </w:tcBorders>
            <w:shd w:val="clear" w:color="000000" w:fill="FFFFFF"/>
            <w:vAlign w:val="center"/>
          </w:tcPr>
          <w:p>
            <w:pPr>
              <w:widowControl/>
              <w:spacing w:line="440" w:lineRule="exact"/>
              <w:jc w:val="left"/>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　</w:t>
            </w:r>
          </w:p>
        </w:tc>
        <w:tc>
          <w:tcPr>
            <w:tcW w:w="1534" w:type="dxa"/>
            <w:tcBorders>
              <w:top w:val="nil"/>
              <w:left w:val="nil"/>
              <w:bottom w:val="single" w:color="auto" w:sz="4" w:space="0"/>
              <w:right w:val="single" w:color="auto" w:sz="4" w:space="0"/>
            </w:tcBorders>
            <w:shd w:val="clear" w:color="000000" w:fill="FFFFFF"/>
            <w:vAlign w:val="center"/>
          </w:tcPr>
          <w:p>
            <w:pPr>
              <w:widowControl/>
              <w:spacing w:line="440" w:lineRule="exact"/>
              <w:jc w:val="left"/>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　</w:t>
            </w:r>
          </w:p>
        </w:tc>
        <w:tc>
          <w:tcPr>
            <w:tcW w:w="2125" w:type="dxa"/>
            <w:tcBorders>
              <w:top w:val="nil"/>
              <w:left w:val="nil"/>
              <w:bottom w:val="single" w:color="auto" w:sz="4" w:space="0"/>
              <w:right w:val="single" w:color="auto" w:sz="4" w:space="0"/>
            </w:tcBorders>
            <w:shd w:val="clear" w:color="000000" w:fill="FFFFFF"/>
            <w:vAlign w:val="center"/>
          </w:tcPr>
          <w:p>
            <w:pPr>
              <w:widowControl/>
              <w:spacing w:line="440" w:lineRule="exact"/>
              <w:jc w:val="left"/>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　</w:t>
            </w:r>
          </w:p>
        </w:tc>
        <w:tc>
          <w:tcPr>
            <w:tcW w:w="1770" w:type="dxa"/>
            <w:tcBorders>
              <w:top w:val="nil"/>
              <w:left w:val="nil"/>
              <w:bottom w:val="single" w:color="auto" w:sz="4" w:space="0"/>
              <w:right w:val="single" w:color="auto" w:sz="4" w:space="0"/>
            </w:tcBorders>
            <w:shd w:val="clear" w:color="000000" w:fill="FFFFFF"/>
            <w:vAlign w:val="center"/>
          </w:tcPr>
          <w:p>
            <w:pPr>
              <w:widowControl/>
              <w:spacing w:line="440" w:lineRule="exact"/>
              <w:jc w:val="left"/>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　</w:t>
            </w:r>
          </w:p>
        </w:tc>
      </w:tr>
      <w:tr>
        <w:tblPrEx>
          <w:tblCellMar>
            <w:top w:w="0" w:type="dxa"/>
            <w:left w:w="108" w:type="dxa"/>
            <w:bottom w:w="0" w:type="dxa"/>
            <w:right w:w="108" w:type="dxa"/>
          </w:tblCellMar>
        </w:tblPrEx>
        <w:trPr>
          <w:trHeight w:val="405" w:hRule="atLeast"/>
          <w:jc w:val="center"/>
        </w:trPr>
        <w:tc>
          <w:tcPr>
            <w:tcW w:w="555" w:type="dxa"/>
            <w:tcBorders>
              <w:top w:val="nil"/>
              <w:left w:val="single" w:color="auto" w:sz="4" w:space="0"/>
              <w:bottom w:val="single" w:color="auto" w:sz="4" w:space="0"/>
              <w:right w:val="single" w:color="auto" w:sz="4" w:space="0"/>
            </w:tcBorders>
            <w:shd w:val="clear" w:color="auto" w:fill="auto"/>
            <w:vAlign w:val="center"/>
          </w:tcPr>
          <w:p>
            <w:pPr>
              <w:widowControl/>
              <w:spacing w:line="440" w:lineRule="exact"/>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1299" w:type="dxa"/>
            <w:tcBorders>
              <w:top w:val="nil"/>
              <w:left w:val="nil"/>
              <w:bottom w:val="single" w:color="auto" w:sz="4" w:space="0"/>
              <w:right w:val="single" w:color="auto" w:sz="4" w:space="0"/>
            </w:tcBorders>
            <w:shd w:val="clear" w:color="000000" w:fill="FFFFFF"/>
            <w:vAlign w:val="center"/>
          </w:tcPr>
          <w:p>
            <w:pPr>
              <w:widowControl/>
              <w:spacing w:line="440" w:lineRule="exact"/>
              <w:jc w:val="left"/>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　</w:t>
            </w:r>
          </w:p>
        </w:tc>
        <w:tc>
          <w:tcPr>
            <w:tcW w:w="1180" w:type="dxa"/>
            <w:tcBorders>
              <w:top w:val="nil"/>
              <w:left w:val="nil"/>
              <w:bottom w:val="single" w:color="auto" w:sz="4" w:space="0"/>
              <w:right w:val="single" w:color="auto" w:sz="4" w:space="0"/>
            </w:tcBorders>
            <w:shd w:val="clear" w:color="000000" w:fill="FFFFFF"/>
            <w:vAlign w:val="center"/>
          </w:tcPr>
          <w:p>
            <w:pPr>
              <w:widowControl/>
              <w:spacing w:line="440" w:lineRule="exact"/>
              <w:jc w:val="left"/>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　</w:t>
            </w:r>
          </w:p>
        </w:tc>
        <w:tc>
          <w:tcPr>
            <w:tcW w:w="1534" w:type="dxa"/>
            <w:tcBorders>
              <w:top w:val="nil"/>
              <w:left w:val="nil"/>
              <w:bottom w:val="single" w:color="auto" w:sz="4" w:space="0"/>
              <w:right w:val="single" w:color="auto" w:sz="4" w:space="0"/>
            </w:tcBorders>
            <w:shd w:val="clear" w:color="000000" w:fill="FFFFFF"/>
            <w:vAlign w:val="center"/>
          </w:tcPr>
          <w:p>
            <w:pPr>
              <w:widowControl/>
              <w:spacing w:line="440" w:lineRule="exact"/>
              <w:jc w:val="left"/>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　</w:t>
            </w:r>
          </w:p>
        </w:tc>
        <w:tc>
          <w:tcPr>
            <w:tcW w:w="2125" w:type="dxa"/>
            <w:tcBorders>
              <w:top w:val="nil"/>
              <w:left w:val="nil"/>
              <w:bottom w:val="single" w:color="auto" w:sz="4" w:space="0"/>
              <w:right w:val="single" w:color="auto" w:sz="4" w:space="0"/>
            </w:tcBorders>
            <w:shd w:val="clear" w:color="000000" w:fill="FFFFFF"/>
            <w:vAlign w:val="center"/>
          </w:tcPr>
          <w:p>
            <w:pPr>
              <w:widowControl/>
              <w:spacing w:line="440" w:lineRule="exact"/>
              <w:jc w:val="left"/>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　</w:t>
            </w:r>
          </w:p>
        </w:tc>
        <w:tc>
          <w:tcPr>
            <w:tcW w:w="1770" w:type="dxa"/>
            <w:tcBorders>
              <w:top w:val="nil"/>
              <w:left w:val="nil"/>
              <w:bottom w:val="single" w:color="auto" w:sz="4" w:space="0"/>
              <w:right w:val="single" w:color="auto" w:sz="4" w:space="0"/>
            </w:tcBorders>
            <w:shd w:val="clear" w:color="000000" w:fill="FFFFFF"/>
            <w:vAlign w:val="center"/>
          </w:tcPr>
          <w:p>
            <w:pPr>
              <w:widowControl/>
              <w:spacing w:line="440" w:lineRule="exact"/>
              <w:jc w:val="left"/>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　</w:t>
            </w:r>
          </w:p>
        </w:tc>
      </w:tr>
    </w:tbl>
    <w:p>
      <w:pPr>
        <w:spacing w:line="440" w:lineRule="exact"/>
        <w:rPr>
          <w:rFonts w:hint="eastAsia" w:ascii="宋体" w:hAnsi="宋体" w:eastAsia="宋体" w:cs="宋体"/>
          <w:b w:val="0"/>
          <w:bCs w:val="0"/>
          <w:sz w:val="21"/>
          <w:szCs w:val="21"/>
          <w:lang w:eastAsia="zh-Hans"/>
        </w:rPr>
      </w:pPr>
      <w:r>
        <w:rPr>
          <w:rFonts w:hint="eastAsia" w:ascii="宋体" w:hAnsi="宋体" w:eastAsia="宋体" w:cs="宋体"/>
          <w:b w:val="0"/>
          <w:bCs w:val="0"/>
          <w:sz w:val="21"/>
          <w:szCs w:val="21"/>
          <w:lang w:eastAsia="zh-Hans"/>
        </w:rPr>
        <w:t>平台设计方案可根据供应商自身</w:t>
      </w:r>
      <w:r>
        <w:rPr>
          <w:rFonts w:hint="eastAsia" w:ascii="宋体" w:hAnsi="宋体" w:eastAsia="宋体" w:cs="宋体"/>
          <w:b w:val="0"/>
          <w:bCs w:val="0"/>
          <w:sz w:val="21"/>
          <w:szCs w:val="21"/>
        </w:rPr>
        <w:t>理解和能力</w:t>
      </w:r>
      <w:r>
        <w:rPr>
          <w:rFonts w:hint="eastAsia" w:ascii="宋体" w:hAnsi="宋体" w:eastAsia="宋体" w:cs="宋体"/>
          <w:b w:val="0"/>
          <w:bCs w:val="0"/>
          <w:sz w:val="21"/>
          <w:szCs w:val="21"/>
          <w:lang w:eastAsia="zh-Hans"/>
        </w:rPr>
        <w:t>进行功能扩展或优化，可增加对本项目的合理化建议</w:t>
      </w:r>
      <w:r>
        <w:rPr>
          <w:rFonts w:hint="eastAsia" w:ascii="宋体" w:hAnsi="宋体" w:eastAsia="宋体" w:cs="宋体"/>
          <w:b w:val="0"/>
          <w:bCs w:val="0"/>
          <w:sz w:val="21"/>
          <w:szCs w:val="21"/>
        </w:rPr>
        <w:t>或提供数据增值服务</w:t>
      </w:r>
      <w:r>
        <w:rPr>
          <w:rFonts w:hint="eastAsia" w:ascii="宋体" w:hAnsi="宋体" w:eastAsia="宋体" w:cs="宋体"/>
          <w:b w:val="0"/>
          <w:bCs w:val="0"/>
          <w:sz w:val="21"/>
          <w:szCs w:val="21"/>
          <w:lang w:eastAsia="zh-Hans"/>
        </w:rPr>
        <w:t>。</w:t>
      </w:r>
    </w:p>
    <w:p>
      <w:pPr>
        <w:spacing w:line="440" w:lineRule="exact"/>
        <w:rPr>
          <w:rFonts w:hint="eastAsia" w:ascii="宋体" w:hAnsi="宋体" w:eastAsia="宋体" w:cs="宋体"/>
          <w:b/>
          <w:bCs/>
          <w:sz w:val="21"/>
          <w:szCs w:val="21"/>
          <w:lang w:eastAsia="zh-Hans"/>
        </w:rPr>
      </w:pPr>
    </w:p>
    <w:p>
      <w:pPr>
        <w:pStyle w:val="39"/>
        <w:spacing w:line="440" w:lineRule="exact"/>
        <w:ind w:left="0" w:leftChars="0" w:hanging="50"/>
        <w:rPr>
          <w:rFonts w:hint="eastAsia" w:ascii="宋体" w:hAnsi="宋体" w:eastAsia="宋体" w:cs="宋体"/>
          <w:sz w:val="21"/>
          <w:szCs w:val="21"/>
        </w:rPr>
      </w:pPr>
      <w:r>
        <w:rPr>
          <w:rFonts w:hint="eastAsia" w:ascii="宋体" w:hAnsi="宋体" w:eastAsia="宋体" w:cs="宋体"/>
          <w:sz w:val="21"/>
          <w:szCs w:val="21"/>
        </w:rPr>
        <w:t>四、服务、培训与验收</w:t>
      </w:r>
    </w:p>
    <w:p>
      <w:pPr>
        <w:tabs>
          <w:tab w:val="left" w:pos="0"/>
        </w:tabs>
        <w:snapToGrid w:val="0"/>
        <w:spacing w:line="440" w:lineRule="exact"/>
        <w:ind w:firstLine="482"/>
        <w:contextualSpacing/>
        <w:rPr>
          <w:rFonts w:hint="eastAsia" w:ascii="宋体" w:hAnsi="宋体" w:eastAsia="宋体" w:cs="宋体"/>
          <w:kern w:val="0"/>
          <w:sz w:val="21"/>
          <w:szCs w:val="21"/>
        </w:rPr>
      </w:pPr>
      <w:r>
        <w:rPr>
          <w:rFonts w:hint="eastAsia" w:ascii="宋体" w:hAnsi="宋体" w:eastAsia="宋体" w:cs="宋体"/>
          <w:kern w:val="0"/>
          <w:sz w:val="21"/>
          <w:szCs w:val="21"/>
        </w:rPr>
        <w:t>1.建设工期：</w:t>
      </w:r>
      <w:r>
        <w:rPr>
          <w:rFonts w:hint="eastAsia" w:ascii="宋体" w:hAnsi="宋体" w:eastAsia="宋体" w:cs="宋体"/>
          <w:kern w:val="0"/>
          <w:sz w:val="21"/>
          <w:szCs w:val="21"/>
          <w:lang w:eastAsia="zh-Hans"/>
        </w:rPr>
        <w:t>合同签订后</w:t>
      </w:r>
      <w:r>
        <w:rPr>
          <w:rFonts w:hint="eastAsia" w:ascii="宋体" w:hAnsi="宋体" w:eastAsia="宋体" w:cs="宋体"/>
          <w:kern w:val="0"/>
          <w:sz w:val="21"/>
          <w:szCs w:val="21"/>
        </w:rPr>
        <w:t>1个月</w:t>
      </w:r>
      <w:r>
        <w:rPr>
          <w:rFonts w:hint="eastAsia" w:ascii="宋体" w:hAnsi="宋体" w:eastAsia="宋体" w:cs="宋体"/>
          <w:kern w:val="0"/>
          <w:sz w:val="21"/>
          <w:szCs w:val="21"/>
          <w:lang w:eastAsia="zh-Hans"/>
        </w:rPr>
        <w:t>内</w:t>
      </w:r>
      <w:r>
        <w:rPr>
          <w:rFonts w:hint="eastAsia" w:ascii="宋体" w:hAnsi="宋体" w:eastAsia="宋体" w:cs="宋体"/>
          <w:kern w:val="0"/>
          <w:sz w:val="21"/>
          <w:szCs w:val="21"/>
        </w:rPr>
        <w:t>完成主要功能开发，基本数据完成入库。</w:t>
      </w:r>
    </w:p>
    <w:p>
      <w:pPr>
        <w:tabs>
          <w:tab w:val="left" w:pos="0"/>
        </w:tabs>
        <w:snapToGrid w:val="0"/>
        <w:spacing w:line="440" w:lineRule="exact"/>
        <w:ind w:firstLine="482"/>
        <w:contextualSpacing/>
        <w:rPr>
          <w:rFonts w:hint="eastAsia" w:ascii="宋体" w:hAnsi="宋体" w:eastAsia="宋体" w:cs="宋体"/>
          <w:kern w:val="0"/>
          <w:sz w:val="21"/>
          <w:szCs w:val="21"/>
        </w:rPr>
      </w:pPr>
      <w:r>
        <w:rPr>
          <w:rFonts w:hint="eastAsia" w:ascii="宋体" w:hAnsi="宋体" w:eastAsia="宋体" w:cs="宋体"/>
          <w:kern w:val="0"/>
          <w:sz w:val="21"/>
          <w:szCs w:val="21"/>
        </w:rPr>
        <w:t>2.实施地点：由采购人指定</w:t>
      </w:r>
    </w:p>
    <w:p>
      <w:pPr>
        <w:tabs>
          <w:tab w:val="left" w:pos="0"/>
        </w:tabs>
        <w:snapToGrid w:val="0"/>
        <w:spacing w:line="440" w:lineRule="exact"/>
        <w:ind w:firstLine="482"/>
        <w:contextualSpacing/>
        <w:rPr>
          <w:rFonts w:hint="eastAsia" w:ascii="宋体" w:hAnsi="宋体" w:eastAsia="宋体" w:cs="宋体"/>
          <w:kern w:val="0"/>
          <w:sz w:val="21"/>
          <w:szCs w:val="21"/>
        </w:rPr>
      </w:pPr>
      <w:r>
        <w:rPr>
          <w:rFonts w:hint="eastAsia" w:ascii="宋体" w:hAnsi="宋体" w:eastAsia="宋体" w:cs="宋体"/>
          <w:kern w:val="0"/>
          <w:sz w:val="21"/>
          <w:szCs w:val="21"/>
        </w:rPr>
        <w:t>3.质保期：自项目验收合格之日起三年。</w:t>
      </w:r>
    </w:p>
    <w:p>
      <w:pPr>
        <w:tabs>
          <w:tab w:val="left" w:pos="0"/>
        </w:tabs>
        <w:snapToGrid w:val="0"/>
        <w:spacing w:line="440" w:lineRule="exact"/>
        <w:ind w:firstLine="482"/>
        <w:contextualSpacing/>
        <w:rPr>
          <w:rFonts w:hint="eastAsia" w:ascii="宋体" w:hAnsi="宋体" w:eastAsia="宋体" w:cs="宋体"/>
          <w:kern w:val="0"/>
          <w:sz w:val="21"/>
          <w:szCs w:val="21"/>
        </w:rPr>
      </w:pPr>
      <w:r>
        <w:rPr>
          <w:rFonts w:hint="eastAsia" w:ascii="宋体" w:hAnsi="宋体" w:eastAsia="宋体" w:cs="宋体"/>
          <w:kern w:val="0"/>
          <w:sz w:val="21"/>
          <w:szCs w:val="21"/>
        </w:rPr>
        <w:t>4.售后服务</w:t>
      </w:r>
    </w:p>
    <w:p>
      <w:pPr>
        <w:tabs>
          <w:tab w:val="left" w:pos="0"/>
        </w:tabs>
        <w:snapToGrid w:val="0"/>
        <w:spacing w:line="440" w:lineRule="exact"/>
        <w:ind w:firstLine="420" w:firstLineChars="200"/>
        <w:rPr>
          <w:rFonts w:hint="eastAsia" w:ascii="宋体" w:hAnsi="宋体" w:eastAsia="宋体" w:cs="宋体"/>
          <w:bCs/>
          <w:sz w:val="21"/>
          <w:szCs w:val="21"/>
          <w:lang w:eastAsia="zh-Hans"/>
        </w:rPr>
      </w:pPr>
      <w:r>
        <w:rPr>
          <w:rFonts w:hint="eastAsia" w:ascii="宋体" w:hAnsi="宋体" w:eastAsia="宋体" w:cs="宋体"/>
          <w:bCs/>
          <w:sz w:val="21"/>
          <w:szCs w:val="21"/>
          <w:lang w:eastAsia="zh-Hans"/>
        </w:rPr>
        <w:t>1</w:t>
      </w:r>
      <w:r>
        <w:rPr>
          <w:rFonts w:hint="eastAsia" w:ascii="宋体" w:hAnsi="宋体" w:eastAsia="宋体" w:cs="宋体"/>
          <w:bCs/>
          <w:sz w:val="21"/>
          <w:szCs w:val="21"/>
        </w:rPr>
        <w:t>）</w:t>
      </w:r>
      <w:r>
        <w:rPr>
          <w:rFonts w:hint="eastAsia" w:ascii="宋体" w:hAnsi="宋体" w:eastAsia="宋体" w:cs="宋体"/>
          <w:bCs/>
          <w:sz w:val="21"/>
          <w:szCs w:val="21"/>
          <w:lang w:eastAsia="zh-Hans"/>
        </w:rPr>
        <w:t>投标人应承诺保证该项目按时正式稳定地运行，并承诺提供三年免费服务与质保，质保期自项目验收合格之日起计算。质保期内向采购人提供平台维护、故障处理等保修工作。</w:t>
      </w:r>
    </w:p>
    <w:p>
      <w:pPr>
        <w:tabs>
          <w:tab w:val="left" w:pos="0"/>
        </w:tabs>
        <w:snapToGrid w:val="0"/>
        <w:spacing w:line="440" w:lineRule="exact"/>
        <w:ind w:firstLine="420" w:firstLineChars="200"/>
        <w:rPr>
          <w:rFonts w:hint="eastAsia" w:ascii="宋体" w:hAnsi="宋体" w:eastAsia="宋体" w:cs="宋体"/>
          <w:bCs/>
          <w:sz w:val="21"/>
          <w:szCs w:val="21"/>
          <w:lang w:eastAsia="zh-Hans"/>
        </w:rPr>
      </w:pPr>
      <w:r>
        <w:rPr>
          <w:rFonts w:hint="eastAsia" w:ascii="宋体" w:hAnsi="宋体" w:eastAsia="宋体" w:cs="宋体"/>
          <w:bCs/>
          <w:sz w:val="21"/>
          <w:szCs w:val="21"/>
          <w:lang w:eastAsia="zh-Hans"/>
        </w:rPr>
        <w:t>2</w:t>
      </w:r>
      <w:r>
        <w:rPr>
          <w:rFonts w:hint="eastAsia" w:ascii="宋体" w:hAnsi="宋体" w:eastAsia="宋体" w:cs="宋体"/>
          <w:bCs/>
          <w:sz w:val="21"/>
          <w:szCs w:val="21"/>
        </w:rPr>
        <w:t>）</w:t>
      </w:r>
      <w:r>
        <w:rPr>
          <w:rFonts w:hint="eastAsia" w:ascii="宋体" w:hAnsi="宋体" w:eastAsia="宋体" w:cs="宋体"/>
          <w:bCs/>
          <w:sz w:val="21"/>
          <w:szCs w:val="21"/>
          <w:lang w:eastAsia="zh-Hans"/>
        </w:rPr>
        <w:t>本项目业务需求复杂、服务内容多样、面向用户广泛，服务提供难度大。投标人应有本地服务机构，应建立相对稳定、有业务素养的技术支持与服务队伍，不断跟踪业务需求的变化，进行系统的完善，提供全面的技术支持服务。</w:t>
      </w:r>
    </w:p>
    <w:p>
      <w:pPr>
        <w:tabs>
          <w:tab w:val="left" w:pos="0"/>
        </w:tabs>
        <w:snapToGrid w:val="0"/>
        <w:spacing w:line="440" w:lineRule="exact"/>
        <w:ind w:firstLine="420" w:firstLineChars="200"/>
        <w:rPr>
          <w:rFonts w:hint="eastAsia" w:ascii="宋体" w:hAnsi="宋体" w:eastAsia="宋体" w:cs="宋体"/>
          <w:bCs/>
          <w:sz w:val="21"/>
          <w:szCs w:val="21"/>
          <w:lang w:eastAsia="zh-Hans"/>
        </w:rPr>
      </w:pPr>
      <w:r>
        <w:rPr>
          <w:rFonts w:hint="eastAsia" w:ascii="宋体" w:hAnsi="宋体" w:eastAsia="宋体" w:cs="宋体"/>
          <w:bCs/>
          <w:sz w:val="21"/>
          <w:szCs w:val="21"/>
          <w:lang w:eastAsia="zh-Hans"/>
        </w:rPr>
        <w:t>3</w:t>
      </w:r>
      <w:r>
        <w:rPr>
          <w:rFonts w:hint="eastAsia" w:ascii="宋体" w:hAnsi="宋体" w:eastAsia="宋体" w:cs="宋体"/>
          <w:bCs/>
          <w:sz w:val="21"/>
          <w:szCs w:val="21"/>
        </w:rPr>
        <w:t>）</w:t>
      </w:r>
      <w:r>
        <w:rPr>
          <w:rFonts w:hint="eastAsia" w:ascii="宋体" w:hAnsi="宋体" w:eastAsia="宋体" w:cs="宋体"/>
          <w:bCs/>
          <w:sz w:val="21"/>
          <w:szCs w:val="21"/>
          <w:lang w:eastAsia="zh-Hans"/>
        </w:rPr>
        <w:t>除了上述的有关承诺之外，投标人应根据以下各项具体要求，向用户提供全面、周到、细致、及时的售后服务保障方案，并在投标</w:t>
      </w:r>
      <w:r>
        <w:rPr>
          <w:rFonts w:hint="eastAsia" w:ascii="宋体" w:hAnsi="宋体" w:eastAsia="宋体" w:cs="宋体"/>
          <w:bCs/>
          <w:sz w:val="21"/>
          <w:szCs w:val="21"/>
        </w:rPr>
        <w:t>文件</w:t>
      </w:r>
      <w:r>
        <w:rPr>
          <w:rFonts w:hint="eastAsia" w:ascii="宋体" w:hAnsi="宋体" w:eastAsia="宋体" w:cs="宋体"/>
          <w:bCs/>
          <w:sz w:val="21"/>
          <w:szCs w:val="21"/>
          <w:lang w:eastAsia="zh-Hans"/>
        </w:rPr>
        <w:t>中对以下表述内容做出明确承诺和响应。内容主要包括以下几个方面：</w:t>
      </w:r>
    </w:p>
    <w:p>
      <w:pPr>
        <w:tabs>
          <w:tab w:val="left" w:pos="0"/>
        </w:tabs>
        <w:snapToGrid w:val="0"/>
        <w:spacing w:line="440" w:lineRule="exact"/>
        <w:ind w:firstLine="420" w:firstLineChars="200"/>
        <w:rPr>
          <w:rFonts w:hint="eastAsia" w:ascii="宋体" w:hAnsi="宋体" w:eastAsia="宋体" w:cs="宋体"/>
          <w:bCs/>
          <w:sz w:val="21"/>
          <w:szCs w:val="21"/>
          <w:lang w:eastAsia="zh-Hans"/>
        </w:rPr>
      </w:pPr>
      <w:r>
        <w:rPr>
          <w:rFonts w:hint="eastAsia" w:ascii="宋体" w:hAnsi="宋体" w:eastAsia="宋体" w:cs="宋体"/>
          <w:bCs/>
          <w:sz w:val="21"/>
          <w:szCs w:val="21"/>
          <w:lang w:eastAsia="zh-Hans"/>
        </w:rPr>
        <w:t>（1）投标人有责任和义务向采购人提供本系统相关接口文档资料，并积极配合采购人工作，以便采购人通过接口与其他应用系统进行集成开发。</w:t>
      </w:r>
    </w:p>
    <w:p>
      <w:pPr>
        <w:tabs>
          <w:tab w:val="left" w:pos="0"/>
        </w:tabs>
        <w:snapToGrid w:val="0"/>
        <w:spacing w:line="440" w:lineRule="exact"/>
        <w:ind w:firstLine="420" w:firstLineChars="200"/>
        <w:rPr>
          <w:rFonts w:hint="eastAsia" w:ascii="宋体" w:hAnsi="宋体" w:eastAsia="宋体" w:cs="宋体"/>
          <w:bCs/>
          <w:sz w:val="21"/>
          <w:szCs w:val="21"/>
          <w:lang w:eastAsia="zh-Hans"/>
        </w:rPr>
      </w:pPr>
      <w:r>
        <w:rPr>
          <w:rFonts w:hint="eastAsia" w:ascii="宋体" w:hAnsi="宋体" w:eastAsia="宋体" w:cs="宋体"/>
          <w:bCs/>
          <w:sz w:val="21"/>
          <w:szCs w:val="21"/>
          <w:lang w:eastAsia="zh-Hans"/>
        </w:rPr>
        <w:t>（2）积极配合采购人使用单位完成相关工作，积极配合解决工作过程中的问题。</w:t>
      </w:r>
    </w:p>
    <w:p>
      <w:pPr>
        <w:tabs>
          <w:tab w:val="left" w:pos="0"/>
        </w:tabs>
        <w:snapToGrid w:val="0"/>
        <w:spacing w:line="440" w:lineRule="exact"/>
        <w:ind w:firstLine="420" w:firstLineChars="200"/>
        <w:rPr>
          <w:rFonts w:hint="eastAsia" w:ascii="宋体" w:hAnsi="宋体" w:eastAsia="宋体" w:cs="宋体"/>
          <w:bCs/>
          <w:sz w:val="21"/>
          <w:szCs w:val="21"/>
          <w:lang w:eastAsia="zh-Hans"/>
        </w:rPr>
      </w:pPr>
      <w:r>
        <w:rPr>
          <w:rFonts w:hint="eastAsia" w:ascii="宋体" w:hAnsi="宋体" w:eastAsia="宋体" w:cs="宋体"/>
          <w:bCs/>
          <w:sz w:val="21"/>
          <w:szCs w:val="21"/>
          <w:lang w:eastAsia="zh-Hans"/>
        </w:rPr>
        <w:t>（3）产品质保期内因投标人技术原因产生的质量问题所提供的保修不能向采购人收取任何费用，人为因素、自然因素（如火 灾、雷击等）造成的故障除外。</w:t>
      </w:r>
    </w:p>
    <w:p>
      <w:pPr>
        <w:tabs>
          <w:tab w:val="left" w:pos="0"/>
        </w:tabs>
        <w:snapToGrid w:val="0"/>
        <w:spacing w:line="440" w:lineRule="exact"/>
        <w:ind w:firstLine="420" w:firstLineChars="200"/>
        <w:rPr>
          <w:rFonts w:hint="eastAsia" w:ascii="宋体" w:hAnsi="宋体" w:eastAsia="宋体" w:cs="宋体"/>
          <w:bCs/>
          <w:sz w:val="21"/>
          <w:szCs w:val="21"/>
          <w:lang w:eastAsia="zh-Hans"/>
        </w:rPr>
      </w:pPr>
      <w:r>
        <w:rPr>
          <w:rFonts w:hint="eastAsia" w:ascii="宋体" w:hAnsi="宋体" w:eastAsia="宋体" w:cs="宋体"/>
          <w:bCs/>
          <w:sz w:val="21"/>
          <w:szCs w:val="21"/>
          <w:lang w:eastAsia="zh-Hans"/>
        </w:rPr>
        <w:t>（4）</w:t>
      </w:r>
      <w:r>
        <w:rPr>
          <w:rFonts w:hint="eastAsia" w:ascii="宋体" w:hAnsi="宋体" w:eastAsia="宋体" w:cs="宋体"/>
          <w:kern w:val="0"/>
          <w:sz w:val="21"/>
          <w:szCs w:val="21"/>
        </w:rPr>
        <w:t>▲</w:t>
      </w:r>
      <w:r>
        <w:rPr>
          <w:rFonts w:hint="eastAsia" w:ascii="宋体" w:hAnsi="宋体" w:eastAsia="宋体" w:cs="宋体"/>
          <w:bCs/>
          <w:sz w:val="21"/>
          <w:szCs w:val="21"/>
          <w:lang w:eastAsia="zh-Hans"/>
        </w:rPr>
        <w:t>质保期内，软件故障报修的响应时间为：一般使用问题，接到采购人反馈后实时解决问题；发生故障，接到采购人反馈后4个小时内提供解决方案，24 小时内解决问题；发生严重故障无法运行的，接到采购人反馈后4个小时内提供解决方案，48 小时内解决问题；服务响应方式：根据采购人要求及故障情况提供电子邮件、电话、即时通信工具、远程维护以及现场维护等方式。</w:t>
      </w:r>
    </w:p>
    <w:p>
      <w:pPr>
        <w:tabs>
          <w:tab w:val="left" w:pos="0"/>
        </w:tabs>
        <w:snapToGrid w:val="0"/>
        <w:spacing w:line="440" w:lineRule="exact"/>
        <w:ind w:firstLine="420" w:firstLineChars="200"/>
        <w:rPr>
          <w:rFonts w:hint="eastAsia" w:ascii="宋体" w:hAnsi="宋体" w:eastAsia="宋体" w:cs="宋体"/>
          <w:color w:val="000000"/>
          <w:spacing w:val="-20"/>
          <w:sz w:val="21"/>
          <w:szCs w:val="21"/>
          <w:lang w:val="zh-TW"/>
        </w:rPr>
      </w:pPr>
      <w:r>
        <w:rPr>
          <w:rFonts w:hint="eastAsia" w:ascii="宋体" w:hAnsi="宋体" w:eastAsia="宋体" w:cs="宋体"/>
          <w:bCs/>
          <w:sz w:val="21"/>
          <w:szCs w:val="21"/>
          <w:lang w:eastAsia="zh-Hans"/>
        </w:rPr>
        <w:t>（</w:t>
      </w:r>
      <w:r>
        <w:rPr>
          <w:rFonts w:hint="eastAsia" w:ascii="宋体" w:hAnsi="宋体" w:eastAsia="宋体" w:cs="宋体"/>
          <w:bCs/>
          <w:sz w:val="21"/>
          <w:szCs w:val="21"/>
        </w:rPr>
        <w:t>5</w:t>
      </w:r>
      <w:r>
        <w:rPr>
          <w:rFonts w:hint="eastAsia" w:ascii="宋体" w:hAnsi="宋体" w:eastAsia="宋体" w:cs="宋体"/>
          <w:bCs/>
          <w:sz w:val="21"/>
          <w:szCs w:val="21"/>
          <w:lang w:eastAsia="zh-Hans"/>
        </w:rPr>
        <w:t>）</w:t>
      </w:r>
      <w:r>
        <w:rPr>
          <w:rFonts w:hint="eastAsia" w:ascii="宋体" w:hAnsi="宋体" w:eastAsia="宋体" w:cs="宋体"/>
          <w:kern w:val="0"/>
          <w:sz w:val="21"/>
          <w:szCs w:val="21"/>
        </w:rPr>
        <w:t>▲</w:t>
      </w:r>
      <w:r>
        <w:rPr>
          <w:rFonts w:hint="eastAsia" w:ascii="宋体" w:hAnsi="宋体" w:eastAsia="宋体" w:cs="宋体"/>
          <w:bCs/>
          <w:sz w:val="21"/>
          <w:szCs w:val="21"/>
          <w:lang w:eastAsia="zh-Hans"/>
        </w:rPr>
        <w:t>质保期内，等保测评费用由投标人负责。</w:t>
      </w:r>
    </w:p>
    <w:p>
      <w:pPr>
        <w:tabs>
          <w:tab w:val="left" w:pos="0"/>
        </w:tabs>
        <w:snapToGrid w:val="0"/>
        <w:spacing w:line="440" w:lineRule="exact"/>
        <w:ind w:firstLine="482"/>
        <w:contextualSpacing/>
        <w:rPr>
          <w:rFonts w:hint="eastAsia" w:ascii="宋体" w:hAnsi="宋体" w:eastAsia="宋体" w:cs="宋体"/>
          <w:kern w:val="0"/>
          <w:sz w:val="21"/>
          <w:szCs w:val="21"/>
        </w:rPr>
      </w:pPr>
      <w:r>
        <w:rPr>
          <w:rFonts w:hint="eastAsia" w:ascii="宋体" w:hAnsi="宋体" w:eastAsia="宋体" w:cs="宋体"/>
          <w:kern w:val="0"/>
          <w:sz w:val="21"/>
          <w:szCs w:val="21"/>
        </w:rPr>
        <w:t>5.培训要求：</w:t>
      </w:r>
    </w:p>
    <w:p>
      <w:pPr>
        <w:pStyle w:val="42"/>
        <w:spacing w:line="440" w:lineRule="exact"/>
        <w:ind w:firstLine="420"/>
        <w:rPr>
          <w:rFonts w:hint="eastAsia" w:ascii="宋体" w:hAnsi="宋体" w:eastAsia="宋体" w:cs="宋体"/>
          <w:sz w:val="21"/>
          <w:szCs w:val="21"/>
          <w:lang w:eastAsia="zh-Hans"/>
        </w:rPr>
      </w:pPr>
      <w:r>
        <w:rPr>
          <w:rFonts w:hint="eastAsia" w:ascii="宋体" w:hAnsi="宋体" w:eastAsia="宋体" w:cs="宋体"/>
          <w:sz w:val="21"/>
          <w:szCs w:val="21"/>
          <w:lang w:eastAsia="zh-Hans"/>
        </w:rPr>
        <w:t>面向平台操作用户、系统管理人员以及日常维护相关人员，主要培训以下内容：</w:t>
      </w:r>
    </w:p>
    <w:p>
      <w:pPr>
        <w:snapToGrid w:val="0"/>
        <w:spacing w:line="440" w:lineRule="exact"/>
        <w:ind w:firstLine="420" w:firstLineChars="200"/>
        <w:rPr>
          <w:rFonts w:hint="eastAsia" w:ascii="宋体" w:hAnsi="宋体" w:eastAsia="宋体" w:cs="宋体"/>
          <w:bCs/>
          <w:sz w:val="21"/>
          <w:szCs w:val="21"/>
          <w:lang w:eastAsia="zh-Hans"/>
        </w:rPr>
      </w:pPr>
      <w:r>
        <w:rPr>
          <w:rFonts w:hint="eastAsia" w:ascii="宋体" w:hAnsi="宋体" w:eastAsia="宋体" w:cs="宋体"/>
          <w:bCs/>
          <w:sz w:val="21"/>
          <w:szCs w:val="21"/>
          <w:lang w:eastAsia="zh-Hans"/>
        </w:rPr>
        <w:t>（1）平台操作和使用培训。对平台操作人员进行平台使用培训，确保用户可以熟练掌握平台的日常操作使用。对于平台对外提供服务的用户，需进行必要的相关技术培训和流程培训。</w:t>
      </w:r>
    </w:p>
    <w:p>
      <w:pPr>
        <w:snapToGrid w:val="0"/>
        <w:spacing w:line="440" w:lineRule="exact"/>
        <w:ind w:firstLine="420" w:firstLineChars="200"/>
        <w:rPr>
          <w:rFonts w:hint="eastAsia" w:ascii="宋体" w:hAnsi="宋体" w:eastAsia="宋体" w:cs="宋体"/>
          <w:bCs/>
          <w:sz w:val="21"/>
          <w:szCs w:val="21"/>
          <w:lang w:eastAsia="zh-Hans"/>
        </w:rPr>
      </w:pPr>
      <w:r>
        <w:rPr>
          <w:rFonts w:hint="eastAsia" w:ascii="宋体" w:hAnsi="宋体" w:eastAsia="宋体" w:cs="宋体"/>
          <w:bCs/>
          <w:sz w:val="21"/>
          <w:szCs w:val="21"/>
          <w:lang w:eastAsia="zh-Hans"/>
        </w:rPr>
        <w:t>（2）系统管理培训。对系统管理人员进行平台管理培训，确保管理人员可以对平台用户进行数据权限、功能权限等进行维护。</w:t>
      </w:r>
    </w:p>
    <w:p>
      <w:pPr>
        <w:snapToGrid w:val="0"/>
        <w:spacing w:line="440" w:lineRule="exact"/>
        <w:ind w:firstLine="420" w:firstLineChars="200"/>
        <w:rPr>
          <w:rFonts w:hint="eastAsia" w:ascii="宋体" w:hAnsi="宋体" w:eastAsia="宋体" w:cs="宋体"/>
          <w:bCs/>
          <w:sz w:val="21"/>
          <w:szCs w:val="21"/>
        </w:rPr>
      </w:pPr>
      <w:r>
        <w:rPr>
          <w:rFonts w:hint="eastAsia" w:ascii="宋体" w:hAnsi="宋体" w:eastAsia="宋体" w:cs="宋体"/>
          <w:bCs/>
          <w:sz w:val="21"/>
          <w:szCs w:val="21"/>
          <w:lang w:eastAsia="zh-Hans"/>
        </w:rPr>
        <w:t>（3）系统日常维护培训。对信息化系统运维人员进行系统的日常维护培训，包括对应用系统故障的排除等，保证系统运行的可靠性及持续性。在系统扩展时，也提供对系统管理人员的后续培训。</w:t>
      </w:r>
    </w:p>
    <w:p>
      <w:pPr>
        <w:tabs>
          <w:tab w:val="left" w:pos="0"/>
        </w:tabs>
        <w:snapToGrid w:val="0"/>
        <w:spacing w:line="440" w:lineRule="exact"/>
        <w:ind w:firstLine="482"/>
        <w:contextualSpacing/>
        <w:rPr>
          <w:rFonts w:hint="eastAsia" w:ascii="宋体" w:hAnsi="宋体" w:eastAsia="宋体" w:cs="宋体"/>
          <w:kern w:val="0"/>
          <w:sz w:val="21"/>
          <w:szCs w:val="21"/>
        </w:rPr>
      </w:pPr>
      <w:r>
        <w:rPr>
          <w:rFonts w:hint="eastAsia" w:ascii="宋体" w:hAnsi="宋体" w:eastAsia="宋体" w:cs="宋体"/>
          <w:kern w:val="0"/>
          <w:sz w:val="21"/>
          <w:szCs w:val="21"/>
        </w:rPr>
        <w:t>6.验收要求：</w:t>
      </w:r>
    </w:p>
    <w:p>
      <w:pPr>
        <w:pStyle w:val="7"/>
        <w:spacing w:before="0" w:line="440" w:lineRule="exact"/>
        <w:ind w:firstLine="367" w:firstLineChars="175"/>
        <w:rPr>
          <w:rFonts w:hint="eastAsia" w:ascii="宋体" w:hAnsi="宋体" w:eastAsia="宋体" w:cs="宋体"/>
          <w:bCs/>
          <w:sz w:val="21"/>
          <w:szCs w:val="21"/>
        </w:rPr>
      </w:pPr>
      <w:r>
        <w:rPr>
          <w:rFonts w:hint="eastAsia" w:ascii="宋体" w:hAnsi="宋体" w:eastAsia="宋体" w:cs="宋体"/>
          <w:bCs/>
          <w:sz w:val="21"/>
          <w:szCs w:val="21"/>
        </w:rPr>
        <w:t>（1）中标人应提供第三方专业检测机构对软件系统相关功能模块的检测报告，三级等保测评报告、密评报告等，并与采购合同一起作为履约内容验收标准。采购人成立验收小组，对合同内容验收合格后，双方共同签署验收书，验收中发现履约内容达不到合同规定的验收标准，中标人必须在30日内及时处理，直到验收合格为止。</w:t>
      </w:r>
    </w:p>
    <w:p>
      <w:pPr>
        <w:pStyle w:val="7"/>
        <w:spacing w:before="0" w:line="440" w:lineRule="exact"/>
        <w:ind w:firstLine="367" w:firstLineChars="175"/>
        <w:rPr>
          <w:rFonts w:hint="eastAsia" w:ascii="宋体" w:hAnsi="宋体" w:eastAsia="宋体" w:cs="宋体"/>
          <w:bCs/>
          <w:sz w:val="21"/>
          <w:szCs w:val="21"/>
        </w:rPr>
      </w:pPr>
      <w:r>
        <w:rPr>
          <w:rFonts w:hint="eastAsia" w:ascii="宋体" w:hAnsi="宋体" w:eastAsia="宋体" w:cs="宋体"/>
          <w:bCs/>
          <w:sz w:val="21"/>
          <w:szCs w:val="21"/>
        </w:rPr>
        <w:t>（2）中标人应负责准备验收所需的相关材料，如图片、文字、视频等。</w:t>
      </w:r>
    </w:p>
    <w:p>
      <w:pPr>
        <w:pStyle w:val="7"/>
        <w:spacing w:before="0" w:line="440" w:lineRule="exact"/>
        <w:ind w:firstLine="367" w:firstLineChars="175"/>
        <w:rPr>
          <w:rFonts w:hint="eastAsia" w:ascii="宋体" w:hAnsi="宋体" w:eastAsia="宋体" w:cs="宋体"/>
          <w:bCs/>
          <w:sz w:val="21"/>
          <w:szCs w:val="21"/>
        </w:rPr>
      </w:pPr>
      <w:r>
        <w:rPr>
          <w:rFonts w:hint="eastAsia" w:ascii="宋体" w:hAnsi="宋体" w:eastAsia="宋体" w:cs="宋体"/>
          <w:bCs/>
          <w:sz w:val="21"/>
          <w:szCs w:val="21"/>
        </w:rPr>
        <w:t>（3）验收合格的项目，采购人将根据采购合同的约定及时向供应商支付采购资金。采购合同的履行、违约责任和解决争议的方式等适用《中华人民共和国民法典》。中标人在履约过程中有政府采购法律法规规定的违法违规情形的，采购人应当及时报告本级财政部门。</w:t>
      </w:r>
    </w:p>
    <w:p>
      <w:pPr>
        <w:pStyle w:val="39"/>
        <w:spacing w:line="440" w:lineRule="exact"/>
        <w:ind w:left="0" w:leftChars="0" w:hanging="50"/>
        <w:rPr>
          <w:rFonts w:hint="eastAsia" w:ascii="宋体" w:hAnsi="宋体" w:eastAsia="宋体" w:cs="宋体"/>
          <w:sz w:val="21"/>
          <w:szCs w:val="21"/>
        </w:rPr>
      </w:pPr>
      <w:r>
        <w:rPr>
          <w:rFonts w:hint="eastAsia" w:ascii="宋体" w:hAnsi="宋体" w:eastAsia="宋体" w:cs="宋体"/>
          <w:sz w:val="21"/>
          <w:szCs w:val="21"/>
        </w:rPr>
        <w:t>五、其他</w:t>
      </w:r>
    </w:p>
    <w:p>
      <w:pPr>
        <w:pStyle w:val="41"/>
        <w:spacing w:line="440" w:lineRule="exact"/>
        <w:ind w:firstLine="420"/>
        <w:rPr>
          <w:rFonts w:hint="eastAsia" w:ascii="宋体" w:hAnsi="宋体" w:eastAsia="宋体" w:cs="宋体"/>
          <w:color w:val="000000"/>
          <w:sz w:val="21"/>
          <w:szCs w:val="21"/>
        </w:rPr>
      </w:pPr>
      <w:r>
        <w:rPr>
          <w:rFonts w:hint="eastAsia" w:ascii="宋体" w:hAnsi="宋体" w:eastAsia="宋体" w:cs="宋体"/>
          <w:color w:val="000000"/>
          <w:sz w:val="21"/>
          <w:szCs w:val="21"/>
          <w:lang w:val="zh-CN"/>
        </w:rPr>
        <w:t>1、不允许联合体投标</w:t>
      </w:r>
      <w:r>
        <w:rPr>
          <w:rFonts w:hint="eastAsia" w:ascii="宋体" w:hAnsi="宋体" w:eastAsia="宋体" w:cs="宋体"/>
          <w:color w:val="000000"/>
          <w:sz w:val="21"/>
          <w:szCs w:val="21"/>
        </w:rPr>
        <w:t>。</w:t>
      </w:r>
    </w:p>
    <w:p>
      <w:pPr>
        <w:pStyle w:val="41"/>
        <w:spacing w:line="440" w:lineRule="exact"/>
        <w:ind w:firstLine="420"/>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2、本项目监理费、编制可行性研究报告的咨询费、安全建设费用、第三方测评费用、验收费用由中标人承担。</w:t>
      </w:r>
    </w:p>
    <w:p>
      <w:pPr>
        <w:pStyle w:val="39"/>
        <w:spacing w:line="440" w:lineRule="exact"/>
        <w:ind w:left="0" w:leftChars="0" w:hanging="50"/>
        <w:rPr>
          <w:rFonts w:hint="eastAsia" w:ascii="宋体" w:hAnsi="宋体" w:eastAsia="宋体" w:cs="宋体"/>
          <w:sz w:val="21"/>
          <w:szCs w:val="21"/>
        </w:rPr>
      </w:pPr>
      <w:r>
        <w:rPr>
          <w:rFonts w:hint="eastAsia" w:ascii="宋体" w:hAnsi="宋体" w:eastAsia="宋体" w:cs="宋体"/>
          <w:sz w:val="21"/>
          <w:szCs w:val="21"/>
        </w:rPr>
        <w:t>六、投标文件制作要求</w:t>
      </w:r>
    </w:p>
    <w:p>
      <w:pPr>
        <w:spacing w:line="440" w:lineRule="exact"/>
        <w:ind w:firstLine="420" w:firstLineChars="200"/>
        <w:rPr>
          <w:rFonts w:hint="eastAsia" w:ascii="宋体" w:hAnsi="宋体" w:eastAsia="宋体" w:cs="宋体"/>
          <w:b/>
          <w:bCs/>
          <w:sz w:val="21"/>
          <w:szCs w:val="21"/>
          <w:lang w:eastAsia="zh-Hans"/>
        </w:rPr>
      </w:pPr>
      <w:r>
        <w:rPr>
          <w:rFonts w:hint="eastAsia" w:ascii="宋体" w:hAnsi="宋体" w:eastAsia="宋体" w:cs="宋体"/>
          <w:kern w:val="0"/>
          <w:sz w:val="21"/>
          <w:szCs w:val="21"/>
        </w:rPr>
        <w:t>投标文件要求编制完整、格式规范、内容齐全、表述准确、条理清晰，内容无前后矛盾，符合招标文件要求。相关资料的提供情况真实、完整、清晰、有序、合理。</w:t>
      </w:r>
    </w:p>
    <w:p>
      <w:pPr>
        <w:rPr>
          <w:rFonts w:hint="eastAsia" w:ascii="宋体" w:hAnsi="宋体" w:eastAsia="宋体" w:cs="宋体"/>
          <w:sz w:val="21"/>
          <w:szCs w:val="21"/>
        </w:rPr>
      </w:pPr>
    </w:p>
    <w:p>
      <w:pPr>
        <w:pStyle w:val="5"/>
        <w:rPr>
          <w:rFonts w:hint="eastAsia" w:ascii="宋体" w:hAnsi="宋体" w:eastAsia="宋体" w:cs="宋体"/>
          <w:sz w:val="21"/>
          <w:szCs w:val="21"/>
        </w:rPr>
      </w:pPr>
    </w:p>
    <w:p>
      <w:pPr>
        <w:rPr>
          <w:rFonts w:hint="eastAsia" w:ascii="宋体" w:hAnsi="宋体" w:eastAsia="宋体" w:cs="宋体"/>
          <w:b/>
          <w:sz w:val="21"/>
          <w:szCs w:val="21"/>
        </w:rPr>
      </w:pPr>
    </w:p>
    <w:p>
      <w:pPr>
        <w:spacing w:line="360" w:lineRule="auto"/>
        <w:ind w:firstLine="420" w:firstLineChars="200"/>
        <w:jc w:val="left"/>
        <w:rPr>
          <w:rFonts w:hint="eastAsia" w:ascii="宋体" w:hAnsi="宋体" w:eastAsia="宋体" w:cs="宋体"/>
          <w:sz w:val="21"/>
          <w:szCs w:val="21"/>
        </w:rPr>
      </w:pPr>
    </w:p>
    <w:p>
      <w:pPr>
        <w:tabs>
          <w:tab w:val="left" w:pos="2893"/>
        </w:tabs>
        <w:spacing w:line="360" w:lineRule="auto"/>
        <w:jc w:val="left"/>
        <w:rPr>
          <w:rFonts w:hint="eastAsia" w:ascii="宋体" w:hAnsi="宋体" w:eastAsia="宋体" w:cs="宋体"/>
          <w:sz w:val="21"/>
          <w:szCs w:val="21"/>
        </w:rPr>
      </w:pPr>
    </w:p>
    <w:p>
      <w:pPr>
        <w:pStyle w:val="7"/>
        <w:rPr>
          <w:rFonts w:hint="eastAsia" w:ascii="宋体" w:hAnsi="宋体" w:eastAsia="宋体" w:cs="宋体"/>
          <w:kern w:val="2"/>
          <w:sz w:val="21"/>
          <w:szCs w:val="21"/>
        </w:rPr>
        <w:sectPr>
          <w:footerReference r:id="rId51" w:type="default"/>
          <w:pgSz w:w="11850" w:h="16783"/>
          <w:pgMar w:top="1440" w:right="1800" w:bottom="1440" w:left="1800" w:header="851" w:footer="851" w:gutter="0"/>
          <w:cols w:space="720" w:num="1"/>
          <w:docGrid w:linePitch="272" w:charSpace="-3831"/>
        </w:sectPr>
      </w:pPr>
    </w:p>
    <w:p>
      <w:pPr>
        <w:keepNext/>
        <w:spacing w:line="360" w:lineRule="auto"/>
        <w:jc w:val="center"/>
        <w:outlineLvl w:val="0"/>
        <w:rPr>
          <w:rFonts w:ascii="宋体" w:hAnsi="宋体" w:cs="宋体"/>
          <w:b/>
          <w:sz w:val="32"/>
          <w:szCs w:val="24"/>
        </w:rPr>
      </w:pPr>
      <w:bookmarkStart w:id="200" w:name="_Toc12333"/>
      <w:r>
        <w:rPr>
          <w:rFonts w:hint="eastAsia" w:ascii="宋体" w:hAnsi="宋体" w:cs="宋体"/>
          <w:b/>
          <w:sz w:val="32"/>
          <w:szCs w:val="24"/>
        </w:rPr>
        <w:t>第七章  评标办法</w:t>
      </w:r>
    </w:p>
    <w:p>
      <w:pPr>
        <w:snapToGrid w:val="0"/>
        <w:spacing w:line="360" w:lineRule="auto"/>
        <w:ind w:firstLine="420" w:firstLineChars="200"/>
        <w:rPr>
          <w:rFonts w:ascii="宋体" w:hAnsi="宋体" w:cs="宋体"/>
          <w:szCs w:val="21"/>
        </w:rPr>
      </w:pPr>
      <w:r>
        <w:rPr>
          <w:rFonts w:hint="eastAsia" w:ascii="宋体" w:hAnsi="宋体" w:cs="宋体"/>
          <w:szCs w:val="21"/>
        </w:rPr>
        <w:t>根据《中华人民共和国政府采购法》、《政府采购货物和服务招标投标管理办法》等有关法律法规，结合本项目的实际，按照公正、公平、科学、择优的原则选择中标人，特制定本办法。</w:t>
      </w:r>
    </w:p>
    <w:p>
      <w:pPr>
        <w:snapToGrid w:val="0"/>
        <w:spacing w:line="360" w:lineRule="auto"/>
        <w:ind w:firstLine="420" w:firstLineChars="200"/>
        <w:outlineLvl w:val="1"/>
        <w:rPr>
          <w:rFonts w:ascii="宋体" w:hAnsi="宋体" w:cs="宋体"/>
          <w:szCs w:val="21"/>
        </w:rPr>
      </w:pPr>
      <w:r>
        <w:rPr>
          <w:rFonts w:hint="eastAsia" w:ascii="宋体" w:hAnsi="宋体" w:cs="宋体"/>
          <w:szCs w:val="21"/>
        </w:rPr>
        <w:t>一、评标原则</w:t>
      </w:r>
    </w:p>
    <w:p>
      <w:pPr>
        <w:snapToGrid w:val="0"/>
        <w:spacing w:line="360" w:lineRule="auto"/>
        <w:ind w:firstLine="420" w:firstLineChars="200"/>
        <w:rPr>
          <w:rFonts w:ascii="宋体" w:hAnsi="宋体" w:cs="宋体"/>
          <w:szCs w:val="21"/>
        </w:rPr>
      </w:pPr>
      <w:r>
        <w:rPr>
          <w:rFonts w:hint="eastAsia" w:ascii="宋体" w:hAnsi="宋体" w:cs="宋体"/>
          <w:szCs w:val="21"/>
        </w:rPr>
        <w:t>1.1本项目评标采用综合评分法，即投标文件满足招标文件全部实质性要求，且按照评审因素的量化指标评审得分最高的投标人为中标候选人。</w:t>
      </w:r>
    </w:p>
    <w:p>
      <w:pPr>
        <w:snapToGrid w:val="0"/>
        <w:spacing w:line="360" w:lineRule="auto"/>
        <w:ind w:firstLine="420" w:firstLineChars="200"/>
        <w:rPr>
          <w:rFonts w:ascii="宋体" w:hAnsi="宋体" w:cs="宋体"/>
          <w:szCs w:val="21"/>
        </w:rPr>
      </w:pPr>
      <w:r>
        <w:rPr>
          <w:rFonts w:hint="eastAsia" w:ascii="宋体" w:hAnsi="宋体" w:cs="宋体"/>
          <w:szCs w:val="21"/>
        </w:rPr>
        <w:t>1.2评标工作由采购代理机构负责组织，具体评标事务由招标人依法组建的评标委员会负责，并独立履行下列职责：</w:t>
      </w:r>
    </w:p>
    <w:p>
      <w:pPr>
        <w:snapToGrid w:val="0"/>
        <w:spacing w:line="360" w:lineRule="auto"/>
        <w:ind w:firstLine="420" w:firstLineChars="200"/>
        <w:rPr>
          <w:rFonts w:ascii="宋体" w:hAnsi="宋体" w:cs="宋体"/>
          <w:szCs w:val="21"/>
        </w:rPr>
      </w:pPr>
      <w:r>
        <w:rPr>
          <w:rFonts w:hint="eastAsia" w:ascii="宋体" w:hAnsi="宋体" w:cs="宋体"/>
          <w:szCs w:val="21"/>
        </w:rPr>
        <w:t>1.2.1审查投标文件是否符合招标文件要求，并作出评价；</w:t>
      </w:r>
    </w:p>
    <w:p>
      <w:pPr>
        <w:snapToGrid w:val="0"/>
        <w:spacing w:line="360" w:lineRule="auto"/>
        <w:ind w:firstLine="420" w:firstLineChars="200"/>
        <w:rPr>
          <w:rFonts w:ascii="宋体" w:hAnsi="宋体" w:cs="宋体"/>
          <w:szCs w:val="21"/>
        </w:rPr>
      </w:pPr>
      <w:r>
        <w:rPr>
          <w:rFonts w:hint="eastAsia" w:ascii="宋体" w:hAnsi="宋体" w:cs="宋体"/>
          <w:szCs w:val="21"/>
        </w:rPr>
        <w:t>1.2.2要求投标供应商对投标文件有关事项作出解释或者澄清；</w:t>
      </w:r>
    </w:p>
    <w:p>
      <w:pPr>
        <w:snapToGrid w:val="0"/>
        <w:spacing w:line="360" w:lineRule="auto"/>
        <w:ind w:firstLine="420" w:firstLineChars="200"/>
        <w:rPr>
          <w:rFonts w:ascii="宋体" w:hAnsi="宋体" w:cs="宋体"/>
          <w:szCs w:val="21"/>
        </w:rPr>
      </w:pPr>
      <w:r>
        <w:rPr>
          <w:rFonts w:hint="eastAsia" w:ascii="宋体" w:hAnsi="宋体" w:cs="宋体"/>
          <w:szCs w:val="21"/>
        </w:rPr>
        <w:t>1.2.3推荐中标候选供应商名单，或者受采购人委托按照事先确定的办法直接确定中标供应；</w:t>
      </w:r>
    </w:p>
    <w:p>
      <w:pPr>
        <w:snapToGrid w:val="0"/>
        <w:spacing w:line="360" w:lineRule="auto"/>
        <w:ind w:firstLine="420" w:firstLineChars="200"/>
        <w:rPr>
          <w:rFonts w:ascii="宋体" w:hAnsi="宋体" w:cs="宋体"/>
          <w:szCs w:val="21"/>
        </w:rPr>
      </w:pPr>
      <w:r>
        <w:rPr>
          <w:rFonts w:hint="eastAsia" w:ascii="宋体" w:hAnsi="宋体" w:cs="宋体"/>
          <w:szCs w:val="21"/>
        </w:rPr>
        <w:t>1.2.4向招标采购单位或者有关部门报告非法干预评标工作的行为。</w:t>
      </w:r>
    </w:p>
    <w:p>
      <w:pPr>
        <w:snapToGrid w:val="0"/>
        <w:spacing w:line="360" w:lineRule="auto"/>
        <w:ind w:firstLine="420" w:firstLineChars="200"/>
        <w:rPr>
          <w:rFonts w:ascii="宋体" w:hAnsi="宋体" w:cs="宋体"/>
          <w:szCs w:val="21"/>
        </w:rPr>
      </w:pPr>
      <w:r>
        <w:rPr>
          <w:rFonts w:hint="eastAsia" w:ascii="宋体" w:hAnsi="宋体" w:cs="宋体"/>
          <w:szCs w:val="21"/>
        </w:rPr>
        <w:t>1.3评审专家不得参加与自己有利害关系的政府采购项目的评审活动。评标委员会成员有下列情形之一的，应当回避：</w:t>
      </w:r>
    </w:p>
    <w:p>
      <w:pPr>
        <w:snapToGrid w:val="0"/>
        <w:spacing w:line="360" w:lineRule="auto"/>
        <w:ind w:firstLine="420" w:firstLineChars="200"/>
        <w:rPr>
          <w:rFonts w:ascii="宋体" w:hAnsi="宋体" w:cs="宋体"/>
          <w:szCs w:val="21"/>
        </w:rPr>
      </w:pPr>
      <w:r>
        <w:rPr>
          <w:rFonts w:hint="eastAsia" w:ascii="宋体" w:hAnsi="宋体" w:cs="宋体"/>
          <w:szCs w:val="21"/>
        </w:rPr>
        <w:t>1.3.1参加采购活动前3年内与供应商存在劳动关系；</w:t>
      </w:r>
    </w:p>
    <w:p>
      <w:pPr>
        <w:snapToGrid w:val="0"/>
        <w:spacing w:line="360" w:lineRule="auto"/>
        <w:ind w:firstLine="420" w:firstLineChars="200"/>
        <w:rPr>
          <w:rFonts w:ascii="宋体" w:hAnsi="宋体" w:cs="宋体"/>
          <w:szCs w:val="21"/>
        </w:rPr>
      </w:pPr>
      <w:r>
        <w:rPr>
          <w:rFonts w:hint="eastAsia" w:ascii="宋体" w:hAnsi="宋体" w:cs="宋体"/>
          <w:szCs w:val="21"/>
        </w:rPr>
        <w:t>1.3.2参加采购活动前3年内担任供应商的董事、监事；</w:t>
      </w:r>
    </w:p>
    <w:p>
      <w:pPr>
        <w:snapToGrid w:val="0"/>
        <w:spacing w:line="360" w:lineRule="auto"/>
        <w:ind w:firstLine="420" w:firstLineChars="200"/>
        <w:rPr>
          <w:rFonts w:ascii="宋体" w:hAnsi="宋体" w:cs="宋体"/>
          <w:szCs w:val="21"/>
        </w:rPr>
      </w:pPr>
      <w:r>
        <w:rPr>
          <w:rFonts w:hint="eastAsia" w:ascii="宋体" w:hAnsi="宋体" w:cs="宋体"/>
          <w:szCs w:val="21"/>
        </w:rPr>
        <w:t>1.3.3参加采购活动前3年内是供应商的控股股东或者实际控制人；</w:t>
      </w:r>
    </w:p>
    <w:p>
      <w:pPr>
        <w:snapToGrid w:val="0"/>
        <w:spacing w:line="360" w:lineRule="auto"/>
        <w:ind w:firstLine="420" w:firstLineChars="200"/>
        <w:rPr>
          <w:rFonts w:ascii="宋体" w:hAnsi="宋体" w:cs="宋体"/>
          <w:szCs w:val="21"/>
        </w:rPr>
      </w:pPr>
      <w:r>
        <w:rPr>
          <w:rFonts w:hint="eastAsia" w:ascii="宋体" w:hAnsi="宋体" w:cs="宋体"/>
          <w:szCs w:val="21"/>
        </w:rPr>
        <w:t>1.3.4与供应商的法定代表人或者负责人有夫妻、直系血亲、三代以内旁系血亲或者近姻亲关系；</w:t>
      </w:r>
    </w:p>
    <w:p>
      <w:pPr>
        <w:snapToGrid w:val="0"/>
        <w:spacing w:line="360" w:lineRule="auto"/>
        <w:ind w:firstLine="420" w:firstLineChars="200"/>
        <w:rPr>
          <w:rFonts w:ascii="宋体" w:hAnsi="宋体" w:cs="宋体"/>
          <w:szCs w:val="21"/>
        </w:rPr>
      </w:pPr>
      <w:r>
        <w:rPr>
          <w:rFonts w:hint="eastAsia" w:ascii="宋体" w:hAnsi="宋体" w:cs="宋体"/>
          <w:szCs w:val="21"/>
        </w:rPr>
        <w:t>1.3.5与供应商有其他可能影响政府采购活动公平、公正进行的关系。</w:t>
      </w:r>
    </w:p>
    <w:p>
      <w:pPr>
        <w:snapToGrid w:val="0"/>
        <w:spacing w:line="360" w:lineRule="auto"/>
        <w:ind w:firstLine="420" w:firstLineChars="200"/>
        <w:rPr>
          <w:rFonts w:ascii="宋体" w:hAnsi="宋体" w:cs="宋体"/>
          <w:szCs w:val="21"/>
        </w:rPr>
      </w:pPr>
      <w:r>
        <w:rPr>
          <w:rFonts w:hint="eastAsia" w:ascii="宋体" w:hAnsi="宋体" w:cs="宋体"/>
          <w:szCs w:val="21"/>
        </w:rPr>
        <w:t>1.4评标委员会必须公平、公正、客观，不带任何倾向性和启发性；不得向外界透露任何与评标有关的内容；任何单位和个人不得干扰、影响评标的正常进行；评标委员会及有关工作人员不得私下与投标人接触。</w:t>
      </w:r>
    </w:p>
    <w:p>
      <w:pPr>
        <w:snapToGrid w:val="0"/>
        <w:spacing w:line="360" w:lineRule="auto"/>
        <w:ind w:firstLine="420" w:firstLineChars="200"/>
        <w:rPr>
          <w:rFonts w:ascii="宋体" w:hAnsi="宋体" w:cs="宋体"/>
          <w:szCs w:val="21"/>
        </w:rPr>
      </w:pPr>
      <w:r>
        <w:rPr>
          <w:rFonts w:hint="eastAsia" w:ascii="宋体" w:hAnsi="宋体" w:cs="宋体"/>
          <w:szCs w:val="21"/>
        </w:rPr>
        <w:t>1.5评标委员会的评审工作应遵循政府采购的有关规定进行，对投标文件作出的评审结论，应当符合有关法律、法规、规章和招标文件的规定。</w:t>
      </w:r>
    </w:p>
    <w:p>
      <w:pPr>
        <w:snapToGrid w:val="0"/>
        <w:spacing w:line="360" w:lineRule="auto"/>
        <w:ind w:firstLine="420" w:firstLineChars="200"/>
        <w:outlineLvl w:val="1"/>
        <w:rPr>
          <w:rFonts w:ascii="宋体" w:hAnsi="宋体" w:cs="宋体"/>
          <w:szCs w:val="21"/>
        </w:rPr>
      </w:pPr>
      <w:r>
        <w:rPr>
          <w:rFonts w:hint="eastAsia" w:ascii="宋体" w:hAnsi="宋体" w:cs="宋体"/>
          <w:szCs w:val="21"/>
        </w:rPr>
        <w:t>二、组建评标委员会</w:t>
      </w:r>
    </w:p>
    <w:p>
      <w:pPr>
        <w:snapToGrid w:val="0"/>
        <w:spacing w:line="360" w:lineRule="auto"/>
        <w:ind w:firstLine="420" w:firstLineChars="200"/>
        <w:rPr>
          <w:rFonts w:ascii="宋体" w:hAnsi="宋体" w:cs="宋体"/>
          <w:szCs w:val="21"/>
        </w:rPr>
      </w:pPr>
      <w:r>
        <w:rPr>
          <w:rFonts w:hint="eastAsia" w:ascii="宋体" w:hAnsi="宋体" w:cs="宋体"/>
          <w:szCs w:val="21"/>
        </w:rPr>
        <w:t>评标工作由招标人依法组建的评标委员会（评标专家组）负责。</w:t>
      </w:r>
    </w:p>
    <w:p>
      <w:pPr>
        <w:snapToGrid w:val="0"/>
        <w:spacing w:line="360" w:lineRule="auto"/>
        <w:ind w:firstLine="420" w:firstLineChars="200"/>
        <w:outlineLvl w:val="1"/>
        <w:rPr>
          <w:rFonts w:ascii="宋体" w:hAnsi="宋体" w:cs="宋体"/>
          <w:szCs w:val="21"/>
        </w:rPr>
      </w:pPr>
      <w:r>
        <w:rPr>
          <w:rFonts w:hint="eastAsia" w:ascii="宋体" w:hAnsi="宋体" w:cs="宋体"/>
          <w:szCs w:val="21"/>
        </w:rPr>
        <w:t>三、评标程序和内容</w:t>
      </w:r>
    </w:p>
    <w:p>
      <w:pPr>
        <w:snapToGrid w:val="0"/>
        <w:spacing w:line="360" w:lineRule="auto"/>
        <w:ind w:firstLine="420" w:firstLineChars="200"/>
        <w:rPr>
          <w:rFonts w:ascii="宋体" w:hAnsi="宋体" w:cs="宋体"/>
          <w:szCs w:val="21"/>
        </w:rPr>
      </w:pPr>
      <w:r>
        <w:rPr>
          <w:rFonts w:hint="eastAsia" w:ascii="宋体" w:hAnsi="宋体" w:cs="宋体"/>
          <w:szCs w:val="21"/>
        </w:rPr>
        <w:t>3.1评标的一般程序</w:t>
      </w:r>
    </w:p>
    <w:p>
      <w:pPr>
        <w:snapToGrid w:val="0"/>
        <w:spacing w:line="360" w:lineRule="auto"/>
        <w:ind w:firstLine="420" w:firstLineChars="200"/>
        <w:rPr>
          <w:rFonts w:ascii="宋体" w:hAnsi="宋体" w:cs="宋体"/>
          <w:szCs w:val="21"/>
        </w:rPr>
      </w:pPr>
      <w:r>
        <w:rPr>
          <w:rFonts w:hint="eastAsia" w:ascii="宋体" w:hAnsi="宋体" w:cs="宋体"/>
          <w:szCs w:val="21"/>
        </w:rPr>
        <w:t>3.1.1推荐评标委员会组长；</w:t>
      </w:r>
    </w:p>
    <w:p>
      <w:pPr>
        <w:snapToGrid w:val="0"/>
        <w:spacing w:line="360" w:lineRule="auto"/>
        <w:ind w:firstLine="420" w:firstLineChars="200"/>
        <w:rPr>
          <w:rFonts w:ascii="宋体" w:hAnsi="宋体" w:cs="宋体"/>
          <w:szCs w:val="21"/>
        </w:rPr>
      </w:pPr>
      <w:r>
        <w:rPr>
          <w:rFonts w:hint="eastAsia" w:ascii="宋体" w:hAnsi="宋体" w:cs="宋体"/>
          <w:szCs w:val="21"/>
        </w:rPr>
        <mc:AlternateContent>
          <mc:Choice Requires="wps">
            <w:drawing>
              <wp:anchor distT="0" distB="0" distL="114300" distR="114300" simplePos="0" relativeHeight="251661312" behindDoc="0" locked="0" layoutInCell="0" allowOverlap="1">
                <wp:simplePos x="0" y="0"/>
                <wp:positionH relativeFrom="page">
                  <wp:posOffset>1012190</wp:posOffset>
                </wp:positionH>
                <wp:positionV relativeFrom="page">
                  <wp:posOffset>6245225</wp:posOffset>
                </wp:positionV>
                <wp:extent cx="142240" cy="172720"/>
                <wp:effectExtent l="0" t="0" r="10160" b="17780"/>
                <wp:wrapNone/>
                <wp:docPr id="26" name="文本框 26" descr="TextBox 57"/>
                <wp:cNvGraphicFramePr/>
                <a:graphic xmlns:a="http://schemas.openxmlformats.org/drawingml/2006/main">
                  <a:graphicData uri="http://schemas.microsoft.com/office/word/2010/wordprocessingShape">
                    <wps:wsp>
                      <wps:cNvSpPr txBox="1"/>
                      <wps:spPr>
                        <a:xfrm rot="21600000">
                          <a:off x="0" y="0"/>
                          <a:ext cx="142240" cy="172720"/>
                        </a:xfrm>
                        <a:prstGeom prst="rect">
                          <a:avLst/>
                        </a:prstGeom>
                        <a:noFill/>
                        <a:ln w="0">
                          <a:noFill/>
                        </a:ln>
                        <a:effectLst/>
                      </wps:spPr>
                      <wps:txbx>
                        <w:txbxContent>
                          <w:p>
                            <w:pPr>
                              <w:spacing w:before="19" w:line="204" w:lineRule="auto"/>
                              <w:ind w:firstLine="20"/>
                              <w:jc w:val="left"/>
                              <w:rPr>
                                <w:rFonts w:ascii="宋体" w:hAnsi="宋体" w:cs="宋体"/>
                                <w:szCs w:val="21"/>
                              </w:rPr>
                            </w:pPr>
                            <w:r>
                              <w:rPr>
                                <w:rFonts w:ascii="宋体" w:hAnsi="宋体" w:cs="宋体"/>
                                <w:szCs w:val="21"/>
                              </w:rPr>
                              <w:t>的</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alt="TextBox 57" type="#_x0000_t202" style="position:absolute;left:0pt;margin-left:79.7pt;margin-top:491.75pt;height:13.6pt;width:11.2pt;mso-position-horizontal-relative:page;mso-position-vertical-relative:page;z-index:251661312;mso-width-relative:page;mso-height-relative:page;" filled="f" stroked="f" coordsize="21600,21600" o:allowincell="f" o:gfxdata="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IxXpYTbAAAADAEAAA8AAAAAAAAA&#10;AQAgAAAAIgAAAGRycy9kb3ducmV2LnhtbFBLAQIUABQAAAAIAIdO4kA/+kMeRwIAAIQEAAAOAAAA&#10;AAAAAAEAIAAAACoBAABkcnMvZTJvRG9jLnhtbFBLBQYAAAAABgAGAFkBAADjBQAAAAA=&#10;">
                <v:fill on="f" focussize="0,0"/>
                <v:stroke on="f" weight="0pt"/>
                <v:imagedata o:title=""/>
                <o:lock v:ext="edit" aspectratio="f"/>
                <v:textbox inset="0mm,0mm,0mm,0mm">
                  <w:txbxContent>
                    <w:p>
                      <w:pPr>
                        <w:spacing w:before="19" w:line="204" w:lineRule="auto"/>
                        <w:ind w:firstLine="20"/>
                        <w:jc w:val="left"/>
                        <w:rPr>
                          <w:rFonts w:ascii="宋体" w:hAnsi="宋体" w:cs="宋体"/>
                          <w:szCs w:val="21"/>
                        </w:rPr>
                      </w:pPr>
                      <w:r>
                        <w:rPr>
                          <w:rFonts w:ascii="宋体" w:hAnsi="宋体" w:cs="宋体"/>
                          <w:szCs w:val="21"/>
                        </w:rPr>
                        <w:t>的</w:t>
                      </w:r>
                    </w:p>
                  </w:txbxContent>
                </v:textbox>
              </v:shape>
            </w:pict>
          </mc:Fallback>
        </mc:AlternateContent>
      </w:r>
      <w:r>
        <w:rPr>
          <w:rFonts w:hint="eastAsia" w:ascii="宋体" w:hAnsi="宋体" w:cs="宋体"/>
          <w:szCs w:val="21"/>
        </w:rPr>
        <w:t>3.1.2熟悉招标文件和评标办法；</w:t>
      </w:r>
    </w:p>
    <w:p>
      <w:pPr>
        <w:snapToGrid w:val="0"/>
        <w:spacing w:line="360" w:lineRule="auto"/>
        <w:ind w:firstLine="420" w:firstLineChars="200"/>
        <w:rPr>
          <w:rFonts w:ascii="宋体" w:hAnsi="宋体" w:cs="宋体"/>
          <w:szCs w:val="21"/>
        </w:rPr>
      </w:pPr>
      <w:r>
        <w:rPr>
          <w:rFonts w:hint="eastAsia" w:ascii="宋体" w:hAnsi="宋体" w:cs="宋体"/>
          <w:szCs w:val="21"/>
        </w:rPr>
        <w:t>3.1.3投标文件的初步评审；</w:t>
      </w:r>
    </w:p>
    <w:p>
      <w:pPr>
        <w:snapToGrid w:val="0"/>
        <w:spacing w:line="360" w:lineRule="auto"/>
        <w:ind w:firstLine="420" w:firstLineChars="200"/>
        <w:rPr>
          <w:rFonts w:ascii="宋体" w:hAnsi="宋体" w:cs="宋体"/>
          <w:szCs w:val="21"/>
        </w:rPr>
      </w:pPr>
      <w:r>
        <w:rPr>
          <w:rFonts w:hint="eastAsia" w:ascii="宋体" w:hAnsi="宋体" w:cs="宋体"/>
          <w:szCs w:val="21"/>
        </w:rPr>
        <w:t>3.1.4投标文件的详细评审；</w:t>
      </w:r>
    </w:p>
    <w:p>
      <w:pPr>
        <w:snapToGrid w:val="0"/>
        <w:spacing w:line="360" w:lineRule="auto"/>
        <w:ind w:firstLine="420" w:firstLineChars="200"/>
        <w:rPr>
          <w:rFonts w:ascii="宋体" w:hAnsi="宋体" w:cs="宋体"/>
          <w:szCs w:val="21"/>
        </w:rPr>
      </w:pPr>
      <w:r>
        <w:rPr>
          <w:rFonts w:hint="eastAsia" w:ascii="宋体" w:hAnsi="宋体" w:cs="宋体"/>
          <w:szCs w:val="21"/>
        </w:rPr>
        <w:t>3.1.5必要时对投标文件中的问题进行澄清；</w:t>
      </w:r>
    </w:p>
    <w:p>
      <w:pPr>
        <w:snapToGrid w:val="0"/>
        <w:spacing w:line="360" w:lineRule="auto"/>
        <w:ind w:firstLine="420" w:firstLineChars="200"/>
        <w:rPr>
          <w:rFonts w:ascii="宋体" w:hAnsi="宋体" w:cs="宋体"/>
          <w:szCs w:val="21"/>
        </w:rPr>
      </w:pPr>
      <w:r>
        <w:rPr>
          <w:rFonts w:hint="eastAsia" w:ascii="宋体" w:hAnsi="宋体" w:cs="宋体"/>
          <w:szCs w:val="21"/>
        </w:rPr>
        <w:t>3.1.6根据评标办法对投标文件进行评分；</w:t>
      </w:r>
    </w:p>
    <w:p>
      <w:pPr>
        <w:snapToGrid w:val="0"/>
        <w:spacing w:line="360" w:lineRule="auto"/>
        <w:ind w:firstLine="420" w:firstLineChars="200"/>
        <w:rPr>
          <w:rFonts w:ascii="宋体" w:hAnsi="宋体" w:cs="宋体"/>
          <w:szCs w:val="21"/>
        </w:rPr>
      </w:pPr>
      <w:r>
        <w:rPr>
          <w:rFonts w:hint="eastAsia" w:ascii="宋体" w:hAnsi="宋体" w:cs="宋体"/>
          <w:szCs w:val="21"/>
        </w:rPr>
        <w:t>3.1.7完成评标报告，推荐中标候选人。</w:t>
      </w:r>
    </w:p>
    <w:p>
      <w:pPr>
        <w:snapToGrid w:val="0"/>
        <w:spacing w:line="360" w:lineRule="auto"/>
        <w:ind w:firstLine="420" w:firstLineChars="200"/>
        <w:rPr>
          <w:rFonts w:ascii="宋体" w:hAnsi="宋体" w:cs="宋体"/>
          <w:szCs w:val="21"/>
        </w:rPr>
      </w:pPr>
      <w:r>
        <w:rPr>
          <w:rFonts w:hint="eastAsia" w:ascii="宋体" w:hAnsi="宋体" w:cs="宋体"/>
          <w:szCs w:val="21"/>
        </w:rPr>
        <w:t>3.2投标文件的资格、符合性评审</w:t>
      </w:r>
    </w:p>
    <w:p>
      <w:pPr>
        <w:snapToGrid w:val="0"/>
        <w:spacing w:line="360" w:lineRule="auto"/>
        <w:ind w:firstLine="420" w:firstLineChars="200"/>
        <w:rPr>
          <w:rFonts w:ascii="宋体" w:hAnsi="宋体" w:cs="宋体"/>
          <w:szCs w:val="21"/>
        </w:rPr>
      </w:pPr>
      <w:r>
        <w:rPr>
          <w:rFonts w:hint="eastAsia" w:ascii="宋体" w:hAnsi="宋体" w:cs="宋体"/>
          <w:szCs w:val="21"/>
        </w:rPr>
        <w:t>3.2.1资格性评审、符合性评审期间，投标人不得通过补充、修改或撤销投标文件中的内容使其成为实质性响应的投标。投标人在投标截止以后不得提交任何资料作为评标依据。</w:t>
      </w:r>
    </w:p>
    <w:p>
      <w:pPr>
        <w:snapToGrid w:val="0"/>
        <w:spacing w:line="360" w:lineRule="auto"/>
        <w:ind w:firstLine="422" w:firstLineChars="200"/>
        <w:rPr>
          <w:rFonts w:ascii="宋体" w:hAnsi="宋体" w:cs="宋体"/>
          <w:b/>
          <w:bCs/>
          <w:szCs w:val="21"/>
        </w:rPr>
      </w:pPr>
      <w:r>
        <w:rPr>
          <w:rFonts w:hint="eastAsia" w:ascii="宋体" w:hAnsi="宋体" w:cs="宋体"/>
          <w:b/>
          <w:bCs/>
          <w:szCs w:val="21"/>
        </w:rPr>
        <w:t>3.2.2开标结束后，采购人或者采购代理机构应当依法对投标人的资格进行审查。</w:t>
      </w:r>
    </w:p>
    <w:p>
      <w:pPr>
        <w:snapToGrid w:val="0"/>
        <w:spacing w:line="360" w:lineRule="auto"/>
        <w:ind w:firstLine="420" w:firstLineChars="200"/>
        <w:rPr>
          <w:rFonts w:ascii="宋体" w:hAnsi="宋体" w:cs="宋体"/>
          <w:szCs w:val="21"/>
        </w:rPr>
      </w:pPr>
      <w:r>
        <w:rPr>
          <w:rFonts w:hint="eastAsia" w:ascii="宋体" w:hAnsi="宋体" w:cs="宋体"/>
          <w:szCs w:val="21"/>
        </w:rPr>
        <w:t>开标后，采购人或采购代理机构将依据法律法规和供应商须知规定对供应商的基本资格条件、特定资格条件进行审查。</w:t>
      </w:r>
    </w:p>
    <w:p>
      <w:pPr>
        <w:snapToGrid w:val="0"/>
        <w:spacing w:line="360" w:lineRule="auto"/>
        <w:ind w:firstLine="420" w:firstLineChars="200"/>
        <w:rPr>
          <w:rFonts w:ascii="宋体" w:hAnsi="宋体" w:cs="宋体"/>
          <w:szCs w:val="21"/>
        </w:rPr>
      </w:pPr>
      <w:r>
        <w:rPr>
          <w:rFonts w:hint="eastAsia" w:ascii="宋体" w:hAnsi="宋体" w:cs="宋体"/>
          <w:szCs w:val="21"/>
        </w:rPr>
        <w:t>供应商未按照采购文件供应商须知要求提供与基本资格条件、特定资格条件相应的有效资格证明材料的，视为供应商不具备采购文件中规定的资格要求，其资格审查不通过。</w:t>
      </w:r>
    </w:p>
    <w:p>
      <w:pPr>
        <w:snapToGrid w:val="0"/>
        <w:spacing w:line="360" w:lineRule="auto"/>
        <w:ind w:firstLine="422" w:firstLineChars="200"/>
        <w:rPr>
          <w:rFonts w:ascii="宋体" w:hAnsi="宋体" w:cs="宋体"/>
          <w:b/>
          <w:bCs/>
          <w:szCs w:val="21"/>
        </w:rPr>
      </w:pPr>
      <w:r>
        <w:rPr>
          <w:rFonts w:hint="eastAsia" w:ascii="宋体" w:hAnsi="宋体" w:cs="宋体"/>
          <w:b/>
          <w:bCs/>
          <w:szCs w:val="21"/>
        </w:rPr>
        <w:t>3.2.3在商务资信评审时，如发现下列情形之一的，投标文件将被视为无效，不再进入技术评审：</w:t>
      </w:r>
    </w:p>
    <w:p>
      <w:pPr>
        <w:snapToGrid w:val="0"/>
        <w:spacing w:line="360" w:lineRule="auto"/>
        <w:ind w:firstLine="420" w:firstLineChars="200"/>
        <w:rPr>
          <w:rFonts w:ascii="宋体" w:hAnsi="宋体" w:cs="宋体"/>
          <w:szCs w:val="21"/>
        </w:rPr>
      </w:pPr>
      <w:r>
        <w:rPr>
          <w:rFonts w:hint="eastAsia" w:ascii="宋体" w:hAnsi="宋体" w:cs="宋体"/>
          <w:szCs w:val="21"/>
        </w:rPr>
        <w:t>3.2.3.1投标文件无法定代表人或其授权代表签字或盖章，或未提供法定代表人授权委托书或者填写项目不齐全的；（针对投标函、法定代表人资格证明书、授权委托书）</w:t>
      </w:r>
    </w:p>
    <w:p>
      <w:pPr>
        <w:snapToGrid w:val="0"/>
        <w:spacing w:line="360" w:lineRule="auto"/>
        <w:ind w:firstLine="420" w:firstLineChars="200"/>
        <w:rPr>
          <w:rFonts w:ascii="宋体" w:hAnsi="宋体" w:cs="宋体"/>
          <w:szCs w:val="21"/>
        </w:rPr>
      </w:pPr>
      <w:r>
        <w:rPr>
          <w:rFonts w:hint="eastAsia" w:ascii="宋体" w:hAnsi="宋体" w:cs="宋体"/>
          <w:szCs w:val="21"/>
        </w:rPr>
        <w:t>3.2.3.2投标文件内容虚假的；</w:t>
      </w:r>
    </w:p>
    <w:p>
      <w:pPr>
        <w:snapToGrid w:val="0"/>
        <w:spacing w:line="360" w:lineRule="auto"/>
        <w:ind w:firstLine="420" w:firstLineChars="200"/>
        <w:rPr>
          <w:rFonts w:ascii="宋体" w:hAnsi="宋体" w:cs="宋体"/>
          <w:szCs w:val="21"/>
        </w:rPr>
      </w:pPr>
      <w:r>
        <w:rPr>
          <w:rFonts w:hint="eastAsia" w:ascii="宋体" w:hAnsi="宋体" w:cs="宋体"/>
          <w:szCs w:val="21"/>
        </w:rPr>
        <w:t>3.2.3.3投标有效期不能满足招标文件要求的；</w:t>
      </w:r>
    </w:p>
    <w:p>
      <w:pPr>
        <w:snapToGrid w:val="0"/>
        <w:spacing w:line="360" w:lineRule="auto"/>
        <w:ind w:firstLine="420" w:firstLineChars="200"/>
        <w:rPr>
          <w:rFonts w:ascii="宋体" w:hAnsi="宋体" w:cs="宋体"/>
          <w:szCs w:val="21"/>
        </w:rPr>
      </w:pPr>
      <w:r>
        <w:rPr>
          <w:rFonts w:hint="eastAsia" w:ascii="宋体" w:hAnsi="宋体" w:cs="宋体"/>
          <w:szCs w:val="21"/>
        </w:rPr>
        <w:t>3.2.3.4未实质性响应招标文件标“▲”的要求或者投标文件有招标人不能接受的附加条件；</w:t>
      </w:r>
    </w:p>
    <w:p>
      <w:pPr>
        <w:snapToGrid w:val="0"/>
        <w:spacing w:line="360" w:lineRule="auto"/>
        <w:ind w:firstLine="420" w:firstLineChars="200"/>
        <w:rPr>
          <w:rFonts w:ascii="宋体" w:hAnsi="宋体" w:cs="宋体"/>
          <w:szCs w:val="21"/>
        </w:rPr>
      </w:pPr>
      <w:r>
        <w:rPr>
          <w:rFonts w:hint="eastAsia" w:ascii="宋体" w:hAnsi="宋体" w:cs="宋体"/>
          <w:szCs w:val="21"/>
        </w:rPr>
        <w:t>3.2.3.5存在法律、法规、规章规定的其它无效投标情况的。</w:t>
      </w:r>
    </w:p>
    <w:p>
      <w:pPr>
        <w:snapToGrid w:val="0"/>
        <w:spacing w:line="360" w:lineRule="auto"/>
        <w:ind w:firstLine="422" w:firstLineChars="200"/>
        <w:rPr>
          <w:rFonts w:ascii="宋体" w:hAnsi="宋体" w:cs="宋体"/>
          <w:b/>
          <w:bCs/>
          <w:szCs w:val="21"/>
        </w:rPr>
      </w:pPr>
      <w:r>
        <w:rPr>
          <w:rFonts w:hint="eastAsia" w:ascii="宋体" w:hAnsi="宋体" w:cs="宋体"/>
          <w:b/>
          <w:bCs/>
          <w:szCs w:val="21"/>
        </w:rPr>
        <w:t>3.2.4在技术评审时，如发现下列情形之一的，投标文件将被视为无效，不再进入报价评审：</w:t>
      </w:r>
    </w:p>
    <w:p>
      <w:pPr>
        <w:snapToGrid w:val="0"/>
        <w:spacing w:line="360" w:lineRule="auto"/>
        <w:ind w:firstLine="420" w:firstLineChars="200"/>
        <w:rPr>
          <w:rFonts w:ascii="宋体" w:hAnsi="宋体" w:cs="宋体"/>
          <w:szCs w:val="21"/>
        </w:rPr>
      </w:pPr>
      <w:r>
        <w:rPr>
          <w:rFonts w:hint="eastAsia" w:ascii="宋体" w:hAnsi="宋体" w:cs="宋体"/>
          <w:szCs w:val="21"/>
        </w:rPr>
        <w:t>3.2.4.1未提供或未如实提供技术方案，或者投标文件标明的响应或偏离与事实不符或虚假投标的；</w:t>
      </w:r>
    </w:p>
    <w:p>
      <w:pPr>
        <w:snapToGrid w:val="0"/>
        <w:spacing w:line="360" w:lineRule="auto"/>
        <w:ind w:firstLine="420" w:firstLineChars="200"/>
        <w:rPr>
          <w:rFonts w:ascii="宋体" w:hAnsi="宋体" w:cs="宋体"/>
          <w:szCs w:val="21"/>
        </w:rPr>
      </w:pPr>
      <w:r>
        <w:rPr>
          <w:rFonts w:hint="eastAsia" w:ascii="宋体" w:hAnsi="宋体" w:cs="宋体"/>
          <w:szCs w:val="21"/>
        </w:rPr>
        <w:t>3.2.4.2明显不符合招标文件要求的投标内容、质量标准，或者与招标文件中标“▲”的技术指标、主要服务项目发生实质性偏离的；</w:t>
      </w:r>
    </w:p>
    <w:p>
      <w:pPr>
        <w:snapToGrid w:val="0"/>
        <w:spacing w:line="360" w:lineRule="auto"/>
        <w:ind w:firstLine="420" w:firstLineChars="200"/>
        <w:rPr>
          <w:rFonts w:ascii="宋体" w:hAnsi="宋体" w:cs="宋体"/>
          <w:szCs w:val="21"/>
        </w:rPr>
      </w:pPr>
      <w:r>
        <w:rPr>
          <w:rFonts w:hint="eastAsia" w:ascii="宋体" w:hAnsi="宋体" w:cs="宋体"/>
          <w:szCs w:val="21"/>
        </w:rPr>
        <w:t>3.2.4.3投标方案不明确的；</w:t>
      </w:r>
    </w:p>
    <w:p>
      <w:pPr>
        <w:snapToGrid w:val="0"/>
        <w:spacing w:line="360" w:lineRule="auto"/>
        <w:ind w:firstLine="422" w:firstLineChars="200"/>
        <w:rPr>
          <w:rFonts w:ascii="宋体" w:hAnsi="宋体" w:cs="宋体"/>
          <w:b/>
          <w:bCs/>
          <w:szCs w:val="21"/>
        </w:rPr>
      </w:pPr>
      <w:r>
        <w:rPr>
          <w:rFonts w:hint="eastAsia" w:ascii="宋体" w:hAnsi="宋体" w:cs="宋体"/>
          <w:b/>
          <w:bCs/>
          <w:szCs w:val="21"/>
        </w:rPr>
        <w:t>3.2.5在报价评审时，如发现下列情形之一的，投标文件将被视为无效，不再进入评标排序：</w:t>
      </w:r>
    </w:p>
    <w:p>
      <w:pPr>
        <w:snapToGrid w:val="0"/>
        <w:spacing w:line="360" w:lineRule="auto"/>
        <w:ind w:firstLine="420" w:firstLineChars="200"/>
        <w:rPr>
          <w:rFonts w:ascii="宋体" w:hAnsi="宋体" w:cs="宋体"/>
          <w:szCs w:val="21"/>
        </w:rPr>
      </w:pPr>
      <w:r>
        <w:rPr>
          <w:rFonts w:hint="eastAsia" w:ascii="宋体" w:hAnsi="宋体" w:cs="宋体"/>
          <w:szCs w:val="21"/>
        </w:rPr>
        <w:t>3.2.5.1投标报价具有选择性的；</w:t>
      </w:r>
    </w:p>
    <w:p>
      <w:pPr>
        <w:snapToGrid w:val="0"/>
        <w:spacing w:line="360" w:lineRule="auto"/>
        <w:ind w:firstLine="420" w:firstLineChars="200"/>
        <w:rPr>
          <w:rFonts w:ascii="宋体" w:hAnsi="宋体" w:cs="宋体"/>
          <w:szCs w:val="21"/>
        </w:rPr>
      </w:pPr>
      <w:r>
        <w:rPr>
          <w:rFonts w:hint="eastAsia" w:ascii="宋体" w:hAnsi="宋体" w:cs="宋体"/>
          <w:szCs w:val="21"/>
        </w:rPr>
        <w:t>3.2.5.2投标报价超过预算的；</w:t>
      </w:r>
    </w:p>
    <w:p>
      <w:pPr>
        <w:snapToGrid w:val="0"/>
        <w:spacing w:line="360" w:lineRule="auto"/>
        <w:ind w:firstLine="420" w:firstLineChars="200"/>
        <w:rPr>
          <w:rFonts w:ascii="宋体" w:hAnsi="宋体" w:cs="宋体"/>
          <w:szCs w:val="21"/>
        </w:rPr>
      </w:pPr>
      <w:r>
        <w:rPr>
          <w:rFonts w:hint="eastAsia" w:ascii="宋体" w:hAnsi="宋体" w:cs="宋体"/>
          <w:szCs w:val="21"/>
        </w:rPr>
        <w:t>3.2.5.3开标一览表投标报价为零的（包括投标文件中标明：免费或赠予）或其报价（大写）无法按正常书写方式进行报价唱标的或无投标报价的；</w:t>
      </w:r>
    </w:p>
    <w:p>
      <w:pPr>
        <w:snapToGrid w:val="0"/>
        <w:spacing w:line="360" w:lineRule="auto"/>
        <w:ind w:firstLine="420" w:firstLineChars="200"/>
        <w:rPr>
          <w:rFonts w:ascii="宋体" w:hAnsi="宋体" w:cs="宋体"/>
          <w:szCs w:val="21"/>
        </w:rPr>
      </w:pPr>
      <w:r>
        <w:rPr>
          <w:rFonts w:hint="eastAsia" w:ascii="宋体" w:hAnsi="宋体" w:cs="宋体"/>
          <w:szCs w:val="21"/>
        </w:rPr>
        <w:t>3.2.5.4政采云平台填报的开标一览表中的价格与上传的报价响应文件中开标一览表的报价不一致时，投标人不同意按3.4.2第（5）条原则修正的。</w:t>
      </w:r>
    </w:p>
    <w:p>
      <w:pPr>
        <w:snapToGrid w:val="0"/>
        <w:spacing w:line="360" w:lineRule="auto"/>
        <w:ind w:firstLine="420" w:firstLineChars="200"/>
        <w:rPr>
          <w:rFonts w:ascii="宋体" w:hAnsi="宋体" w:cs="宋体"/>
          <w:szCs w:val="21"/>
        </w:rPr>
      </w:pPr>
      <w:r>
        <w:rPr>
          <w:rFonts w:hint="eastAsia" w:ascii="宋体" w:hAnsi="宋体" w:cs="宋体"/>
          <w:szCs w:val="21"/>
        </w:rPr>
        <w:t>3.3评标委员会的专家负责对通过符合性审查的投标人的投标文件进行详细评审，评审内容分以下三部分：</w:t>
      </w:r>
    </w:p>
    <w:p>
      <w:pPr>
        <w:snapToGrid w:val="0"/>
        <w:spacing w:line="360" w:lineRule="auto"/>
        <w:ind w:firstLine="420" w:firstLineChars="200"/>
        <w:rPr>
          <w:rFonts w:ascii="宋体" w:hAnsi="宋体" w:cs="宋体"/>
          <w:szCs w:val="21"/>
        </w:rPr>
      </w:pPr>
      <w:r>
        <w:rPr>
          <w:rFonts w:hint="eastAsia" w:ascii="宋体" w:hAnsi="宋体" w:cs="宋体"/>
          <w:szCs w:val="21"/>
        </w:rPr>
        <w:t>3.3.1资信部分：由评标专家集体讨论后，按少数服从多数的原则，统一评分分值。</w:t>
      </w:r>
    </w:p>
    <w:p>
      <w:pPr>
        <w:snapToGrid w:val="0"/>
        <w:spacing w:line="360" w:lineRule="auto"/>
        <w:ind w:firstLine="420" w:firstLineChars="200"/>
        <w:rPr>
          <w:rFonts w:ascii="宋体" w:hAnsi="宋体" w:cs="宋体"/>
          <w:szCs w:val="21"/>
        </w:rPr>
      </w:pPr>
      <w:r>
        <w:rPr>
          <w:rFonts w:hint="eastAsia" w:ascii="宋体" w:hAnsi="宋体" w:cs="宋体"/>
          <w:szCs w:val="21"/>
        </w:rPr>
        <w:t>3.3.2技术部分：由评标专家负责，采用记名方式各自评分，此项评分为全部有效评分的算术平均值。如某一份评分表中某一项评分，超过评标细则所规定的分值范围，则该张打分表无效。</w:t>
      </w:r>
    </w:p>
    <w:p>
      <w:pPr>
        <w:snapToGrid w:val="0"/>
        <w:spacing w:line="360" w:lineRule="auto"/>
        <w:ind w:firstLine="420" w:firstLineChars="200"/>
        <w:rPr>
          <w:rFonts w:ascii="宋体" w:hAnsi="宋体" w:cs="宋体"/>
          <w:szCs w:val="21"/>
        </w:rPr>
      </w:pPr>
      <w:r>
        <w:rPr>
          <w:rFonts w:hint="eastAsia" w:ascii="宋体" w:hAnsi="宋体" w:cs="宋体"/>
          <w:szCs w:val="21"/>
        </w:rPr>
        <w:t>3.3.3价格部分：</w:t>
      </w:r>
    </w:p>
    <w:p>
      <w:pPr>
        <w:snapToGrid w:val="0"/>
        <w:spacing w:line="360" w:lineRule="auto"/>
        <w:ind w:firstLine="420" w:firstLineChars="200"/>
        <w:rPr>
          <w:rFonts w:ascii="宋体" w:hAnsi="宋体" w:cs="宋体"/>
          <w:szCs w:val="21"/>
        </w:rPr>
      </w:pPr>
      <w:r>
        <w:rPr>
          <w:rFonts w:hint="eastAsia" w:ascii="宋体" w:hAnsi="宋体" w:cs="宋体"/>
          <w:szCs w:val="21"/>
        </w:rPr>
        <w:t>价格部分由评标委员会统一计算统一评分。</w:t>
      </w:r>
    </w:p>
    <w:p>
      <w:pPr>
        <w:snapToGrid w:val="0"/>
        <w:spacing w:line="360" w:lineRule="auto"/>
        <w:ind w:firstLine="420" w:firstLineChars="200"/>
        <w:rPr>
          <w:rFonts w:ascii="宋体" w:hAnsi="宋体" w:cs="宋体"/>
          <w:szCs w:val="21"/>
        </w:rPr>
      </w:pPr>
      <w:r>
        <w:rPr>
          <w:rFonts w:hint="eastAsia" w:ascii="宋体" w:hAnsi="宋体" w:cs="宋体"/>
          <w:szCs w:val="21"/>
        </w:rPr>
        <w:t>价格部分评分应在报价范围口径一致的评标价基础上进行。评标价应在最终报价的基础上，按照招标文件约定的因素和方法进行计算。凡属招标文件原因造成项目范围或报价口径不一致的，应予以扣除。但因投标人自身失误造成多算、少算或漏算，不得调整。评分由评标委员会对投标文件的商务报价进行仔细查阅、分析与计算，并指定专人进行检查复核。</w:t>
      </w:r>
    </w:p>
    <w:p>
      <w:pPr>
        <w:snapToGrid w:val="0"/>
        <w:spacing w:line="360" w:lineRule="auto"/>
        <w:ind w:firstLine="420" w:firstLineChars="200"/>
        <w:rPr>
          <w:rFonts w:ascii="宋体" w:hAnsi="宋体" w:cs="宋体"/>
          <w:szCs w:val="21"/>
        </w:rPr>
      </w:pPr>
      <w:r>
        <w:rPr>
          <w:rFonts w:hint="eastAsia" w:ascii="宋体" w:hAnsi="宋体" w:cs="宋体"/>
          <w:szCs w:val="21"/>
        </w:rPr>
        <w:t>3.3.4以上评分保留小数2位。</w:t>
      </w:r>
    </w:p>
    <w:p>
      <w:pPr>
        <w:snapToGrid w:val="0"/>
        <w:spacing w:line="360" w:lineRule="auto"/>
        <w:ind w:firstLine="420" w:firstLineChars="200"/>
        <w:rPr>
          <w:rFonts w:ascii="宋体" w:hAnsi="宋体" w:cs="宋体"/>
          <w:szCs w:val="21"/>
        </w:rPr>
      </w:pPr>
      <w:r>
        <w:rPr>
          <w:rFonts w:hint="eastAsia" w:ascii="宋体" w:hAnsi="宋体" w:cs="宋体"/>
          <w:szCs w:val="21"/>
        </w:rPr>
        <w:t>3.4必要时对投标文件中的问题进行澄清</w:t>
      </w:r>
    </w:p>
    <w:p>
      <w:pPr>
        <w:snapToGrid w:val="0"/>
        <w:spacing w:line="360" w:lineRule="auto"/>
        <w:ind w:firstLine="420" w:firstLineChars="200"/>
        <w:rPr>
          <w:rFonts w:ascii="宋体" w:hAnsi="宋体" w:cs="宋体"/>
          <w:szCs w:val="21"/>
        </w:rPr>
      </w:pPr>
      <w:r>
        <w:rPr>
          <w:rFonts w:hint="eastAsia" w:ascii="宋体" w:hAnsi="宋体" w:cs="宋体"/>
          <w:szCs w:val="21"/>
        </w:rPr>
        <w:t>3.4.1投标文件的澄清</w:t>
      </w:r>
    </w:p>
    <w:p>
      <w:pPr>
        <w:snapToGrid w:val="0"/>
        <w:spacing w:line="360" w:lineRule="auto"/>
        <w:ind w:firstLine="420" w:firstLineChars="200"/>
        <w:rPr>
          <w:rFonts w:ascii="宋体" w:hAnsi="宋体" w:cs="宋体"/>
          <w:szCs w:val="21"/>
        </w:rPr>
      </w:pPr>
      <w:r>
        <w:rPr>
          <w:rFonts w:hint="eastAsia" w:ascii="宋体" w:hAnsi="宋体" w:cs="宋体"/>
          <w:szCs w:val="21"/>
        </w:rPr>
        <w:t>对投标文件中含义不明确、同类问题表述不一致或者有明显文字和计算错误的内容，评标委员会可要求投标人作出必要的澄清、说明或者纠正。投标人的澄清、说明或者补正应当采用书面形式，由其全权代表签字或盖章确认，并不得超出投标文件的范围或者改变投标文件的实质性内容。</w:t>
      </w:r>
    </w:p>
    <w:p>
      <w:pPr>
        <w:snapToGrid w:val="0"/>
        <w:spacing w:line="360" w:lineRule="auto"/>
        <w:ind w:firstLine="420" w:firstLineChars="200"/>
        <w:rPr>
          <w:rFonts w:ascii="宋体" w:hAnsi="宋体" w:cs="宋体"/>
          <w:szCs w:val="21"/>
        </w:rPr>
      </w:pPr>
      <w:r>
        <w:rPr>
          <w:rFonts w:hint="eastAsia" w:ascii="宋体" w:hAnsi="宋体" w:cs="宋体"/>
          <w:szCs w:val="21"/>
        </w:rPr>
        <w:t>3.4.2错误修正</w:t>
      </w:r>
    </w:p>
    <w:p>
      <w:pPr>
        <w:snapToGrid w:val="0"/>
        <w:spacing w:line="360" w:lineRule="auto"/>
        <w:ind w:firstLine="420" w:firstLineChars="200"/>
        <w:rPr>
          <w:rFonts w:ascii="宋体" w:hAnsi="宋体" w:cs="宋体"/>
          <w:szCs w:val="21"/>
        </w:rPr>
      </w:pPr>
      <w:r>
        <w:rPr>
          <w:rFonts w:hint="eastAsia" w:ascii="宋体" w:hAnsi="宋体" w:cs="宋体"/>
          <w:szCs w:val="21"/>
        </w:rPr>
        <w:t>投标文件报价出现前后不一致的，按照下列规定修正：</w:t>
      </w:r>
    </w:p>
    <w:p>
      <w:pPr>
        <w:snapToGrid w:val="0"/>
        <w:spacing w:line="360" w:lineRule="auto"/>
        <w:ind w:firstLine="420" w:firstLineChars="200"/>
        <w:rPr>
          <w:rFonts w:ascii="宋体" w:hAnsi="宋体" w:cs="宋体"/>
          <w:szCs w:val="21"/>
        </w:rPr>
      </w:pPr>
      <w:r>
        <w:rPr>
          <w:rFonts w:hint="eastAsia" w:ascii="宋体" w:hAnsi="宋体" w:cs="宋体"/>
          <w:szCs w:val="21"/>
        </w:rPr>
        <w:t>(1)投标文件中开标一览表(报价表)内容与投标文件中相应内容不一致的，以开标一览表(报价表)为准；</w:t>
      </w:r>
    </w:p>
    <w:p>
      <w:pPr>
        <w:snapToGrid w:val="0"/>
        <w:spacing w:line="360" w:lineRule="auto"/>
        <w:ind w:firstLine="420" w:firstLineChars="200"/>
        <w:rPr>
          <w:rFonts w:ascii="宋体" w:hAnsi="宋体" w:cs="宋体"/>
          <w:szCs w:val="21"/>
        </w:rPr>
      </w:pPr>
      <w:r>
        <w:rPr>
          <w:rFonts w:hint="eastAsia" w:ascii="宋体" w:hAnsi="宋体" w:cs="宋体"/>
          <w:szCs w:val="21"/>
        </w:rPr>
        <w:t>(2)大写金额和小写金额不一致的，以大写金额为准；</w:t>
      </w:r>
    </w:p>
    <w:p>
      <w:pPr>
        <w:snapToGrid w:val="0"/>
        <w:spacing w:line="360" w:lineRule="auto"/>
        <w:ind w:firstLine="420" w:firstLineChars="200"/>
        <w:rPr>
          <w:rFonts w:ascii="宋体" w:hAnsi="宋体" w:cs="宋体"/>
          <w:szCs w:val="21"/>
        </w:rPr>
      </w:pPr>
      <w:r>
        <w:rPr>
          <w:rFonts w:hint="eastAsia" w:ascii="宋体" w:hAnsi="宋体" w:cs="宋体"/>
          <w:szCs w:val="21"/>
        </w:rPr>
        <w:t>(3)单价金额小数点或者百分比有明显错位的，以开标一览表的总价为准，并修改单价；</w:t>
      </w:r>
    </w:p>
    <w:p>
      <w:pPr>
        <w:snapToGrid w:val="0"/>
        <w:spacing w:line="360" w:lineRule="auto"/>
        <w:ind w:firstLine="420" w:firstLineChars="200"/>
        <w:rPr>
          <w:rFonts w:ascii="宋体" w:hAnsi="宋体" w:cs="宋体"/>
          <w:szCs w:val="21"/>
        </w:rPr>
      </w:pPr>
      <w:r>
        <w:rPr>
          <w:rFonts w:hint="eastAsia" w:ascii="宋体" w:hAnsi="宋体" w:cs="宋体"/>
          <w:szCs w:val="21"/>
        </w:rPr>
        <w:t>(4)总价金额与按单价汇总金额不一致的，以单价金额计算结果为准。</w:t>
      </w:r>
    </w:p>
    <w:p>
      <w:pPr>
        <w:snapToGrid w:val="0"/>
        <w:spacing w:line="360" w:lineRule="auto"/>
        <w:ind w:firstLine="420" w:firstLineChars="200"/>
        <w:rPr>
          <w:rFonts w:ascii="宋体" w:hAnsi="宋体" w:cs="宋体"/>
          <w:szCs w:val="21"/>
        </w:rPr>
      </w:pPr>
      <w:r>
        <w:rPr>
          <w:rFonts w:hint="eastAsia" w:ascii="宋体" w:hAnsi="宋体" w:cs="宋体"/>
          <w:szCs w:val="21"/>
        </w:rPr>
        <w:t>同时出现两种以上不一致的，按照前款规定的顺序修正。修正后的报价按照财政部公布第87号令《政府采购货物和服务招标投标管理办法》第五十一条第二款的规定经投标人确认后产生约束力，投标人不确认的，其投标无效。</w:t>
      </w:r>
    </w:p>
    <w:p>
      <w:pPr>
        <w:snapToGrid w:val="0"/>
        <w:spacing w:line="360" w:lineRule="auto"/>
        <w:ind w:firstLine="420" w:firstLineChars="200"/>
        <w:rPr>
          <w:rFonts w:ascii="宋体" w:hAnsi="宋体" w:cs="宋体"/>
          <w:szCs w:val="21"/>
        </w:rPr>
      </w:pPr>
      <w:r>
        <w:rPr>
          <w:rFonts w:hint="eastAsia" w:ascii="宋体" w:hAnsi="宋体" w:cs="宋体"/>
          <w:szCs w:val="21"/>
        </w:rPr>
        <w:t>（5）政采云平台填报的开标一览表中的价格与上传的报价响应文件中开标一览表的报价不一致的，以上传的报价响应文件中开标一览表的价格为准，修正平台上的投标报价。</w:t>
      </w:r>
    </w:p>
    <w:p>
      <w:pPr>
        <w:snapToGrid w:val="0"/>
        <w:spacing w:line="360" w:lineRule="auto"/>
        <w:ind w:firstLine="420" w:firstLineChars="200"/>
        <w:rPr>
          <w:rFonts w:ascii="宋体" w:hAnsi="宋体" w:cs="宋体"/>
          <w:szCs w:val="21"/>
        </w:rPr>
      </w:pPr>
      <w:r>
        <w:rPr>
          <w:rFonts w:hint="eastAsia" w:ascii="宋体" w:hAnsi="宋体" w:cs="宋体"/>
          <w:szCs w:val="21"/>
        </w:rPr>
        <w:t>对投标文件中含义不明、表述不一致或有明显计算错误等内容，评标委员会将对投标人进行询标，并要求投标人作书面澄清；投标人的书面澄清，应由法定代表人或授权代表签字，作为投标文件的补充部分，但澄清的内容不得改变投标文件的实质性内容。</w:t>
      </w:r>
    </w:p>
    <w:p>
      <w:pPr>
        <w:snapToGrid w:val="0"/>
        <w:spacing w:line="360" w:lineRule="auto"/>
        <w:ind w:firstLine="420" w:firstLineChars="200"/>
        <w:rPr>
          <w:rFonts w:ascii="宋体" w:hAnsi="宋体" w:cs="宋体"/>
          <w:szCs w:val="21"/>
        </w:rPr>
      </w:pPr>
      <w:r>
        <w:rPr>
          <w:rFonts w:hint="eastAsia" w:ascii="宋体" w:hAnsi="宋体" w:cs="宋体"/>
          <w:szCs w:val="21"/>
        </w:rPr>
        <w:t>3.4.3评标委员会认为投标人的报价明显低于其他通过符合性审查投标人的报价，有可能影响服务质量或者不能诚信履约的，应当要求其在评标现场合理的时间内提供书面说明，必要时提交相关证明材料；投标人不能证明其报价合理性的，评标委员会应当将其作为无效投标处理。</w:t>
      </w:r>
    </w:p>
    <w:p>
      <w:pPr>
        <w:snapToGrid w:val="0"/>
        <w:spacing w:line="360" w:lineRule="auto"/>
        <w:ind w:firstLine="420" w:firstLineChars="200"/>
        <w:outlineLvl w:val="1"/>
        <w:rPr>
          <w:rFonts w:ascii="宋体" w:hAnsi="宋体" w:cs="宋体"/>
          <w:szCs w:val="21"/>
        </w:rPr>
      </w:pPr>
      <w:r>
        <w:rPr>
          <w:rFonts w:hint="eastAsia" w:ascii="宋体" w:hAnsi="宋体" w:cs="宋体"/>
          <w:szCs w:val="21"/>
        </w:rPr>
        <w:t>四、评标细则及标准</w:t>
      </w:r>
    </w:p>
    <w:p>
      <w:pPr>
        <w:snapToGrid w:val="0"/>
        <w:spacing w:line="360" w:lineRule="auto"/>
        <w:ind w:firstLine="420" w:firstLineChars="200"/>
        <w:outlineLvl w:val="2"/>
        <w:rPr>
          <w:rFonts w:ascii="宋体" w:hAnsi="宋体" w:cs="宋体"/>
          <w:szCs w:val="21"/>
        </w:rPr>
      </w:pPr>
      <w:r>
        <w:rPr>
          <w:rFonts w:hint="eastAsia" w:ascii="宋体" w:hAnsi="宋体" w:cs="宋体"/>
          <w:szCs w:val="21"/>
        </w:rPr>
        <w:t>（一）技术商务评审因素（满分90分）</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76"/>
        <w:gridCol w:w="5801"/>
        <w:gridCol w:w="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16" w:hRule="atLeast"/>
          <w:jc w:val="center"/>
        </w:trPr>
        <w:tc>
          <w:tcPr>
            <w:tcW w:w="1276" w:type="dxa"/>
            <w:vMerge w:val="restart"/>
            <w:vAlign w:val="center"/>
          </w:tcPr>
          <w:p>
            <w:pPr>
              <w:spacing w:line="360" w:lineRule="auto"/>
              <w:rPr>
                <w:rFonts w:ascii="宋体" w:hAnsi="宋体"/>
                <w:szCs w:val="24"/>
              </w:rPr>
            </w:pPr>
            <w:r>
              <w:rPr>
                <w:rFonts w:ascii="宋体" w:hAnsi="宋体"/>
                <w:szCs w:val="24"/>
              </w:rPr>
              <w:t>企业实力</w:t>
            </w:r>
          </w:p>
          <w:p>
            <w:pPr>
              <w:spacing w:line="360" w:lineRule="auto"/>
              <w:rPr>
                <w:rFonts w:ascii="宋体" w:hAnsi="宋体"/>
                <w:szCs w:val="24"/>
              </w:rPr>
            </w:pPr>
            <w:r>
              <w:rPr>
                <w:rFonts w:ascii="宋体" w:hAnsi="宋体"/>
                <w:szCs w:val="24"/>
              </w:rPr>
              <w:t>（8分）</w:t>
            </w:r>
          </w:p>
        </w:tc>
        <w:tc>
          <w:tcPr>
            <w:tcW w:w="5801" w:type="dxa"/>
            <w:tcMar>
              <w:top w:w="15" w:type="dxa"/>
              <w:left w:w="15" w:type="dxa"/>
              <w:right w:w="15" w:type="dxa"/>
            </w:tcMar>
            <w:vAlign w:val="center"/>
          </w:tcPr>
          <w:p>
            <w:pPr>
              <w:spacing w:line="360" w:lineRule="auto"/>
              <w:rPr>
                <w:rFonts w:ascii="宋体" w:hAnsi="宋体"/>
                <w:szCs w:val="24"/>
              </w:rPr>
            </w:pPr>
            <w:r>
              <w:rPr>
                <w:rFonts w:ascii="宋体" w:hAnsi="宋体"/>
                <w:szCs w:val="24"/>
              </w:rPr>
              <w:t>投标人每具有一项质量管理认证体系证书、环境管理认证体系证书、职业健康安全管理认证体系证书、信息安全管理体系认证证书、信息技术服务管理体系认证证书得0.5分，本项满分2.5分。以上证书须在有效期内，且提供证书扫描件并加盖本单位公章，否则得0分。</w:t>
            </w:r>
          </w:p>
        </w:tc>
        <w:tc>
          <w:tcPr>
            <w:tcW w:w="952" w:type="dxa"/>
            <w:tcMar>
              <w:top w:w="15" w:type="dxa"/>
              <w:left w:w="15" w:type="dxa"/>
              <w:right w:w="15" w:type="dxa"/>
            </w:tcMar>
            <w:vAlign w:val="center"/>
          </w:tcPr>
          <w:p>
            <w:pPr>
              <w:spacing w:line="360" w:lineRule="auto"/>
              <w:jc w:val="center"/>
              <w:rPr>
                <w:rFonts w:ascii="宋体" w:hAnsi="宋体"/>
                <w:szCs w:val="24"/>
              </w:rPr>
            </w:pPr>
            <w:r>
              <w:rPr>
                <w:rFonts w:ascii="宋体" w:hAnsi="宋体"/>
                <w:szCs w:val="24"/>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1276" w:type="dxa"/>
            <w:vMerge w:val="continue"/>
            <w:vAlign w:val="center"/>
          </w:tcPr>
          <w:p>
            <w:pPr>
              <w:spacing w:line="360" w:lineRule="auto"/>
              <w:rPr>
                <w:rFonts w:ascii="宋体" w:hAnsi="宋体"/>
                <w:szCs w:val="24"/>
              </w:rPr>
            </w:pPr>
          </w:p>
        </w:tc>
        <w:tc>
          <w:tcPr>
            <w:tcW w:w="5801" w:type="dxa"/>
            <w:tcMar>
              <w:top w:w="15" w:type="dxa"/>
              <w:left w:w="15" w:type="dxa"/>
              <w:right w:w="15" w:type="dxa"/>
            </w:tcMar>
            <w:vAlign w:val="center"/>
          </w:tcPr>
          <w:p>
            <w:pPr>
              <w:spacing w:line="360" w:lineRule="auto"/>
              <w:rPr>
                <w:rFonts w:ascii="宋体" w:hAnsi="宋体"/>
                <w:szCs w:val="24"/>
              </w:rPr>
            </w:pPr>
            <w:r>
              <w:rPr>
                <w:rFonts w:ascii="宋体" w:hAnsi="宋体"/>
                <w:szCs w:val="24"/>
              </w:rPr>
              <w:t>投标人具有高新技术企业证书的得1分；证书须在有效期内，且提供证书扫描件并加盖本单位公章，否则得0分。</w:t>
            </w:r>
          </w:p>
        </w:tc>
        <w:tc>
          <w:tcPr>
            <w:tcW w:w="952" w:type="dxa"/>
            <w:tcMar>
              <w:top w:w="15" w:type="dxa"/>
              <w:left w:w="15" w:type="dxa"/>
              <w:right w:w="15" w:type="dxa"/>
            </w:tcMar>
            <w:vAlign w:val="center"/>
          </w:tcPr>
          <w:p>
            <w:pPr>
              <w:spacing w:line="360" w:lineRule="auto"/>
              <w:jc w:val="center"/>
              <w:rPr>
                <w:rFonts w:ascii="宋体" w:hAnsi="宋体"/>
                <w:szCs w:val="24"/>
              </w:rPr>
            </w:pPr>
            <w:r>
              <w:rPr>
                <w:rFonts w:ascii="宋体" w:hAnsi="宋体"/>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1276" w:type="dxa"/>
            <w:vMerge w:val="continue"/>
            <w:vAlign w:val="center"/>
          </w:tcPr>
          <w:p>
            <w:pPr>
              <w:spacing w:line="360" w:lineRule="auto"/>
              <w:rPr>
                <w:rFonts w:ascii="宋体" w:hAnsi="宋体"/>
                <w:szCs w:val="24"/>
              </w:rPr>
            </w:pPr>
          </w:p>
        </w:tc>
        <w:tc>
          <w:tcPr>
            <w:tcW w:w="5801" w:type="dxa"/>
            <w:tcMar>
              <w:top w:w="15" w:type="dxa"/>
              <w:left w:w="15" w:type="dxa"/>
              <w:right w:w="15" w:type="dxa"/>
            </w:tcMar>
            <w:vAlign w:val="center"/>
          </w:tcPr>
          <w:p>
            <w:pPr>
              <w:spacing w:line="360" w:lineRule="auto"/>
              <w:rPr>
                <w:rFonts w:ascii="宋体" w:hAnsi="宋体"/>
                <w:szCs w:val="24"/>
              </w:rPr>
            </w:pPr>
            <w:r>
              <w:rPr>
                <w:rFonts w:ascii="宋体" w:hAnsi="宋体"/>
                <w:szCs w:val="24"/>
              </w:rPr>
              <w:t>投标人具有国家测绘地理信息行政主管部门颁发的测绘</w:t>
            </w:r>
            <w:r>
              <w:rPr>
                <w:rFonts w:hint="eastAsia" w:ascii="宋体" w:hAnsi="宋体"/>
                <w:szCs w:val="24"/>
              </w:rPr>
              <w:t>乙</w:t>
            </w:r>
            <w:r>
              <w:rPr>
                <w:rFonts w:ascii="宋体" w:hAnsi="宋体"/>
                <w:szCs w:val="24"/>
              </w:rPr>
              <w:t>级资质</w:t>
            </w:r>
            <w:r>
              <w:rPr>
                <w:rFonts w:hint="eastAsia" w:ascii="宋体" w:hAnsi="宋体"/>
                <w:szCs w:val="24"/>
              </w:rPr>
              <w:t>得基础分1分；具有测绘甲级资质得基础分1.5分；</w:t>
            </w:r>
            <w:r>
              <w:rPr>
                <w:rFonts w:ascii="宋体" w:hAnsi="宋体"/>
                <w:szCs w:val="24"/>
              </w:rPr>
              <w:t>专业范围</w:t>
            </w:r>
            <w:r>
              <w:rPr>
                <w:rFonts w:hint="eastAsia" w:ascii="宋体" w:hAnsi="宋体"/>
                <w:szCs w:val="24"/>
              </w:rPr>
              <w:t>包括</w:t>
            </w:r>
            <w:r>
              <w:rPr>
                <w:rFonts w:ascii="宋体" w:hAnsi="宋体"/>
                <w:szCs w:val="24"/>
              </w:rPr>
              <w:t>地理信息系统工程</w:t>
            </w:r>
            <w:r>
              <w:rPr>
                <w:rFonts w:hint="eastAsia" w:ascii="宋体" w:hAnsi="宋体"/>
                <w:szCs w:val="24"/>
              </w:rPr>
              <w:t>和</w:t>
            </w:r>
            <w:r>
              <w:rPr>
                <w:rFonts w:ascii="宋体" w:hAnsi="宋体"/>
                <w:szCs w:val="24"/>
              </w:rPr>
              <w:t>真三维地图的，</w:t>
            </w:r>
            <w:r>
              <w:rPr>
                <w:rFonts w:hint="eastAsia" w:ascii="宋体" w:hAnsi="宋体"/>
                <w:szCs w:val="24"/>
              </w:rPr>
              <w:t>在基础分基础上加1</w:t>
            </w:r>
            <w:r>
              <w:rPr>
                <w:rFonts w:ascii="宋体" w:hAnsi="宋体"/>
                <w:szCs w:val="24"/>
              </w:rPr>
              <w:t>分；不具备的不得分；证书须在有效期内，且提供证书扫描件并加盖本单位公章，否则得0分。</w:t>
            </w:r>
          </w:p>
        </w:tc>
        <w:tc>
          <w:tcPr>
            <w:tcW w:w="952" w:type="dxa"/>
            <w:tcMar>
              <w:top w:w="15" w:type="dxa"/>
              <w:left w:w="15" w:type="dxa"/>
              <w:right w:w="15" w:type="dxa"/>
            </w:tcMar>
            <w:vAlign w:val="center"/>
          </w:tcPr>
          <w:p>
            <w:pPr>
              <w:spacing w:line="360" w:lineRule="auto"/>
              <w:jc w:val="center"/>
              <w:rPr>
                <w:rFonts w:ascii="宋体" w:hAnsi="宋体"/>
                <w:szCs w:val="24"/>
              </w:rPr>
            </w:pPr>
            <w:r>
              <w:rPr>
                <w:rFonts w:ascii="宋体" w:hAnsi="宋体"/>
                <w:szCs w:val="24"/>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1276" w:type="dxa"/>
            <w:vMerge w:val="continue"/>
            <w:vAlign w:val="center"/>
          </w:tcPr>
          <w:p>
            <w:pPr>
              <w:spacing w:line="360" w:lineRule="auto"/>
              <w:jc w:val="center"/>
              <w:rPr>
                <w:rFonts w:ascii="宋体" w:hAnsi="宋体"/>
                <w:szCs w:val="24"/>
              </w:rPr>
            </w:pPr>
          </w:p>
        </w:tc>
        <w:tc>
          <w:tcPr>
            <w:tcW w:w="5801" w:type="dxa"/>
            <w:tcMar>
              <w:top w:w="15" w:type="dxa"/>
              <w:left w:w="15" w:type="dxa"/>
              <w:right w:w="15" w:type="dxa"/>
            </w:tcMar>
            <w:vAlign w:val="center"/>
          </w:tcPr>
          <w:p>
            <w:pPr>
              <w:spacing w:line="360" w:lineRule="auto"/>
              <w:rPr>
                <w:rFonts w:ascii="宋体" w:hAnsi="宋体"/>
                <w:szCs w:val="24"/>
              </w:rPr>
            </w:pPr>
            <w:r>
              <w:rPr>
                <w:rFonts w:ascii="宋体" w:hAnsi="宋体"/>
                <w:szCs w:val="24"/>
              </w:rPr>
              <w:t>投标人提供服务机构至采购人平台设立地点(导航地址:杭州市市民中心)的测算距离等证明材料:①测算直线距离&lt;10公里，得2分;②10公里≤测算直线距离&lt;20公里，得1分;③测算直线距离≥20公里，得0分。同时提供服务机构相关证明材料和“百度地图”测算的直线距离的页面截图，提供不全得0分。</w:t>
            </w:r>
          </w:p>
        </w:tc>
        <w:tc>
          <w:tcPr>
            <w:tcW w:w="952" w:type="dxa"/>
            <w:tcMar>
              <w:top w:w="15" w:type="dxa"/>
              <w:left w:w="15" w:type="dxa"/>
              <w:right w:w="15" w:type="dxa"/>
            </w:tcMar>
            <w:vAlign w:val="center"/>
          </w:tcPr>
          <w:p>
            <w:pPr>
              <w:spacing w:line="360" w:lineRule="auto"/>
              <w:jc w:val="center"/>
              <w:rPr>
                <w:rFonts w:ascii="宋体" w:hAnsi="宋体"/>
                <w:szCs w:val="24"/>
              </w:rPr>
            </w:pPr>
            <w:r>
              <w:rPr>
                <w:rFonts w:ascii="宋体" w:hAnsi="宋体"/>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jc w:val="center"/>
        </w:trPr>
        <w:tc>
          <w:tcPr>
            <w:tcW w:w="1276" w:type="dxa"/>
            <w:vAlign w:val="center"/>
          </w:tcPr>
          <w:p>
            <w:pPr>
              <w:spacing w:line="360" w:lineRule="auto"/>
              <w:jc w:val="center"/>
              <w:rPr>
                <w:rFonts w:ascii="宋体" w:hAnsi="宋体"/>
                <w:szCs w:val="24"/>
              </w:rPr>
            </w:pPr>
            <w:r>
              <w:rPr>
                <w:rFonts w:ascii="宋体" w:hAnsi="宋体"/>
                <w:szCs w:val="24"/>
              </w:rPr>
              <w:t>服务经验</w:t>
            </w:r>
          </w:p>
          <w:p>
            <w:pPr>
              <w:spacing w:line="360" w:lineRule="auto"/>
              <w:jc w:val="center"/>
              <w:rPr>
                <w:rFonts w:ascii="宋体" w:hAnsi="宋体"/>
                <w:szCs w:val="24"/>
              </w:rPr>
            </w:pPr>
            <w:r>
              <w:rPr>
                <w:rFonts w:ascii="宋体" w:hAnsi="宋体"/>
                <w:szCs w:val="24"/>
              </w:rPr>
              <w:t>（7分）</w:t>
            </w:r>
          </w:p>
        </w:tc>
        <w:tc>
          <w:tcPr>
            <w:tcW w:w="5801" w:type="dxa"/>
            <w:tcMar>
              <w:top w:w="15" w:type="dxa"/>
              <w:left w:w="15" w:type="dxa"/>
              <w:right w:w="15" w:type="dxa"/>
            </w:tcMar>
            <w:vAlign w:val="center"/>
          </w:tcPr>
          <w:p>
            <w:pPr>
              <w:spacing w:line="360" w:lineRule="auto"/>
              <w:rPr>
                <w:rFonts w:ascii="宋体" w:hAnsi="宋体"/>
                <w:szCs w:val="24"/>
              </w:rPr>
            </w:pPr>
            <w:r>
              <w:rPr>
                <w:rFonts w:ascii="宋体" w:hAnsi="宋体"/>
                <w:szCs w:val="24"/>
              </w:rPr>
              <w:t>（1）投标人具备2018年1月1日以来（以合同签订时间为准）类似多维地理信息系统或CIM平台项目业绩案例，每提供一个得1分,最高3分。</w:t>
            </w:r>
          </w:p>
          <w:p>
            <w:pPr>
              <w:spacing w:line="360" w:lineRule="auto"/>
              <w:rPr>
                <w:rFonts w:ascii="宋体" w:hAnsi="宋体"/>
                <w:szCs w:val="24"/>
              </w:rPr>
            </w:pPr>
            <w:r>
              <w:rPr>
                <w:rFonts w:ascii="宋体" w:hAnsi="宋体"/>
                <w:szCs w:val="24"/>
              </w:rPr>
              <w:t>（2）投标人具备2018年1月1日以来（以合同签订时间为准）类似倾斜摄影实景三维数据生产业绩案例，每个提供一个得1分，最高2分。</w:t>
            </w:r>
          </w:p>
          <w:p>
            <w:pPr>
              <w:spacing w:line="360" w:lineRule="auto"/>
              <w:rPr>
                <w:rFonts w:ascii="宋体" w:hAnsi="宋体"/>
                <w:szCs w:val="24"/>
              </w:rPr>
            </w:pPr>
            <w:r>
              <w:rPr>
                <w:rFonts w:ascii="宋体" w:hAnsi="宋体"/>
                <w:szCs w:val="24"/>
              </w:rPr>
              <w:t>（3）投标人应熟悉地理空间数据，具备2018年1月1日以来（以合同签订时间为准）各类地理空间数据采集、数据整理、数据加工、数据融合、数据更新项目业绩案例，每提供一个得1分，最高2分。</w:t>
            </w:r>
          </w:p>
          <w:p>
            <w:pPr>
              <w:spacing w:line="360" w:lineRule="auto"/>
              <w:rPr>
                <w:rFonts w:ascii="宋体" w:hAnsi="宋体"/>
                <w:szCs w:val="24"/>
              </w:rPr>
            </w:pPr>
            <w:r>
              <w:rPr>
                <w:rFonts w:ascii="宋体" w:hAnsi="宋体"/>
                <w:szCs w:val="24"/>
              </w:rPr>
              <w:t>注：需提供合同扫描件，至少包括首页、盖章页、金额页等,并能体现相关评审内容，加盖本单位公章，否则得0分。</w:t>
            </w:r>
          </w:p>
        </w:tc>
        <w:tc>
          <w:tcPr>
            <w:tcW w:w="952" w:type="dxa"/>
            <w:tcMar>
              <w:top w:w="15" w:type="dxa"/>
              <w:left w:w="15" w:type="dxa"/>
              <w:right w:w="15" w:type="dxa"/>
            </w:tcMar>
            <w:vAlign w:val="center"/>
          </w:tcPr>
          <w:p>
            <w:pPr>
              <w:spacing w:line="360" w:lineRule="auto"/>
              <w:jc w:val="center"/>
              <w:rPr>
                <w:rFonts w:ascii="宋体" w:hAnsi="宋体"/>
                <w:szCs w:val="24"/>
              </w:rPr>
            </w:pPr>
            <w:r>
              <w:rPr>
                <w:rFonts w:ascii="宋体" w:hAnsi="宋体"/>
                <w:szCs w:val="24"/>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9" w:hRule="atLeast"/>
          <w:jc w:val="center"/>
        </w:trPr>
        <w:tc>
          <w:tcPr>
            <w:tcW w:w="1276" w:type="dxa"/>
            <w:vAlign w:val="center"/>
          </w:tcPr>
          <w:p>
            <w:pPr>
              <w:spacing w:line="360" w:lineRule="auto"/>
              <w:jc w:val="center"/>
              <w:rPr>
                <w:rFonts w:ascii="宋体" w:hAnsi="宋体"/>
                <w:szCs w:val="24"/>
              </w:rPr>
            </w:pPr>
            <w:r>
              <w:rPr>
                <w:rFonts w:ascii="宋体" w:hAnsi="宋体"/>
                <w:szCs w:val="24"/>
              </w:rPr>
              <w:t>响应情况</w:t>
            </w:r>
          </w:p>
          <w:p>
            <w:pPr>
              <w:spacing w:line="360" w:lineRule="auto"/>
              <w:jc w:val="center"/>
              <w:rPr>
                <w:rFonts w:ascii="宋体" w:hAnsi="宋体"/>
                <w:szCs w:val="24"/>
              </w:rPr>
            </w:pPr>
            <w:r>
              <w:rPr>
                <w:rFonts w:ascii="宋体" w:hAnsi="宋体"/>
                <w:szCs w:val="24"/>
              </w:rPr>
              <w:t>（4分）</w:t>
            </w:r>
          </w:p>
        </w:tc>
        <w:tc>
          <w:tcPr>
            <w:tcW w:w="5801" w:type="dxa"/>
            <w:tcMar>
              <w:top w:w="15" w:type="dxa"/>
              <w:left w:w="15" w:type="dxa"/>
              <w:right w:w="15" w:type="dxa"/>
            </w:tcMar>
            <w:vAlign w:val="center"/>
          </w:tcPr>
          <w:p>
            <w:pPr>
              <w:spacing w:line="360" w:lineRule="auto"/>
              <w:rPr>
                <w:rFonts w:ascii="宋体" w:hAnsi="宋体"/>
                <w:szCs w:val="24"/>
              </w:rPr>
            </w:pPr>
            <w:r>
              <w:rPr>
                <w:rFonts w:ascii="宋体" w:hAnsi="宋体"/>
                <w:szCs w:val="24"/>
              </w:rPr>
              <w:t>根据投标人对采购需求的响应情况进行评审，本项基础分4分，每正偏离一项加</w:t>
            </w:r>
            <w:r>
              <w:rPr>
                <w:rFonts w:hint="eastAsia" w:ascii="宋体" w:hAnsi="宋体"/>
                <w:szCs w:val="24"/>
              </w:rPr>
              <w:t>1</w:t>
            </w:r>
            <w:r>
              <w:rPr>
                <w:rFonts w:ascii="宋体" w:hAnsi="宋体"/>
                <w:szCs w:val="24"/>
              </w:rPr>
              <w:t>分，每负偏离一项扣1分，扣完为止。本项最高得4分。</w:t>
            </w:r>
          </w:p>
        </w:tc>
        <w:tc>
          <w:tcPr>
            <w:tcW w:w="952" w:type="dxa"/>
            <w:tcMar>
              <w:top w:w="15" w:type="dxa"/>
              <w:left w:w="15" w:type="dxa"/>
              <w:right w:w="15" w:type="dxa"/>
            </w:tcMar>
            <w:vAlign w:val="center"/>
          </w:tcPr>
          <w:p>
            <w:pPr>
              <w:spacing w:line="360" w:lineRule="auto"/>
              <w:jc w:val="center"/>
              <w:rPr>
                <w:rFonts w:ascii="宋体" w:hAnsi="宋体"/>
                <w:szCs w:val="24"/>
              </w:rPr>
            </w:pPr>
            <w:r>
              <w:rPr>
                <w:rFonts w:ascii="宋体" w:hAnsi="宋体"/>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9" w:hRule="atLeast"/>
          <w:jc w:val="center"/>
        </w:trPr>
        <w:tc>
          <w:tcPr>
            <w:tcW w:w="1276" w:type="dxa"/>
            <w:vAlign w:val="center"/>
          </w:tcPr>
          <w:p>
            <w:pPr>
              <w:spacing w:line="360" w:lineRule="auto"/>
              <w:jc w:val="center"/>
              <w:rPr>
                <w:rFonts w:ascii="宋体" w:hAnsi="宋体"/>
                <w:szCs w:val="24"/>
              </w:rPr>
            </w:pPr>
            <w:r>
              <w:rPr>
                <w:rFonts w:ascii="宋体" w:hAnsi="宋体"/>
                <w:szCs w:val="24"/>
              </w:rPr>
              <w:t>技术方案的合理性与先进性（24分）</w:t>
            </w:r>
          </w:p>
        </w:tc>
        <w:tc>
          <w:tcPr>
            <w:tcW w:w="5801" w:type="dxa"/>
            <w:tcMar>
              <w:top w:w="15" w:type="dxa"/>
              <w:left w:w="15" w:type="dxa"/>
              <w:right w:w="15" w:type="dxa"/>
            </w:tcMar>
            <w:vAlign w:val="center"/>
          </w:tcPr>
          <w:p>
            <w:pPr>
              <w:spacing w:line="360" w:lineRule="auto"/>
              <w:rPr>
                <w:rFonts w:ascii="宋体" w:hAnsi="宋体"/>
                <w:szCs w:val="24"/>
              </w:rPr>
            </w:pPr>
            <w:r>
              <w:rPr>
                <w:rFonts w:ascii="宋体" w:hAnsi="宋体"/>
                <w:szCs w:val="24"/>
              </w:rPr>
              <w:t>（1）根据投标人针对本项目的建设背景和业务现状的分析、建设目标和功能需求的理解等，所设计技术方案是否科学、合理、先进、完整进行评审。（0-6分）</w:t>
            </w:r>
          </w:p>
          <w:p>
            <w:pPr>
              <w:spacing w:line="360" w:lineRule="auto"/>
              <w:rPr>
                <w:rFonts w:ascii="宋体" w:hAnsi="宋体"/>
                <w:szCs w:val="24"/>
              </w:rPr>
            </w:pPr>
            <w:r>
              <w:rPr>
                <w:rFonts w:ascii="宋体" w:hAnsi="宋体"/>
                <w:szCs w:val="24"/>
              </w:rPr>
              <w:t>（2）根据投标人平台设计是否充分理解本项目建设目标和能力要求，且能针对业务现状进行设计优化；系统的整体业务架构设计是否清晰，考虑基于一体化智能化公共平台和浙政钉的用户体系进行开发，包括业务前台、业务中台、数据后台、运行保障体系和安全保障体系等；结构完整、内容清晰、体现特色、针对性强等进行评审。（0-6分）</w:t>
            </w:r>
          </w:p>
          <w:p>
            <w:pPr>
              <w:spacing w:line="360" w:lineRule="auto"/>
              <w:rPr>
                <w:rFonts w:ascii="宋体" w:hAnsi="宋体"/>
                <w:szCs w:val="24"/>
              </w:rPr>
            </w:pPr>
            <w:r>
              <w:rPr>
                <w:rFonts w:ascii="宋体" w:hAnsi="宋体"/>
                <w:szCs w:val="24"/>
              </w:rPr>
              <w:t>（3）根据投标人的数据加工处理方式是否适合本项目的特点、具有可行性。是否提供相关措施方案确保成果数据满足对各应用场景的要求等进行评审。（0-5分）</w:t>
            </w:r>
          </w:p>
          <w:p>
            <w:pPr>
              <w:spacing w:line="360" w:lineRule="auto"/>
              <w:rPr>
                <w:rFonts w:ascii="宋体" w:hAnsi="宋体"/>
                <w:szCs w:val="24"/>
              </w:rPr>
            </w:pPr>
            <w:r>
              <w:rPr>
                <w:rFonts w:ascii="宋体" w:hAnsi="宋体"/>
                <w:szCs w:val="24"/>
              </w:rPr>
              <w:t>（4）根据投标人开发过程</w:t>
            </w:r>
            <w:r>
              <w:rPr>
                <w:rFonts w:hint="eastAsia" w:ascii="宋体" w:hAnsi="宋体"/>
                <w:szCs w:val="24"/>
              </w:rPr>
              <w:t>中数仓搭建和常规</w:t>
            </w:r>
            <w:r>
              <w:rPr>
                <w:rFonts w:ascii="宋体" w:hAnsi="宋体"/>
                <w:szCs w:val="24"/>
              </w:rPr>
              <w:t>数据处理是否采用先进、成熟的基于大数据技术开发、搭建分布式搜索引擎、运用</w:t>
            </w:r>
            <w:r>
              <w:rPr>
                <w:rFonts w:hint="eastAsia" w:ascii="宋体" w:hAnsi="宋体"/>
                <w:szCs w:val="24"/>
              </w:rPr>
              <w:t>数据碰撞</w:t>
            </w:r>
            <w:r>
              <w:rPr>
                <w:rFonts w:ascii="宋体" w:hAnsi="宋体"/>
                <w:szCs w:val="24"/>
              </w:rPr>
              <w:t>技术、为数据</w:t>
            </w:r>
            <w:r>
              <w:rPr>
                <w:rFonts w:hint="eastAsia" w:ascii="宋体" w:hAnsi="宋体"/>
                <w:szCs w:val="24"/>
              </w:rPr>
              <w:t>汇集</w:t>
            </w:r>
            <w:r>
              <w:rPr>
                <w:rFonts w:ascii="宋体" w:hAnsi="宋体"/>
                <w:szCs w:val="24"/>
              </w:rPr>
              <w:t>及</w:t>
            </w:r>
            <w:r>
              <w:rPr>
                <w:rFonts w:hint="eastAsia" w:ascii="宋体" w:hAnsi="宋体"/>
                <w:szCs w:val="24"/>
              </w:rPr>
              <w:t>清洗</w:t>
            </w:r>
            <w:r>
              <w:rPr>
                <w:rFonts w:ascii="宋体" w:hAnsi="宋体"/>
                <w:szCs w:val="24"/>
              </w:rPr>
              <w:t>提供监控平台和维护工具等方面进行评审。（0-4分）</w:t>
            </w:r>
          </w:p>
          <w:p>
            <w:pPr>
              <w:spacing w:line="360" w:lineRule="auto"/>
              <w:rPr>
                <w:rFonts w:ascii="宋体" w:hAnsi="宋体"/>
                <w:szCs w:val="24"/>
              </w:rPr>
            </w:pPr>
            <w:r>
              <w:rPr>
                <w:rFonts w:ascii="宋体" w:hAnsi="宋体"/>
                <w:szCs w:val="24"/>
              </w:rPr>
              <w:t>（5）根据投标人针对项目的难点重点，是否能提出有效可行、针对性强的合理化建议，且能提供效益显著的数据增值服务等进行评审。（0-3分）</w:t>
            </w:r>
          </w:p>
        </w:tc>
        <w:tc>
          <w:tcPr>
            <w:tcW w:w="952" w:type="dxa"/>
            <w:tcMar>
              <w:top w:w="15" w:type="dxa"/>
              <w:left w:w="15" w:type="dxa"/>
              <w:right w:w="15" w:type="dxa"/>
            </w:tcMar>
            <w:vAlign w:val="center"/>
          </w:tcPr>
          <w:p>
            <w:pPr>
              <w:spacing w:line="360" w:lineRule="auto"/>
              <w:jc w:val="center"/>
              <w:rPr>
                <w:rFonts w:ascii="宋体" w:hAnsi="宋体"/>
                <w:szCs w:val="24"/>
              </w:rPr>
            </w:pPr>
            <w:r>
              <w:rPr>
                <w:rFonts w:ascii="宋体" w:hAnsi="宋体"/>
                <w:szCs w:val="24"/>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2" w:hRule="atLeast"/>
          <w:jc w:val="center"/>
        </w:trPr>
        <w:tc>
          <w:tcPr>
            <w:tcW w:w="1276" w:type="dxa"/>
            <w:vAlign w:val="center"/>
          </w:tcPr>
          <w:p>
            <w:pPr>
              <w:spacing w:line="360" w:lineRule="auto"/>
              <w:jc w:val="center"/>
              <w:rPr>
                <w:rFonts w:ascii="宋体" w:hAnsi="宋体"/>
                <w:szCs w:val="24"/>
              </w:rPr>
            </w:pPr>
            <w:r>
              <w:rPr>
                <w:rFonts w:ascii="宋体" w:hAnsi="宋体"/>
                <w:szCs w:val="24"/>
              </w:rPr>
              <w:t>项目组织实施（6分）</w:t>
            </w:r>
          </w:p>
        </w:tc>
        <w:tc>
          <w:tcPr>
            <w:tcW w:w="5801" w:type="dxa"/>
            <w:tcMar>
              <w:top w:w="15" w:type="dxa"/>
              <w:left w:w="15" w:type="dxa"/>
              <w:right w:w="15" w:type="dxa"/>
            </w:tcMar>
            <w:vAlign w:val="center"/>
          </w:tcPr>
          <w:p>
            <w:pPr>
              <w:spacing w:line="360" w:lineRule="auto"/>
              <w:rPr>
                <w:rFonts w:ascii="宋体" w:hAnsi="宋体"/>
                <w:szCs w:val="24"/>
              </w:rPr>
            </w:pPr>
            <w:r>
              <w:rPr>
                <w:rFonts w:ascii="宋体" w:hAnsi="宋体"/>
                <w:szCs w:val="24"/>
              </w:rPr>
              <w:t>（1）根据投标人针对本项目时间要求所实施的进度安排和进度控制措施是否合理、科学、完整、规范并具备可操作性等进行评审。（0-3分）</w:t>
            </w:r>
          </w:p>
          <w:p>
            <w:pPr>
              <w:spacing w:line="360" w:lineRule="auto"/>
              <w:rPr>
                <w:rFonts w:ascii="宋体" w:hAnsi="宋体"/>
                <w:szCs w:val="24"/>
              </w:rPr>
            </w:pPr>
            <w:r>
              <w:rPr>
                <w:rFonts w:ascii="宋体" w:hAnsi="宋体"/>
                <w:szCs w:val="24"/>
              </w:rPr>
              <w:t>（2）根据投标人提供的质量保障体系、安全保障措施是否完善等进行评审。（0-3分）</w:t>
            </w:r>
          </w:p>
        </w:tc>
        <w:tc>
          <w:tcPr>
            <w:tcW w:w="952" w:type="dxa"/>
            <w:tcMar>
              <w:top w:w="15" w:type="dxa"/>
              <w:left w:w="15" w:type="dxa"/>
              <w:right w:w="15" w:type="dxa"/>
            </w:tcMar>
            <w:vAlign w:val="center"/>
          </w:tcPr>
          <w:p>
            <w:pPr>
              <w:spacing w:line="360" w:lineRule="auto"/>
              <w:jc w:val="center"/>
              <w:rPr>
                <w:rFonts w:ascii="宋体" w:hAnsi="宋体"/>
                <w:szCs w:val="24"/>
              </w:rPr>
            </w:pPr>
            <w:r>
              <w:rPr>
                <w:rFonts w:ascii="宋体" w:hAnsi="宋体"/>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2" w:hRule="atLeast"/>
          <w:jc w:val="center"/>
        </w:trPr>
        <w:tc>
          <w:tcPr>
            <w:tcW w:w="1276" w:type="dxa"/>
            <w:vAlign w:val="center"/>
          </w:tcPr>
          <w:p>
            <w:pPr>
              <w:spacing w:line="360" w:lineRule="auto"/>
              <w:jc w:val="center"/>
              <w:rPr>
                <w:rFonts w:ascii="宋体" w:hAnsi="宋体"/>
                <w:szCs w:val="24"/>
              </w:rPr>
            </w:pPr>
            <w:r>
              <w:rPr>
                <w:rFonts w:ascii="宋体" w:hAnsi="宋体"/>
                <w:szCs w:val="24"/>
              </w:rPr>
              <w:t>售后服务</w:t>
            </w:r>
          </w:p>
          <w:p>
            <w:pPr>
              <w:spacing w:line="360" w:lineRule="auto"/>
              <w:jc w:val="center"/>
              <w:rPr>
                <w:rFonts w:ascii="宋体" w:hAnsi="宋体"/>
                <w:szCs w:val="24"/>
              </w:rPr>
            </w:pPr>
            <w:r>
              <w:rPr>
                <w:rFonts w:ascii="宋体" w:hAnsi="宋体"/>
                <w:szCs w:val="24"/>
              </w:rPr>
              <w:t>（4分）</w:t>
            </w:r>
          </w:p>
        </w:tc>
        <w:tc>
          <w:tcPr>
            <w:tcW w:w="5801" w:type="dxa"/>
            <w:tcMar>
              <w:top w:w="15" w:type="dxa"/>
              <w:left w:w="15" w:type="dxa"/>
              <w:right w:w="15" w:type="dxa"/>
            </w:tcMar>
            <w:vAlign w:val="center"/>
          </w:tcPr>
          <w:p>
            <w:pPr>
              <w:spacing w:line="360" w:lineRule="auto"/>
              <w:rPr>
                <w:rFonts w:ascii="宋体" w:hAnsi="宋体"/>
                <w:szCs w:val="24"/>
              </w:rPr>
            </w:pPr>
            <w:r>
              <w:rPr>
                <w:rFonts w:ascii="宋体" w:hAnsi="宋体"/>
                <w:szCs w:val="24"/>
              </w:rPr>
              <w:t>根据投标人提出售后服务方案是否详细、合理、故障响应、上门服务时限是否满足采购需求、是否能够积极配合等进行评审。（0-4分）</w:t>
            </w:r>
          </w:p>
        </w:tc>
        <w:tc>
          <w:tcPr>
            <w:tcW w:w="952" w:type="dxa"/>
            <w:tcMar>
              <w:top w:w="15" w:type="dxa"/>
              <w:left w:w="15" w:type="dxa"/>
              <w:right w:w="15" w:type="dxa"/>
            </w:tcMar>
            <w:vAlign w:val="center"/>
          </w:tcPr>
          <w:p>
            <w:pPr>
              <w:spacing w:line="360" w:lineRule="auto"/>
              <w:jc w:val="center"/>
              <w:rPr>
                <w:rFonts w:ascii="宋体" w:hAnsi="宋体"/>
                <w:szCs w:val="24"/>
              </w:rPr>
            </w:pPr>
            <w:r>
              <w:rPr>
                <w:rFonts w:ascii="宋体" w:hAnsi="宋体"/>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7" w:hRule="atLeast"/>
          <w:jc w:val="center"/>
        </w:trPr>
        <w:tc>
          <w:tcPr>
            <w:tcW w:w="1276" w:type="dxa"/>
            <w:vAlign w:val="center"/>
          </w:tcPr>
          <w:p>
            <w:pPr>
              <w:spacing w:line="360" w:lineRule="auto"/>
              <w:jc w:val="center"/>
              <w:rPr>
                <w:rFonts w:ascii="宋体" w:hAnsi="宋体"/>
                <w:szCs w:val="24"/>
              </w:rPr>
            </w:pPr>
            <w:r>
              <w:rPr>
                <w:rFonts w:ascii="宋体" w:hAnsi="宋体"/>
                <w:szCs w:val="24"/>
              </w:rPr>
              <w:t>培训服务</w:t>
            </w:r>
          </w:p>
          <w:p>
            <w:pPr>
              <w:spacing w:line="360" w:lineRule="auto"/>
              <w:jc w:val="center"/>
              <w:rPr>
                <w:rFonts w:ascii="宋体" w:hAnsi="宋体"/>
                <w:szCs w:val="24"/>
              </w:rPr>
            </w:pPr>
            <w:r>
              <w:rPr>
                <w:rFonts w:ascii="宋体" w:hAnsi="宋体"/>
                <w:szCs w:val="24"/>
              </w:rPr>
              <w:t>（3分）</w:t>
            </w:r>
          </w:p>
        </w:tc>
        <w:tc>
          <w:tcPr>
            <w:tcW w:w="5801" w:type="dxa"/>
            <w:tcMar>
              <w:top w:w="15" w:type="dxa"/>
              <w:left w:w="15" w:type="dxa"/>
              <w:right w:w="15" w:type="dxa"/>
            </w:tcMar>
            <w:vAlign w:val="center"/>
          </w:tcPr>
          <w:p>
            <w:pPr>
              <w:spacing w:line="360" w:lineRule="auto"/>
              <w:rPr>
                <w:rFonts w:ascii="宋体" w:hAnsi="宋体"/>
                <w:szCs w:val="24"/>
              </w:rPr>
            </w:pPr>
            <w:r>
              <w:rPr>
                <w:rFonts w:ascii="宋体" w:hAnsi="宋体"/>
                <w:szCs w:val="24"/>
              </w:rPr>
              <w:t>根据投标人针对本项目制定的培训方案是否全面、完整、是否涵盖包含培训对象、培训内容、培训时长、培训形式等进行评审。（0-3分）</w:t>
            </w:r>
          </w:p>
        </w:tc>
        <w:tc>
          <w:tcPr>
            <w:tcW w:w="952" w:type="dxa"/>
            <w:tcMar>
              <w:top w:w="15" w:type="dxa"/>
              <w:left w:w="15" w:type="dxa"/>
              <w:right w:w="15" w:type="dxa"/>
            </w:tcMar>
            <w:vAlign w:val="center"/>
          </w:tcPr>
          <w:p>
            <w:pPr>
              <w:spacing w:line="360" w:lineRule="auto"/>
              <w:jc w:val="center"/>
              <w:rPr>
                <w:rFonts w:ascii="宋体" w:hAnsi="宋体"/>
                <w:szCs w:val="24"/>
              </w:rPr>
            </w:pPr>
            <w:r>
              <w:rPr>
                <w:rFonts w:ascii="宋体" w:hAnsi="宋体"/>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0" w:hRule="atLeast"/>
          <w:jc w:val="center"/>
        </w:trPr>
        <w:tc>
          <w:tcPr>
            <w:tcW w:w="1276" w:type="dxa"/>
            <w:vMerge w:val="restart"/>
            <w:vAlign w:val="center"/>
          </w:tcPr>
          <w:p>
            <w:pPr>
              <w:spacing w:line="360" w:lineRule="auto"/>
              <w:jc w:val="center"/>
              <w:rPr>
                <w:rFonts w:ascii="宋体" w:hAnsi="宋体"/>
                <w:szCs w:val="24"/>
              </w:rPr>
            </w:pPr>
            <w:r>
              <w:rPr>
                <w:rFonts w:ascii="宋体" w:hAnsi="宋体"/>
                <w:szCs w:val="24"/>
              </w:rPr>
              <w:t>项目组成员</w:t>
            </w:r>
          </w:p>
          <w:p>
            <w:pPr>
              <w:spacing w:line="360" w:lineRule="auto"/>
              <w:jc w:val="center"/>
              <w:rPr>
                <w:rFonts w:ascii="宋体" w:hAnsi="宋体"/>
                <w:szCs w:val="24"/>
              </w:rPr>
            </w:pPr>
            <w:r>
              <w:rPr>
                <w:rFonts w:ascii="宋体" w:hAnsi="宋体"/>
                <w:szCs w:val="24"/>
              </w:rPr>
              <w:t>（9分）</w:t>
            </w:r>
          </w:p>
        </w:tc>
        <w:tc>
          <w:tcPr>
            <w:tcW w:w="5801" w:type="dxa"/>
            <w:tcMar>
              <w:top w:w="15" w:type="dxa"/>
              <w:left w:w="15" w:type="dxa"/>
              <w:right w:w="15" w:type="dxa"/>
            </w:tcMar>
            <w:vAlign w:val="center"/>
          </w:tcPr>
          <w:p>
            <w:pPr>
              <w:spacing w:line="360" w:lineRule="auto"/>
              <w:rPr>
                <w:rFonts w:ascii="宋体" w:hAnsi="宋体"/>
                <w:szCs w:val="24"/>
              </w:rPr>
            </w:pPr>
            <w:r>
              <w:rPr>
                <w:rFonts w:ascii="宋体" w:hAnsi="宋体"/>
                <w:szCs w:val="24"/>
              </w:rPr>
              <w:t>项目负责人具有测绘与地理信息相关专业高级工程师资格的得1分，具有测绘与地理信息相关专业教授级高级工程师资格的得2分。其他得0分。</w:t>
            </w:r>
          </w:p>
          <w:p>
            <w:pPr>
              <w:spacing w:line="360" w:lineRule="auto"/>
              <w:rPr>
                <w:rFonts w:ascii="宋体" w:hAnsi="宋体"/>
                <w:szCs w:val="24"/>
              </w:rPr>
            </w:pPr>
            <w:r>
              <w:rPr>
                <w:rFonts w:ascii="宋体" w:hAnsi="宋体"/>
                <w:szCs w:val="24"/>
              </w:rPr>
              <w:t>注：须提供项目负责人身份证及有效期内的相关证书扫描件加盖公章，并提供本单位为其缴纳的近三个月的社保缴纳证明。</w:t>
            </w:r>
          </w:p>
        </w:tc>
        <w:tc>
          <w:tcPr>
            <w:tcW w:w="952" w:type="dxa"/>
            <w:tcMar>
              <w:top w:w="15" w:type="dxa"/>
              <w:left w:w="15" w:type="dxa"/>
              <w:right w:w="15" w:type="dxa"/>
            </w:tcMar>
            <w:vAlign w:val="center"/>
          </w:tcPr>
          <w:p>
            <w:pPr>
              <w:spacing w:line="360" w:lineRule="auto"/>
              <w:jc w:val="center"/>
              <w:rPr>
                <w:rFonts w:ascii="宋体" w:hAnsi="宋体"/>
                <w:szCs w:val="24"/>
              </w:rPr>
            </w:pPr>
            <w:r>
              <w:rPr>
                <w:rFonts w:ascii="宋体" w:hAnsi="宋体"/>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0" w:hRule="atLeast"/>
          <w:jc w:val="center"/>
        </w:trPr>
        <w:tc>
          <w:tcPr>
            <w:tcW w:w="1276" w:type="dxa"/>
            <w:vMerge w:val="continue"/>
            <w:vAlign w:val="center"/>
          </w:tcPr>
          <w:p>
            <w:pPr>
              <w:spacing w:line="360" w:lineRule="auto"/>
              <w:jc w:val="center"/>
              <w:rPr>
                <w:rFonts w:ascii="宋体" w:hAnsi="宋体"/>
                <w:szCs w:val="24"/>
              </w:rPr>
            </w:pPr>
          </w:p>
        </w:tc>
        <w:tc>
          <w:tcPr>
            <w:tcW w:w="5801" w:type="dxa"/>
            <w:tcMar>
              <w:top w:w="15" w:type="dxa"/>
              <w:left w:w="15" w:type="dxa"/>
              <w:right w:w="15" w:type="dxa"/>
            </w:tcMar>
            <w:vAlign w:val="center"/>
          </w:tcPr>
          <w:p>
            <w:pPr>
              <w:spacing w:line="360" w:lineRule="auto"/>
              <w:rPr>
                <w:rFonts w:ascii="宋体" w:hAnsi="宋体"/>
                <w:szCs w:val="24"/>
              </w:rPr>
            </w:pPr>
            <w:r>
              <w:rPr>
                <w:rFonts w:ascii="宋体" w:hAnsi="宋体"/>
                <w:szCs w:val="24"/>
              </w:rPr>
              <w:t>（1）项目组成员中（除项目负责人）具有高级工程师，每人得0.5分，最高得2分。</w:t>
            </w:r>
          </w:p>
          <w:p>
            <w:pPr>
              <w:spacing w:line="360" w:lineRule="auto"/>
              <w:rPr>
                <w:rFonts w:ascii="宋体" w:hAnsi="宋体"/>
                <w:szCs w:val="24"/>
              </w:rPr>
            </w:pPr>
            <w:r>
              <w:rPr>
                <w:rFonts w:ascii="宋体" w:hAnsi="宋体"/>
                <w:szCs w:val="24"/>
              </w:rPr>
              <w:t>（2）项目组成员中（含项目负责人）具有注册测绘师或国土空间规划师（原注册城市规划师）每人得0.3分，最高得3分。</w:t>
            </w:r>
          </w:p>
          <w:p>
            <w:pPr>
              <w:spacing w:line="360" w:lineRule="auto"/>
              <w:rPr>
                <w:rFonts w:ascii="宋体" w:hAnsi="宋体"/>
                <w:szCs w:val="24"/>
              </w:rPr>
            </w:pPr>
            <w:r>
              <w:rPr>
                <w:rFonts w:ascii="宋体" w:hAnsi="宋体"/>
                <w:szCs w:val="24"/>
              </w:rPr>
              <w:t>（3）项目组成员中（含项目负责人）具有涉密测绘成果管理人员岗位培训证书持证人员每人得0.5分，最高得2分。</w:t>
            </w:r>
          </w:p>
          <w:p>
            <w:pPr>
              <w:spacing w:line="360" w:lineRule="auto"/>
              <w:rPr>
                <w:rFonts w:ascii="宋体" w:hAnsi="宋体"/>
                <w:szCs w:val="24"/>
              </w:rPr>
            </w:pPr>
            <w:r>
              <w:rPr>
                <w:rFonts w:ascii="宋体" w:hAnsi="宋体"/>
                <w:szCs w:val="24"/>
              </w:rPr>
              <w:t>注：须提供项目组成员身份证及有效期内的相关证书扫描件加盖公章，并提供本单位为其缴纳的近三个月的社保缴纳证明。</w:t>
            </w:r>
          </w:p>
        </w:tc>
        <w:tc>
          <w:tcPr>
            <w:tcW w:w="952" w:type="dxa"/>
            <w:tcMar>
              <w:top w:w="15" w:type="dxa"/>
              <w:left w:w="15" w:type="dxa"/>
              <w:right w:w="15" w:type="dxa"/>
            </w:tcMar>
            <w:vAlign w:val="center"/>
          </w:tcPr>
          <w:p>
            <w:pPr>
              <w:spacing w:line="360" w:lineRule="auto"/>
              <w:jc w:val="center"/>
              <w:rPr>
                <w:rFonts w:ascii="宋体" w:hAnsi="宋体"/>
                <w:szCs w:val="24"/>
              </w:rPr>
            </w:pPr>
            <w:r>
              <w:rPr>
                <w:rFonts w:ascii="宋体" w:hAnsi="宋体"/>
                <w:szCs w:val="24"/>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3" w:hRule="atLeast"/>
          <w:jc w:val="center"/>
        </w:trPr>
        <w:tc>
          <w:tcPr>
            <w:tcW w:w="1276" w:type="dxa"/>
            <w:vAlign w:val="center"/>
          </w:tcPr>
          <w:p>
            <w:pPr>
              <w:spacing w:line="360" w:lineRule="auto"/>
              <w:jc w:val="center"/>
              <w:rPr>
                <w:rFonts w:ascii="宋体" w:hAnsi="宋体"/>
                <w:szCs w:val="24"/>
              </w:rPr>
            </w:pPr>
            <w:r>
              <w:rPr>
                <w:rFonts w:ascii="宋体" w:hAnsi="宋体"/>
                <w:szCs w:val="24"/>
              </w:rPr>
              <w:t>现场演示</w:t>
            </w:r>
          </w:p>
          <w:p>
            <w:pPr>
              <w:spacing w:line="360" w:lineRule="auto"/>
              <w:jc w:val="center"/>
              <w:rPr>
                <w:rFonts w:ascii="宋体" w:hAnsi="宋体"/>
                <w:szCs w:val="24"/>
              </w:rPr>
            </w:pPr>
            <w:r>
              <w:rPr>
                <w:rFonts w:ascii="宋体" w:hAnsi="宋体"/>
                <w:szCs w:val="24"/>
              </w:rPr>
              <w:t>（25分）</w:t>
            </w:r>
          </w:p>
        </w:tc>
        <w:tc>
          <w:tcPr>
            <w:tcW w:w="5801" w:type="dxa"/>
            <w:tcMar>
              <w:top w:w="15" w:type="dxa"/>
              <w:left w:w="15" w:type="dxa"/>
              <w:right w:w="15" w:type="dxa"/>
            </w:tcMar>
            <w:vAlign w:val="center"/>
          </w:tcPr>
          <w:p>
            <w:pPr>
              <w:spacing w:line="360" w:lineRule="auto"/>
              <w:rPr>
                <w:rFonts w:ascii="宋体" w:hAnsi="宋体"/>
                <w:szCs w:val="24"/>
              </w:rPr>
            </w:pPr>
            <w:r>
              <w:rPr>
                <w:rFonts w:ascii="宋体" w:hAnsi="宋体"/>
                <w:szCs w:val="24"/>
              </w:rPr>
              <w:t>投标人以DEMO系统操作形式进行现场演示，评标委员会针对以下内容进行评分。其中：</w:t>
            </w:r>
          </w:p>
          <w:p>
            <w:pPr>
              <w:spacing w:line="360" w:lineRule="auto"/>
              <w:rPr>
                <w:rFonts w:ascii="宋体" w:hAnsi="宋体"/>
                <w:szCs w:val="24"/>
              </w:rPr>
            </w:pPr>
            <w:r>
              <w:rPr>
                <w:rFonts w:ascii="宋体" w:hAnsi="宋体"/>
                <w:szCs w:val="24"/>
              </w:rPr>
              <w:t>（1）投标人提供的DEMO系统需承载杭州市范围内1000平方公里以上倾斜摄影数据（符合得3分，不符合不得分），并进行流畅加载、浏览展示（符合得1分，不符合不得分）。</w:t>
            </w:r>
          </w:p>
          <w:p>
            <w:pPr>
              <w:spacing w:line="360" w:lineRule="auto"/>
              <w:rPr>
                <w:rFonts w:ascii="宋体" w:hAnsi="宋体"/>
                <w:szCs w:val="24"/>
              </w:rPr>
            </w:pPr>
            <w:r>
              <w:rPr>
                <w:rFonts w:ascii="宋体" w:hAnsi="宋体"/>
                <w:szCs w:val="24"/>
              </w:rPr>
              <w:t>（2）投标人提供的DEMO系统需承载杭州市范围内不少于4平方公里的BIM或非BIM手工三维模型数据（符合得3分，不符合不得分），并能与实景三维数据融合（符合得2分，不符合不得分），能与控规等矢量图层叠加，进行流畅加载、浏览展示（符合得2分，不符合不得分）。</w:t>
            </w:r>
          </w:p>
          <w:p>
            <w:pPr>
              <w:spacing w:line="360" w:lineRule="auto"/>
              <w:rPr>
                <w:rFonts w:ascii="宋体" w:hAnsi="宋体"/>
                <w:szCs w:val="24"/>
              </w:rPr>
            </w:pPr>
            <w:r>
              <w:rPr>
                <w:rFonts w:ascii="宋体" w:hAnsi="宋体"/>
                <w:szCs w:val="24"/>
              </w:rPr>
              <w:t>（3）投标人提供的DEMO系统需实现对杭州市范围内的天地空、室内外、地上地下、二三维数据进行一体化集成展示、无缝切换、无感调度（符合得4分，不符合不得分）；包含倾斜摄影测量实景三维模型、地形、影像、地下管线、地下空间、地质体等（符合得3分，不符合不得分）。</w:t>
            </w:r>
          </w:p>
          <w:p>
            <w:pPr>
              <w:spacing w:line="360" w:lineRule="auto"/>
              <w:rPr>
                <w:rFonts w:ascii="宋体" w:hAnsi="宋体"/>
                <w:szCs w:val="24"/>
              </w:rPr>
            </w:pPr>
            <w:r>
              <w:rPr>
                <w:rFonts w:ascii="宋体" w:hAnsi="宋体"/>
                <w:szCs w:val="24"/>
              </w:rPr>
              <w:t>（4）投标人提供的DEMO系统需演示不同应用场景的建设案例，每个应用场景的建设案例得2分，最高4分。</w:t>
            </w:r>
          </w:p>
          <w:p>
            <w:pPr>
              <w:spacing w:line="360" w:lineRule="auto"/>
              <w:rPr>
                <w:rFonts w:ascii="宋体" w:hAnsi="宋体"/>
                <w:szCs w:val="24"/>
              </w:rPr>
            </w:pPr>
            <w:r>
              <w:rPr>
                <w:rFonts w:ascii="宋体" w:hAnsi="宋体"/>
                <w:szCs w:val="24"/>
              </w:rPr>
              <w:t>（5）投标人能够提供基于一体化智能化公共数据平台实现省、市、县三级数据贯通的数仓建设经验演示并确实在实际部门中应用的案例（符合得3分，不符合不得分）。</w:t>
            </w:r>
          </w:p>
          <w:p>
            <w:pPr>
              <w:spacing w:line="360" w:lineRule="auto"/>
              <w:rPr>
                <w:rFonts w:ascii="宋体" w:hAnsi="宋体"/>
                <w:szCs w:val="24"/>
              </w:rPr>
            </w:pPr>
            <w:r>
              <w:rPr>
                <w:rFonts w:ascii="宋体" w:hAnsi="宋体"/>
                <w:szCs w:val="24"/>
              </w:rPr>
              <w:t>投标人未演示的不作无效标处理，但会影响相关评分项的得分。</w:t>
            </w:r>
          </w:p>
        </w:tc>
        <w:tc>
          <w:tcPr>
            <w:tcW w:w="952" w:type="dxa"/>
            <w:tcMar>
              <w:top w:w="15" w:type="dxa"/>
              <w:left w:w="15" w:type="dxa"/>
              <w:right w:w="15" w:type="dxa"/>
            </w:tcMar>
            <w:vAlign w:val="center"/>
          </w:tcPr>
          <w:p>
            <w:pPr>
              <w:spacing w:line="360" w:lineRule="auto"/>
              <w:jc w:val="center"/>
              <w:rPr>
                <w:rFonts w:ascii="宋体" w:hAnsi="宋体"/>
                <w:szCs w:val="24"/>
              </w:rPr>
            </w:pPr>
            <w:r>
              <w:rPr>
                <w:rFonts w:ascii="宋体" w:hAnsi="宋体"/>
                <w:szCs w:val="24"/>
              </w:rPr>
              <w:t>25</w:t>
            </w:r>
          </w:p>
        </w:tc>
      </w:tr>
    </w:tbl>
    <w:p>
      <w:pPr>
        <w:snapToGrid w:val="0"/>
        <w:spacing w:line="360" w:lineRule="auto"/>
        <w:ind w:firstLine="420" w:firstLineChars="200"/>
        <w:rPr>
          <w:rFonts w:ascii="宋体" w:hAnsi="宋体" w:cs="宋体"/>
          <w:szCs w:val="21"/>
        </w:rPr>
      </w:pPr>
      <w:r>
        <w:rPr>
          <w:rFonts w:hint="eastAsia" w:ascii="宋体" w:hAnsi="宋体" w:cs="宋体"/>
          <w:szCs w:val="21"/>
        </w:rPr>
        <w:t>注：按规定核发、在有效期内的旧版证书，与有效新版证书同样得分。</w:t>
      </w:r>
    </w:p>
    <w:p>
      <w:pPr>
        <w:snapToGrid w:val="0"/>
        <w:spacing w:line="360" w:lineRule="auto"/>
        <w:ind w:firstLine="420" w:firstLineChars="200"/>
        <w:outlineLvl w:val="2"/>
        <w:rPr>
          <w:rFonts w:ascii="宋体" w:hAnsi="宋体" w:cs="宋体"/>
          <w:szCs w:val="21"/>
        </w:rPr>
      </w:pPr>
      <w:r>
        <w:rPr>
          <w:rFonts w:hint="eastAsia" w:ascii="宋体" w:hAnsi="宋体" w:cs="宋体"/>
          <w:szCs w:val="21"/>
        </w:rPr>
        <w:t>（二）商务报价（满分10分）</w:t>
      </w:r>
    </w:p>
    <w:p>
      <w:pPr>
        <w:snapToGrid w:val="0"/>
        <w:spacing w:line="360" w:lineRule="auto"/>
        <w:ind w:firstLine="420" w:firstLineChars="200"/>
        <w:rPr>
          <w:rFonts w:ascii="宋体" w:hAnsi="宋体" w:cs="宋体"/>
          <w:szCs w:val="21"/>
        </w:rPr>
      </w:pPr>
      <w:r>
        <w:rPr>
          <w:rFonts w:hint="eastAsia" w:ascii="宋体" w:hAnsi="宋体" w:cs="宋体"/>
          <w:szCs w:val="21"/>
        </w:rPr>
        <w:t>1.投标价格的合理性</w:t>
      </w:r>
    </w:p>
    <w:p>
      <w:pPr>
        <w:snapToGrid w:val="0"/>
        <w:spacing w:line="360" w:lineRule="auto"/>
        <w:ind w:firstLine="420" w:firstLineChars="200"/>
        <w:rPr>
          <w:rFonts w:ascii="宋体" w:hAnsi="宋体" w:cs="宋体"/>
          <w:szCs w:val="21"/>
        </w:rPr>
      </w:pPr>
      <w:r>
        <w:rPr>
          <w:rFonts w:hint="eastAsia" w:ascii="宋体" w:hAnsi="宋体" w:cs="宋体"/>
          <w:szCs w:val="21"/>
        </w:rPr>
        <w:t>分析总报价及各个分项报价是否合理，报价范围是否完整，有否重大错漏项，评标委员会认为投标报价出现异常时，有权要求供应商在评标期间对投标报价的详细组成作出解释和澄清，并确认其投标报价是否有效。</w:t>
      </w:r>
    </w:p>
    <w:p>
      <w:pPr>
        <w:snapToGrid w:val="0"/>
        <w:spacing w:line="360" w:lineRule="auto"/>
        <w:ind w:firstLine="420" w:firstLineChars="200"/>
        <w:rPr>
          <w:rFonts w:ascii="宋体" w:hAnsi="宋体" w:cs="宋体"/>
          <w:szCs w:val="21"/>
        </w:rPr>
      </w:pPr>
      <w:r>
        <w:rPr>
          <w:rFonts w:hint="eastAsia" w:ascii="宋体" w:hAnsi="宋体" w:cs="宋体"/>
          <w:szCs w:val="21"/>
        </w:rPr>
        <w:t>2.商务报价计算</w:t>
      </w:r>
    </w:p>
    <w:p>
      <w:pPr>
        <w:snapToGrid w:val="0"/>
        <w:spacing w:line="360" w:lineRule="auto"/>
        <w:ind w:firstLine="420" w:firstLineChars="200"/>
        <w:rPr>
          <w:rFonts w:ascii="宋体" w:hAnsi="宋体" w:cs="宋体"/>
          <w:szCs w:val="21"/>
        </w:rPr>
      </w:pPr>
      <w:r>
        <w:rPr>
          <w:rFonts w:hint="eastAsia" w:ascii="宋体" w:hAnsi="宋体" w:cs="宋体"/>
          <w:szCs w:val="21"/>
        </w:rPr>
        <w:t>各供应商的商务报价得分统一采用低价优先法计算，即满足采购文件要求且投标价格最低的投标报价为评标基准价，其价格分为满分10分。其他供应商的商务报价得分统一按照下列公式计算：</w:t>
      </w:r>
    </w:p>
    <w:p>
      <w:pPr>
        <w:snapToGrid w:val="0"/>
        <w:spacing w:line="360" w:lineRule="auto"/>
        <w:ind w:firstLine="422" w:firstLineChars="200"/>
        <w:rPr>
          <w:rFonts w:ascii="宋体" w:hAnsi="宋体" w:cs="宋体"/>
          <w:b/>
          <w:bCs/>
          <w:szCs w:val="21"/>
        </w:rPr>
      </w:pPr>
      <w:r>
        <w:rPr>
          <w:rFonts w:hint="eastAsia" w:ascii="宋体" w:hAnsi="宋体" w:cs="宋体"/>
          <w:b/>
          <w:bCs/>
          <w:szCs w:val="21"/>
        </w:rPr>
        <w:t>投标报价得分=（评标基准价/投标报价）×价格权值（即10%）×100</w:t>
      </w:r>
    </w:p>
    <w:p>
      <w:pPr>
        <w:snapToGrid w:val="0"/>
        <w:spacing w:line="360" w:lineRule="auto"/>
        <w:ind w:firstLine="420" w:firstLineChars="200"/>
        <w:rPr>
          <w:rFonts w:ascii="宋体" w:hAnsi="宋体" w:cs="宋体"/>
          <w:szCs w:val="21"/>
        </w:rPr>
      </w:pPr>
      <w:r>
        <w:rPr>
          <w:rFonts w:hint="eastAsia" w:ascii="宋体" w:hAnsi="宋体" w:cs="宋体"/>
          <w:szCs w:val="21"/>
        </w:rPr>
        <w:t>关于价格分计算的说明，以下价格优惠政策不累加：</w:t>
      </w:r>
    </w:p>
    <w:p>
      <w:pPr>
        <w:snapToGrid w:val="0"/>
        <w:spacing w:line="360" w:lineRule="auto"/>
        <w:ind w:firstLine="420" w:firstLineChars="200"/>
        <w:rPr>
          <w:rFonts w:ascii="宋体" w:hAnsi="宋体" w:cs="宋体"/>
          <w:szCs w:val="21"/>
        </w:rPr>
      </w:pPr>
      <w:r>
        <w:rPr>
          <w:rFonts w:hint="eastAsia" w:ascii="宋体" w:hAnsi="宋体" w:cs="宋体"/>
          <w:szCs w:val="21"/>
        </w:rPr>
        <w:t>①根据《政府采购促进中小企业发展管理办法》（财库〔2020〕46号）的规定，供应商为小型或微型企业的，其投标报价扣除6%后参与评审。</w:t>
      </w:r>
    </w:p>
    <w:p>
      <w:pPr>
        <w:snapToGrid w:val="0"/>
        <w:spacing w:line="360" w:lineRule="auto"/>
        <w:ind w:firstLine="420" w:firstLineChars="200"/>
        <w:rPr>
          <w:rFonts w:ascii="宋体" w:hAnsi="宋体" w:cs="宋体"/>
          <w:szCs w:val="21"/>
        </w:rPr>
      </w:pPr>
      <w:r>
        <w:rPr>
          <w:rFonts w:hint="eastAsia" w:ascii="宋体" w:hAnsi="宋体" w:cs="宋体"/>
          <w:szCs w:val="21"/>
        </w:rPr>
        <w:t>小型、微型企业与大中型企业和其他自然人、法人或者其他组织组成联合体共同参加非专门面向中小企业的政府采购活动。联合协议中约定，小型、微型企业的协议合同金额占到联合体协议合同总金额30%以上的，可给予联合体2%的投标价格扣除。（本项目不适用）</w:t>
      </w:r>
    </w:p>
    <w:p>
      <w:pPr>
        <w:snapToGrid w:val="0"/>
        <w:spacing w:line="360" w:lineRule="auto"/>
        <w:ind w:firstLine="420" w:firstLineChars="200"/>
        <w:rPr>
          <w:rFonts w:ascii="宋体" w:hAnsi="宋体" w:cs="宋体"/>
          <w:szCs w:val="21"/>
        </w:rPr>
      </w:pPr>
      <w:r>
        <w:rPr>
          <w:rFonts w:hint="eastAsia" w:ascii="宋体" w:hAnsi="宋体" w:cs="宋体"/>
          <w:szCs w:val="21"/>
        </w:rPr>
        <w:t>联合体各方均为小型、微型企业的，联合体视同为小型、微型企业。（本项目不适用）</w:t>
      </w:r>
    </w:p>
    <w:p>
      <w:pPr>
        <w:snapToGrid w:val="0"/>
        <w:spacing w:line="360" w:lineRule="auto"/>
        <w:ind w:firstLine="420" w:firstLineChars="200"/>
        <w:rPr>
          <w:rFonts w:ascii="宋体" w:hAnsi="宋体" w:cs="宋体"/>
          <w:szCs w:val="21"/>
        </w:rPr>
      </w:pPr>
      <w:r>
        <w:rPr>
          <w:rFonts w:hint="eastAsia" w:ascii="宋体" w:hAnsi="宋体" w:cs="宋体"/>
          <w:szCs w:val="21"/>
        </w:rPr>
        <w:t>投标文件中须提供：供应商的小微企业声明函（供应商在填写该声明函前，须先自查本企业是否满足小微企业认定标准，可通过“国家企业信用信息公示系统——小微企业名录”页面查询），未按要求出具声明函的，投标报价不予扣减。</w:t>
      </w:r>
    </w:p>
    <w:p>
      <w:pPr>
        <w:snapToGrid w:val="0"/>
        <w:spacing w:line="360" w:lineRule="auto"/>
        <w:ind w:firstLine="420" w:firstLineChars="200"/>
        <w:rPr>
          <w:rFonts w:ascii="宋体" w:hAnsi="宋体" w:cs="宋体"/>
          <w:szCs w:val="21"/>
        </w:rPr>
      </w:pPr>
      <w:r>
        <w:rPr>
          <w:rFonts w:hint="eastAsia" w:ascii="宋体" w:hAnsi="宋体" w:cs="宋体"/>
          <w:szCs w:val="21"/>
        </w:rPr>
        <w:t>②根据《关于政府采购支持监狱企业发展有关问题的通知》（财库[2014]68号）的规定，供应商如为监狱企业，其投标报价扣除6%后参与评审。</w:t>
      </w:r>
    </w:p>
    <w:p>
      <w:pPr>
        <w:snapToGrid w:val="0"/>
        <w:spacing w:line="360" w:lineRule="auto"/>
        <w:ind w:firstLine="420" w:firstLineChars="200"/>
        <w:rPr>
          <w:rFonts w:ascii="宋体" w:hAnsi="宋体" w:cs="宋体"/>
          <w:szCs w:val="21"/>
        </w:rPr>
      </w:pPr>
      <w:r>
        <w:rPr>
          <w:rFonts w:hint="eastAsia" w:ascii="宋体" w:hAnsi="宋体" w:cs="宋体"/>
          <w:szCs w:val="21"/>
        </w:rPr>
        <w:t>投标文件中须同时提供：供应商的省级以上监狱管理局、戒毒管理局(含新疆生产建设兵团)出具的属于监狱企业的证明文件，未提供完整证明材料的，投标报价不予扣减。</w:t>
      </w:r>
    </w:p>
    <w:p>
      <w:pPr>
        <w:snapToGrid w:val="0"/>
        <w:spacing w:line="360" w:lineRule="auto"/>
        <w:ind w:firstLine="420" w:firstLineChars="200"/>
        <w:rPr>
          <w:rFonts w:ascii="宋体" w:hAnsi="宋体" w:cs="宋体"/>
          <w:szCs w:val="21"/>
        </w:rPr>
      </w:pPr>
      <w:r>
        <w:rPr>
          <w:rFonts w:hint="eastAsia" w:ascii="宋体" w:hAnsi="宋体" w:cs="宋体"/>
          <w:szCs w:val="21"/>
        </w:rPr>
        <w:t>③残疾人福利性单位视同小型、微型企业，享受预留份额、评审中价格扣除等促进中小企业发展的政府采购政策。符合条件的残疾人福利性单位在参加政府采购活动时，应当提供本通知规定的《残疾人福利性单位声明函》（见附件），并对声明的真实性负责。</w:t>
      </w:r>
    </w:p>
    <w:p>
      <w:pPr>
        <w:snapToGrid w:val="0"/>
        <w:spacing w:line="360" w:lineRule="auto"/>
        <w:ind w:firstLine="420" w:firstLineChars="200"/>
        <w:rPr>
          <w:rFonts w:ascii="宋体" w:hAnsi="宋体" w:cs="宋体"/>
          <w:szCs w:val="21"/>
        </w:rPr>
      </w:pPr>
      <w:r>
        <w:rPr>
          <w:rFonts w:hint="eastAsia" w:ascii="宋体" w:hAnsi="宋体" w:cs="宋体"/>
          <w:szCs w:val="21"/>
        </w:rPr>
        <w:t>享受政府采购支持政策的残疾人福利性单位应当同时满足以下条件：</w:t>
      </w:r>
    </w:p>
    <w:p>
      <w:pPr>
        <w:snapToGrid w:val="0"/>
        <w:spacing w:line="360" w:lineRule="auto"/>
        <w:ind w:firstLine="420" w:firstLineChars="200"/>
        <w:rPr>
          <w:rFonts w:ascii="宋体" w:hAnsi="宋体" w:cs="宋体"/>
          <w:szCs w:val="21"/>
        </w:rPr>
      </w:pPr>
      <w:r>
        <w:rPr>
          <w:rFonts w:hint="eastAsia" w:ascii="宋体" w:hAnsi="宋体" w:cs="宋体"/>
          <w:szCs w:val="21"/>
        </w:rPr>
        <w:t>（一）安置的残疾人占本单位在职职工人数的比例不低于25%（含25%），并且安置的残疾人人数不少于10人（含10人）；</w:t>
      </w:r>
    </w:p>
    <w:p>
      <w:pPr>
        <w:snapToGrid w:val="0"/>
        <w:spacing w:line="360" w:lineRule="auto"/>
        <w:ind w:firstLine="420" w:firstLineChars="200"/>
        <w:rPr>
          <w:rFonts w:ascii="宋体" w:hAnsi="宋体" w:cs="宋体"/>
          <w:szCs w:val="21"/>
        </w:rPr>
      </w:pPr>
      <w:r>
        <w:rPr>
          <w:rFonts w:hint="eastAsia" w:ascii="宋体" w:hAnsi="宋体" w:cs="宋体"/>
          <w:szCs w:val="21"/>
        </w:rPr>
        <w:t>（二）依法与安置的每位残疾人签订了一年以上（含一年）的劳动合同或服务协议；</w:t>
      </w:r>
    </w:p>
    <w:p>
      <w:pPr>
        <w:snapToGrid w:val="0"/>
        <w:spacing w:line="360" w:lineRule="auto"/>
        <w:ind w:firstLine="420" w:firstLineChars="200"/>
        <w:rPr>
          <w:rFonts w:ascii="宋体" w:hAnsi="宋体" w:cs="宋体"/>
          <w:szCs w:val="21"/>
        </w:rPr>
      </w:pPr>
      <w:r>
        <w:rPr>
          <w:rFonts w:hint="eastAsia" w:ascii="宋体" w:hAnsi="宋体" w:cs="宋体"/>
          <w:szCs w:val="21"/>
        </w:rPr>
        <w:t>（三）为安置的每位残疾人按月足额缴纳了基本养老保险、基本医疗保险、失业保险、工伤保险和生育保险等社会保险费；</w:t>
      </w:r>
    </w:p>
    <w:p>
      <w:pPr>
        <w:snapToGrid w:val="0"/>
        <w:spacing w:line="360" w:lineRule="auto"/>
        <w:ind w:firstLine="420" w:firstLineChars="200"/>
        <w:rPr>
          <w:rFonts w:ascii="宋体" w:hAnsi="宋体" w:cs="宋体"/>
          <w:szCs w:val="21"/>
        </w:rPr>
      </w:pPr>
      <w:r>
        <w:rPr>
          <w:rFonts w:hint="eastAsia" w:ascii="宋体" w:hAnsi="宋体" w:cs="宋体"/>
          <w:szCs w:val="21"/>
        </w:rPr>
        <w:t>（四）通过银行等金融机构向安置的每位残疾人，按月支付了不低于单位所在区县适用的经省级人民政府批准的月最低工资标准的工资；</w:t>
      </w:r>
    </w:p>
    <w:p>
      <w:pPr>
        <w:snapToGrid w:val="0"/>
        <w:spacing w:line="360" w:lineRule="auto"/>
        <w:ind w:firstLine="420" w:firstLineChars="200"/>
        <w:rPr>
          <w:rFonts w:ascii="宋体" w:hAnsi="宋体" w:cs="宋体"/>
          <w:szCs w:val="21"/>
        </w:rPr>
      </w:pPr>
      <w:r>
        <w:rPr>
          <w:rFonts w:hint="eastAsia" w:ascii="宋体" w:hAnsi="宋体" w:cs="宋体"/>
          <w:szCs w:val="21"/>
        </w:rPr>
        <w:t>（五）提供本单位制造的货物、承担的工程或者服务（以下简称产品），或者提供其他残疾人福利性单位制造的货物（不包括使用非残疾人福利性单位注册商标的货物）。</w:t>
      </w:r>
    </w:p>
    <w:p>
      <w:pPr>
        <w:snapToGrid w:val="0"/>
        <w:spacing w:line="360" w:lineRule="auto"/>
        <w:ind w:firstLine="420" w:firstLineChars="200"/>
        <w:rPr>
          <w:rFonts w:ascii="宋体" w:hAnsi="宋体" w:cs="宋体"/>
          <w:szCs w:val="21"/>
        </w:rPr>
      </w:pPr>
      <w:r>
        <w:rPr>
          <w:rFonts w:hint="eastAsia" w:ascii="宋体" w:hAnsi="宋体" w:cs="宋体"/>
          <w:szCs w:val="21"/>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snapToGrid w:val="0"/>
        <w:spacing w:line="360" w:lineRule="auto"/>
        <w:ind w:firstLine="420" w:firstLineChars="200"/>
        <w:outlineLvl w:val="2"/>
        <w:rPr>
          <w:rFonts w:ascii="宋体" w:hAnsi="宋体" w:cs="宋体"/>
          <w:szCs w:val="21"/>
        </w:rPr>
      </w:pPr>
      <w:r>
        <w:rPr>
          <w:rFonts w:hint="eastAsia" w:ascii="宋体" w:hAnsi="宋体" w:cs="宋体"/>
          <w:szCs w:val="21"/>
        </w:rPr>
        <w:t>（三）其他</w:t>
      </w:r>
    </w:p>
    <w:p>
      <w:pPr>
        <w:snapToGrid w:val="0"/>
        <w:spacing w:line="360" w:lineRule="auto"/>
        <w:ind w:firstLine="420" w:firstLineChars="200"/>
        <w:rPr>
          <w:rFonts w:ascii="宋体" w:hAnsi="宋体" w:cs="宋体"/>
          <w:szCs w:val="21"/>
        </w:rPr>
      </w:pPr>
      <w:r>
        <w:rPr>
          <w:rFonts w:hint="eastAsia" w:ascii="宋体" w:hAnsi="宋体" w:cs="宋体"/>
          <w:szCs w:val="21"/>
        </w:rPr>
        <w:t>评分时保留小数点后1位小数，计算评分值时保留小数点后2位小数，由评标委员会当场统一计算。</w:t>
      </w:r>
    </w:p>
    <w:p>
      <w:pPr>
        <w:snapToGrid w:val="0"/>
        <w:spacing w:line="360" w:lineRule="auto"/>
        <w:ind w:firstLine="420" w:firstLineChars="200"/>
        <w:rPr>
          <w:rFonts w:ascii="宋体" w:hAnsi="宋体" w:cs="宋体"/>
          <w:szCs w:val="21"/>
        </w:rPr>
      </w:pPr>
      <w:r>
        <w:rPr>
          <w:rFonts w:hint="eastAsia" w:ascii="宋体" w:hAnsi="宋体" w:cs="宋体"/>
          <w:szCs w:val="21"/>
        </w:rPr>
        <w:t>供应商的最终总得分为技术商务及报价部分二部分得分的总和。</w:t>
      </w:r>
    </w:p>
    <w:p>
      <w:pPr>
        <w:snapToGrid w:val="0"/>
        <w:spacing w:line="360" w:lineRule="auto"/>
        <w:ind w:firstLine="422" w:firstLineChars="200"/>
      </w:pPr>
      <w:r>
        <w:rPr>
          <w:rFonts w:hint="eastAsia" w:ascii="宋体" w:hAnsi="宋体" w:cs="宋体"/>
          <w:b/>
          <w:bCs/>
          <w:szCs w:val="21"/>
        </w:rPr>
        <w:t>报价是中标的一个重要因素，但最低报价不是中标的唯一依据。</w:t>
      </w:r>
      <w:bookmarkEnd w:id="199"/>
      <w:bookmarkEnd w:id="20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210"/>
      <w:jc w:val="center"/>
    </w:pPr>
  </w:p>
  <w:p>
    <w:pPr>
      <w:pStyle w:val="1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left" w:pos="900"/>
        <w:tab w:val="clear" w:pos="4153"/>
        <w:tab w:val="clear" w:pos="8306"/>
      </w:tabs>
      <w:rPr>
        <w:rFonts w:ascii="宋体" w:hAnsi="宋体" w:cs="宋体"/>
      </w:rP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16205" cy="139700"/>
              <wp:effectExtent l="0" t="3810" r="635" b="0"/>
              <wp:wrapNone/>
              <wp:docPr id="18" name="文本框 18"/>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wps:spPr>
                    <wps:txbx>
                      <w:txbxContent>
                        <w:p>
                          <w:pPr>
                            <w:pStyle w:val="10"/>
                          </w:pPr>
                          <w:r>
                            <w:fldChar w:fldCharType="begin"/>
                          </w:r>
                          <w:r>
                            <w:instrText xml:space="preserve"> PAGE  \* MERGEFORMAT </w:instrText>
                          </w:r>
                          <w:r>
                            <w:fldChar w:fldCharType="separate"/>
                          </w:r>
                          <w:r>
                            <w:t>40</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pt;width:9.15pt;mso-position-horizontal:center;mso-position-horizontal-relative:margin;mso-wrap-style:none;z-index:251666432;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AYulhTQAAAAAwEAAA8AAAAAAAAAAQAgAAAAIgAAAGRycy9k&#10;b3ducmV2LnhtbFBLAQIUABQAAAAIAIdO4kCJbmSMCgIAAAQEAAAOAAAAAAAAAAEAIAAAAB8BAABk&#10;cnMvZTJvRG9jLnhtbFBLBQYAAAAABgAGAFkBAACbBQAAAAA=&#10;">
              <v:fill on="f" focussize="0,0"/>
              <v:stroke on="f"/>
              <v:imagedata o:title=""/>
              <o:lock v:ext="edit" aspectratio="f"/>
              <v:textbox inset="0mm,0mm,0mm,0mm" style="mso-fit-shape-to-text:t;">
                <w:txbxContent>
                  <w:p>
                    <w:pPr>
                      <w:pStyle w:val="10"/>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6" w:lineRule="exact"/>
      <w:jc w:val="left"/>
      <w:rPr>
        <w:rFonts w:ascii="宋体" w:hAnsi="宋体" w:cs="宋体"/>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16205" cy="139700"/>
              <wp:effectExtent l="0" t="0" r="635" b="0"/>
              <wp:wrapNone/>
              <wp:docPr id="17" name="文本框 17"/>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wps:spPr>
                    <wps:txbx>
                      <w:txbxContent>
                        <w:p>
                          <w:pPr>
                            <w:pStyle w:val="10"/>
                          </w:pPr>
                          <w:r>
                            <w:fldChar w:fldCharType="begin"/>
                          </w:r>
                          <w:r>
                            <w:instrText xml:space="preserve"> PAGE  \* MERGEFORMAT </w:instrText>
                          </w:r>
                          <w:r>
                            <w:fldChar w:fldCharType="separate"/>
                          </w:r>
                          <w:r>
                            <w:t>42</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pt;width:9.15pt;mso-position-horizontal:center;mso-position-horizontal-relative:margin;mso-wrap-style:none;z-index:251667456;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GLpYU0AAAAAMBAAAPAAAAAAAAAAEAIAAAACIAAABkcnMv&#10;ZG93bnJldi54bWxQSwECFAAUAAAACACHTuJAjGO/uAsCAAAEBAAADgAAAAAAAAABACAAAAAfAQAA&#10;ZHJzL2Uyb0RvYy54bWxQSwUGAAAAAAYABgBZAQAAnAUAAAAA&#10;">
              <v:fill on="f" focussize="0,0"/>
              <v:stroke on="f"/>
              <v:imagedata o:title=""/>
              <o:lock v:ext="edit" aspectratio="f"/>
              <v:textbox inset="0mm,0mm,0mm,0mm" style="mso-fit-shape-to-text:t;">
                <w:txbxContent>
                  <w:p>
                    <w:pPr>
                      <w:pStyle w:val="10"/>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6" w:lineRule="exact"/>
      <w:ind w:firstLine="4285"/>
      <w:jc w:val="left"/>
      <w:rPr>
        <w:rFonts w:ascii="宋体" w:hAnsi="宋体" w:cs="宋体"/>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16205" cy="139700"/>
              <wp:effectExtent l="0" t="0" r="635" b="0"/>
              <wp:wrapNone/>
              <wp:docPr id="16" name="文本框 16"/>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wps:spPr>
                    <wps:txbx>
                      <w:txbxContent>
                        <w:p>
                          <w:pPr>
                            <w:pStyle w:val="10"/>
                          </w:pPr>
                          <w:r>
                            <w:fldChar w:fldCharType="begin"/>
                          </w:r>
                          <w:r>
                            <w:instrText xml:space="preserve"> PAGE  \* MERGEFORMAT </w:instrText>
                          </w:r>
                          <w:r>
                            <w:fldChar w:fldCharType="separate"/>
                          </w:r>
                          <w:r>
                            <w:t>43</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pt;width:9.15pt;mso-position-horizontal:center;mso-position-horizontal-relative:margin;mso-wrap-style:none;z-index:251668480;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AYulhTQAAAAAwEAAA8AAAAAAAAAAQAgAAAAIgAAAGRycy9k&#10;b3ducmV2LnhtbFBLAQIUABQAAAAIAIdO4kBmBYHQCgIAAAQEAAAOAAAAAAAAAAEAIAAAAB8BAABk&#10;cnMvZTJvRG9jLnhtbFBLBQYAAAAABgAGAFkBAACbBQAAAAA=&#10;">
              <v:fill on="f" focussize="0,0"/>
              <v:stroke on="f"/>
              <v:imagedata o:title=""/>
              <o:lock v:ext="edit" aspectratio="f"/>
              <v:textbox inset="0mm,0mm,0mm,0mm" style="mso-fit-shape-to-text:t;">
                <w:txbxContent>
                  <w:p>
                    <w:pPr>
                      <w:pStyle w:val="10"/>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6" w:lineRule="exact"/>
      <w:ind w:firstLine="4292"/>
      <w:jc w:val="left"/>
      <w:rPr>
        <w:rFonts w:ascii="宋体" w:hAnsi="宋体" w:cs="宋体"/>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16205" cy="139700"/>
              <wp:effectExtent l="0" t="0" r="635" b="0"/>
              <wp:wrapNone/>
              <wp:docPr id="15" name="文本框 15"/>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wps:spPr>
                    <wps:txbx>
                      <w:txbxContent>
                        <w:p>
                          <w:pPr>
                            <w:pStyle w:val="10"/>
                          </w:pPr>
                          <w:r>
                            <w:fldChar w:fldCharType="begin"/>
                          </w:r>
                          <w:r>
                            <w:instrText xml:space="preserve"> PAGE  \* MERGEFORMAT </w:instrText>
                          </w:r>
                          <w:r>
                            <w:fldChar w:fldCharType="separate"/>
                          </w:r>
                          <w:r>
                            <w:t>46</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pt;width:9.15pt;mso-position-horizontal:center;mso-position-horizontal-relative:margin;mso-wrap-style:none;z-index:251669504;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Bi6WFNAAAAADAQAADwAAAAAAAAABACAAAAAiAAAAZHJzL2Rv&#10;d25yZXYueG1sUEsBAhQAFAAAAAgAh07iQFiuw2gJAgAABAQAAA4AAAAAAAAAAQAgAAAAHwEAAGRy&#10;cy9lMm9Eb2MueG1sUEsFBgAAAAAGAAYAWQEAAJoFAAAAAA==&#10;">
              <v:fill on="f" focussize="0,0"/>
              <v:stroke on="f"/>
              <v:imagedata o:title=""/>
              <o:lock v:ext="edit" aspectratio="f"/>
              <v:textbox inset="0mm,0mm,0mm,0mm" style="mso-fit-shape-to-text:t;">
                <w:txbxContent>
                  <w:p>
                    <w:pPr>
                      <w:pStyle w:val="10"/>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4" w:lineRule="exact"/>
      <w:jc w:val="left"/>
      <w:rPr>
        <w:rFonts w:ascii="宋体" w:hAnsi="宋体" w:cs="宋体"/>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16205" cy="139700"/>
              <wp:effectExtent l="0" t="0" r="635" b="0"/>
              <wp:wrapNone/>
              <wp:docPr id="14" name="文本框 14"/>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wps:spPr>
                    <wps:txbx>
                      <w:txbxContent>
                        <w:p>
                          <w:pPr>
                            <w:pStyle w:val="10"/>
                          </w:pPr>
                          <w:r>
                            <w:fldChar w:fldCharType="begin"/>
                          </w:r>
                          <w:r>
                            <w:instrText xml:space="preserve"> PAGE  \* MERGEFORMAT </w:instrText>
                          </w:r>
                          <w:r>
                            <w:fldChar w:fldCharType="separate"/>
                          </w:r>
                          <w:r>
                            <w:t>47</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pt;width:9.15pt;mso-position-horizontal:center;mso-position-horizontal-relative:margin;mso-wrap-style:none;z-index:251670528;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AYulhTQAAAAAwEAAA8AAAAAAAAAAQAgAAAAIgAAAGRycy9k&#10;b3ducmV2LnhtbFBLAQIUABQAAAAIAIdO4kCyyP0ACgIAAAQEAAAOAAAAAAAAAAEAIAAAAB8BAABk&#10;cnMvZTJvRG9jLnhtbFBLBQYAAAAABgAGAFkBAACbBQAAAAA=&#10;">
              <v:fill on="f" focussize="0,0"/>
              <v:stroke on="f"/>
              <v:imagedata o:title=""/>
              <o:lock v:ext="edit" aspectratio="f"/>
              <v:textbox inset="0mm,0mm,0mm,0mm" style="mso-fit-shape-to-text:t;">
                <w:txbxContent>
                  <w:p>
                    <w:pPr>
                      <w:pStyle w:val="10"/>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6" w:lineRule="exact"/>
      <w:ind w:firstLine="4285"/>
      <w:jc w:val="left"/>
      <w:rPr>
        <w:rFonts w:ascii="宋体" w:hAnsi="宋体" w:cs="宋体"/>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16205" cy="139700"/>
              <wp:effectExtent l="0" t="0" r="635" b="0"/>
              <wp:wrapNone/>
              <wp:docPr id="13" name="文本框 13"/>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wps:spPr>
                    <wps:txbx>
                      <w:txbxContent>
                        <w:p>
                          <w:pPr>
                            <w:pStyle w:val="10"/>
                          </w:pPr>
                          <w:r>
                            <w:fldChar w:fldCharType="begin"/>
                          </w:r>
                          <w:r>
                            <w:instrText xml:space="preserve"> PAGE  \* MERGEFORMAT </w:instrText>
                          </w:r>
                          <w:r>
                            <w:fldChar w:fldCharType="separate"/>
                          </w:r>
                          <w:r>
                            <w:t>49</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pt;width:9.15pt;mso-position-horizontal:center;mso-position-horizontal-relative:margin;mso-wrap-style:none;z-index:251671552;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GLpYU0AAAAAMBAAAPAAAAAAAAAAEAIAAAACIAAABkcnMv&#10;ZG93bnJldi54bWxQSwECFAAUAAAACACHTuJAZf43wwsCAAAEBAAADgAAAAAAAAABACAAAAAfAQAA&#10;ZHJzL2Uyb0RvYy54bWxQSwUGAAAAAAYABgBZAQAAnAUAAAAA&#10;">
              <v:fill on="f" focussize="0,0"/>
              <v:stroke on="f"/>
              <v:imagedata o:title=""/>
              <o:lock v:ext="edit" aspectratio="f"/>
              <v:textbox inset="0mm,0mm,0mm,0mm" style="mso-fit-shape-to-text:t;">
                <w:txbxContent>
                  <w:p>
                    <w:pPr>
                      <w:pStyle w:val="10"/>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6" w:lineRule="exact"/>
      <w:ind w:firstLine="4285"/>
      <w:jc w:val="left"/>
      <w:rPr>
        <w:rFonts w:ascii="宋体" w:hAnsi="宋体" w:cs="宋体"/>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16205" cy="139700"/>
              <wp:effectExtent l="0" t="0" r="635" b="0"/>
              <wp:wrapNone/>
              <wp:docPr id="12" name="文本框 12"/>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wps:spPr>
                    <wps:txbx>
                      <w:txbxContent>
                        <w:p>
                          <w:pPr>
                            <w:pStyle w:val="10"/>
                          </w:pPr>
                          <w:r>
                            <w:fldChar w:fldCharType="begin"/>
                          </w:r>
                          <w:r>
                            <w:instrText xml:space="preserve"> PAGE  \* MERGEFORMAT </w:instrText>
                          </w:r>
                          <w:r>
                            <w:fldChar w:fldCharType="separate"/>
                          </w:r>
                          <w:r>
                            <w:t>50</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pt;width:9.15pt;mso-position-horizontal:center;mso-position-horizontal-relative:margin;mso-wrap-style:none;z-index:251672576;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AYulhTQAAAAAwEAAA8AAAAAAAAAAQAgAAAAIgAAAGRycy9k&#10;b3ducmV2LnhtbFBLAQIUABQAAAAIAIdO4kCPmAmrCgIAAAQEAAAOAAAAAAAAAAEAIAAAAB8BAABk&#10;cnMvZTJvRG9jLnhtbFBLBQYAAAAABgAGAFkBAACbBQAAAAA=&#10;">
              <v:fill on="f" focussize="0,0"/>
              <v:stroke on="f"/>
              <v:imagedata o:title=""/>
              <o:lock v:ext="edit" aspectratio="f"/>
              <v:textbox inset="0mm,0mm,0mm,0mm" style="mso-fit-shape-to-text:t;">
                <w:txbxContent>
                  <w:p>
                    <w:pPr>
                      <w:pStyle w:val="10"/>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6" w:lineRule="exact"/>
      <w:ind w:firstLine="4285"/>
      <w:jc w:val="left"/>
      <w:rPr>
        <w:rFonts w:ascii="宋体" w:hAnsi="宋体" w:cs="宋体"/>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16205" cy="139700"/>
              <wp:effectExtent l="0" t="0" r="635" b="0"/>
              <wp:wrapNone/>
              <wp:docPr id="11" name="文本框 11"/>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wps:spPr>
                    <wps:txbx>
                      <w:txbxContent>
                        <w:p>
                          <w:pPr>
                            <w:pStyle w:val="10"/>
                          </w:pPr>
                          <w:r>
                            <w:fldChar w:fldCharType="begin"/>
                          </w:r>
                          <w:r>
                            <w:instrText xml:space="preserve"> PAGE  \* MERGEFORMAT </w:instrText>
                          </w:r>
                          <w:r>
                            <w:fldChar w:fldCharType="separate"/>
                          </w:r>
                          <w:r>
                            <w:t>51</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pt;width:9.15pt;mso-position-horizontal:center;mso-position-horizontal-relative:margin;mso-wrap-style:none;z-index:251673600;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Bi6WFNAAAAADAQAADwAAAAAAAAABACAAAAAiAAAAZHJzL2Rv&#10;d25yZXYueG1sUEsBAhQAFAAAAAgAh07iQLEzSxMJAgAABAQAAA4AAAAAAAAAAQAgAAAAHwEAAGRy&#10;cy9lMm9Eb2MueG1sUEsFBgAAAAAGAAYAWQEAAJoFAAAAAA==&#10;">
              <v:fill on="f" focussize="0,0"/>
              <v:stroke on="f"/>
              <v:imagedata o:title=""/>
              <o:lock v:ext="edit" aspectratio="f"/>
              <v:textbox inset="0mm,0mm,0mm,0mm" style="mso-fit-shape-to-text:t;">
                <w:txbxContent>
                  <w:p>
                    <w:pPr>
                      <w:pStyle w:val="10"/>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6" w:lineRule="exact"/>
      <w:ind w:firstLine="4285"/>
      <w:jc w:val="left"/>
      <w:rPr>
        <w:rFonts w:ascii="宋体" w:hAnsi="宋体" w:cs="宋体"/>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16205" cy="139700"/>
              <wp:effectExtent l="0" t="0" r="635" b="0"/>
              <wp:wrapNone/>
              <wp:docPr id="10" name="文本框 10"/>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wps:spPr>
                    <wps:txbx>
                      <w:txbxContent>
                        <w:p>
                          <w:pPr>
                            <w:pStyle w:val="10"/>
                          </w:pPr>
                          <w:r>
                            <w:fldChar w:fldCharType="begin"/>
                          </w:r>
                          <w:r>
                            <w:instrText xml:space="preserve"> PAGE  \* MERGEFORMAT </w:instrText>
                          </w:r>
                          <w:r>
                            <w:fldChar w:fldCharType="separate"/>
                          </w:r>
                          <w:r>
                            <w:t>52</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pt;width:9.15pt;mso-position-horizontal:center;mso-position-horizontal-relative:margin;mso-wrap-style:none;z-index:251674624;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Bi6WFNAAAAADAQAADwAAAAAAAAABACAAAAAiAAAAZHJzL2Rv&#10;d25yZXYueG1sUEsBAhQAFAAAAAgAh07iQFtVdXsJAgAABAQAAA4AAAAAAAAAAQAgAAAAHwEAAGRy&#10;cy9lMm9Eb2MueG1sUEsFBgAAAAAGAAYAWQEAAJoFAAAAAA==&#10;">
              <v:fill on="f" focussize="0,0"/>
              <v:stroke on="f"/>
              <v:imagedata o:title=""/>
              <o:lock v:ext="edit" aspectratio="f"/>
              <v:textbox inset="0mm,0mm,0mm,0mm" style="mso-fit-shape-to-text:t;">
                <w:txbxContent>
                  <w:p>
                    <w:pPr>
                      <w:pStyle w:val="10"/>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6" w:lineRule="exact"/>
      <w:ind w:firstLine="4285"/>
      <w:jc w:val="left"/>
      <w:rPr>
        <w:rFonts w:ascii="宋体" w:hAnsi="宋体" w:cs="宋体"/>
        <w:sz w:val="18"/>
        <w:szCs w:val="18"/>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16205" cy="139700"/>
              <wp:effectExtent l="0" t="0" r="635" b="0"/>
              <wp:wrapNone/>
              <wp:docPr id="9" name="文本框 9"/>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wps:spPr>
                    <wps:txbx>
                      <w:txbxContent>
                        <w:p>
                          <w:pPr>
                            <w:pStyle w:val="10"/>
                          </w:pPr>
                          <w:r>
                            <w:fldChar w:fldCharType="begin"/>
                          </w:r>
                          <w:r>
                            <w:instrText xml:space="preserve"> PAGE  \* MERGEFORMAT </w:instrText>
                          </w:r>
                          <w:r>
                            <w:fldChar w:fldCharType="separate"/>
                          </w:r>
                          <w:r>
                            <w:t>55</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pt;width:9.15pt;mso-position-horizontal:center;mso-position-horizontal-relative:margin;mso-wrap-style:none;z-index:251675648;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AYulhTQAAAAAwEAAA8AAAAAAAAAAQAgAAAAIgAAAGRycy9k&#10;b3ducmV2LnhtbFBLAQIUABQAAAAIAIdO4kChl5NtCgIAAAIEAAAOAAAAAAAAAAEAIAAAAB8BAABk&#10;cnMvZTJvRG9jLnhtbFBLBQYAAAAABgAGAFkBAACbBQAAAAA=&#10;">
              <v:fill on="f" focussize="0,0"/>
              <v:stroke on="f"/>
              <v:imagedata o:title=""/>
              <o:lock v:ext="edit" aspectratio="f"/>
              <v:textbox inset="0mm,0mm,0mm,0mm" style="mso-fit-shape-to-text:t;">
                <w:txbxContent>
                  <w:p>
                    <w:pPr>
                      <w:pStyle w:val="10"/>
                    </w:pPr>
                    <w:r>
                      <w:fldChar w:fldCharType="begin"/>
                    </w:r>
                    <w:r>
                      <w:instrText xml:space="preserve"> PAGE  \* MERGEFORMAT </w:instrText>
                    </w:r>
                    <w:r>
                      <w:fldChar w:fldCharType="separate"/>
                    </w:r>
                    <w:r>
                      <w:t>55</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210"/>
      <w:jc w:val="center"/>
    </w:pPr>
  </w:p>
  <w:p>
    <w:pPr>
      <w:pStyle w:val="10"/>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6" w:lineRule="exact"/>
      <w:ind w:firstLine="4285"/>
      <w:jc w:val="left"/>
      <w:rPr>
        <w:rFonts w:ascii="宋体" w:hAnsi="宋体" w:cs="宋体"/>
        <w:sz w:val="18"/>
        <w:szCs w:val="18"/>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16205" cy="139700"/>
              <wp:effectExtent l="0" t="0" r="635" b="0"/>
              <wp:wrapNone/>
              <wp:docPr id="8" name="文本框 8"/>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wps:spPr>
                    <wps:txbx>
                      <w:txbxContent>
                        <w:p>
                          <w:pPr>
                            <w:pStyle w:val="10"/>
                          </w:pPr>
                          <w:r>
                            <w:fldChar w:fldCharType="begin"/>
                          </w:r>
                          <w:r>
                            <w:instrText xml:space="preserve"> PAGE  \* MERGEFORMAT </w:instrText>
                          </w:r>
                          <w:r>
                            <w:fldChar w:fldCharType="separate"/>
                          </w:r>
                          <w:r>
                            <w:t>56</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pt;width:9.15pt;mso-position-horizontal:center;mso-position-horizontal-relative:margin;mso-wrap-style:none;z-index:251676672;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AYulhTQAAAAAwEAAA8AAAAAAAAAAQAgAAAAIgAAAGRycy9k&#10;b3ducmV2LnhtbFBLAQIUABQAAAAIAIdO4kDZIiAvCgIAAAIEAAAOAAAAAAAAAAEAIAAAAB8BAABk&#10;cnMvZTJvRG9jLnhtbFBLBQYAAAAABgAGAFkBAACbBQAAAAA=&#10;">
              <v:fill on="f" focussize="0,0"/>
              <v:stroke on="f"/>
              <v:imagedata o:title=""/>
              <o:lock v:ext="edit" aspectratio="f"/>
              <v:textbox inset="0mm,0mm,0mm,0mm" style="mso-fit-shape-to-text:t;">
                <w:txbxContent>
                  <w:p>
                    <w:pPr>
                      <w:pStyle w:val="10"/>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6" w:lineRule="exact"/>
      <w:ind w:firstLine="4285"/>
      <w:jc w:val="left"/>
      <w:rPr>
        <w:rFonts w:ascii="宋体" w:hAnsi="宋体" w:cs="宋体"/>
        <w:sz w:val="18"/>
        <w:szCs w:val="18"/>
      </w:rP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16205" cy="139700"/>
              <wp:effectExtent l="0" t="0" r="635" b="0"/>
              <wp:wrapNone/>
              <wp:docPr id="7" name="文本框 7"/>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wps:spPr>
                    <wps:txbx>
                      <w:txbxContent>
                        <w:p>
                          <w:pPr>
                            <w:pStyle w:val="10"/>
                          </w:pPr>
                          <w:r>
                            <w:fldChar w:fldCharType="begin"/>
                          </w:r>
                          <w:r>
                            <w:instrText xml:space="preserve"> PAGE  \* MERGEFORMAT </w:instrText>
                          </w:r>
                          <w:r>
                            <w:fldChar w:fldCharType="separate"/>
                          </w:r>
                          <w:r>
                            <w:t>58</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pt;width:9.15pt;mso-position-horizontal:center;mso-position-horizontal-relative:margin;mso-wrap-style:none;z-index:251677696;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AYulhTQAAAAAwEAAA8AAAAAAAAAAQAgAAAAIgAAAGRycy9k&#10;b3ducmV2LnhtbFBLAQIUABQAAAAIAIdO4kDzj0VBCgIAAAIEAAAOAAAAAAAAAAEAIAAAAB8BAABk&#10;cnMvZTJvRG9jLnhtbFBLBQYAAAAABgAGAFkBAACbBQAAAAA=&#10;">
              <v:fill on="f" focussize="0,0"/>
              <v:stroke on="f"/>
              <v:imagedata o:title=""/>
              <o:lock v:ext="edit" aspectratio="f"/>
              <v:textbox inset="0mm,0mm,0mm,0mm" style="mso-fit-shape-to-text:t;">
                <w:txbxContent>
                  <w:p>
                    <w:pPr>
                      <w:pStyle w:val="10"/>
                    </w:pPr>
                    <w:r>
                      <w:fldChar w:fldCharType="begin"/>
                    </w:r>
                    <w:r>
                      <w:instrText xml:space="preserve"> PAGE  \* MERGEFORMAT </w:instrText>
                    </w:r>
                    <w:r>
                      <w:fldChar w:fldCharType="separate"/>
                    </w:r>
                    <w:r>
                      <w:t>58</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6" w:lineRule="exact"/>
      <w:ind w:firstLine="4285"/>
      <w:jc w:val="left"/>
      <w:rPr>
        <w:rFonts w:ascii="宋体" w:hAnsi="宋体" w:cs="宋体"/>
        <w:sz w:val="18"/>
        <w:szCs w:val="18"/>
      </w:rPr>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16205" cy="139700"/>
              <wp:effectExtent l="0" t="0" r="635" b="0"/>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wps:spPr>
                    <wps:txbx>
                      <w:txbxContent>
                        <w:p>
                          <w:pPr>
                            <w:pStyle w:val="10"/>
                          </w:pPr>
                          <w:r>
                            <w:fldChar w:fldCharType="begin"/>
                          </w:r>
                          <w:r>
                            <w:instrText xml:space="preserve"> PAGE  \* MERGEFORMAT </w:instrText>
                          </w:r>
                          <w:r>
                            <w:fldChar w:fldCharType="separate"/>
                          </w:r>
                          <w:r>
                            <w:t>59</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pt;width:9.15pt;mso-position-horizontal:center;mso-position-horizontal-relative:margin;mso-wrap-style:none;z-index:251678720;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AYulhTQAAAAAwEAAA8AAAAAAAAAAQAgAAAAIgAAAGRycy9k&#10;b3ducmV2LnhtbFBLAQIUABQAAAAIAIdO4kCLOvYDCgIAAAIEAAAOAAAAAAAAAAEAIAAAAB8BAABk&#10;cnMvZTJvRG9jLnhtbFBLBQYAAAAABgAGAFkBAACbBQAAAAA=&#10;">
              <v:fill on="f" focussize="0,0"/>
              <v:stroke on="f"/>
              <v:imagedata o:title=""/>
              <o:lock v:ext="edit" aspectratio="f"/>
              <v:textbox inset="0mm,0mm,0mm,0mm" style="mso-fit-shape-to-text:t;">
                <w:txbxContent>
                  <w:p>
                    <w:pPr>
                      <w:pStyle w:val="10"/>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6" w:lineRule="exact"/>
      <w:ind w:firstLine="4285"/>
      <w:jc w:val="left"/>
      <w:rPr>
        <w:rFonts w:ascii="宋体" w:hAnsi="宋体" w:cs="宋体"/>
        <w:sz w:val="18"/>
        <w:szCs w:val="18"/>
      </w:rPr>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16205" cy="139700"/>
              <wp:effectExtent l="0" t="0" r="635" b="0"/>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wps:spPr>
                    <wps:txbx>
                      <w:txbxContent>
                        <w:p>
                          <w:pPr>
                            <w:pStyle w:val="10"/>
                          </w:pPr>
                          <w:r>
                            <w:fldChar w:fldCharType="begin"/>
                          </w:r>
                          <w:r>
                            <w:instrText xml:space="preserve"> PAGE  \* MERGEFORMAT </w:instrText>
                          </w:r>
                          <w:r>
                            <w:fldChar w:fldCharType="separate"/>
                          </w:r>
                          <w:r>
                            <w:t>60</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pt;width:9.15pt;mso-position-horizontal:center;mso-position-horizontal-relative:margin;mso-wrap-style:none;z-index:251679744;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AYulhTQAAAAAwEAAA8AAAAAAAAAAQAgAAAAIgAAAGRycy9k&#10;b3ducmV2LnhtbFBLAQIUABQAAAAIAIdO4kAD5SLECgIAAAIEAAAOAAAAAAAAAAEAIAAAAB8BAABk&#10;cnMvZTJvRG9jLnhtbFBLBQYAAAAABgAGAFkBAACbBQAAAAA=&#10;">
              <v:fill on="f" focussize="0,0"/>
              <v:stroke on="f"/>
              <v:imagedata o:title=""/>
              <o:lock v:ext="edit" aspectratio="f"/>
              <v:textbox inset="0mm,0mm,0mm,0mm" style="mso-fit-shape-to-text:t;">
                <w:txbxContent>
                  <w:p>
                    <w:pPr>
                      <w:pStyle w:val="10"/>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210"/>
      <w:jc w:val="center"/>
    </w:pPr>
    <w: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16205" cy="139700"/>
              <wp:effectExtent l="0" t="0" r="0" b="4445"/>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wps:spPr>
                    <wps:txbx>
                      <w:txbxContent>
                        <w:p>
                          <w:pPr>
                            <w:pStyle w:val="10"/>
                          </w:pPr>
                          <w:r>
                            <w:fldChar w:fldCharType="begin"/>
                          </w:r>
                          <w:r>
                            <w:instrText xml:space="preserve"> PAGE  \* MERGEFORMAT </w:instrText>
                          </w:r>
                          <w:r>
                            <w:fldChar w:fldCharType="separate"/>
                          </w:r>
                          <w:r>
                            <w:t>62</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pt;width:9.15pt;mso-position-horizontal:center;mso-position-horizontal-relative:margin;mso-wrap-style:none;z-index:251680768;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AYulhTQAAAAAwEAAA8AAAAAAAAAAQAgAAAAIgAAAGRycy9k&#10;b3ducmV2LnhtbFBLAQIUABQAAAAIAIdO4kB7UJGGCgIAAAIEAAAOAAAAAAAAAAEAIAAAAB8BAABk&#10;cnMvZTJvRG9jLnhtbFBLBQYAAAAABgAGAFkBAACbBQAAAAA=&#10;">
              <v:fill on="f" focussize="0,0"/>
              <v:stroke on="f"/>
              <v:imagedata o:title=""/>
              <o:lock v:ext="edit" aspectratio="f"/>
              <v:textbox inset="0mm,0mm,0mm,0mm" style="mso-fit-shape-to-text:t;">
                <w:txbxContent>
                  <w:p>
                    <w:pPr>
                      <w:pStyle w:val="10"/>
                    </w:pPr>
                    <w:r>
                      <w:fldChar w:fldCharType="begin"/>
                    </w:r>
                    <w:r>
                      <w:instrText xml:space="preserve"> PAGE  \* MERGEFORMAT </w:instrText>
                    </w:r>
                    <w:r>
                      <w:fldChar w:fldCharType="separate"/>
                    </w:r>
                    <w:r>
                      <w:t>62</w:t>
                    </w:r>
                    <w:r>
                      <w:fldChar w:fldCharType="end"/>
                    </w:r>
                  </w:p>
                </w:txbxContent>
              </v:textbox>
            </v:shape>
          </w:pict>
        </mc:Fallback>
      </mc:AlternateContent>
    </w:r>
  </w:p>
  <w:p>
    <w:pPr>
      <w:pStyle w:val="10"/>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8"/>
      </w:rPr>
    </w:pPr>
    <w:r>
      <w:fldChar w:fldCharType="begin"/>
    </w:r>
    <w:r>
      <w:rPr>
        <w:rStyle w:val="18"/>
      </w:rPr>
      <w:instrText xml:space="preserve">PAGE  </w:instrText>
    </w:r>
    <w:r>
      <w:fldChar w:fldCharType="separate"/>
    </w:r>
    <w:r>
      <w:fldChar w:fldCharType="end"/>
    </w:r>
  </w:p>
  <w:p>
    <w:pPr>
      <w:pStyle w:val="10"/>
      <w:ind w:right="360"/>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after="72"/>
      <w:jc w:val="center"/>
    </w:pPr>
    <w: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16205" cy="139700"/>
              <wp:effectExtent l="0" t="0" r="0" b="0"/>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wps:spPr>
                    <wps:txbx>
                      <w:txbxContent>
                        <w:p>
                          <w:pPr>
                            <w:pStyle w:val="10"/>
                          </w:pPr>
                          <w:r>
                            <w:fldChar w:fldCharType="begin"/>
                          </w:r>
                          <w:r>
                            <w:instrText xml:space="preserve"> PAGE  \* MERGEFORMAT </w:instrText>
                          </w:r>
                          <w:r>
                            <w:fldChar w:fldCharType="separate"/>
                          </w:r>
                          <w:r>
                            <w:t>69</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pt;width:9.15pt;mso-position-horizontal:center;mso-position-horizontal-relative:margin;mso-wrap-style:none;z-index:251681792;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AYulhTQAAAAAwEAAA8AAAAAAAAAAQAgAAAAIgAAAGRycy9k&#10;b3ducmV2LnhtbFBLAQIUABQAAAAIAIdO4kBSXPqQCgIAAAIEAAAOAAAAAAAAAAEAIAAAAB8BAABk&#10;cnMvZTJvRG9jLnhtbFBLBQYAAAAABgAGAFkBAACbBQAAAAA=&#10;">
              <v:fill on="f" focussize="0,0"/>
              <v:stroke on="f"/>
              <v:imagedata o:title=""/>
              <o:lock v:ext="edit" aspectratio="f"/>
              <v:textbox inset="0mm,0mm,0mm,0mm" style="mso-fit-shape-to-text:t;">
                <w:txbxContent>
                  <w:p>
                    <w:pPr>
                      <w:pStyle w:val="10"/>
                    </w:pPr>
                    <w:r>
                      <w:fldChar w:fldCharType="begin"/>
                    </w:r>
                    <w:r>
                      <w:instrText xml:space="preserve"> PAGE  \* MERGEFORMAT </w:instrText>
                    </w:r>
                    <w:r>
                      <w:fldChar w:fldCharType="separate"/>
                    </w:r>
                    <w:r>
                      <w:t>69</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pPr>
                            <w:pStyle w:val="10"/>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OqXm5zwAAAAUBAAAPAAAAAAAAAAEAIAAAACIAAABkcnMvZG93bnJl&#10;di54bWxQSwECFAAUAAAACACHTuJARsaDlQYCAAAGBAAADgAAAAAAAAABACAAAAAeAQAAZHJzL2Uy&#10;b0RvYy54bWxQSwUGAAAAAAYABgBZAQAAlgUAAAAA&#10;">
              <v:fill on="f" focussize="0,0"/>
              <v:stroke on="f"/>
              <v:imagedata o:title=""/>
              <o:lock v:ext="edit" aspectratio="f"/>
              <v:textbox inset="0mm,0mm,0mm,0mm" style="mso-fit-shape-to-text:t;">
                <w:txbxContent>
                  <w:p>
                    <w:pPr>
                      <w:pStyle w:val="10"/>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6" w:lineRule="exact"/>
      <w:ind w:firstLine="4284"/>
      <w:jc w:val="left"/>
      <w:rPr>
        <w:rFonts w:ascii="宋体" w:hAnsi="宋体" w:cs="宋体"/>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8420" cy="139700"/>
              <wp:effectExtent l="0" t="0" r="0" b="0"/>
              <wp:wrapNone/>
              <wp:docPr id="24" name="文本框 24"/>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wps:spPr>
                    <wps:txbx>
                      <w:txbxContent>
                        <w:p>
                          <w:pPr>
                            <w:pStyle w:val="10"/>
                          </w:pPr>
                          <w:r>
                            <w:fldChar w:fldCharType="begin"/>
                          </w:r>
                          <w:r>
                            <w:instrText xml:space="preserve"> PAGE  \* MERGEFORMAT </w:instrText>
                          </w:r>
                          <w:r>
                            <w:fldChar w:fldCharType="separate"/>
                          </w:r>
                          <w:r>
                            <w:t>1</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pt;width:4.6pt;mso-position-horizontal:center;mso-position-horizontal-relative:margin;mso-wrap-style:none;z-index:251660288;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tbuXfQAAAAAgEAAA8AAAAAAAAAAQAgAAAAIgAAAGRycy9k&#10;b3ducmV2LnhtbFBLAQIUABQAAAAIAIdO4kC9sKqrCgIAAAMEAAAOAAAAAAAAAAEAIAAAAB8BAABk&#10;cnMvZTJvRG9jLnhtbFBLBQYAAAAABgAGAFkBAACbBQAAAAA=&#10;">
              <v:fill on="f" focussize="0,0"/>
              <v:stroke on="f"/>
              <v:imagedata o:title=""/>
              <o:lock v:ext="edit" aspectratio="f"/>
              <v:textbox inset="0mm,0mm,0mm,0mm" style="mso-fit-shape-to-text:t;">
                <w:txbxContent>
                  <w:p>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ascii="仿宋_GB2312" w:eastAsia="仿宋_GB2312"/>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6205" cy="139700"/>
              <wp:effectExtent l="0" t="3810" r="0" b="0"/>
              <wp:wrapNone/>
              <wp:docPr id="23" name="文本框 23"/>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wps:spPr>
                    <wps:txbx>
                      <w:txbxContent>
                        <w:p>
                          <w:pPr>
                            <w:pStyle w:val="10"/>
                          </w:pPr>
                          <w:r>
                            <w:fldChar w:fldCharType="begin"/>
                          </w:r>
                          <w:r>
                            <w:instrText xml:space="preserve"> PAGE  \* MERGEFORMAT </w:instrText>
                          </w:r>
                          <w:r>
                            <w:fldChar w:fldCharType="separate"/>
                          </w:r>
                          <w:r>
                            <w:t>24</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pt;width:9.15pt;mso-position-horizontal:center;mso-position-horizontal-relative:margin;mso-wrap-style:none;z-index:251661312;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Bi6WFNAAAAADAQAADwAAAAAAAAABACAAAAAiAAAAZHJz&#10;L2Rvd25yZXYueG1sUEsBAhQAFAAAAAgAh07iQGWh7gIMAgAABAQAAA4AAAAAAAAAAQAgAAAAHwEA&#10;AGRycy9lMm9Eb2MueG1sUEsFBgAAAAAGAAYAWQEAAJ0FAAAAAA==&#10;">
              <v:fill on="f" focussize="0,0"/>
              <v:stroke on="f"/>
              <v:imagedata o:title=""/>
              <o:lock v:ext="edit" aspectratio="f"/>
              <v:textbox inset="0mm,0mm,0mm,0mm" style="mso-fit-shape-to-text:t;">
                <w:txbxContent>
                  <w:p>
                    <w:pPr>
                      <w:pStyle w:val="10"/>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6" w:lineRule="exact"/>
      <w:jc w:val="left"/>
      <w:rPr>
        <w:rFonts w:ascii="宋体" w:hAnsi="宋体" w:cs="宋体"/>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16205" cy="139700"/>
              <wp:effectExtent l="0" t="0" r="0" b="0"/>
              <wp:wrapNone/>
              <wp:docPr id="22" name="文本框 22"/>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wps:spPr>
                    <wps:txbx>
                      <w:txbxContent>
                        <w:p>
                          <w:pPr>
                            <w:pStyle w:val="10"/>
                          </w:pPr>
                          <w:r>
                            <w:fldChar w:fldCharType="begin"/>
                          </w:r>
                          <w:r>
                            <w:instrText xml:space="preserve"> PAGE  \* MERGEFORMAT </w:instrText>
                          </w:r>
                          <w:r>
                            <w:fldChar w:fldCharType="separate"/>
                          </w:r>
                          <w:r>
                            <w:t>25</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pt;width:9.15pt;mso-position-horizontal:center;mso-position-horizontal-relative:margin;mso-wrap-style:none;z-index:251662336;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GLpYU0AAAAAMBAAAPAAAAAAAAAAEAIAAAACIAAABkcnMv&#10;ZG93bnJldi54bWxQSwECFAAUAAAACACHTuJAj8fQagsCAAAEBAAADgAAAAAAAAABACAAAAAfAQAA&#10;ZHJzL2Uyb0RvYy54bWxQSwUGAAAAAAYABgBZAQAAnAUAAAAA&#10;">
              <v:fill on="f" focussize="0,0"/>
              <v:stroke on="f"/>
              <v:imagedata o:title=""/>
              <o:lock v:ext="edit" aspectratio="f"/>
              <v:textbox inset="0mm,0mm,0mm,0mm" style="mso-fit-shape-to-text:t;">
                <w:txbxContent>
                  <w:p>
                    <w:pPr>
                      <w:pStyle w:val="10"/>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6" w:lineRule="exact"/>
      <w:jc w:val="left"/>
      <w:rPr>
        <w:rFonts w:ascii="宋体" w:hAnsi="宋体" w:cs="宋体"/>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16205" cy="139700"/>
              <wp:effectExtent l="0" t="0" r="0" b="0"/>
              <wp:wrapNone/>
              <wp:docPr id="21" name="文本框 21"/>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wps:spPr>
                    <wps:txbx>
                      <w:txbxContent>
                        <w:p>
                          <w:pPr>
                            <w:pStyle w:val="10"/>
                          </w:pPr>
                          <w:r>
                            <w:fldChar w:fldCharType="begin"/>
                          </w:r>
                          <w:r>
                            <w:instrText xml:space="preserve"> PAGE  \* MERGEFORMAT </w:instrText>
                          </w:r>
                          <w:r>
                            <w:fldChar w:fldCharType="separate"/>
                          </w:r>
                          <w:r>
                            <w:t>37</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pt;width:9.15pt;mso-position-horizontal:center;mso-position-horizontal-relative:margin;mso-wrap-style:none;z-index:251663360;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AYulhTQAAAAAwEAAA8AAAAAAAAAAQAgAAAAIgAAAGRycy9k&#10;b3ducmV2LnhtbFBLAQIUABQAAAAIAIdO4kCxbJLSCgIAAAQEAAAOAAAAAAAAAAEAIAAAAB8BAABk&#10;cnMvZTJvRG9jLnhtbFBLBQYAAAAABgAGAFkBAACbBQAAAAA=&#10;">
              <v:fill on="f" focussize="0,0"/>
              <v:stroke on="f"/>
              <v:imagedata o:title=""/>
              <o:lock v:ext="edit" aspectratio="f"/>
              <v:textbox inset="0mm,0mm,0mm,0mm" style="mso-fit-shape-to-text:t;">
                <w:txbxContent>
                  <w:p>
                    <w:pPr>
                      <w:pStyle w:val="10"/>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6" w:lineRule="exact"/>
      <w:jc w:val="left"/>
      <w:rPr>
        <w:rFonts w:ascii="宋体" w:hAnsi="宋体" w:cs="宋体"/>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16205" cy="139700"/>
              <wp:effectExtent l="0" t="0" r="635" b="0"/>
              <wp:wrapNone/>
              <wp:docPr id="20" name="文本框 20"/>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wps:spPr>
                    <wps:txbx>
                      <w:txbxContent>
                        <w:p>
                          <w:pPr>
                            <w:pStyle w:val="10"/>
                          </w:pPr>
                          <w:r>
                            <w:fldChar w:fldCharType="begin"/>
                          </w:r>
                          <w:r>
                            <w:instrText xml:space="preserve"> PAGE  \* MERGEFORMAT </w:instrText>
                          </w:r>
                          <w:r>
                            <w:fldChar w:fldCharType="separate"/>
                          </w:r>
                          <w:r>
                            <w:t>38</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pt;width:9.15pt;mso-position-horizontal:center;mso-position-horizontal-relative:margin;mso-wrap-style:none;z-index:251664384;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AYulhTQAAAAAwEAAA8AAAAAAAAAAQAgAAAAIgAAAGRycy9k&#10;b3ducmV2LnhtbFBLAQIUABQAAAAIAIdO4kBbCqy6CgIAAAQEAAAOAAAAAAAAAAEAIAAAAB8BAABk&#10;cnMvZTJvRG9jLnhtbFBLBQYAAAAABgAGAFkBAACbBQAAAAA=&#10;">
              <v:fill on="f" focussize="0,0"/>
              <v:stroke on="f"/>
              <v:imagedata o:title=""/>
              <o:lock v:ext="edit" aspectratio="f"/>
              <v:textbox inset="0mm,0mm,0mm,0mm" style="mso-fit-shape-to-text:t;">
                <w:txbxContent>
                  <w:p>
                    <w:pPr>
                      <w:pStyle w:val="10"/>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6" w:lineRule="exact"/>
      <w:ind w:firstLine="4285"/>
      <w:jc w:val="left"/>
      <w:rPr>
        <w:rFonts w:ascii="宋体" w:hAnsi="宋体" w:cs="宋体"/>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16205" cy="139700"/>
              <wp:effectExtent l="0" t="0" r="635" b="0"/>
              <wp:wrapNone/>
              <wp:docPr id="19" name="文本框 19"/>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wps:spPr>
                    <wps:txbx>
                      <w:txbxContent>
                        <w:p>
                          <w:pPr>
                            <w:pStyle w:val="10"/>
                          </w:pPr>
                          <w:r>
                            <w:fldChar w:fldCharType="begin"/>
                          </w:r>
                          <w:r>
                            <w:instrText xml:space="preserve"> PAGE  \* MERGEFORMAT </w:instrText>
                          </w:r>
                          <w:r>
                            <w:fldChar w:fldCharType="separate"/>
                          </w:r>
                          <w:r>
                            <w:t>39</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pt;width:9.15pt;mso-position-horizontal:center;mso-position-horizontal-relative:margin;mso-wrap-style:none;z-index:251665408;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GLpYU0AAAAAMBAAAPAAAAAAAAAAEAIAAAACIAAABkcnMv&#10;ZG93bnJldi54bWxQSwECFAAUAAAACACHTuJAYwha5AsCAAAEBAAADgAAAAAAAAABACAAAAAfAQAA&#10;ZHJzL2Uyb0RvYy54bWxQSwUGAAAAAAYABgBZAQAAnAUAAAAA&#10;">
              <v:fill on="f" focussize="0,0"/>
              <v:stroke on="f"/>
              <v:imagedata o:title=""/>
              <o:lock v:ext="edit" aspectratio="f"/>
              <v:textbox inset="0mm,0mm,0mm,0mm" style="mso-fit-shape-to-text:t;">
                <w:txbxContent>
                  <w:p>
                    <w:pPr>
                      <w:pStyle w:val="10"/>
                    </w:pPr>
                    <w:r>
                      <w:fldChar w:fldCharType="begin"/>
                    </w:r>
                    <w:r>
                      <w:instrText xml:space="preserve"> PAGE  \* MERGEFORMAT </w:instrText>
                    </w:r>
                    <w:r>
                      <w:fldChar w:fldCharType="separate"/>
                    </w:r>
                    <w:r>
                      <w:t>39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jc w:val="both"/>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4" w:lineRule="auto"/>
      <w:jc w:val="left"/>
      <w:rPr>
        <w:rFonts w:ascii="宋体" w:hAnsi="宋体" w:cs="宋体"/>
        <w:sz w:val="18"/>
        <w:szCs w:val="18"/>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4" w:lineRule="auto"/>
      <w:jc w:val="left"/>
      <w:rPr>
        <w:rFonts w:ascii="宋体" w:hAnsi="宋体" w:cs="宋体"/>
        <w:sz w:val="18"/>
        <w:szCs w:val="18"/>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4" w:lineRule="auto"/>
      <w:jc w:val="left"/>
      <w:rPr>
        <w:rFonts w:ascii="宋体" w:hAnsi="宋体" w:cs="宋体"/>
        <w:sz w:val="18"/>
        <w:szCs w:val="18"/>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jc w:val="both"/>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4" w:lineRule="auto"/>
      <w:jc w:val="left"/>
      <w:rPr>
        <w:rFonts w:ascii="宋体" w:hAnsi="宋体" w:cs="宋体"/>
        <w:sz w:val="18"/>
        <w:szCs w:val="18"/>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jc w:val="both"/>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jc w:val="both"/>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jc w:val="both"/>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4" w:lineRule="auto"/>
      <w:jc w:val="left"/>
      <w:rPr>
        <w:rFonts w:ascii="宋体" w:hAnsi="宋体" w:cs="宋体"/>
        <w:sz w:val="18"/>
        <w:szCs w:val="18"/>
      </w:rP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4" w:lineRule="auto"/>
      <w:jc w:val="left"/>
      <w:rPr>
        <w:rFonts w:ascii="宋体" w:hAnsi="宋体" w:cs="宋体"/>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4" w:lineRule="auto"/>
      <w:jc w:val="cent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jc w:val="both"/>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4" w:lineRule="auto"/>
      <w:jc w:val="left"/>
      <w:rPr>
        <w:rFonts w:ascii="宋体" w:hAnsi="宋体" w:cs="宋体"/>
        <w:sz w:val="18"/>
        <w:szCs w:val="18"/>
      </w:rP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4" w:lineRule="auto"/>
      <w:jc w:val="left"/>
      <w:rPr>
        <w:rFonts w:ascii="宋体" w:hAnsi="宋体" w:cs="宋体"/>
        <w:sz w:val="18"/>
        <w:szCs w:val="18"/>
      </w:rP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4" w:lineRule="auto"/>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4" w:lineRule="auto"/>
      <w:jc w:val="left"/>
      <w:rPr>
        <w:rFonts w:ascii="宋体" w:hAnsi="宋体" w:cs="宋体"/>
        <w:sz w:val="18"/>
        <w:szCs w:val="1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tabs>
        <w:tab w:val="right" w:pos="8279"/>
        <w:tab w:val="clear" w:pos="8306"/>
      </w:tabs>
      <w:jc w:val="right"/>
    </w:pPr>
    <w:r>
      <w:rPr>
        <w:lang w:val="zh-CN"/>
      </w:rPr>
      <w:t></w:t>
    </w:r>
    <w: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4" w:lineRule="auto"/>
      <w:jc w:val="lef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4" w:lineRule="auto"/>
      <w:jc w:val="left"/>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4" w:lineRule="auto"/>
      <w:jc w:val="left"/>
      <w:rPr>
        <w:rFonts w:ascii="宋体" w:hAnsi="宋体" w:cs="宋体"/>
        <w:sz w:val="18"/>
        <w:szCs w:val="18"/>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4" w:lineRule="auto"/>
      <w:jc w:val="left"/>
      <w:rPr>
        <w:rFonts w:ascii="宋体" w:hAnsi="宋体" w:cs="宋体"/>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6BCFA4"/>
    <w:multiLevelType w:val="singleLevel"/>
    <w:tmpl w:val="A66BCFA4"/>
    <w:lvl w:ilvl="0" w:tentative="0">
      <w:start w:val="6"/>
      <w:numFmt w:val="chineseCounting"/>
      <w:suff w:val="space"/>
      <w:lvlText w:val="第%1章"/>
      <w:lvlJc w:val="left"/>
      <w:rPr>
        <w:rFonts w:hint="eastAsia"/>
      </w:rPr>
    </w:lvl>
  </w:abstractNum>
  <w:abstractNum w:abstractNumId="1">
    <w:nsid w:val="AB92FBAC"/>
    <w:multiLevelType w:val="singleLevel"/>
    <w:tmpl w:val="AB92FBAC"/>
    <w:lvl w:ilvl="0" w:tentative="0">
      <w:start w:val="1"/>
      <w:numFmt w:val="decimalEnclosedCircleChinese"/>
      <w:suff w:val="nothing"/>
      <w:lvlText w:val="%1　"/>
      <w:lvlJc w:val="left"/>
      <w:pPr>
        <w:ind w:left="0" w:firstLine="400"/>
      </w:pPr>
      <w:rPr>
        <w:rFonts w:hint="eastAsia"/>
      </w:rPr>
    </w:lvl>
  </w:abstractNum>
  <w:abstractNum w:abstractNumId="2">
    <w:nsid w:val="CBC0DC41"/>
    <w:multiLevelType w:val="singleLevel"/>
    <w:tmpl w:val="CBC0DC41"/>
    <w:lvl w:ilvl="0" w:tentative="0">
      <w:start w:val="1"/>
      <w:numFmt w:val="decimal"/>
      <w:lvlText w:val="%1."/>
      <w:lvlJc w:val="left"/>
      <w:pPr>
        <w:tabs>
          <w:tab w:val="left" w:pos="312"/>
        </w:tabs>
      </w:pPr>
    </w:lvl>
  </w:abstractNum>
  <w:abstractNum w:abstractNumId="3">
    <w:nsid w:val="E6DC264E"/>
    <w:multiLevelType w:val="singleLevel"/>
    <w:tmpl w:val="E6DC264E"/>
    <w:lvl w:ilvl="0" w:tentative="0">
      <w:start w:val="1"/>
      <w:numFmt w:val="decimal"/>
      <w:suff w:val="nothing"/>
      <w:lvlText w:val="（%1）"/>
      <w:lvlJc w:val="left"/>
    </w:lvl>
  </w:abstractNum>
  <w:abstractNum w:abstractNumId="4">
    <w:nsid w:val="F6CE8F93"/>
    <w:multiLevelType w:val="singleLevel"/>
    <w:tmpl w:val="F6CE8F93"/>
    <w:lvl w:ilvl="0" w:tentative="0">
      <w:start w:val="1"/>
      <w:numFmt w:val="decimalEnclosedCircleChinese"/>
      <w:suff w:val="nothing"/>
      <w:lvlText w:val="%1　"/>
      <w:lvlJc w:val="left"/>
      <w:pPr>
        <w:ind w:left="0" w:firstLine="400"/>
      </w:pPr>
      <w:rPr>
        <w:rFonts w:hint="eastAsia"/>
      </w:rPr>
    </w:lvl>
  </w:abstractNum>
  <w:abstractNum w:abstractNumId="5">
    <w:nsid w:val="FD8902AC"/>
    <w:multiLevelType w:val="singleLevel"/>
    <w:tmpl w:val="FD8902AC"/>
    <w:lvl w:ilvl="0" w:tentative="0">
      <w:start w:val="1"/>
      <w:numFmt w:val="lowerLetter"/>
      <w:lvlText w:val="%1."/>
      <w:lvlJc w:val="left"/>
      <w:pPr>
        <w:ind w:left="425" w:hanging="425"/>
      </w:pPr>
      <w:rPr>
        <w:rFonts w:hint="default"/>
      </w:rPr>
    </w:lvl>
  </w:abstractNum>
  <w:abstractNum w:abstractNumId="6">
    <w:nsid w:val="02FCA2B6"/>
    <w:multiLevelType w:val="multilevel"/>
    <w:tmpl w:val="02FCA2B6"/>
    <w:lvl w:ilvl="0" w:tentative="0">
      <w:start w:val="1"/>
      <w:numFmt w:val="decimal"/>
      <w:suff w:val="space"/>
      <w:lvlText w:val="%1."/>
      <w:lvlJc w:val="left"/>
    </w:lvl>
    <w:lvl w:ilvl="1" w:tentative="0">
      <w:start w:val="2"/>
      <w:numFmt w:val="decimal"/>
      <w:isLgl/>
      <w:lvlText w:val="%1.%2"/>
      <w:lvlJc w:val="left"/>
      <w:pPr>
        <w:ind w:left="946" w:hanging="645"/>
      </w:pPr>
      <w:rPr>
        <w:rFonts w:hint="default"/>
      </w:rPr>
    </w:lvl>
    <w:lvl w:ilvl="2" w:tentative="0">
      <w:start w:val="3"/>
      <w:numFmt w:val="decimal"/>
      <w:isLgl/>
      <w:lvlText w:val="%1.%2.%3"/>
      <w:lvlJc w:val="left"/>
      <w:pPr>
        <w:ind w:left="1322" w:hanging="720"/>
      </w:pPr>
      <w:rPr>
        <w:rFonts w:hint="default"/>
      </w:rPr>
    </w:lvl>
    <w:lvl w:ilvl="3" w:tentative="0">
      <w:start w:val="1"/>
      <w:numFmt w:val="decimal"/>
      <w:isLgl/>
      <w:lvlText w:val="%1.%2.%3.%4"/>
      <w:lvlJc w:val="left"/>
      <w:pPr>
        <w:ind w:left="1983" w:hanging="1080"/>
      </w:pPr>
      <w:rPr>
        <w:rFonts w:hint="default"/>
      </w:rPr>
    </w:lvl>
    <w:lvl w:ilvl="4" w:tentative="0">
      <w:start w:val="1"/>
      <w:numFmt w:val="decimal"/>
      <w:isLgl/>
      <w:lvlText w:val="%1.%2.%3.%4.%5"/>
      <w:lvlJc w:val="left"/>
      <w:pPr>
        <w:ind w:left="2284" w:hanging="1080"/>
      </w:pPr>
      <w:rPr>
        <w:rFonts w:hint="default"/>
      </w:rPr>
    </w:lvl>
    <w:lvl w:ilvl="5" w:tentative="0">
      <w:start w:val="1"/>
      <w:numFmt w:val="decimal"/>
      <w:isLgl/>
      <w:lvlText w:val="%1.%2.%3.%4.%5.%6"/>
      <w:lvlJc w:val="left"/>
      <w:pPr>
        <w:ind w:left="2945" w:hanging="1440"/>
      </w:pPr>
      <w:rPr>
        <w:rFonts w:hint="default"/>
      </w:rPr>
    </w:lvl>
    <w:lvl w:ilvl="6" w:tentative="0">
      <w:start w:val="1"/>
      <w:numFmt w:val="decimal"/>
      <w:isLgl/>
      <w:lvlText w:val="%1.%2.%3.%4.%5.%6.%7"/>
      <w:lvlJc w:val="left"/>
      <w:pPr>
        <w:ind w:left="3246" w:hanging="1440"/>
      </w:pPr>
      <w:rPr>
        <w:rFonts w:hint="default"/>
      </w:rPr>
    </w:lvl>
    <w:lvl w:ilvl="7" w:tentative="0">
      <w:start w:val="1"/>
      <w:numFmt w:val="decimal"/>
      <w:isLgl/>
      <w:lvlText w:val="%1.%2.%3.%4.%5.%6.%7.%8"/>
      <w:lvlJc w:val="left"/>
      <w:pPr>
        <w:ind w:left="3907" w:hanging="1800"/>
      </w:pPr>
      <w:rPr>
        <w:rFonts w:hint="default"/>
      </w:rPr>
    </w:lvl>
    <w:lvl w:ilvl="8" w:tentative="0">
      <w:start w:val="1"/>
      <w:numFmt w:val="decimal"/>
      <w:isLgl/>
      <w:lvlText w:val="%1.%2.%3.%4.%5.%6.%7.%8.%9"/>
      <w:lvlJc w:val="left"/>
      <w:pPr>
        <w:ind w:left="4208" w:hanging="1800"/>
      </w:pPr>
      <w:rPr>
        <w:rFonts w:hint="default"/>
      </w:rPr>
    </w:lvl>
  </w:abstractNum>
  <w:abstractNum w:abstractNumId="7">
    <w:nsid w:val="1EC8304B"/>
    <w:multiLevelType w:val="singleLevel"/>
    <w:tmpl w:val="1EC8304B"/>
    <w:lvl w:ilvl="0" w:tentative="0">
      <w:start w:val="2"/>
      <w:numFmt w:val="decimal"/>
      <w:suff w:val="nothing"/>
      <w:lvlText w:val="（%1）"/>
      <w:lvlJc w:val="left"/>
    </w:lvl>
  </w:abstractNum>
  <w:abstractNum w:abstractNumId="8">
    <w:nsid w:val="5A3C02B2"/>
    <w:multiLevelType w:val="singleLevel"/>
    <w:tmpl w:val="5A3C02B2"/>
    <w:lvl w:ilvl="0" w:tentative="0">
      <w:start w:val="1"/>
      <w:numFmt w:val="lowerLetter"/>
      <w:lvlText w:val="%1."/>
      <w:lvlJc w:val="left"/>
      <w:pPr>
        <w:ind w:left="425" w:hanging="425"/>
      </w:pPr>
      <w:rPr>
        <w:rFonts w:hint="default"/>
      </w:rPr>
    </w:lvl>
  </w:abstractNum>
  <w:num w:numId="1">
    <w:abstractNumId w:val="3"/>
  </w:num>
  <w:num w:numId="2">
    <w:abstractNumId w:val="6"/>
  </w:num>
  <w:num w:numId="3">
    <w:abstractNumId w:val="7"/>
  </w:num>
  <w:num w:numId="4">
    <w:abstractNumId w:val="8"/>
  </w:num>
  <w:num w:numId="5">
    <w:abstractNumId w:val="1"/>
  </w:num>
  <w:num w:numId="6">
    <w:abstractNumId w:val="5"/>
  </w:num>
  <w:num w:numId="7">
    <w:abstractNumId w:val="4"/>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80D"/>
    <w:rsid w:val="0004529D"/>
    <w:rsid w:val="001423CA"/>
    <w:rsid w:val="001C2604"/>
    <w:rsid w:val="00271835"/>
    <w:rsid w:val="005C2AF5"/>
    <w:rsid w:val="007C73DE"/>
    <w:rsid w:val="00CB5006"/>
    <w:rsid w:val="00CD4F07"/>
    <w:rsid w:val="00D854A0"/>
    <w:rsid w:val="00EA180D"/>
    <w:rsid w:val="01132386"/>
    <w:rsid w:val="28C64758"/>
    <w:rsid w:val="408C1B29"/>
    <w:rsid w:val="518B7522"/>
    <w:rsid w:val="58E6088A"/>
    <w:rsid w:val="5D3B31AD"/>
    <w:rsid w:val="7BF17C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20"/>
    <w:qFormat/>
    <w:uiPriority w:val="0"/>
    <w:pPr>
      <w:keepNext/>
      <w:spacing w:line="360" w:lineRule="auto"/>
      <w:jc w:val="center"/>
      <w:outlineLvl w:val="0"/>
    </w:pPr>
    <w:rPr>
      <w:b/>
      <w:color w:val="000000"/>
      <w:sz w:val="32"/>
    </w:rPr>
  </w:style>
  <w:style w:type="paragraph" w:styleId="2">
    <w:name w:val="heading 2"/>
    <w:basedOn w:val="1"/>
    <w:next w:val="1"/>
    <w:link w:val="21"/>
    <w:qFormat/>
    <w:uiPriority w:val="0"/>
    <w:pPr>
      <w:keepNext/>
      <w:keepLines/>
      <w:spacing w:line="360" w:lineRule="auto"/>
      <w:ind w:firstLine="200" w:firstLineChars="200"/>
      <w:outlineLvl w:val="1"/>
    </w:pPr>
    <w:rPr>
      <w:rFonts w:ascii="Arial" w:hAnsi="Arial"/>
      <w:b/>
      <w:bCs/>
      <w:sz w:val="28"/>
      <w:szCs w:val="32"/>
    </w:rPr>
  </w:style>
  <w:style w:type="paragraph" w:styleId="4">
    <w:name w:val="heading 3"/>
    <w:basedOn w:val="1"/>
    <w:next w:val="1"/>
    <w:link w:val="22"/>
    <w:qFormat/>
    <w:uiPriority w:val="0"/>
    <w:pPr>
      <w:widowControl/>
      <w:autoSpaceDE w:val="0"/>
      <w:autoSpaceDN w:val="0"/>
      <w:spacing w:line="360" w:lineRule="auto"/>
      <w:ind w:firstLine="880" w:firstLineChars="200"/>
      <w:outlineLvl w:val="2"/>
    </w:pPr>
    <w:rPr>
      <w:rFonts w:ascii="Times New Roman" w:hAnsi="Times New Roman"/>
      <w:b/>
      <w:sz w:val="24"/>
      <w:szCs w:val="20"/>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firstLineChars="200"/>
    </w:pPr>
  </w:style>
  <w:style w:type="paragraph" w:styleId="6">
    <w:name w:val="Body Text"/>
    <w:basedOn w:val="1"/>
    <w:link w:val="23"/>
    <w:qFormat/>
    <w:uiPriority w:val="0"/>
    <w:pPr>
      <w:spacing w:after="120"/>
    </w:pPr>
  </w:style>
  <w:style w:type="paragraph" w:styleId="7">
    <w:name w:val="Body Text Indent"/>
    <w:basedOn w:val="1"/>
    <w:next w:val="1"/>
    <w:link w:val="24"/>
    <w:qFormat/>
    <w:uiPriority w:val="0"/>
    <w:pPr>
      <w:widowControl/>
      <w:autoSpaceDE w:val="0"/>
      <w:autoSpaceDN w:val="0"/>
      <w:snapToGrid w:val="0"/>
      <w:spacing w:before="120" w:line="400" w:lineRule="atLeast"/>
      <w:ind w:firstLine="570"/>
      <w:textAlignment w:val="bottom"/>
    </w:pPr>
    <w:rPr>
      <w:rFonts w:ascii="宋体"/>
      <w:kern w:val="0"/>
      <w:sz w:val="24"/>
      <w:szCs w:val="20"/>
    </w:rPr>
  </w:style>
  <w:style w:type="paragraph" w:styleId="8">
    <w:name w:val="Plain Text"/>
    <w:basedOn w:val="1"/>
    <w:link w:val="25"/>
    <w:qFormat/>
    <w:uiPriority w:val="0"/>
    <w:rPr>
      <w:rFonts w:ascii="宋体" w:hAnsi="Courier New"/>
      <w:szCs w:val="20"/>
    </w:rPr>
  </w:style>
  <w:style w:type="paragraph" w:styleId="9">
    <w:name w:val="Balloon Text"/>
    <w:basedOn w:val="1"/>
    <w:link w:val="26"/>
    <w:unhideWhenUsed/>
    <w:qFormat/>
    <w:uiPriority w:val="99"/>
    <w:rPr>
      <w:sz w:val="18"/>
      <w:szCs w:val="18"/>
    </w:rPr>
  </w:style>
  <w:style w:type="paragraph" w:styleId="10">
    <w:name w:val="footer"/>
    <w:basedOn w:val="1"/>
    <w:link w:val="27"/>
    <w:unhideWhenUsed/>
    <w:uiPriority w:val="99"/>
    <w:pPr>
      <w:tabs>
        <w:tab w:val="center" w:pos="4153"/>
        <w:tab w:val="right" w:pos="8306"/>
      </w:tabs>
      <w:snapToGrid w:val="0"/>
      <w:jc w:val="left"/>
    </w:pPr>
    <w:rPr>
      <w:sz w:val="18"/>
      <w:szCs w:val="18"/>
    </w:rPr>
  </w:style>
  <w:style w:type="paragraph" w:styleId="11">
    <w:name w:val="header"/>
    <w:basedOn w:val="1"/>
    <w:link w:val="28"/>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0"/>
    <w:pPr>
      <w:tabs>
        <w:tab w:val="right" w:leader="dot" w:pos="9403"/>
      </w:tabs>
      <w:snapToGrid w:val="0"/>
      <w:spacing w:line="360" w:lineRule="auto"/>
    </w:pPr>
    <w:rPr>
      <w:b/>
      <w:bCs/>
      <w:caps/>
    </w:rPr>
  </w:style>
  <w:style w:type="paragraph" w:styleId="13">
    <w:name w:val="Normal (Web)"/>
    <w:basedOn w:val="1"/>
    <w:qFormat/>
    <w:uiPriority w:val="99"/>
    <w:pPr>
      <w:widowControl/>
      <w:spacing w:before="100" w:beforeAutospacing="1" w:after="100" w:afterAutospacing="1"/>
      <w:jc w:val="left"/>
    </w:pPr>
    <w:rPr>
      <w:rFonts w:ascii="宋体" w:hAnsi="宋体"/>
      <w:kern w:val="0"/>
      <w:sz w:val="24"/>
    </w:rPr>
  </w:style>
  <w:style w:type="paragraph" w:styleId="14">
    <w:name w:val="Body Text First Indent"/>
    <w:basedOn w:val="6"/>
    <w:link w:val="29"/>
    <w:qFormat/>
    <w:uiPriority w:val="0"/>
    <w:pPr>
      <w:ind w:firstLine="420" w:firstLineChars="100"/>
    </w:pPr>
  </w:style>
  <w:style w:type="table" w:styleId="16">
    <w:name w:val="Table Grid"/>
    <w:basedOn w:val="15"/>
    <w:qFormat/>
    <w:uiPriority w:val="59"/>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page number"/>
    <w:basedOn w:val="17"/>
    <w:qFormat/>
    <w:uiPriority w:val="0"/>
    <w:rPr>
      <w:rFonts w:eastAsia="Arial"/>
    </w:rPr>
  </w:style>
  <w:style w:type="character" w:styleId="19">
    <w:name w:val="Hyperlink"/>
    <w:qFormat/>
    <w:uiPriority w:val="0"/>
    <w:rPr>
      <w:color w:val="3177FD"/>
      <w:u w:val="none"/>
    </w:rPr>
  </w:style>
  <w:style w:type="character" w:customStyle="1" w:styleId="20">
    <w:name w:val="标题 1 字符"/>
    <w:basedOn w:val="17"/>
    <w:link w:val="3"/>
    <w:qFormat/>
    <w:uiPriority w:val="0"/>
    <w:rPr>
      <w:rFonts w:ascii="Calibri" w:hAnsi="Calibri" w:eastAsia="宋体" w:cs="Times New Roman"/>
      <w:b/>
      <w:color w:val="000000"/>
      <w:sz w:val="32"/>
    </w:rPr>
  </w:style>
  <w:style w:type="character" w:customStyle="1" w:styleId="21">
    <w:name w:val="标题 2 字符"/>
    <w:basedOn w:val="17"/>
    <w:link w:val="2"/>
    <w:qFormat/>
    <w:uiPriority w:val="0"/>
    <w:rPr>
      <w:rFonts w:ascii="Arial" w:hAnsi="Arial" w:eastAsia="宋体" w:cs="Times New Roman"/>
      <w:b/>
      <w:bCs/>
      <w:sz w:val="28"/>
      <w:szCs w:val="32"/>
    </w:rPr>
  </w:style>
  <w:style w:type="character" w:customStyle="1" w:styleId="22">
    <w:name w:val="标题 3 字符"/>
    <w:basedOn w:val="17"/>
    <w:link w:val="4"/>
    <w:qFormat/>
    <w:uiPriority w:val="0"/>
    <w:rPr>
      <w:rFonts w:ascii="Times New Roman" w:hAnsi="Times New Roman" w:eastAsia="宋体" w:cs="Times New Roman"/>
      <w:b/>
      <w:sz w:val="24"/>
      <w:szCs w:val="20"/>
    </w:rPr>
  </w:style>
  <w:style w:type="character" w:customStyle="1" w:styleId="23">
    <w:name w:val="正文文本 字符"/>
    <w:basedOn w:val="17"/>
    <w:link w:val="6"/>
    <w:qFormat/>
    <w:uiPriority w:val="0"/>
    <w:rPr>
      <w:rFonts w:ascii="Calibri" w:hAnsi="Calibri" w:eastAsia="宋体" w:cs="Times New Roman"/>
    </w:rPr>
  </w:style>
  <w:style w:type="character" w:customStyle="1" w:styleId="24">
    <w:name w:val="正文文本缩进 字符"/>
    <w:basedOn w:val="17"/>
    <w:link w:val="7"/>
    <w:uiPriority w:val="0"/>
    <w:rPr>
      <w:rFonts w:ascii="宋体" w:hAnsi="Calibri" w:eastAsia="宋体" w:cs="Times New Roman"/>
      <w:kern w:val="0"/>
      <w:sz w:val="24"/>
      <w:szCs w:val="20"/>
    </w:rPr>
  </w:style>
  <w:style w:type="character" w:customStyle="1" w:styleId="25">
    <w:name w:val="纯文本 字符"/>
    <w:basedOn w:val="17"/>
    <w:link w:val="8"/>
    <w:uiPriority w:val="0"/>
    <w:rPr>
      <w:rFonts w:ascii="宋体" w:hAnsi="Courier New" w:eastAsia="宋体" w:cs="Times New Roman"/>
      <w:szCs w:val="20"/>
    </w:rPr>
  </w:style>
  <w:style w:type="character" w:customStyle="1" w:styleId="26">
    <w:name w:val="批注框文本 字符"/>
    <w:basedOn w:val="17"/>
    <w:link w:val="9"/>
    <w:uiPriority w:val="99"/>
    <w:rPr>
      <w:rFonts w:ascii="Calibri" w:hAnsi="Calibri" w:eastAsia="宋体" w:cs="Times New Roman"/>
      <w:sz w:val="18"/>
      <w:szCs w:val="18"/>
    </w:rPr>
  </w:style>
  <w:style w:type="character" w:customStyle="1" w:styleId="27">
    <w:name w:val="页脚 字符"/>
    <w:basedOn w:val="17"/>
    <w:link w:val="10"/>
    <w:qFormat/>
    <w:uiPriority w:val="99"/>
    <w:rPr>
      <w:rFonts w:ascii="Calibri" w:hAnsi="Calibri" w:eastAsia="宋体" w:cs="Times New Roman"/>
      <w:sz w:val="18"/>
      <w:szCs w:val="18"/>
    </w:rPr>
  </w:style>
  <w:style w:type="character" w:customStyle="1" w:styleId="28">
    <w:name w:val="页眉 字符"/>
    <w:basedOn w:val="17"/>
    <w:link w:val="11"/>
    <w:qFormat/>
    <w:uiPriority w:val="99"/>
    <w:rPr>
      <w:rFonts w:ascii="Calibri" w:hAnsi="Calibri" w:eastAsia="宋体" w:cs="Times New Roman"/>
      <w:sz w:val="18"/>
      <w:szCs w:val="18"/>
    </w:rPr>
  </w:style>
  <w:style w:type="character" w:customStyle="1" w:styleId="29">
    <w:name w:val="正文文本首行缩进 字符"/>
    <w:basedOn w:val="23"/>
    <w:link w:val="14"/>
    <w:qFormat/>
    <w:uiPriority w:val="0"/>
    <w:rPr>
      <w:rFonts w:ascii="Calibri" w:hAnsi="Calibri" w:eastAsia="宋体" w:cs="Times New Roman"/>
    </w:rPr>
  </w:style>
  <w:style w:type="paragraph" w:customStyle="1" w:styleId="30">
    <w:name w:val="样式1"/>
    <w:basedOn w:val="1"/>
    <w:qFormat/>
    <w:uiPriority w:val="0"/>
    <w:pPr>
      <w:spacing w:line="360" w:lineRule="exact"/>
      <w:ind w:firstLine="200" w:firstLineChars="200"/>
    </w:pPr>
    <w:rPr>
      <w:rFonts w:ascii="Arial" w:hAnsi="Arial"/>
    </w:rPr>
  </w:style>
  <w:style w:type="paragraph" w:customStyle="1" w:styleId="31">
    <w:name w:val="HtmlNormal"/>
    <w:basedOn w:val="1"/>
    <w:qFormat/>
    <w:uiPriority w:val="0"/>
    <w:pPr>
      <w:spacing w:before="100" w:beforeAutospacing="1" w:after="100" w:afterAutospacing="1"/>
      <w:jc w:val="left"/>
    </w:pPr>
    <w:rPr>
      <w:kern w:val="0"/>
      <w:sz w:val="24"/>
      <w:szCs w:val="24"/>
    </w:rPr>
  </w:style>
  <w:style w:type="paragraph" w:customStyle="1" w:styleId="32">
    <w:name w:val="正文缩进1"/>
    <w:basedOn w:val="1"/>
    <w:next w:val="7"/>
    <w:qFormat/>
    <w:uiPriority w:val="0"/>
    <w:pPr>
      <w:widowControl/>
      <w:spacing w:before="120" w:after="120"/>
      <w:ind w:left="992"/>
    </w:pPr>
    <w:rPr>
      <w:rFonts w:ascii="Verdana" w:hAnsi="Verdana"/>
      <w:kern w:val="0"/>
      <w:sz w:val="20"/>
      <w:szCs w:val="20"/>
      <w:lang w:eastAsia="en-US"/>
    </w:rPr>
  </w:style>
  <w:style w:type="paragraph" w:customStyle="1" w:styleId="33">
    <w:name w:val="索引 11"/>
    <w:basedOn w:val="1"/>
    <w:next w:val="1"/>
    <w:qFormat/>
    <w:uiPriority w:val="0"/>
    <w:pPr>
      <w:spacing w:line="360" w:lineRule="auto"/>
    </w:pPr>
    <w:rPr>
      <w:rFonts w:ascii="仿宋_GB2312" w:eastAsia="仿宋_GB2312"/>
      <w:sz w:val="24"/>
      <w:szCs w:val="20"/>
    </w:rPr>
  </w:style>
  <w:style w:type="paragraph" w:customStyle="1" w:styleId="34">
    <w:name w:val="纯文本1"/>
    <w:basedOn w:val="35"/>
    <w:qFormat/>
    <w:uiPriority w:val="0"/>
    <w:rPr>
      <w:rFonts w:ascii="宋体" w:hAnsi="Courier New" w:cs="Courier New"/>
      <w:szCs w:val="21"/>
    </w:rPr>
  </w:style>
  <w:style w:type="paragraph" w:customStyle="1" w:styleId="35">
    <w:name w:val="正文1"/>
    <w:basedOn w:val="1"/>
    <w:qFormat/>
    <w:uiPriority w:val="0"/>
    <w:pPr>
      <w:spacing w:line="360" w:lineRule="auto"/>
      <w:ind w:left="360" w:right="180" w:firstLine="420"/>
    </w:pPr>
    <w:rPr>
      <w:color w:val="000000"/>
      <w:kern w:val="0"/>
      <w:sz w:val="20"/>
      <w:szCs w:val="20"/>
    </w:rPr>
  </w:style>
  <w:style w:type="paragraph" w:customStyle="1" w:styleId="36">
    <w:name w:val="列表段落1"/>
    <w:basedOn w:val="1"/>
    <w:qFormat/>
    <w:uiPriority w:val="0"/>
    <w:pPr>
      <w:ind w:firstLine="420" w:firstLineChars="200"/>
    </w:pPr>
  </w:style>
  <w:style w:type="paragraph" w:customStyle="1" w:styleId="37">
    <w:name w:val="纯文本2"/>
    <w:basedOn w:val="38"/>
    <w:qFormat/>
    <w:uiPriority w:val="0"/>
    <w:pPr>
      <w:widowControl/>
      <w:jc w:val="left"/>
    </w:pPr>
    <w:rPr>
      <w:rFonts w:ascii="宋体" w:hAnsi="Courier New"/>
    </w:rPr>
  </w:style>
  <w:style w:type="paragraph" w:customStyle="1" w:styleId="38">
    <w:name w:val="正文2"/>
    <w:qFormat/>
    <w:uiPriority w:val="0"/>
    <w:pPr>
      <w:widowControl w:val="0"/>
      <w:jc w:val="both"/>
    </w:pPr>
    <w:rPr>
      <w:rFonts w:hint="eastAsia" w:ascii="Times New Roman" w:hAnsi="Times New Roman" w:eastAsia="宋体" w:cs="Times New Roman"/>
      <w:kern w:val="2"/>
      <w:sz w:val="21"/>
      <w:szCs w:val="20"/>
      <w:lang w:val="en-US" w:eastAsia="zh-CN" w:bidi="ar-SA"/>
    </w:rPr>
  </w:style>
  <w:style w:type="paragraph" w:customStyle="1" w:styleId="39">
    <w:name w:val="_标题2"/>
    <w:basedOn w:val="40"/>
    <w:next w:val="40"/>
    <w:qFormat/>
    <w:uiPriority w:val="0"/>
    <w:pPr>
      <w:widowControl w:val="0"/>
      <w:tabs>
        <w:tab w:val="left" w:pos="480"/>
      </w:tabs>
      <w:ind w:left="525" w:leftChars="50" w:hanging="420" w:firstLineChars="0"/>
      <w:outlineLvl w:val="1"/>
    </w:pPr>
    <w:rPr>
      <w:rFonts w:eastAsia="宋体"/>
      <w:b/>
      <w:sz w:val="36"/>
    </w:rPr>
  </w:style>
  <w:style w:type="paragraph" w:customStyle="1" w:styleId="40">
    <w:name w:val="__正文"/>
    <w:qFormat/>
    <w:uiPriority w:val="0"/>
    <w:pPr>
      <w:spacing w:line="360" w:lineRule="auto"/>
      <w:ind w:firstLine="200" w:firstLineChars="200"/>
    </w:pPr>
    <w:rPr>
      <w:rFonts w:ascii="Calibri" w:hAnsi="Calibri" w:eastAsia="等线" w:cs="Times New Roman"/>
      <w:kern w:val="2"/>
      <w:sz w:val="24"/>
      <w:szCs w:val="21"/>
      <w:lang w:val="en-US" w:eastAsia="zh-CN" w:bidi="ar-SA"/>
    </w:rPr>
  </w:style>
  <w:style w:type="paragraph" w:customStyle="1" w:styleId="41">
    <w:name w:val="首行缩进"/>
    <w:next w:val="1"/>
    <w:qFormat/>
    <w:uiPriority w:val="0"/>
    <w:pPr>
      <w:widowControl w:val="0"/>
      <w:spacing w:line="360" w:lineRule="auto"/>
      <w:ind w:firstLine="480" w:firstLineChars="200"/>
      <w:jc w:val="both"/>
    </w:pPr>
    <w:rPr>
      <w:rFonts w:ascii="宋体" w:hAnsi="Calibri" w:eastAsia="宋体" w:cs="Times New Roman"/>
      <w:kern w:val="2"/>
      <w:sz w:val="24"/>
      <w:szCs w:val="20"/>
      <w:lang w:val="en-US" w:eastAsia="zh-CN" w:bidi="ar-SA"/>
    </w:rPr>
  </w:style>
  <w:style w:type="paragraph" w:customStyle="1" w:styleId="42">
    <w:name w:val="L正文"/>
    <w:qFormat/>
    <w:uiPriority w:val="0"/>
    <w:pPr>
      <w:snapToGrid w:val="0"/>
      <w:spacing w:line="360" w:lineRule="auto"/>
      <w:ind w:firstLine="480" w:firstLineChars="200"/>
    </w:pPr>
    <w:rPr>
      <w:rFonts w:ascii="仿宋_GB2312" w:hAnsi="仿宋_GB2312" w:eastAsia="仿宋_GB2312" w:cs="仿宋_GB2312"/>
      <w:bCs/>
      <w:kern w:val="2"/>
      <w:sz w:val="24"/>
      <w:szCs w:val="22"/>
      <w:lang w:val="en-US" w:eastAsia="zh-CN" w:bidi="ar-SA"/>
    </w:rPr>
  </w:style>
  <w:style w:type="paragraph" w:customStyle="1" w:styleId="43">
    <w:name w:val="Default"/>
    <w:next w:val="44"/>
    <w:qFormat/>
    <w:uiPriority w:val="0"/>
    <w:pPr>
      <w:widowControl w:val="0"/>
      <w:autoSpaceDE w:val="0"/>
      <w:autoSpaceDN w:val="0"/>
      <w:adjustRightInd w:val="0"/>
    </w:pPr>
    <w:rPr>
      <w:rFonts w:ascii="楷体" w:hAnsi="Arial" w:eastAsia="楷体" w:cs="Arial"/>
      <w:color w:val="000000"/>
      <w:kern w:val="0"/>
      <w:sz w:val="24"/>
      <w:szCs w:val="24"/>
      <w:lang w:val="en-US" w:eastAsia="zh-CN" w:bidi="ar-SA"/>
    </w:rPr>
  </w:style>
  <w:style w:type="paragraph" w:customStyle="1" w:styleId="44">
    <w:name w:val="TOC 71"/>
    <w:next w:val="1"/>
    <w:qFormat/>
    <w:uiPriority w:val="0"/>
    <w:pPr>
      <w:wordWrap w:val="0"/>
      <w:ind w:left="2550"/>
      <w:jc w:val="both"/>
    </w:pPr>
    <w:rPr>
      <w:rFonts w:ascii="Times New Roman" w:hAnsi="Times New Roman" w:eastAsia="宋体" w:cs="Times New Roman"/>
      <w:kern w:val="0"/>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7" Type="http://schemas.openxmlformats.org/officeDocument/2006/relationships/fontTable" Target="fontTable.xml"/><Relationship Id="rId56" Type="http://schemas.openxmlformats.org/officeDocument/2006/relationships/numbering" Target="numbering.xml"/><Relationship Id="rId55" Type="http://schemas.openxmlformats.org/officeDocument/2006/relationships/customXml" Target="../customXml/item1.xml"/><Relationship Id="rId54" Type="http://schemas.openxmlformats.org/officeDocument/2006/relationships/image" Target="media/image2.png"/><Relationship Id="rId53" Type="http://schemas.openxmlformats.org/officeDocument/2006/relationships/image" Target="media/image1.png"/><Relationship Id="rId52" Type="http://schemas.openxmlformats.org/officeDocument/2006/relationships/theme" Target="theme/theme1.xml"/><Relationship Id="rId51" Type="http://schemas.openxmlformats.org/officeDocument/2006/relationships/footer" Target="footer26.xml"/><Relationship Id="rId50" Type="http://schemas.openxmlformats.org/officeDocument/2006/relationships/footer" Target="footer25.xml"/><Relationship Id="rId5" Type="http://schemas.openxmlformats.org/officeDocument/2006/relationships/footer" Target="footer1.xml"/><Relationship Id="rId49" Type="http://schemas.openxmlformats.org/officeDocument/2006/relationships/footer" Target="footer24.xml"/><Relationship Id="rId48" Type="http://schemas.openxmlformats.org/officeDocument/2006/relationships/header" Target="header23.xml"/><Relationship Id="rId47" Type="http://schemas.openxmlformats.org/officeDocument/2006/relationships/footer" Target="footer23.xml"/><Relationship Id="rId46" Type="http://schemas.openxmlformats.org/officeDocument/2006/relationships/header" Target="header22.xml"/><Relationship Id="rId45" Type="http://schemas.openxmlformats.org/officeDocument/2006/relationships/footer" Target="footer22.xml"/><Relationship Id="rId44" Type="http://schemas.openxmlformats.org/officeDocument/2006/relationships/header" Target="header21.xml"/><Relationship Id="rId43" Type="http://schemas.openxmlformats.org/officeDocument/2006/relationships/footer" Target="footer21.xml"/><Relationship Id="rId42" Type="http://schemas.openxmlformats.org/officeDocument/2006/relationships/header" Target="header20.xml"/><Relationship Id="rId41" Type="http://schemas.openxmlformats.org/officeDocument/2006/relationships/footer" Target="footer20.xml"/><Relationship Id="rId40" Type="http://schemas.openxmlformats.org/officeDocument/2006/relationships/header" Target="header19.xml"/><Relationship Id="rId4" Type="http://schemas.openxmlformats.org/officeDocument/2006/relationships/header" Target="header2.xml"/><Relationship Id="rId39" Type="http://schemas.openxmlformats.org/officeDocument/2006/relationships/footer" Target="footer19.xml"/><Relationship Id="rId38" Type="http://schemas.openxmlformats.org/officeDocument/2006/relationships/header" Target="header18.xml"/><Relationship Id="rId37" Type="http://schemas.openxmlformats.org/officeDocument/2006/relationships/footer" Target="footer18.xml"/><Relationship Id="rId36" Type="http://schemas.openxmlformats.org/officeDocument/2006/relationships/header" Target="header17.xml"/><Relationship Id="rId35" Type="http://schemas.openxmlformats.org/officeDocument/2006/relationships/footer" Target="footer17.xml"/><Relationship Id="rId34" Type="http://schemas.openxmlformats.org/officeDocument/2006/relationships/header" Target="header16.xml"/><Relationship Id="rId33" Type="http://schemas.openxmlformats.org/officeDocument/2006/relationships/footer" Target="footer16.xml"/><Relationship Id="rId32" Type="http://schemas.openxmlformats.org/officeDocument/2006/relationships/header" Target="header15.xml"/><Relationship Id="rId31" Type="http://schemas.openxmlformats.org/officeDocument/2006/relationships/footer" Target="footer15.xml"/><Relationship Id="rId30" Type="http://schemas.openxmlformats.org/officeDocument/2006/relationships/header" Target="header14.xml"/><Relationship Id="rId3" Type="http://schemas.openxmlformats.org/officeDocument/2006/relationships/header" Target="header1.xml"/><Relationship Id="rId29" Type="http://schemas.openxmlformats.org/officeDocument/2006/relationships/footer" Target="footer14.xml"/><Relationship Id="rId28" Type="http://schemas.openxmlformats.org/officeDocument/2006/relationships/header" Target="header13.xml"/><Relationship Id="rId27" Type="http://schemas.openxmlformats.org/officeDocument/2006/relationships/footer" Target="footer13.xml"/><Relationship Id="rId26" Type="http://schemas.openxmlformats.org/officeDocument/2006/relationships/header" Target="header12.xml"/><Relationship Id="rId25" Type="http://schemas.openxmlformats.org/officeDocument/2006/relationships/footer" Target="footer12.xml"/><Relationship Id="rId24" Type="http://schemas.openxmlformats.org/officeDocument/2006/relationships/header" Target="header11.xml"/><Relationship Id="rId23" Type="http://schemas.openxmlformats.org/officeDocument/2006/relationships/footer" Target="footer11.xml"/><Relationship Id="rId22" Type="http://schemas.openxmlformats.org/officeDocument/2006/relationships/header" Target="header10.xml"/><Relationship Id="rId21" Type="http://schemas.openxmlformats.org/officeDocument/2006/relationships/footer" Target="foot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94</Pages>
  <Words>46632</Words>
  <Characters>49403</Characters>
  <Lines>389</Lines>
  <Paragraphs>109</Paragraphs>
  <TotalTime>20</TotalTime>
  <ScaleCrop>false</ScaleCrop>
  <LinksUpToDate>false</LinksUpToDate>
  <CharactersWithSpaces>51388</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2021-09-28T01:04:00Z</dcterms:created>
  <dc:creator>林春蕾</dc:creator>
  <cp:lastModifiedBy>望望天气</cp:lastModifiedBy>
  <dcterms:modified xsi:type="dcterms:W3CDTF">2021-10-01T08:36:23Z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5DEEDB1A018C49F4BC65BB1D85E2130F</vt:lpwstr>
  </property>
</Properties>
</file>