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rPr>
          <w:rFonts w:ascii="仿宋" w:hAnsi="仿宋" w:eastAsia="仿宋" w:cs="仿宋"/>
          <w:b/>
          <w:sz w:val="24"/>
          <w:highlight w:val="none"/>
        </w:rPr>
      </w:pPr>
    </w:p>
    <w:p>
      <w:pPr>
        <w:wordWrap w:val="0"/>
        <w:spacing w:line="360" w:lineRule="auto"/>
        <w:jc w:val="center"/>
        <w:rPr>
          <w:rFonts w:ascii="仿宋" w:hAnsi="仿宋" w:eastAsia="仿宋" w:cs="仿宋"/>
          <w:b/>
          <w:sz w:val="24"/>
          <w:highlight w:val="none"/>
        </w:rPr>
      </w:pPr>
    </w:p>
    <w:p>
      <w:pPr>
        <w:wordWrap w:val="0"/>
        <w:adjustRightInd/>
        <w:spacing w:line="360" w:lineRule="auto"/>
        <w:jc w:val="center"/>
        <w:rPr>
          <w:rFonts w:ascii="仿宋" w:hAnsi="仿宋" w:eastAsia="仿宋" w:cs="仿宋"/>
          <w:b/>
          <w:sz w:val="44"/>
          <w:szCs w:val="44"/>
          <w:highlight w:val="none"/>
        </w:rPr>
      </w:pPr>
    </w:p>
    <w:p>
      <w:pPr>
        <w:wordWrap w:val="0"/>
        <w:spacing w:line="360" w:lineRule="auto"/>
        <w:jc w:val="center"/>
        <w:rPr>
          <w:rFonts w:ascii="仿宋" w:hAnsi="仿宋" w:eastAsia="仿宋" w:cs="仿宋"/>
          <w:b/>
          <w:sz w:val="44"/>
          <w:szCs w:val="44"/>
          <w:highlight w:val="none"/>
        </w:rPr>
      </w:pPr>
    </w:p>
    <w:p>
      <w:pPr>
        <w:wordWrap w:val="0"/>
        <w:jc w:val="center"/>
        <w:rPr>
          <w:rFonts w:ascii="仿宋" w:hAnsi="仿宋" w:eastAsia="仿宋" w:cs="仿宋"/>
          <w:b/>
          <w:sz w:val="84"/>
          <w:szCs w:val="84"/>
          <w:highlight w:val="none"/>
        </w:rPr>
      </w:pPr>
      <w:r>
        <w:rPr>
          <w:rFonts w:hint="eastAsia" w:ascii="仿宋" w:hAnsi="仿宋" w:eastAsia="仿宋" w:cs="仿宋"/>
          <w:b/>
          <w:sz w:val="36"/>
          <w:szCs w:val="36"/>
          <w:highlight w:val="none"/>
        </w:rPr>
        <w:t xml:space="preserve"> </w:t>
      </w:r>
      <w:r>
        <w:rPr>
          <w:rFonts w:hint="eastAsia" w:ascii="仿宋" w:hAnsi="仿宋" w:eastAsia="仿宋" w:cs="仿宋"/>
          <w:b/>
          <w:sz w:val="72"/>
          <w:szCs w:val="72"/>
          <w:highlight w:val="none"/>
        </w:rPr>
        <w:t>政府采购公开招标文件</w:t>
      </w:r>
    </w:p>
    <w:p>
      <w:pPr>
        <w:widowControl/>
        <w:wordWrap w:val="0"/>
        <w:jc w:val="center"/>
        <w:rPr>
          <w:rFonts w:ascii="仿宋" w:hAnsi="仿宋" w:eastAsia="仿宋" w:cs="仿宋"/>
          <w:b/>
          <w:sz w:val="44"/>
          <w:szCs w:val="44"/>
          <w:highlight w:val="none"/>
        </w:rPr>
      </w:pPr>
    </w:p>
    <w:p>
      <w:pPr>
        <w:widowControl/>
        <w:wordWrap w:val="0"/>
        <w:jc w:val="center"/>
        <w:rPr>
          <w:rFonts w:ascii="仿宋" w:hAnsi="仿宋" w:eastAsia="仿宋" w:cs="仿宋"/>
          <w:b/>
          <w:sz w:val="44"/>
          <w:szCs w:val="44"/>
          <w:highlight w:val="none"/>
        </w:rPr>
      </w:pPr>
    </w:p>
    <w:p>
      <w:pPr>
        <w:widowControl/>
        <w:wordWrap w:val="0"/>
        <w:jc w:val="center"/>
        <w:rPr>
          <w:rFonts w:ascii="仿宋" w:hAnsi="仿宋" w:eastAsia="仿宋" w:cs="仿宋"/>
          <w:b/>
          <w:sz w:val="44"/>
          <w:szCs w:val="44"/>
          <w:highlight w:val="none"/>
        </w:rPr>
      </w:pPr>
    </w:p>
    <w:p>
      <w:pPr>
        <w:widowControl/>
        <w:wordWrap w:val="0"/>
        <w:jc w:val="center"/>
        <w:rPr>
          <w:rFonts w:ascii="仿宋" w:hAnsi="仿宋" w:eastAsia="仿宋" w:cs="仿宋"/>
          <w:b/>
          <w:sz w:val="44"/>
          <w:szCs w:val="44"/>
          <w:highlight w:val="none"/>
        </w:rPr>
      </w:pPr>
      <w:r>
        <w:rPr>
          <w:rFonts w:hint="eastAsia" w:ascii="仿宋" w:hAnsi="仿宋" w:eastAsia="仿宋" w:cs="仿宋"/>
          <w:b/>
          <w:sz w:val="44"/>
          <w:szCs w:val="44"/>
          <w:highlight w:val="none"/>
        </w:rPr>
        <w:t>（电子招投标）</w:t>
      </w:r>
    </w:p>
    <w:tbl>
      <w:tblPr>
        <w:tblStyle w:val="62"/>
        <w:tblpPr w:leftFromText="180" w:rightFromText="180" w:vertAnchor="text" w:horzAnchor="page" w:tblpX="2004" w:tblpY="441"/>
        <w:tblOverlap w:val="never"/>
        <w:tblW w:w="7894" w:type="dxa"/>
        <w:tblInd w:w="0" w:type="dxa"/>
        <w:tblLayout w:type="fixed"/>
        <w:tblCellMar>
          <w:top w:w="0" w:type="dxa"/>
          <w:left w:w="108" w:type="dxa"/>
          <w:bottom w:w="0" w:type="dxa"/>
          <w:right w:w="108" w:type="dxa"/>
        </w:tblCellMar>
      </w:tblPr>
      <w:tblGrid>
        <w:gridCol w:w="1926"/>
        <w:gridCol w:w="5968"/>
      </w:tblGrid>
      <w:tr>
        <w:tblPrEx>
          <w:tblCellMar>
            <w:top w:w="0" w:type="dxa"/>
            <w:left w:w="108" w:type="dxa"/>
            <w:bottom w:w="0" w:type="dxa"/>
            <w:right w:w="108" w:type="dxa"/>
          </w:tblCellMar>
        </w:tblPrEx>
        <w:trPr>
          <w:trHeight w:val="1213" w:hRule="atLeast"/>
        </w:trPr>
        <w:tc>
          <w:tcPr>
            <w:tcW w:w="1926" w:type="dxa"/>
            <w:vAlign w:val="center"/>
          </w:tcPr>
          <w:p>
            <w:pPr>
              <w:wordWrap w:val="0"/>
              <w:spacing w:line="440" w:lineRule="exact"/>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项目名称：</w:t>
            </w:r>
          </w:p>
        </w:tc>
        <w:tc>
          <w:tcPr>
            <w:tcW w:w="5968" w:type="dxa"/>
            <w:vAlign w:val="center"/>
          </w:tcPr>
          <w:p>
            <w:pPr>
              <w:pStyle w:val="33"/>
              <w:wordWrap w:val="0"/>
              <w:snapToGrid w:val="0"/>
              <w:spacing w:line="440" w:lineRule="exact"/>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杭州学军中学桐庐学校竣工配套</w:t>
            </w:r>
          </w:p>
          <w:p>
            <w:pPr>
              <w:pStyle w:val="33"/>
              <w:wordWrap w:val="0"/>
              <w:snapToGrid w:val="0"/>
              <w:spacing w:line="440" w:lineRule="exact"/>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设施设备（图书馆）项目</w:t>
            </w:r>
          </w:p>
        </w:tc>
      </w:tr>
      <w:tr>
        <w:tblPrEx>
          <w:tblCellMar>
            <w:top w:w="0" w:type="dxa"/>
            <w:left w:w="108" w:type="dxa"/>
            <w:bottom w:w="0" w:type="dxa"/>
            <w:right w:w="108" w:type="dxa"/>
          </w:tblCellMar>
        </w:tblPrEx>
        <w:trPr>
          <w:trHeight w:val="1213" w:hRule="atLeast"/>
        </w:trPr>
        <w:tc>
          <w:tcPr>
            <w:tcW w:w="1926" w:type="dxa"/>
            <w:vAlign w:val="center"/>
          </w:tcPr>
          <w:p>
            <w:pPr>
              <w:wordWrap w:val="0"/>
              <w:spacing w:line="440" w:lineRule="exact"/>
              <w:rPr>
                <w:rFonts w:ascii="仿宋" w:hAnsi="仿宋" w:eastAsia="仿宋" w:cs="仿宋"/>
                <w:b/>
                <w:bCs/>
                <w:sz w:val="36"/>
                <w:szCs w:val="36"/>
                <w:highlight w:val="none"/>
              </w:rPr>
            </w:pPr>
            <w:r>
              <w:rPr>
                <w:rFonts w:hint="eastAsia" w:ascii="仿宋" w:hAnsi="仿宋" w:eastAsia="仿宋" w:cs="仿宋"/>
                <w:b/>
                <w:bCs/>
                <w:sz w:val="36"/>
                <w:szCs w:val="36"/>
                <w:highlight w:val="none"/>
              </w:rPr>
              <w:t>项目编号：</w:t>
            </w:r>
          </w:p>
        </w:tc>
        <w:tc>
          <w:tcPr>
            <w:tcW w:w="5968" w:type="dxa"/>
            <w:vAlign w:val="center"/>
          </w:tcPr>
          <w:p>
            <w:pPr>
              <w:wordWrap w:val="0"/>
              <w:spacing w:line="440" w:lineRule="exact"/>
              <w:ind w:firstLine="723" w:firstLineChars="200"/>
              <w:rPr>
                <w:rFonts w:ascii="仿宋" w:hAnsi="仿宋" w:eastAsia="仿宋" w:cs="仿宋"/>
                <w:b/>
                <w:bCs/>
                <w:sz w:val="36"/>
                <w:szCs w:val="36"/>
                <w:highlight w:val="none"/>
              </w:rPr>
            </w:pPr>
            <w:r>
              <w:rPr>
                <w:rFonts w:hint="eastAsia" w:ascii="仿宋" w:hAnsi="仿宋" w:eastAsia="仿宋" w:cs="仿宋"/>
                <w:b/>
                <w:bCs/>
                <w:sz w:val="36"/>
                <w:szCs w:val="36"/>
                <w:highlight w:val="none"/>
              </w:rPr>
              <w:t>HZGJ-XJZX2024-04</w:t>
            </w:r>
          </w:p>
        </w:tc>
      </w:tr>
    </w:tbl>
    <w:p>
      <w:pPr>
        <w:wordWrap w:val="0"/>
        <w:spacing w:line="440" w:lineRule="exact"/>
        <w:jc w:val="center"/>
        <w:rPr>
          <w:rFonts w:ascii="仿宋" w:hAnsi="仿宋" w:eastAsia="仿宋" w:cs="仿宋"/>
          <w:b/>
          <w:sz w:val="24"/>
          <w:highlight w:val="none"/>
        </w:rPr>
      </w:pPr>
    </w:p>
    <w:p>
      <w:pPr>
        <w:wordWrap w:val="0"/>
        <w:spacing w:line="440" w:lineRule="exact"/>
        <w:jc w:val="center"/>
        <w:rPr>
          <w:rFonts w:ascii="仿宋" w:hAnsi="仿宋" w:eastAsia="仿宋" w:cs="仿宋"/>
          <w:kern w:val="0"/>
          <w:sz w:val="24"/>
          <w:highlight w:val="none"/>
        </w:rPr>
      </w:pPr>
    </w:p>
    <w:p>
      <w:pPr>
        <w:wordWrap w:val="0"/>
        <w:spacing w:line="440" w:lineRule="exact"/>
        <w:jc w:val="center"/>
        <w:rPr>
          <w:rFonts w:ascii="仿宋" w:hAnsi="仿宋" w:eastAsia="仿宋" w:cs="仿宋"/>
          <w:sz w:val="24"/>
          <w:highlight w:val="none"/>
        </w:rPr>
      </w:pPr>
    </w:p>
    <w:p>
      <w:pPr>
        <w:wordWrap w:val="0"/>
        <w:spacing w:line="440" w:lineRule="exact"/>
        <w:jc w:val="center"/>
        <w:rPr>
          <w:rFonts w:ascii="仿宋" w:hAnsi="仿宋" w:eastAsia="仿宋" w:cs="仿宋"/>
          <w:sz w:val="24"/>
          <w:highlight w:val="none"/>
        </w:rPr>
      </w:pPr>
    </w:p>
    <w:p>
      <w:pPr>
        <w:wordWrap w:val="0"/>
        <w:spacing w:line="440" w:lineRule="exact"/>
        <w:jc w:val="center"/>
        <w:rPr>
          <w:rFonts w:ascii="仿宋" w:hAnsi="仿宋" w:eastAsia="仿宋" w:cs="仿宋"/>
          <w:sz w:val="24"/>
          <w:highlight w:val="none"/>
        </w:rPr>
      </w:pPr>
    </w:p>
    <w:p>
      <w:pPr>
        <w:wordWrap w:val="0"/>
        <w:spacing w:line="440" w:lineRule="exact"/>
        <w:jc w:val="center"/>
        <w:rPr>
          <w:rFonts w:ascii="仿宋" w:hAnsi="仿宋" w:eastAsia="仿宋" w:cs="仿宋"/>
          <w:sz w:val="24"/>
          <w:highlight w:val="none"/>
        </w:rPr>
      </w:pPr>
    </w:p>
    <w:p>
      <w:pPr>
        <w:pStyle w:val="80"/>
        <w:wordWrap w:val="0"/>
        <w:spacing w:line="440" w:lineRule="exact"/>
        <w:rPr>
          <w:rFonts w:ascii="仿宋" w:hAnsi="仿宋" w:eastAsia="仿宋" w:cs="仿宋"/>
          <w:szCs w:val="24"/>
          <w:highlight w:val="none"/>
        </w:rPr>
      </w:pPr>
    </w:p>
    <w:p>
      <w:pPr>
        <w:pStyle w:val="80"/>
        <w:wordWrap w:val="0"/>
        <w:spacing w:line="440" w:lineRule="exact"/>
        <w:rPr>
          <w:rFonts w:ascii="仿宋" w:hAnsi="仿宋" w:eastAsia="仿宋" w:cs="仿宋"/>
          <w:szCs w:val="24"/>
          <w:highlight w:val="none"/>
        </w:rPr>
      </w:pPr>
    </w:p>
    <w:p>
      <w:pPr>
        <w:pStyle w:val="80"/>
        <w:wordWrap w:val="0"/>
        <w:spacing w:line="440" w:lineRule="exact"/>
        <w:rPr>
          <w:rFonts w:ascii="仿宋" w:hAnsi="仿宋" w:eastAsia="仿宋" w:cs="仿宋"/>
          <w:szCs w:val="24"/>
          <w:highlight w:val="none"/>
        </w:rPr>
      </w:pPr>
    </w:p>
    <w:p>
      <w:pPr>
        <w:pStyle w:val="80"/>
        <w:wordWrap w:val="0"/>
        <w:spacing w:line="440" w:lineRule="exact"/>
        <w:rPr>
          <w:rFonts w:ascii="仿宋" w:hAnsi="仿宋" w:eastAsia="仿宋" w:cs="仿宋"/>
          <w:szCs w:val="24"/>
          <w:highlight w:val="none"/>
        </w:rPr>
      </w:pPr>
    </w:p>
    <w:p>
      <w:pPr>
        <w:pStyle w:val="80"/>
        <w:wordWrap w:val="0"/>
        <w:spacing w:line="440" w:lineRule="exact"/>
        <w:rPr>
          <w:rFonts w:ascii="仿宋" w:hAnsi="仿宋" w:eastAsia="仿宋" w:cs="仿宋"/>
          <w:szCs w:val="24"/>
          <w:highlight w:val="none"/>
        </w:rPr>
      </w:pPr>
    </w:p>
    <w:p>
      <w:pPr>
        <w:pStyle w:val="80"/>
        <w:wordWrap w:val="0"/>
        <w:spacing w:line="440" w:lineRule="exact"/>
        <w:rPr>
          <w:rFonts w:ascii="仿宋" w:hAnsi="仿宋" w:eastAsia="仿宋" w:cs="仿宋"/>
          <w:szCs w:val="24"/>
          <w:highlight w:val="none"/>
        </w:rPr>
      </w:pPr>
    </w:p>
    <w:tbl>
      <w:tblPr>
        <w:tblStyle w:val="62"/>
        <w:tblW w:w="9399" w:type="dxa"/>
        <w:jc w:val="center"/>
        <w:tblLayout w:type="fixed"/>
        <w:tblCellMar>
          <w:top w:w="0" w:type="dxa"/>
          <w:left w:w="108" w:type="dxa"/>
          <w:bottom w:w="0" w:type="dxa"/>
          <w:right w:w="108" w:type="dxa"/>
        </w:tblCellMar>
      </w:tblPr>
      <w:tblGrid>
        <w:gridCol w:w="2750"/>
        <w:gridCol w:w="6649"/>
      </w:tblGrid>
      <w:tr>
        <w:tblPrEx>
          <w:tblCellMar>
            <w:top w:w="0" w:type="dxa"/>
            <w:left w:w="108" w:type="dxa"/>
            <w:bottom w:w="0" w:type="dxa"/>
            <w:right w:w="108" w:type="dxa"/>
          </w:tblCellMar>
        </w:tblPrEx>
        <w:trPr>
          <w:trHeight w:val="858" w:hRule="atLeast"/>
          <w:jc w:val="center"/>
        </w:trPr>
        <w:tc>
          <w:tcPr>
            <w:tcW w:w="2750" w:type="dxa"/>
            <w:vAlign w:val="center"/>
          </w:tcPr>
          <w:p>
            <w:pPr>
              <w:wordWrap w:val="0"/>
              <w:spacing w:line="440" w:lineRule="exact"/>
              <w:ind w:firstLine="723" w:firstLineChars="200"/>
              <w:rPr>
                <w:rFonts w:ascii="仿宋" w:hAnsi="仿宋" w:eastAsia="仿宋" w:cs="仿宋"/>
                <w:b/>
                <w:bCs/>
                <w:sz w:val="36"/>
                <w:szCs w:val="36"/>
                <w:highlight w:val="none"/>
              </w:rPr>
            </w:pPr>
            <w:r>
              <w:rPr>
                <w:rFonts w:hint="eastAsia" w:ascii="仿宋" w:hAnsi="仿宋" w:eastAsia="仿宋" w:cs="仿宋"/>
                <w:b/>
                <w:bCs/>
                <w:sz w:val="36"/>
                <w:szCs w:val="36"/>
                <w:highlight w:val="none"/>
              </w:rPr>
              <w:t>采购人</w:t>
            </w:r>
          </w:p>
          <w:p>
            <w:pPr>
              <w:wordWrap w:val="0"/>
              <w:spacing w:line="440" w:lineRule="exact"/>
              <w:jc w:val="center"/>
              <w:rPr>
                <w:rFonts w:ascii="仿宋" w:hAnsi="仿宋" w:eastAsia="仿宋" w:cs="仿宋"/>
                <w:sz w:val="36"/>
                <w:szCs w:val="36"/>
                <w:highlight w:val="none"/>
              </w:rPr>
            </w:pPr>
            <w:r>
              <w:rPr>
                <w:rFonts w:hint="eastAsia" w:ascii="仿宋" w:hAnsi="仿宋" w:eastAsia="仿宋" w:cs="仿宋"/>
                <w:b/>
                <w:bCs/>
                <w:sz w:val="36"/>
                <w:szCs w:val="36"/>
                <w:highlight w:val="none"/>
              </w:rPr>
              <w:t>（招标人）：</w:t>
            </w:r>
          </w:p>
        </w:tc>
        <w:tc>
          <w:tcPr>
            <w:tcW w:w="6649" w:type="dxa"/>
            <w:vAlign w:val="center"/>
          </w:tcPr>
          <w:p>
            <w:pPr>
              <w:pStyle w:val="33"/>
              <w:wordWrap w:val="0"/>
              <w:snapToGrid w:val="0"/>
              <w:spacing w:line="440" w:lineRule="exact"/>
              <w:rPr>
                <w:rFonts w:ascii="仿宋" w:hAnsi="仿宋" w:eastAsia="仿宋" w:cs="仿宋"/>
                <w:sz w:val="36"/>
                <w:szCs w:val="36"/>
                <w:highlight w:val="none"/>
              </w:rPr>
            </w:pPr>
            <w:r>
              <w:rPr>
                <w:rFonts w:hint="eastAsia" w:ascii="仿宋" w:hAnsi="仿宋" w:eastAsia="仿宋" w:cs="仿宋"/>
                <w:b/>
                <w:bCs/>
                <w:sz w:val="36"/>
                <w:szCs w:val="36"/>
                <w:highlight w:val="none"/>
              </w:rPr>
              <w:t>杭州学军中学桐庐学校</w:t>
            </w:r>
          </w:p>
        </w:tc>
      </w:tr>
      <w:tr>
        <w:tblPrEx>
          <w:tblCellMar>
            <w:top w:w="0" w:type="dxa"/>
            <w:left w:w="108" w:type="dxa"/>
            <w:bottom w:w="0" w:type="dxa"/>
            <w:right w:w="108" w:type="dxa"/>
          </w:tblCellMar>
        </w:tblPrEx>
        <w:trPr>
          <w:trHeight w:val="943" w:hRule="atLeast"/>
          <w:jc w:val="center"/>
        </w:trPr>
        <w:tc>
          <w:tcPr>
            <w:tcW w:w="2750" w:type="dxa"/>
            <w:vAlign w:val="center"/>
          </w:tcPr>
          <w:p>
            <w:pPr>
              <w:wordWrap w:val="0"/>
              <w:spacing w:line="440" w:lineRule="exact"/>
              <w:jc w:val="center"/>
              <w:rPr>
                <w:rFonts w:ascii="仿宋" w:hAnsi="仿宋" w:eastAsia="仿宋" w:cs="仿宋"/>
                <w:sz w:val="36"/>
                <w:szCs w:val="36"/>
                <w:highlight w:val="none"/>
              </w:rPr>
            </w:pPr>
            <w:r>
              <w:rPr>
                <w:rFonts w:hint="eastAsia" w:ascii="仿宋" w:hAnsi="仿宋" w:eastAsia="仿宋" w:cs="仿宋"/>
                <w:b/>
                <w:bCs/>
                <w:sz w:val="36"/>
                <w:szCs w:val="36"/>
                <w:highlight w:val="none"/>
              </w:rPr>
              <w:t>代理机构：</w:t>
            </w:r>
          </w:p>
        </w:tc>
        <w:tc>
          <w:tcPr>
            <w:tcW w:w="6649" w:type="dxa"/>
            <w:vAlign w:val="center"/>
          </w:tcPr>
          <w:p>
            <w:pPr>
              <w:pStyle w:val="33"/>
              <w:wordWrap w:val="0"/>
              <w:snapToGrid w:val="0"/>
              <w:spacing w:line="440" w:lineRule="exact"/>
              <w:rPr>
                <w:rFonts w:ascii="仿宋" w:hAnsi="仿宋" w:eastAsia="仿宋" w:cs="仿宋"/>
                <w:sz w:val="36"/>
                <w:szCs w:val="36"/>
                <w:highlight w:val="none"/>
              </w:rPr>
            </w:pPr>
            <w:r>
              <w:rPr>
                <w:rFonts w:hint="eastAsia" w:ascii="仿宋" w:hAnsi="仿宋" w:eastAsia="仿宋" w:cs="仿宋"/>
                <w:b/>
                <w:bCs/>
                <w:sz w:val="36"/>
                <w:szCs w:val="36"/>
                <w:highlight w:val="none"/>
              </w:rPr>
              <w:t>杭州贯今工程咨询有限公司</w:t>
            </w:r>
          </w:p>
        </w:tc>
      </w:tr>
      <w:tr>
        <w:tblPrEx>
          <w:tblCellMar>
            <w:top w:w="0" w:type="dxa"/>
            <w:left w:w="108" w:type="dxa"/>
            <w:bottom w:w="0" w:type="dxa"/>
            <w:right w:w="108" w:type="dxa"/>
          </w:tblCellMar>
        </w:tblPrEx>
        <w:trPr>
          <w:trHeight w:val="929" w:hRule="atLeast"/>
          <w:jc w:val="center"/>
        </w:trPr>
        <w:tc>
          <w:tcPr>
            <w:tcW w:w="2750" w:type="dxa"/>
            <w:vAlign w:val="center"/>
          </w:tcPr>
          <w:p>
            <w:pPr>
              <w:wordWrap w:val="0"/>
              <w:spacing w:line="440" w:lineRule="exact"/>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日    期：</w:t>
            </w:r>
          </w:p>
        </w:tc>
        <w:tc>
          <w:tcPr>
            <w:tcW w:w="6649" w:type="dxa"/>
            <w:vAlign w:val="center"/>
          </w:tcPr>
          <w:p>
            <w:pPr>
              <w:wordWrap w:val="0"/>
              <w:spacing w:line="440" w:lineRule="exact"/>
              <w:rPr>
                <w:rFonts w:ascii="仿宋" w:hAnsi="仿宋" w:eastAsia="仿宋" w:cs="仿宋"/>
                <w:b/>
                <w:bCs/>
                <w:sz w:val="36"/>
                <w:szCs w:val="36"/>
                <w:highlight w:val="none"/>
              </w:rPr>
            </w:pPr>
            <w:r>
              <w:rPr>
                <w:rFonts w:hint="eastAsia" w:ascii="仿宋" w:hAnsi="仿宋" w:eastAsia="仿宋" w:cs="仿宋"/>
                <w:b/>
                <w:bCs/>
                <w:sz w:val="36"/>
                <w:szCs w:val="36"/>
                <w:highlight w:val="none"/>
              </w:rPr>
              <w:t>二〇二四年三月二十</w:t>
            </w:r>
            <w:r>
              <w:rPr>
                <w:rFonts w:hint="eastAsia" w:ascii="仿宋" w:hAnsi="仿宋" w:eastAsia="仿宋" w:cs="仿宋"/>
                <w:b/>
                <w:bCs/>
                <w:sz w:val="36"/>
                <w:szCs w:val="36"/>
                <w:highlight w:val="none"/>
                <w:lang w:val="en-US" w:eastAsia="zh-CN"/>
              </w:rPr>
              <w:t>九</w:t>
            </w:r>
            <w:r>
              <w:rPr>
                <w:rFonts w:hint="eastAsia" w:ascii="仿宋" w:hAnsi="仿宋" w:eastAsia="仿宋" w:cs="仿宋"/>
                <w:b/>
                <w:bCs/>
                <w:sz w:val="36"/>
                <w:szCs w:val="36"/>
                <w:highlight w:val="none"/>
              </w:rPr>
              <w:t>日</w:t>
            </w:r>
          </w:p>
        </w:tc>
      </w:tr>
    </w:tbl>
    <w:p>
      <w:pPr>
        <w:wordWrap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br w:type="page"/>
      </w:r>
      <w:bookmarkStart w:id="0" w:name="_Hlt67893495"/>
      <w:bookmarkEnd w:id="0"/>
    </w:p>
    <w:p>
      <w:pPr>
        <w:wordWrap w:val="0"/>
        <w:spacing w:line="360" w:lineRule="auto"/>
        <w:jc w:val="center"/>
        <w:rPr>
          <w:rFonts w:ascii="仿宋" w:hAnsi="仿宋" w:eastAsia="仿宋" w:cs="仿宋"/>
          <w:sz w:val="24"/>
          <w:highlight w:val="none"/>
        </w:rPr>
      </w:pPr>
    </w:p>
    <w:p>
      <w:pPr>
        <w:wordWrap w:val="0"/>
        <w:spacing w:line="360" w:lineRule="auto"/>
        <w:ind w:firstLine="1103" w:firstLineChars="229"/>
        <w:rPr>
          <w:rFonts w:ascii="仿宋" w:hAnsi="仿宋" w:eastAsia="仿宋" w:cs="仿宋"/>
          <w:b/>
          <w:sz w:val="48"/>
          <w:szCs w:val="48"/>
          <w:highlight w:val="none"/>
        </w:rPr>
      </w:pPr>
      <w:bookmarkStart w:id="1" w:name="_Hlt91233176"/>
      <w:bookmarkEnd w:id="1"/>
      <w:bookmarkStart w:id="2" w:name="_Toc91899869"/>
      <w:r>
        <w:rPr>
          <w:rFonts w:hint="eastAsia" w:ascii="仿宋" w:hAnsi="仿宋" w:eastAsia="仿宋" w:cs="仿宋"/>
          <w:b/>
          <w:sz w:val="48"/>
          <w:szCs w:val="48"/>
          <w:highlight w:val="none"/>
        </w:rPr>
        <w:t xml:space="preserve"> </w:t>
      </w:r>
    </w:p>
    <w:p>
      <w:pPr>
        <w:wordWrap w:val="0"/>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目录</w:t>
      </w:r>
    </w:p>
    <w:p>
      <w:pPr>
        <w:pStyle w:val="43"/>
        <w:tabs>
          <w:tab w:val="right" w:leader="dot" w:pos="9071"/>
        </w:tabs>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"1-1" \h \u </w:instrText>
      </w:r>
      <w:r>
        <w:rPr>
          <w:rFonts w:hint="eastAsia" w:ascii="仿宋" w:hAnsi="仿宋" w:eastAsia="仿宋" w:cs="仿宋"/>
          <w:sz w:val="28"/>
          <w:szCs w:val="28"/>
          <w:highlight w:val="none"/>
        </w:rPr>
        <w:fldChar w:fldCharType="separate"/>
      </w:r>
      <w:r>
        <w:rPr>
          <w:highlight w:val="none"/>
        </w:rPr>
        <w:fldChar w:fldCharType="begin"/>
      </w:r>
      <w:r>
        <w:rPr>
          <w:highlight w:val="none"/>
        </w:rPr>
        <w:instrText xml:space="preserve"> HYPERLINK \l "_Toc12153" </w:instrText>
      </w:r>
      <w:r>
        <w:rPr>
          <w:highlight w:val="none"/>
        </w:rPr>
        <w:fldChar w:fldCharType="separate"/>
      </w:r>
      <w:r>
        <w:rPr>
          <w:rFonts w:hint="eastAsia" w:ascii="仿宋" w:hAnsi="仿宋" w:eastAsia="仿宋" w:cs="仿宋"/>
          <w:sz w:val="28"/>
          <w:szCs w:val="28"/>
          <w:highlight w:val="none"/>
        </w:rPr>
        <w:t>第一部分 招标公告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_Toc12153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3"/>
        <w:tabs>
          <w:tab w:val="right" w:leader="dot" w:pos="9071"/>
        </w:tabs>
        <w:spacing w:line="480" w:lineRule="auto"/>
        <w:rPr>
          <w:rFonts w:ascii="仿宋" w:hAnsi="仿宋" w:eastAsia="仿宋" w:cs="仿宋"/>
          <w:sz w:val="28"/>
          <w:szCs w:val="28"/>
          <w:highlight w:val="none"/>
        </w:rPr>
      </w:pPr>
      <w:r>
        <w:rPr>
          <w:highlight w:val="none"/>
        </w:rPr>
        <w:fldChar w:fldCharType="begin"/>
      </w:r>
      <w:r>
        <w:rPr>
          <w:highlight w:val="none"/>
        </w:rPr>
        <w:instrText xml:space="preserve"> HYPERLINK \l "_Toc30254" </w:instrText>
      </w:r>
      <w:r>
        <w:rPr>
          <w:highlight w:val="none"/>
        </w:rPr>
        <w:fldChar w:fldCharType="separate"/>
      </w:r>
      <w:r>
        <w:rPr>
          <w:rFonts w:hint="eastAsia" w:ascii="仿宋" w:hAnsi="仿宋" w:eastAsia="仿宋" w:cs="仿宋"/>
          <w:sz w:val="28"/>
          <w:szCs w:val="28"/>
          <w:highlight w:val="none"/>
        </w:rPr>
        <w:t>第二部分 投标人须知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_Toc30254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3"/>
        <w:tabs>
          <w:tab w:val="right" w:leader="dot" w:pos="9071"/>
        </w:tabs>
        <w:spacing w:line="480" w:lineRule="auto"/>
        <w:rPr>
          <w:rFonts w:ascii="仿宋" w:hAnsi="仿宋" w:eastAsia="仿宋" w:cs="仿宋"/>
          <w:sz w:val="28"/>
          <w:szCs w:val="28"/>
          <w:highlight w:val="none"/>
        </w:rPr>
      </w:pPr>
      <w:r>
        <w:rPr>
          <w:highlight w:val="none"/>
        </w:rPr>
        <w:fldChar w:fldCharType="begin"/>
      </w:r>
      <w:r>
        <w:rPr>
          <w:highlight w:val="none"/>
        </w:rPr>
        <w:instrText xml:space="preserve"> HYPERLINK \l "_Toc8370" </w:instrText>
      </w:r>
      <w:r>
        <w:rPr>
          <w:highlight w:val="none"/>
        </w:rPr>
        <w:fldChar w:fldCharType="separate"/>
      </w:r>
      <w:r>
        <w:rPr>
          <w:rFonts w:hint="eastAsia" w:ascii="仿宋" w:hAnsi="仿宋" w:eastAsia="仿宋" w:cs="仿宋"/>
          <w:sz w:val="28"/>
          <w:szCs w:val="28"/>
          <w:highlight w:val="none"/>
        </w:rPr>
        <w:t>第三部分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_Toc8370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3"/>
        <w:tabs>
          <w:tab w:val="right" w:leader="dot" w:pos="9071"/>
        </w:tabs>
        <w:spacing w:line="480" w:lineRule="auto"/>
        <w:rPr>
          <w:rFonts w:ascii="仿宋" w:hAnsi="仿宋" w:eastAsia="仿宋" w:cs="仿宋"/>
          <w:sz w:val="28"/>
          <w:szCs w:val="28"/>
          <w:highlight w:val="none"/>
        </w:rPr>
      </w:pPr>
      <w:r>
        <w:rPr>
          <w:highlight w:val="none"/>
        </w:rPr>
        <w:fldChar w:fldCharType="begin"/>
      </w:r>
      <w:r>
        <w:rPr>
          <w:highlight w:val="none"/>
        </w:rPr>
        <w:instrText xml:space="preserve"> HYPERLINK \l "_Toc27989" </w:instrText>
      </w:r>
      <w:r>
        <w:rPr>
          <w:highlight w:val="none"/>
        </w:rPr>
        <w:fldChar w:fldCharType="separate"/>
      </w:r>
      <w:r>
        <w:rPr>
          <w:rFonts w:hint="eastAsia" w:ascii="仿宋" w:hAnsi="仿宋" w:eastAsia="仿宋" w:cs="仿宋"/>
          <w:sz w:val="28"/>
          <w:szCs w:val="28"/>
          <w:highlight w:val="none"/>
        </w:rPr>
        <w:t>第四部分 评标办法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_Toc27989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3"/>
        <w:tabs>
          <w:tab w:val="right" w:leader="dot" w:pos="9071"/>
        </w:tabs>
        <w:spacing w:line="480" w:lineRule="auto"/>
        <w:rPr>
          <w:rFonts w:ascii="仿宋" w:hAnsi="仿宋" w:eastAsia="仿宋" w:cs="仿宋"/>
          <w:sz w:val="28"/>
          <w:szCs w:val="28"/>
          <w:highlight w:val="none"/>
        </w:rPr>
      </w:pPr>
      <w:r>
        <w:rPr>
          <w:highlight w:val="none"/>
        </w:rPr>
        <w:fldChar w:fldCharType="begin"/>
      </w:r>
      <w:r>
        <w:rPr>
          <w:highlight w:val="none"/>
        </w:rPr>
        <w:instrText xml:space="preserve"> HYPERLINK \l "_Toc30437" </w:instrText>
      </w:r>
      <w:r>
        <w:rPr>
          <w:highlight w:val="none"/>
        </w:rPr>
        <w:fldChar w:fldCharType="separate"/>
      </w:r>
      <w:r>
        <w:rPr>
          <w:rFonts w:hint="eastAsia" w:ascii="仿宋" w:hAnsi="仿宋" w:eastAsia="仿宋" w:cs="仿宋"/>
          <w:sz w:val="28"/>
          <w:szCs w:val="28"/>
          <w:highlight w:val="none"/>
        </w:rPr>
        <w:t>第五部分 拟签订的合同文本</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_Toc30437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3"/>
        <w:tabs>
          <w:tab w:val="right" w:leader="dot" w:pos="9071"/>
        </w:tabs>
        <w:spacing w:line="480" w:lineRule="auto"/>
        <w:rPr>
          <w:rFonts w:ascii="仿宋" w:hAnsi="仿宋" w:eastAsia="仿宋" w:cs="仿宋"/>
          <w:sz w:val="28"/>
          <w:szCs w:val="28"/>
          <w:highlight w:val="none"/>
        </w:rPr>
      </w:pPr>
      <w:r>
        <w:rPr>
          <w:highlight w:val="none"/>
        </w:rPr>
        <w:fldChar w:fldCharType="begin"/>
      </w:r>
      <w:r>
        <w:rPr>
          <w:highlight w:val="none"/>
        </w:rPr>
        <w:instrText xml:space="preserve"> HYPERLINK \l "_Toc9348" </w:instrText>
      </w:r>
      <w:r>
        <w:rPr>
          <w:highlight w:val="none"/>
        </w:rPr>
        <w:fldChar w:fldCharType="separate"/>
      </w:r>
      <w:r>
        <w:rPr>
          <w:rFonts w:hint="eastAsia" w:ascii="仿宋" w:hAnsi="仿宋" w:eastAsia="仿宋" w:cs="仿宋"/>
          <w:sz w:val="28"/>
          <w:szCs w:val="28"/>
          <w:highlight w:val="none"/>
        </w:rPr>
        <w:t>第六部分 应提交的有关格式范例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_Toc9348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81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3"/>
        <w:tabs>
          <w:tab w:val="right" w:leader="dot" w:pos="9071"/>
        </w:tabs>
        <w:spacing w:line="480" w:lineRule="auto"/>
        <w:rPr>
          <w:rFonts w:ascii="仿宋" w:hAnsi="仿宋" w:eastAsia="仿宋" w:cs="仿宋"/>
          <w:sz w:val="28"/>
          <w:szCs w:val="28"/>
          <w:highlight w:val="none"/>
        </w:rPr>
      </w:pPr>
      <w:r>
        <w:rPr>
          <w:highlight w:val="none"/>
        </w:rPr>
        <w:fldChar w:fldCharType="begin"/>
      </w:r>
      <w:r>
        <w:rPr>
          <w:highlight w:val="none"/>
        </w:rPr>
        <w:instrText xml:space="preserve"> HYPERLINK \l "_Toc19751" </w:instrText>
      </w:r>
      <w:r>
        <w:rPr>
          <w:highlight w:val="none"/>
        </w:rPr>
        <w:fldChar w:fldCharType="separate"/>
      </w:r>
      <w:r>
        <w:rPr>
          <w:rFonts w:hint="eastAsia" w:ascii="仿宋" w:hAnsi="仿宋" w:eastAsia="仿宋" w:cs="仿宋"/>
          <w:sz w:val="28"/>
          <w:szCs w:val="28"/>
          <w:highlight w:val="none"/>
        </w:rPr>
        <w:t>附件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_Toc19751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3"/>
        <w:tabs>
          <w:tab w:val="right" w:leader="dot" w:pos="9071"/>
        </w:tabs>
        <w:rPr>
          <w:rFonts w:hint="default" w:ascii="仿宋" w:hAnsi="仿宋" w:eastAsia="仿宋" w:cs="仿宋"/>
          <w:highlight w:val="none"/>
          <w:lang w:val="en-US" w:eastAsia="zh-CN"/>
        </w:rPr>
      </w:pPr>
      <w:r>
        <w:rPr>
          <w:rFonts w:hint="eastAsia" w:ascii="仿宋" w:hAnsi="仿宋" w:eastAsia="仿宋" w:cs="仿宋"/>
          <w:highlight w:val="none"/>
          <w:lang w:val="en-US" w:eastAsia="zh-CN"/>
        </w:rPr>
        <w:t>附：图书馆建筑图</w:t>
      </w:r>
    </w:p>
    <w:p>
      <w:pPr>
        <w:pStyle w:val="61"/>
        <w:wordWrap w:val="0"/>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fldChar w:fldCharType="end"/>
      </w: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rPr>
          <w:rFonts w:ascii="仿宋" w:hAnsi="仿宋" w:eastAsia="仿宋" w:cs="仿宋"/>
          <w:sz w:val="24"/>
          <w:highlight w:val="none"/>
        </w:rPr>
      </w:pPr>
    </w:p>
    <w:p>
      <w:pPr>
        <w:wordWrap w:val="0"/>
        <w:adjustRightInd/>
        <w:spacing w:line="360" w:lineRule="auto"/>
        <w:jc w:val="center"/>
        <w:outlineLvl w:val="0"/>
        <w:rPr>
          <w:rFonts w:ascii="仿宋" w:hAnsi="仿宋" w:eastAsia="仿宋" w:cs="仿宋"/>
          <w:b/>
          <w:sz w:val="36"/>
          <w:szCs w:val="20"/>
          <w:highlight w:val="none"/>
        </w:rPr>
      </w:pPr>
      <w:bookmarkStart w:id="3" w:name="第一部分"/>
      <w:r>
        <w:rPr>
          <w:rFonts w:hint="eastAsia" w:ascii="仿宋" w:hAnsi="仿宋" w:eastAsia="仿宋" w:cs="仿宋"/>
          <w:b/>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_Toc31815"/>
      <w:bookmarkStart w:id="9" w:name="_Toc20857"/>
      <w:bookmarkStart w:id="10" w:name="_Toc18065"/>
      <w:bookmarkStart w:id="11" w:name="_Toc12153"/>
      <w:bookmarkStart w:id="12" w:name="_Toc597"/>
      <w:bookmarkStart w:id="13" w:name="_Toc22995"/>
      <w:bookmarkStart w:id="14" w:name="_Toc14735"/>
      <w:bookmarkStart w:id="15" w:name="第二部分"/>
      <w:bookmarkStart w:id="16" w:name="_Toc91899870"/>
      <w:bookmarkStart w:id="17" w:name="_Toc91899871"/>
      <w:r>
        <w:rPr>
          <w:rFonts w:hint="eastAsia" w:ascii="仿宋" w:hAnsi="仿宋" w:eastAsia="仿宋" w:cs="仿宋"/>
          <w:b/>
          <w:sz w:val="36"/>
          <w:szCs w:val="20"/>
          <w:highlight w:val="none"/>
        </w:rPr>
        <w:t>第一部分 招标公告</w:t>
      </w:r>
      <w:bookmarkEnd w:id="8"/>
      <w:bookmarkEnd w:id="9"/>
      <w:bookmarkEnd w:id="10"/>
      <w:bookmarkEnd w:id="11"/>
      <w:bookmarkEnd w:id="12"/>
      <w:bookmarkEnd w:id="13"/>
      <w:bookmarkEnd w:id="14"/>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u w:val="single"/>
        </w:rPr>
        <w:t>杭州学军中学桐庐学校竣工配套设施设备（图书馆）项目</w:t>
      </w:r>
      <w:r>
        <w:rPr>
          <w:rFonts w:hint="eastAsia" w:ascii="仿宋" w:hAnsi="仿宋" w:eastAsia="仿宋" w:cs="仿宋"/>
          <w:sz w:val="24"/>
          <w:highlight w:val="none"/>
        </w:rPr>
        <w:t>招标项目的潜在投标人应在政采云平台（</w:t>
      </w:r>
      <w:r>
        <w:rPr>
          <w:rFonts w:hint="eastAsia"/>
          <w:highlight w:val="none"/>
        </w:rPr>
        <w:fldChar w:fldCharType="begin"/>
      </w:r>
      <w:r>
        <w:rPr>
          <w:rFonts w:hint="eastAsia" w:ascii="仿宋" w:hAnsi="仿宋" w:eastAsia="仿宋" w:cs="仿宋"/>
          <w:highlight w:val="none"/>
        </w:rPr>
        <w:instrText xml:space="preserve"> HYPERLINK "https://www.zcygov.cn/）获取（下载）招标文件，并于2022年%20月%20日%20点%20分00秒" </w:instrText>
      </w:r>
      <w:r>
        <w:rPr>
          <w:rFonts w:hint="eastAsia"/>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0000FF"/>
          <w:kern w:val="2"/>
          <w:sz w:val="24"/>
          <w:szCs w:val="24"/>
          <w:highlight w:val="none"/>
        </w:rPr>
        <w:t>2024年4月  19日10点00分</w:t>
      </w:r>
      <w:r>
        <w:rPr>
          <w:rStyle w:val="76"/>
          <w:rFonts w:hint="eastAsia" w:ascii="仿宋" w:hAnsi="仿宋" w:eastAsia="仿宋" w:cs="仿宋"/>
          <w:bCs/>
          <w:snapToGrid/>
          <w:color w:val="0000FF"/>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 xml:space="preserve">一、项目基本情况                                            </w:t>
      </w:r>
    </w:p>
    <w:p>
      <w:pPr>
        <w:wordWrap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项目编号：</w:t>
      </w:r>
      <w:r>
        <w:rPr>
          <w:rFonts w:hint="eastAsia" w:ascii="仿宋" w:hAnsi="仿宋" w:eastAsia="仿宋" w:cs="仿宋"/>
          <w:sz w:val="24"/>
          <w:highlight w:val="none"/>
        </w:rPr>
        <w:t>HZGJ-XJZX2024-04</w:t>
      </w:r>
    </w:p>
    <w:p>
      <w:pPr>
        <w:wordWrap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项目名称：</w:t>
      </w:r>
      <w:bookmarkStart w:id="18" w:name="_Hlk91669529"/>
      <w:r>
        <w:rPr>
          <w:rFonts w:hint="eastAsia" w:ascii="仿宋" w:hAnsi="仿宋" w:eastAsia="仿宋" w:cs="仿宋"/>
          <w:sz w:val="24"/>
          <w:highlight w:val="none"/>
        </w:rPr>
        <w:t>杭州学军中学桐庐学校竣工配套设施设备（图书馆）项目</w:t>
      </w:r>
    </w:p>
    <w:bookmarkEnd w:id="18"/>
    <w:p>
      <w:pPr>
        <w:wordWrap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预算金额（元）：</w:t>
      </w:r>
      <w:r>
        <w:rPr>
          <w:rFonts w:hint="eastAsia" w:ascii="仿宋" w:hAnsi="仿宋" w:eastAsia="仿宋" w:cs="仿宋"/>
          <w:sz w:val="24"/>
          <w:highlight w:val="none"/>
        </w:rPr>
        <w:t>1500000</w:t>
      </w:r>
    </w:p>
    <w:p>
      <w:pPr>
        <w:wordWrap w:val="0"/>
        <w:spacing w:line="360" w:lineRule="auto"/>
        <w:ind w:firstLine="480"/>
        <w:rPr>
          <w:rFonts w:ascii="仿宋" w:hAnsi="仿宋" w:eastAsia="仿宋" w:cs="仿宋"/>
          <w:sz w:val="24"/>
          <w:highlight w:val="none"/>
        </w:rPr>
      </w:pPr>
      <w:r>
        <w:rPr>
          <w:rFonts w:hint="eastAsia" w:ascii="仿宋" w:hAnsi="仿宋" w:eastAsia="仿宋" w:cs="仿宋"/>
          <w:b/>
          <w:sz w:val="24"/>
          <w:highlight w:val="none"/>
        </w:rPr>
        <w:t>最高限价（元）：</w:t>
      </w:r>
      <w:r>
        <w:rPr>
          <w:rFonts w:hint="eastAsia" w:ascii="仿宋" w:hAnsi="仿宋" w:eastAsia="仿宋" w:cs="仿宋"/>
          <w:sz w:val="24"/>
          <w:highlight w:val="none"/>
        </w:rPr>
        <w:t xml:space="preserve">1500000 </w:t>
      </w:r>
    </w:p>
    <w:p>
      <w:pPr>
        <w:wordWrap w:val="0"/>
        <w:spacing w:line="360" w:lineRule="auto"/>
        <w:ind w:firstLine="482" w:firstLineChars="200"/>
        <w:rPr>
          <w:rFonts w:ascii="仿宋" w:hAnsi="仿宋" w:eastAsia="仿宋" w:cs="仿宋"/>
          <w:bCs/>
          <w:sz w:val="24"/>
          <w:highlight w:val="none"/>
        </w:rPr>
      </w:pPr>
      <w:r>
        <w:rPr>
          <w:rFonts w:hint="eastAsia" w:ascii="仿宋" w:hAnsi="仿宋" w:eastAsia="仿宋" w:cs="仿宋"/>
          <w:b/>
          <w:sz w:val="24"/>
          <w:highlight w:val="none"/>
        </w:rPr>
        <w:t>采购需求：</w:t>
      </w:r>
      <w:r>
        <w:rPr>
          <w:rFonts w:hint="eastAsia" w:ascii="仿宋" w:hAnsi="仿宋" w:eastAsia="仿宋" w:cs="仿宋"/>
          <w:sz w:val="24"/>
          <w:highlight w:val="none"/>
        </w:rPr>
        <w:t>杭州学军中学桐庐学校竣工配套设施设备（图书馆）项目的供货、安装、调试、验收、培训、质保及售后服务等，</w:t>
      </w:r>
      <w:r>
        <w:rPr>
          <w:rFonts w:hint="eastAsia" w:ascii="仿宋" w:hAnsi="仿宋" w:eastAsia="仿宋" w:cs="仿宋"/>
          <w:bCs/>
          <w:sz w:val="24"/>
          <w:highlight w:val="none"/>
        </w:rPr>
        <w:t>具体以招标文件“第三部分 采购需求”为准，供应商可点击本公告下方“浏览采购文件”查看采购需求。</w:t>
      </w:r>
    </w:p>
    <w:p>
      <w:pPr>
        <w:wordWrap w:val="0"/>
        <w:spacing w:line="360" w:lineRule="auto"/>
        <w:ind w:firstLine="482" w:firstLineChars="200"/>
        <w:rPr>
          <w:rFonts w:ascii="仿宋" w:hAnsi="仿宋" w:eastAsia="仿宋" w:cs="仿宋"/>
          <w:bCs/>
          <w:sz w:val="24"/>
          <w:highlight w:val="none"/>
        </w:rPr>
      </w:pPr>
      <w:r>
        <w:rPr>
          <w:rFonts w:hint="eastAsia" w:ascii="仿宋" w:hAnsi="仿宋" w:eastAsia="仿宋" w:cs="仿宋"/>
          <w:b/>
          <w:sz w:val="24"/>
          <w:highlight w:val="none"/>
        </w:rPr>
        <w:t>合同履约期限：</w:t>
      </w:r>
      <w:r>
        <w:rPr>
          <w:rFonts w:hint="eastAsia" w:ascii="仿宋" w:hAnsi="仿宋" w:eastAsia="仿宋" w:cs="仿宋"/>
          <w:sz w:val="24"/>
          <w:highlight w:val="none"/>
        </w:rPr>
        <w:t>合同签订生效之日起至履约验收通过之日。</w:t>
      </w:r>
    </w:p>
    <w:p>
      <w:pPr>
        <w:wordWrap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本项目（是）接受联合体投标。</w:t>
      </w:r>
    </w:p>
    <w:p>
      <w:pPr>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二、申请人的资格要求：</w:t>
      </w:r>
    </w:p>
    <w:p>
      <w:pPr>
        <w:wordWrap w:val="0"/>
        <w:spacing w:line="360" w:lineRule="auto"/>
        <w:ind w:firstLine="48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3"/>
        <w:keepNext w:val="0"/>
        <w:keepLines w:val="0"/>
        <w:ind w:left="0" w:firstLine="482" w:firstLineChars="200"/>
        <w:rPr>
          <w:rFonts w:ascii="仿宋" w:eastAsia="仿宋" w:cs="仿宋"/>
          <w:snapToGrid w:val="0"/>
          <w:kern w:val="28"/>
          <w:sz w:val="24"/>
          <w:szCs w:val="20"/>
          <w:highlight w:val="none"/>
        </w:rPr>
      </w:pPr>
      <w:r>
        <w:rPr>
          <w:rFonts w:hint="eastAsia" w:ascii="仿宋" w:eastAsia="仿宋" w:cs="仿宋"/>
          <w:snapToGrid w:val="0"/>
          <w:kern w:val="28"/>
          <w:sz w:val="24"/>
          <w:szCs w:val="20"/>
          <w:highlight w:val="none"/>
        </w:rPr>
        <w:t>2.</w:t>
      </w:r>
      <w:r>
        <w:rPr>
          <w:rFonts w:hint="eastAsia" w:ascii="仿宋" w:eastAsia="仿宋" w:cs="仿宋"/>
          <w:sz w:val="24"/>
          <w:highlight w:val="none"/>
        </w:rPr>
        <w:t>若联合体参加投标的，联合体成员均应满足资格要求，联合体成员不多于2个，项目负责人由牵头人派遣，并</w:t>
      </w:r>
      <w:r>
        <w:rPr>
          <w:rFonts w:hint="eastAsia" w:ascii="仿宋" w:eastAsia="仿宋" w:cs="仿宋"/>
          <w:snapToGrid w:val="0"/>
          <w:kern w:val="28"/>
          <w:sz w:val="24"/>
          <w:szCs w:val="20"/>
          <w:highlight w:val="none"/>
        </w:rPr>
        <w:t>提供联合协议。</w:t>
      </w:r>
    </w:p>
    <w:p>
      <w:pPr>
        <w:wordWrap w:val="0"/>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无；</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sym w:font="Wingdings 2" w:char="0052"/>
      </w:r>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wordWrap w:val="0"/>
        <w:spacing w:line="360" w:lineRule="auto"/>
        <w:ind w:firstLine="720" w:firstLineChars="300"/>
        <w:rPr>
          <w:rFonts w:ascii="仿宋" w:hAnsi="仿宋" w:eastAsia="仿宋" w:cs="仿宋"/>
          <w:sz w:val="24"/>
          <w:highlight w:val="none"/>
        </w:rPr>
      </w:pPr>
      <w:r>
        <w:rPr>
          <w:rFonts w:hint="eastAsia" w:ascii="仿宋" w:hAnsi="仿宋" w:eastAsia="仿宋" w:cs="仿宋"/>
          <w:kern w:val="0"/>
          <w:sz w:val="24"/>
          <w:highlight w:val="none"/>
        </w:rPr>
        <w:sym w:font="Wingdings 2" w:char="0052"/>
      </w:r>
      <w:r>
        <w:rPr>
          <w:rFonts w:hint="eastAsia" w:ascii="仿宋" w:hAnsi="仿宋" w:eastAsia="仿宋" w:cs="仿宋"/>
          <w:sz w:val="24"/>
          <w:highlight w:val="none"/>
        </w:rPr>
        <w:t>货物全部由符合政策要求的中小企业制造，其中小微企业合同金额应达到90%及以上，提供中小企业声明函；</w:t>
      </w:r>
    </w:p>
    <w:p>
      <w:pPr>
        <w:wordWrap w:val="0"/>
        <w:spacing w:line="360" w:lineRule="auto"/>
        <w:ind w:firstLine="720" w:firstLineChars="300"/>
        <w:rPr>
          <w:rFonts w:ascii="仿宋" w:hAnsi="仿宋" w:eastAsia="仿宋" w:cs="仿宋"/>
          <w:kern w:val="0"/>
          <w:sz w:val="24"/>
          <w:highlight w:val="none"/>
        </w:rPr>
      </w:pPr>
      <w:sdt>
        <w:sdtPr>
          <w:rPr>
            <w:rFonts w:hint="eastAsia" w:ascii="仿宋" w:hAnsi="仿宋" w:eastAsia="仿宋" w:cs="仿宋"/>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货物全部由符合政策要求的小微企业制造，提供中小企业声明函；</w:t>
      </w:r>
    </w:p>
    <w:p>
      <w:pPr>
        <w:wordWrap w:val="0"/>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20432597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highlight w:val="none"/>
        </w:rPr>
        <w:t>；</w:t>
      </w:r>
    </w:p>
    <w:p>
      <w:pPr>
        <w:wordWrap w:val="0"/>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如果供应商本身提供所有标的均由中小企业承接，视同符合了资格条件，无需再向中小企业分包，无需提供分包意向协议。</w:t>
      </w:r>
    </w:p>
    <w:p>
      <w:pPr>
        <w:spacing w:line="360" w:lineRule="auto"/>
        <w:ind w:firstLine="480" w:firstLineChars="200"/>
        <w:outlineLvl w:val="1"/>
        <w:rPr>
          <w:rFonts w:ascii="仿宋" w:hAnsi="仿宋" w:eastAsia="仿宋" w:cs="仿宋"/>
          <w:sz w:val="24"/>
          <w:highlight w:val="none"/>
        </w:rPr>
      </w:pPr>
      <w:r>
        <w:rPr>
          <w:rFonts w:hint="eastAsia" w:ascii="仿宋" w:hAnsi="仿宋" w:eastAsia="仿宋" w:cs="仿宋"/>
          <w:sz w:val="24"/>
          <w:highlight w:val="none"/>
        </w:rPr>
        <w:t>4.本项目的特定资格要求：无。</w:t>
      </w:r>
    </w:p>
    <w:p>
      <w:pPr>
        <w:numPr>
          <w:ilvl w:val="255"/>
          <w:numId w:val="0"/>
        </w:numPr>
        <w:wordWrap w:val="0"/>
        <w:spacing w:line="360" w:lineRule="auto"/>
        <w:ind w:firstLine="480" w:firstLineChars="200"/>
        <w:outlineLvl w:val="1"/>
        <w:rPr>
          <w:rFonts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wordWrap w:val="0"/>
        <w:adjustRightInd/>
        <w:spacing w:line="360" w:lineRule="auto"/>
        <w:jc w:val="left"/>
        <w:outlineLvl w:val="1"/>
        <w:rPr>
          <w:rFonts w:ascii="仿宋" w:hAnsi="仿宋" w:eastAsia="仿宋" w:cs="仿宋"/>
          <w:b/>
          <w:sz w:val="24"/>
          <w:highlight w:val="none"/>
        </w:rPr>
      </w:pPr>
      <w:r>
        <w:rPr>
          <w:rFonts w:hint="eastAsia" w:ascii="仿宋" w:hAnsi="仿宋" w:eastAsia="仿宋" w:cs="仿宋"/>
          <w:b/>
          <w:sz w:val="24"/>
          <w:highlight w:val="none"/>
        </w:rPr>
        <w:t xml:space="preserve">三、获取招标文件 </w:t>
      </w:r>
    </w:p>
    <w:p>
      <w:pPr>
        <w:wordWrap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color w:val="0000FF"/>
          <w:sz w:val="24"/>
          <w:highlight w:val="none"/>
        </w:rPr>
        <w:t>/至</w:t>
      </w:r>
      <w:r>
        <w:rPr>
          <w:rStyle w:val="76"/>
          <w:rFonts w:hint="eastAsia" w:ascii="仿宋" w:hAnsi="仿宋" w:eastAsia="仿宋" w:cs="仿宋"/>
          <w:snapToGrid/>
          <w:color w:val="0000FF"/>
          <w:kern w:val="2"/>
          <w:sz w:val="24"/>
          <w:szCs w:val="24"/>
          <w:highlight w:val="none"/>
        </w:rPr>
        <w:t>2024年4月19日</w:t>
      </w:r>
      <w:r>
        <w:rPr>
          <w:rFonts w:hint="eastAsia" w:ascii="仿宋" w:hAnsi="仿宋" w:eastAsia="仿宋" w:cs="仿宋"/>
          <w:sz w:val="24"/>
          <w:highlight w:val="none"/>
        </w:rPr>
        <w:t>，每天上午00:00至12:00 ，下午12:00至23:59（北京时间，线上获取法定节假日均可，线下获取文件法定节假日除外）</w:t>
      </w:r>
    </w:p>
    <w:p>
      <w:pPr>
        <w:wordWrap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pPr>
        <w:wordWrap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pPr>
        <w:wordWrap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wordWrap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Style w:val="76"/>
          <w:rFonts w:hint="eastAsia" w:ascii="仿宋" w:hAnsi="仿宋" w:eastAsia="仿宋" w:cs="仿宋"/>
          <w:snapToGrid/>
          <w:color w:val="0000FF"/>
          <w:kern w:val="2"/>
          <w:sz w:val="24"/>
          <w:szCs w:val="24"/>
          <w:highlight w:val="none"/>
        </w:rPr>
        <w:t>2024年4月19日10点00分</w:t>
      </w:r>
      <w:r>
        <w:rPr>
          <w:rStyle w:val="76"/>
          <w:rFonts w:hint="eastAsia" w:ascii="仿宋" w:hAnsi="仿宋" w:eastAsia="仿宋" w:cs="仿宋"/>
          <w:bCs/>
          <w:snapToGrid/>
          <w:color w:val="0000FF"/>
          <w:kern w:val="2"/>
          <w:sz w:val="24"/>
          <w:szCs w:val="24"/>
          <w:highlight w:val="none"/>
        </w:rPr>
        <w:t>00秒</w:t>
      </w:r>
      <w:r>
        <w:rPr>
          <w:rFonts w:hint="eastAsia" w:ascii="仿宋" w:hAnsi="仿宋" w:eastAsia="仿宋" w:cs="仿宋"/>
          <w:color w:val="0000FF"/>
          <w:sz w:val="24"/>
          <w:highlight w:val="none"/>
        </w:rPr>
        <w:t>（北京时间）</w:t>
      </w:r>
    </w:p>
    <w:p>
      <w:pPr>
        <w:wordWrap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pPr>
        <w:wordWrap w:val="0"/>
        <w:spacing w:line="360" w:lineRule="auto"/>
        <w:ind w:firstLine="482" w:firstLineChars="200"/>
        <w:rPr>
          <w:rFonts w:ascii="仿宋" w:hAnsi="仿宋" w:eastAsia="仿宋" w:cs="仿宋"/>
          <w:bCs/>
          <w:color w:val="0000FF"/>
          <w:sz w:val="24"/>
          <w:highlight w:val="none"/>
          <w:u w:val="single"/>
        </w:rPr>
      </w:pPr>
      <w:r>
        <w:rPr>
          <w:rFonts w:hint="eastAsia" w:ascii="仿宋" w:hAnsi="仿宋" w:eastAsia="仿宋" w:cs="仿宋"/>
          <w:b/>
          <w:sz w:val="24"/>
          <w:highlight w:val="none"/>
        </w:rPr>
        <w:t>开标时间：</w:t>
      </w:r>
      <w:r>
        <w:rPr>
          <w:rStyle w:val="76"/>
          <w:rFonts w:hint="eastAsia" w:ascii="仿宋" w:hAnsi="仿宋" w:eastAsia="仿宋" w:cs="仿宋"/>
          <w:snapToGrid/>
          <w:color w:val="0000FF"/>
          <w:kern w:val="2"/>
          <w:sz w:val="24"/>
          <w:szCs w:val="24"/>
          <w:highlight w:val="none"/>
        </w:rPr>
        <w:t>2024年4月19日10点00分</w:t>
      </w:r>
      <w:r>
        <w:rPr>
          <w:rStyle w:val="76"/>
          <w:rFonts w:hint="eastAsia" w:ascii="仿宋" w:hAnsi="仿宋" w:eastAsia="仿宋" w:cs="仿宋"/>
          <w:bCs/>
          <w:snapToGrid/>
          <w:color w:val="0000FF"/>
          <w:kern w:val="2"/>
          <w:sz w:val="24"/>
          <w:szCs w:val="24"/>
          <w:highlight w:val="none"/>
        </w:rPr>
        <w:t>00秒</w:t>
      </w:r>
    </w:p>
    <w:p>
      <w:pPr>
        <w:wordWrap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政采云平台（https://www.zcygov.cn/）；现场组织地点：杭州市滨江区滨安路1180号7幢2层楼212室。</w:t>
      </w:r>
    </w:p>
    <w:p>
      <w:pPr>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五、采购意向公开链接</w:t>
      </w:r>
    </w:p>
    <w:p>
      <w:pPr>
        <w:wordWrap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https://zfcg.czt.zj.gov.cn/site/detail?categoryCode=ZcyAnnouncement&amp;parentId=600007&amp;articleId=fCutlnE/4FjF/Psi8kj7zQ==&amp;utm=site.site-PC-36449.972-pc-websitegroup-zhejiang-mainSearchPage-front.1.40164750e98811eea32931249243faa1</w:t>
      </w:r>
    </w:p>
    <w:p>
      <w:pPr>
        <w:wordWrap w:val="0"/>
        <w:spacing w:line="360" w:lineRule="auto"/>
        <w:rPr>
          <w:rFonts w:ascii="仿宋" w:hAnsi="仿宋" w:eastAsia="仿宋" w:cs="仿宋"/>
          <w:sz w:val="24"/>
          <w:highlight w:val="none"/>
        </w:rPr>
      </w:pPr>
      <w:r>
        <w:rPr>
          <w:rFonts w:hint="eastAsia" w:ascii="仿宋" w:hAnsi="仿宋" w:eastAsia="仿宋" w:cs="仿宋"/>
          <w:b/>
          <w:sz w:val="24"/>
          <w:highlight w:val="none"/>
        </w:rPr>
        <w:t xml:space="preserve">六、公告期限 </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自本公告发布之日起5个工作日。</w:t>
      </w:r>
    </w:p>
    <w:p>
      <w:pPr>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七、其他补充事宜</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公告期限为发布之日起至</w:t>
      </w:r>
      <w:r>
        <w:rPr>
          <w:rFonts w:hint="eastAsia" w:ascii="仿宋" w:hAnsi="仿宋" w:eastAsia="仿宋" w:cs="仿宋"/>
          <w:color w:val="0000FF"/>
          <w:sz w:val="24"/>
          <w:highlight w:val="none"/>
        </w:rPr>
        <w:t>2024年4月8日</w:t>
      </w:r>
      <w:r>
        <w:rPr>
          <w:rFonts w:hint="eastAsia" w:ascii="仿宋" w:hAnsi="仿宋" w:eastAsia="仿宋" w:cs="仿宋"/>
          <w:sz w:val="24"/>
          <w:highlight w:val="none"/>
        </w:rPr>
        <w:t>。</w:t>
      </w:r>
    </w:p>
    <w:p>
      <w:pPr>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八、对本次采购提出询问、质疑、投诉，请按以下方式联系</w:t>
      </w:r>
    </w:p>
    <w:p>
      <w:pPr>
        <w:wordWrap w:val="0"/>
        <w:spacing w:line="440" w:lineRule="exact"/>
        <w:rPr>
          <w:rFonts w:ascii="仿宋" w:hAnsi="仿宋" w:eastAsia="仿宋" w:cs="仿宋"/>
          <w:sz w:val="24"/>
          <w:highlight w:val="none"/>
        </w:rPr>
      </w:pPr>
      <w:r>
        <w:rPr>
          <w:rFonts w:hint="eastAsia" w:ascii="仿宋" w:hAnsi="仿宋" w:eastAsia="仿宋" w:cs="仿宋"/>
          <w:sz w:val="24"/>
          <w:highlight w:val="none"/>
        </w:rPr>
        <w:t xml:space="preserve">    1.采购人信息</w:t>
      </w:r>
    </w:p>
    <w:p>
      <w:pPr>
        <w:wordWrap w:val="0"/>
        <w:spacing w:line="440" w:lineRule="exact"/>
        <w:ind w:firstLine="480" w:firstLineChars="200"/>
        <w:jc w:val="left"/>
        <w:rPr>
          <w:rFonts w:ascii="仿宋" w:hAnsi="仿宋" w:eastAsia="仿宋" w:cs="仿宋"/>
          <w:sz w:val="24"/>
          <w:highlight w:val="none"/>
          <w:lang w:val="zh-TW"/>
        </w:rPr>
      </w:pPr>
      <w:r>
        <w:rPr>
          <w:rFonts w:hint="eastAsia" w:ascii="仿宋" w:hAnsi="仿宋" w:eastAsia="仿宋" w:cs="仿宋"/>
          <w:sz w:val="24"/>
          <w:highlight w:val="none"/>
          <w:lang w:val="zh-TW" w:eastAsia="zh-TW"/>
        </w:rPr>
        <w:t>名</w:t>
      </w:r>
      <w:r>
        <w:rPr>
          <w:rFonts w:hint="eastAsia" w:ascii="仿宋" w:hAnsi="仿宋" w:eastAsia="仿宋" w:cs="仿宋"/>
          <w:sz w:val="24"/>
          <w:highlight w:val="none"/>
          <w:lang w:val="zh-TW"/>
        </w:rPr>
        <w:t xml:space="preserve"> </w:t>
      </w:r>
      <w:r>
        <w:rPr>
          <w:rFonts w:hint="eastAsia" w:ascii="仿宋" w:hAnsi="仿宋" w:eastAsia="仿宋" w:cs="仿宋"/>
          <w:sz w:val="24"/>
          <w:highlight w:val="none"/>
          <w:lang w:val="zh-TW" w:eastAsia="zh-TW"/>
        </w:rPr>
        <w:t xml:space="preserve">  称：</w:t>
      </w:r>
      <w:r>
        <w:rPr>
          <w:rFonts w:hint="eastAsia" w:ascii="仿宋" w:hAnsi="仿宋" w:eastAsia="仿宋" w:cs="仿宋"/>
          <w:sz w:val="24"/>
          <w:highlight w:val="none"/>
          <w:lang w:val="zh-TW"/>
        </w:rPr>
        <w:t>杭州学军中学桐庐学校</w:t>
      </w:r>
    </w:p>
    <w:p>
      <w:pPr>
        <w:wordWrap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TW"/>
        </w:rPr>
        <w:t xml:space="preserve">地 </w:t>
      </w:r>
      <w:r>
        <w:rPr>
          <w:rFonts w:hint="eastAsia" w:ascii="仿宋" w:hAnsi="仿宋" w:eastAsia="仿宋" w:cs="仿宋"/>
          <w:sz w:val="24"/>
          <w:highlight w:val="none"/>
          <w:lang w:val="zh-TW" w:eastAsia="zh-TW"/>
        </w:rPr>
        <w:t xml:space="preserve">  </w:t>
      </w:r>
      <w:r>
        <w:rPr>
          <w:rFonts w:hint="eastAsia" w:ascii="仿宋" w:hAnsi="仿宋" w:eastAsia="仿宋" w:cs="仿宋"/>
          <w:sz w:val="24"/>
          <w:highlight w:val="none"/>
          <w:lang w:val="zh-TW"/>
        </w:rPr>
        <w:t>址：</w:t>
      </w:r>
      <w:r>
        <w:rPr>
          <w:rFonts w:hint="eastAsia" w:ascii="仿宋" w:hAnsi="仿宋" w:eastAsia="仿宋" w:cs="仿宋"/>
          <w:sz w:val="24"/>
          <w:highlight w:val="none"/>
        </w:rPr>
        <w:t xml:space="preserve"> 桐庐县城南街道大奇山路与健康路交叉口</w:t>
      </w:r>
    </w:p>
    <w:p>
      <w:pPr>
        <w:wordWrap w:val="0"/>
        <w:spacing w:line="440" w:lineRule="exact"/>
        <w:ind w:firstLine="480" w:firstLineChars="200"/>
        <w:rPr>
          <w:rFonts w:ascii="仿宋" w:hAnsi="仿宋" w:eastAsia="仿宋" w:cs="仿宋"/>
          <w:sz w:val="24"/>
          <w:highlight w:val="none"/>
          <w:lang w:val="zh-TW" w:eastAsia="zh-TW"/>
        </w:rPr>
      </w:pPr>
      <w:r>
        <w:rPr>
          <w:rFonts w:hint="eastAsia" w:ascii="仿宋" w:hAnsi="仿宋" w:eastAsia="仿宋" w:cs="仿宋"/>
          <w:sz w:val="24"/>
          <w:highlight w:val="none"/>
          <w:lang w:val="zh-TW" w:eastAsia="zh-TW"/>
        </w:rPr>
        <w:t>项目联系人（询问）：</w:t>
      </w:r>
      <w:r>
        <w:rPr>
          <w:rFonts w:hint="eastAsia" w:ascii="仿宋" w:hAnsi="仿宋" w:eastAsia="仿宋" w:cs="仿宋"/>
          <w:sz w:val="24"/>
          <w:highlight w:val="none"/>
        </w:rPr>
        <w:t>黄老师</w:t>
      </w:r>
    </w:p>
    <w:p>
      <w:pPr>
        <w:wordWrap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TW" w:eastAsia="zh-TW"/>
        </w:rPr>
        <w:t>项目联系方式（询问）：</w:t>
      </w:r>
      <w:r>
        <w:rPr>
          <w:rFonts w:hint="eastAsia" w:ascii="仿宋" w:hAnsi="仿宋" w:eastAsia="仿宋" w:cs="仿宋"/>
          <w:sz w:val="24"/>
          <w:highlight w:val="none"/>
        </w:rPr>
        <w:t>0571-88497600</w:t>
      </w:r>
    </w:p>
    <w:p>
      <w:pPr>
        <w:wordWrap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TW" w:eastAsia="zh-TW"/>
        </w:rPr>
        <w:t>质疑联系人：</w:t>
      </w:r>
      <w:r>
        <w:rPr>
          <w:rFonts w:hint="eastAsia" w:ascii="仿宋" w:hAnsi="仿宋" w:eastAsia="仿宋" w:cs="仿宋"/>
          <w:sz w:val="24"/>
          <w:highlight w:val="none"/>
        </w:rPr>
        <w:t>张老师</w:t>
      </w:r>
    </w:p>
    <w:p>
      <w:pPr>
        <w:wordWrap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TW" w:eastAsia="zh-TW"/>
        </w:rPr>
        <w:t>质疑联系方式：</w:t>
      </w:r>
      <w:r>
        <w:rPr>
          <w:rFonts w:hint="eastAsia" w:ascii="仿宋" w:hAnsi="仿宋" w:eastAsia="仿宋" w:cs="仿宋"/>
          <w:sz w:val="24"/>
          <w:highlight w:val="none"/>
        </w:rPr>
        <w:t>0571-88497605</w:t>
      </w:r>
    </w:p>
    <w:p>
      <w:pPr>
        <w:wordWrap w:val="0"/>
        <w:spacing w:line="440" w:lineRule="exact"/>
        <w:rPr>
          <w:rFonts w:ascii="仿宋" w:hAnsi="仿宋" w:eastAsia="仿宋" w:cs="仿宋"/>
          <w:sz w:val="24"/>
          <w:highlight w:val="none"/>
        </w:rPr>
      </w:pPr>
      <w:r>
        <w:rPr>
          <w:rFonts w:hint="eastAsia" w:ascii="仿宋" w:hAnsi="仿宋" w:eastAsia="仿宋" w:cs="仿宋"/>
          <w:sz w:val="24"/>
          <w:highlight w:val="none"/>
        </w:rPr>
        <w:t xml:space="preserve">    2.采购代理机构信息            </w:t>
      </w:r>
    </w:p>
    <w:p>
      <w:pPr>
        <w:wordWrap w:val="0"/>
        <w:spacing w:line="440" w:lineRule="exact"/>
        <w:ind w:firstLine="480" w:firstLineChars="200"/>
        <w:rPr>
          <w:rFonts w:ascii="仿宋" w:hAnsi="仿宋" w:eastAsia="仿宋" w:cs="仿宋"/>
          <w:sz w:val="24"/>
          <w:highlight w:val="none"/>
          <w:lang w:val="zh-TW" w:eastAsia="zh-TW"/>
        </w:rPr>
      </w:pPr>
      <w:r>
        <w:rPr>
          <w:rFonts w:hint="eastAsia" w:ascii="仿宋" w:hAnsi="仿宋" w:eastAsia="仿宋" w:cs="仿宋"/>
          <w:sz w:val="24"/>
          <w:highlight w:val="none"/>
          <w:lang w:val="zh-TW" w:eastAsia="zh-TW"/>
        </w:rPr>
        <w:t>名 称：</w:t>
      </w:r>
      <w:r>
        <w:rPr>
          <w:rFonts w:hint="eastAsia" w:ascii="仿宋" w:hAnsi="仿宋" w:eastAsia="仿宋" w:cs="仿宋"/>
          <w:sz w:val="24"/>
          <w:highlight w:val="none"/>
          <w:lang w:val="zh-TW"/>
        </w:rPr>
        <w:t>杭州贯今工程咨询有限公司</w:t>
      </w:r>
      <w:r>
        <w:rPr>
          <w:rFonts w:hint="eastAsia" w:ascii="仿宋" w:hAnsi="仿宋" w:eastAsia="仿宋" w:cs="仿宋"/>
          <w:sz w:val="24"/>
          <w:highlight w:val="none"/>
          <w:lang w:val="zh-TW" w:eastAsia="zh-TW"/>
        </w:rPr>
        <w:t> 　　　　　　　　　　　</w:t>
      </w:r>
    </w:p>
    <w:p>
      <w:pPr>
        <w:wordWrap w:val="0"/>
        <w:spacing w:line="440" w:lineRule="exact"/>
        <w:ind w:firstLine="480" w:firstLineChars="200"/>
        <w:rPr>
          <w:rFonts w:ascii="仿宋" w:hAnsi="仿宋" w:eastAsia="仿宋" w:cs="仿宋"/>
          <w:sz w:val="24"/>
          <w:highlight w:val="none"/>
          <w:lang w:val="zh-TW" w:eastAsia="zh-TW"/>
        </w:rPr>
      </w:pPr>
      <w:r>
        <w:rPr>
          <w:rFonts w:hint="eastAsia" w:ascii="仿宋" w:hAnsi="仿宋" w:eastAsia="仿宋" w:cs="仿宋"/>
          <w:sz w:val="24"/>
          <w:highlight w:val="none"/>
          <w:lang w:val="zh-TW" w:eastAsia="zh-TW"/>
        </w:rPr>
        <w:t>地 址：</w:t>
      </w:r>
      <w:r>
        <w:rPr>
          <w:rFonts w:hint="eastAsia" w:ascii="仿宋" w:hAnsi="仿宋" w:eastAsia="仿宋" w:cs="仿宋"/>
          <w:sz w:val="24"/>
          <w:highlight w:val="none"/>
          <w:lang w:val="zh-TW"/>
        </w:rPr>
        <w:t>杭州市滨江区滨安路1180号7幢2层楼212室</w:t>
      </w:r>
      <w:r>
        <w:rPr>
          <w:rFonts w:hint="eastAsia" w:ascii="仿宋" w:hAnsi="仿宋" w:eastAsia="仿宋" w:cs="仿宋"/>
          <w:sz w:val="24"/>
          <w:highlight w:val="none"/>
          <w:lang w:val="zh-TW" w:eastAsia="zh-TW"/>
        </w:rPr>
        <w:t xml:space="preserve">  　   　</w:t>
      </w:r>
    </w:p>
    <w:p>
      <w:pPr>
        <w:wordWrap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TW" w:eastAsia="zh-TW"/>
        </w:rPr>
        <w:t>项目联系人（询问）：</w:t>
      </w:r>
      <w:r>
        <w:rPr>
          <w:rFonts w:hint="eastAsia" w:ascii="仿宋" w:hAnsi="仿宋" w:eastAsia="仿宋" w:cs="仿宋"/>
          <w:sz w:val="24"/>
          <w:highlight w:val="none"/>
          <w:lang w:val="zh-TW"/>
        </w:rPr>
        <w:t>吕若楠 求丽芳</w:t>
      </w:r>
      <w:r>
        <w:rPr>
          <w:rFonts w:hint="eastAsia" w:ascii="仿宋" w:hAnsi="仿宋" w:eastAsia="仿宋" w:cs="仿宋"/>
          <w:sz w:val="24"/>
          <w:highlight w:val="none"/>
          <w:lang w:val="zh-TW" w:eastAsia="zh-TW"/>
        </w:rPr>
        <w:t xml:space="preserve"> </w:t>
      </w:r>
      <w:r>
        <w:rPr>
          <w:rFonts w:hint="eastAsia" w:ascii="仿宋" w:hAnsi="仿宋" w:eastAsia="仿宋" w:cs="仿宋"/>
          <w:sz w:val="24"/>
          <w:highlight w:val="none"/>
        </w:rPr>
        <w:t xml:space="preserve"> </w:t>
      </w:r>
    </w:p>
    <w:p>
      <w:pPr>
        <w:wordWrap w:val="0"/>
        <w:spacing w:line="440" w:lineRule="exact"/>
        <w:ind w:firstLine="480" w:firstLineChars="200"/>
        <w:rPr>
          <w:rFonts w:ascii="仿宋" w:hAnsi="仿宋" w:eastAsia="仿宋" w:cs="仿宋"/>
          <w:sz w:val="24"/>
          <w:highlight w:val="none"/>
          <w:lang w:val="zh-TW"/>
        </w:rPr>
      </w:pPr>
      <w:r>
        <w:rPr>
          <w:rFonts w:hint="eastAsia" w:ascii="仿宋" w:hAnsi="仿宋" w:eastAsia="仿宋" w:cs="仿宋"/>
          <w:sz w:val="24"/>
          <w:highlight w:val="none"/>
          <w:lang w:val="zh-TW" w:eastAsia="zh-TW"/>
        </w:rPr>
        <w:t>项目联系方式（询问）：</w:t>
      </w:r>
      <w:r>
        <w:rPr>
          <w:rFonts w:hint="eastAsia" w:ascii="仿宋" w:hAnsi="仿宋" w:eastAsia="仿宋" w:cs="仿宋"/>
          <w:sz w:val="24"/>
          <w:highlight w:val="none"/>
        </w:rPr>
        <w:t>17767198122</w:t>
      </w:r>
    </w:p>
    <w:p>
      <w:pPr>
        <w:wordWrap w:val="0"/>
        <w:spacing w:line="440" w:lineRule="exact"/>
        <w:ind w:firstLine="480" w:firstLineChars="200"/>
        <w:rPr>
          <w:rFonts w:ascii="仿宋" w:hAnsi="仿宋" w:eastAsia="仿宋" w:cs="仿宋"/>
          <w:sz w:val="24"/>
          <w:highlight w:val="none"/>
          <w:lang w:val="zh-TW"/>
        </w:rPr>
      </w:pPr>
      <w:r>
        <w:rPr>
          <w:rFonts w:hint="eastAsia" w:ascii="仿宋" w:hAnsi="仿宋" w:eastAsia="仿宋" w:cs="仿宋"/>
          <w:sz w:val="24"/>
          <w:highlight w:val="none"/>
          <w:lang w:val="zh-TW" w:eastAsia="zh-TW"/>
        </w:rPr>
        <w:t>质疑联系人：</w:t>
      </w:r>
      <w:r>
        <w:rPr>
          <w:rFonts w:hint="eastAsia" w:ascii="仿宋" w:hAnsi="仿宋" w:eastAsia="仿宋" w:cs="仿宋"/>
          <w:sz w:val="24"/>
          <w:highlight w:val="none"/>
        </w:rPr>
        <w:t>程晨</w:t>
      </w:r>
    </w:p>
    <w:p>
      <w:pPr>
        <w:wordWrap w:val="0"/>
        <w:spacing w:line="440" w:lineRule="exact"/>
        <w:ind w:firstLine="480" w:firstLineChars="200"/>
        <w:rPr>
          <w:rFonts w:ascii="仿宋" w:hAnsi="仿宋" w:eastAsia="仿宋" w:cs="仿宋"/>
          <w:sz w:val="24"/>
          <w:highlight w:val="none"/>
          <w:lang w:val="zh-TW"/>
        </w:rPr>
      </w:pPr>
      <w:r>
        <w:rPr>
          <w:rFonts w:hint="eastAsia" w:ascii="仿宋" w:hAnsi="仿宋" w:eastAsia="仿宋" w:cs="仿宋"/>
          <w:sz w:val="24"/>
          <w:highlight w:val="none"/>
          <w:lang w:val="zh-TW" w:eastAsia="zh-TW"/>
        </w:rPr>
        <w:t>质疑联系方式：</w:t>
      </w:r>
      <w:r>
        <w:rPr>
          <w:rFonts w:hint="eastAsia" w:ascii="仿宋" w:hAnsi="仿宋" w:eastAsia="仿宋" w:cs="仿宋"/>
          <w:sz w:val="24"/>
          <w:highlight w:val="none"/>
        </w:rPr>
        <w:t>13346150286</w:t>
      </w:r>
    </w:p>
    <w:p>
      <w:pPr>
        <w:wordWrap w:val="0"/>
        <w:spacing w:line="44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 xml:space="preserve">3.同级政府采购监督管理部门            </w:t>
      </w:r>
    </w:p>
    <w:p>
      <w:pPr>
        <w:wordWrap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名 称：杭州市财政局政府采购监管处/浙江省政府采购行政裁决服务中心（杭州）　　地 址：杭州市上城区四季青街道新业路市民之家G03办公室 　　　　　　　　　　　传  真： /　   </w:t>
      </w:r>
    </w:p>
    <w:p>
      <w:pPr>
        <w:wordWrap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联系人 ：朱女士、王女士  　　　　　　　　　　　</w:t>
      </w:r>
    </w:p>
    <w:p>
      <w:pPr>
        <w:wordWrap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监督投诉电话：0571-85252453</w:t>
      </w:r>
    </w:p>
    <w:p>
      <w:pPr>
        <w:wordWrap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政策咨询：陈先生、厉先生，0571-89580460、89580456</w:t>
      </w:r>
    </w:p>
    <w:p>
      <w:pPr>
        <w:wordWrap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若对项目采购电子交易系统操作有疑问，可登录政采云（https://www.zcygov.cn/），点击右侧咨询小采，获取采小蜜智能服务管家帮助，或拨打政采云服务热线95763获取热线服务帮助。</w:t>
      </w:r>
    </w:p>
    <w:p>
      <w:pPr>
        <w:wordWrap w:val="0"/>
        <w:spacing w:line="440" w:lineRule="exact"/>
        <w:ind w:firstLine="480" w:firstLineChars="200"/>
        <w:rPr>
          <w:rFonts w:ascii="仿宋" w:hAnsi="仿宋" w:eastAsia="仿宋" w:cs="仿宋"/>
          <w:sz w:val="24"/>
          <w:highlight w:val="none"/>
        </w:rPr>
        <w:sectPr>
          <w:headerReference r:id="rId4" w:type="first"/>
          <w:footerReference r:id="rId7" w:type="first"/>
          <w:headerReference r:id="rId3" w:type="default"/>
          <w:footerReference r:id="rId5" w:type="default"/>
          <w:footerReference r:id="rId6" w:type="even"/>
          <w:pgSz w:w="11905" w:h="16838"/>
          <w:pgMar w:top="652" w:right="1417" w:bottom="680" w:left="1417" w:header="539" w:footer="425" w:gutter="0"/>
          <w:cols w:space="0" w:num="1"/>
          <w:titlePg/>
          <w:docGrid w:linePitch="312" w:charSpace="0"/>
        </w:sectPr>
      </w:pPr>
      <w:r>
        <w:rPr>
          <w:rFonts w:hint="eastAsia" w:ascii="仿宋" w:hAnsi="仿宋" w:eastAsia="仿宋" w:cs="仿宋"/>
          <w:sz w:val="24"/>
          <w:highlight w:val="none"/>
        </w:rPr>
        <w:t>CA问题联系电话（人工）：汇信CA 400-888-4636；天谷CA 400-087-8198。</w:t>
      </w:r>
    </w:p>
    <w:p>
      <w:pPr>
        <w:wordWrap w:val="0"/>
        <w:adjustRightInd/>
        <w:spacing w:line="360" w:lineRule="auto"/>
        <w:jc w:val="center"/>
        <w:outlineLvl w:val="0"/>
        <w:rPr>
          <w:rFonts w:ascii="仿宋" w:hAnsi="仿宋" w:eastAsia="仿宋" w:cs="仿宋"/>
          <w:b/>
          <w:sz w:val="36"/>
          <w:szCs w:val="20"/>
          <w:highlight w:val="none"/>
        </w:rPr>
      </w:pPr>
      <w:bookmarkStart w:id="19" w:name="_Toc26106"/>
      <w:bookmarkStart w:id="20" w:name="_Toc27972"/>
      <w:bookmarkStart w:id="21" w:name="_Toc24511"/>
      <w:bookmarkStart w:id="22" w:name="_Toc29805"/>
      <w:bookmarkStart w:id="23" w:name="_Toc24964"/>
      <w:bookmarkStart w:id="24" w:name="_Toc30254"/>
      <w:bookmarkStart w:id="25" w:name="_Toc25593"/>
      <w:r>
        <w:rPr>
          <w:rFonts w:hint="eastAsia" w:ascii="仿宋" w:hAnsi="仿宋" w:eastAsia="仿宋" w:cs="仿宋"/>
          <w:b/>
          <w:sz w:val="36"/>
          <w:szCs w:val="20"/>
          <w:highlight w:val="none"/>
        </w:rPr>
        <w:t>第二部分</w:t>
      </w:r>
      <w:bookmarkEnd w:id="15"/>
      <w:r>
        <w:rPr>
          <w:rFonts w:hint="eastAsia" w:ascii="仿宋" w:hAnsi="仿宋" w:eastAsia="仿宋" w:cs="仿宋"/>
          <w:b/>
          <w:sz w:val="36"/>
          <w:szCs w:val="20"/>
          <w:highlight w:val="none"/>
        </w:rPr>
        <w:t xml:space="preserve"> 投标人须知</w:t>
      </w:r>
      <w:bookmarkEnd w:id="16"/>
      <w:bookmarkEnd w:id="19"/>
      <w:bookmarkEnd w:id="20"/>
      <w:bookmarkEnd w:id="21"/>
      <w:bookmarkEnd w:id="22"/>
      <w:bookmarkEnd w:id="23"/>
      <w:bookmarkEnd w:id="24"/>
      <w:bookmarkEnd w:id="25"/>
    </w:p>
    <w:p>
      <w:pPr>
        <w:wordWrap w:val="0"/>
        <w:snapToGrid w:val="0"/>
        <w:spacing w:line="360" w:lineRule="auto"/>
        <w:jc w:val="center"/>
        <w:rPr>
          <w:rFonts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sz w:val="24"/>
                <w:highlight w:val="none"/>
              </w:rPr>
            </w:pPr>
            <w:r>
              <w:rPr>
                <w:rFonts w:hint="eastAsia" w:ascii="仿宋" w:hAnsi="仿宋" w:eastAsia="仿宋" w:cs="仿宋"/>
                <w:bCs/>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highlight w:val="none"/>
              </w:rPr>
            </w:pPr>
            <w:r>
              <w:rPr>
                <w:rFonts w:hint="eastAsia" w:ascii="仿宋" w:hAnsi="仿宋" w:eastAsia="仿宋" w:cs="仿宋"/>
                <w:sz w:val="24"/>
                <w:highlight w:val="none"/>
              </w:rPr>
              <w:t>货物类，</w:t>
            </w:r>
            <w:r>
              <w:rPr>
                <w:rFonts w:hint="eastAsia" w:ascii="仿宋" w:hAnsi="仿宋" w:eastAsia="仿宋" w:cs="仿宋"/>
                <w:kern w:val="0"/>
                <w:sz w:val="24"/>
                <w:highlight w:val="none"/>
              </w:rPr>
              <w:t>核心产品为：</w:t>
            </w:r>
            <w:r>
              <w:rPr>
                <w:rFonts w:hint="eastAsia" w:ascii="仿宋" w:hAnsi="仿宋" w:eastAsia="仿宋" w:cs="仿宋"/>
                <w:kern w:val="0"/>
                <w:sz w:val="24"/>
                <w:highlight w:val="none"/>
              </w:rPr>
              <w:t>见“</w:t>
            </w:r>
            <w:r>
              <w:rPr>
                <w:rFonts w:hint="eastAsia" w:ascii="仿宋" w:hAnsi="仿宋" w:eastAsia="仿宋" w:cs="仿宋"/>
                <w:b/>
                <w:bCs/>
                <w:kern w:val="0"/>
                <w:sz w:val="24"/>
                <w:szCs w:val="24"/>
                <w:highlight w:val="none"/>
              </w:rPr>
              <w:t>第三部分 采购需求”中四、项目采购清单和参数要求中的★产品</w:t>
            </w:r>
            <w:r>
              <w:rPr>
                <w:rFonts w:hint="eastAsia" w:ascii="仿宋" w:hAnsi="仿宋" w:eastAsia="仿宋" w:cs="仿宋"/>
                <w:b/>
                <w:kern w:val="0"/>
                <w:sz w:val="24"/>
                <w:highlight w:val="none"/>
                <w:u w:val="single"/>
              </w:rPr>
              <w:t xml:space="preserve"> </w:t>
            </w: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sz w:val="24"/>
                <w:highlight w:val="none"/>
              </w:rPr>
            </w:pPr>
            <w:r>
              <w:rPr>
                <w:rFonts w:hint="eastAsia" w:ascii="仿宋" w:hAnsi="仿宋" w:eastAsia="仿宋" w:cs="仿宋"/>
                <w:bCs/>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标的：</w:t>
            </w:r>
            <w:r>
              <w:rPr>
                <w:rFonts w:hint="eastAsia" w:ascii="仿宋" w:hAnsi="仿宋" w:eastAsia="仿宋" w:cs="仿宋"/>
                <w:kern w:val="0"/>
                <w:sz w:val="24"/>
                <w:highlight w:val="none"/>
                <w:u w:val="single"/>
              </w:rPr>
              <w:t xml:space="preserve">杭州学军中学桐庐学校竣工配套设施设备（图书馆）项目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工业（制造）</w:t>
            </w:r>
            <w:r>
              <w:rPr>
                <w:rFonts w:hint="eastAsia" w:ascii="仿宋" w:hAnsi="仿宋" w:eastAsia="仿宋" w:cs="仿宋"/>
                <w:kern w:val="0"/>
                <w:sz w:val="24"/>
                <w:highlight w:val="none"/>
              </w:rPr>
              <w:t>行业；</w:t>
            </w:r>
          </w:p>
          <w:p>
            <w:pPr>
              <w:wordWrap w:val="0"/>
              <w:snapToGrid w:val="0"/>
              <w:rPr>
                <w:rFonts w:ascii="仿宋" w:hAnsi="仿宋" w:eastAsia="仿宋" w:cs="仿宋"/>
                <w:highlight w:val="none"/>
              </w:rPr>
            </w:pPr>
            <w:r>
              <w:rPr>
                <w:rFonts w:hint="eastAsia" w:ascii="仿宋" w:hAnsi="仿宋" w:eastAsia="仿宋" w:cs="仿宋"/>
                <w:kern w:val="0"/>
                <w:sz w:val="24"/>
                <w:highlight w:val="none"/>
                <w:u w:val="single"/>
              </w:rPr>
              <w:t>工业（制造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sz w:val="24"/>
                <w:highlight w:val="none"/>
              </w:rPr>
            </w:pPr>
            <w:r>
              <w:rPr>
                <w:rFonts w:hint="eastAsia" w:ascii="仿宋" w:hAnsi="仿宋" w:eastAsia="仿宋" w:cs="仿宋"/>
                <w:bCs/>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是否允许采购</w:t>
            </w:r>
          </w:p>
          <w:p>
            <w:pPr>
              <w:wordWrap w:val="0"/>
              <w:snapToGrid w:val="0"/>
              <w:spacing w:line="360" w:lineRule="exact"/>
              <w:jc w:val="center"/>
              <w:rPr>
                <w:rFonts w:ascii="仿宋" w:hAnsi="仿宋" w:eastAsia="仿宋" w:cs="仿宋"/>
                <w:bCs/>
                <w:sz w:val="24"/>
                <w:highlight w:val="none"/>
              </w:rPr>
            </w:pPr>
            <w:r>
              <w:rPr>
                <w:rFonts w:hint="eastAsia" w:ascii="仿宋" w:hAnsi="仿宋" w:eastAsia="仿宋" w:cs="仿宋"/>
                <w:b/>
                <w:sz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rPr>
                <w:rFonts w:ascii="仿宋" w:hAnsi="仿宋" w:eastAsia="仿宋" w:cs="仿宋"/>
                <w:kern w:val="0"/>
                <w:sz w:val="24"/>
                <w:highlight w:val="none"/>
              </w:rPr>
            </w:pPr>
            <w:sdt>
              <w:sdtPr>
                <w:rPr>
                  <w:rFonts w:hint="eastAsia" w:ascii="仿宋" w:hAnsi="仿宋" w:eastAsia="仿宋" w:cs="仿宋"/>
                  <w:kern w:val="0"/>
                  <w:sz w:val="24"/>
                  <w:highlight w:val="none"/>
                </w:rPr>
                <w:id w:val="-24241932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Wingdings" w:hAnsi="Wingdings" w:eastAsia="仿宋" w:cs="仿宋"/>
                    <w:kern w:val="0"/>
                    <w:sz w:val="24"/>
                    <w:highlight w:val="none"/>
                  </w:rPr>
                  <w:t></w:t>
                </w:r>
              </w:sdtContent>
            </w:sdt>
            <w:r>
              <w:rPr>
                <w:rFonts w:hint="eastAsia" w:ascii="仿宋" w:hAnsi="仿宋" w:eastAsia="仿宋" w:cs="仿宋"/>
                <w:kern w:val="0"/>
                <w:sz w:val="24"/>
                <w:highlight w:val="none"/>
              </w:rPr>
              <w:t>本项目不允许采购进口产品。</w:t>
            </w:r>
          </w:p>
          <w:p>
            <w:pPr>
              <w:wordWrap w:val="0"/>
              <w:snapToGrid w:val="0"/>
              <w:spacing w:line="360" w:lineRule="exact"/>
              <w:rPr>
                <w:rFonts w:ascii="仿宋" w:hAnsi="仿宋" w:eastAsia="仿宋" w:cs="仿宋"/>
                <w:kern w:val="0"/>
                <w:sz w:val="24"/>
                <w:highlight w:val="none"/>
              </w:rPr>
            </w:pPr>
            <w:sdt>
              <w:sdtPr>
                <w:rPr>
                  <w:rFonts w:hint="eastAsia" w:ascii="仿宋" w:hAnsi="仿宋" w:eastAsia="仿宋" w:cs="仿宋"/>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可以采购进口产品。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sz w:val="24"/>
                <w:highlight w:val="none"/>
              </w:rPr>
            </w:pPr>
            <w:r>
              <w:rPr>
                <w:rFonts w:hint="eastAsia" w:ascii="仿宋" w:hAnsi="仿宋" w:eastAsia="仿宋" w:cs="仿宋"/>
                <w:bCs/>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highlight w:val="none"/>
              </w:rPr>
            </w:pPr>
            <w:sdt>
              <w:sdtPr>
                <w:rPr>
                  <w:rFonts w:hint="eastAsia" w:ascii="仿宋" w:hAnsi="仿宋" w:eastAsia="仿宋" w:cs="仿宋"/>
                  <w:kern w:val="0"/>
                  <w:sz w:val="24"/>
                  <w:highlight w:val="none"/>
                </w:rPr>
                <w:id w:val="2021194472"/>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同</w:t>
            </w:r>
            <w:r>
              <w:rPr>
                <w:rFonts w:hint="eastAsia" w:ascii="仿宋" w:hAnsi="仿宋" w:eastAsia="仿宋" w:cs="仿宋"/>
                <w:sz w:val="24"/>
                <w:highlight w:val="none"/>
              </w:rPr>
              <w:t>意分包，同意将非主体、非关键性工作分包。（若非主体、非关键性工作已由联合体成员承担的，则不允许分包。）</w:t>
            </w:r>
          </w:p>
          <w:p>
            <w:pPr>
              <w:wordWrap w:val="0"/>
              <w:spacing w:line="360" w:lineRule="exact"/>
              <w:rPr>
                <w:rFonts w:ascii="仿宋" w:hAnsi="仿宋" w:eastAsia="仿宋" w:cs="仿宋"/>
                <w:sz w:val="24"/>
                <w:highlight w:val="none"/>
              </w:rPr>
            </w:pPr>
            <w:r>
              <w:rPr>
                <w:rFonts w:hint="eastAsia" w:ascii="仿宋" w:hAnsi="仿宋" w:eastAsia="仿宋" w:cs="仿宋"/>
                <w:sz w:val="24"/>
                <w:highlight w:val="none"/>
              </w:rPr>
              <w:t>☐非联合体参加的，同意将“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”分包。</w:t>
            </w:r>
          </w:p>
          <w:p>
            <w:pPr>
              <w:wordWrap w:val="0"/>
              <w:spacing w:line="360" w:lineRule="exact"/>
              <w:rPr>
                <w:rFonts w:ascii="仿宋" w:hAnsi="仿宋" w:eastAsia="仿宋" w:cs="仿宋"/>
                <w:sz w:val="24"/>
                <w:highlight w:val="none"/>
              </w:rPr>
            </w:pPr>
            <w:r>
              <w:rPr>
                <w:rFonts w:hint="eastAsia" w:ascii="仿宋" w:hAnsi="仿宋" w:eastAsia="仿宋" w:cs="仿宋"/>
                <w:sz w:val="24"/>
                <w:highlight w:val="none"/>
              </w:rPr>
              <w:t>☐不同意分包。</w:t>
            </w:r>
          </w:p>
          <w:p>
            <w:pPr>
              <w:wordWrap w:val="0"/>
              <w:spacing w:line="360" w:lineRule="exact"/>
              <w:rPr>
                <w:rFonts w:ascii="仿宋" w:hAnsi="仿宋" w:eastAsia="仿宋" w:cs="仿宋"/>
                <w:sz w:val="24"/>
                <w:highlight w:val="none"/>
              </w:rPr>
            </w:pPr>
            <w:r>
              <w:rPr>
                <w:rFonts w:hint="eastAsia" w:ascii="仿宋" w:hAnsi="仿宋" w:eastAsia="仿宋" w:cs="仿宋"/>
                <w:sz w:val="24"/>
                <w:highlight w:val="none"/>
              </w:rPr>
              <w:t>▲注：分包份额不得超过总包单位。投标人中标后以分包方式履行合同的，提供分包意向协议（附件7）；不以分包方式履行合同的，则无需提供。不得限制大中型企业向小微企业合理分包。</w:t>
            </w:r>
            <w:r>
              <w:rPr>
                <w:rFonts w:hint="eastAsia" w:ascii="仿宋" w:hAnsi="仿宋" w:eastAsia="仿宋" w:cs="仿宋"/>
                <w:sz w:val="24"/>
                <w:highlight w:val="none"/>
                <w:lang w:bidi="ar"/>
              </w:rPr>
              <w:sym w:font="Wingdings" w:char="00FE"/>
            </w:r>
            <w:r>
              <w:rPr>
                <w:rFonts w:hint="eastAsia" w:ascii="仿宋" w:hAnsi="仿宋" w:eastAsia="仿宋" w:cs="仿宋"/>
                <w:sz w:val="24"/>
                <w:highlight w:val="none"/>
                <w:lang w:bidi="ar"/>
              </w:rPr>
              <w:t>本项目专门面向</w:t>
            </w:r>
            <w:r>
              <w:rPr>
                <w:rFonts w:hint="eastAsia" w:ascii="仿宋" w:hAnsi="仿宋" w:eastAsia="仿宋" w:cs="仿宋"/>
                <w:sz w:val="24"/>
                <w:highlight w:val="none"/>
                <w:u w:val="single"/>
                <w:lang w:bidi="ar"/>
              </w:rPr>
              <w:t xml:space="preserve"> 中小 </w:t>
            </w:r>
            <w:r>
              <w:rPr>
                <w:rFonts w:hint="eastAsia" w:ascii="仿宋" w:hAnsi="仿宋" w:eastAsia="仿宋" w:cs="仿宋"/>
                <w:sz w:val="24"/>
                <w:highlight w:val="none"/>
                <w:lang w:bidi="ar"/>
              </w:rPr>
              <w:t>企业采购，分包单位必须为</w:t>
            </w:r>
            <w:r>
              <w:rPr>
                <w:rFonts w:hint="eastAsia" w:ascii="仿宋" w:hAnsi="仿宋" w:eastAsia="仿宋" w:cs="仿宋"/>
                <w:sz w:val="24"/>
                <w:highlight w:val="none"/>
                <w:u w:val="single"/>
                <w:lang w:bidi="ar"/>
              </w:rPr>
              <w:t xml:space="preserve">  /  </w:t>
            </w:r>
            <w:r>
              <w:rPr>
                <w:rFonts w:hint="eastAsia" w:ascii="仿宋" w:hAnsi="仿宋" w:eastAsia="仿宋" w:cs="仿宋"/>
                <w:sz w:val="24"/>
                <w:highlight w:val="none"/>
                <w:lang w:bidi="ar"/>
              </w:rPr>
              <w:t>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sz w:val="24"/>
                <w:highlight w:val="none"/>
              </w:rPr>
            </w:pPr>
            <w:r>
              <w:rPr>
                <w:rFonts w:hint="eastAsia" w:ascii="仿宋" w:hAnsi="仿宋" w:eastAsia="仿宋" w:cs="仿宋"/>
                <w:bCs/>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highlight w:val="none"/>
              </w:rPr>
            </w:pPr>
            <w:sdt>
              <w:sdtPr>
                <w:rPr>
                  <w:rFonts w:hint="eastAsia" w:ascii="仿宋" w:hAnsi="仿宋" w:eastAsia="仿宋" w:cs="仿宋"/>
                  <w:kern w:val="0"/>
                  <w:sz w:val="24"/>
                  <w:highlight w:val="none"/>
                </w:rPr>
                <w:id w:val="213700383"/>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pPr>
              <w:wordWrap w:val="0"/>
              <w:spacing w:line="360" w:lineRule="exact"/>
              <w:rPr>
                <w:rFonts w:ascii="仿宋" w:hAnsi="仿宋" w:eastAsia="仿宋" w:cs="仿宋"/>
                <w:sz w:val="24"/>
                <w:highlight w:val="none"/>
              </w:rPr>
            </w:pPr>
            <w:sdt>
              <w:sdtPr>
                <w:rPr>
                  <w:rFonts w:hint="eastAsia" w:ascii="仿宋" w:hAnsi="仿宋" w:eastAsia="仿宋" w:cs="仿宋"/>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highlight w:val="none"/>
              </w:rPr>
            </w:pPr>
            <w:sdt>
              <w:sdtPr>
                <w:rPr>
                  <w:rFonts w:hint="eastAsia" w:ascii="仿宋" w:hAnsi="仿宋" w:eastAsia="仿宋" w:cs="仿宋"/>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Wingdings" w:hAnsi="Wingdings" w:eastAsia="仿宋" w:cs="仿宋"/>
                    <w:kern w:val="0"/>
                    <w:sz w:val="24"/>
                    <w:highlight w:val="none"/>
                  </w:rPr>
                  <w:t></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pPr>
              <w:wordWrap w:val="0"/>
              <w:spacing w:line="360" w:lineRule="exact"/>
              <w:rPr>
                <w:rFonts w:ascii="仿宋" w:hAnsi="仿宋" w:eastAsia="仿宋" w:cs="仿宋"/>
                <w:kern w:val="0"/>
                <w:sz w:val="24"/>
                <w:highlight w:val="none"/>
              </w:rPr>
            </w:pPr>
            <w:sdt>
              <w:sdtPr>
                <w:rPr>
                  <w:rFonts w:hint="eastAsia" w:ascii="仿宋" w:hAnsi="仿宋" w:eastAsia="仿宋" w:cs="仿宋"/>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B要求提供，</w:t>
            </w:r>
          </w:p>
          <w:p>
            <w:pPr>
              <w:wordWrap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sz w:val="24"/>
                <w:highlight w:val="none"/>
                <w:u w:val="single"/>
              </w:rPr>
              <w:t xml:space="preserve"> / </w:t>
            </w:r>
            <w:r>
              <w:rPr>
                <w:rFonts w:hint="eastAsia" w:ascii="仿宋" w:hAnsi="仿宋" w:eastAsia="仿宋" w:cs="仿宋"/>
                <w:kern w:val="0"/>
                <w:sz w:val="24"/>
                <w:highlight w:val="none"/>
              </w:rPr>
              <w:t>；</w:t>
            </w:r>
          </w:p>
          <w:p>
            <w:pPr>
              <w:wordWrap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sz w:val="24"/>
                <w:highlight w:val="none"/>
                <w:u w:val="single"/>
              </w:rPr>
              <w:t xml:space="preserve"> 详见“第三部分 采购需求”</w:t>
            </w:r>
            <w:r>
              <w:rPr>
                <w:rFonts w:hint="eastAsia" w:ascii="仿宋" w:hAnsi="仿宋" w:eastAsia="仿宋" w:cs="仿宋"/>
                <w:kern w:val="0"/>
                <w:sz w:val="24"/>
                <w:highlight w:val="none"/>
              </w:rPr>
              <w:t>；</w:t>
            </w:r>
          </w:p>
          <w:p>
            <w:pPr>
              <w:wordWrap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评标办法</w:t>
            </w:r>
            <w:r>
              <w:rPr>
                <w:rFonts w:hint="eastAsia" w:ascii="仿宋" w:hAnsi="仿宋" w:eastAsia="仿宋" w:cs="仿宋"/>
                <w:kern w:val="0"/>
                <w:sz w:val="24"/>
                <w:highlight w:val="none"/>
              </w:rPr>
              <w:t>；</w:t>
            </w:r>
          </w:p>
          <w:p>
            <w:pPr>
              <w:wordWrap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sdt>
              <w:sdtPr>
                <w:rPr>
                  <w:rFonts w:hint="eastAsia" w:ascii="仿宋" w:hAnsi="仿宋" w:eastAsia="仿宋" w:cs="仿宋"/>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Wingdings" w:hAnsi="Wingdings" w:eastAsia="仿宋" w:cs="仿宋"/>
                    <w:kern w:val="0"/>
                    <w:sz w:val="24"/>
                    <w:highlight w:val="none"/>
                  </w:rPr>
                  <w:t></w:t>
                </w:r>
              </w:sdtContent>
            </w:sdt>
            <w:r>
              <w:rPr>
                <w:rFonts w:hint="eastAsia" w:ascii="仿宋" w:hAnsi="仿宋" w:eastAsia="仿宋" w:cs="仿宋"/>
                <w:kern w:val="0"/>
                <w:sz w:val="24"/>
                <w:highlight w:val="none"/>
              </w:rPr>
              <w:t>否；</w:t>
            </w:r>
            <w:sdt>
              <w:sdtPr>
                <w:rPr>
                  <w:rFonts w:hint="eastAsia" w:ascii="仿宋" w:hAnsi="仿宋" w:eastAsia="仿宋" w:cs="仿宋"/>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pPr>
              <w:wordWrap w:val="0"/>
              <w:spacing w:line="360" w:lineRule="exact"/>
              <w:rPr>
                <w:rFonts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u w:val="single"/>
              </w:rPr>
              <w:t>投标文件递交截止时间前递交，递交时间以送达接受时间为准</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kern w:val="0"/>
                <w:sz w:val="24"/>
                <w:highlight w:val="none"/>
                <w:u w:val="single"/>
              </w:rPr>
              <w:t>杭州市滨江区滨安路1180号7幢2层楼212室</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程工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17767198122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pPr>
              <w:wordWrap w:val="0"/>
              <w:spacing w:line="360" w:lineRule="exact"/>
              <w:rPr>
                <w:rFonts w:ascii="仿宋" w:hAnsi="仿宋" w:eastAsia="仿宋" w:cs="仿宋"/>
                <w:sz w:val="24"/>
                <w:highlight w:val="none"/>
              </w:rPr>
            </w:pPr>
            <w:r>
              <w:rPr>
                <w:rFonts w:hint="eastAsia" w:ascii="仿宋" w:hAnsi="仿宋" w:eastAsia="仿宋" w:cs="仿宋"/>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wordWrap w:val="0"/>
              <w:spacing w:line="360" w:lineRule="exact"/>
              <w:rPr>
                <w:rFonts w:ascii="仿宋" w:hAnsi="仿宋" w:eastAsia="仿宋" w:cs="仿宋"/>
                <w:sz w:val="24"/>
                <w:highlight w:val="none"/>
              </w:rPr>
            </w:pPr>
            <w:r>
              <w:rPr>
                <w:rFonts w:hint="eastAsia" w:ascii="仿宋" w:hAnsi="仿宋" w:eastAsia="仿宋" w:cs="仿宋"/>
                <w:sz w:val="24"/>
                <w:highlight w:val="none"/>
              </w:rPr>
              <w:t>（7）制作、运输、安装和保管样品所发生的一切费用由投标人自理。</w:t>
            </w:r>
          </w:p>
          <w:p>
            <w:pPr>
              <w:wordWrap w:val="0"/>
              <w:spacing w:line="360" w:lineRule="exact"/>
              <w:rPr>
                <w:rFonts w:ascii="仿宋" w:hAnsi="仿宋" w:eastAsia="仿宋" w:cs="仿宋"/>
                <w:kern w:val="0"/>
                <w:sz w:val="24"/>
                <w:highlight w:val="none"/>
              </w:rPr>
            </w:pPr>
            <w:r>
              <w:rPr>
                <w:rFonts w:hint="eastAsia" w:ascii="仿宋" w:hAnsi="仿宋" w:eastAsia="仿宋" w:cs="仿宋"/>
                <w:sz w:val="24"/>
                <w:highlight w:val="none"/>
              </w:rPr>
              <w:t>（8）未提供样品或提供样品明显不符合招标文件技术要求的，该项样品得分按0分计。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功能演示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highlight w:val="none"/>
              </w:rPr>
            </w:pPr>
            <w:sdt>
              <w:sdtPr>
                <w:rPr>
                  <w:rFonts w:hint="eastAsia" w:ascii="仿宋" w:hAnsi="仿宋" w:eastAsia="仿宋" w:cs="仿宋"/>
                  <w:kern w:val="0"/>
                  <w:sz w:val="24"/>
                  <w:highlight w:val="none"/>
                </w:rPr>
                <w:id w:val="-1859348549"/>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pPr>
              <w:wordWrap w:val="0"/>
              <w:spacing w:line="360" w:lineRule="exact"/>
              <w:rPr>
                <w:rFonts w:ascii="仿宋" w:hAnsi="仿宋" w:eastAsia="仿宋" w:cs="仿宋"/>
                <w:kern w:val="0"/>
                <w:sz w:val="24"/>
                <w:highlight w:val="none"/>
              </w:rPr>
            </w:pPr>
            <w:sdt>
              <w:sdtPr>
                <w:rPr>
                  <w:rFonts w:hint="eastAsia" w:ascii="仿宋" w:hAnsi="仿宋" w:eastAsia="仿宋" w:cs="仿宋"/>
                  <w:kern w:val="0"/>
                  <w:sz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Wingdings" w:hAnsi="Wingdings" w:eastAsia="仿宋" w:cs="仿宋"/>
                    <w:kern w:val="0"/>
                    <w:sz w:val="24"/>
                    <w:highlight w:val="none"/>
                  </w:rPr>
                  <w:t></w:t>
                </w:r>
              </w:sdtContent>
            </w:sdt>
            <w:r>
              <w:rPr>
                <w:rFonts w:hint="eastAsia" w:ascii="仿宋" w:hAnsi="仿宋" w:eastAsia="仿宋" w:cs="仿宋"/>
                <w:kern w:val="0"/>
                <w:sz w:val="24"/>
                <w:highlight w:val="none"/>
              </w:rPr>
              <w:t>B组织。</w:t>
            </w:r>
          </w:p>
          <w:p>
            <w:pPr>
              <w:wordWrap w:val="0"/>
              <w:snapToGrid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（1）在评标时安排每个投标人进行</w:t>
            </w:r>
            <w:r>
              <w:rPr>
                <w:rFonts w:hint="eastAsia" w:ascii="仿宋" w:hAnsi="仿宋" w:eastAsia="仿宋" w:cs="仿宋"/>
                <w:kern w:val="0"/>
                <w:sz w:val="24"/>
                <w:highlight w:val="none"/>
                <w:u w:val="single"/>
              </w:rPr>
              <w:t xml:space="preserve"> 设备</w:t>
            </w:r>
            <w:r>
              <w:rPr>
                <w:rFonts w:hint="eastAsia" w:ascii="仿宋" w:hAnsi="仿宋" w:eastAsia="仿宋" w:cs="仿宋"/>
                <w:sz w:val="24"/>
                <w:highlight w:val="none"/>
                <w:u w:val="single"/>
              </w:rPr>
              <w:t>功能</w:t>
            </w:r>
            <w:r>
              <w:rPr>
                <w:rFonts w:hint="eastAsia" w:ascii="仿宋" w:hAnsi="仿宋" w:eastAsia="仿宋" w:cs="仿宋"/>
                <w:kern w:val="0"/>
                <w:sz w:val="24"/>
                <w:highlight w:val="none"/>
              </w:rPr>
              <w:t>演示。每个投标人时间不超过</w:t>
            </w:r>
            <w:r>
              <w:rPr>
                <w:rFonts w:hint="eastAsia" w:ascii="仿宋" w:hAnsi="仿宋" w:eastAsia="仿宋" w:cs="仿宋"/>
                <w:kern w:val="0"/>
                <w:sz w:val="24"/>
                <w:highlight w:val="none"/>
                <w:u w:val="single"/>
              </w:rPr>
              <w:t xml:space="preserve"> 15</w:t>
            </w:r>
            <w:r>
              <w:rPr>
                <w:rFonts w:hint="eastAsia" w:ascii="仿宋" w:hAnsi="仿宋" w:eastAsia="仿宋" w:cs="仿宋"/>
                <w:kern w:val="0"/>
                <w:sz w:val="24"/>
                <w:highlight w:val="none"/>
              </w:rPr>
              <w:t>分钟，讲解次序以投标文件解密时间先后次序为准，讲解演示人员不超过</w:t>
            </w:r>
            <w:r>
              <w:rPr>
                <w:rFonts w:hint="eastAsia" w:ascii="仿宋" w:hAnsi="仿宋" w:eastAsia="仿宋" w:cs="仿宋"/>
                <w:kern w:val="0"/>
                <w:sz w:val="24"/>
                <w:highlight w:val="none"/>
                <w:u w:val="single"/>
              </w:rPr>
              <w:t xml:space="preserve"> 3</w:t>
            </w:r>
            <w:r>
              <w:rPr>
                <w:rFonts w:hint="eastAsia" w:ascii="仿宋" w:hAnsi="仿宋" w:eastAsia="仿宋" w:cs="仿宋"/>
                <w:kern w:val="0"/>
                <w:sz w:val="24"/>
                <w:highlight w:val="none"/>
              </w:rPr>
              <w:t>人。讲解演示结束后按要求解答评标委员会提问。</w:t>
            </w:r>
          </w:p>
          <w:p>
            <w:pPr>
              <w:wordWrap w:val="0"/>
              <w:snapToGrid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（2）方案讲解演示按以下方式</w:t>
            </w:r>
            <w:r>
              <w:rPr>
                <w:rFonts w:hint="eastAsia" w:ascii="仿宋" w:hAnsi="仿宋" w:eastAsia="仿宋" w:cs="仿宋"/>
                <w:kern w:val="0"/>
                <w:sz w:val="24"/>
                <w:highlight w:val="none"/>
                <w:u w:val="single"/>
              </w:rPr>
              <w:t xml:space="preserve"> 二 </w:t>
            </w:r>
            <w:r>
              <w:rPr>
                <w:rFonts w:hint="eastAsia" w:ascii="仿宋" w:hAnsi="仿宋" w:eastAsia="仿宋" w:cs="仿宋"/>
                <w:kern w:val="0"/>
                <w:sz w:val="24"/>
                <w:highlight w:val="none"/>
              </w:rPr>
              <w:t>：</w:t>
            </w:r>
          </w:p>
          <w:p>
            <w:pPr>
              <w:wordWrap w:val="0"/>
              <w:snapToGrid w:val="0"/>
              <w:rPr>
                <w:rFonts w:ascii="仿宋" w:hAnsi="仿宋" w:eastAsia="仿宋" w:cs="仿宋"/>
                <w:kern w:val="0"/>
                <w:sz w:val="24"/>
                <w:highlight w:val="none"/>
              </w:rPr>
            </w:pPr>
            <w:r>
              <w:rPr>
                <w:rFonts w:hint="eastAsia" w:ascii="仿宋" w:hAnsi="仿宋" w:eastAsia="仿宋" w:cs="仿宋"/>
                <w:kern w:val="0"/>
                <w:sz w:val="24"/>
                <w:highlight w:val="none"/>
              </w:rPr>
              <w:t>方式一：政采云平台在线讲解演示。政采云平台在线讲解需投标人根据政采云平台操作要求做好准备工作，提前完善软硬件配置环境。</w:t>
            </w:r>
          </w:p>
          <w:p>
            <w:pPr>
              <w:rPr>
                <w:rFonts w:ascii="仿宋" w:hAnsi="仿宋" w:eastAsia="仿宋" w:cs="仿宋"/>
                <w:b/>
                <w:bCs/>
                <w:kern w:val="0"/>
                <w:sz w:val="24"/>
                <w:highlight w:val="none"/>
              </w:rPr>
            </w:pPr>
            <w:r>
              <w:rPr>
                <w:rFonts w:hint="eastAsia" w:ascii="仿宋" w:hAnsi="仿宋" w:eastAsia="仿宋" w:cs="仿宋"/>
                <w:b/>
                <w:bCs/>
                <w:kern w:val="0"/>
                <w:sz w:val="24"/>
                <w:highlight w:val="none"/>
              </w:rPr>
              <w:t>方式二：代理机构评标场所现场操作演示。现场演示地点为</w:t>
            </w:r>
            <w:r>
              <w:rPr>
                <w:rFonts w:hint="eastAsia" w:ascii="仿宋" w:hAnsi="仿宋" w:eastAsia="仿宋" w:cs="仿宋"/>
                <w:b/>
                <w:bCs/>
                <w:kern w:val="0"/>
                <w:sz w:val="24"/>
                <w:highlight w:val="none"/>
                <w:u w:val="single"/>
              </w:rPr>
              <w:t>杭州市滨江区滨安路1180号7幢2层楼212室</w:t>
            </w:r>
            <w:r>
              <w:rPr>
                <w:rFonts w:hint="eastAsia" w:ascii="仿宋" w:hAnsi="仿宋" w:eastAsia="仿宋" w:cs="仿宋"/>
                <w:b/>
                <w:bCs/>
                <w:sz w:val="24"/>
                <w:highlight w:val="none"/>
                <w:u w:val="single"/>
              </w:rPr>
              <w:t>评标室</w:t>
            </w:r>
            <w:r>
              <w:rPr>
                <w:rFonts w:hint="eastAsia" w:ascii="仿宋" w:hAnsi="仿宋" w:eastAsia="仿宋" w:cs="仿宋"/>
                <w:b/>
                <w:bCs/>
                <w:kern w:val="0"/>
                <w:sz w:val="24"/>
                <w:highlight w:val="none"/>
              </w:rPr>
              <w:t>，演示所用电脑等设备由投标人自备。</w:t>
            </w:r>
            <w:r>
              <w:rPr>
                <w:rFonts w:hint="eastAsia" w:ascii="仿宋" w:hAnsi="仿宋" w:eastAsia="仿宋" w:cs="仿宋"/>
                <w:b/>
                <w:bCs/>
                <w:sz w:val="24"/>
                <w:highlight w:val="none"/>
              </w:rPr>
              <w:t>现场演示人员(不超过三人)进场时提供讲解人员名单（加盖公章）、身份证明，否则不得进场讲解演示。</w:t>
            </w:r>
          </w:p>
          <w:p>
            <w:pPr>
              <w:rPr>
                <w:rFonts w:ascii="仿宋" w:hAnsi="仿宋" w:eastAsia="仿宋" w:cs="仿宋"/>
                <w:b/>
                <w:bCs/>
                <w:sz w:val="24"/>
                <w:highlight w:val="none"/>
              </w:rPr>
            </w:pPr>
            <w:r>
              <w:rPr>
                <w:rFonts w:hint="eastAsia" w:ascii="仿宋" w:hAnsi="仿宋" w:eastAsia="仿宋" w:cs="仿宋"/>
                <w:b/>
                <w:bCs/>
                <w:sz w:val="24"/>
                <w:highlight w:val="none"/>
              </w:rPr>
              <w:t>等候地点：</w:t>
            </w:r>
            <w:r>
              <w:rPr>
                <w:rFonts w:hint="eastAsia" w:ascii="仿宋" w:hAnsi="仿宋" w:eastAsia="仿宋" w:cs="仿宋"/>
                <w:b/>
                <w:bCs/>
                <w:sz w:val="24"/>
                <w:highlight w:val="none"/>
                <w:lang w:val="zh-TW"/>
              </w:rPr>
              <w:t>杭州市滨江区滨安路1180号7幢2层楼212室</w:t>
            </w:r>
            <w:r>
              <w:rPr>
                <w:rFonts w:hint="eastAsia" w:ascii="仿宋" w:hAnsi="仿宋" w:eastAsia="仿宋" w:cs="仿宋"/>
                <w:b/>
                <w:bCs/>
                <w:sz w:val="24"/>
                <w:highlight w:val="none"/>
              </w:rPr>
              <w:t>（建议开标时间前到达）。</w:t>
            </w:r>
          </w:p>
          <w:p>
            <w:pPr>
              <w:wordWrap w:val="0"/>
              <w:snapToGrid w:val="0"/>
              <w:rPr>
                <w:rFonts w:ascii="仿宋" w:hAnsi="仿宋" w:eastAsia="仿宋" w:cs="仿宋"/>
                <w:b/>
                <w:bCs/>
                <w:kern w:val="0"/>
                <w:sz w:val="24"/>
                <w:highlight w:val="none"/>
              </w:rPr>
            </w:pPr>
            <w:r>
              <w:rPr>
                <w:rFonts w:hint="eastAsia" w:ascii="仿宋" w:hAnsi="仿宋" w:eastAsia="仿宋" w:cs="仿宋"/>
                <w:b/>
                <w:bCs/>
                <w:sz w:val="24"/>
                <w:highlight w:val="none"/>
              </w:rPr>
              <w:t>演示时间：评标期间（开标结束后进入评标），具体时间以现场口头通知为准。代理工作人员在</w:t>
            </w:r>
            <w:r>
              <w:rPr>
                <w:rFonts w:hint="eastAsia" w:ascii="仿宋" w:hAnsi="仿宋" w:eastAsia="仿宋" w:cs="仿宋"/>
                <w:b/>
                <w:bCs/>
                <w:sz w:val="24"/>
                <w:highlight w:val="none"/>
                <w:lang w:val="zh-TW"/>
              </w:rPr>
              <w:t>杭州市滨江区滨安路1180号7幢2层楼212室</w:t>
            </w:r>
            <w:r>
              <w:rPr>
                <w:rFonts w:hint="eastAsia" w:ascii="仿宋" w:hAnsi="仿宋" w:eastAsia="仿宋" w:cs="仿宋"/>
                <w:b/>
                <w:bCs/>
                <w:sz w:val="24"/>
                <w:highlight w:val="none"/>
              </w:rPr>
              <w:t>口头通知演示人员，并在工作人员的带领下进入演示地点，若口头通知后5分钟内未到达</w:t>
            </w:r>
            <w:r>
              <w:rPr>
                <w:rFonts w:hint="eastAsia" w:ascii="仿宋" w:hAnsi="仿宋" w:eastAsia="仿宋" w:cs="仿宋"/>
                <w:b/>
                <w:bCs/>
                <w:sz w:val="24"/>
                <w:highlight w:val="none"/>
                <w:lang w:val="zh-TW"/>
              </w:rPr>
              <w:t>杭州市滨江区滨安路1180号7幢2层楼212室</w:t>
            </w:r>
            <w:r>
              <w:rPr>
                <w:rFonts w:hint="eastAsia" w:ascii="仿宋" w:hAnsi="仿宋" w:eastAsia="仿宋" w:cs="仿宋"/>
                <w:b/>
                <w:bCs/>
                <w:sz w:val="24"/>
                <w:highlight w:val="none"/>
              </w:rPr>
              <w:t>的，视为放弃讲解。</w:t>
            </w:r>
          </w:p>
          <w:p>
            <w:pPr>
              <w:wordWrap w:val="0"/>
              <w:snapToGrid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方式三：采用视频录制方式，用U盘介质储存快递或邮寄至代理机构（公告中列明的地址），视频中演示人应出示身份证。未派遣投标文件中的</w:t>
            </w:r>
            <w:r>
              <w:rPr>
                <w:rFonts w:hint="eastAsia" w:ascii="仿宋" w:hAnsi="仿宋" w:eastAsia="仿宋" w:cs="仿宋"/>
                <w:kern w:val="0"/>
                <w:sz w:val="24"/>
                <w:highlight w:val="none"/>
                <w:u w:val="single"/>
              </w:rPr>
              <w:t>项目组人员</w:t>
            </w:r>
            <w:r>
              <w:rPr>
                <w:rFonts w:hint="eastAsia" w:ascii="仿宋" w:hAnsi="仿宋" w:eastAsia="仿宋" w:cs="仿宋"/>
                <w:kern w:val="0"/>
                <w:sz w:val="24"/>
                <w:highlight w:val="none"/>
              </w:rPr>
              <w:t>进行演示讲解或未提供身份证明的，评分项不得分。若因U盘损坏或打不开则按视为未提交。</w:t>
            </w:r>
          </w:p>
          <w:p>
            <w:pPr>
              <w:wordWrap w:val="0"/>
              <w:snapToGrid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方式四：采用现场钉钉直播演示的。开标后，演示人请加钉钉号</w:t>
            </w:r>
            <w:r>
              <w:rPr>
                <w:rFonts w:hint="eastAsia" w:ascii="仿宋" w:hAnsi="仿宋" w:eastAsia="仿宋" w:cs="仿宋"/>
                <w:kern w:val="0"/>
                <w:sz w:val="24"/>
                <w:highlight w:val="none"/>
                <w:u w:val="single"/>
              </w:rPr>
              <w:t xml:space="preserve"> /  </w:t>
            </w:r>
            <w:r>
              <w:rPr>
                <w:rFonts w:hint="eastAsia" w:ascii="仿宋" w:hAnsi="仿宋" w:eastAsia="仿宋" w:cs="仿宋"/>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pPr>
              <w:wordWrap w:val="0"/>
              <w:spacing w:line="360" w:lineRule="exact"/>
              <w:rPr>
                <w:rFonts w:ascii="仿宋" w:hAnsi="仿宋" w:eastAsia="仿宋" w:cs="仿宋"/>
                <w:sz w:val="24"/>
                <w:highlight w:val="none"/>
              </w:rPr>
            </w:pPr>
            <w:r>
              <w:rPr>
                <w:rFonts w:hint="eastAsia" w:ascii="仿宋" w:hAnsi="仿宋" w:eastAsia="仿宋" w:cs="仿宋"/>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000000" w:sz="8" w:space="0"/>
              <w:right w:val="single" w:color="000000" w:sz="2" w:space="0"/>
            </w:tcBorders>
            <w:vAlign w:val="center"/>
          </w:tcPr>
          <w:p>
            <w:pPr>
              <w:wordWrap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1843" w:type="dxa"/>
            <w:vMerge w:val="restart"/>
            <w:tcBorders>
              <w:top w:val="single" w:color="000000" w:sz="8" w:space="0"/>
              <w:left w:val="single" w:color="000000" w:sz="2"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投标人应当提供的资格、资信证明文件</w:t>
            </w:r>
          </w:p>
          <w:p>
            <w:pPr>
              <w:wordWrap w:val="0"/>
              <w:snapToGrid w:val="0"/>
              <w:spacing w:line="360" w:lineRule="exact"/>
              <w:jc w:val="center"/>
              <w:rPr>
                <w:rFonts w:ascii="仿宋" w:hAnsi="仿宋" w:eastAsia="仿宋" w:cs="仿宋"/>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napToGrid w:val="0"/>
                <w:kern w:val="0"/>
                <w:sz w:val="24"/>
                <w:highlight w:val="none"/>
              </w:rPr>
            </w:pPr>
            <w:r>
              <w:rPr>
                <w:rFonts w:hint="eastAsia" w:ascii="仿宋" w:hAnsi="仿宋" w:eastAsia="仿宋" w:cs="仿宋"/>
                <w:sz w:val="24"/>
                <w:highlight w:val="none"/>
              </w:rPr>
              <w:t>（1）资格证明文件：见招标文件第二部分11.1。</w:t>
            </w: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highlight w:val="none"/>
              </w:rPr>
            </w:pPr>
            <w:r>
              <w:rPr>
                <w:rFonts w:hint="eastAsia" w:ascii="仿宋" w:hAnsi="仿宋" w:eastAsia="仿宋" w:cs="仿宋"/>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highlight w:val="none"/>
              </w:rPr>
            </w:pPr>
            <w:r>
              <w:rPr>
                <w:rFonts w:hint="eastAsia" w:ascii="仿宋" w:hAnsi="仿宋" w:eastAsia="仿宋" w:cs="仿宋"/>
                <w:snapToGrid w:val="0"/>
                <w:kern w:val="28"/>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强制采购的节能产品为</w:t>
            </w:r>
            <w:r>
              <w:rPr>
                <w:rFonts w:hint="eastAsia" w:ascii="仿宋" w:hAnsi="仿宋" w:eastAsia="仿宋" w:cs="仿宋"/>
                <w:snapToGrid w:val="0"/>
                <w:kern w:val="28"/>
                <w:sz w:val="24"/>
                <w:highlight w:val="none"/>
                <w:u w:val="single"/>
              </w:rPr>
              <w:t xml:space="preserve"> / </w:t>
            </w:r>
            <w:r>
              <w:rPr>
                <w:rFonts w:hint="eastAsia" w:ascii="仿宋" w:hAnsi="仿宋" w:eastAsia="仿宋" w:cs="仿宋"/>
                <w:snapToGrid w:val="0"/>
                <w:kern w:val="28"/>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有关本项目实施所需的所有费用（含税费）均计入报价，包括但不限于踏勘费、</w:t>
            </w:r>
            <w:r>
              <w:rPr>
                <w:rFonts w:hint="eastAsia" w:ascii="仿宋" w:hAnsi="仿宋" w:eastAsia="仿宋" w:cs="仿宋"/>
                <w:kern w:val="0"/>
                <w:sz w:val="24"/>
                <w:highlight w:val="none"/>
              </w:rPr>
              <w:t>材料</w:t>
            </w:r>
            <w:r>
              <w:rPr>
                <w:rFonts w:hint="eastAsia" w:ascii="仿宋" w:hAnsi="仿宋" w:eastAsia="仿宋" w:cs="仿宋"/>
                <w:kern w:val="0"/>
                <w:sz w:val="24"/>
                <w:highlight w:val="none"/>
                <w:lang w:val="zh-CN"/>
              </w:rPr>
              <w:t>设备费、</w:t>
            </w:r>
            <w:r>
              <w:rPr>
                <w:rFonts w:hint="eastAsia" w:ascii="仿宋" w:hAnsi="仿宋" w:eastAsia="仿宋" w:cs="仿宋"/>
                <w:kern w:val="0"/>
                <w:sz w:val="24"/>
                <w:highlight w:val="none"/>
              </w:rPr>
              <w:t>运杂</w:t>
            </w:r>
            <w:r>
              <w:rPr>
                <w:rFonts w:hint="eastAsia" w:ascii="仿宋" w:hAnsi="仿宋" w:eastAsia="仿宋" w:cs="仿宋"/>
                <w:kern w:val="0"/>
                <w:sz w:val="24"/>
                <w:highlight w:val="none"/>
                <w:lang w:val="zh-CN"/>
              </w:rPr>
              <w:t>费、安装</w:t>
            </w:r>
            <w:r>
              <w:rPr>
                <w:rFonts w:hint="eastAsia" w:ascii="仿宋" w:hAnsi="仿宋" w:eastAsia="仿宋" w:cs="仿宋"/>
                <w:kern w:val="0"/>
                <w:sz w:val="24"/>
                <w:highlight w:val="none"/>
              </w:rPr>
              <w:t>费</w:t>
            </w:r>
            <w:r>
              <w:rPr>
                <w:rFonts w:hint="eastAsia" w:ascii="仿宋" w:hAnsi="仿宋" w:eastAsia="仿宋" w:cs="仿宋"/>
                <w:kern w:val="0"/>
                <w:sz w:val="24"/>
                <w:highlight w:val="none"/>
                <w:lang w:val="zh-CN"/>
              </w:rPr>
              <w:t>、调试费、试运行费、</w:t>
            </w:r>
            <w:r>
              <w:rPr>
                <w:rFonts w:hint="eastAsia" w:ascii="仿宋" w:hAnsi="仿宋" w:eastAsia="仿宋" w:cs="仿宋"/>
                <w:kern w:val="0"/>
                <w:sz w:val="24"/>
                <w:highlight w:val="none"/>
              </w:rPr>
              <w:t>验收</w:t>
            </w:r>
            <w:r>
              <w:rPr>
                <w:rFonts w:hint="eastAsia" w:ascii="仿宋" w:hAnsi="仿宋" w:eastAsia="仿宋" w:cs="仿宋"/>
                <w:kern w:val="0"/>
                <w:sz w:val="24"/>
                <w:highlight w:val="none"/>
                <w:lang w:val="zh-CN"/>
              </w:rPr>
              <w:t>费、售后及质保服务费、总包配合费、管理费、利润、税金等。</w:t>
            </w: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lang w:val="zh-CN"/>
              </w:rPr>
              <w:t>本项目还应包括场地及原有设备的保护措施费、现场安装施工组织（含安全文明施工）措施费等。</w:t>
            </w:r>
          </w:p>
          <w:p>
            <w:pPr>
              <w:wordWrap w:val="0"/>
              <w:snapToGrid w:val="0"/>
              <w:spacing w:line="360" w:lineRule="exact"/>
              <w:jc w:val="left"/>
              <w:rPr>
                <w:rFonts w:ascii="仿宋" w:hAnsi="仿宋" w:eastAsia="仿宋" w:cs="仿宋"/>
                <w:kern w:val="0"/>
                <w:sz w:val="24"/>
                <w:highlight w:val="none"/>
                <w:lang w:val="zh-CN"/>
              </w:rPr>
            </w:pPr>
            <w:r>
              <w:rPr>
                <w:rFonts w:hint="eastAsia" w:ascii="仿宋" w:hAnsi="仿宋" w:eastAsia="仿宋" w:cs="仿宋"/>
                <w:b/>
                <w:bCs/>
                <w:kern w:val="0"/>
                <w:sz w:val="24"/>
                <w:highlight w:val="none"/>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pPr>
              <w:widowControl/>
              <w:wordWrap w:val="0"/>
              <w:snapToGrid w:val="0"/>
              <w:spacing w:line="360" w:lineRule="exact"/>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提醒：</w:t>
            </w:r>
            <w:r>
              <w:rPr>
                <w:rFonts w:hint="eastAsia" w:ascii="仿宋" w:hAnsi="仿宋" w:eastAsia="仿宋" w:cs="仿宋"/>
                <w:b/>
                <w:kern w:val="0"/>
                <w:sz w:val="24"/>
                <w:highlight w:val="none"/>
                <w:lang w:val="zh-CN"/>
              </w:rPr>
              <w:sym w:font="Wingdings" w:char="00A8"/>
            </w:r>
            <w:r>
              <w:rPr>
                <w:rFonts w:hint="eastAsia" w:ascii="仿宋" w:hAnsi="仿宋" w:eastAsia="仿宋" w:cs="仿宋"/>
                <w:b/>
                <w:kern w:val="0"/>
                <w:sz w:val="24"/>
                <w:highlight w:val="none"/>
                <w:lang w:val="zh-CN"/>
              </w:rPr>
              <w:t>本项目履约验收时委托第三方</w:t>
            </w:r>
            <w:r>
              <w:rPr>
                <w:rFonts w:hint="eastAsia" w:ascii="仿宋" w:hAnsi="仿宋" w:eastAsia="仿宋" w:cs="仿宋"/>
                <w:b/>
                <w:kern w:val="0"/>
                <w:sz w:val="24"/>
                <w:highlight w:val="none"/>
              </w:rPr>
              <w:t>检测/测量</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首次</w:t>
            </w:r>
            <w:r>
              <w:rPr>
                <w:rFonts w:hint="eastAsia" w:ascii="仿宋" w:hAnsi="仿宋" w:eastAsia="仿宋" w:cs="仿宋"/>
                <w:b/>
                <w:kern w:val="0"/>
                <w:sz w:val="24"/>
                <w:highlight w:val="none"/>
                <w:lang w:val="zh-CN"/>
              </w:rPr>
              <w:t>验收时</w:t>
            </w:r>
            <w:r>
              <w:rPr>
                <w:rFonts w:hint="eastAsia" w:ascii="仿宋" w:hAnsi="仿宋" w:eastAsia="仿宋" w:cs="仿宋"/>
                <w:b/>
                <w:kern w:val="0"/>
                <w:sz w:val="24"/>
                <w:highlight w:val="none"/>
              </w:rPr>
              <w:t>检测/测量</w:t>
            </w:r>
            <w:r>
              <w:rPr>
                <w:rFonts w:hint="eastAsia" w:ascii="仿宋" w:hAnsi="仿宋" w:eastAsia="仿宋" w:cs="仿宋"/>
                <w:b/>
                <w:kern w:val="0"/>
                <w:sz w:val="24"/>
                <w:highlight w:val="none"/>
                <w:lang w:val="zh-CN"/>
              </w:rPr>
              <w:t>费用由采购人承担，不包含在投标总价中。首次验收不合格，重新验收过程中产生的检测</w:t>
            </w:r>
            <w:r>
              <w:rPr>
                <w:rFonts w:hint="eastAsia" w:ascii="仿宋" w:hAnsi="仿宋" w:eastAsia="仿宋" w:cs="仿宋"/>
                <w:b/>
                <w:kern w:val="0"/>
                <w:sz w:val="24"/>
                <w:highlight w:val="none"/>
              </w:rPr>
              <w:t>/测量</w:t>
            </w:r>
            <w:r>
              <w:rPr>
                <w:rFonts w:hint="eastAsia" w:ascii="仿宋" w:hAnsi="仿宋" w:eastAsia="仿宋" w:cs="仿宋"/>
                <w:b/>
                <w:kern w:val="0"/>
                <w:sz w:val="24"/>
                <w:highlight w:val="none"/>
                <w:lang w:val="zh-CN"/>
              </w:rPr>
              <w:t>费用，由</w:t>
            </w:r>
            <w:r>
              <w:rPr>
                <w:rFonts w:hint="eastAsia" w:ascii="仿宋" w:hAnsi="仿宋" w:eastAsia="仿宋" w:cs="仿宋"/>
                <w:b/>
                <w:kern w:val="0"/>
                <w:sz w:val="24"/>
                <w:highlight w:val="none"/>
              </w:rPr>
              <w:t>供应商</w:t>
            </w:r>
            <w:r>
              <w:rPr>
                <w:rFonts w:hint="eastAsia" w:ascii="仿宋" w:hAnsi="仿宋" w:eastAsia="仿宋" w:cs="仿宋"/>
                <w:b/>
                <w:kern w:val="0"/>
                <w:sz w:val="24"/>
                <w:highlight w:val="none"/>
                <w:lang w:val="zh-CN"/>
              </w:rPr>
              <w:t>承担。</w:t>
            </w:r>
            <w:r>
              <w:rPr>
                <w:rFonts w:hint="eastAsia" w:ascii="仿宋" w:hAnsi="仿宋" w:eastAsia="仿宋" w:cs="仿宋"/>
                <w:b/>
                <w:kern w:val="0"/>
                <w:sz w:val="24"/>
                <w:highlight w:val="none"/>
                <w:lang w:val="zh-CN"/>
              </w:rPr>
              <w:sym w:font="Wingdings" w:char="00FE"/>
            </w:r>
            <w:r>
              <w:rPr>
                <w:rFonts w:hint="eastAsia" w:ascii="仿宋" w:hAnsi="仿宋" w:eastAsia="仿宋" w:cs="仿宋"/>
                <w:b/>
                <w:kern w:val="0"/>
                <w:sz w:val="24"/>
                <w:highlight w:val="none"/>
                <w:lang w:val="zh-CN"/>
              </w:rPr>
              <w:t>本项目履约验收时不委托第三方检测</w:t>
            </w:r>
            <w:r>
              <w:rPr>
                <w:rFonts w:hint="eastAsia" w:ascii="仿宋" w:hAnsi="仿宋" w:eastAsia="仿宋" w:cs="仿宋"/>
                <w:b/>
                <w:kern w:val="0"/>
                <w:sz w:val="24"/>
                <w:highlight w:val="none"/>
              </w:rPr>
              <w:t>/测量</w:t>
            </w:r>
            <w:r>
              <w:rPr>
                <w:rFonts w:hint="eastAsia" w:ascii="仿宋" w:hAnsi="仿宋" w:eastAsia="仿宋" w:cs="仿宋"/>
                <w:b/>
                <w:kern w:val="0"/>
                <w:sz w:val="24"/>
                <w:highlight w:val="none"/>
                <w:lang w:val="zh-CN"/>
              </w:rPr>
              <w:t>。</w:t>
            </w:r>
          </w:p>
          <w:p>
            <w:pPr>
              <w:wordWrap w:val="0"/>
              <w:snapToGrid w:val="0"/>
              <w:spacing w:line="360" w:lineRule="exact"/>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投标报价出现下列情形的，投标无效：</w:t>
            </w:r>
          </w:p>
          <w:p>
            <w:pPr>
              <w:wordWrap w:val="0"/>
              <w:snapToGrid w:val="0"/>
              <w:spacing w:line="360" w:lineRule="exact"/>
              <w:ind w:firstLine="482" w:firstLineChars="200"/>
              <w:jc w:val="left"/>
              <w:rPr>
                <w:rFonts w:ascii="仿宋" w:hAnsi="仿宋" w:eastAsia="仿宋" w:cs="仿宋"/>
                <w:b/>
                <w:kern w:val="0"/>
                <w:sz w:val="24"/>
                <w:highlight w:val="none"/>
                <w:lang w:val="zh-CN"/>
              </w:rPr>
            </w:pPr>
            <w:r>
              <w:rPr>
                <w:rFonts w:hint="eastAsia" w:ascii="仿宋" w:hAnsi="仿宋" w:eastAsia="仿宋" w:cs="仿宋"/>
                <w:b/>
                <w:kern w:val="0"/>
                <w:sz w:val="24"/>
                <w:highlight w:val="none"/>
              </w:rPr>
              <w:t>1.</w:t>
            </w:r>
            <w:r>
              <w:rPr>
                <w:rFonts w:hint="eastAsia" w:ascii="仿宋" w:hAnsi="仿宋" w:eastAsia="仿宋" w:cs="仿宋"/>
                <w:b/>
                <w:kern w:val="0"/>
                <w:sz w:val="24"/>
                <w:highlight w:val="none"/>
                <w:lang w:val="zh-CN"/>
              </w:rPr>
              <w:t>投标文件出现不是唯一的、有选择性投标报价的；</w:t>
            </w:r>
          </w:p>
          <w:p>
            <w:pPr>
              <w:wordWrap w:val="0"/>
              <w:snapToGrid w:val="0"/>
              <w:spacing w:line="360" w:lineRule="exact"/>
              <w:ind w:firstLine="482" w:firstLineChars="200"/>
              <w:jc w:val="left"/>
              <w:rPr>
                <w:rFonts w:ascii="仿宋" w:hAnsi="仿宋" w:eastAsia="仿宋" w:cs="仿宋"/>
                <w:kern w:val="0"/>
                <w:sz w:val="24"/>
                <w:highlight w:val="none"/>
                <w:lang w:val="zh-CN"/>
              </w:rPr>
            </w:pPr>
            <w:r>
              <w:rPr>
                <w:rFonts w:hint="eastAsia" w:ascii="仿宋" w:hAnsi="仿宋" w:eastAsia="仿宋" w:cs="仿宋"/>
                <w:b/>
                <w:kern w:val="0"/>
                <w:sz w:val="24"/>
                <w:highlight w:val="none"/>
              </w:rPr>
              <w:t>2.</w:t>
            </w:r>
            <w:r>
              <w:rPr>
                <w:rFonts w:hint="eastAsia" w:ascii="仿宋" w:hAnsi="仿宋" w:eastAsia="仿宋" w:cs="仿宋"/>
                <w:b/>
                <w:kern w:val="0"/>
                <w:sz w:val="24"/>
                <w:highlight w:val="none"/>
                <w:lang w:val="zh-CN"/>
              </w:rPr>
              <w:t>投标报价超过招标文件中规定的预算金额或者最高限价的;</w:t>
            </w:r>
          </w:p>
          <w:p>
            <w:pPr>
              <w:wordWrap w:val="0"/>
              <w:spacing w:line="360" w:lineRule="exact"/>
              <w:ind w:firstLine="482" w:firstLineChars="200"/>
              <w:rPr>
                <w:rFonts w:ascii="仿宋" w:hAnsi="仿宋" w:eastAsia="仿宋" w:cs="仿宋"/>
                <w:b/>
                <w:sz w:val="24"/>
                <w:highlight w:val="none"/>
              </w:rPr>
            </w:pPr>
            <w:r>
              <w:rPr>
                <w:rFonts w:hint="eastAsia" w:ascii="仿宋" w:hAnsi="仿宋" w:eastAsia="仿宋" w:cs="仿宋"/>
                <w:b/>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highlight w:val="none"/>
              </w:rPr>
              <w:t>;</w:t>
            </w:r>
          </w:p>
          <w:p>
            <w:pPr>
              <w:wordWrap w:val="0"/>
              <w:spacing w:line="360" w:lineRule="exact"/>
              <w:ind w:firstLine="482" w:firstLineChars="200"/>
              <w:rPr>
                <w:rFonts w:ascii="仿宋" w:hAnsi="仿宋" w:eastAsia="仿宋" w:cs="仿宋"/>
                <w:sz w:val="24"/>
                <w:highlight w:val="none"/>
              </w:rPr>
            </w:pPr>
            <w:r>
              <w:rPr>
                <w:rFonts w:hint="eastAsia" w:ascii="仿宋" w:hAnsi="仿宋" w:eastAsia="仿宋" w:cs="仿宋"/>
                <w:b/>
                <w:kern w:val="0"/>
                <w:sz w:val="24"/>
                <w:highlight w:val="none"/>
              </w:rPr>
              <w:t>4.投标人对根据修正原则修正后的报价不确认的</w:t>
            </w:r>
            <w:r>
              <w:rPr>
                <w:rFonts w:hint="eastAsia" w:ascii="仿宋" w:hAnsi="仿宋" w:eastAsia="仿宋" w:cs="仿宋"/>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中小企业信用</w:t>
            </w:r>
          </w:p>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备份投标文件送达地点和签收</w:t>
            </w:r>
          </w:p>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 xml:space="preserve">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wordWrap w:val="0"/>
              <w:spacing w:line="360" w:lineRule="exact"/>
              <w:rPr>
                <w:rFonts w:ascii="仿宋" w:hAnsi="仿宋" w:eastAsia="仿宋" w:cs="仿宋"/>
                <w:kern w:val="28"/>
                <w:sz w:val="24"/>
                <w:szCs w:val="24"/>
                <w:highlight w:val="none"/>
              </w:rPr>
            </w:pPr>
            <w:r>
              <w:rPr>
                <w:rFonts w:hint="eastAsia" w:ascii="仿宋" w:hAnsi="仿宋" w:eastAsia="仿宋" w:cs="仿宋"/>
                <w:kern w:val="28"/>
                <w:sz w:val="24"/>
                <w:szCs w:val="24"/>
                <w:highlight w:val="none"/>
              </w:rPr>
              <w:t>投标人如提交备份投标文件的，请送至</w:t>
            </w:r>
            <w:r>
              <w:rPr>
                <w:rFonts w:hint="eastAsia" w:ascii="仿宋" w:hAnsi="仿宋" w:eastAsia="仿宋" w:cs="仿宋"/>
                <w:sz w:val="24"/>
                <w:szCs w:val="24"/>
                <w:highlight w:val="none"/>
                <w:u w:val="single"/>
              </w:rPr>
              <w:t xml:space="preserve"> 杭州市滨江区滨安路1180号7幢2层楼212室 </w:t>
            </w:r>
            <w:r>
              <w:rPr>
                <w:rFonts w:hint="eastAsia" w:ascii="仿宋" w:hAnsi="仿宋" w:eastAsia="仿宋" w:cs="仿宋"/>
                <w:kern w:val="28"/>
                <w:sz w:val="24"/>
                <w:szCs w:val="24"/>
                <w:highlight w:val="none"/>
              </w:rPr>
              <w:t>；备份投标文件签收人员：</w:t>
            </w:r>
            <w:r>
              <w:rPr>
                <w:rFonts w:hint="eastAsia" w:ascii="仿宋" w:hAnsi="仿宋" w:eastAsia="仿宋" w:cs="仿宋"/>
                <w:sz w:val="24"/>
                <w:szCs w:val="24"/>
                <w:highlight w:val="none"/>
                <w:u w:val="single"/>
              </w:rPr>
              <w:t>程工</w:t>
            </w:r>
            <w:r>
              <w:rPr>
                <w:rFonts w:hint="eastAsia" w:ascii="仿宋" w:hAnsi="仿宋" w:eastAsia="仿宋" w:cs="仿宋"/>
                <w:sz w:val="24"/>
                <w:szCs w:val="24"/>
                <w:highlight w:val="none"/>
              </w:rPr>
              <w:t>，</w:t>
            </w:r>
            <w:r>
              <w:rPr>
                <w:rFonts w:hint="eastAsia" w:ascii="仿宋" w:hAnsi="仿宋" w:eastAsia="仿宋" w:cs="仿宋"/>
                <w:kern w:val="28"/>
                <w:sz w:val="24"/>
                <w:szCs w:val="24"/>
                <w:highlight w:val="none"/>
              </w:rPr>
              <w:t>联系电话：</w:t>
            </w:r>
            <w:r>
              <w:rPr>
                <w:rFonts w:hint="eastAsia" w:ascii="仿宋" w:hAnsi="仿宋" w:eastAsia="仿宋" w:cs="仿宋"/>
                <w:sz w:val="24"/>
                <w:szCs w:val="24"/>
                <w:highlight w:val="none"/>
                <w:u w:val="single"/>
              </w:rPr>
              <w:t xml:space="preserve"> 17767198122 </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tcBorders>
              <w:top w:val="single" w:color="auto" w:sz="4" w:space="0"/>
              <w:left w:val="single" w:color="000000" w:sz="8" w:space="0"/>
              <w:right w:val="single" w:color="000000" w:sz="2" w:space="0"/>
            </w:tcBorders>
            <w:vAlign w:val="center"/>
          </w:tcPr>
          <w:p>
            <w:pPr>
              <w:wordWrap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13</w:t>
            </w:r>
          </w:p>
        </w:tc>
        <w:tc>
          <w:tcPr>
            <w:tcW w:w="1843" w:type="dxa"/>
            <w:tcBorders>
              <w:top w:val="single" w:color="000000" w:sz="8" w:space="0"/>
              <w:left w:val="single" w:color="000000" w:sz="2"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highlight w:val="none"/>
              </w:rPr>
            </w:pPr>
            <w:r>
              <w:rPr>
                <w:rFonts w:hint="eastAsia" w:ascii="仿宋" w:hAnsi="仿宋" w:eastAsia="仿宋" w:cs="仿宋"/>
                <w:sz w:val="24"/>
                <w:highlight w:val="none"/>
              </w:rPr>
              <w:t>1.采购代理服务费：以原国家计委《招标代理服务收费管理暂行办法》（计价格〔2002〕1980号）的收费标准的80%计取，按单个标段中标（成交）价作为收费基数，若实际结算价低于6000元的，按6000元计取。中标供应商在代理机构发出中标通知书后7个工作日内一次性支付，开增值税普通发票。</w:t>
            </w:r>
            <w:r>
              <w:rPr>
                <w:rFonts w:hint="eastAsia" w:ascii="仿宋" w:hAnsi="仿宋" w:eastAsia="仿宋" w:cs="仿宋"/>
                <w:b/>
                <w:bCs/>
                <w:sz w:val="24"/>
                <w:highlight w:val="none"/>
              </w:rPr>
              <w:t>由于中标供应商原因导致重新采购的，应当承担支付代理费和专家评审费等费用在内的赔偿责任。</w:t>
            </w:r>
          </w:p>
          <w:p>
            <w:pPr>
              <w:pStyle w:val="33"/>
              <w:wordWrap w:val="0"/>
              <w:spacing w:line="36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2.本项目推荐中标候选人数量：1名。</w:t>
            </w:r>
          </w:p>
          <w:p>
            <w:pPr>
              <w:pStyle w:val="33"/>
              <w:wordWrap w:val="0"/>
              <w:spacing w:line="36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3.投标文件存在下列情况之一的，视为撤回：</w:t>
            </w:r>
          </w:p>
          <w:p>
            <w:pPr>
              <w:wordWrap w:val="0"/>
              <w:spacing w:line="360" w:lineRule="exact"/>
              <w:rPr>
                <w:rFonts w:ascii="仿宋" w:hAnsi="仿宋" w:eastAsia="仿宋" w:cs="仿宋"/>
                <w:sz w:val="24"/>
                <w:highlight w:val="none"/>
              </w:rPr>
            </w:pPr>
            <w:r>
              <w:rPr>
                <w:rFonts w:hint="eastAsia" w:ascii="仿宋" w:hAnsi="仿宋" w:eastAsia="仿宋" w:cs="仿宋"/>
                <w:sz w:val="24"/>
                <w:highlight w:val="none"/>
              </w:rPr>
              <w:t>（1）电子投标文件（含备份文件）无法解密的；</w:t>
            </w:r>
          </w:p>
          <w:p>
            <w:pPr>
              <w:wordWrap w:val="0"/>
              <w:spacing w:line="360" w:lineRule="exact"/>
              <w:rPr>
                <w:rFonts w:ascii="仿宋" w:hAnsi="仿宋" w:eastAsia="仿宋" w:cs="仿宋"/>
                <w:sz w:val="24"/>
                <w:highlight w:val="none"/>
              </w:rPr>
            </w:pPr>
            <w:r>
              <w:rPr>
                <w:rFonts w:hint="eastAsia" w:ascii="仿宋" w:hAnsi="仿宋" w:eastAsia="仿宋" w:cs="仿宋"/>
                <w:sz w:val="24"/>
                <w:highlight w:val="none"/>
              </w:rPr>
              <w:t>（2）投标文件未按时解密或备份文件无法成功导入的；</w:t>
            </w:r>
          </w:p>
          <w:p>
            <w:pPr>
              <w:wordWrap w:val="0"/>
              <w:spacing w:line="360" w:lineRule="exact"/>
              <w:jc w:val="left"/>
              <w:rPr>
                <w:rFonts w:ascii="仿宋" w:hAnsi="仿宋" w:eastAsia="仿宋" w:cs="仿宋"/>
                <w:sz w:val="24"/>
                <w:highlight w:val="none"/>
              </w:rPr>
            </w:pPr>
            <w:r>
              <w:rPr>
                <w:rFonts w:hint="eastAsia" w:ascii="仿宋" w:hAnsi="仿宋" w:eastAsia="仿宋" w:cs="仿宋"/>
                <w:sz w:val="24"/>
                <w:highlight w:val="none"/>
              </w:rPr>
              <w:t>（3）投标截止时间前，投标人仅递交了“备份投标文件”而未将“电子加密投标文件”成功上传至“政府采购云平台”的。</w:t>
            </w:r>
          </w:p>
          <w:p>
            <w:pPr>
              <w:pStyle w:val="33"/>
              <w:wordWrap w:val="0"/>
              <w:spacing w:line="360" w:lineRule="exact"/>
              <w:rPr>
                <w:rFonts w:ascii="仿宋" w:hAnsi="仿宋" w:eastAsia="仿宋" w:cs="仿宋"/>
                <w:sz w:val="24"/>
                <w:szCs w:val="24"/>
                <w:highlight w:val="none"/>
              </w:rPr>
            </w:pPr>
            <w:r>
              <w:rPr>
                <w:rFonts w:hint="eastAsia" w:ascii="仿宋" w:hAnsi="仿宋" w:eastAsia="仿宋" w:cs="仿宋"/>
                <w:sz w:val="24"/>
                <w:szCs w:val="24"/>
                <w:highlight w:val="none"/>
              </w:rPr>
              <w:t>4.政采云平台如对电子化开标及评审程序有调整的，按调整后的程序操作。</w:t>
            </w:r>
          </w:p>
          <w:p>
            <w:pPr>
              <w:pStyle w:val="33"/>
              <w:wordWrap w:val="0"/>
              <w:spacing w:line="360" w:lineRule="exact"/>
              <w:rPr>
                <w:rFonts w:ascii="仿宋" w:hAnsi="仿宋" w:eastAsia="仿宋" w:cs="仿宋"/>
                <w:sz w:val="24"/>
                <w:szCs w:val="24"/>
                <w:highlight w:val="none"/>
              </w:rPr>
            </w:pPr>
            <w:bookmarkStart w:id="26" w:name="_Hlk96025558"/>
            <w:r>
              <w:rPr>
                <w:rFonts w:hint="eastAsia" w:ascii="仿宋" w:hAnsi="仿宋" w:eastAsia="仿宋" w:cs="仿宋"/>
                <w:sz w:val="24"/>
                <w:szCs w:val="24"/>
                <w:highlight w:val="none"/>
              </w:rPr>
              <w:t>5.</w:t>
            </w:r>
            <w:bookmarkEnd w:id="26"/>
            <w:r>
              <w:rPr>
                <w:rFonts w:hint="eastAsia" w:ascii="仿宋" w:hAnsi="仿宋" w:eastAsia="仿宋" w:cs="仿宋"/>
                <w:sz w:val="24"/>
                <w:highlight w:val="none"/>
                <w:lang w:bidi="ar"/>
              </w:rPr>
              <w:t>中标供应商在领取中标通知书时提供纸质投标文件三份（电子投标文件打印，装订成册，采用胶订或线订；封面再加盖单位公章（物理章）</w:t>
            </w:r>
            <w:r>
              <w:rPr>
                <w:rFonts w:hint="eastAsia" w:ascii="仿宋" w:hAnsi="仿宋" w:eastAsia="仿宋" w:cs="仿宋"/>
                <w:sz w:val="24"/>
                <w:szCs w:val="24"/>
                <w:highlight w:val="none"/>
              </w:rPr>
              <w:t>。</w:t>
            </w:r>
          </w:p>
        </w:tc>
      </w:tr>
      <w:bookmarkEnd w:id="17"/>
    </w:tbl>
    <w:p>
      <w:pPr>
        <w:wordWrap w:val="0"/>
        <w:rPr>
          <w:rFonts w:ascii="仿宋" w:hAnsi="仿宋" w:eastAsia="仿宋" w:cs="仿宋"/>
          <w:b/>
          <w:sz w:val="32"/>
          <w:szCs w:val="20"/>
          <w:highlight w:val="none"/>
        </w:rPr>
      </w:pPr>
      <w:bookmarkStart w:id="27" w:name="_Toc164416483"/>
      <w:bookmarkStart w:id="28" w:name="第三部分"/>
      <w:r>
        <w:rPr>
          <w:rFonts w:hint="eastAsia" w:ascii="仿宋" w:hAnsi="仿宋" w:eastAsia="仿宋" w:cs="仿宋"/>
          <w:b/>
          <w:sz w:val="32"/>
          <w:szCs w:val="20"/>
          <w:highlight w:val="none"/>
        </w:rPr>
        <w:br w:type="page"/>
      </w:r>
    </w:p>
    <w:p>
      <w:pPr>
        <w:wordWrap w:val="0"/>
        <w:adjustRightInd/>
        <w:spacing w:line="360" w:lineRule="auto"/>
        <w:ind w:firstLine="3845" w:firstLineChars="1197"/>
        <w:outlineLvl w:val="1"/>
        <w:rPr>
          <w:rFonts w:ascii="仿宋" w:hAnsi="仿宋" w:eastAsia="仿宋" w:cs="仿宋"/>
          <w:b/>
          <w:sz w:val="32"/>
          <w:szCs w:val="20"/>
          <w:highlight w:val="none"/>
        </w:rPr>
      </w:pPr>
      <w:r>
        <w:rPr>
          <w:rFonts w:hint="eastAsia" w:ascii="仿宋" w:hAnsi="仿宋" w:eastAsia="仿宋" w:cs="仿宋"/>
          <w:b/>
          <w:sz w:val="32"/>
          <w:szCs w:val="20"/>
          <w:highlight w:val="none"/>
        </w:rPr>
        <w:t>一、总则</w:t>
      </w:r>
    </w:p>
    <w:p>
      <w:pPr>
        <w:wordWrap w:val="0"/>
        <w:snapToGrid w:val="0"/>
        <w:spacing w:line="360" w:lineRule="auto"/>
        <w:jc w:val="left"/>
        <w:outlineLvl w:val="2"/>
        <w:rPr>
          <w:rFonts w:ascii="仿宋" w:hAnsi="仿宋" w:eastAsia="仿宋" w:cs="仿宋"/>
          <w:b/>
          <w:sz w:val="24"/>
          <w:highlight w:val="none"/>
        </w:rPr>
      </w:pPr>
      <w:r>
        <w:rPr>
          <w:rFonts w:hint="eastAsia" w:ascii="仿宋" w:hAnsi="仿宋" w:eastAsia="仿宋" w:cs="仿宋"/>
          <w:b/>
          <w:sz w:val="24"/>
          <w:highlight w:val="none"/>
        </w:rPr>
        <w:t>1. 适用范围</w:t>
      </w:r>
    </w:p>
    <w:p>
      <w:pPr>
        <w:wordWrap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pPr>
        <w:numPr>
          <w:ilvl w:val="0"/>
          <w:numId w:val="1"/>
        </w:numPr>
        <w:wordWrap w:val="0"/>
        <w:adjustRightInd/>
        <w:spacing w:line="360" w:lineRule="auto"/>
        <w:outlineLvl w:val="2"/>
        <w:rPr>
          <w:rFonts w:ascii="仿宋" w:hAnsi="仿宋" w:eastAsia="仿宋" w:cs="仿宋"/>
          <w:b/>
          <w:sz w:val="24"/>
          <w:highlight w:val="none"/>
        </w:rPr>
      </w:pPr>
      <w:r>
        <w:rPr>
          <w:rFonts w:hint="eastAsia" w:ascii="仿宋" w:hAnsi="仿宋" w:eastAsia="仿宋" w:cs="仿宋"/>
          <w:b/>
          <w:sz w:val="24"/>
          <w:highlight w:val="none"/>
        </w:rPr>
        <w:t>定义</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 “采购代理机构”系指招标公告中载明的本项目的采购代理机构。</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2.7 “▲” 系指实质性要求条款，“★”系产品采购项目中单一产品或核心产品，“</w:t>
      </w:r>
      <w:sdt>
        <w:sdtPr>
          <w:rPr>
            <w:rFonts w:hint="eastAsia" w:ascii="仿宋" w:hAnsi="仿宋" w:eastAsia="仿宋" w:cs="仿宋"/>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Wingdings" w:hAnsi="Wingdings" w:eastAsia="仿宋" w:cs="仿宋"/>
              <w:kern w:val="0"/>
              <w:sz w:val="24"/>
              <w:highlight w:val="none"/>
            </w:rPr>
            <w:t></w:t>
          </w:r>
        </w:sdtContent>
      </w:sdt>
      <w:r>
        <w:rPr>
          <w:rFonts w:hint="eastAsia" w:ascii="仿宋" w:hAnsi="仿宋" w:eastAsia="仿宋" w:cs="仿宋"/>
          <w:sz w:val="24"/>
          <w:highlight w:val="none"/>
        </w:rPr>
        <w:t>” 系指适用本项目的要求，“</w:t>
      </w:r>
      <w:sdt>
        <w:sdtPr>
          <w:rPr>
            <w:rFonts w:hint="eastAsia" w:ascii="仿宋" w:hAnsi="仿宋" w:eastAsia="仿宋" w:cs="仿宋"/>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系指不适用本项目的要求。</w:t>
      </w:r>
    </w:p>
    <w:p>
      <w:pPr>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highlight w:val="none"/>
        </w:rPr>
        <w:t xml:space="preserve"> </w:t>
      </w:r>
      <w:r>
        <w:rPr>
          <w:rFonts w:hint="eastAsia" w:ascii="仿宋" w:hAnsi="仿宋" w:eastAsia="仿宋" w:cs="仿宋"/>
          <w:b/>
          <w:sz w:val="24"/>
          <w:highlight w:val="none"/>
        </w:rPr>
        <w:t>采购项目需要落实的政府采购政策</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 支持绿色发展</w:t>
      </w:r>
    </w:p>
    <w:p>
      <w:pPr>
        <w:wordWrap w:val="0"/>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3.2.2 </w:t>
      </w:r>
      <w:r>
        <w:rPr>
          <w:rFonts w:hint="eastAsia" w:ascii="仿宋" w:hAnsi="仿宋" w:eastAsia="仿宋" w:cs="仿宋"/>
          <w:sz w:val="24"/>
          <w:highlight w:val="none"/>
        </w:rPr>
        <w:sym w:font="Wingdings" w:char="00A8"/>
      </w:r>
      <w:r>
        <w:rPr>
          <w:rFonts w:hint="eastAsia" w:ascii="仿宋" w:hAnsi="仿宋" w:eastAsia="仿宋" w:cs="仿宋"/>
          <w:sz w:val="24"/>
          <w:highlight w:val="none"/>
        </w:rPr>
        <w:t>本项目为修缮、装修类项目，采购的建材绿色建筑和绿色建材性能、指标等实质性条件详见采购需求和合同。</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3.3支持中小企业发展</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pPr>
        <w:widowControl/>
        <w:wordWrap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wordWrap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在货物采购项目中，货物由中小企业制造，即货物由中小企业生产且使用该中小企业商号或者注册商标；投标人提供的货物既有中小企业制造货物，也有大型企业制造货物的，不享受中小企业扶持政策。</w:t>
      </w:r>
    </w:p>
    <w:p>
      <w:pPr>
        <w:widowControl/>
        <w:wordWrap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10%-20%（本项目具体扣除比例详见“评审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本项目具体扣除比例详见“评审办法”）的扣除，用扣除后的价格参加评审。组成联合体或者接受分包的小微企业与联合体内其他企业、分包企业之间存在直接控股、管理关系的，不享受价格扣除优惠政策。</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3.4.3 采购人应当贯彻落实知识产权保护相关法律法规，应当采购使用正版软件。</w:t>
      </w:r>
    </w:p>
    <w:p>
      <w:pPr>
        <w:wordWrap w:val="0"/>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3.5平等对待内外资企业和符合条件的破产重整企业，平等对待内外资企业和符合条件的破产重整企业，切实保障企业公平竞争，平等维护企业的合法利益。</w:t>
      </w:r>
      <w:r>
        <w:rPr>
          <w:rFonts w:hint="eastAsia" w:ascii="仿宋" w:hAnsi="仿宋" w:eastAsia="仿宋" w:cs="仿宋"/>
          <w:sz w:val="24"/>
          <w:highlight w:val="none"/>
        </w:rPr>
        <w:cr/>
      </w:r>
      <w:r>
        <w:rPr>
          <w:rFonts w:hint="eastAsia" w:ascii="仿宋" w:hAnsi="仿宋" w:eastAsia="仿宋" w:cs="仿宋"/>
          <w:b/>
          <w:sz w:val="24"/>
          <w:highlight w:val="none"/>
        </w:rPr>
        <w:t>4. 询问、质疑、投诉、补偿救济</w:t>
      </w:r>
    </w:p>
    <w:p>
      <w:pPr>
        <w:wordWrap w:val="0"/>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2</w:t>
      </w:r>
      <w:r>
        <w:rPr>
          <w:rFonts w:hint="eastAsia" w:ascii="仿宋" w:hAnsi="仿宋" w:eastAsia="仿宋" w:cs="仿宋"/>
          <w:kern w:val="0"/>
          <w:sz w:val="24"/>
          <w:highlight w:val="none"/>
          <w:lang w:val="zh-CN"/>
        </w:rPr>
        <w:t>供应商询问</w:t>
      </w:r>
    </w:p>
    <w:p>
      <w:pPr>
        <w:wordWrap w:val="0"/>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ordWrap w:val="0"/>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供应商质疑</w:t>
      </w:r>
    </w:p>
    <w:p>
      <w:pPr>
        <w:pStyle w:val="33"/>
        <w:wordWrap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pPr>
        <w:pStyle w:val="33"/>
        <w:wordWrap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wordWrap w:val="0"/>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3"/>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4.3.2.2对采购过程提出质疑的，质疑期限为各采购程序环节结束之日起计算。</w:t>
      </w:r>
    </w:p>
    <w:p>
      <w:pPr>
        <w:pStyle w:val="33"/>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4.3.2.3对采购结果提出质疑的，质疑期限自采购结果公告期限届满之日起计算。</w:t>
      </w:r>
    </w:p>
    <w:p>
      <w:pPr>
        <w:pStyle w:val="33"/>
        <w:wordWrap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w:t>
      </w:r>
      <w:r>
        <w:rPr>
          <w:rFonts w:hint="eastAsia" w:ascii="仿宋" w:hAnsi="仿宋" w:eastAsia="仿宋" w:cs="仿宋"/>
          <w:sz w:val="24"/>
          <w:highlight w:val="none"/>
        </w:rPr>
        <w:t>供应商提出质疑应当提交质疑函和必要的证明材料。质疑函应当包括下列内容：</w:t>
      </w:r>
    </w:p>
    <w:p>
      <w:pPr>
        <w:pStyle w:val="33"/>
        <w:wordWrap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.3.1供应商的姓名或者名称、地址、邮编、联系人及联系电话；</w:t>
      </w:r>
    </w:p>
    <w:p>
      <w:pPr>
        <w:pStyle w:val="33"/>
        <w:wordWrap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.3.2质疑项目的名称、编号；</w:t>
      </w:r>
    </w:p>
    <w:p>
      <w:pPr>
        <w:pStyle w:val="33"/>
        <w:wordWrap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.3.3具体、明确的质疑事项和与质疑事项相关的请求；</w:t>
      </w:r>
    </w:p>
    <w:p>
      <w:pPr>
        <w:pStyle w:val="33"/>
        <w:wordWrap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.3.4事实依据；</w:t>
      </w:r>
    </w:p>
    <w:p>
      <w:pPr>
        <w:pStyle w:val="33"/>
        <w:wordWrap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.3.5必要的法律依据；</w:t>
      </w:r>
    </w:p>
    <w:p>
      <w:pPr>
        <w:pStyle w:val="33"/>
        <w:wordWrap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.3.6提出质疑的日期。</w:t>
      </w:r>
    </w:p>
    <w:p>
      <w:pPr>
        <w:pStyle w:val="890"/>
        <w:shd w:val="clear" w:color="auto" w:fill="FFFFFF"/>
        <w:wordWrap w:val="0"/>
        <w:snapToGrid w:val="0"/>
        <w:spacing w:before="0" w:beforeAutospacing="0" w:after="0" w:afterAutospacing="0" w:line="360" w:lineRule="auto"/>
        <w:ind w:firstLine="403"/>
        <w:contextualSpacing/>
        <w:rPr>
          <w:rFonts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wordWrap w:val="0"/>
        <w:snapToGrid w:val="0"/>
        <w:spacing w:after="240" w:afterAutospacing="0" w:line="360" w:lineRule="auto"/>
        <w:ind w:firstLine="480" w:firstLineChars="200"/>
        <w:contextualSpacing/>
        <w:rPr>
          <w:rFonts w:ascii="仿宋" w:hAnsi="仿宋" w:eastAsia="仿宋" w:cs="仿宋"/>
          <w:highlight w:val="none"/>
        </w:rPr>
      </w:pPr>
      <w:r>
        <w:rPr>
          <w:rFonts w:hint="eastAsia" w:ascii="仿宋" w:hAnsi="仿宋" w:eastAsia="仿宋" w:cs="仿宋"/>
          <w:highlight w:val="none"/>
        </w:rPr>
        <w:t>质疑函范本及制作说明详见附件2。</w:t>
      </w:r>
    </w:p>
    <w:p>
      <w:pPr>
        <w:pStyle w:val="890"/>
        <w:shd w:val="clear" w:color="auto" w:fill="FFFFFF"/>
        <w:wordWrap w:val="0"/>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lang w:val="zh-CN"/>
        </w:rPr>
        <w:t>4.</w:t>
      </w:r>
      <w:r>
        <w:rPr>
          <w:rFonts w:hint="eastAsia" w:ascii="仿宋" w:hAnsi="仿宋" w:eastAsia="仿宋" w:cs="仿宋"/>
          <w:highlight w:val="none"/>
        </w:rPr>
        <w:t>3.4对同一采购程序环节的质疑，供应商须在法定质疑期内一次性提出。</w:t>
      </w:r>
    </w:p>
    <w:p>
      <w:pPr>
        <w:pStyle w:val="890"/>
        <w:shd w:val="clear" w:color="auto" w:fill="FFFFFF"/>
        <w:wordWrap w:val="0"/>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0"/>
        <w:shd w:val="clear" w:color="auto" w:fill="FFFFFF"/>
        <w:wordWrap w:val="0"/>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lang w:val="zh-CN"/>
        </w:rPr>
        <w:t>4.</w:t>
      </w:r>
      <w:r>
        <w:rPr>
          <w:rFonts w:hint="eastAsia" w:ascii="仿宋" w:hAnsi="仿宋" w:eastAsia="仿宋" w:cs="仿宋"/>
          <w:highlight w:val="none"/>
        </w:rPr>
        <w:t>3.6询问或者质疑事项可能影响采购结果的，采购人应当暂停签订合同，已经签订合同的，应当中止履行合同。</w:t>
      </w:r>
    </w:p>
    <w:p>
      <w:pPr>
        <w:pStyle w:val="890"/>
        <w:shd w:val="clear" w:color="auto" w:fill="FFFFFF"/>
        <w:wordWrap w:val="0"/>
        <w:snapToGrid w:val="0"/>
        <w:spacing w:after="240" w:afterAutospacing="0" w:line="360" w:lineRule="auto"/>
        <w:ind w:firstLine="480" w:firstLineChars="200"/>
        <w:contextualSpacing/>
        <w:rPr>
          <w:rFonts w:ascii="仿宋" w:hAnsi="仿宋" w:eastAsia="仿宋" w:cs="仿宋"/>
          <w:highlight w:val="none"/>
          <w:lang w:val="zh-CN"/>
        </w:rPr>
      </w:pPr>
      <w:r>
        <w:rPr>
          <w:rFonts w:hint="eastAsia" w:ascii="仿宋" w:hAnsi="仿宋" w:eastAsia="仿宋" w:cs="仿宋"/>
          <w:highlight w:val="none"/>
          <w:lang w:val="zh-CN"/>
        </w:rPr>
        <w:t>4.</w:t>
      </w:r>
      <w:r>
        <w:rPr>
          <w:rFonts w:hint="eastAsia" w:ascii="仿宋" w:hAnsi="仿宋" w:eastAsia="仿宋" w:cs="仿宋"/>
          <w:highlight w:val="none"/>
        </w:rPr>
        <w:t>4</w:t>
      </w:r>
      <w:r>
        <w:rPr>
          <w:rFonts w:hint="eastAsia" w:ascii="仿宋" w:hAnsi="仿宋" w:eastAsia="仿宋" w:cs="仿宋"/>
          <w:highlight w:val="none"/>
          <w:lang w:val="zh-CN"/>
        </w:rPr>
        <w:t>供应商投诉</w:t>
      </w:r>
    </w:p>
    <w:p>
      <w:pPr>
        <w:pStyle w:val="890"/>
        <w:shd w:val="clear" w:color="auto" w:fill="FFFFFF"/>
        <w:wordWrap w:val="0"/>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wordWrap w:val="0"/>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pPr>
        <w:pStyle w:val="890"/>
        <w:shd w:val="clear" w:color="auto" w:fill="FFFFFF"/>
        <w:wordWrap w:val="0"/>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4.4.3供应商投诉应当有明确的请求和必要的证明材料。</w:t>
      </w:r>
    </w:p>
    <w:p>
      <w:pPr>
        <w:pStyle w:val="890"/>
        <w:shd w:val="clear" w:color="auto" w:fill="FFFFFF"/>
        <w:wordWrap w:val="0"/>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4.4.4 以联合体形式参加政府采购活动的，其投诉应当由组成联合体的所有供应商共同提出。</w:t>
      </w:r>
    </w:p>
    <w:p>
      <w:pPr>
        <w:pStyle w:val="890"/>
        <w:widowControl w:val="0"/>
        <w:shd w:val="clear" w:color="auto" w:fill="FFFFFF"/>
        <w:wordWrap w:val="0"/>
        <w:snapToGrid w:val="0"/>
        <w:spacing w:after="240" w:afterAutospacing="0" w:line="360" w:lineRule="auto"/>
        <w:ind w:firstLine="480" w:firstLineChars="200"/>
        <w:contextualSpacing/>
        <w:rPr>
          <w:rFonts w:ascii="仿宋" w:hAnsi="仿宋" w:eastAsia="仿宋" w:cs="仿宋"/>
          <w:highlight w:val="none"/>
        </w:rPr>
      </w:pPr>
      <w:r>
        <w:rPr>
          <w:rFonts w:hint="eastAsia" w:ascii="仿宋" w:hAnsi="仿宋" w:eastAsia="仿宋" w:cs="仿宋"/>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0"/>
        <w:shd w:val="clear" w:color="auto" w:fill="FFFFFF"/>
        <w:snapToGrid w:val="0"/>
        <w:spacing w:before="0" w:beforeAutospacing="0" w:after="0" w:afterAutospacing="0" w:line="360" w:lineRule="auto"/>
        <w:ind w:firstLine="480" w:firstLineChars="200"/>
        <w:contextualSpacing/>
        <w:rPr>
          <w:rFonts w:ascii="仿宋" w:hAnsi="仿宋" w:eastAsia="仿宋" w:cs="仿宋"/>
          <w:highlight w:val="none"/>
        </w:rPr>
      </w:pPr>
      <w:r>
        <w:rPr>
          <w:rFonts w:hint="eastAsia" w:ascii="仿宋" w:hAnsi="仿宋" w:eastAsia="仿宋" w:cs="仿宋"/>
          <w:highlight w:val="none"/>
        </w:rPr>
        <w:t>投诉书范本及制作说明详见附件3。</w:t>
      </w:r>
    </w:p>
    <w:p>
      <w:pPr>
        <w:pStyle w:val="890"/>
        <w:shd w:val="clear" w:color="auto" w:fill="FFFFFF"/>
        <w:snapToGrid w:val="0"/>
        <w:spacing w:before="0" w:beforeAutospacing="0" w:after="0" w:afterAutospacing="0" w:line="360" w:lineRule="auto"/>
        <w:ind w:firstLine="480" w:firstLineChars="200"/>
        <w:contextualSpacing/>
        <w:rPr>
          <w:rFonts w:ascii="仿宋" w:hAnsi="仿宋" w:eastAsia="仿宋" w:cs="仿宋"/>
          <w:highlight w:val="none"/>
        </w:rPr>
      </w:pPr>
      <w:r>
        <w:rPr>
          <w:rFonts w:hint="eastAsia" w:ascii="仿宋" w:hAnsi="仿宋" w:eastAsia="仿宋" w:cs="仿宋"/>
          <w:highlight w:val="none"/>
        </w:rPr>
        <w:t>4.5 补偿救济</w:t>
      </w:r>
    </w:p>
    <w:p>
      <w:pPr>
        <w:pStyle w:val="890"/>
        <w:shd w:val="clear" w:color="auto" w:fill="FFFFFF"/>
        <w:snapToGrid w:val="0"/>
        <w:spacing w:before="0" w:beforeAutospacing="0" w:after="0" w:afterAutospacing="0" w:line="360" w:lineRule="auto"/>
        <w:ind w:firstLine="480" w:firstLineChars="200"/>
        <w:contextualSpacing/>
        <w:rPr>
          <w:rFonts w:ascii="仿宋" w:hAnsi="仿宋" w:eastAsia="仿宋" w:cs="仿宋"/>
          <w:highlight w:val="none"/>
        </w:rPr>
      </w:pPr>
      <w:r>
        <w:rPr>
          <w:rFonts w:hint="eastAsia" w:ascii="仿宋" w:hAnsi="仿宋" w:eastAsia="仿宋" w:cs="仿宋"/>
          <w:highlight w:val="none"/>
        </w:rPr>
        <w:t>采购人（行政机关）因政策变化、规划调整而不履行政府采购合同的，供应商可依据《杭州市涉企补偿救济实施办法（试行）》向采购人（行政机关）提起补偿申请。</w:t>
      </w:r>
    </w:p>
    <w:p>
      <w:pPr>
        <w:pStyle w:val="134"/>
        <w:wordWrap w:val="0"/>
        <w:snapToGrid w:val="0"/>
        <w:spacing w:before="0"/>
        <w:ind w:firstLine="360"/>
        <w:rPr>
          <w:rFonts w:ascii="仿宋" w:hAnsi="仿宋" w:eastAsia="仿宋" w:cs="仿宋"/>
          <w:sz w:val="18"/>
          <w:szCs w:val="18"/>
          <w:highlight w:val="none"/>
        </w:rPr>
      </w:pPr>
    </w:p>
    <w:p>
      <w:pPr>
        <w:wordWrap w:val="0"/>
        <w:adjustRightInd/>
        <w:spacing w:line="360" w:lineRule="auto"/>
        <w:jc w:val="center"/>
        <w:outlineLvl w:val="1"/>
        <w:rPr>
          <w:rFonts w:ascii="仿宋" w:hAnsi="仿宋" w:eastAsia="仿宋" w:cs="仿宋"/>
          <w:b/>
          <w:sz w:val="32"/>
          <w:szCs w:val="20"/>
          <w:highlight w:val="none"/>
        </w:rPr>
      </w:pPr>
      <w:r>
        <w:rPr>
          <w:rFonts w:hint="eastAsia" w:ascii="仿宋" w:hAnsi="仿宋" w:eastAsia="仿宋" w:cs="仿宋"/>
          <w:b/>
          <w:sz w:val="32"/>
          <w:szCs w:val="20"/>
          <w:highlight w:val="none"/>
        </w:rPr>
        <w:t>二、招标文件的构成、澄清、修改</w:t>
      </w:r>
    </w:p>
    <w:p>
      <w:pPr>
        <w:pStyle w:val="33"/>
        <w:wordWrap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pPr>
        <w:pStyle w:val="33"/>
        <w:wordWrap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pPr>
        <w:pStyle w:val="33"/>
        <w:tabs>
          <w:tab w:val="left" w:pos="840"/>
        </w:tabs>
        <w:wordWrap w:val="0"/>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5.1.1招标公告；</w:t>
      </w:r>
    </w:p>
    <w:p>
      <w:pPr>
        <w:pStyle w:val="33"/>
        <w:tabs>
          <w:tab w:val="left" w:pos="840"/>
        </w:tabs>
        <w:wordWrap w:val="0"/>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5.1.2投标人须知；</w:t>
      </w:r>
    </w:p>
    <w:p>
      <w:pPr>
        <w:pStyle w:val="33"/>
        <w:tabs>
          <w:tab w:val="left" w:pos="840"/>
        </w:tabs>
        <w:wordWrap w:val="0"/>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5.1.3采购需求；</w:t>
      </w:r>
    </w:p>
    <w:p>
      <w:pPr>
        <w:pStyle w:val="33"/>
        <w:tabs>
          <w:tab w:val="left" w:pos="840"/>
        </w:tabs>
        <w:wordWrap w:val="0"/>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5.1.4评标办法；</w:t>
      </w:r>
    </w:p>
    <w:p>
      <w:pPr>
        <w:pStyle w:val="33"/>
        <w:tabs>
          <w:tab w:val="left" w:pos="840"/>
        </w:tabs>
        <w:wordWrap w:val="0"/>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pPr>
        <w:pStyle w:val="33"/>
        <w:tabs>
          <w:tab w:val="left" w:pos="840"/>
        </w:tabs>
        <w:wordWrap w:val="0"/>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pPr>
        <w:pStyle w:val="33"/>
        <w:wordWrap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6. 招标文件的澄清、修改</w:t>
      </w:r>
    </w:p>
    <w:p>
      <w:pPr>
        <w:pStyle w:val="134"/>
        <w:wordWrap w:val="0"/>
        <w:snapToGrid w:val="0"/>
        <w:spacing w:before="0"/>
        <w:ind w:firstLine="480"/>
        <w:rPr>
          <w:rFonts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6.1已获取招标文件的潜在投标人，若有问题需要澄清，应于投标截止时间前，以书面形式或政采云线上询问方式向采购代理机构提出。</w:t>
      </w:r>
    </w:p>
    <w:p>
      <w:pPr>
        <w:pStyle w:val="134"/>
        <w:wordWrap w:val="0"/>
        <w:snapToGrid w:val="0"/>
        <w:spacing w:before="0"/>
        <w:ind w:firstLine="480"/>
        <w:rPr>
          <w:rFonts w:ascii="仿宋" w:hAnsi="仿宋" w:eastAsia="仿宋" w:cs="仿宋"/>
          <w:highlight w:val="none"/>
        </w:rPr>
      </w:pPr>
      <w:r>
        <w:rPr>
          <w:rFonts w:hint="eastAsia" w:ascii="仿宋" w:hAnsi="仿宋" w:eastAsia="仿宋" w:cs="仿宋"/>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wordWrap w:val="0"/>
        <w:rPr>
          <w:rFonts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pPr>
        <w:wordWrap w:val="0"/>
        <w:adjustRightInd/>
        <w:spacing w:line="360" w:lineRule="auto"/>
        <w:jc w:val="center"/>
        <w:outlineLvl w:val="1"/>
        <w:rPr>
          <w:rFonts w:ascii="仿宋" w:hAnsi="仿宋" w:eastAsia="仿宋" w:cs="仿宋"/>
          <w:b/>
          <w:sz w:val="30"/>
          <w:szCs w:val="20"/>
          <w:highlight w:val="none"/>
        </w:rPr>
      </w:pPr>
      <w:r>
        <w:rPr>
          <w:rFonts w:hint="eastAsia" w:ascii="仿宋" w:hAnsi="仿宋" w:eastAsia="仿宋" w:cs="仿宋"/>
          <w:b/>
          <w:sz w:val="30"/>
          <w:szCs w:val="20"/>
          <w:highlight w:val="none"/>
        </w:rPr>
        <w:t>三、投标</w:t>
      </w:r>
    </w:p>
    <w:p>
      <w:pPr>
        <w:pStyle w:val="33"/>
        <w:wordWrap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7. 招标文件的获取</w:t>
      </w:r>
    </w:p>
    <w:p>
      <w:pPr>
        <w:wordWrap w:val="0"/>
        <w:spacing w:line="360" w:lineRule="auto"/>
        <w:ind w:firstLine="480" w:firstLineChars="200"/>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pPr>
        <w:pStyle w:val="33"/>
        <w:numPr>
          <w:ilvl w:val="0"/>
          <w:numId w:val="2"/>
        </w:numPr>
        <w:wordWrap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开标前答疑会或现场考察</w:t>
      </w:r>
    </w:p>
    <w:p>
      <w:pPr>
        <w:pStyle w:val="33"/>
        <w:wordWrap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pPr>
        <w:pStyle w:val="33"/>
        <w:numPr>
          <w:ilvl w:val="0"/>
          <w:numId w:val="2"/>
        </w:numPr>
        <w:wordWrap w:val="0"/>
        <w:spacing w:line="360" w:lineRule="auto"/>
        <w:rPr>
          <w:rFonts w:ascii="仿宋" w:hAnsi="仿宋" w:eastAsia="仿宋" w:cs="仿宋"/>
          <w:b/>
          <w:szCs w:val="24"/>
          <w:highlight w:val="none"/>
        </w:rPr>
      </w:pPr>
      <w:r>
        <w:rPr>
          <w:rFonts w:hint="eastAsia" w:ascii="仿宋" w:hAnsi="仿宋" w:eastAsia="仿宋" w:cs="仿宋"/>
          <w:b/>
          <w:kern w:val="28"/>
          <w:sz w:val="24"/>
          <w:szCs w:val="24"/>
          <w:highlight w:val="none"/>
        </w:rPr>
        <w:t>投标保证金</w:t>
      </w:r>
    </w:p>
    <w:p>
      <w:pPr>
        <w:pStyle w:val="15"/>
        <w:wordWrap w:val="0"/>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wordWrap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pPr>
        <w:wordWrap w:val="0"/>
        <w:autoSpaceDE w:val="0"/>
        <w:autoSpaceDN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pPr>
        <w:pStyle w:val="33"/>
        <w:wordWrap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pPr>
        <w:wordWrap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11.1.1供应商（联合体参加的指联合体双方）的营业执照或者其他由国家相关部门出具的具有独立承担民事责任能力的证明文件（自然人参加的提供身份证复制件）；        11.1.2符合参加政府采购活动应当具备的一般条件、特殊资格条件的承诺函；</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11.1.3联合协议（联合体参加的提供）；</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11.1.4满足政府采购政策的资格要求证明材料；</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11.1.5满足本项目特定资格要求的证明材料。</w:t>
      </w:r>
    </w:p>
    <w:p>
      <w:pPr>
        <w:wordWrap w:val="0"/>
        <w:snapToGrid w:val="0"/>
        <w:spacing w:line="360" w:lineRule="auto"/>
        <w:ind w:firstLine="482" w:firstLineChars="200"/>
        <w:rPr>
          <w:rFonts w:ascii="仿宋" w:hAnsi="仿宋" w:eastAsia="仿宋" w:cs="仿宋"/>
          <w:b/>
          <w:bCs/>
          <w:sz w:val="24"/>
          <w:highlight w:val="none"/>
          <w:lang w:val="zh-CN"/>
        </w:rPr>
      </w:pPr>
      <w:r>
        <w:rPr>
          <w:rFonts w:hint="eastAsia" w:ascii="仿宋" w:hAnsi="仿宋" w:eastAsia="仿宋" w:cs="仿宋"/>
          <w:b/>
          <w:bCs/>
          <w:sz w:val="24"/>
          <w:highlight w:val="none"/>
          <w:lang w:val="zh-CN"/>
        </w:rPr>
        <w:t>11.</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 xml:space="preserve">  </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11.2.3分包意向协议（拟分包的提供)；</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11.2.4符合性审查资料；</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11.2.5评标标准相应的商务技术资料；</w:t>
      </w:r>
    </w:p>
    <w:p>
      <w:pPr>
        <w:wordWrap w:val="0"/>
        <w:snapToGrid w:val="0"/>
        <w:spacing w:line="360" w:lineRule="auto"/>
        <w:ind w:firstLine="960" w:firstLineChars="400"/>
        <w:rPr>
          <w:rFonts w:ascii="仿宋" w:hAnsi="仿宋" w:eastAsia="仿宋" w:cs="仿宋"/>
          <w:sz w:val="24"/>
          <w:highlight w:val="none"/>
          <w:lang w:val="zh-CN"/>
        </w:rPr>
      </w:pPr>
      <w:r>
        <w:rPr>
          <w:rFonts w:hint="eastAsia" w:ascii="仿宋" w:hAnsi="仿宋" w:eastAsia="仿宋" w:cs="仿宋"/>
          <w:sz w:val="24"/>
          <w:highlight w:val="none"/>
        </w:rPr>
        <w:t>11.2.6</w:t>
      </w:r>
      <w:r>
        <w:rPr>
          <w:rFonts w:hint="eastAsia" w:ascii="仿宋" w:hAnsi="仿宋" w:eastAsia="仿宋" w:cs="仿宋"/>
          <w:sz w:val="24"/>
          <w:highlight w:val="none"/>
          <w:lang w:val="zh-CN"/>
        </w:rPr>
        <w:t>政府采购供应商廉洁自律承诺书。</w:t>
      </w:r>
    </w:p>
    <w:p>
      <w:pPr>
        <w:wordWrap w:val="0"/>
        <w:snapToGrid w:val="0"/>
        <w:spacing w:line="360" w:lineRule="auto"/>
        <w:ind w:firstLine="480" w:firstLineChars="200"/>
        <w:rPr>
          <w:rFonts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pPr>
        <w:wordWrap w:val="0"/>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11.3.1开标一览表（报价表）；</w:t>
      </w:r>
    </w:p>
    <w:p>
      <w:pPr>
        <w:wordWrap w:val="0"/>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11.3.2报价情况说明（如供应商报价低于最高限价50%的，应当提交本文档，详细阐述不影响服务质量或者诚信履约的具体原因）；</w:t>
      </w:r>
    </w:p>
    <w:p>
      <w:pPr>
        <w:wordWrap w:val="0"/>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11.3.3中小企业声明函（若供应商（含联合体中的中小企业、签订分包意向协议的中小企业）为小微企业，且提供了中小企业声明函的，则可享受价格享受价格扣除优惠政策）；</w:t>
      </w:r>
    </w:p>
    <w:p>
      <w:pPr>
        <w:wordWrap w:val="0"/>
        <w:spacing w:line="360" w:lineRule="auto"/>
        <w:ind w:firstLine="960" w:firstLineChars="400"/>
        <w:rPr>
          <w:rFonts w:ascii="仿宋" w:hAnsi="仿宋" w:eastAsia="仿宋" w:cs="仿宋"/>
          <w:b/>
          <w:sz w:val="24"/>
          <w:highlight w:val="none"/>
        </w:rPr>
      </w:pPr>
      <w:r>
        <w:rPr>
          <w:rFonts w:hint="eastAsia" w:ascii="仿宋" w:hAnsi="仿宋" w:eastAsia="仿宋" w:cs="仿宋"/>
          <w:sz w:val="24"/>
          <w:highlight w:val="none"/>
        </w:rPr>
        <w:t>11.3.4供应商针对报价需要说明的其他文件和说明（格式自拟）。</w:t>
      </w:r>
    </w:p>
    <w:p>
      <w:pPr>
        <w:wordWrap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pPr>
        <w:wordWrap w:val="0"/>
        <w:spacing w:line="360" w:lineRule="auto"/>
        <w:ind w:firstLine="482" w:firstLineChars="200"/>
        <w:rPr>
          <w:rFonts w:ascii="仿宋" w:hAnsi="仿宋" w:eastAsia="仿宋" w:cs="仿宋"/>
          <w:b/>
          <w:sz w:val="24"/>
          <w:szCs w:val="21"/>
          <w:highlight w:val="none"/>
        </w:rPr>
      </w:pPr>
      <w:r>
        <w:rPr>
          <w:rFonts w:hint="eastAsia" w:ascii="仿宋" w:hAnsi="仿宋" w:eastAsia="仿宋" w:cs="仿宋"/>
          <w:b/>
          <w:sz w:val="24"/>
          <w:highlight w:val="none"/>
        </w:rPr>
        <w:t>供应商应对响应文件中材料的真实性、合法性负责。投标人提供虚假材料投标的，投标无效。</w:t>
      </w:r>
    </w:p>
    <w:p>
      <w:pPr>
        <w:pStyle w:val="134"/>
        <w:numPr>
          <w:ilvl w:val="0"/>
          <w:numId w:val="3"/>
        </w:numPr>
        <w:wordWrap w:val="0"/>
        <w:snapToGrid w:val="0"/>
        <w:spacing w:before="0"/>
        <w:ind w:firstLine="0" w:firstLineChars="0"/>
        <w:outlineLvl w:val="2"/>
        <w:rPr>
          <w:rFonts w:ascii="仿宋" w:hAnsi="仿宋" w:eastAsia="仿宋" w:cs="仿宋"/>
          <w:b/>
          <w:szCs w:val="24"/>
          <w:highlight w:val="none"/>
        </w:rPr>
      </w:pPr>
      <w:r>
        <w:rPr>
          <w:rFonts w:hint="eastAsia" w:ascii="仿宋" w:hAnsi="仿宋" w:eastAsia="仿宋" w:cs="仿宋"/>
          <w:b/>
          <w:szCs w:val="24"/>
          <w:highlight w:val="none"/>
        </w:rPr>
        <w:t>投标文件的编制</w:t>
      </w:r>
    </w:p>
    <w:p>
      <w:pPr>
        <w:wordWrap w:val="0"/>
        <w:spacing w:line="360" w:lineRule="auto"/>
        <w:ind w:firstLine="480" w:firstLineChars="200"/>
        <w:rPr>
          <w:rFonts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wordWrap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wordWrap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pPr>
        <w:numPr>
          <w:ilvl w:val="0"/>
          <w:numId w:val="3"/>
        </w:numPr>
        <w:wordWrap w:val="0"/>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投标文件的签署、盖章</w:t>
      </w:r>
    </w:p>
    <w:p>
      <w:pPr>
        <w:pStyle w:val="134"/>
        <w:wordWrap w:val="0"/>
        <w:snapToGrid w:val="0"/>
        <w:spacing w:before="0"/>
        <w:ind w:firstLine="480"/>
        <w:rPr>
          <w:rFonts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pPr>
        <w:pStyle w:val="134"/>
        <w:wordWrap w:val="0"/>
        <w:snapToGrid w:val="0"/>
        <w:spacing w:before="0"/>
        <w:ind w:firstLine="480"/>
        <w:rPr>
          <w:rFonts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pPr>
        <w:pStyle w:val="134"/>
        <w:wordWrap w:val="0"/>
        <w:snapToGrid w:val="0"/>
        <w:spacing w:before="0"/>
        <w:ind w:firstLine="480"/>
        <w:rPr>
          <w:rFonts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pPr>
        <w:pStyle w:val="134"/>
        <w:wordWrap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14. 投标文件的提交、补充、修改、撤回</w:t>
      </w:r>
    </w:p>
    <w:p>
      <w:pPr>
        <w:pStyle w:val="134"/>
        <w:wordWrap w:val="0"/>
        <w:ind w:firstLine="480"/>
        <w:rPr>
          <w:rFonts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wordWrap w:val="0"/>
        <w:spacing w:before="0"/>
        <w:ind w:firstLine="480"/>
        <w:rPr>
          <w:rFonts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4"/>
        <w:wordWrap w:val="0"/>
        <w:spacing w:before="0"/>
        <w:ind w:firstLine="480"/>
        <w:rPr>
          <w:rFonts w:ascii="仿宋" w:hAnsi="仿宋" w:eastAsia="仿宋" w:cs="仿宋"/>
          <w:szCs w:val="24"/>
          <w:highlight w:val="none"/>
        </w:rPr>
      </w:pPr>
      <w:r>
        <w:rPr>
          <w:rFonts w:hint="eastAsia" w:ascii="仿宋" w:hAnsi="仿宋" w:eastAsia="仿宋" w:cs="仿宋"/>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wordWrap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15. 备份投标文件</w:t>
      </w:r>
    </w:p>
    <w:p>
      <w:pPr>
        <w:pStyle w:val="33"/>
        <w:wordWrap w:val="0"/>
        <w:spacing w:line="360" w:lineRule="auto"/>
        <w:ind w:firstLine="360" w:firstLineChars="150"/>
        <w:rPr>
          <w:rFonts w:ascii="仿宋" w:hAnsi="仿宋" w:eastAsia="仿宋" w:cs="仿宋"/>
          <w:b/>
          <w:sz w:val="24"/>
          <w:szCs w:val="24"/>
          <w:highlight w:val="none"/>
        </w:rPr>
      </w:pPr>
      <w:r>
        <w:rPr>
          <w:rFonts w:hint="eastAsia" w:ascii="仿宋" w:hAnsi="仿宋" w:eastAsia="仿宋" w:cs="仿宋"/>
          <w:sz w:val="24"/>
          <w:szCs w:val="24"/>
          <w:highlight w:val="none"/>
        </w:rPr>
        <w:t xml:space="preserve"> 15.1投标人在电子交易平台传输递交投标文件后，可以在投标截止时间前直接提交或者以快递方式递交备份投标文件1份（</w:t>
      </w:r>
      <w:r>
        <w:rPr>
          <w:rFonts w:hint="eastAsia" w:ascii="仿宋" w:hAnsi="仿宋" w:eastAsia="仿宋" w:cs="仿宋"/>
          <w:b/>
          <w:sz w:val="24"/>
          <w:szCs w:val="24"/>
          <w:highlight w:val="none"/>
        </w:rPr>
        <w:t>非强制要求，投标人自行考虑，快递到付或包裹破损拒绝接受）。</w:t>
      </w:r>
    </w:p>
    <w:p>
      <w:pPr>
        <w:pStyle w:val="33"/>
        <w:wordWrap w:val="0"/>
        <w:spacing w:line="360" w:lineRule="auto"/>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15.2备份投标文件须在“政采云投标客户端”制作生成，并储存在</w:t>
      </w:r>
      <w:r>
        <w:rPr>
          <w:rFonts w:hint="eastAsia" w:ascii="仿宋" w:hAnsi="仿宋" w:eastAsia="仿宋" w:cs="仿宋"/>
          <w:sz w:val="24"/>
          <w:highlight w:val="none"/>
        </w:rPr>
        <w:t>DVD光盘或U盘</w:t>
      </w:r>
      <w:r>
        <w:rPr>
          <w:rFonts w:hint="eastAsia" w:ascii="仿宋" w:hAnsi="仿宋" w:eastAsia="仿宋" w:cs="仿宋"/>
          <w:sz w:val="24"/>
          <w:szCs w:val="24"/>
          <w:highlight w:val="none"/>
        </w:rPr>
        <w:t>中。备份投标文件应当密封包装并在包装上加盖公章并注明投标项目名称，投标人名称(</w:t>
      </w:r>
      <w:r>
        <w:rPr>
          <w:rFonts w:hint="eastAsia" w:ascii="仿宋" w:hAnsi="仿宋" w:eastAsia="仿宋" w:cs="仿宋"/>
          <w:b/>
          <w:bCs/>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sz w:val="24"/>
          <w:szCs w:val="24"/>
          <w:highlight w:val="none"/>
        </w:rPr>
        <w:t>)。</w:t>
      </w:r>
      <w:r>
        <w:rPr>
          <w:rFonts w:hint="eastAsia" w:ascii="仿宋" w:hAnsi="仿宋" w:eastAsia="仿宋" w:cs="仿宋"/>
          <w:b/>
          <w:bCs/>
          <w:sz w:val="24"/>
          <w:highlight w:val="none"/>
        </w:rPr>
        <w:t>不符合上述制作、</w:t>
      </w:r>
      <w:r>
        <w:rPr>
          <w:rFonts w:hint="eastAsia" w:ascii="仿宋" w:hAnsi="仿宋" w:eastAsia="仿宋" w:cs="仿宋"/>
          <w:b/>
          <w:bCs/>
          <w:sz w:val="24"/>
          <w:szCs w:val="24"/>
          <w:highlight w:val="none"/>
        </w:rPr>
        <w:t>存储、密封规定的备份投标文件将被视为无效或者被拒绝接收。</w:t>
      </w:r>
    </w:p>
    <w:p>
      <w:pPr>
        <w:pStyle w:val="33"/>
        <w:wordWrap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wordWrap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15.4以快递方式递交备份投标文件的，投标人应先将备份投标文件按要求密封和标记，再进行快递包装后邮寄。备份投标文件须在投标截止时间之前送达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sz w:val="24"/>
          <w:szCs w:val="24"/>
          <w:highlight w:val="none"/>
        </w:rPr>
        <w:t>招标文件第二部分投标人须知前附表规定的备份投标文件送达地点；</w:t>
      </w:r>
      <w:r>
        <w:rPr>
          <w:rFonts w:hint="eastAsia" w:ascii="仿宋" w:hAnsi="仿宋" w:eastAsia="仿宋" w:cs="仿宋"/>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wordWrap w:val="0"/>
        <w:spacing w:line="360" w:lineRule="auto"/>
        <w:ind w:firstLine="479" w:firstLineChars="199"/>
        <w:rPr>
          <w:rFonts w:ascii="仿宋" w:hAnsi="仿宋" w:eastAsia="仿宋" w:cs="仿宋"/>
          <w:b/>
          <w:sz w:val="24"/>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pPr>
        <w:pStyle w:val="134"/>
        <w:numPr>
          <w:ilvl w:val="0"/>
          <w:numId w:val="4"/>
        </w:numPr>
        <w:wordWrap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投标文件的无效处理</w:t>
      </w:r>
    </w:p>
    <w:p>
      <w:pPr>
        <w:pStyle w:val="25"/>
        <w:wordWrap w:val="0"/>
        <w:spacing w:line="360" w:lineRule="auto"/>
        <w:ind w:firstLine="360" w:firstLineChars="150"/>
        <w:rPr>
          <w:rFonts w:ascii="仿宋" w:hAnsi="仿宋" w:eastAsia="仿宋" w:cs="仿宋"/>
          <w:szCs w:val="21"/>
          <w:highlight w:val="none"/>
        </w:rPr>
      </w:pPr>
      <w:r>
        <w:rPr>
          <w:rFonts w:hint="eastAsia" w:ascii="仿宋" w:hAnsi="仿宋" w:eastAsia="仿宋" w:cs="仿宋"/>
          <w:szCs w:val="21"/>
          <w:highlight w:val="none"/>
        </w:rPr>
        <w:t>有招标文件第四部分第</w:t>
      </w:r>
      <w:r>
        <w:rPr>
          <w:rFonts w:hint="eastAsia" w:ascii="仿宋" w:hAnsi="仿宋" w:eastAsia="仿宋" w:cs="仿宋"/>
          <w:highlight w:val="none"/>
        </w:rPr>
        <w:t>4.2项规定</w:t>
      </w:r>
      <w:r>
        <w:rPr>
          <w:rFonts w:hint="eastAsia" w:ascii="仿宋" w:hAnsi="仿宋" w:eastAsia="仿宋" w:cs="仿宋"/>
          <w:szCs w:val="21"/>
          <w:highlight w:val="none"/>
        </w:rPr>
        <w:t>的情形之一的，投标无效。</w:t>
      </w:r>
    </w:p>
    <w:p>
      <w:pPr>
        <w:pStyle w:val="134"/>
        <w:numPr>
          <w:ilvl w:val="0"/>
          <w:numId w:val="4"/>
        </w:numPr>
        <w:wordWrap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投标有效期</w:t>
      </w:r>
    </w:p>
    <w:p>
      <w:pPr>
        <w:wordWrap w:val="0"/>
        <w:spacing w:line="360" w:lineRule="auto"/>
        <w:ind w:firstLine="480" w:firstLineChars="200"/>
        <w:rPr>
          <w:rFonts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pPr>
        <w:pStyle w:val="134"/>
        <w:wordWrap w:val="0"/>
        <w:spacing w:before="0"/>
        <w:ind w:firstLine="480"/>
        <w:rPr>
          <w:rFonts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pPr>
        <w:pStyle w:val="134"/>
        <w:wordWrap w:val="0"/>
        <w:spacing w:before="0"/>
        <w:ind w:firstLine="480"/>
        <w:rPr>
          <w:rFonts w:ascii="仿宋" w:hAnsi="仿宋" w:eastAsia="仿宋" w:cs="仿宋"/>
          <w:highlight w:val="none"/>
        </w:rPr>
      </w:pPr>
      <w:r>
        <w:rPr>
          <w:rFonts w:hint="eastAsia" w:ascii="仿宋" w:hAnsi="仿宋" w:eastAsia="仿宋" w:cs="仿宋"/>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4"/>
        <w:wordWrap w:val="0"/>
        <w:spacing w:before="0"/>
        <w:ind w:firstLine="643"/>
        <w:rPr>
          <w:rFonts w:ascii="仿宋" w:hAnsi="仿宋" w:eastAsia="仿宋" w:cs="仿宋"/>
          <w:b/>
          <w:sz w:val="32"/>
          <w:highlight w:val="none"/>
        </w:rPr>
      </w:pPr>
    </w:p>
    <w:p>
      <w:pPr>
        <w:pStyle w:val="134"/>
        <w:wordWrap w:val="0"/>
        <w:spacing w:before="0"/>
        <w:ind w:firstLine="1928" w:firstLineChars="600"/>
        <w:outlineLvl w:val="1"/>
        <w:rPr>
          <w:rFonts w:ascii="仿宋" w:hAnsi="仿宋" w:eastAsia="仿宋" w:cs="仿宋"/>
          <w:b/>
          <w:sz w:val="32"/>
          <w:highlight w:val="none"/>
        </w:rPr>
      </w:pPr>
      <w:r>
        <w:rPr>
          <w:rFonts w:hint="eastAsia" w:ascii="仿宋" w:hAnsi="仿宋" w:eastAsia="仿宋" w:cs="仿宋"/>
          <w:b/>
          <w:sz w:val="32"/>
          <w:highlight w:val="none"/>
        </w:rPr>
        <w:t>四、开标、资格审查与信用信息查询</w:t>
      </w:r>
    </w:p>
    <w:p>
      <w:pPr>
        <w:pStyle w:val="559"/>
        <w:wordWrap w:val="0"/>
        <w:spacing w:before="0" w:line="360" w:lineRule="auto"/>
        <w:ind w:left="0" w:firstLine="0"/>
        <w:contextualSpacing/>
        <w:rPr>
          <w:rFonts w:ascii="仿宋" w:hAnsi="仿宋" w:eastAsia="仿宋" w:cs="仿宋"/>
          <w:sz w:val="24"/>
          <w:highlight w:val="none"/>
        </w:rPr>
      </w:pPr>
      <w:r>
        <w:rPr>
          <w:rFonts w:hint="eastAsia" w:ascii="仿宋" w:hAnsi="仿宋" w:eastAsia="仿宋" w:cs="仿宋"/>
          <w:b/>
          <w:sz w:val="24"/>
          <w:szCs w:val="24"/>
          <w:highlight w:val="none"/>
        </w:rPr>
        <w:t>18. 开标</w:t>
      </w:r>
      <w:r>
        <w:rPr>
          <w:rFonts w:hint="eastAsia" w:ascii="仿宋" w:hAnsi="仿宋" w:eastAsia="仿宋" w:cs="仿宋"/>
          <w:sz w:val="24"/>
          <w:highlight w:val="none"/>
        </w:rPr>
        <w:t xml:space="preserve"> </w:t>
      </w:r>
    </w:p>
    <w:p>
      <w:pPr>
        <w:pStyle w:val="559"/>
        <w:wordWrap w:val="0"/>
        <w:spacing w:before="0" w:line="360" w:lineRule="auto"/>
        <w:ind w:left="0" w:firstLine="480" w:firstLineChars="200"/>
        <w:contextualSpacing/>
        <w:rPr>
          <w:rFonts w:ascii="仿宋" w:hAnsi="仿宋" w:eastAsia="仿宋" w:cs="仿宋"/>
          <w:sz w:val="24"/>
          <w:highlight w:val="none"/>
        </w:rPr>
      </w:pPr>
      <w:r>
        <w:rPr>
          <w:rFonts w:hint="eastAsia" w:ascii="仿宋" w:hAnsi="仿宋" w:eastAsia="仿宋" w:cs="仿宋"/>
          <w:sz w:val="24"/>
          <w:highlight w:val="none"/>
        </w:rPr>
        <w:t>18.1采购代理机构按照招标文件规定的时间通过电子交易平台组织开标，所有投标人均应当准时在线参加。投标人不足3家的，不得开标。</w:t>
      </w:r>
    </w:p>
    <w:p>
      <w:pPr>
        <w:pStyle w:val="559"/>
        <w:wordWrap w:val="0"/>
        <w:spacing w:before="0" w:line="360" w:lineRule="auto"/>
        <w:ind w:left="0" w:firstLine="240" w:firstLineChars="100"/>
        <w:contextualSpacing/>
        <w:rPr>
          <w:rFonts w:ascii="仿宋" w:hAnsi="仿宋" w:eastAsia="仿宋" w:cs="仿宋"/>
          <w:sz w:val="24"/>
          <w:highlight w:val="none"/>
        </w:rPr>
      </w:pPr>
      <w:r>
        <w:rPr>
          <w:rFonts w:hint="eastAsia" w:ascii="仿宋" w:hAnsi="仿宋" w:eastAsia="仿宋" w:cs="仿宋"/>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9"/>
        <w:wordWrap w:val="0"/>
        <w:spacing w:before="0" w:line="360" w:lineRule="auto"/>
        <w:ind w:left="0" w:firstLine="240" w:firstLineChars="100"/>
        <w:contextualSpacing/>
        <w:rPr>
          <w:rFonts w:ascii="仿宋" w:hAnsi="仿宋" w:eastAsia="仿宋" w:cs="仿宋"/>
          <w:b/>
          <w:sz w:val="24"/>
          <w:highlight w:val="none"/>
        </w:rPr>
      </w:pPr>
      <w:r>
        <w:rPr>
          <w:rFonts w:hint="eastAsia" w:ascii="仿宋" w:hAnsi="仿宋" w:eastAsia="仿宋" w:cs="仿宋"/>
          <w:sz w:val="24"/>
          <w:highlight w:val="none"/>
        </w:rPr>
        <w:t xml:space="preserve">  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pPr>
        <w:pStyle w:val="559"/>
        <w:wordWrap w:val="0"/>
        <w:spacing w:before="0" w:line="360" w:lineRule="auto"/>
        <w:ind w:left="0" w:firstLine="480" w:firstLineChars="200"/>
        <w:contextualSpacing/>
        <w:rPr>
          <w:rFonts w:ascii="仿宋" w:hAnsi="仿宋" w:eastAsia="仿宋" w:cs="仿宋"/>
          <w:sz w:val="24"/>
          <w:highlight w:val="none"/>
          <w:u w:val="single"/>
        </w:rPr>
      </w:pPr>
      <w:r>
        <w:rPr>
          <w:rFonts w:hint="eastAsia" w:ascii="仿宋" w:hAnsi="仿宋" w:eastAsia="仿宋" w:cs="仿宋"/>
          <w:sz w:val="24"/>
          <w:highlight w:val="none"/>
          <w:u w:val="single"/>
        </w:rPr>
        <w:t>18.4本项目唱标顺序：</w:t>
      </w:r>
      <w:r>
        <w:rPr>
          <w:rFonts w:hint="eastAsia" w:ascii="仿宋" w:hAnsi="仿宋" w:eastAsia="仿宋" w:cs="仿宋"/>
          <w:sz w:val="24"/>
          <w:highlight w:val="none"/>
          <w:u w:val="single"/>
        </w:rPr>
        <w:sym w:font="Wingdings" w:char="00FE"/>
      </w:r>
      <w:r>
        <w:rPr>
          <w:rFonts w:hint="eastAsia" w:ascii="仿宋" w:hAnsi="仿宋" w:eastAsia="仿宋" w:cs="仿宋"/>
          <w:sz w:val="24"/>
          <w:highlight w:val="none"/>
          <w:u w:val="single"/>
        </w:rPr>
        <w:t>先技术商务后报价（后唱标），</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报价技术商务同时开（先唱标）。</w:t>
      </w:r>
    </w:p>
    <w:p>
      <w:pPr>
        <w:pStyle w:val="559"/>
        <w:wordWrap w:val="0"/>
        <w:spacing w:before="0" w:line="360" w:lineRule="auto"/>
        <w:ind w:left="0" w:firstLine="0"/>
        <w:contextualSpacing/>
        <w:rPr>
          <w:rFonts w:ascii="仿宋" w:hAnsi="仿宋" w:eastAsia="仿宋" w:cs="仿宋"/>
          <w:b/>
          <w:sz w:val="24"/>
          <w:szCs w:val="24"/>
          <w:highlight w:val="none"/>
        </w:rPr>
      </w:pPr>
      <w:r>
        <w:rPr>
          <w:rFonts w:hint="eastAsia" w:ascii="仿宋" w:hAnsi="仿宋" w:eastAsia="仿宋" w:cs="仿宋"/>
          <w:b/>
          <w:sz w:val="24"/>
          <w:szCs w:val="24"/>
          <w:highlight w:val="none"/>
        </w:rPr>
        <w:t>19. 资格审查</w:t>
      </w:r>
    </w:p>
    <w:p>
      <w:pPr>
        <w:pStyle w:val="134"/>
        <w:wordWrap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19.1开标后，采购人或采购代理机构将依法对投标人的资格进行审查。</w:t>
      </w:r>
    </w:p>
    <w:p>
      <w:pPr>
        <w:wordWrap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采购人或采购代理机构依据法律法规和招标文件的规定，对投标人的基本资格条件、特定资格条件进行审查。</w:t>
      </w:r>
    </w:p>
    <w:p>
      <w:pPr>
        <w:pStyle w:val="134"/>
        <w:wordWrap w:val="0"/>
        <w:spacing w:before="0"/>
        <w:ind w:firstLine="480"/>
        <w:rPr>
          <w:rFonts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pPr>
        <w:pStyle w:val="134"/>
        <w:wordWrap w:val="0"/>
        <w:spacing w:before="0"/>
        <w:ind w:firstLine="480"/>
        <w:rPr>
          <w:rFonts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4对未通过资格审查的投标人，采购人或采购代理机构告知其未通过的原因。</w:t>
      </w:r>
    </w:p>
    <w:p>
      <w:pPr>
        <w:pStyle w:val="134"/>
        <w:wordWrap w:val="0"/>
        <w:spacing w:before="0"/>
        <w:ind w:firstLine="480"/>
        <w:rPr>
          <w:rFonts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5合格投标人不足3家的，不再继续评标。</w:t>
      </w:r>
    </w:p>
    <w:p>
      <w:pPr>
        <w:pStyle w:val="134"/>
        <w:wordWrap w:val="0"/>
        <w:spacing w:before="0"/>
        <w:ind w:firstLine="480"/>
        <w:rPr>
          <w:rFonts w:ascii="仿宋" w:hAnsi="仿宋" w:eastAsia="仿宋" w:cs="仿宋"/>
          <w:highlight w:val="none"/>
        </w:rPr>
      </w:pPr>
      <w:r>
        <w:rPr>
          <w:rFonts w:hint="eastAsia" w:ascii="仿宋" w:hAnsi="仿宋" w:eastAsia="仿宋" w:cs="仿宋"/>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4"/>
        <w:numPr>
          <w:ilvl w:val="0"/>
          <w:numId w:val="5"/>
        </w:numPr>
        <w:wordWrap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信用信息查询</w:t>
      </w:r>
    </w:p>
    <w:p>
      <w:pPr>
        <w:pStyle w:val="134"/>
        <w:wordWrap w:val="0"/>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34"/>
        <w:wordWrap w:val="0"/>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pPr>
        <w:pStyle w:val="134"/>
        <w:wordWrap w:val="0"/>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4"/>
        <w:wordWrap w:val="0"/>
        <w:spacing w:before="0"/>
        <w:ind w:firstLine="480"/>
        <w:rPr>
          <w:rFonts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pPr>
        <w:pStyle w:val="134"/>
        <w:wordWrap w:val="0"/>
        <w:spacing w:before="0"/>
        <w:ind w:firstLine="0" w:firstLineChars="0"/>
        <w:rPr>
          <w:rFonts w:ascii="仿宋" w:hAnsi="仿宋" w:eastAsia="仿宋" w:cs="仿宋"/>
          <w:kern w:val="0"/>
          <w:szCs w:val="24"/>
          <w:highlight w:val="none"/>
        </w:rPr>
      </w:pPr>
    </w:p>
    <w:p>
      <w:pPr>
        <w:wordWrap w:val="0"/>
        <w:snapToGrid w:val="0"/>
        <w:spacing w:line="360" w:lineRule="auto"/>
        <w:jc w:val="center"/>
        <w:outlineLvl w:val="1"/>
        <w:rPr>
          <w:rFonts w:ascii="仿宋" w:hAnsi="仿宋" w:eastAsia="仿宋" w:cs="仿宋"/>
          <w:b/>
          <w:sz w:val="36"/>
          <w:szCs w:val="36"/>
          <w:highlight w:val="none"/>
        </w:rPr>
      </w:pPr>
      <w:r>
        <w:rPr>
          <w:rFonts w:hint="eastAsia" w:ascii="仿宋" w:hAnsi="仿宋" w:eastAsia="仿宋" w:cs="仿宋"/>
          <w:b/>
          <w:sz w:val="36"/>
          <w:szCs w:val="36"/>
          <w:highlight w:val="none"/>
        </w:rPr>
        <w:t>五、评标</w:t>
      </w:r>
    </w:p>
    <w:p>
      <w:pPr>
        <w:wordWrap w:val="0"/>
        <w:spacing w:line="360" w:lineRule="auto"/>
        <w:ind w:firstLine="241" w:firstLineChars="100"/>
        <w:rPr>
          <w:rFonts w:ascii="仿宋" w:hAnsi="仿宋" w:eastAsia="仿宋" w:cs="仿宋"/>
          <w:b/>
          <w:sz w:val="24"/>
          <w:highlight w:val="none"/>
        </w:rPr>
      </w:pPr>
      <w:bookmarkStart w:id="29" w:name="_Toc91899903"/>
      <w:r>
        <w:rPr>
          <w:rFonts w:hint="eastAsia" w:ascii="仿宋" w:hAnsi="仿宋" w:eastAsia="仿宋" w:cs="仿宋"/>
          <w:b/>
          <w:sz w:val="24"/>
          <w:highlight w:val="none"/>
        </w:rPr>
        <w:t>21.</w:t>
      </w:r>
      <w:r>
        <w:rPr>
          <w:rFonts w:hint="eastAsia" w:ascii="仿宋" w:hAnsi="仿宋" w:eastAsia="仿宋" w:cs="仿宋"/>
          <w:highlight w:val="none"/>
        </w:rPr>
        <w:t xml:space="preserve"> </w:t>
      </w: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pPr>
        <w:wordWrap w:val="0"/>
        <w:spacing w:line="360" w:lineRule="auto"/>
        <w:rPr>
          <w:rFonts w:ascii="仿宋" w:hAnsi="仿宋" w:eastAsia="仿宋" w:cs="仿宋"/>
          <w:b/>
          <w:sz w:val="24"/>
          <w:highlight w:val="none"/>
        </w:rPr>
      </w:pPr>
    </w:p>
    <w:p>
      <w:pPr>
        <w:wordWrap w:val="0"/>
        <w:snapToGrid w:val="0"/>
        <w:spacing w:line="360" w:lineRule="auto"/>
        <w:jc w:val="center"/>
        <w:outlineLvl w:val="1"/>
        <w:rPr>
          <w:rFonts w:ascii="仿宋" w:hAnsi="仿宋" w:eastAsia="仿宋" w:cs="仿宋"/>
          <w:b/>
          <w:sz w:val="36"/>
          <w:szCs w:val="36"/>
          <w:highlight w:val="none"/>
        </w:rPr>
      </w:pPr>
      <w:r>
        <w:rPr>
          <w:rFonts w:hint="eastAsia" w:ascii="仿宋" w:hAnsi="仿宋" w:eastAsia="仿宋" w:cs="仿宋"/>
          <w:b/>
          <w:sz w:val="36"/>
          <w:szCs w:val="36"/>
          <w:highlight w:val="none"/>
        </w:rPr>
        <w:t>六、定 标</w:t>
      </w:r>
    </w:p>
    <w:p>
      <w:pPr>
        <w:pStyle w:val="25"/>
        <w:wordWrap w:val="0"/>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22. 确定中标供应商</w:t>
      </w:r>
    </w:p>
    <w:p>
      <w:pPr>
        <w:pStyle w:val="134"/>
        <w:wordWrap w:val="0"/>
        <w:snapToGrid w:val="0"/>
        <w:spacing w:before="0"/>
        <w:ind w:firstLine="480"/>
        <w:rPr>
          <w:rFonts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供应商。中标、成交通知书和中标、成交结果公告应当在规定时间内同时发出。</w:t>
      </w:r>
    </w:p>
    <w:p>
      <w:pPr>
        <w:pStyle w:val="134"/>
        <w:wordWrap w:val="0"/>
        <w:snapToGrid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23. 中标通知与中标结果公告</w:t>
      </w:r>
    </w:p>
    <w:p>
      <w:pPr>
        <w:widowControl/>
        <w:shd w:val="clear" w:color="auto" w:fill="FFFFFF"/>
        <w:wordWrap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wordWrap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wordWrap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23.3公告期限为1个工作日。</w:t>
      </w:r>
    </w:p>
    <w:p>
      <w:pPr>
        <w:widowControl/>
        <w:shd w:val="clear" w:color="auto" w:fill="FFFFFF"/>
        <w:spacing w:line="360" w:lineRule="auto"/>
        <w:jc w:val="left"/>
        <w:rPr>
          <w:rFonts w:ascii="仿宋" w:hAnsi="仿宋" w:eastAsia="仿宋" w:cs="仿宋"/>
          <w:sz w:val="24"/>
          <w:highlight w:val="none"/>
        </w:rPr>
      </w:pPr>
      <w:r>
        <w:rPr>
          <w:rFonts w:hint="eastAsia" w:ascii="仿宋" w:hAnsi="仿宋" w:eastAsia="仿宋" w:cs="仿宋"/>
          <w:sz w:val="24"/>
          <w:highlight w:val="none"/>
        </w:rPr>
        <w:t>24.由于中标供应商原因导致重新采购的，应当承担支付代理费和专家评审费等费用在内的赔偿责任。</w:t>
      </w:r>
    </w:p>
    <w:p>
      <w:pPr>
        <w:wordWrap w:val="0"/>
        <w:snapToGrid w:val="0"/>
        <w:spacing w:line="360" w:lineRule="auto"/>
        <w:ind w:left="120" w:leftChars="57" w:firstLine="482" w:firstLineChars="150"/>
        <w:jc w:val="center"/>
        <w:outlineLvl w:val="1"/>
        <w:rPr>
          <w:rFonts w:ascii="仿宋" w:hAnsi="仿宋" w:eastAsia="仿宋" w:cs="仿宋"/>
          <w:b/>
          <w:sz w:val="32"/>
          <w:highlight w:val="none"/>
        </w:rPr>
      </w:pPr>
      <w:r>
        <w:rPr>
          <w:rFonts w:hint="eastAsia" w:ascii="仿宋" w:hAnsi="仿宋" w:eastAsia="仿宋" w:cs="仿宋"/>
          <w:b/>
          <w:sz w:val="32"/>
          <w:highlight w:val="none"/>
        </w:rPr>
        <w:t>七、合同授予</w:t>
      </w:r>
    </w:p>
    <w:p>
      <w:pPr>
        <w:pStyle w:val="25"/>
        <w:wordWrap w:val="0"/>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 xml:space="preserve">25. </w:t>
      </w:r>
      <w:r>
        <w:rPr>
          <w:rFonts w:hint="eastAsia" w:ascii="仿宋" w:hAnsi="仿宋" w:eastAsia="仿宋" w:cs="仿宋"/>
          <w:highlight w:val="none"/>
        </w:rPr>
        <w:t>合同主要条款详见第五部分拟签订的合同文本。</w:t>
      </w:r>
    </w:p>
    <w:p>
      <w:pPr>
        <w:pStyle w:val="25"/>
        <w:wordWrap w:val="0"/>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26. 合同的签订</w:t>
      </w:r>
    </w:p>
    <w:p>
      <w:pPr>
        <w:widowControl/>
        <w:shd w:val="clear" w:color="auto" w:fill="FFFFFF"/>
        <w:wordWrap w:val="0"/>
        <w:spacing w:line="360" w:lineRule="auto"/>
        <w:ind w:firstLine="480"/>
        <w:jc w:val="left"/>
        <w:rPr>
          <w:rFonts w:ascii="仿宋" w:hAnsi="仿宋" w:eastAsia="仿宋" w:cs="仿宋"/>
          <w:kern w:val="0"/>
          <w:sz w:val="24"/>
          <w:highlight w:val="none"/>
        </w:rPr>
      </w:pPr>
      <w:r>
        <w:rPr>
          <w:rFonts w:hint="eastAsia" w:ascii="仿宋" w:hAnsi="仿宋" w:eastAsia="仿宋" w:cs="仿宋"/>
          <w:sz w:val="24"/>
          <w:highlight w:val="none"/>
        </w:rPr>
        <w:t>26.1</w:t>
      </w:r>
      <w:r>
        <w:rPr>
          <w:rFonts w:hint="eastAsia" w:ascii="仿宋" w:hAnsi="仿宋" w:eastAsia="仿宋" w:cs="仿宋"/>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wordWrap w:val="0"/>
        <w:snapToGrid w:val="0"/>
        <w:spacing w:before="0"/>
        <w:ind w:firstLine="480"/>
        <w:rPr>
          <w:rFonts w:ascii="仿宋" w:hAnsi="仿宋" w:eastAsia="仿宋" w:cs="仿宋"/>
          <w:kern w:val="0"/>
          <w:highlight w:val="none"/>
        </w:rPr>
      </w:pPr>
      <w:r>
        <w:rPr>
          <w:rFonts w:hint="eastAsia" w:ascii="仿宋" w:hAnsi="仿宋" w:eastAsia="仿宋" w:cs="仿宋"/>
          <w:kern w:val="0"/>
          <w:highlight w:val="none"/>
          <w:lang w:val="zh-CN"/>
        </w:rPr>
        <w:t>2</w:t>
      </w:r>
      <w:r>
        <w:rPr>
          <w:rFonts w:hint="eastAsia" w:ascii="仿宋" w:hAnsi="仿宋" w:eastAsia="仿宋" w:cs="仿宋"/>
          <w:kern w:val="0"/>
          <w:highlight w:val="none"/>
        </w:rPr>
        <w:t>6</w:t>
      </w:r>
      <w:r>
        <w:rPr>
          <w:rFonts w:hint="eastAsia" w:ascii="仿宋" w:hAnsi="仿宋" w:eastAsia="仿宋" w:cs="仿宋"/>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pPr>
        <w:pStyle w:val="134"/>
        <w:wordWrap w:val="0"/>
        <w:snapToGrid w:val="0"/>
        <w:spacing w:before="0"/>
        <w:ind w:firstLine="480"/>
        <w:rPr>
          <w:rFonts w:ascii="仿宋" w:hAnsi="仿宋" w:eastAsia="仿宋" w:cs="仿宋"/>
          <w:highlight w:val="none"/>
        </w:rPr>
      </w:pPr>
      <w:r>
        <w:rPr>
          <w:rFonts w:hint="eastAsia" w:ascii="仿宋" w:hAnsi="仿宋" w:eastAsia="仿宋" w:cs="仿宋"/>
          <w:highlight w:val="none"/>
        </w:rPr>
        <w:t>26.3如签订合同并生效后，供应商无故拒绝或延期，除按照合同条款处理外，列入不良行为记录一次，并给予通报。</w:t>
      </w:r>
    </w:p>
    <w:p>
      <w:pPr>
        <w:pStyle w:val="134"/>
        <w:wordWrap w:val="0"/>
        <w:snapToGrid w:val="0"/>
        <w:spacing w:before="0" w:after="120"/>
        <w:ind w:firstLine="480"/>
        <w:rPr>
          <w:rFonts w:ascii="仿宋" w:hAnsi="仿宋" w:eastAsia="仿宋" w:cs="仿宋"/>
          <w:highlight w:val="none"/>
        </w:rPr>
      </w:pPr>
      <w:r>
        <w:rPr>
          <w:rFonts w:hint="eastAsia" w:ascii="仿宋" w:hAnsi="仿宋" w:eastAsia="仿宋" w:cs="仿宋"/>
          <w:highlight w:val="none"/>
        </w:rPr>
        <w:t>26.4中标供应商拒绝与采购人签订合同的，采购人可以按照评标报告推荐的中标候选人名单排序，确定下一候选人为中标供应商，也可以重新开展政府采购活动。</w:t>
      </w:r>
    </w:p>
    <w:p>
      <w:pPr>
        <w:pStyle w:val="134"/>
        <w:wordWrap w:val="0"/>
        <w:snapToGrid w:val="0"/>
        <w:spacing w:before="0" w:after="120"/>
        <w:ind w:firstLine="480"/>
        <w:rPr>
          <w:rFonts w:ascii="仿宋" w:hAnsi="仿宋" w:eastAsia="仿宋" w:cs="仿宋"/>
          <w:highlight w:val="none"/>
        </w:rPr>
      </w:pPr>
      <w:r>
        <w:rPr>
          <w:rFonts w:hint="eastAsia" w:ascii="仿宋" w:hAnsi="仿宋" w:eastAsia="仿宋" w:cs="仿宋"/>
          <w:highlight w:val="none"/>
        </w:rPr>
        <w:t>26.5采购合同由采购人与中标供应商根据招标文件、投标文件等内容通过政府采购电子交易平台在线签订，自动备案。</w:t>
      </w:r>
    </w:p>
    <w:p>
      <w:pPr>
        <w:pStyle w:val="25"/>
        <w:wordWrap w:val="0"/>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27. 履约保证金</w:t>
      </w:r>
    </w:p>
    <w:p>
      <w:pPr>
        <w:tabs>
          <w:tab w:val="left" w:pos="0"/>
        </w:tabs>
        <w:wordWrap w:val="0"/>
        <w:spacing w:line="360" w:lineRule="auto"/>
        <w:ind w:firstLine="482"/>
        <w:rPr>
          <w:rFonts w:ascii="仿宋" w:hAnsi="仿宋" w:eastAsia="仿宋" w:cs="仿宋"/>
          <w:b/>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wordWrap w:val="0"/>
        <w:spacing w:line="360" w:lineRule="auto"/>
        <w:ind w:firstLine="482"/>
        <w:rPr>
          <w:rFonts w:ascii="仿宋" w:hAnsi="仿宋" w:eastAsia="仿宋" w:cs="仿宋"/>
          <w:kern w:val="0"/>
          <w:sz w:val="24"/>
          <w:highlight w:val="none"/>
        </w:rPr>
      </w:pPr>
      <w:r>
        <w:rPr>
          <w:rFonts w:hint="eastAsia" w:ascii="仿宋" w:hAnsi="仿宋" w:eastAsia="仿宋" w:cs="仿宋"/>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28.预付款</w:t>
      </w:r>
    </w:p>
    <w:p>
      <w:pPr>
        <w:tabs>
          <w:tab w:val="left" w:pos="0"/>
        </w:tabs>
        <w:wordWrap w:val="0"/>
        <w:spacing w:line="360" w:lineRule="auto"/>
        <w:ind w:firstLine="482"/>
        <w:rPr>
          <w:rFonts w:ascii="仿宋" w:hAnsi="仿宋" w:eastAsia="仿宋" w:cs="仿宋"/>
          <w:kern w:val="0"/>
          <w:sz w:val="24"/>
          <w:highlight w:val="none"/>
        </w:rPr>
      </w:pPr>
      <w:r>
        <w:rPr>
          <w:rFonts w:hint="eastAsia" w:ascii="仿宋" w:hAnsi="仿宋" w:eastAsia="仿宋" w:cs="仿宋"/>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val="0"/>
        <w:snapToGrid w:val="0"/>
        <w:spacing w:line="360" w:lineRule="auto"/>
        <w:ind w:firstLine="3357" w:firstLineChars="1045"/>
        <w:rPr>
          <w:rFonts w:ascii="仿宋" w:hAnsi="仿宋" w:eastAsia="仿宋" w:cs="仿宋"/>
          <w:b/>
          <w:sz w:val="32"/>
          <w:highlight w:val="none"/>
        </w:rPr>
      </w:pPr>
    </w:p>
    <w:p>
      <w:pPr>
        <w:rPr>
          <w:rFonts w:ascii="仿宋" w:hAnsi="仿宋" w:eastAsia="仿宋" w:cs="仿宋"/>
          <w:b/>
          <w:sz w:val="32"/>
          <w:highlight w:val="none"/>
        </w:rPr>
      </w:pPr>
      <w:r>
        <w:rPr>
          <w:rFonts w:hint="eastAsia" w:ascii="仿宋" w:hAnsi="仿宋" w:eastAsia="仿宋" w:cs="仿宋"/>
          <w:b/>
          <w:sz w:val="32"/>
          <w:highlight w:val="none"/>
        </w:rPr>
        <w:br w:type="page"/>
      </w:r>
    </w:p>
    <w:p>
      <w:pPr>
        <w:wordWrap w:val="0"/>
        <w:snapToGrid w:val="0"/>
        <w:spacing w:line="360" w:lineRule="auto"/>
        <w:ind w:firstLine="3357" w:firstLineChars="1045"/>
        <w:outlineLvl w:val="1"/>
        <w:rPr>
          <w:rFonts w:ascii="仿宋" w:hAnsi="仿宋" w:eastAsia="仿宋" w:cs="仿宋"/>
          <w:b/>
          <w:sz w:val="24"/>
          <w:highlight w:val="none"/>
        </w:rPr>
      </w:pPr>
      <w:r>
        <w:rPr>
          <w:rFonts w:hint="eastAsia" w:ascii="仿宋" w:hAnsi="仿宋" w:eastAsia="仿宋" w:cs="仿宋"/>
          <w:b/>
          <w:sz w:val="32"/>
          <w:highlight w:val="none"/>
        </w:rPr>
        <w:t>八、电子交易活动的中止</w:t>
      </w:r>
    </w:p>
    <w:p>
      <w:pPr>
        <w:pStyle w:val="134"/>
        <w:wordWrap w:val="0"/>
        <w:snapToGrid w:val="0"/>
        <w:spacing w:before="0"/>
        <w:ind w:firstLine="0" w:firstLineChars="0"/>
        <w:rPr>
          <w:rFonts w:ascii="仿宋" w:hAnsi="仿宋" w:eastAsia="仿宋" w:cs="仿宋"/>
          <w:highlight w:val="none"/>
        </w:rPr>
      </w:pPr>
      <w:r>
        <w:rPr>
          <w:rFonts w:hint="eastAsia" w:ascii="仿宋" w:hAnsi="仿宋" w:eastAsia="仿宋" w:cs="仿宋"/>
          <w:b/>
          <w:bCs/>
          <w:highlight w:val="none"/>
        </w:rPr>
        <w:t>2</w:t>
      </w:r>
      <w:r>
        <w:rPr>
          <w:rFonts w:hint="eastAsia" w:ascii="仿宋" w:hAnsi="仿宋" w:eastAsia="仿宋" w:cs="仿宋"/>
          <w:b/>
          <w:bCs/>
          <w:szCs w:val="24"/>
          <w:highlight w:val="none"/>
        </w:rPr>
        <w:t xml:space="preserve">9. </w:t>
      </w:r>
      <w:r>
        <w:rPr>
          <w:rFonts w:hint="eastAsia" w:ascii="仿宋" w:hAnsi="仿宋" w:eastAsia="仿宋" w:cs="仿宋"/>
          <w:b/>
          <w:szCs w:val="24"/>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采购过程中出现以下情形，导致电子交易平台无法正常运行，或者无法保证电子交易的公平、公正和安全时，采购代理机构可中止电子交易活动：</w:t>
      </w:r>
    </w:p>
    <w:p>
      <w:pPr>
        <w:tabs>
          <w:tab w:val="left" w:pos="0"/>
        </w:tabs>
        <w:wordWrap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 xml:space="preserve">29.1电子交易平台发生故障而无法登录访问的； </w:t>
      </w:r>
    </w:p>
    <w:p>
      <w:pPr>
        <w:tabs>
          <w:tab w:val="left" w:pos="0"/>
        </w:tabs>
        <w:wordWrap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29.2电子交易平台应用或数据库出现错误，不能进行正常操作的；</w:t>
      </w:r>
    </w:p>
    <w:p>
      <w:pPr>
        <w:tabs>
          <w:tab w:val="left" w:pos="0"/>
        </w:tabs>
        <w:wordWrap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29.3电子交易平台发现严重安全漏洞，有潜在泄密危险的；</w:t>
      </w:r>
    </w:p>
    <w:p>
      <w:pPr>
        <w:tabs>
          <w:tab w:val="left" w:pos="0"/>
        </w:tabs>
        <w:wordWrap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 xml:space="preserve">29.4病毒发作导致不能进行正常操作的； </w:t>
      </w:r>
    </w:p>
    <w:p>
      <w:pPr>
        <w:tabs>
          <w:tab w:val="left" w:pos="0"/>
        </w:tabs>
        <w:wordWrap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29.5其他无法保证电子交易的公平、公正和安全的情况。</w:t>
      </w:r>
    </w:p>
    <w:p>
      <w:pPr>
        <w:tabs>
          <w:tab w:val="left" w:pos="0"/>
        </w:tabs>
        <w:wordWrap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pPr>
        <w:wordWrap w:val="0"/>
        <w:snapToGrid w:val="0"/>
        <w:spacing w:line="360" w:lineRule="auto"/>
        <w:ind w:left="120" w:leftChars="57" w:firstLine="482" w:firstLineChars="150"/>
        <w:jc w:val="center"/>
        <w:outlineLvl w:val="1"/>
        <w:rPr>
          <w:rFonts w:ascii="仿宋" w:hAnsi="仿宋" w:eastAsia="仿宋" w:cs="仿宋"/>
          <w:b/>
          <w:sz w:val="32"/>
          <w:highlight w:val="none"/>
        </w:rPr>
      </w:pPr>
      <w:r>
        <w:rPr>
          <w:rFonts w:hint="eastAsia" w:ascii="仿宋" w:hAnsi="仿宋" w:eastAsia="仿宋" w:cs="仿宋"/>
          <w:b/>
          <w:sz w:val="32"/>
          <w:highlight w:val="none"/>
        </w:rPr>
        <w:t>九、验收</w:t>
      </w:r>
    </w:p>
    <w:p>
      <w:pPr>
        <w:pStyle w:val="25"/>
        <w:wordWrap w:val="0"/>
        <w:spacing w:line="360" w:lineRule="auto"/>
        <w:ind w:firstLine="0" w:firstLineChars="0"/>
        <w:rPr>
          <w:rFonts w:ascii="仿宋" w:hAnsi="仿宋" w:eastAsia="仿宋" w:cs="仿宋"/>
          <w:b/>
          <w:highlight w:val="none"/>
        </w:rPr>
      </w:pPr>
      <w:r>
        <w:rPr>
          <w:rFonts w:hint="eastAsia" w:ascii="仿宋" w:hAnsi="仿宋" w:eastAsia="仿宋" w:cs="仿宋"/>
          <w:b/>
          <w:highlight w:val="none"/>
        </w:rPr>
        <w:t>31. 验收</w:t>
      </w:r>
    </w:p>
    <w:p>
      <w:pPr>
        <w:tabs>
          <w:tab w:val="left" w:pos="0"/>
        </w:tabs>
        <w:wordWrap w:val="0"/>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wordWrap w:val="0"/>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31.2采购人可以邀请参加本项目的其他投标人或者第三方机构参与验收。参与验收的投标人或者第三方机构的意见作为验收书的参考资料一并存档。</w:t>
      </w:r>
    </w:p>
    <w:p>
      <w:pPr>
        <w:tabs>
          <w:tab w:val="left" w:pos="0"/>
        </w:tabs>
        <w:wordWrap w:val="0"/>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firstLineChars="200"/>
        <w:rPr>
          <w:rFonts w:ascii="仿宋" w:hAnsi="仿宋" w:eastAsia="仿宋" w:cs="仿宋"/>
          <w:sz w:val="18"/>
          <w:szCs w:val="18"/>
          <w:highlight w:val="none"/>
        </w:rPr>
      </w:pPr>
      <w:r>
        <w:rPr>
          <w:rFonts w:hint="eastAsia" w:ascii="仿宋" w:hAnsi="仿宋" w:eastAsia="仿宋" w:cs="仿宋"/>
          <w:kern w:val="0"/>
          <w:sz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29"/>
    <w:p>
      <w:pPr>
        <w:tabs>
          <w:tab w:val="left" w:pos="0"/>
        </w:tabs>
        <w:wordWrap w:val="0"/>
        <w:spacing w:line="360" w:lineRule="auto"/>
        <w:ind w:firstLine="480"/>
        <w:rPr>
          <w:rFonts w:ascii="仿宋" w:hAnsi="仿宋" w:eastAsia="仿宋" w:cs="仿宋"/>
          <w:kern w:val="0"/>
          <w:sz w:val="24"/>
          <w:highlight w:val="none"/>
        </w:rPr>
        <w:sectPr>
          <w:pgSz w:w="11905" w:h="16838"/>
          <w:pgMar w:top="652" w:right="1417" w:bottom="680" w:left="1417" w:header="539" w:footer="425" w:gutter="0"/>
          <w:cols w:space="0" w:num="1"/>
          <w:titlePg/>
          <w:docGrid w:linePitch="312" w:charSpace="0"/>
        </w:sectPr>
      </w:pPr>
      <w:bookmarkStart w:id="30" w:name="_Hlt68057669"/>
      <w:bookmarkEnd w:id="30"/>
      <w:bookmarkStart w:id="31" w:name="_Hlt68073093"/>
      <w:bookmarkEnd w:id="31"/>
      <w:bookmarkStart w:id="32" w:name="_Hlt74730295"/>
      <w:bookmarkEnd w:id="32"/>
      <w:bookmarkStart w:id="33" w:name="_Hlt74714665"/>
      <w:bookmarkEnd w:id="33"/>
      <w:bookmarkStart w:id="34" w:name="_Hlt74707468"/>
      <w:bookmarkEnd w:id="34"/>
      <w:bookmarkStart w:id="35" w:name="_Hlt75236011"/>
      <w:bookmarkEnd w:id="35"/>
      <w:bookmarkStart w:id="36" w:name="_Hlt68072998"/>
      <w:bookmarkEnd w:id="36"/>
      <w:bookmarkStart w:id="37" w:name="_Hlt68403820"/>
      <w:bookmarkEnd w:id="37"/>
      <w:bookmarkStart w:id="38" w:name="_Hlt75236290"/>
      <w:bookmarkEnd w:id="38"/>
      <w:bookmarkStart w:id="39" w:name="_Hlt74729768"/>
      <w:bookmarkEnd w:id="39"/>
      <w:bookmarkStart w:id="40" w:name="_Hlt75236101"/>
      <w:bookmarkEnd w:id="40"/>
      <w:bookmarkStart w:id="41" w:name="_Hlt68072990"/>
      <w:bookmarkEnd w:id="41"/>
    </w:p>
    <w:bookmarkEnd w:id="27"/>
    <w:bookmarkEnd w:id="28"/>
    <w:p>
      <w:pPr>
        <w:wordWrap w:val="0"/>
        <w:spacing w:line="360" w:lineRule="auto"/>
        <w:jc w:val="center"/>
        <w:outlineLvl w:val="0"/>
        <w:rPr>
          <w:rFonts w:ascii="仿宋" w:hAnsi="仿宋" w:eastAsia="仿宋" w:cs="仿宋"/>
          <w:b/>
          <w:sz w:val="36"/>
          <w:szCs w:val="36"/>
          <w:highlight w:val="none"/>
        </w:rPr>
      </w:pPr>
      <w:bookmarkStart w:id="42" w:name="_Toc10476"/>
      <w:bookmarkStart w:id="43" w:name="_Toc23290"/>
      <w:bookmarkStart w:id="44" w:name="_Toc16672"/>
      <w:bookmarkStart w:id="45" w:name="_Toc135"/>
      <w:bookmarkStart w:id="46" w:name="_Toc377"/>
      <w:bookmarkStart w:id="47" w:name="_Toc8370"/>
      <w:bookmarkStart w:id="48" w:name="_Toc17637"/>
      <w:bookmarkStart w:id="49" w:name="第四部分"/>
      <w:r>
        <w:rPr>
          <w:rFonts w:hint="eastAsia" w:ascii="仿宋" w:hAnsi="仿宋" w:eastAsia="仿宋" w:cs="仿宋"/>
          <w:b/>
          <w:sz w:val="36"/>
          <w:szCs w:val="36"/>
          <w:highlight w:val="none"/>
        </w:rPr>
        <w:t>第三部分 采购需求</w:t>
      </w:r>
      <w:bookmarkEnd w:id="42"/>
      <w:bookmarkEnd w:id="43"/>
      <w:bookmarkEnd w:id="44"/>
      <w:bookmarkEnd w:id="45"/>
      <w:bookmarkEnd w:id="46"/>
      <w:bookmarkEnd w:id="47"/>
      <w:bookmarkEnd w:id="48"/>
    </w:p>
    <w:p>
      <w:pPr>
        <w:pStyle w:val="2"/>
        <w:spacing w:before="0" w:after="0" w:line="360" w:lineRule="auto"/>
        <w:ind w:left="0" w:firstLine="482" w:firstLineChars="200"/>
        <w:rPr>
          <w:rFonts w:ascii="仿宋" w:hAnsi="仿宋" w:eastAsia="仿宋" w:cs="仿宋"/>
          <w:sz w:val="24"/>
          <w:szCs w:val="24"/>
          <w:highlight w:val="none"/>
        </w:rPr>
      </w:pPr>
      <w:bookmarkStart w:id="50" w:name="_Toc28895"/>
      <w:bookmarkStart w:id="51" w:name="_Toc6657"/>
      <w:bookmarkStart w:id="52" w:name="_Toc12173"/>
      <w:bookmarkStart w:id="53" w:name="_Toc24799"/>
      <w:bookmarkStart w:id="54" w:name="_Toc22598"/>
      <w:r>
        <w:rPr>
          <w:rFonts w:hint="eastAsia" w:ascii="仿宋" w:hAnsi="仿宋" w:eastAsia="仿宋" w:cs="仿宋"/>
          <w:sz w:val="24"/>
          <w:szCs w:val="24"/>
          <w:highlight w:val="none"/>
        </w:rPr>
        <w:t>一、项目概况</w:t>
      </w:r>
    </w:p>
    <w:p>
      <w:pPr>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sz w:val="24"/>
          <w:highlight w:val="none"/>
        </w:rPr>
        <w:t>杭州学军中学桐庐学校选址杭州市桐庐县城南街道富春山健区块，学校办学规模为48班，将于2024年9月正式开学。</w:t>
      </w:r>
    </w:p>
    <w:p>
      <w:pPr>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学校图书馆建设项目包括研、憩、创意阅览区、书籍管理室以及主题门厅的建设，并搭载建设图书馆基础设备，让图书馆管理手段更现代化、智能化，构建校园阅读生态系统。</w:t>
      </w:r>
    </w:p>
    <w:p>
      <w:pPr>
        <w:pStyle w:val="2"/>
        <w:spacing w:before="0" w:after="0" w:line="360" w:lineRule="auto"/>
        <w:ind w:left="0" w:firstLine="482" w:firstLineChars="200"/>
        <w:rPr>
          <w:rFonts w:ascii="仿宋" w:hAnsi="仿宋" w:eastAsia="仿宋" w:cs="仿宋"/>
          <w:sz w:val="24"/>
          <w:szCs w:val="24"/>
          <w:highlight w:val="none"/>
        </w:rPr>
      </w:pPr>
      <w:r>
        <w:rPr>
          <w:rFonts w:hint="eastAsia" w:ascii="仿宋" w:hAnsi="仿宋" w:eastAsia="仿宋" w:cs="仿宋"/>
          <w:sz w:val="24"/>
          <w:szCs w:val="24"/>
          <w:highlight w:val="none"/>
        </w:rPr>
        <w:t>二、项目要求</w:t>
      </w:r>
    </w:p>
    <w:p>
      <w:pPr>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杭州学军中学桐庐学校图书馆建设的作用在于提升我校学生学习的方法，培养学生分析问题、解决问题的实际能力，并满足以下功能：</w:t>
      </w:r>
    </w:p>
    <w:p>
      <w:pPr>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1.提供丰富多样的图书资源，满足学生的各种需求。</w:t>
      </w:r>
    </w:p>
    <w:p>
      <w:pPr>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2.创造舒适的研究空间，促进学生的自主研究和合作研究。</w:t>
      </w:r>
    </w:p>
    <w:p>
      <w:pPr>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3.引入现代化的技术设施，提供电子资源和智能化服务，</w:t>
      </w:r>
    </w:p>
    <w:p>
      <w:pPr>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4.打造具有活力和创新氛围的研究中心。</w:t>
      </w:r>
    </w:p>
    <w:p>
      <w:pPr>
        <w:pStyle w:val="2"/>
        <w:numPr>
          <w:ilvl w:val="0"/>
          <w:numId w:val="6"/>
        </w:numPr>
        <w:spacing w:before="0" w:after="0" w:line="360" w:lineRule="auto"/>
        <w:ind w:left="0" w:firstLine="482" w:firstLineChars="200"/>
        <w:rPr>
          <w:rFonts w:ascii="仿宋" w:hAnsi="仿宋" w:eastAsia="仿宋" w:cs="仿宋"/>
          <w:sz w:val="24"/>
          <w:szCs w:val="24"/>
          <w:highlight w:val="none"/>
          <w:lang w:bidi="ar"/>
        </w:rPr>
      </w:pPr>
      <w:r>
        <w:rPr>
          <w:rFonts w:hint="eastAsia" w:ascii="仿宋" w:hAnsi="仿宋" w:eastAsia="仿宋" w:cs="仿宋"/>
          <w:sz w:val="24"/>
          <w:szCs w:val="24"/>
          <w:highlight w:val="none"/>
          <w:lang w:bidi="ar"/>
        </w:rPr>
        <w:t>功能区域布置</w:t>
      </w:r>
    </w:p>
    <w:p>
      <w:pPr>
        <w:pStyle w:val="2"/>
        <w:numPr>
          <w:ilvl w:val="0"/>
          <w:numId w:val="7"/>
        </w:numPr>
        <w:tabs>
          <w:tab w:val="clear" w:pos="312"/>
        </w:tabs>
        <w:spacing w:before="0" w:after="0" w:line="360" w:lineRule="auto"/>
        <w:ind w:left="0" w:firstLine="480" w:firstLineChars="200"/>
        <w:rPr>
          <w:rFonts w:ascii="仿宋" w:hAnsi="仿宋" w:eastAsia="仿宋" w:cs="仿宋"/>
          <w:b w:val="0"/>
          <w:bCs w:val="0"/>
          <w:sz w:val="24"/>
          <w:szCs w:val="24"/>
          <w:highlight w:val="none"/>
          <w:lang w:bidi="ar"/>
        </w:rPr>
      </w:pPr>
      <w:r>
        <w:rPr>
          <w:rFonts w:hint="eastAsia" w:ascii="仿宋" w:hAnsi="仿宋" w:eastAsia="仿宋" w:cs="仿宋"/>
          <w:b w:val="0"/>
          <w:bCs w:val="0"/>
          <w:sz w:val="24"/>
          <w:szCs w:val="24"/>
          <w:highlight w:val="none"/>
          <w:lang w:bidi="ar"/>
        </w:rPr>
        <w:t>功能平面布置</w:t>
      </w:r>
    </w:p>
    <w:p>
      <w:pPr>
        <w:numPr>
          <w:ilvl w:val="255"/>
          <w:numId w:val="0"/>
        </w:numPr>
        <w:rPr>
          <w:highlight w:val="none"/>
        </w:rPr>
      </w:pPr>
      <w:r>
        <w:rPr>
          <w:highlight w:val="none"/>
        </w:rPr>
        <w:drawing>
          <wp:inline distT="0" distB="0" distL="0" distR="0">
            <wp:extent cx="4014470" cy="4903470"/>
            <wp:effectExtent l="0" t="0" r="11430"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4"/>
                    <a:stretch>
                      <a:fillRect/>
                    </a:stretch>
                  </pic:blipFill>
                  <pic:spPr>
                    <a:xfrm rot="5400000">
                      <a:off x="0" y="0"/>
                      <a:ext cx="4014470" cy="4904008"/>
                    </a:xfrm>
                    <a:prstGeom prst="rect">
                      <a:avLst/>
                    </a:prstGeom>
                  </pic:spPr>
                </pic:pic>
              </a:graphicData>
            </a:graphic>
          </wp:inline>
        </w:drawing>
      </w:r>
    </w:p>
    <w:p>
      <w:pPr>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sz w:val="24"/>
          <w:highlight w:val="none"/>
          <w:lang w:bidi="ar"/>
        </w:rPr>
        <w:t>2.图书馆建筑图详见附件</w:t>
      </w:r>
    </w:p>
    <w:p>
      <w:pPr>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br w:type="page"/>
      </w:r>
    </w:p>
    <w:p>
      <w:pPr>
        <w:spacing w:line="360" w:lineRule="auto"/>
        <w:ind w:firstLine="480" w:firstLineChars="200"/>
        <w:outlineLvl w:val="1"/>
        <w:rPr>
          <w:rFonts w:ascii="仿宋" w:hAnsi="仿宋" w:eastAsia="仿宋" w:cs="仿宋"/>
          <w:b/>
          <w:bCs/>
          <w:sz w:val="24"/>
          <w:highlight w:val="none"/>
        </w:rPr>
      </w:pPr>
      <w:r>
        <w:rPr>
          <w:rFonts w:hint="eastAsia" w:ascii="仿宋" w:hAnsi="仿宋" w:eastAsia="仿宋" w:cs="仿宋"/>
          <w:kern w:val="0"/>
          <w:sz w:val="24"/>
          <w:highlight w:val="none"/>
          <w:lang w:bidi="ar"/>
        </w:rPr>
        <w:t>四</w:t>
      </w:r>
      <w:r>
        <w:rPr>
          <w:rFonts w:hint="eastAsia" w:ascii="仿宋" w:hAnsi="仿宋" w:eastAsia="仿宋" w:cs="仿宋"/>
          <w:b/>
          <w:bCs/>
          <w:sz w:val="24"/>
          <w:highlight w:val="none"/>
          <w:lang w:bidi="ar"/>
        </w:rPr>
        <w:t>、</w:t>
      </w:r>
      <w:r>
        <w:rPr>
          <w:rFonts w:hint="eastAsia" w:ascii="仿宋" w:hAnsi="仿宋" w:eastAsia="仿宋" w:cs="仿宋"/>
          <w:b/>
          <w:bCs/>
          <w:sz w:val="24"/>
          <w:highlight w:val="none"/>
        </w:rPr>
        <w:t>项目采购清单和参数要求</w:t>
      </w:r>
    </w:p>
    <w:tbl>
      <w:tblPr>
        <w:tblStyle w:val="62"/>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63"/>
        <w:gridCol w:w="4352"/>
        <w:gridCol w:w="719"/>
        <w:gridCol w:w="528"/>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序号</w:t>
            </w:r>
          </w:p>
        </w:tc>
        <w:tc>
          <w:tcPr>
            <w:tcW w:w="519" w:type="pct"/>
            <w:shd w:val="clear" w:color="auto" w:fill="auto"/>
            <w:vAlign w:val="center"/>
          </w:tcPr>
          <w:p>
            <w:pPr>
              <w:widowControl/>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名称</w:t>
            </w:r>
          </w:p>
        </w:tc>
        <w:tc>
          <w:tcPr>
            <w:tcW w:w="2347" w:type="pct"/>
            <w:shd w:val="clear" w:color="auto" w:fill="auto"/>
            <w:vAlign w:val="center"/>
          </w:tcPr>
          <w:p>
            <w:pPr>
              <w:widowControl/>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参数要求</w:t>
            </w:r>
          </w:p>
        </w:tc>
        <w:tc>
          <w:tcPr>
            <w:tcW w:w="388" w:type="pct"/>
            <w:shd w:val="clear" w:color="auto" w:fill="auto"/>
            <w:vAlign w:val="center"/>
          </w:tcPr>
          <w:p>
            <w:pPr>
              <w:widowControl/>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数量</w:t>
            </w:r>
          </w:p>
        </w:tc>
        <w:tc>
          <w:tcPr>
            <w:tcW w:w="285" w:type="pct"/>
            <w:shd w:val="clear" w:color="auto" w:fill="auto"/>
            <w:vAlign w:val="center"/>
          </w:tcPr>
          <w:p>
            <w:pPr>
              <w:widowControl/>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单位</w:t>
            </w:r>
          </w:p>
        </w:tc>
        <w:tc>
          <w:tcPr>
            <w:tcW w:w="1078" w:type="pct"/>
            <w:shd w:val="clear" w:color="auto" w:fill="auto"/>
            <w:vAlign w:val="center"/>
          </w:tcPr>
          <w:p>
            <w:pPr>
              <w:widowControl/>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图片（仅供参考）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99" w:type="pct"/>
            <w:gridSpan w:val="2"/>
            <w:shd w:val="clear" w:color="auto" w:fill="auto"/>
            <w:vAlign w:val="center"/>
          </w:tcPr>
          <w:p>
            <w:pPr>
              <w:widowControl/>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一、研讨区</w:t>
            </w:r>
          </w:p>
        </w:tc>
        <w:tc>
          <w:tcPr>
            <w:tcW w:w="2347" w:type="pct"/>
            <w:shd w:val="clear" w:color="auto" w:fill="auto"/>
            <w:noWrap/>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w:t>
            </w:r>
          </w:p>
        </w:tc>
        <w:tc>
          <w:tcPr>
            <w:tcW w:w="388" w:type="pct"/>
            <w:shd w:val="clear" w:color="auto" w:fill="auto"/>
            <w:noWrap/>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w:t>
            </w:r>
          </w:p>
        </w:tc>
        <w:tc>
          <w:tcPr>
            <w:tcW w:w="285" w:type="pct"/>
            <w:shd w:val="clear" w:color="auto" w:fill="auto"/>
            <w:noWrap/>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w:t>
            </w:r>
          </w:p>
        </w:tc>
        <w:tc>
          <w:tcPr>
            <w:tcW w:w="1078" w:type="pct"/>
            <w:shd w:val="clear" w:color="auto" w:fill="auto"/>
            <w:noWrap/>
            <w:vAlign w:val="center"/>
          </w:tcPr>
          <w:p>
            <w:pPr>
              <w:widowControl/>
              <w:jc w:val="left"/>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书写桌</w:t>
            </w:r>
          </w:p>
        </w:tc>
        <w:tc>
          <w:tcPr>
            <w:tcW w:w="2347" w:type="pct"/>
            <w:shd w:val="clear" w:color="auto" w:fill="auto"/>
            <w:vAlign w:val="center"/>
          </w:tcPr>
          <w:p>
            <w:pPr>
              <w:widowControl/>
              <w:numPr>
                <w:ilvl w:val="255"/>
                <w:numId w:val="0"/>
              </w:numPr>
              <w:jc w:val="left"/>
              <w:rPr>
                <w:rFonts w:ascii="仿宋" w:hAnsi="仿宋" w:eastAsia="仿宋" w:cs="仿宋"/>
                <w:kern w:val="0"/>
                <w:szCs w:val="21"/>
                <w:highlight w:val="none"/>
              </w:rPr>
            </w:pPr>
            <w:r>
              <w:rPr>
                <w:rFonts w:hint="eastAsia" w:ascii="仿宋" w:hAnsi="仿宋" w:eastAsia="仿宋" w:cs="仿宋"/>
                <w:kern w:val="0"/>
                <w:szCs w:val="21"/>
                <w:highlight w:val="none"/>
              </w:rPr>
              <w:t>1、台面采用环保实木多层板，厚度≥25MM；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2、封边采用≥2mm厚PVC封边条，采用全自动封边机热熔胶封边；</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3、冷轧钢桌架，厚度≥1.2MM，高温静电喷涂，稳固耐用；</w:t>
            </w:r>
          </w:p>
          <w:p>
            <w:pPr>
              <w:widowControl/>
              <w:numPr>
                <w:ilvl w:val="0"/>
                <w:numId w:val="8"/>
              </w:numPr>
              <w:jc w:val="left"/>
              <w:rPr>
                <w:rFonts w:ascii="仿宋" w:hAnsi="仿宋" w:eastAsia="仿宋" w:cs="仿宋"/>
                <w:kern w:val="0"/>
                <w:szCs w:val="21"/>
                <w:highlight w:val="none"/>
              </w:rPr>
            </w:pPr>
            <w:r>
              <w:rPr>
                <w:rFonts w:hint="eastAsia" w:ascii="仿宋" w:hAnsi="仿宋" w:eastAsia="仿宋" w:cs="仿宋"/>
                <w:kern w:val="0"/>
                <w:szCs w:val="21"/>
                <w:highlight w:val="none"/>
              </w:rPr>
              <w:t>尺寸：1200*500*750mm；</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12</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张</w:t>
            </w:r>
          </w:p>
        </w:tc>
        <w:tc>
          <w:tcPr>
            <w:tcW w:w="1078" w:type="pct"/>
            <w:shd w:val="clear" w:color="auto" w:fill="auto"/>
            <w:vAlign w:val="center"/>
          </w:tcPr>
          <w:p>
            <w:pPr>
              <w:widowControl/>
              <w:jc w:val="center"/>
              <w:rPr>
                <w:rFonts w:ascii="仿宋" w:hAnsi="仿宋" w:eastAsia="仿宋" w:cs="仿宋"/>
                <w:kern w:val="0"/>
                <w:szCs w:val="21"/>
                <w:highlight w:val="none"/>
              </w:rPr>
            </w:pPr>
            <w:r>
              <w:rPr>
                <w:rFonts w:ascii="仿宋" w:hAnsi="仿宋" w:eastAsia="仿宋" w:cs="仿宋"/>
                <w:kern w:val="0"/>
                <w:szCs w:val="21"/>
                <w:highlight w:val="none"/>
              </w:rPr>
              <w:drawing>
                <wp:inline distT="0" distB="0" distL="0" distR="0">
                  <wp:extent cx="1228090" cy="89979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28220" cy="90000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椅子1</w:t>
            </w:r>
          </w:p>
        </w:tc>
        <w:tc>
          <w:tcPr>
            <w:tcW w:w="2347" w:type="pct"/>
            <w:shd w:val="clear" w:color="auto" w:fill="auto"/>
            <w:vAlign w:val="center"/>
          </w:tcPr>
          <w:p>
            <w:pPr>
              <w:widowControl/>
              <w:numPr>
                <w:ilvl w:val="0"/>
                <w:numId w:val="9"/>
              </w:numPr>
              <w:jc w:val="left"/>
              <w:rPr>
                <w:rFonts w:ascii="仿宋" w:hAnsi="仿宋" w:eastAsia="仿宋" w:cs="仿宋"/>
                <w:kern w:val="0"/>
                <w:szCs w:val="21"/>
                <w:highlight w:val="none"/>
              </w:rPr>
            </w:pPr>
            <w:r>
              <w:rPr>
                <w:rFonts w:hint="eastAsia" w:ascii="仿宋" w:hAnsi="仿宋" w:eastAsia="仿宋" w:cs="仿宋"/>
                <w:kern w:val="0"/>
                <w:szCs w:val="21"/>
                <w:highlight w:val="none"/>
              </w:rPr>
              <w:t>全新PP+玻纤，一体成型，超韧弹性背；</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2、高弹力海绵座垫，舒适透气；</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3、Φ12mm实心钢，表面细纱白处理椅架，金属质感，稳固性强，防滑脚垫 ；</w:t>
            </w:r>
          </w:p>
          <w:p>
            <w:pPr>
              <w:widowControl/>
              <w:numPr>
                <w:ilvl w:val="255"/>
                <w:numId w:val="0"/>
              </w:numPr>
              <w:jc w:val="left"/>
              <w:rPr>
                <w:rFonts w:ascii="仿宋" w:hAnsi="仿宋" w:eastAsia="仿宋" w:cs="仿宋"/>
                <w:kern w:val="0"/>
                <w:szCs w:val="21"/>
                <w:highlight w:val="none"/>
              </w:rPr>
            </w:pPr>
            <w:r>
              <w:rPr>
                <w:rFonts w:hint="eastAsia" w:ascii="仿宋" w:hAnsi="仿宋" w:eastAsia="仿宋" w:cs="仿宋"/>
                <w:kern w:val="0"/>
                <w:szCs w:val="21"/>
                <w:highlight w:val="none"/>
              </w:rPr>
              <w:t>4、尺寸：570*500*890mm</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24</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张</w:t>
            </w:r>
          </w:p>
        </w:tc>
        <w:tc>
          <w:tcPr>
            <w:tcW w:w="1078" w:type="pct"/>
            <w:shd w:val="clear" w:color="auto" w:fill="auto"/>
            <w:vAlign w:val="center"/>
          </w:tcPr>
          <w:p>
            <w:pPr>
              <w:widowControl/>
              <w:jc w:val="center"/>
              <w:rPr>
                <w:rFonts w:ascii="仿宋" w:hAnsi="仿宋" w:eastAsia="仿宋" w:cs="仿宋"/>
                <w:kern w:val="0"/>
                <w:szCs w:val="21"/>
                <w:highlight w:val="none"/>
              </w:rPr>
            </w:pPr>
            <w:r>
              <w:rPr>
                <w:rFonts w:ascii="仿宋" w:hAnsi="仿宋" w:eastAsia="仿宋" w:cs="仿宋"/>
                <w:kern w:val="0"/>
                <w:szCs w:val="21"/>
                <w:highlight w:val="none"/>
              </w:rPr>
              <w:drawing>
                <wp:inline distT="0" distB="0" distL="0" distR="0">
                  <wp:extent cx="761365" cy="899795"/>
                  <wp:effectExtent l="0" t="0" r="63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761424" cy="90000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3</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书柜1</w:t>
            </w:r>
          </w:p>
        </w:tc>
        <w:tc>
          <w:tcPr>
            <w:tcW w:w="2347" w:type="pct"/>
            <w:shd w:val="clear" w:color="auto" w:fill="auto"/>
            <w:vAlign w:val="center"/>
          </w:tcPr>
          <w:p>
            <w:pPr>
              <w:jc w:val="left"/>
              <w:rPr>
                <w:rFonts w:ascii="仿宋" w:hAnsi="仿宋" w:eastAsia="仿宋" w:cs="仿宋"/>
                <w:szCs w:val="21"/>
                <w:highlight w:val="none"/>
              </w:rPr>
            </w:pPr>
            <w:r>
              <w:rPr>
                <w:rFonts w:hint="eastAsia" w:ascii="仿宋" w:hAnsi="仿宋" w:eastAsia="仿宋" w:cs="仿宋"/>
                <w:szCs w:val="21"/>
                <w:highlight w:val="none"/>
              </w:rPr>
              <w:t>1、贴面板材：可弯曲防火板，厚度为≥0.8mm,</w:t>
            </w:r>
            <w:r>
              <w:rPr>
                <w:rFonts w:hint="eastAsia" w:ascii="仿宋" w:hAnsi="仿宋" w:eastAsia="仿宋" w:cs="仿宋"/>
                <w:szCs w:val="21"/>
                <w:highlight w:val="none"/>
              </w:rPr>
              <w:br w:type="textWrapping"/>
            </w:r>
            <w:r>
              <w:rPr>
                <w:rFonts w:hint="eastAsia" w:ascii="仿宋" w:hAnsi="仿宋" w:eastAsia="仿宋" w:cs="仿宋"/>
                <w:szCs w:val="21"/>
                <w:highlight w:val="none"/>
              </w:rPr>
              <w:t>2、基材：板材均为优质多层板，经过防虫、防腐等化学处理，持久不变形，甲醛释放量≤0.02mg/m3；表面耐磨，磨耗值≤59mg/100r，表面耐香烟灼烧，达到4级或以上，表面耐干热，达到4级或以上。顶板≥25mm厚，侧板背板≥16mm厚，门板≥16mm厚。</w:t>
            </w:r>
            <w:r>
              <w:rPr>
                <w:rFonts w:hint="eastAsia" w:ascii="仿宋" w:hAnsi="仿宋" w:eastAsia="仿宋" w:cs="仿宋"/>
                <w:szCs w:val="21"/>
                <w:highlight w:val="none"/>
              </w:rPr>
              <w:br w:type="textWrapping"/>
            </w:r>
            <w:r>
              <w:rPr>
                <w:rFonts w:hint="eastAsia" w:ascii="仿宋" w:hAnsi="仿宋" w:eastAsia="仿宋" w:cs="仿宋"/>
                <w:szCs w:val="21"/>
                <w:highlight w:val="none"/>
              </w:rPr>
              <w:t>3.PVC封边条：选用优质PVC封边条，耐开裂性（耐龟裂性）≥2级，耐光色牢度（灰色样卡）≥4级，甲醛释放量：≤1.5mg/L，氯乙烯单体≤0.2mg/kg，多溴联苯禁用。</w:t>
            </w:r>
            <w:r>
              <w:rPr>
                <w:rFonts w:hint="eastAsia" w:ascii="仿宋" w:hAnsi="仿宋" w:eastAsia="仿宋" w:cs="仿宋"/>
                <w:szCs w:val="21"/>
                <w:highlight w:val="none"/>
              </w:rPr>
              <w:br w:type="textWrapping"/>
            </w:r>
            <w:r>
              <w:rPr>
                <w:rFonts w:hint="eastAsia" w:ascii="仿宋" w:hAnsi="仿宋" w:eastAsia="仿宋" w:cs="仿宋"/>
                <w:szCs w:val="21"/>
                <w:highlight w:val="none"/>
              </w:rPr>
              <w:t>4、封边胶：采用高温封边热溶胶，热稳定好，抗高低温性能好</w:t>
            </w:r>
            <w:r>
              <w:rPr>
                <w:rFonts w:hint="eastAsia" w:ascii="仿宋" w:hAnsi="仿宋" w:eastAsia="仿宋" w:cs="仿宋"/>
                <w:szCs w:val="21"/>
                <w:highlight w:val="none"/>
              </w:rPr>
              <w:br w:type="textWrapping"/>
            </w:r>
            <w:r>
              <w:rPr>
                <w:rFonts w:hint="eastAsia" w:ascii="仿宋" w:hAnsi="仿宋" w:eastAsia="仿宋" w:cs="仿宋"/>
                <w:szCs w:val="21"/>
                <w:highlight w:val="none"/>
              </w:rPr>
              <w:t>5、采用优质五金配件。所有五金件作防锈、防腐处理。</w:t>
            </w:r>
            <w:r>
              <w:rPr>
                <w:rFonts w:hint="eastAsia" w:ascii="仿宋" w:hAnsi="仿宋" w:eastAsia="仿宋" w:cs="仿宋"/>
                <w:szCs w:val="21"/>
                <w:highlight w:val="none"/>
              </w:rPr>
              <w:br w:type="textWrapping"/>
            </w:r>
            <w:r>
              <w:rPr>
                <w:rFonts w:hint="eastAsia" w:ascii="仿宋" w:hAnsi="仿宋" w:eastAsia="仿宋" w:cs="仿宋"/>
                <w:szCs w:val="21"/>
                <w:highlight w:val="none"/>
              </w:rPr>
              <w:t>6、钢木结构，配套感应灯；</w:t>
            </w:r>
          </w:p>
          <w:p>
            <w:pPr>
              <w:numPr>
                <w:ilvl w:val="255"/>
                <w:numId w:val="0"/>
              </w:numPr>
              <w:jc w:val="left"/>
              <w:rPr>
                <w:rFonts w:ascii="仿宋" w:hAnsi="仿宋" w:eastAsia="仿宋" w:cs="仿宋"/>
                <w:szCs w:val="21"/>
                <w:highlight w:val="none"/>
              </w:rPr>
            </w:pPr>
            <w:r>
              <w:rPr>
                <w:rFonts w:hint="eastAsia" w:ascii="仿宋" w:hAnsi="仿宋" w:eastAsia="仿宋" w:cs="仿宋"/>
                <w:szCs w:val="21"/>
                <w:highlight w:val="none"/>
              </w:rPr>
              <w:t>7、尺寸：</w:t>
            </w:r>
            <w:r>
              <w:rPr>
                <w:rFonts w:hint="eastAsia" w:ascii="仿宋" w:hAnsi="仿宋" w:eastAsia="仿宋" w:cs="仿宋"/>
                <w:kern w:val="0"/>
                <w:szCs w:val="21"/>
                <w:highlight w:val="none"/>
              </w:rPr>
              <w:t>7100*400*2700mm。</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组</w:t>
            </w:r>
          </w:p>
        </w:tc>
        <w:tc>
          <w:tcPr>
            <w:tcW w:w="1078" w:type="pct"/>
            <w:shd w:val="clear" w:color="auto" w:fill="auto"/>
            <w:vAlign w:val="center"/>
          </w:tcPr>
          <w:p>
            <w:pPr>
              <w:widowControl/>
              <w:jc w:val="center"/>
              <w:rPr>
                <w:rFonts w:ascii="仿宋" w:hAnsi="仿宋" w:eastAsia="仿宋" w:cs="仿宋"/>
                <w:kern w:val="0"/>
                <w:szCs w:val="21"/>
                <w:highlight w:val="none"/>
              </w:rPr>
            </w:pPr>
            <w:r>
              <w:rPr>
                <w:highlight w:val="none"/>
              </w:rPr>
              <w:drawing>
                <wp:inline distT="0" distB="0" distL="0" distR="0">
                  <wp:extent cx="1238885" cy="89979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27"/>
                          <a:stretch>
                            <a:fillRect/>
                          </a:stretch>
                        </pic:blipFill>
                        <pic:spPr>
                          <a:xfrm>
                            <a:off x="0" y="0"/>
                            <a:ext cx="1239130" cy="9000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4</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书柜2</w:t>
            </w:r>
          </w:p>
        </w:tc>
        <w:tc>
          <w:tcPr>
            <w:tcW w:w="2347" w:type="pct"/>
            <w:shd w:val="clear" w:color="auto" w:fill="auto"/>
            <w:vAlign w:val="center"/>
          </w:tcPr>
          <w:p>
            <w:pPr>
              <w:numPr>
                <w:ilvl w:val="0"/>
                <w:numId w:val="10"/>
              </w:numPr>
              <w:jc w:val="left"/>
              <w:rPr>
                <w:rFonts w:ascii="仿宋" w:hAnsi="仿宋" w:eastAsia="仿宋" w:cs="仿宋"/>
                <w:szCs w:val="21"/>
                <w:highlight w:val="none"/>
              </w:rPr>
            </w:pPr>
            <w:r>
              <w:rPr>
                <w:rFonts w:hint="eastAsia" w:ascii="仿宋" w:hAnsi="仿宋" w:eastAsia="仿宋" w:cs="仿宋"/>
                <w:szCs w:val="21"/>
                <w:highlight w:val="none"/>
              </w:rPr>
              <w:t>贴面板材：可弯曲防火板，厚度为≥0.8mm,</w:t>
            </w:r>
            <w:r>
              <w:rPr>
                <w:rFonts w:hint="eastAsia" w:ascii="仿宋" w:hAnsi="仿宋" w:eastAsia="仿宋" w:cs="仿宋"/>
                <w:szCs w:val="21"/>
                <w:highlight w:val="none"/>
              </w:rPr>
              <w:br w:type="textWrapping"/>
            </w:r>
            <w:r>
              <w:rPr>
                <w:rFonts w:hint="eastAsia" w:ascii="仿宋" w:hAnsi="仿宋" w:eastAsia="仿宋" w:cs="仿宋"/>
                <w:szCs w:val="21"/>
                <w:highlight w:val="none"/>
              </w:rPr>
              <w:t>2、基材：板材均为优质多层板，经过防虫、防腐等化学处理，持久不变形，甲醛释放量≤0.02mg/m3；表面耐磨，磨耗值≤59mg/100r，表面耐香烟灼烧，达到4级或以上，表面耐干热，达到4级或以上。顶板≥25mm厚，侧板背板≥16mm厚，门板≥16mm厚。</w:t>
            </w:r>
            <w:r>
              <w:rPr>
                <w:rFonts w:hint="eastAsia" w:ascii="仿宋" w:hAnsi="仿宋" w:eastAsia="仿宋" w:cs="仿宋"/>
                <w:szCs w:val="21"/>
                <w:highlight w:val="none"/>
              </w:rPr>
              <w:br w:type="textWrapping"/>
            </w:r>
            <w:r>
              <w:rPr>
                <w:rFonts w:hint="eastAsia" w:ascii="仿宋" w:hAnsi="仿宋" w:eastAsia="仿宋" w:cs="仿宋"/>
                <w:szCs w:val="21"/>
                <w:highlight w:val="none"/>
              </w:rPr>
              <w:t>3.PVC封边条：选用优质PVC封边条，耐开裂性（耐龟裂性）≥2级，耐光色牢度（灰色样卡）≥4级，甲醛释放量：≤1.5mg/L，氯乙烯单体≤0.2mg/kg，多溴联苯禁用。</w:t>
            </w:r>
            <w:r>
              <w:rPr>
                <w:rFonts w:hint="eastAsia" w:ascii="仿宋" w:hAnsi="仿宋" w:eastAsia="仿宋" w:cs="仿宋"/>
                <w:szCs w:val="21"/>
                <w:highlight w:val="none"/>
              </w:rPr>
              <w:br w:type="textWrapping"/>
            </w:r>
            <w:r>
              <w:rPr>
                <w:rFonts w:hint="eastAsia" w:ascii="仿宋" w:hAnsi="仿宋" w:eastAsia="仿宋" w:cs="仿宋"/>
                <w:szCs w:val="21"/>
                <w:highlight w:val="none"/>
              </w:rPr>
              <w:t>4、封边胶：采用高温封边热溶胶，热稳定好，抗高低温性能好</w:t>
            </w:r>
            <w:r>
              <w:rPr>
                <w:rFonts w:hint="eastAsia" w:ascii="仿宋" w:hAnsi="仿宋" w:eastAsia="仿宋" w:cs="仿宋"/>
                <w:szCs w:val="21"/>
                <w:highlight w:val="none"/>
              </w:rPr>
              <w:br w:type="textWrapping"/>
            </w:r>
            <w:r>
              <w:rPr>
                <w:rFonts w:hint="eastAsia" w:ascii="仿宋" w:hAnsi="仿宋" w:eastAsia="仿宋" w:cs="仿宋"/>
                <w:szCs w:val="21"/>
                <w:highlight w:val="none"/>
              </w:rPr>
              <w:t>5、采用优质五金配件。所有五金件作防锈、防腐处理。</w:t>
            </w:r>
            <w:r>
              <w:rPr>
                <w:rFonts w:hint="eastAsia" w:ascii="仿宋" w:hAnsi="仿宋" w:eastAsia="仿宋" w:cs="仿宋"/>
                <w:szCs w:val="21"/>
                <w:highlight w:val="none"/>
              </w:rPr>
              <w:br w:type="textWrapping"/>
            </w:r>
            <w:r>
              <w:rPr>
                <w:rFonts w:hint="eastAsia" w:ascii="仿宋" w:hAnsi="仿宋" w:eastAsia="仿宋" w:cs="仿宋"/>
                <w:szCs w:val="21"/>
                <w:highlight w:val="none"/>
              </w:rPr>
              <w:t>6、钢木结构，配套感应灯</w:t>
            </w:r>
          </w:p>
          <w:p>
            <w:pPr>
              <w:numPr>
                <w:ilvl w:val="255"/>
                <w:numId w:val="0"/>
              </w:numPr>
              <w:jc w:val="left"/>
              <w:rPr>
                <w:rFonts w:ascii="仿宋" w:hAnsi="仿宋" w:eastAsia="仿宋" w:cs="仿宋"/>
                <w:szCs w:val="21"/>
                <w:highlight w:val="none"/>
              </w:rPr>
            </w:pPr>
            <w:r>
              <w:rPr>
                <w:rFonts w:hint="eastAsia" w:ascii="仿宋" w:hAnsi="仿宋" w:eastAsia="仿宋" w:cs="仿宋"/>
                <w:szCs w:val="21"/>
                <w:highlight w:val="none"/>
              </w:rPr>
              <w:t>7、尺寸：</w:t>
            </w:r>
            <w:r>
              <w:rPr>
                <w:rFonts w:hint="eastAsia" w:ascii="仿宋" w:hAnsi="仿宋" w:eastAsia="仿宋" w:cs="仿宋"/>
                <w:kern w:val="0"/>
                <w:szCs w:val="21"/>
                <w:highlight w:val="none"/>
              </w:rPr>
              <w:t>6000*700*2700mm</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组</w:t>
            </w:r>
          </w:p>
        </w:tc>
        <w:tc>
          <w:tcPr>
            <w:tcW w:w="1078" w:type="pct"/>
            <w:shd w:val="clear" w:color="auto" w:fill="auto"/>
            <w:vAlign w:val="center"/>
          </w:tcPr>
          <w:p>
            <w:pPr>
              <w:widowControl/>
              <w:jc w:val="center"/>
              <w:rPr>
                <w:rFonts w:ascii="仿宋" w:hAnsi="仿宋" w:eastAsia="仿宋" w:cs="仿宋"/>
                <w:kern w:val="0"/>
                <w:szCs w:val="21"/>
                <w:highlight w:val="none"/>
              </w:rPr>
            </w:pPr>
            <w:r>
              <w:rPr>
                <w:highlight w:val="none"/>
              </w:rPr>
              <w:drawing>
                <wp:inline distT="0" distB="0" distL="0" distR="0">
                  <wp:extent cx="1238250" cy="796290"/>
                  <wp:effectExtent l="0" t="0" r="0" b="381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28"/>
                          <a:stretch>
                            <a:fillRect/>
                          </a:stretch>
                        </pic:blipFill>
                        <pic:spPr>
                          <a:xfrm>
                            <a:off x="0" y="0"/>
                            <a:ext cx="1236900" cy="795919"/>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5</w:t>
            </w:r>
          </w:p>
        </w:tc>
        <w:tc>
          <w:tcPr>
            <w:tcW w:w="519"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矮书柜</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1、贴面板材：可弯曲防火板，厚度为≥0.8mm,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基材：板材均为优质多层板，经过防虫、防腐等化学处理，持久不变形，甲醛释放量≤0.02mg/m3；表面耐磨，磨耗值≤59mg/100r，表面耐香烟灼烧，达到4级或以上，表面耐干热，达到4级或以上。顶板≥25mm厚，侧板背板≥16mm厚，门板≥16mm厚。</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3.PVC封边条：选用优质PVC封边条，耐开裂性（耐龟裂性）≥2级，耐光色牢度（灰色样卡）≥4级，甲醛释放量：≤1.5mg/L，氯乙烯单体≤0.2mg/kg，多溴联苯禁用。</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4、封边胶：采用高温封边热溶胶，热稳定好，抗高低温性能好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5、采用优质五金配件。所有五金件作防锈、防腐处理。</w:t>
            </w:r>
          </w:p>
          <w:p>
            <w:pPr>
              <w:widowControl/>
              <w:numPr>
                <w:ilvl w:val="255"/>
                <w:numId w:val="0"/>
              </w:numPr>
              <w:jc w:val="left"/>
              <w:rPr>
                <w:rFonts w:ascii="仿宋" w:hAnsi="仿宋" w:eastAsia="仿宋" w:cs="仿宋"/>
                <w:kern w:val="0"/>
                <w:szCs w:val="21"/>
                <w:highlight w:val="none"/>
              </w:rPr>
            </w:pPr>
            <w:r>
              <w:rPr>
                <w:rFonts w:hint="eastAsia" w:ascii="仿宋" w:hAnsi="仿宋" w:eastAsia="仿宋" w:cs="仿宋"/>
                <w:kern w:val="0"/>
                <w:szCs w:val="21"/>
                <w:highlight w:val="none"/>
              </w:rPr>
              <w:t>6、尺寸：1500*400*1200mm</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10</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组</w:t>
            </w:r>
          </w:p>
        </w:tc>
        <w:tc>
          <w:tcPr>
            <w:tcW w:w="1078" w:type="pct"/>
            <w:shd w:val="clear" w:color="auto" w:fill="auto"/>
            <w:vAlign w:val="center"/>
          </w:tcPr>
          <w:p>
            <w:pPr>
              <w:widowControl/>
              <w:jc w:val="center"/>
              <w:rPr>
                <w:rFonts w:ascii="仿宋" w:hAnsi="仿宋" w:eastAsia="仿宋" w:cs="仿宋"/>
                <w:kern w:val="0"/>
                <w:szCs w:val="21"/>
                <w:highlight w:val="none"/>
              </w:rPr>
            </w:pPr>
            <w:r>
              <w:rPr>
                <w:rFonts w:eastAsia="Times New Roman"/>
                <w:snapToGrid w:val="0"/>
                <w:color w:val="000000"/>
                <w:w w:val="0"/>
                <w:kern w:val="0"/>
                <w:sz w:val="0"/>
                <w:szCs w:val="0"/>
                <w:highlight w:val="none"/>
                <w:u w:color="000000"/>
                <w:shd w:val="clear" w:color="000000" w:fill="000000"/>
                <w:lang w:val="zh-CN" w:eastAsia="zh-CN" w:bidi="zh-CN"/>
              </w:rPr>
              <w:t xml:space="preserve"> </w:t>
            </w:r>
            <w:r>
              <w:rPr>
                <w:rFonts w:ascii="仿宋" w:hAnsi="仿宋" w:eastAsia="仿宋" w:cs="仿宋"/>
                <w:kern w:val="0"/>
                <w:szCs w:val="21"/>
                <w:highlight w:val="none"/>
              </w:rPr>
              <w:drawing>
                <wp:inline distT="0" distB="0" distL="0" distR="0">
                  <wp:extent cx="1207770" cy="1007745"/>
                  <wp:effectExtent l="0" t="0" r="0" b="1905"/>
                  <wp:docPr id="2" name="图片 2" descr="E:\1、2018年--2024年方案\6、202403\3、浙江\13、杭州学军中学桐庐学校\20240329\投标配图标准柜子\研讨区编号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1、2018年--2024年方案\6、202403\3、浙江\13、杭州学军中学桐庐学校\20240329\投标配图标准柜子\研讨区编号5.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07935" cy="1008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6</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阅览桌</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1、贴面板材：可弯曲防火板，厚度为≥0.8mm,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2、基材：板材均为优质多层板，经过防虫、防腐等化学处理，持久不变形，甲醛释放量≤0.02mg/m3；表面耐磨，磨耗值≤59mg/100r，表面耐香烟灼烧，达到4级或以上，表面耐干热，达到4级或以上。顶板≥25mm厚。</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3、性（耐龟裂性）≥2级，耐光色牢度（灰色样卡）≥4级，甲醛释放量：≤1.5mg/L，氯乙烯单体≤0.2mg/kg，多溴联苯禁用。</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4、封边胶：采用高温封边热溶胶，热稳定好，抗高低温性能好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5、钢脚：优质钢精制而成，静电粉沫喷涂烤漆工艺，经酸洗打磨处理，永不脱皮掉皮，优质烤漆工艺，光滑亮泽好，壁厚度≥1.2mm,光滑亮泽好，塑胶脚塞采用隐藏式可调节配件。</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6、配套电力轨道约2.5米：承载功率约8000W，高品质航空铝材，U型铜导体。含接线端子、连接栓、边盖等。电力轨道适配器6个：直径约68mm，五孔，可插入轨道后未旋转状态下可沿轨道平行滑动，旋转后可通电状态,铝壳/蓝光LED。</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7、尺寸：2700*1200*750mm</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4</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张</w:t>
            </w:r>
          </w:p>
        </w:tc>
        <w:tc>
          <w:tcPr>
            <w:tcW w:w="1078" w:type="pct"/>
            <w:shd w:val="clear" w:color="auto" w:fill="auto"/>
            <w:vAlign w:val="center"/>
          </w:tcPr>
          <w:p>
            <w:pPr>
              <w:widowControl/>
              <w:jc w:val="center"/>
              <w:rPr>
                <w:rFonts w:ascii="仿宋" w:hAnsi="仿宋" w:eastAsia="仿宋" w:cs="仿宋"/>
                <w:kern w:val="0"/>
                <w:szCs w:val="21"/>
                <w:highlight w:val="none"/>
              </w:rPr>
            </w:pPr>
            <w:r>
              <w:rPr>
                <w:highlight w:val="none"/>
              </w:rPr>
              <w:drawing>
                <wp:inline distT="0" distB="0" distL="0" distR="0">
                  <wp:extent cx="1163320" cy="6762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0"/>
                          <a:stretch>
                            <a:fillRect/>
                          </a:stretch>
                        </pic:blipFill>
                        <pic:spPr>
                          <a:xfrm>
                            <a:off x="0" y="0"/>
                            <a:ext cx="1160807" cy="6745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tcBorders>
              <w:top w:val="nil"/>
            </w:tcBorders>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7</w:t>
            </w:r>
          </w:p>
        </w:tc>
        <w:tc>
          <w:tcPr>
            <w:tcW w:w="519" w:type="pct"/>
            <w:tcBorders>
              <w:top w:val="nil"/>
            </w:tcBorders>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椅子2</w:t>
            </w:r>
          </w:p>
        </w:tc>
        <w:tc>
          <w:tcPr>
            <w:tcW w:w="2347" w:type="pct"/>
            <w:tcBorders>
              <w:top w:val="nil"/>
            </w:tcBorders>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1、面料：PU皮饰面；</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2、框架：实木与结合多层板；</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3、海绵：高密度高回弹海棉；</w:t>
            </w:r>
          </w:p>
          <w:p>
            <w:pPr>
              <w:pStyle w:val="24"/>
              <w:ind w:firstLine="0"/>
              <w:rPr>
                <w:highlight w:val="none"/>
                <w:lang w:val="en-US"/>
              </w:rPr>
            </w:pPr>
            <w:r>
              <w:rPr>
                <w:rFonts w:hint="eastAsia" w:ascii="仿宋" w:hAnsi="仿宋" w:eastAsia="仿宋" w:cs="仿宋"/>
                <w:kern w:val="0"/>
                <w:sz w:val="21"/>
                <w:szCs w:val="21"/>
                <w:highlight w:val="none"/>
                <w:lang w:val="en-US"/>
              </w:rPr>
              <w:t>4、尺寸：540W*570D*780Hmm</w:t>
            </w:r>
          </w:p>
        </w:tc>
        <w:tc>
          <w:tcPr>
            <w:tcW w:w="388" w:type="pct"/>
            <w:tcBorders>
              <w:top w:val="nil"/>
            </w:tcBorders>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 xml:space="preserve">32 </w:t>
            </w:r>
          </w:p>
        </w:tc>
        <w:tc>
          <w:tcPr>
            <w:tcW w:w="285" w:type="pct"/>
            <w:tcBorders>
              <w:top w:val="nil"/>
            </w:tcBorders>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张</w:t>
            </w:r>
          </w:p>
        </w:tc>
        <w:tc>
          <w:tcPr>
            <w:tcW w:w="1078" w:type="pct"/>
            <w:tcBorders>
              <w:top w:val="nil"/>
            </w:tcBorders>
            <w:shd w:val="clear" w:color="auto" w:fill="auto"/>
            <w:noWrap/>
            <w:vAlign w:val="center"/>
          </w:tcPr>
          <w:p>
            <w:pPr>
              <w:widowControl/>
              <w:jc w:val="center"/>
              <w:rPr>
                <w:rFonts w:ascii="仿宋" w:hAnsi="仿宋" w:eastAsia="仿宋" w:cs="仿宋"/>
                <w:kern w:val="0"/>
                <w:szCs w:val="21"/>
                <w:highlight w:val="none"/>
              </w:rPr>
            </w:pPr>
            <w:r>
              <w:rPr>
                <w:rFonts w:ascii="仿宋" w:hAnsi="仿宋" w:eastAsia="仿宋" w:cs="仿宋"/>
                <w:kern w:val="0"/>
                <w:szCs w:val="21"/>
                <w:highlight w:val="none"/>
              </w:rPr>
              <w:drawing>
                <wp:inline distT="0" distB="0" distL="0" distR="0">
                  <wp:extent cx="873125" cy="899795"/>
                  <wp:effectExtent l="0" t="0" r="3175" b="0"/>
                  <wp:docPr id="58" name="图片 58" descr="H:\微信备份\202307.17-\WeChat Files\wxid_8pk5kyjxfcj722\FileStorage\Temp\9ff00421e0f7f56d968a440119ee8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H:\微信备份\202307.17-\WeChat Files\wxid_8pk5kyjxfcj722\FileStorage\Temp\9ff00421e0f7f56d968a440119ee81e.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73510" cy="900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8</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书柜3</w:t>
            </w:r>
          </w:p>
        </w:tc>
        <w:tc>
          <w:tcPr>
            <w:tcW w:w="2347" w:type="pct"/>
            <w:shd w:val="clear" w:color="auto" w:fill="auto"/>
            <w:vAlign w:val="center"/>
          </w:tcPr>
          <w:p>
            <w:pPr>
              <w:numPr>
                <w:ilvl w:val="0"/>
                <w:numId w:val="11"/>
              </w:numPr>
              <w:jc w:val="left"/>
              <w:rPr>
                <w:rFonts w:ascii="仿宋" w:hAnsi="仿宋" w:eastAsia="仿宋" w:cs="仿宋"/>
                <w:szCs w:val="21"/>
                <w:highlight w:val="none"/>
              </w:rPr>
            </w:pPr>
            <w:r>
              <w:rPr>
                <w:rFonts w:hint="eastAsia" w:ascii="仿宋" w:hAnsi="仿宋" w:eastAsia="仿宋" w:cs="仿宋"/>
                <w:szCs w:val="21"/>
                <w:highlight w:val="none"/>
              </w:rPr>
              <w:t>贴面板材：可弯曲防火板，厚度为≥0.8mm,</w:t>
            </w:r>
            <w:r>
              <w:rPr>
                <w:rFonts w:hint="eastAsia" w:ascii="仿宋" w:hAnsi="仿宋" w:eastAsia="仿宋" w:cs="仿宋"/>
                <w:szCs w:val="21"/>
                <w:highlight w:val="none"/>
              </w:rPr>
              <w:br w:type="textWrapping"/>
            </w:r>
            <w:r>
              <w:rPr>
                <w:rFonts w:hint="eastAsia" w:ascii="仿宋" w:hAnsi="仿宋" w:eastAsia="仿宋" w:cs="仿宋"/>
                <w:szCs w:val="21"/>
                <w:highlight w:val="none"/>
              </w:rPr>
              <w:t>2、基材：板材均为优质多层板，经过防虫、防腐等化学处理，持久不变形，甲醛释放量≤0.02mg/m3；表面耐磨，磨耗值≤59mg/100r，表面耐香烟灼烧，达到4级或以上，表面耐干热，达到4级或以上。顶板≥25mm厚，侧板背板≥16mm厚，门板≥16mm厚。</w:t>
            </w:r>
            <w:r>
              <w:rPr>
                <w:rFonts w:hint="eastAsia" w:ascii="仿宋" w:hAnsi="仿宋" w:eastAsia="仿宋" w:cs="仿宋"/>
                <w:szCs w:val="21"/>
                <w:highlight w:val="none"/>
              </w:rPr>
              <w:br w:type="textWrapping"/>
            </w:r>
            <w:r>
              <w:rPr>
                <w:rFonts w:hint="eastAsia" w:ascii="仿宋" w:hAnsi="仿宋" w:eastAsia="仿宋" w:cs="仿宋"/>
                <w:szCs w:val="21"/>
                <w:highlight w:val="none"/>
              </w:rPr>
              <w:t>3.PVC封边条：选用优质PVC封边条，耐开裂性（耐龟裂性）≥2级，耐光色牢度（灰色样卡）≥4级，甲醛释放量：≤1.5mg/L，氯乙烯单体≤0.2mg/kg，多溴联苯禁用。</w:t>
            </w:r>
            <w:r>
              <w:rPr>
                <w:rFonts w:hint="eastAsia" w:ascii="仿宋" w:hAnsi="仿宋" w:eastAsia="仿宋" w:cs="仿宋"/>
                <w:szCs w:val="21"/>
                <w:highlight w:val="none"/>
              </w:rPr>
              <w:br w:type="textWrapping"/>
            </w:r>
            <w:r>
              <w:rPr>
                <w:rFonts w:hint="eastAsia" w:ascii="仿宋" w:hAnsi="仿宋" w:eastAsia="仿宋" w:cs="仿宋"/>
                <w:szCs w:val="21"/>
                <w:highlight w:val="none"/>
              </w:rPr>
              <w:t>4、封边胶：采用高温封边热溶胶，热稳定好，抗高低温性能好。</w:t>
            </w:r>
            <w:r>
              <w:rPr>
                <w:rFonts w:hint="eastAsia" w:ascii="仿宋" w:hAnsi="仿宋" w:eastAsia="仿宋" w:cs="仿宋"/>
                <w:szCs w:val="21"/>
                <w:highlight w:val="none"/>
              </w:rPr>
              <w:br w:type="textWrapping"/>
            </w:r>
            <w:r>
              <w:rPr>
                <w:rFonts w:hint="eastAsia" w:ascii="仿宋" w:hAnsi="仿宋" w:eastAsia="仿宋" w:cs="仿宋"/>
                <w:szCs w:val="21"/>
                <w:highlight w:val="none"/>
              </w:rPr>
              <w:t>5、采用优质五金配件。所有五金件作防锈、防腐处理。</w:t>
            </w:r>
            <w:r>
              <w:rPr>
                <w:rFonts w:hint="eastAsia" w:ascii="仿宋" w:hAnsi="仿宋" w:eastAsia="仿宋" w:cs="仿宋"/>
                <w:szCs w:val="21"/>
                <w:highlight w:val="none"/>
              </w:rPr>
              <w:br w:type="textWrapping"/>
            </w:r>
            <w:r>
              <w:rPr>
                <w:rFonts w:hint="eastAsia" w:ascii="仿宋" w:hAnsi="仿宋" w:eastAsia="仿宋" w:cs="仿宋"/>
                <w:szCs w:val="21"/>
                <w:highlight w:val="none"/>
              </w:rPr>
              <w:t>6、钢木结构，配套感应灯</w:t>
            </w:r>
          </w:p>
          <w:p>
            <w:pPr>
              <w:numPr>
                <w:ilvl w:val="255"/>
                <w:numId w:val="0"/>
              </w:numPr>
              <w:jc w:val="left"/>
              <w:rPr>
                <w:rFonts w:ascii="仿宋" w:hAnsi="仿宋" w:eastAsia="仿宋" w:cs="仿宋"/>
                <w:szCs w:val="21"/>
                <w:highlight w:val="none"/>
              </w:rPr>
            </w:pPr>
            <w:r>
              <w:rPr>
                <w:rFonts w:hint="eastAsia" w:ascii="仿宋" w:hAnsi="仿宋" w:eastAsia="仿宋" w:cs="仿宋"/>
                <w:szCs w:val="21"/>
                <w:highlight w:val="none"/>
              </w:rPr>
              <w:t>7、尺寸：</w:t>
            </w:r>
            <w:r>
              <w:rPr>
                <w:rFonts w:hint="eastAsia" w:ascii="仿宋" w:hAnsi="仿宋" w:eastAsia="仿宋" w:cs="仿宋"/>
                <w:kern w:val="0"/>
                <w:szCs w:val="21"/>
                <w:highlight w:val="none"/>
              </w:rPr>
              <w:t>3300*700*2200mm</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4</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组</w:t>
            </w:r>
          </w:p>
        </w:tc>
        <w:tc>
          <w:tcPr>
            <w:tcW w:w="1078" w:type="pct"/>
            <w:shd w:val="clear" w:color="auto" w:fill="auto"/>
            <w:vAlign w:val="center"/>
          </w:tcPr>
          <w:p>
            <w:pPr>
              <w:widowControl/>
              <w:jc w:val="center"/>
              <w:rPr>
                <w:rFonts w:ascii="仿宋" w:hAnsi="仿宋" w:eastAsia="仿宋" w:cs="仿宋"/>
                <w:kern w:val="0"/>
                <w:szCs w:val="21"/>
                <w:highlight w:val="none"/>
              </w:rPr>
            </w:pPr>
            <w:r>
              <w:rPr>
                <w:rFonts w:ascii="仿宋" w:hAnsi="仿宋" w:eastAsia="仿宋" w:cs="仿宋"/>
                <w:kern w:val="0"/>
                <w:szCs w:val="21"/>
                <w:highlight w:val="none"/>
              </w:rPr>
              <w:drawing>
                <wp:inline distT="0" distB="0" distL="0" distR="0">
                  <wp:extent cx="1209675" cy="888365"/>
                  <wp:effectExtent l="0" t="0" r="0" b="6985"/>
                  <wp:docPr id="5" name="图片 5" descr="E:\1、2018年--2024年方案\6、202403\3、浙江\13、杭州学军中学桐庐学校\20240329\投标配图标准柜子\研讨区编号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1、2018年--2024年方案\6、202403\3、浙江\13、杭州学军中学桐庐学校\20240329\投标配图标准柜子\研讨区编号8.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09790" cy="888999"/>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9</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书柜4</w:t>
            </w:r>
          </w:p>
        </w:tc>
        <w:tc>
          <w:tcPr>
            <w:tcW w:w="2347" w:type="pct"/>
            <w:shd w:val="clear" w:color="auto" w:fill="auto"/>
            <w:vAlign w:val="center"/>
          </w:tcPr>
          <w:p>
            <w:pPr>
              <w:widowControl/>
              <w:numPr>
                <w:ilvl w:val="0"/>
                <w:numId w:val="12"/>
              </w:numPr>
              <w:jc w:val="left"/>
              <w:rPr>
                <w:rFonts w:ascii="仿宋" w:hAnsi="仿宋" w:eastAsia="仿宋" w:cs="仿宋"/>
                <w:kern w:val="0"/>
                <w:szCs w:val="21"/>
                <w:highlight w:val="none"/>
              </w:rPr>
            </w:pPr>
            <w:r>
              <w:rPr>
                <w:rFonts w:hint="eastAsia" w:ascii="仿宋" w:hAnsi="仿宋" w:eastAsia="仿宋" w:cs="仿宋"/>
                <w:kern w:val="0"/>
                <w:szCs w:val="21"/>
                <w:highlight w:val="none"/>
              </w:rPr>
              <w:t>贴面板材：可弯曲防火板，厚度为≥0.8mm,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基材：板材均为优质多层板，经过防虫、防腐等化学处理，持久不变形，甲醛释放量≤0.02mg/m3；表面耐磨，磨耗值≤59mg/100r，表面耐香烟灼烧，达到4级或以上，表面耐干热，达到4级或以上。顶板≥25mm厚，侧板背板≥16mm厚，门板≥16mm厚。</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3.PVC封边条：选用优质PVC封边条，耐开裂性（耐龟裂性）≥2级，耐光色牢度（灰色样卡）≥4级，甲醛释放量：≤1.5mg/L，氯乙烯单体≤0.2mg/kg，多溴联苯禁用。</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4、封边胶：采用高温封边热溶胶，热稳定好，抗高低温性能好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5、采用优质五金配件。所有五金件作防锈、防腐处理。</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6、钢木结构，配套感应灯</w:t>
            </w:r>
          </w:p>
          <w:p>
            <w:pPr>
              <w:widowControl/>
              <w:numPr>
                <w:ilvl w:val="255"/>
                <w:numId w:val="0"/>
              </w:numPr>
              <w:jc w:val="left"/>
              <w:rPr>
                <w:rFonts w:ascii="仿宋" w:hAnsi="仿宋" w:eastAsia="仿宋" w:cs="仿宋"/>
                <w:kern w:val="0"/>
                <w:szCs w:val="21"/>
                <w:highlight w:val="none"/>
              </w:rPr>
            </w:pPr>
            <w:r>
              <w:rPr>
                <w:rFonts w:hint="eastAsia" w:ascii="仿宋" w:hAnsi="仿宋" w:eastAsia="仿宋" w:cs="仿宋"/>
                <w:kern w:val="0"/>
                <w:szCs w:val="21"/>
                <w:highlight w:val="none"/>
              </w:rPr>
              <w:t>7、尺寸：2600*700*2200mm</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组</w:t>
            </w:r>
          </w:p>
        </w:tc>
        <w:tc>
          <w:tcPr>
            <w:tcW w:w="1078" w:type="pct"/>
            <w:shd w:val="clear" w:color="auto" w:fill="auto"/>
            <w:vAlign w:val="center"/>
          </w:tcPr>
          <w:p>
            <w:pPr>
              <w:widowControl/>
              <w:jc w:val="center"/>
              <w:rPr>
                <w:rFonts w:ascii="仿宋" w:hAnsi="仿宋" w:eastAsia="仿宋" w:cs="仿宋"/>
                <w:kern w:val="0"/>
                <w:szCs w:val="21"/>
                <w:highlight w:val="none"/>
              </w:rPr>
            </w:pPr>
            <w:r>
              <w:rPr>
                <w:rFonts w:ascii="仿宋" w:hAnsi="仿宋" w:eastAsia="仿宋" w:cs="仿宋"/>
                <w:kern w:val="0"/>
                <w:szCs w:val="21"/>
                <w:highlight w:val="none"/>
              </w:rPr>
              <w:drawing>
                <wp:inline distT="0" distB="0" distL="0" distR="0">
                  <wp:extent cx="1170940" cy="876300"/>
                  <wp:effectExtent l="0" t="0" r="0" b="0"/>
                  <wp:docPr id="10" name="图片 10" descr="E:\1、2018年--2024年方案\6、202403\3、浙江\13、杭州学军中学桐庐学校\20240329\投标配图标准柜子\研讨区编号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1、2018年--2024年方案\6、202403\3、浙江\13、杭州学军中学桐庐学校\20240329\投标配图标准柜子\研讨区编号9.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174699" cy="878978"/>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99" w:type="pct"/>
            <w:gridSpan w:val="2"/>
            <w:shd w:val="clear" w:color="auto" w:fill="auto"/>
            <w:vAlign w:val="center"/>
          </w:tcPr>
          <w:p>
            <w:pPr>
              <w:widowControl/>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二、服务区</w:t>
            </w:r>
          </w:p>
        </w:tc>
        <w:tc>
          <w:tcPr>
            <w:tcW w:w="2347" w:type="pct"/>
            <w:shd w:val="clear" w:color="auto" w:fill="auto"/>
            <w:noWrap/>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w:t>
            </w:r>
          </w:p>
        </w:tc>
        <w:tc>
          <w:tcPr>
            <w:tcW w:w="388" w:type="pct"/>
            <w:shd w:val="clear" w:color="auto" w:fill="auto"/>
            <w:noWrap/>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w:t>
            </w:r>
          </w:p>
        </w:tc>
        <w:tc>
          <w:tcPr>
            <w:tcW w:w="285" w:type="pct"/>
            <w:shd w:val="clear" w:color="auto" w:fill="auto"/>
            <w:noWrap/>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w:t>
            </w:r>
          </w:p>
        </w:tc>
        <w:tc>
          <w:tcPr>
            <w:tcW w:w="1078" w:type="pct"/>
            <w:shd w:val="clear" w:color="auto" w:fill="auto"/>
            <w:noWrap/>
            <w:vAlign w:val="center"/>
          </w:tcPr>
          <w:p>
            <w:pPr>
              <w:widowControl/>
              <w:jc w:val="left"/>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边柜</w:t>
            </w:r>
          </w:p>
        </w:tc>
        <w:tc>
          <w:tcPr>
            <w:tcW w:w="2347" w:type="pct"/>
            <w:shd w:val="clear" w:color="auto" w:fill="auto"/>
            <w:vAlign w:val="center"/>
          </w:tcPr>
          <w:p>
            <w:pPr>
              <w:widowControl/>
              <w:numPr>
                <w:ilvl w:val="0"/>
                <w:numId w:val="13"/>
              </w:numPr>
              <w:jc w:val="left"/>
              <w:rPr>
                <w:rFonts w:ascii="仿宋" w:hAnsi="仿宋" w:eastAsia="仿宋" w:cs="仿宋"/>
                <w:kern w:val="0"/>
                <w:szCs w:val="21"/>
                <w:highlight w:val="none"/>
              </w:rPr>
            </w:pPr>
            <w:r>
              <w:rPr>
                <w:rFonts w:hint="eastAsia" w:ascii="仿宋" w:hAnsi="仿宋" w:eastAsia="仿宋" w:cs="仿宋"/>
                <w:kern w:val="0"/>
                <w:szCs w:val="21"/>
                <w:highlight w:val="none"/>
              </w:rPr>
              <w:t>贴面板材：可弯曲防火板，厚度为≥0.8mm,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基材：板材均为优质多层板，经过防虫、防腐等化学处理，持久不变形，甲醛释放量≤0.02mg/m3；表面耐磨，磨耗值≤59mg/100r，表面耐香烟灼烧，达到4级或以上，表面耐干热，达到4级或以上。顶板≥25mm厚，侧板背板≥16mm厚。</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3.PVC封边条：选用优质PVC封边条，耐开裂性（耐龟裂性）≥2级，耐光色牢度（灰色样卡）≥4级，甲醛释放量：≤1.5mg/L，氯乙烯单体≤0.2mg/kg，多溴联苯禁用。</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4、封边胶：采用高温封边热溶胶，热稳定好，抗高低温性能好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5、采用优质五金配件。所有五金件作防锈、防腐处理。</w:t>
            </w:r>
          </w:p>
          <w:p>
            <w:pPr>
              <w:widowControl/>
              <w:numPr>
                <w:ilvl w:val="255"/>
                <w:numId w:val="0"/>
              </w:numPr>
              <w:jc w:val="left"/>
              <w:rPr>
                <w:rFonts w:ascii="仿宋" w:hAnsi="仿宋" w:eastAsia="仿宋" w:cs="仿宋"/>
                <w:kern w:val="0"/>
                <w:szCs w:val="21"/>
                <w:highlight w:val="none"/>
              </w:rPr>
            </w:pPr>
            <w:r>
              <w:rPr>
                <w:rFonts w:hint="eastAsia" w:ascii="仿宋" w:hAnsi="仿宋" w:eastAsia="仿宋" w:cs="仿宋"/>
                <w:kern w:val="0"/>
                <w:szCs w:val="21"/>
                <w:highlight w:val="none"/>
              </w:rPr>
              <w:t>6、尺寸：2700*600*800mm</w:t>
            </w:r>
          </w:p>
        </w:tc>
        <w:tc>
          <w:tcPr>
            <w:tcW w:w="388"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285"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组</w:t>
            </w:r>
          </w:p>
        </w:tc>
        <w:tc>
          <w:tcPr>
            <w:tcW w:w="1078" w:type="pct"/>
            <w:shd w:val="clear" w:color="auto" w:fill="auto"/>
            <w:noWrap/>
            <w:vAlign w:val="center"/>
          </w:tcPr>
          <w:p>
            <w:pPr>
              <w:widowControl/>
              <w:jc w:val="center"/>
              <w:rPr>
                <w:rFonts w:ascii="仿宋" w:hAnsi="仿宋" w:eastAsia="仿宋" w:cs="仿宋"/>
                <w:kern w:val="0"/>
                <w:szCs w:val="21"/>
                <w:highlight w:val="none"/>
              </w:rPr>
            </w:pPr>
            <w:r>
              <w:rPr>
                <w:rFonts w:eastAsia="Times New Roman"/>
                <w:snapToGrid w:val="0"/>
                <w:color w:val="000000"/>
                <w:w w:val="0"/>
                <w:kern w:val="0"/>
                <w:sz w:val="0"/>
                <w:szCs w:val="0"/>
                <w:highlight w:val="none"/>
                <w:u w:color="000000"/>
                <w:shd w:val="clear" w:color="000000" w:fill="000000"/>
                <w:lang w:val="zh-CN" w:eastAsia="zh-CN" w:bidi="zh-CN"/>
              </w:rPr>
              <w:t xml:space="preserve"> </w:t>
            </w:r>
            <w:r>
              <w:rPr>
                <w:rFonts w:ascii="仿宋" w:hAnsi="仿宋" w:eastAsia="仿宋" w:cs="仿宋"/>
                <w:kern w:val="0"/>
                <w:szCs w:val="21"/>
                <w:highlight w:val="none"/>
              </w:rPr>
              <w:drawing>
                <wp:inline distT="0" distB="0" distL="0" distR="0">
                  <wp:extent cx="979805" cy="719455"/>
                  <wp:effectExtent l="0" t="0" r="0" b="4445"/>
                  <wp:docPr id="1" name="图片 1" descr="E:\1、2018年--2024年方案\6、202403\3、浙江\13、杭州学军中学桐庐学校\20240329\投标配图标准柜子\二服务区编号1（边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1、2018年--2024年方案\6、202403\3、浙江\13、杭州学军中学桐庐学校\20240329\投标配图标准柜子\二服务区编号1（边柜）.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79807" cy="720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查询索引台</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1、贴面板材：可弯曲防火板，厚度为≥0.8mm,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基材：板材均为优质多层板，经过防虫、防腐等化学处理，持久不变形，甲醛释放量≤0.02mg/m3；表面耐磨，磨耗值≤59mg/100r，表面耐香烟灼烧，达到4级或以上，表面耐干热，达到4级或以上。顶板≥25mm厚，侧板背板≥16mm厚。</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3、PVC封边条：选用优质PVC封边条，耐开裂性（耐龟裂性）≥2级，耐光色牢度（灰色样卡）≥4级，甲醛释放量：≤1.5mg/L，氯乙烯单体≤0.2mg/kg，多溴联苯禁用。</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4、封边胶：采用高温封边热溶胶，热稳定好，抗高低温性能好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5、采用优质五金配件。所有五金件作防锈、防腐处理。</w:t>
            </w:r>
          </w:p>
          <w:p>
            <w:pPr>
              <w:widowControl/>
              <w:numPr>
                <w:ilvl w:val="255"/>
                <w:numId w:val="0"/>
              </w:numPr>
              <w:jc w:val="left"/>
              <w:rPr>
                <w:rFonts w:ascii="仿宋" w:hAnsi="仿宋" w:eastAsia="仿宋" w:cs="仿宋"/>
                <w:kern w:val="0"/>
                <w:szCs w:val="21"/>
                <w:highlight w:val="none"/>
              </w:rPr>
            </w:pPr>
            <w:r>
              <w:rPr>
                <w:rFonts w:hint="eastAsia" w:ascii="仿宋" w:hAnsi="仿宋" w:eastAsia="仿宋" w:cs="仿宋"/>
                <w:kern w:val="0"/>
                <w:szCs w:val="21"/>
                <w:highlight w:val="none"/>
              </w:rPr>
              <w:t>6、尺寸：3200*600*750mm</w:t>
            </w:r>
          </w:p>
        </w:tc>
        <w:tc>
          <w:tcPr>
            <w:tcW w:w="388"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 xml:space="preserve">2 </w:t>
            </w:r>
          </w:p>
        </w:tc>
        <w:tc>
          <w:tcPr>
            <w:tcW w:w="285"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组</w:t>
            </w:r>
          </w:p>
        </w:tc>
        <w:tc>
          <w:tcPr>
            <w:tcW w:w="1078" w:type="pct"/>
            <w:shd w:val="clear" w:color="auto" w:fill="auto"/>
            <w:noWrap/>
            <w:vAlign w:val="center"/>
          </w:tcPr>
          <w:p>
            <w:pPr>
              <w:widowControl/>
              <w:jc w:val="center"/>
              <w:rPr>
                <w:rFonts w:ascii="仿宋" w:hAnsi="仿宋" w:eastAsia="仿宋" w:cs="仿宋"/>
                <w:kern w:val="0"/>
                <w:szCs w:val="21"/>
                <w:highlight w:val="none"/>
              </w:rPr>
            </w:pPr>
            <w:r>
              <w:rPr>
                <w:highlight w:val="none"/>
              </w:rPr>
              <w:drawing>
                <wp:inline distT="0" distB="0" distL="0" distR="0">
                  <wp:extent cx="1165225" cy="89979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35"/>
                          <a:stretch>
                            <a:fillRect/>
                          </a:stretch>
                        </pic:blipFill>
                        <pic:spPr>
                          <a:xfrm>
                            <a:off x="0" y="0"/>
                            <a:ext cx="1165468" cy="9000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3</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造型服务台</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xml:space="preserve">1、基材：采用≥18mm厚E1级高密度板,优质绿色环保产品,甲醛含量≤0.038mg/m³,表面胶合强度≥0.8Mpa； </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2、油漆：采用水性环保油漆，挥发性有机化合物（VOC）含量≤230g/L,游离甲醛含量≤9.5mg/kg。流平性、附着力、透明度好、硬度高、耐磨性好；色泽柔和持久耐腐蚀手感良好；耐弱酸碱、耐腐蚀性、耐油性、耐湿热性良好；底漆要求流平性、透明性好、附着力强非显孔亚光，采用五底三面烤漆工艺。                                        3、五金配件：优质五金配件。</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6、尺寸：台面外弧长9540mm，内弧长5830mm，宽度700mm，内高750mm，外高1100mm</w:t>
            </w:r>
          </w:p>
        </w:tc>
        <w:tc>
          <w:tcPr>
            <w:tcW w:w="388"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 xml:space="preserve">1 </w:t>
            </w:r>
          </w:p>
        </w:tc>
        <w:tc>
          <w:tcPr>
            <w:tcW w:w="285"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组</w:t>
            </w:r>
          </w:p>
        </w:tc>
        <w:tc>
          <w:tcPr>
            <w:tcW w:w="1078" w:type="pct"/>
            <w:shd w:val="clear" w:color="auto" w:fill="auto"/>
            <w:noWrap/>
            <w:vAlign w:val="center"/>
          </w:tcPr>
          <w:p>
            <w:pPr>
              <w:widowControl/>
              <w:jc w:val="center"/>
              <w:rPr>
                <w:rFonts w:ascii="仿宋" w:hAnsi="仿宋" w:eastAsia="仿宋" w:cs="仿宋"/>
                <w:kern w:val="0"/>
                <w:szCs w:val="21"/>
                <w:highlight w:val="none"/>
              </w:rPr>
            </w:pPr>
            <w:r>
              <w:rPr>
                <w:highlight w:val="none"/>
              </w:rPr>
              <w:drawing>
                <wp:inline distT="0" distB="0" distL="0" distR="0">
                  <wp:extent cx="1235710" cy="683260"/>
                  <wp:effectExtent l="0" t="0" r="2540" b="254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36"/>
                          <a:stretch>
                            <a:fillRect/>
                          </a:stretch>
                        </pic:blipFill>
                        <pic:spPr>
                          <a:xfrm>
                            <a:off x="0" y="0"/>
                            <a:ext cx="1233554" cy="68245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4</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吧台柜</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1.尺寸：7400*500*1000mm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2.材质：多层板+钢架；</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工艺：桌面采用国家标准E1级板基材：板材均为优质多层板，经过防虫、防腐等化学处理，持久不变形，甲醛释放量≤0.02mg/m3；表面耐磨，磨耗值≤59mg/100r，表面耐香烟灼烧，达到4级或以上，表面耐干热，达到4级或以上。顶板≥25mm厚，侧板背板≥16mm厚，门板≥16mm厚。钢架尺寸：桌腿：≥55*55*1.5mm，采用满焊焊接而成，表面采用高温粉体烤漆，耐腐蚀，不易生锈。</w:t>
            </w:r>
          </w:p>
        </w:tc>
        <w:tc>
          <w:tcPr>
            <w:tcW w:w="388"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 xml:space="preserve">1 </w:t>
            </w:r>
          </w:p>
        </w:tc>
        <w:tc>
          <w:tcPr>
            <w:tcW w:w="285"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组</w:t>
            </w:r>
          </w:p>
        </w:tc>
        <w:tc>
          <w:tcPr>
            <w:tcW w:w="1078" w:type="pct"/>
            <w:shd w:val="clear" w:color="auto" w:fill="auto"/>
            <w:noWrap/>
            <w:vAlign w:val="center"/>
          </w:tcPr>
          <w:p>
            <w:pPr>
              <w:widowControl/>
              <w:jc w:val="center"/>
              <w:rPr>
                <w:rFonts w:ascii="仿宋" w:hAnsi="仿宋" w:eastAsia="仿宋" w:cs="仿宋"/>
                <w:kern w:val="0"/>
                <w:szCs w:val="21"/>
                <w:highlight w:val="none"/>
              </w:rPr>
            </w:pPr>
            <w:r>
              <w:rPr>
                <w:highlight w:val="none"/>
              </w:rPr>
              <w:drawing>
                <wp:inline distT="0" distB="0" distL="0" distR="0">
                  <wp:extent cx="1179195" cy="581025"/>
                  <wp:effectExtent l="0" t="0" r="190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37"/>
                          <a:stretch>
                            <a:fillRect/>
                          </a:stretch>
                        </pic:blipFill>
                        <pic:spPr>
                          <a:xfrm>
                            <a:off x="0" y="0"/>
                            <a:ext cx="1178073" cy="58039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5</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管理椅</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1.P加玻纤背架，</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2.PU面6档上下升降扶手，</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3.3档锁定底盘，≥65mm沉口气杆，尼龙脚，尼龙轮，</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4.尺寸：590*625*955-1010mm</w:t>
            </w:r>
          </w:p>
        </w:tc>
        <w:tc>
          <w:tcPr>
            <w:tcW w:w="388"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85"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078" w:type="pct"/>
            <w:shd w:val="clear" w:color="auto" w:fill="auto"/>
            <w:noWrap/>
            <w:vAlign w:val="center"/>
          </w:tcPr>
          <w:p>
            <w:pPr>
              <w:widowControl/>
              <w:jc w:val="center"/>
              <w:rPr>
                <w:rFonts w:ascii="仿宋" w:hAnsi="仿宋" w:eastAsia="仿宋" w:cs="仿宋"/>
                <w:kern w:val="0"/>
                <w:szCs w:val="21"/>
                <w:highlight w:val="none"/>
              </w:rPr>
            </w:pPr>
            <w:r>
              <w:rPr>
                <w:rFonts w:ascii="宋体" w:hAnsi="宋体" w:cs="宋体"/>
                <w:kern w:val="0"/>
                <w:sz w:val="18"/>
                <w:szCs w:val="18"/>
                <w:highlight w:val="none"/>
              </w:rPr>
              <w:drawing>
                <wp:inline distT="0" distB="0" distL="0" distR="0">
                  <wp:extent cx="1113155" cy="1244600"/>
                  <wp:effectExtent l="0" t="0" r="10795" b="1270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116970" cy="124928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6</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咖啡机</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xml:space="preserve">1.9L， 研磨一体机 </w:t>
            </w:r>
          </w:p>
        </w:tc>
        <w:tc>
          <w:tcPr>
            <w:tcW w:w="388"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85"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078" w:type="pct"/>
            <w:shd w:val="clear" w:color="auto" w:fill="auto"/>
            <w:noWrap/>
            <w:vAlign w:val="center"/>
          </w:tcPr>
          <w:p>
            <w:pPr>
              <w:widowControl/>
              <w:jc w:val="cente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7</w:t>
            </w:r>
          </w:p>
        </w:tc>
        <w:tc>
          <w:tcPr>
            <w:tcW w:w="519"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高脚</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椅子</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1、尺寸: 605(±5)*605(±5)*795-990(±10)mm;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2、全新PP+玻纤，一体成型，超韧弹性背</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3、高弹力海绵座垫，舒适透气，</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 xml:space="preserve">4、高级户外漆弓形椅架，防滑脚垫   </w:t>
            </w:r>
          </w:p>
        </w:tc>
        <w:tc>
          <w:tcPr>
            <w:tcW w:w="388"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 xml:space="preserve">6 </w:t>
            </w:r>
          </w:p>
        </w:tc>
        <w:tc>
          <w:tcPr>
            <w:tcW w:w="285"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张</w:t>
            </w:r>
          </w:p>
        </w:tc>
        <w:tc>
          <w:tcPr>
            <w:tcW w:w="1078" w:type="pct"/>
            <w:shd w:val="clear" w:color="auto" w:fill="auto"/>
            <w:noWrap/>
            <w:vAlign w:val="center"/>
          </w:tcPr>
          <w:p>
            <w:pPr>
              <w:widowControl/>
              <w:jc w:val="center"/>
              <w:rPr>
                <w:rFonts w:ascii="仿宋" w:hAnsi="仿宋" w:eastAsia="仿宋" w:cs="仿宋"/>
                <w:kern w:val="0"/>
                <w:szCs w:val="21"/>
                <w:highlight w:val="none"/>
              </w:rPr>
            </w:pPr>
            <w:r>
              <w:rPr>
                <w:rFonts w:ascii="仿宋" w:hAnsi="仿宋" w:eastAsia="仿宋" w:cs="仿宋"/>
                <w:kern w:val="0"/>
                <w:szCs w:val="21"/>
                <w:highlight w:val="none"/>
              </w:rPr>
              <w:drawing>
                <wp:inline distT="0" distB="0" distL="0" distR="0">
                  <wp:extent cx="1188720" cy="818515"/>
                  <wp:effectExtent l="0" t="0" r="0" b="635"/>
                  <wp:docPr id="59" name="图片 59" descr="H:\微信备份\202307.17-\WeChat Files\wxid_8pk5kyjxfcj722\FileStorage\Temp\50e51543421a85965783a173ba58a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H:\微信备份\202307.17-\WeChat Files\wxid_8pk5kyjxfcj722\FileStorage\Temp\50e51543421a85965783a173ba58a97.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191078" cy="820518"/>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8</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书柜5</w:t>
            </w:r>
          </w:p>
        </w:tc>
        <w:tc>
          <w:tcPr>
            <w:tcW w:w="2347" w:type="pct"/>
            <w:shd w:val="clear" w:color="auto" w:fill="auto"/>
            <w:vAlign w:val="center"/>
          </w:tcPr>
          <w:p>
            <w:pPr>
              <w:numPr>
                <w:ilvl w:val="255"/>
                <w:numId w:val="0"/>
              </w:numPr>
              <w:jc w:val="left"/>
              <w:rPr>
                <w:rFonts w:ascii="仿宋" w:hAnsi="仿宋" w:eastAsia="仿宋" w:cs="仿宋"/>
                <w:szCs w:val="21"/>
                <w:highlight w:val="none"/>
              </w:rPr>
            </w:pPr>
            <w:r>
              <w:rPr>
                <w:rFonts w:hint="eastAsia" w:ascii="仿宋" w:hAnsi="仿宋" w:eastAsia="仿宋" w:cs="仿宋"/>
                <w:szCs w:val="21"/>
                <w:highlight w:val="none"/>
              </w:rPr>
              <w:t>1、尺寸5000*300*2700mm</w:t>
            </w:r>
          </w:p>
          <w:p>
            <w:pPr>
              <w:numPr>
                <w:ilvl w:val="255"/>
                <w:numId w:val="0"/>
              </w:numPr>
              <w:jc w:val="left"/>
              <w:rPr>
                <w:rFonts w:ascii="仿宋" w:hAnsi="仿宋" w:eastAsia="仿宋" w:cs="仿宋"/>
                <w:szCs w:val="21"/>
                <w:highlight w:val="none"/>
              </w:rPr>
            </w:pPr>
            <w:r>
              <w:rPr>
                <w:rFonts w:hint="eastAsia" w:ascii="仿宋" w:hAnsi="仿宋" w:eastAsia="仿宋" w:cs="仿宋"/>
                <w:szCs w:val="21"/>
                <w:highlight w:val="none"/>
              </w:rPr>
              <w:t>2、贴面板材：可弯曲防火板，厚度为≥0.8mm,</w:t>
            </w:r>
          </w:p>
          <w:p>
            <w:pPr>
              <w:numPr>
                <w:ilvl w:val="255"/>
                <w:numId w:val="0"/>
              </w:numPr>
              <w:jc w:val="left"/>
              <w:rPr>
                <w:rFonts w:ascii="仿宋" w:hAnsi="仿宋" w:eastAsia="仿宋" w:cs="仿宋"/>
                <w:szCs w:val="21"/>
                <w:highlight w:val="none"/>
              </w:rPr>
            </w:pPr>
            <w:r>
              <w:rPr>
                <w:rFonts w:hint="eastAsia" w:ascii="仿宋" w:hAnsi="仿宋" w:eastAsia="仿宋" w:cs="仿宋"/>
                <w:szCs w:val="21"/>
                <w:highlight w:val="none"/>
              </w:rPr>
              <w:t>3、基材：板材均为优质多层板，经过防虫、防腐等化学处理，持久不变形，甲醛释放量≤0.02mg/m3；表面耐磨，磨耗值≤59mg/100r，表面耐香烟灼烧，达到4级或以上，表面耐干热，达到4级或以上。顶板≥25mm厚，侧板背板≥16mm厚，门板≥16mm厚。</w:t>
            </w:r>
          </w:p>
          <w:p>
            <w:pPr>
              <w:numPr>
                <w:ilvl w:val="255"/>
                <w:numId w:val="0"/>
              </w:numPr>
              <w:jc w:val="left"/>
              <w:rPr>
                <w:rFonts w:ascii="仿宋" w:hAnsi="仿宋" w:eastAsia="仿宋" w:cs="仿宋"/>
                <w:szCs w:val="21"/>
                <w:highlight w:val="none"/>
              </w:rPr>
            </w:pPr>
            <w:r>
              <w:rPr>
                <w:rFonts w:hint="eastAsia" w:ascii="仿宋" w:hAnsi="仿宋" w:eastAsia="仿宋" w:cs="仿宋"/>
                <w:szCs w:val="21"/>
                <w:highlight w:val="none"/>
              </w:rPr>
              <w:t>4、P）≥4级，甲醛释放量：≤1.5mg/L，氯乙烯VC封边条：选用优质PVC封边条，耐开裂性（耐龟裂性）≥2级，耐光色牢度（灰色样卡单体≤0.2mg/kg，多溴联苯禁用。</w:t>
            </w:r>
          </w:p>
          <w:p>
            <w:pPr>
              <w:numPr>
                <w:ilvl w:val="255"/>
                <w:numId w:val="0"/>
              </w:numPr>
              <w:jc w:val="left"/>
              <w:rPr>
                <w:rFonts w:ascii="仿宋" w:hAnsi="仿宋" w:eastAsia="仿宋" w:cs="仿宋"/>
                <w:szCs w:val="21"/>
                <w:highlight w:val="none"/>
              </w:rPr>
            </w:pPr>
            <w:r>
              <w:rPr>
                <w:rFonts w:hint="eastAsia" w:ascii="仿宋" w:hAnsi="仿宋" w:eastAsia="仿宋" w:cs="仿宋"/>
                <w:szCs w:val="21"/>
                <w:highlight w:val="none"/>
              </w:rPr>
              <w:t>5、封边胶：采用高温封边热溶胶，热稳定好，抗高低温性能好</w:t>
            </w:r>
          </w:p>
          <w:p>
            <w:pPr>
              <w:numPr>
                <w:ilvl w:val="255"/>
                <w:numId w:val="0"/>
              </w:numPr>
              <w:jc w:val="left"/>
              <w:rPr>
                <w:rFonts w:ascii="仿宋" w:hAnsi="仿宋" w:eastAsia="仿宋" w:cs="仿宋"/>
                <w:szCs w:val="21"/>
                <w:highlight w:val="none"/>
              </w:rPr>
            </w:pPr>
            <w:r>
              <w:rPr>
                <w:rFonts w:hint="eastAsia" w:ascii="仿宋" w:hAnsi="仿宋" w:eastAsia="仿宋" w:cs="仿宋"/>
                <w:szCs w:val="21"/>
                <w:highlight w:val="none"/>
              </w:rPr>
              <w:t>6、采用优质五金配件。所有五金件作防锈、防腐处理。</w:t>
            </w:r>
          </w:p>
          <w:p>
            <w:pPr>
              <w:numPr>
                <w:ilvl w:val="255"/>
                <w:numId w:val="0"/>
              </w:numPr>
              <w:jc w:val="left"/>
              <w:rPr>
                <w:rFonts w:ascii="仿宋" w:hAnsi="仿宋" w:eastAsia="仿宋" w:cs="仿宋"/>
                <w:szCs w:val="21"/>
                <w:highlight w:val="none"/>
              </w:rPr>
            </w:pPr>
            <w:r>
              <w:rPr>
                <w:rFonts w:hint="eastAsia" w:ascii="仿宋" w:hAnsi="仿宋" w:eastAsia="仿宋" w:cs="仿宋"/>
                <w:szCs w:val="21"/>
                <w:highlight w:val="none"/>
              </w:rPr>
              <w:t>7、钢木结构，配套感应灯</w:t>
            </w:r>
          </w:p>
        </w:tc>
        <w:tc>
          <w:tcPr>
            <w:tcW w:w="388"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 xml:space="preserve">2 </w:t>
            </w:r>
          </w:p>
        </w:tc>
        <w:tc>
          <w:tcPr>
            <w:tcW w:w="285"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组</w:t>
            </w:r>
          </w:p>
        </w:tc>
        <w:tc>
          <w:tcPr>
            <w:tcW w:w="1078" w:type="pct"/>
            <w:shd w:val="clear" w:color="auto" w:fill="auto"/>
            <w:noWrap/>
            <w:vAlign w:val="center"/>
          </w:tcPr>
          <w:p>
            <w:pPr>
              <w:widowControl/>
              <w:jc w:val="center"/>
              <w:rPr>
                <w:rFonts w:ascii="仿宋" w:hAnsi="仿宋" w:eastAsia="仿宋" w:cs="仿宋"/>
                <w:kern w:val="0"/>
                <w:szCs w:val="21"/>
                <w:highlight w:val="none"/>
              </w:rPr>
            </w:pPr>
            <w:r>
              <w:rPr>
                <w:highlight w:val="none"/>
              </w:rPr>
              <w:drawing>
                <wp:inline distT="0" distB="0" distL="0" distR="0">
                  <wp:extent cx="1082675" cy="899795"/>
                  <wp:effectExtent l="0" t="0" r="317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40"/>
                          <a:stretch>
                            <a:fillRect/>
                          </a:stretch>
                        </pic:blipFill>
                        <pic:spPr>
                          <a:xfrm>
                            <a:off x="0" y="0"/>
                            <a:ext cx="1083008" cy="9000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9"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9</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书柜6</w:t>
            </w:r>
          </w:p>
        </w:tc>
        <w:tc>
          <w:tcPr>
            <w:tcW w:w="2347" w:type="pct"/>
            <w:shd w:val="clear" w:color="auto" w:fill="auto"/>
            <w:vAlign w:val="center"/>
          </w:tcPr>
          <w:p>
            <w:pPr>
              <w:jc w:val="left"/>
              <w:rPr>
                <w:rFonts w:ascii="仿宋" w:hAnsi="仿宋" w:eastAsia="仿宋" w:cs="仿宋"/>
                <w:szCs w:val="21"/>
                <w:highlight w:val="none"/>
              </w:rPr>
            </w:pPr>
            <w:r>
              <w:rPr>
                <w:rFonts w:hint="eastAsia" w:ascii="仿宋" w:hAnsi="仿宋" w:eastAsia="仿宋" w:cs="仿宋"/>
                <w:szCs w:val="21"/>
                <w:highlight w:val="none"/>
              </w:rPr>
              <w:t>1、尺寸：6200*300*2700mm</w:t>
            </w:r>
          </w:p>
          <w:p>
            <w:pPr>
              <w:jc w:val="left"/>
              <w:rPr>
                <w:rFonts w:ascii="仿宋" w:hAnsi="仿宋" w:eastAsia="仿宋" w:cs="仿宋"/>
                <w:szCs w:val="21"/>
                <w:highlight w:val="none"/>
              </w:rPr>
            </w:pPr>
            <w:r>
              <w:rPr>
                <w:rFonts w:hint="eastAsia" w:ascii="仿宋" w:hAnsi="仿宋" w:eastAsia="仿宋" w:cs="仿宋"/>
                <w:szCs w:val="21"/>
                <w:highlight w:val="none"/>
              </w:rPr>
              <w:t>2、贴面板材：可弯曲防火板，厚度为≥0.8mm,</w:t>
            </w:r>
            <w:r>
              <w:rPr>
                <w:rFonts w:hint="eastAsia" w:ascii="仿宋" w:hAnsi="仿宋" w:eastAsia="仿宋" w:cs="仿宋"/>
                <w:szCs w:val="21"/>
                <w:highlight w:val="none"/>
              </w:rPr>
              <w:br w:type="textWrapping"/>
            </w:r>
            <w:r>
              <w:rPr>
                <w:rFonts w:hint="eastAsia" w:ascii="仿宋" w:hAnsi="仿宋" w:eastAsia="仿宋" w:cs="仿宋"/>
                <w:szCs w:val="21"/>
                <w:highlight w:val="none"/>
              </w:rPr>
              <w:t>3、基材：板材均为优质多层板，经过防虫、防腐等化学处理，持久不变形，甲醛释放量≤0.02mg/m3；表面耐磨，磨耗值≤59mg/100r，表面耐香烟灼烧，达到4级或以上，表面耐干热，达到4级或以上。顶板≥25mm厚，侧板背板≥16mm厚，门板≥16mm厚。</w:t>
            </w:r>
            <w:r>
              <w:rPr>
                <w:rFonts w:hint="eastAsia" w:ascii="仿宋" w:hAnsi="仿宋" w:eastAsia="仿宋" w:cs="仿宋"/>
                <w:szCs w:val="21"/>
                <w:highlight w:val="none"/>
              </w:rPr>
              <w:br w:type="textWrapping"/>
            </w:r>
            <w:r>
              <w:rPr>
                <w:rFonts w:hint="eastAsia" w:ascii="仿宋" w:hAnsi="仿宋" w:eastAsia="仿宋" w:cs="仿宋"/>
                <w:szCs w:val="21"/>
                <w:highlight w:val="none"/>
              </w:rPr>
              <w:t>4、PVC封边条：选用优质PVC封边条，耐开裂性（耐龟裂性）≥2级，耐光色牢度（灰色样卡）≥4级，甲醛释放量：≤1.5mg/L，氯乙烯单体≤0.2mg/kg，多溴联苯禁用。</w:t>
            </w:r>
            <w:r>
              <w:rPr>
                <w:rFonts w:hint="eastAsia" w:ascii="仿宋" w:hAnsi="仿宋" w:eastAsia="仿宋" w:cs="仿宋"/>
                <w:szCs w:val="21"/>
                <w:highlight w:val="none"/>
              </w:rPr>
              <w:br w:type="textWrapping"/>
            </w:r>
            <w:r>
              <w:rPr>
                <w:rFonts w:hint="eastAsia" w:ascii="仿宋" w:hAnsi="仿宋" w:eastAsia="仿宋" w:cs="仿宋"/>
                <w:szCs w:val="21"/>
                <w:highlight w:val="none"/>
              </w:rPr>
              <w:t>5、封边胶：采用高温封边热溶胶，热稳定好，抗高低温性能好</w:t>
            </w:r>
            <w:r>
              <w:rPr>
                <w:rFonts w:hint="eastAsia" w:ascii="仿宋" w:hAnsi="仿宋" w:eastAsia="仿宋" w:cs="仿宋"/>
                <w:szCs w:val="21"/>
                <w:highlight w:val="none"/>
              </w:rPr>
              <w:br w:type="textWrapping"/>
            </w:r>
            <w:r>
              <w:rPr>
                <w:rFonts w:hint="eastAsia" w:ascii="仿宋" w:hAnsi="仿宋" w:eastAsia="仿宋" w:cs="仿宋"/>
                <w:szCs w:val="21"/>
                <w:highlight w:val="none"/>
              </w:rPr>
              <w:t>6、采用优质五金配件。所有五金件作防锈、防腐处理。</w:t>
            </w:r>
            <w:r>
              <w:rPr>
                <w:rFonts w:hint="eastAsia" w:ascii="仿宋" w:hAnsi="仿宋" w:eastAsia="仿宋" w:cs="仿宋"/>
                <w:szCs w:val="21"/>
                <w:highlight w:val="none"/>
              </w:rPr>
              <w:br w:type="textWrapping"/>
            </w:r>
            <w:r>
              <w:rPr>
                <w:rFonts w:hint="eastAsia" w:ascii="仿宋" w:hAnsi="仿宋" w:eastAsia="仿宋" w:cs="仿宋"/>
                <w:szCs w:val="21"/>
                <w:highlight w:val="none"/>
              </w:rPr>
              <w:t>7、钢木结构，配套感应灯。</w:t>
            </w:r>
          </w:p>
          <w:p>
            <w:pPr>
              <w:widowControl/>
              <w:numPr>
                <w:ilvl w:val="255"/>
                <w:numId w:val="0"/>
              </w:numPr>
              <w:jc w:val="left"/>
              <w:rPr>
                <w:rFonts w:ascii="仿宋" w:hAnsi="仿宋" w:eastAsia="仿宋" w:cs="仿宋"/>
                <w:szCs w:val="21"/>
                <w:highlight w:val="none"/>
              </w:rPr>
            </w:pPr>
            <w:r>
              <w:rPr>
                <w:rFonts w:hint="eastAsia" w:ascii="仿宋" w:hAnsi="仿宋" w:eastAsia="仿宋" w:cs="仿宋"/>
                <w:szCs w:val="21"/>
                <w:highlight w:val="none"/>
              </w:rPr>
              <w:t>8、配套楼梯坐垫不少于15个，约400*400*50mm，高密度海绵内芯，外包皮革。</w:t>
            </w:r>
          </w:p>
        </w:tc>
        <w:tc>
          <w:tcPr>
            <w:tcW w:w="388" w:type="pct"/>
            <w:shd w:val="clear" w:color="auto" w:fill="auto"/>
            <w:noWrap/>
            <w:vAlign w:val="center"/>
          </w:tcPr>
          <w:p>
            <w:pPr>
              <w:widowControl/>
              <w:jc w:val="left"/>
              <w:rPr>
                <w:rFonts w:ascii="仿宋" w:hAnsi="仿宋" w:eastAsia="仿宋" w:cs="仿宋"/>
                <w:szCs w:val="21"/>
                <w:highlight w:val="none"/>
              </w:rPr>
            </w:pPr>
            <w:r>
              <w:rPr>
                <w:rFonts w:hint="eastAsia" w:ascii="宋体" w:hAnsi="宋体" w:cs="宋体"/>
                <w:kern w:val="0"/>
                <w:sz w:val="18"/>
                <w:szCs w:val="18"/>
                <w:highlight w:val="none"/>
              </w:rPr>
              <w:t xml:space="preserve">2 </w:t>
            </w:r>
          </w:p>
        </w:tc>
        <w:tc>
          <w:tcPr>
            <w:tcW w:w="285" w:type="pct"/>
            <w:shd w:val="clear" w:color="auto" w:fill="auto"/>
            <w:noWrap/>
            <w:vAlign w:val="center"/>
          </w:tcPr>
          <w:p>
            <w:pPr>
              <w:widowControl/>
              <w:jc w:val="left"/>
              <w:rPr>
                <w:rFonts w:ascii="仿宋" w:hAnsi="仿宋" w:eastAsia="仿宋" w:cs="仿宋"/>
                <w:szCs w:val="21"/>
                <w:highlight w:val="none"/>
              </w:rPr>
            </w:pPr>
            <w:r>
              <w:rPr>
                <w:rFonts w:hint="eastAsia" w:ascii="仿宋" w:hAnsi="仿宋" w:eastAsia="仿宋" w:cs="仿宋"/>
                <w:kern w:val="0"/>
                <w:szCs w:val="21"/>
                <w:highlight w:val="none"/>
              </w:rPr>
              <w:t>组</w:t>
            </w:r>
          </w:p>
        </w:tc>
        <w:tc>
          <w:tcPr>
            <w:tcW w:w="1078" w:type="pct"/>
            <w:shd w:val="clear" w:color="auto" w:fill="auto"/>
            <w:noWrap/>
            <w:vAlign w:val="center"/>
          </w:tcPr>
          <w:p>
            <w:pPr>
              <w:widowControl/>
              <w:jc w:val="left"/>
              <w:rPr>
                <w:rFonts w:ascii="仿宋" w:hAnsi="仿宋" w:eastAsia="仿宋" w:cs="仿宋"/>
                <w:szCs w:val="21"/>
                <w:highlight w:val="none"/>
              </w:rPr>
            </w:pPr>
            <w:r>
              <w:rPr>
                <w:highlight w:val="none"/>
              </w:rPr>
              <w:drawing>
                <wp:inline distT="0" distB="0" distL="0" distR="0">
                  <wp:extent cx="1167130" cy="89979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41"/>
                          <a:stretch>
                            <a:fillRect/>
                          </a:stretch>
                        </pic:blipFill>
                        <pic:spPr>
                          <a:xfrm>
                            <a:off x="0" y="0"/>
                            <a:ext cx="1167302" cy="9000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10</w:t>
            </w:r>
          </w:p>
        </w:tc>
        <w:tc>
          <w:tcPr>
            <w:tcW w:w="519"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★电子阅览桌1</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4、贴面板材：可弯曲防火板，厚度为≥0.8mm,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2、基材：板材均为优质多层板，经过防虫、防腐等化学处理，持久不变形，甲醛释放量≤0.02mg/m3；表面耐磨，磨耗值≤59mg/100r，表面耐香烟灼烧，达到4级或以上，表面耐干热，达到4级或以上。顶板≥25mm厚。</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3.PVC封边条：选用优质PVC封边条，耐开裂性（耐龟裂性）≥2级，耐光色牢度（灰色样卡）≥4级，甲醛释放量：≤1.5mg/L，氯乙烯单体≤0.2mg/kg，多溴联苯禁用。</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4、封边胶：采用高温封边热溶胶，热稳定好，抗高低温性能好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 xml:space="preserve">5、钢脚：优质钢精制而成，静电粉沫喷涂烤漆工艺，经酸洗打磨处理，永不脱皮掉皮，优质烤漆工艺，光滑亮泽好，壁厚度≥1.2mm,光滑亮泽好，塑胶脚塞采用隐藏式可调节配件。  </w:t>
            </w:r>
          </w:p>
          <w:p>
            <w:pPr>
              <w:widowControl/>
              <w:numPr>
                <w:ilvl w:val="255"/>
                <w:numId w:val="0"/>
              </w:numPr>
              <w:jc w:val="left"/>
              <w:rPr>
                <w:rFonts w:ascii="仿宋" w:hAnsi="仿宋" w:eastAsia="仿宋" w:cs="仿宋"/>
                <w:kern w:val="0"/>
                <w:szCs w:val="21"/>
                <w:highlight w:val="none"/>
              </w:rPr>
            </w:pPr>
            <w:r>
              <w:rPr>
                <w:rFonts w:hint="eastAsia" w:ascii="仿宋" w:hAnsi="仿宋" w:eastAsia="仿宋" w:cs="仿宋"/>
                <w:kern w:val="0"/>
                <w:szCs w:val="21"/>
                <w:highlight w:val="none"/>
              </w:rPr>
              <w:t>6、尺寸：1200*1100*750mm</w:t>
            </w:r>
          </w:p>
        </w:tc>
        <w:tc>
          <w:tcPr>
            <w:tcW w:w="388"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 xml:space="preserve">12 </w:t>
            </w:r>
          </w:p>
        </w:tc>
        <w:tc>
          <w:tcPr>
            <w:tcW w:w="285"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张</w:t>
            </w:r>
          </w:p>
        </w:tc>
        <w:tc>
          <w:tcPr>
            <w:tcW w:w="1078" w:type="pct"/>
            <w:shd w:val="clear" w:color="auto" w:fill="auto"/>
            <w:noWrap/>
            <w:vAlign w:val="center"/>
          </w:tcPr>
          <w:p>
            <w:pPr>
              <w:widowControl/>
              <w:jc w:val="center"/>
              <w:rPr>
                <w:rFonts w:ascii="仿宋" w:hAnsi="仿宋" w:eastAsia="仿宋" w:cs="仿宋"/>
                <w:kern w:val="0"/>
                <w:szCs w:val="21"/>
                <w:highlight w:val="none"/>
              </w:rPr>
            </w:pPr>
            <w:r>
              <w:rPr>
                <w:rFonts w:ascii="仿宋" w:hAnsi="仿宋" w:eastAsia="仿宋" w:cs="仿宋"/>
                <w:kern w:val="0"/>
                <w:szCs w:val="21"/>
                <w:highlight w:val="none"/>
              </w:rPr>
              <w:drawing>
                <wp:inline distT="0" distB="0" distL="0" distR="0">
                  <wp:extent cx="1134110" cy="899795"/>
                  <wp:effectExtent l="0" t="0" r="8890" b="0"/>
                  <wp:docPr id="51" name="图片 51" descr="H:\微信备份\202307.17-\WeChat Files\wxid_8pk5kyjxfcj722\FileStorage\Temp\7c0704c01b421f24916feb7cac1c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H:\微信备份\202307.17-\WeChat Files\wxid_8pk5kyjxfcj722\FileStorage\Temp\7c0704c01b421f24916feb7cac1cf01.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134617" cy="900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11</w:t>
            </w:r>
          </w:p>
        </w:tc>
        <w:tc>
          <w:tcPr>
            <w:tcW w:w="519"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电子阅览桌2</w:t>
            </w:r>
          </w:p>
        </w:tc>
        <w:tc>
          <w:tcPr>
            <w:tcW w:w="2347" w:type="pct"/>
            <w:shd w:val="clear" w:color="auto" w:fill="auto"/>
            <w:vAlign w:val="center"/>
          </w:tcPr>
          <w:p>
            <w:pPr>
              <w:widowControl/>
              <w:numPr>
                <w:ilvl w:val="0"/>
                <w:numId w:val="14"/>
              </w:numPr>
              <w:jc w:val="left"/>
              <w:rPr>
                <w:rFonts w:ascii="仿宋" w:hAnsi="仿宋" w:eastAsia="仿宋" w:cs="仿宋"/>
                <w:kern w:val="0"/>
                <w:szCs w:val="21"/>
                <w:highlight w:val="none"/>
              </w:rPr>
            </w:pPr>
            <w:r>
              <w:rPr>
                <w:rFonts w:hint="eastAsia" w:ascii="仿宋" w:hAnsi="仿宋" w:eastAsia="仿宋" w:cs="仿宋"/>
                <w:kern w:val="0"/>
                <w:szCs w:val="21"/>
                <w:highlight w:val="none"/>
              </w:rPr>
              <w:t>贴面板材：可弯曲防火板，厚度为≥0.8mm,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2、基材：板材均为优质多层板，经过防虫、防腐等化学处理，持久不变形，甲醛释放量≤0.02mg/m3；表面耐磨，磨耗值≤59mg/100r，表面耐香烟灼烧，达到4级或以上，表面耐干热，达到4级或以上。顶板≥25mm厚。</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3.PVC封边条：选用优质PVC封边条，耐开裂性（耐龟裂性）≥2级，耐光色牢度（灰色样卡）≥4级，甲醛释放量：≤1.5mg/L，氯乙烯单体≤0.2mg/kg，多溴联苯禁用。</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4、封边胶：采用高温封边热溶胶，热稳定好，抗高低温性能好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5、钢脚：优质钢精制而成，静电粉沫喷涂烤漆工艺，经酸洗打磨处理，永不脱皮掉皮，优质烤漆工艺，光滑亮泽好，壁厚度≥1.2mm,光滑亮泽好，塑胶脚塞采用隐藏式可调节配件。</w:t>
            </w:r>
          </w:p>
          <w:p>
            <w:pPr>
              <w:widowControl/>
              <w:numPr>
                <w:ilvl w:val="255"/>
                <w:numId w:val="0"/>
              </w:numPr>
              <w:jc w:val="left"/>
              <w:rPr>
                <w:rFonts w:ascii="仿宋" w:hAnsi="仿宋" w:eastAsia="仿宋" w:cs="仿宋"/>
                <w:kern w:val="0"/>
                <w:szCs w:val="21"/>
                <w:highlight w:val="none"/>
              </w:rPr>
            </w:pPr>
            <w:r>
              <w:rPr>
                <w:rFonts w:hint="eastAsia" w:ascii="仿宋" w:hAnsi="仿宋" w:eastAsia="仿宋" w:cs="仿宋"/>
                <w:kern w:val="0"/>
                <w:szCs w:val="21"/>
                <w:highlight w:val="none"/>
              </w:rPr>
              <w:t>6、尺寸：800*700*750mm</w:t>
            </w:r>
          </w:p>
        </w:tc>
        <w:tc>
          <w:tcPr>
            <w:tcW w:w="388"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 xml:space="preserve">12 </w:t>
            </w:r>
          </w:p>
        </w:tc>
        <w:tc>
          <w:tcPr>
            <w:tcW w:w="285"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张</w:t>
            </w:r>
          </w:p>
        </w:tc>
        <w:tc>
          <w:tcPr>
            <w:tcW w:w="1078" w:type="pct"/>
            <w:shd w:val="clear" w:color="auto" w:fill="auto"/>
            <w:noWrap/>
            <w:vAlign w:val="center"/>
          </w:tcPr>
          <w:p>
            <w:pPr>
              <w:widowControl/>
              <w:jc w:val="center"/>
              <w:rPr>
                <w:rFonts w:ascii="仿宋" w:hAnsi="仿宋" w:eastAsia="仿宋" w:cs="仿宋"/>
                <w:kern w:val="0"/>
                <w:szCs w:val="21"/>
                <w:highlight w:val="none"/>
              </w:rPr>
            </w:pPr>
            <w:r>
              <w:rPr>
                <w:rFonts w:ascii="仿宋" w:hAnsi="仿宋" w:eastAsia="仿宋" w:cs="仿宋"/>
                <w:kern w:val="0"/>
                <w:szCs w:val="21"/>
                <w:highlight w:val="none"/>
              </w:rPr>
              <w:drawing>
                <wp:inline distT="0" distB="0" distL="0" distR="0">
                  <wp:extent cx="1066165" cy="899795"/>
                  <wp:effectExtent l="0" t="0" r="635" b="0"/>
                  <wp:docPr id="53" name="图片 53" descr="H:\微信备份\202307.17-\WeChat Files\wxid_8pk5kyjxfcj722\FileStorage\Temp\da6938d2b243c2bdb5727543cbc06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H:\微信备份\202307.17-\WeChat Files\wxid_8pk5kyjxfcj722\FileStorage\Temp\da6938d2b243c2bdb5727543cbc06ff.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66335" cy="900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12</w:t>
            </w:r>
          </w:p>
        </w:tc>
        <w:tc>
          <w:tcPr>
            <w:tcW w:w="519"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电子阅览桌3</w:t>
            </w:r>
          </w:p>
        </w:tc>
        <w:tc>
          <w:tcPr>
            <w:tcW w:w="2347" w:type="pct"/>
            <w:shd w:val="clear" w:color="auto" w:fill="auto"/>
            <w:vAlign w:val="center"/>
          </w:tcPr>
          <w:p>
            <w:pPr>
              <w:widowControl/>
              <w:numPr>
                <w:ilvl w:val="0"/>
                <w:numId w:val="15"/>
              </w:numPr>
              <w:jc w:val="left"/>
              <w:rPr>
                <w:rFonts w:ascii="仿宋" w:hAnsi="仿宋" w:eastAsia="仿宋" w:cs="仿宋"/>
                <w:kern w:val="0"/>
                <w:szCs w:val="21"/>
                <w:highlight w:val="none"/>
              </w:rPr>
            </w:pPr>
            <w:r>
              <w:rPr>
                <w:rFonts w:hint="eastAsia" w:ascii="仿宋" w:hAnsi="仿宋" w:eastAsia="仿宋" w:cs="仿宋"/>
                <w:kern w:val="0"/>
                <w:szCs w:val="21"/>
                <w:highlight w:val="none"/>
              </w:rPr>
              <w:t>贴面板材：可弯曲防火板，厚度为≥0.8mm,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2、基材：板材均为优质多层板，经过防虫、防腐等化学处理，持久不变形，甲醛释放量≤0.02mg/m3；表面耐磨，磨耗值≤59mg/100r，表面耐香烟灼烧，达到4级或以上，表面耐干热，达到4级或以上。顶板≥25mm厚。</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3.PVC封边条：选用优质PVC封边条，耐开裂性（耐龟裂性）≥2级，耐光色牢度（灰色样卡）≥4级，甲醛释放量：≤1.5mg/L，氯乙烯单体≤0.2mg/kg，多溴联苯禁用。</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4、封边胶：采用高温封边热溶胶，热稳定好，抗高低温性能好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5、钢脚：优质钢精制而成，静电粉沫喷涂烤漆工艺，经酸洗打磨处理，永不脱皮掉皮，优质烤漆工艺，光滑亮泽好，壁厚度≥1.2mm,光滑亮泽好，塑胶脚塞采用隐藏式可调节配件。</w:t>
            </w:r>
          </w:p>
          <w:p>
            <w:pPr>
              <w:widowControl/>
              <w:numPr>
                <w:ilvl w:val="255"/>
                <w:numId w:val="0"/>
              </w:numPr>
              <w:jc w:val="left"/>
              <w:rPr>
                <w:rFonts w:ascii="仿宋" w:hAnsi="仿宋" w:eastAsia="仿宋" w:cs="仿宋"/>
                <w:kern w:val="0"/>
                <w:szCs w:val="21"/>
                <w:highlight w:val="none"/>
              </w:rPr>
            </w:pPr>
            <w:r>
              <w:rPr>
                <w:rFonts w:hint="eastAsia" w:ascii="仿宋" w:hAnsi="仿宋" w:eastAsia="仿宋" w:cs="仿宋"/>
                <w:kern w:val="0"/>
                <w:szCs w:val="21"/>
                <w:highlight w:val="none"/>
              </w:rPr>
              <w:t>6、尺寸：8700*600*750 mm</w:t>
            </w:r>
          </w:p>
        </w:tc>
        <w:tc>
          <w:tcPr>
            <w:tcW w:w="388"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 xml:space="preserve">1 </w:t>
            </w:r>
          </w:p>
        </w:tc>
        <w:tc>
          <w:tcPr>
            <w:tcW w:w="285"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组</w:t>
            </w:r>
          </w:p>
        </w:tc>
        <w:tc>
          <w:tcPr>
            <w:tcW w:w="1078" w:type="pct"/>
            <w:shd w:val="clear" w:color="auto" w:fill="auto"/>
            <w:noWrap/>
            <w:vAlign w:val="center"/>
          </w:tcPr>
          <w:p>
            <w:pPr>
              <w:widowControl/>
              <w:jc w:val="center"/>
              <w:rPr>
                <w:rFonts w:ascii="仿宋" w:hAnsi="仿宋" w:eastAsia="仿宋" w:cs="仿宋"/>
                <w:kern w:val="0"/>
                <w:szCs w:val="21"/>
                <w:highlight w:val="none"/>
              </w:rPr>
            </w:pPr>
            <w:r>
              <w:rPr>
                <w:rFonts w:ascii="仿宋" w:hAnsi="仿宋" w:eastAsia="仿宋" w:cs="仿宋"/>
                <w:kern w:val="0"/>
                <w:szCs w:val="21"/>
                <w:highlight w:val="none"/>
              </w:rPr>
              <w:drawing>
                <wp:inline distT="0" distB="0" distL="0" distR="0">
                  <wp:extent cx="1257300" cy="69088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261454" cy="693722"/>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13</w:t>
            </w:r>
          </w:p>
        </w:tc>
        <w:tc>
          <w:tcPr>
            <w:tcW w:w="519"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电子阅览桌4</w:t>
            </w:r>
          </w:p>
        </w:tc>
        <w:tc>
          <w:tcPr>
            <w:tcW w:w="2347" w:type="pct"/>
            <w:shd w:val="clear" w:color="auto" w:fill="auto"/>
            <w:vAlign w:val="center"/>
          </w:tcPr>
          <w:p>
            <w:pPr>
              <w:widowControl/>
              <w:numPr>
                <w:ilvl w:val="0"/>
                <w:numId w:val="16"/>
              </w:numPr>
              <w:jc w:val="left"/>
              <w:rPr>
                <w:rFonts w:ascii="仿宋" w:hAnsi="仿宋" w:eastAsia="仿宋" w:cs="仿宋"/>
                <w:kern w:val="0"/>
                <w:szCs w:val="21"/>
                <w:highlight w:val="none"/>
              </w:rPr>
            </w:pPr>
            <w:r>
              <w:rPr>
                <w:rFonts w:hint="eastAsia" w:ascii="仿宋" w:hAnsi="仿宋" w:eastAsia="仿宋" w:cs="仿宋"/>
                <w:kern w:val="0"/>
                <w:szCs w:val="21"/>
                <w:highlight w:val="none"/>
              </w:rPr>
              <w:t>贴面板材：可弯曲防火板，厚度为≥0.8mm,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2、基材：板材均为优质多层板，经过防虫、防腐等化学处理，持久不变形，甲醛释放量≤0.02mg/m3；表面耐磨，磨耗值≤59mg/100r，表面耐香烟灼烧，达到4级或以上，表面耐干热，达到4级或以上。顶板≥25mm厚。</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3.PVC封边条：选用优质PVC封边条，耐开裂性（耐龟裂性）≥2级，耐光色牢度（灰色样卡）≥4级，甲醛释放量：≤1.5mg/L，氯乙烯单体≤0.2mg/kg，多溴联苯禁用。</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4、封边胶：采用高温封边热溶胶，热稳定好，抗高低温性能好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5、钢脚：优质钢精制而成，静电粉沫喷涂烤漆工艺，经酸洗打磨处理，永不脱皮掉皮，优质烤漆工艺，光滑亮泽好，壁厚度≥1.2mm,光滑亮泽好，塑胶脚塞采用隐藏式可调节配件。</w:t>
            </w:r>
          </w:p>
          <w:p>
            <w:pPr>
              <w:widowControl/>
              <w:numPr>
                <w:ilvl w:val="255"/>
                <w:numId w:val="0"/>
              </w:numPr>
              <w:jc w:val="left"/>
              <w:rPr>
                <w:rFonts w:ascii="仿宋" w:hAnsi="仿宋" w:eastAsia="仿宋" w:cs="仿宋"/>
                <w:kern w:val="0"/>
                <w:szCs w:val="21"/>
                <w:highlight w:val="none"/>
              </w:rPr>
            </w:pPr>
            <w:r>
              <w:rPr>
                <w:rFonts w:hint="eastAsia" w:ascii="仿宋" w:hAnsi="仿宋" w:eastAsia="仿宋" w:cs="仿宋"/>
                <w:kern w:val="0"/>
                <w:szCs w:val="21"/>
                <w:highlight w:val="none"/>
              </w:rPr>
              <w:t xml:space="preserve">6、尺寸：5400*600*750mm  </w:t>
            </w:r>
          </w:p>
        </w:tc>
        <w:tc>
          <w:tcPr>
            <w:tcW w:w="388"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 xml:space="preserve">1 </w:t>
            </w:r>
          </w:p>
        </w:tc>
        <w:tc>
          <w:tcPr>
            <w:tcW w:w="285"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组</w:t>
            </w:r>
          </w:p>
        </w:tc>
        <w:tc>
          <w:tcPr>
            <w:tcW w:w="1078" w:type="pct"/>
            <w:shd w:val="clear" w:color="auto" w:fill="auto"/>
            <w:noWrap/>
            <w:vAlign w:val="center"/>
          </w:tcPr>
          <w:p>
            <w:pPr>
              <w:widowControl/>
              <w:jc w:val="center"/>
              <w:rPr>
                <w:rFonts w:ascii="仿宋" w:hAnsi="仿宋" w:eastAsia="仿宋" w:cs="仿宋"/>
                <w:kern w:val="0"/>
                <w:szCs w:val="21"/>
                <w:highlight w:val="none"/>
              </w:rPr>
            </w:pPr>
            <w:r>
              <w:rPr>
                <w:rFonts w:ascii="仿宋" w:hAnsi="仿宋" w:eastAsia="仿宋" w:cs="仿宋"/>
                <w:kern w:val="0"/>
                <w:szCs w:val="21"/>
                <w:highlight w:val="none"/>
              </w:rPr>
              <w:drawing>
                <wp:inline distT="0" distB="0" distL="0" distR="0">
                  <wp:extent cx="1191260" cy="719455"/>
                  <wp:effectExtent l="0" t="0" r="8890" b="444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191532" cy="72000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ind w:firstLine="210" w:firstLineChars="100"/>
              <w:rPr>
                <w:rFonts w:ascii="仿宋" w:hAnsi="仿宋" w:eastAsia="仿宋" w:cs="仿宋"/>
                <w:kern w:val="0"/>
                <w:szCs w:val="21"/>
                <w:highlight w:val="none"/>
              </w:rPr>
            </w:pPr>
            <w:r>
              <w:rPr>
                <w:rFonts w:hint="eastAsia" w:ascii="仿宋" w:hAnsi="仿宋" w:eastAsia="仿宋" w:cs="仿宋"/>
                <w:kern w:val="0"/>
                <w:szCs w:val="21"/>
                <w:highlight w:val="none"/>
              </w:rPr>
              <w:t>14</w:t>
            </w:r>
          </w:p>
        </w:tc>
        <w:tc>
          <w:tcPr>
            <w:tcW w:w="519"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阅览椅</w:t>
            </w:r>
          </w:p>
        </w:tc>
        <w:tc>
          <w:tcPr>
            <w:tcW w:w="2347" w:type="pct"/>
            <w:shd w:val="clear" w:color="auto" w:fill="auto"/>
            <w:vAlign w:val="center"/>
          </w:tcPr>
          <w:p>
            <w:pPr>
              <w:widowControl/>
              <w:numPr>
                <w:ilvl w:val="255"/>
                <w:numId w:val="0"/>
              </w:numPr>
              <w:jc w:val="left"/>
              <w:rPr>
                <w:rFonts w:ascii="仿宋" w:hAnsi="仿宋" w:eastAsia="仿宋" w:cs="仿宋"/>
                <w:kern w:val="0"/>
                <w:szCs w:val="21"/>
                <w:highlight w:val="none"/>
              </w:rPr>
            </w:pPr>
            <w:r>
              <w:rPr>
                <w:rFonts w:hint="eastAsia" w:ascii="仿宋" w:hAnsi="仿宋" w:eastAsia="仿宋" w:cs="仿宋"/>
                <w:kern w:val="0"/>
                <w:szCs w:val="21"/>
                <w:highlight w:val="none"/>
              </w:rPr>
              <w:t>1、全新PP+玻纤，一体成型，超韧弹性背</w:t>
            </w:r>
          </w:p>
          <w:p>
            <w:pPr>
              <w:widowControl/>
              <w:numPr>
                <w:ilvl w:val="255"/>
                <w:numId w:val="0"/>
              </w:numPr>
              <w:jc w:val="left"/>
              <w:rPr>
                <w:rFonts w:ascii="仿宋" w:hAnsi="仿宋" w:eastAsia="仿宋" w:cs="仿宋"/>
                <w:kern w:val="0"/>
                <w:szCs w:val="21"/>
                <w:highlight w:val="none"/>
              </w:rPr>
            </w:pPr>
            <w:r>
              <w:rPr>
                <w:rFonts w:hint="eastAsia" w:ascii="仿宋" w:hAnsi="仿宋" w:eastAsia="仿宋" w:cs="仿宋"/>
                <w:kern w:val="0"/>
                <w:szCs w:val="21"/>
                <w:highlight w:val="none"/>
              </w:rPr>
              <w:t xml:space="preserve">高弹力海绵座垫，舒适透气，Φ12mm实心钢，表面细纱白处理椅架，金属质感，稳固性强，防滑脚垫 </w:t>
            </w:r>
          </w:p>
          <w:p>
            <w:pPr>
              <w:widowControl/>
              <w:numPr>
                <w:ilvl w:val="255"/>
                <w:numId w:val="0"/>
              </w:numPr>
              <w:jc w:val="left"/>
              <w:rPr>
                <w:rFonts w:ascii="仿宋" w:hAnsi="仿宋" w:eastAsia="仿宋" w:cs="仿宋"/>
                <w:kern w:val="0"/>
                <w:szCs w:val="21"/>
                <w:highlight w:val="none"/>
              </w:rPr>
            </w:pPr>
            <w:r>
              <w:rPr>
                <w:rFonts w:hint="eastAsia" w:ascii="仿宋" w:hAnsi="仿宋" w:eastAsia="仿宋" w:cs="仿宋"/>
                <w:kern w:val="0"/>
                <w:szCs w:val="21"/>
                <w:highlight w:val="none"/>
              </w:rPr>
              <w:t>2、约570*500*890mm</w:t>
            </w:r>
          </w:p>
        </w:tc>
        <w:tc>
          <w:tcPr>
            <w:tcW w:w="388"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49</w:t>
            </w:r>
          </w:p>
        </w:tc>
        <w:tc>
          <w:tcPr>
            <w:tcW w:w="285"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078" w:type="pct"/>
            <w:shd w:val="clear" w:color="auto" w:fill="auto"/>
            <w:noWrap/>
            <w:vAlign w:val="center"/>
          </w:tcPr>
          <w:p>
            <w:pPr>
              <w:widowControl/>
              <w:jc w:val="center"/>
              <w:rPr>
                <w:highlight w:val="none"/>
              </w:rPr>
            </w:pPr>
            <w:r>
              <w:rPr>
                <w:rFonts w:ascii="仿宋" w:hAnsi="仿宋" w:eastAsia="仿宋" w:cs="仿宋"/>
                <w:kern w:val="0"/>
                <w:szCs w:val="21"/>
                <w:highlight w:val="none"/>
              </w:rPr>
              <w:drawing>
                <wp:inline distT="0" distB="0" distL="0" distR="0">
                  <wp:extent cx="761365" cy="899795"/>
                  <wp:effectExtent l="0" t="0" r="63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761424" cy="90000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99" w:type="pct"/>
            <w:gridSpan w:val="2"/>
            <w:shd w:val="clear" w:color="auto" w:fill="auto"/>
            <w:vAlign w:val="center"/>
          </w:tcPr>
          <w:p>
            <w:pPr>
              <w:widowControl/>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三、书籍管理室</w:t>
            </w:r>
          </w:p>
        </w:tc>
        <w:tc>
          <w:tcPr>
            <w:tcW w:w="2347" w:type="pct"/>
            <w:shd w:val="clear" w:color="auto" w:fill="auto"/>
            <w:noWrap/>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w:t>
            </w:r>
          </w:p>
        </w:tc>
        <w:tc>
          <w:tcPr>
            <w:tcW w:w="388" w:type="pct"/>
            <w:shd w:val="clear" w:color="auto" w:fill="auto"/>
            <w:noWrap/>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w:t>
            </w:r>
          </w:p>
        </w:tc>
        <w:tc>
          <w:tcPr>
            <w:tcW w:w="285" w:type="pct"/>
            <w:shd w:val="clear" w:color="auto" w:fill="auto"/>
            <w:noWrap/>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w:t>
            </w:r>
          </w:p>
        </w:tc>
        <w:tc>
          <w:tcPr>
            <w:tcW w:w="1078" w:type="pct"/>
            <w:shd w:val="clear" w:color="auto" w:fill="auto"/>
            <w:noWrap/>
            <w:vAlign w:val="center"/>
          </w:tcPr>
          <w:p>
            <w:pPr>
              <w:widowControl/>
              <w:jc w:val="left"/>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单人工作台</w:t>
            </w:r>
          </w:p>
        </w:tc>
        <w:tc>
          <w:tcPr>
            <w:tcW w:w="2347" w:type="pct"/>
            <w:shd w:val="clear" w:color="auto" w:fill="auto"/>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桌面采用E1级多层板板，厚度≥25mm，面贴优质防火板，ABS直封边制作，钢架采用满焊焊接，经高温粉体烤漆，长时间使用也不会产生表面漆剥落现象；配有接线槽，方便安装插座等。配套全钢活动柜一组。</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整体不小于1400*600*750mm。</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活动柜不小于800*500*600mm。</w:t>
            </w:r>
          </w:p>
        </w:tc>
        <w:tc>
          <w:tcPr>
            <w:tcW w:w="388"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285"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组</w:t>
            </w:r>
          </w:p>
        </w:tc>
        <w:tc>
          <w:tcPr>
            <w:tcW w:w="1078" w:type="pct"/>
            <w:shd w:val="clear" w:color="auto" w:fill="auto"/>
            <w:noWrap/>
            <w:vAlign w:val="center"/>
          </w:tcPr>
          <w:p>
            <w:pPr>
              <w:widowControl/>
              <w:jc w:val="center"/>
              <w:rPr>
                <w:rFonts w:ascii="仿宋" w:hAnsi="仿宋" w:eastAsia="仿宋" w:cs="仿宋"/>
                <w:kern w:val="0"/>
                <w:szCs w:val="21"/>
                <w:highlight w:val="none"/>
              </w:rPr>
            </w:pPr>
            <w:r>
              <w:rPr>
                <w:rFonts w:ascii="仿宋" w:hAnsi="仿宋" w:eastAsia="仿宋" w:cs="仿宋"/>
                <w:kern w:val="0"/>
                <w:szCs w:val="21"/>
                <w:highlight w:val="none"/>
              </w:rPr>
              <w:drawing>
                <wp:inline distT="0" distB="0" distL="0" distR="0">
                  <wp:extent cx="1140460" cy="899795"/>
                  <wp:effectExtent l="0" t="0" r="2540" b="0"/>
                  <wp:docPr id="18" name="图片 18" descr="H:\微信备份\202307.17-\WeChat Files\wxid_8pk5kyjxfcj722\FileStorage\Temp\faebf47fef7e82537d62c270ba229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微信备份\202307.17-\WeChat Files\wxid_8pk5kyjxfcj722\FileStorage\Temp\faebf47fef7e82537d62c270ba2293a.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140625" cy="900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教师工作椅</w:t>
            </w:r>
          </w:p>
        </w:tc>
        <w:tc>
          <w:tcPr>
            <w:tcW w:w="2347" w:type="pct"/>
            <w:shd w:val="clear" w:color="auto" w:fill="auto"/>
          </w:tcPr>
          <w:p>
            <w:pPr>
              <w:widowControl/>
              <w:jc w:val="left"/>
              <w:rPr>
                <w:rFonts w:ascii="仿宋" w:hAnsi="仿宋" w:eastAsia="仿宋" w:cs="仿宋"/>
                <w:kern w:val="0"/>
                <w:szCs w:val="21"/>
                <w:highlight w:val="none"/>
              </w:rPr>
            </w:pP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椅面采用工程塑料人体工学设计，耐用环保，舒适稳固。.PP加玻纤背架，PU面6档上下升降扶手，3档锁定底盘，≥65mm沉口气杆，尼龙脚，尼龙轮</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尺寸：590*625*955-1010mm</w:t>
            </w:r>
          </w:p>
        </w:tc>
        <w:tc>
          <w:tcPr>
            <w:tcW w:w="388"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285"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078" w:type="pct"/>
            <w:shd w:val="clear" w:color="auto" w:fill="auto"/>
            <w:noWrap/>
            <w:vAlign w:val="center"/>
          </w:tcPr>
          <w:p>
            <w:pPr>
              <w:widowControl/>
              <w:jc w:val="center"/>
              <w:rPr>
                <w:rFonts w:ascii="仿宋" w:hAnsi="仿宋" w:eastAsia="仿宋" w:cs="仿宋"/>
                <w:kern w:val="0"/>
                <w:szCs w:val="21"/>
                <w:highlight w:val="none"/>
              </w:rPr>
            </w:pPr>
            <w:r>
              <w:rPr>
                <w:rFonts w:ascii="宋体" w:hAnsi="宋体" w:cs="宋体"/>
                <w:kern w:val="0"/>
                <w:sz w:val="18"/>
                <w:szCs w:val="18"/>
                <w:highlight w:val="none"/>
              </w:rPr>
              <w:drawing>
                <wp:inline distT="0" distB="0" distL="0" distR="0">
                  <wp:extent cx="1113155" cy="1244600"/>
                  <wp:effectExtent l="0" t="0" r="10795" b="1270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116970" cy="124928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3</w:t>
            </w:r>
          </w:p>
        </w:tc>
        <w:tc>
          <w:tcPr>
            <w:tcW w:w="519" w:type="pct"/>
            <w:shd w:val="clear" w:color="auto" w:fill="auto"/>
            <w:vAlign w:val="center"/>
          </w:tcPr>
          <w:p>
            <w:pPr>
              <w:widowControl/>
              <w:jc w:val="center"/>
              <w:rPr>
                <w:rFonts w:ascii="仿宋" w:hAnsi="仿宋" w:eastAsia="仿宋" w:cs="仿宋"/>
                <w:kern w:val="0"/>
                <w:szCs w:val="21"/>
                <w:highlight w:val="none"/>
              </w:rPr>
            </w:pP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储藏柜</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全钢结构。</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1.框架：采用≥1.0mm厚镀锌钢板裁剪折弯后满焊点焊接，表面经EPOXY喷涂处理，连接件采用不锈钢连接件。</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2.柜体：侧板、背板采用采用≥1.0mm厚镀锌钢板裁剪折弯后满焊点焊接，表面经EPOXY喷涂处理，连接件采用不锈钢连接件。</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3.柜门：采用≥1.0mm厚镀锌钢板裁剪折弯后满焊点焊接，表面经EPOXY喷涂处理，对开门式设计。</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4.拉手：采用06CR19NI10不锈钢C型拉手。</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5.铰链：采用定位铰链或≥2mm不锈钢合页。</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6.调整脚：采用ABS新料模具一体成型的承重型可调节地脚，螺丝06CR19NI10不锈钢材质。</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7.尺寸：1200*500*2000mm</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4</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078" w:type="pct"/>
            <w:shd w:val="clear" w:color="auto" w:fill="auto"/>
            <w:vAlign w:val="center"/>
          </w:tcPr>
          <w:p>
            <w:pPr>
              <w:widowControl/>
              <w:jc w:val="center"/>
              <w:rPr>
                <w:rFonts w:ascii="仿宋" w:hAnsi="仿宋" w:eastAsia="仿宋" w:cs="仿宋"/>
                <w:kern w:val="0"/>
                <w:szCs w:val="21"/>
                <w:highlight w:val="none"/>
              </w:rPr>
            </w:pPr>
            <w:r>
              <w:rPr>
                <w:rFonts w:ascii="仿宋" w:hAnsi="仿宋" w:eastAsia="仿宋" w:cs="仿宋"/>
                <w:kern w:val="0"/>
                <w:szCs w:val="21"/>
                <w:highlight w:val="none"/>
              </w:rPr>
              <w:drawing>
                <wp:inline distT="0" distB="0" distL="0" distR="0">
                  <wp:extent cx="1114425" cy="818515"/>
                  <wp:effectExtent l="0" t="0" r="0" b="635"/>
                  <wp:docPr id="13" name="图片 13" descr="E:\1、2018年--2024年方案\6、202403\3、浙江\13、杭州学军中学桐庐学校\20240329\投标配图标准柜子\书籍管理室编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1、2018年--2024年方案\6、202403\3、浙江\13、杭州学军中学桐庐学校\20240329\投标配图标准柜子\书籍管理室编号3.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114531" cy="819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4</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书架</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1.尺寸：1660*500*2000mm±10mm；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2.材质：冷轧钢板；</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工艺：采用优质冷轧钢板，底框厚度≥1.2mm,立柱厚度≥1.3mm,立横撑厚度≥1.2mm,挂板厚度≥0.8mm，隔板厚度≥1.0mm，档书条厚度≥0.8mm，侧板及厚度≥0.7mm，冲压成型，钢板经高温粉体烤漆，长时间使用也不会出现剥落现象。</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组</w:t>
            </w:r>
          </w:p>
        </w:tc>
        <w:tc>
          <w:tcPr>
            <w:tcW w:w="1078" w:type="pct"/>
            <w:shd w:val="clear" w:color="auto" w:fill="auto"/>
            <w:vAlign w:val="center"/>
          </w:tcPr>
          <w:p>
            <w:pPr>
              <w:widowControl/>
              <w:jc w:val="center"/>
              <w:rPr>
                <w:rFonts w:ascii="仿宋" w:hAnsi="仿宋" w:eastAsia="仿宋" w:cs="仿宋"/>
                <w:kern w:val="0"/>
                <w:szCs w:val="21"/>
                <w:highlight w:val="none"/>
              </w:rPr>
            </w:pPr>
            <w:r>
              <w:rPr>
                <w:rFonts w:ascii="仿宋" w:hAnsi="仿宋" w:eastAsia="仿宋" w:cs="仿宋"/>
                <w:kern w:val="0"/>
                <w:szCs w:val="21"/>
                <w:highlight w:val="none"/>
              </w:rPr>
              <w:drawing>
                <wp:inline distT="0" distB="0" distL="0" distR="0">
                  <wp:extent cx="1371600" cy="1007745"/>
                  <wp:effectExtent l="0" t="0" r="0" b="1905"/>
                  <wp:docPr id="17" name="图片 17" descr="E:\1、2018年--2024年方案\6、202403\3、浙江\13、杭州学军中学桐庐学校\20240329\投标配图标准柜子\书籍管理室编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1、2018年--2024年方案\6、202403\3、浙江\13、杭州学军中学桐庐学校\20240329\投标配图标准柜子\书籍管理室编号4.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371730" cy="1008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99" w:type="pct"/>
            <w:gridSpan w:val="2"/>
            <w:shd w:val="clear" w:color="auto" w:fill="auto"/>
            <w:vAlign w:val="center"/>
          </w:tcPr>
          <w:p>
            <w:pPr>
              <w:widowControl/>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四、主题门厅</w:t>
            </w:r>
          </w:p>
        </w:tc>
        <w:tc>
          <w:tcPr>
            <w:tcW w:w="2347" w:type="pct"/>
            <w:shd w:val="clear" w:color="auto" w:fill="auto"/>
            <w:noWrap/>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w:t>
            </w:r>
          </w:p>
        </w:tc>
        <w:tc>
          <w:tcPr>
            <w:tcW w:w="388" w:type="pct"/>
            <w:shd w:val="clear" w:color="auto" w:fill="auto"/>
            <w:noWrap/>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w:t>
            </w:r>
          </w:p>
        </w:tc>
        <w:tc>
          <w:tcPr>
            <w:tcW w:w="285" w:type="pct"/>
            <w:shd w:val="clear" w:color="auto" w:fill="auto"/>
            <w:noWrap/>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w:t>
            </w:r>
          </w:p>
        </w:tc>
        <w:tc>
          <w:tcPr>
            <w:tcW w:w="1078" w:type="pct"/>
            <w:shd w:val="clear" w:color="auto" w:fill="auto"/>
            <w:noWrap/>
            <w:vAlign w:val="center"/>
          </w:tcPr>
          <w:p>
            <w:pPr>
              <w:widowControl/>
              <w:jc w:val="left"/>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主题展示墙</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功能描述：该主题展示墙装置是展示图书馆知识系统，创设良好的读书条件，营造浓厚的读书氛围，充分发挥图书资源的作用还是校园特色文化的展示的重要端口，同时起到学生实验课余时间自主探究学习的作用。墙文化布置，简练、大气，符合整体技术展示构造，结构有新意，表达性强并且有科技和文化感，要求功能与装饰完美相融。约8360*2700mm，</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1、尺寸约≥180*180mm发光字不少于6个，尺寸约≥300*300mm英文发光字不少于22个，材质亚克力。</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2、不小于10*10mm立体字≥12个，不小于5*5mm英文立体字不少于22个。</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3、配高清UV套图文展示</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4、基层≥12mm厚阻燃板，</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5、配套强弱电路改造。</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组</w:t>
            </w:r>
          </w:p>
        </w:tc>
        <w:tc>
          <w:tcPr>
            <w:tcW w:w="1078" w:type="pct"/>
            <w:shd w:val="clear" w:color="auto" w:fill="auto"/>
            <w:vAlign w:val="center"/>
          </w:tcPr>
          <w:p>
            <w:pPr>
              <w:widowControl/>
              <w:jc w:val="cente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馆情展示设备</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一、功能描述</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1、能展示图书馆基本数据，包括总馆藏图书、今年新增馆藏图书、今日借还量、当月借还量等。</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2、具备借阅量排行统计，可以自定义设置最受欢迎图书的统计时间段与显示数量，并且可以显示管理端设定的推荐图书。</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3、具备五大部类图书馆藏占比分析，支持馆藏缺口分析、藏书利用率分析。</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4、具备读者借阅量排名，具备班级借阅量统计。</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5、支持逾期读者信息公布，学校、图书馆的信息通知发布。</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二、产品规格</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1、整机外形尺寸：≥1210mm *681mm*85mm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2、处理器 : 不低于四核1.5GHz</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3、内存 : 2G、存储空间 : ≥16GB</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4、显示屏尺寸：≥55英寸（16：9）</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5、物理分辨率：≥1920（H）×1080（V）</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6、对比度：≥3000：1</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7、视角（度）：≥178°</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套</w:t>
            </w:r>
          </w:p>
        </w:tc>
        <w:tc>
          <w:tcPr>
            <w:tcW w:w="1078" w:type="pct"/>
            <w:shd w:val="clear" w:color="auto" w:fill="auto"/>
            <w:vAlign w:val="center"/>
          </w:tcPr>
          <w:p>
            <w:pPr>
              <w:widowControl/>
              <w:jc w:val="cente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3</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瀑布流</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xml:space="preserve">1.系统 </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1.1瀑布流基于液晶拼接屏研发，软件运行环境为Windows系统，软件可自适应硬件分辨率。</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1.2 瀑布流实现终端平台展示、图书音频视频图片等资源的后台管理、扫码借阅等功能模块。</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1.3 微信小程序是瀑布流的配套移动应用。可通过手机微信扫描瀑布流上的图书、音频、视频、图片的二维码将数字资源借阅到手机、平板电脑等移动终端中阅读，在手机中以微信小程序的方式呈现，读者无需下载额外的app，减轻读者使用成本。</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1.4资源支持远程定时更新，支持自动更新，减少管理成本。</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1.6管理后台可开放给用户，支持所有设备统一管理、个性化配置UI界面、栏目、上传用户自有的数字资源、发布图文信息公告，并在终端大屏上展示出来。</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1.7支持纯离线模式，在无网络环境下，可正常浏览本地预设的图书、音频、视频等资源，可在瀑布流大屏上全文阅读、收听、观看，同时也可以用手机扫码借阅（本功能为选配，默认在线模式，网络受限用户可选择离线模式）</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1.8瀑布流支持流速调节，可选择0.75倍、1倍、1.25倍、1.5倍、1.75倍、2倍流速</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1.9瀑布流资源流动界面支持上下滑动，以方便用户快速找到合适的资源</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1.10瀑布流支持定时自动切换不同类型的资源，可定时切换到图书流动界面、音频流动界面、视频流动界面、资讯流动界面等，使前端展示的内容无需固定在某单一类型的资源而显得单调。</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1.11瀑布流资源支持按分类浏览，也支持按资源名称检索</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2.资源</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2.1瀑布流提供不少于3000种正版授权的电子图书，每月更新不少于150册电子图书。电子图书支持扫描二维码借阅至微信小程序中阅读，可添加至小程序书架。</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2.2瀑布流提供不少于1000集的有声资源，MP3格式，均为真人原声演播，非AI合成语音，播放流畅，现场感足。有声资源支持扫描二维码借阅至微信小程序中阅读，可添加至小程序书架。</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2.3瀑布流提供不少于400集视频资源，视频资源支持扫描二维码借阅至微信小程序中阅读，可添加至小程序书架。</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2.4瀑布流提供“本月上新”模块，将每月更新的资源集中展示，每月1号到5号自动更新</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2.5瀑布流提供精彩推荐模块，用海报的形式推荐热门资源，随节日、热点每周推送2-3张海报。海报可点击跳转到指定内容界面，用户可自定义上传本馆的宣传活动海报，辅助活动运营</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2.6瀑布流提供“每日一字”模块，每天展示一个生僻字，为用户提供更多学习内容</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2.7支持用户自有版权的资源录入和展示，支持电子图书、期刊、绘本、有声、视频、图片、H5页面等全面丰富的类型，可通过客户后台管理系统导入并在前端大屏展示，供使用者浏览。</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2.8支持时间轴主题展示模式，用户可将本单位的历史或其他主题内容用时间轴的形式展现出来，支持自定义录入素材，支持图文、音频、视频混排。</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 个性化定制</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3.1单位后台管理系统支持修改大屏上的单位名称、logo图片，每个类型的资源均支持背景图修改。</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3.2 单位后台管理系统支持修改待机图片发布。瀑布流系统可在设备无人使用时自动跳转至待机图片，全屏播放待机海报，待机图出现的时间可在后台管理系统里自定义设置，支持开启和关闭待机图功能。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3.3单位后台管理系统支持资讯发布功能，用户可创建信息分类，创建资讯列表，提供全功能多媒体新闻编辑器，支持插入图片、文字、视频等多种格式的信息，用户可利用本功能实现资讯发布、通知公告、个性化专题栏目（如校园文化专栏、当地文化特色专栏、非遗文化专栏等）等需求。资讯可发布至指定的终端设备，使用者可触屏浏览。</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3.4单位后台管理系统支持H5网页的发布，可在大屏前端以栏目的形式展示，点击后可跳转至指定H5网页，页面上提供了“前进、后退、刷新”等功能按键，辅助网页的浏览。用户可利用本功能跳转至单位网站或其他网站，实现个性化宣传需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3.5 单位后台管理系统支持栏目配置功能，可自定义栏目类型，栏目类型需支持图书、音频、视频、图片、资讯信息、实现个性化配置需求，可增加删除栏目，栏目可自由排序。</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3.6单位后台管理系统支持设备的统一管理，支持单台设备的修改，以达到每台设备不一样的显示效果，也支持批量统一管理。</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4．配套的手机端服务</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4.1微信小程序是瀑布流的配套移动应用，微信小程序支持扫码借阅功能。使用者无需下载额外的APP，减轻使用成本。</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4.2微信小程序提供书架功能，可将扫描的图书、音频、视频收藏至书架中，保留阅读进度，方便使用者随时随地查找和阅览。</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5．硬件参数要求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屏幕：46寸及以上，对比度3000:1，可视角度178°</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双边物理拼缝：3.5mm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屏幕亮度：500cd/㎡及以上</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拼接控制器：支持单屏、多屏信号调整; 可灵活的将多个屏莫拼接组合; 可调整屏莫高度、对比度、颜色等;</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拼接方式：1*3，竖屏竖拼</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单屏分辨率：1080*1920及以上</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融合后分辨率：1080*5760及以上</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主机：≥4核，最大睿频频率≥3.60 GHz，8G内存及以上，240G固态硬盘及以上</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联网方式：支持以太网和WiFi</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显卡：多屏融合显卡，可实现点对点分辨率，画面不变形。</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触摸：定制红外多点触摸框，触摸采用红外真十点触摸，触摸灵敏度高，定制触摸钢化玻璃</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机柜：铝型材支架，材质坚固、不易变形，预留检修口</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辅料线材：工业级内屏蔽HDMI线材，工业级电源线、插排</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时控器：支持定时开关机，可以按天、周设置定时开关机</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条</w:t>
            </w:r>
          </w:p>
        </w:tc>
        <w:tc>
          <w:tcPr>
            <w:tcW w:w="1078" w:type="pct"/>
            <w:shd w:val="clear" w:color="auto" w:fill="auto"/>
            <w:vAlign w:val="center"/>
          </w:tcPr>
          <w:p>
            <w:pPr>
              <w:widowControl/>
              <w:jc w:val="cente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99" w:type="pct"/>
            <w:gridSpan w:val="2"/>
            <w:shd w:val="clear" w:color="auto" w:fill="auto"/>
            <w:vAlign w:val="center"/>
          </w:tcPr>
          <w:p>
            <w:pPr>
              <w:widowControl/>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五、专业设备</w:t>
            </w:r>
          </w:p>
        </w:tc>
        <w:tc>
          <w:tcPr>
            <w:tcW w:w="2347" w:type="pct"/>
            <w:shd w:val="clear" w:color="auto" w:fill="auto"/>
            <w:noWrap/>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w:t>
            </w:r>
          </w:p>
        </w:tc>
        <w:tc>
          <w:tcPr>
            <w:tcW w:w="388" w:type="pct"/>
            <w:shd w:val="clear" w:color="auto" w:fill="auto"/>
            <w:noWrap/>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w:t>
            </w:r>
          </w:p>
        </w:tc>
        <w:tc>
          <w:tcPr>
            <w:tcW w:w="285" w:type="pct"/>
            <w:shd w:val="clear" w:color="auto" w:fill="auto"/>
            <w:noWrap/>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w:t>
            </w:r>
          </w:p>
        </w:tc>
        <w:tc>
          <w:tcPr>
            <w:tcW w:w="1078" w:type="pct"/>
            <w:shd w:val="clear" w:color="auto" w:fill="auto"/>
            <w:noWrap/>
            <w:vAlign w:val="center"/>
          </w:tcPr>
          <w:p>
            <w:pPr>
              <w:widowControl/>
              <w:jc w:val="left"/>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80"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RFID图书管理系统</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图书馆馆务系统采用云端部署，用户PC端电脑主流浏览器直接打开访问即可；支持对图书馆馆内文献资源信息化管理，包括图书编目、图书流通等功能。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一、图书编目</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1、支持单独馆藏MARC数据编目入口，可对馆藏MARC数据按照ISBN\题名\责任者\索书号\登录号\条码号\分类号\馆藏地\入藏时间段等进行数据查重。</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2、提供新建MARC数据入口，点击可直接跳入MARC编辑器，可对现有的馆藏MARC数据进行获取，修改数据自动生成新的馆藏MARC数据，也可通过第三方MARC库获取最新MARC数据自动转入至本馆馆藏数据。</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3、提供MARC解析器功能，支持国家图书馆网站、就要MARC网站MARC数据复制粘贴助手功能，自动解析且转换保存至本馆馆藏数据。</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支持完整且具备905字段条码号、索书号、馆藏地的MARC数据（iso文件，）导入功能，可配置解析编码格式GBK和UTF-8文件，905子字段解析内容，财产号分隔符解析。按照各书商提供的数据格式模板进行导入模式保存。数据导入后，馆藏图书可自动转换成可借状态或待审核状态。</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5、提供CNMARC与USMRAC字段内容切换辅助功能，严格按照USMARC与CNMARC字段信息内容对应关系进行转化辅助编辑。</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6、提供CNMARC、USMARC模板自定义配置，用户可通过账号绑定保存自己常用的模板，可选择MARC字段显示数量，多个MARC模板时，可设置默认显示模板。与其他用户模板互不冲突。</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7、CNMARC字段间规则按照《新版中国机读目录格式使用手册》，支持MARC字段必备与重复字段设置，字段之间关联设置，中文自动生成拼音，多音字字库拼音自动提醒，字体大中小显示设置。</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二、图书流通</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提供馆藏图书借书、还书以及借还书智能借还判断功能，输入或扫描读者证号进入读者信息页面，左右分屏分别展示该读者基本信息，当前操作记录，已借图书列表，借阅历史列表，预约图书列表，已还图书列表，扣费清单以及异常扣费清单情况。</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2、提供流通馆员对读者进行退证、暂停、挂失、收款、押金、余额显示、删除、编辑、有效期功能权限操作。且直观展示读者当前图书可借与已借比例条状图。</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3、通过馆员权限管理，支持馆藏图书强制借阅功能，打破借阅规则、借阅数量的情况下，灵活机动处理馆内流通业务。</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支持单个读者流通借阅的联动调整和管理，可分别对读者有效期，可借数量、可借金额、最大欠款，以及结合图书类型进行流通规则的多项设定。同时对读者9种不同的状态分别进行借书、还书、续借、预约、查询、入馆、荐购进行流通权限管理。</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5、关联搜索功能，根据图书题名的分词、作者名、出版社、主题词等基本信息，和搜索词进行关联，点击搜索词即可查阅关联馆藏。</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套</w:t>
            </w:r>
          </w:p>
        </w:tc>
        <w:tc>
          <w:tcPr>
            <w:tcW w:w="1078" w:type="pct"/>
            <w:shd w:val="clear" w:color="auto" w:fill="auto"/>
            <w:vAlign w:val="center"/>
          </w:tcPr>
          <w:p>
            <w:pPr>
              <w:widowControl/>
              <w:jc w:val="cente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80"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RFID电子标签</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一、功能要求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1、标签中有存储器，存储在其中的信息可重复读、写；</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2、标签可以非接触式的读取和写入；</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3、标签具有一定的抗冲突性，能保证多个标签的同时可靠识别；</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二、性能要求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1.工作频率：860～960MHz；</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2.标签粘贴隐蔽，粘贴到位后不易撕毁、脱落，安装于图书内页夹缝中；</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3.有效识读距离：符合自助借还、书架、安全门等设备读取要求；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三、RFID图书标签粘贴、标签数据转换等安装。</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四、技术要求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1.■RFID电子标签具有静电放电抗扰度功能，通过《GB/T17626.2-2018》标准测试；</w:t>
            </w:r>
            <w:r>
              <w:rPr>
                <w:rFonts w:hint="eastAsia" w:ascii="仿宋" w:hAnsi="仿宋" w:eastAsia="仿宋" w:cs="宋体"/>
                <w:b/>
                <w:bCs/>
                <w:color w:val="000000"/>
                <w:kern w:val="0"/>
                <w:sz w:val="22"/>
                <w:szCs w:val="22"/>
                <w:highlight w:val="none"/>
              </w:rPr>
              <w:t>（证明材料提供具有国家认可的第三方检测机构出具的有“CMA或CNAS”标识的检测报告）</w:t>
            </w:r>
            <w:r>
              <w:rPr>
                <w:rFonts w:hint="eastAsia" w:ascii="仿宋" w:hAnsi="仿宋" w:eastAsia="仿宋" w:cs="宋体"/>
                <w:b/>
                <w:bCs/>
                <w:color w:val="000000"/>
                <w:kern w:val="0"/>
                <w:sz w:val="22"/>
                <w:szCs w:val="22"/>
                <w:highlight w:val="none"/>
              </w:rPr>
              <w:br w:type="textWrapping"/>
            </w:r>
            <w:r>
              <w:rPr>
                <w:rFonts w:hint="eastAsia" w:ascii="仿宋" w:hAnsi="仿宋" w:eastAsia="仿宋" w:cs="仿宋"/>
                <w:kern w:val="0"/>
                <w:szCs w:val="21"/>
                <w:highlight w:val="none"/>
              </w:rPr>
              <w:t>2.RFID电子标签通过环境试验检测，在高低温环境中使用无变形干裂、外表无污点瑕疵、无划痕，读写性能稳定、读卡速度连续正常；</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3.■RFID电子标签须通过老化测试，符合《GB/T3512-2014》标准；</w:t>
            </w:r>
            <w:r>
              <w:rPr>
                <w:rFonts w:hint="eastAsia" w:ascii="仿宋" w:hAnsi="仿宋" w:eastAsia="仿宋" w:cs="宋体"/>
                <w:b/>
                <w:bCs/>
                <w:color w:val="000000"/>
                <w:kern w:val="0"/>
                <w:sz w:val="22"/>
                <w:szCs w:val="22"/>
                <w:highlight w:val="none"/>
              </w:rPr>
              <w:t>（证明材料提供具有国家认可的第三方检测机构出具的有“CMA或CNAS”标识的检测报告）</w:t>
            </w:r>
            <w:r>
              <w:rPr>
                <w:rFonts w:hint="eastAsia" w:ascii="仿宋" w:hAnsi="仿宋" w:eastAsia="仿宋" w:cs="宋体"/>
                <w:b/>
                <w:bCs/>
                <w:color w:val="000000"/>
                <w:kern w:val="0"/>
                <w:sz w:val="22"/>
                <w:szCs w:val="22"/>
                <w:highlight w:val="none"/>
              </w:rPr>
              <w:br w:type="textWrapping"/>
            </w:r>
            <w:r>
              <w:rPr>
                <w:rFonts w:hint="eastAsia" w:ascii="仿宋" w:hAnsi="仿宋" w:eastAsia="仿宋" w:cs="仿宋"/>
                <w:kern w:val="0"/>
                <w:szCs w:val="21"/>
                <w:highlight w:val="none"/>
              </w:rPr>
              <w:t>4.■RFID电子标签粘胶具有持粘性；</w:t>
            </w:r>
            <w:r>
              <w:rPr>
                <w:rFonts w:hint="eastAsia" w:ascii="仿宋" w:hAnsi="仿宋" w:eastAsia="仿宋" w:cs="宋体"/>
                <w:b/>
                <w:bCs/>
                <w:color w:val="000000"/>
                <w:kern w:val="0"/>
                <w:sz w:val="22"/>
                <w:szCs w:val="22"/>
                <w:highlight w:val="none"/>
              </w:rPr>
              <w:t>（证明材料提供具有国家认可的第三方检测机构出具的有“CMA或CNAS”标识的检测报告）</w:t>
            </w:r>
            <w:r>
              <w:rPr>
                <w:rFonts w:hint="eastAsia" w:ascii="仿宋" w:hAnsi="仿宋" w:eastAsia="仿宋" w:cs="宋体"/>
                <w:b/>
                <w:bCs/>
                <w:color w:val="000000"/>
                <w:kern w:val="0"/>
                <w:sz w:val="22"/>
                <w:szCs w:val="22"/>
                <w:highlight w:val="none"/>
              </w:rPr>
              <w:br w:type="textWrapping"/>
            </w:r>
            <w:r>
              <w:rPr>
                <w:rFonts w:hint="eastAsia" w:ascii="仿宋" w:hAnsi="仿宋" w:eastAsia="仿宋" w:cs="仿宋"/>
                <w:kern w:val="0"/>
                <w:szCs w:val="21"/>
                <w:highlight w:val="none"/>
              </w:rPr>
              <w:t>5.RFID电子标签的射频识别芯片须为超高频（UHF）。</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10000</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枚</w:t>
            </w:r>
          </w:p>
        </w:tc>
        <w:tc>
          <w:tcPr>
            <w:tcW w:w="1078" w:type="pct"/>
            <w:shd w:val="clear" w:color="auto" w:fill="auto"/>
            <w:vAlign w:val="center"/>
          </w:tcPr>
          <w:p>
            <w:pPr>
              <w:widowControl/>
              <w:jc w:val="cente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380"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3</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馆员工作台</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一、功能要求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1.相关的RFID阅读产品设备，可在非常短的时间内读取存储在标签中的资料。</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2.可以对图书标签防盗位进行复位或置位;</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3.提供准确的工作统计，如根据注册时间、注册人员或条码段等条件，查询注册数据并导出清单功能。根据注册日期或注册人员等条件统计注册量，并提供导出清单功能。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4.具备标签读取数量实时显示功能，准确判断标签多贴或漏贴;</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5.具备图书查询功能，可根据注册日期、图书类型、图书状态、馆藏地、出版社、层位信息、条码号、提名、索书号等条件查询对应图书清单，并提供数据导出功能，方便客户掌握注册完成标签加工的图书信息;</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二、性能要求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1.工作频率：920-925MHz；</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2.设备轻薄便利，天线厚度≤14mm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3.外形尺寸：≤400x350x30（mm）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4.整机功耗：≤10W</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5.通信接口：com；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6.电流：1300mA（工作）、300mA（待机）；</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7.电源：DC输出5V/4A</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台</w:t>
            </w:r>
          </w:p>
        </w:tc>
        <w:tc>
          <w:tcPr>
            <w:tcW w:w="1078" w:type="pct"/>
            <w:shd w:val="clear" w:color="auto" w:fill="auto"/>
            <w:vAlign w:val="center"/>
          </w:tcPr>
          <w:p>
            <w:pPr>
              <w:widowControl/>
              <w:jc w:val="cente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4</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读卡器</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xml:space="preserve">1、接口：RS232 or USB </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 xml:space="preserve">2、工作电压：DC4.5V – DC5.5V </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 xml:space="preserve">3、工作电流：150MA </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 xml:space="preserve">4、尺寸：≥110 x 81 x 26 mm </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 xml:space="preserve">5、工作频率：13.56MHz </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台</w:t>
            </w:r>
          </w:p>
        </w:tc>
        <w:tc>
          <w:tcPr>
            <w:tcW w:w="1078" w:type="pct"/>
            <w:shd w:val="clear" w:color="auto" w:fill="auto"/>
            <w:vAlign w:val="center"/>
          </w:tcPr>
          <w:p>
            <w:pPr>
              <w:widowControl/>
              <w:jc w:val="cente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5</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扫码枪</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 xml:space="preserve">1.光源：红光 LED（610nm~640nm） </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2.识读精度：≥5mil</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3.最低对比度：≥30%反射差异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4.扫描速度：300 次/秒</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5.数据接口：USB</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6.尺寸（长×宽×高）：≥160×95×65mm</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台</w:t>
            </w:r>
          </w:p>
        </w:tc>
        <w:tc>
          <w:tcPr>
            <w:tcW w:w="1078" w:type="pct"/>
            <w:shd w:val="clear" w:color="auto" w:fill="auto"/>
            <w:vAlign w:val="center"/>
          </w:tcPr>
          <w:p>
            <w:pPr>
              <w:widowControl/>
              <w:jc w:val="cente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380"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6</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RFID安全门禁</w:t>
            </w:r>
          </w:p>
        </w:tc>
        <w:tc>
          <w:tcPr>
            <w:tcW w:w="2347" w:type="pct"/>
            <w:shd w:val="clear" w:color="auto" w:fill="auto"/>
            <w:vAlign w:val="center"/>
          </w:tcPr>
          <w:p>
            <w:pPr>
              <w:widowControl/>
              <w:numPr>
                <w:ilvl w:val="0"/>
                <w:numId w:val="17"/>
              </w:numPr>
              <w:jc w:val="left"/>
              <w:rPr>
                <w:rFonts w:ascii="仿宋" w:hAnsi="仿宋" w:eastAsia="仿宋" w:cs="仿宋"/>
                <w:kern w:val="0"/>
                <w:szCs w:val="21"/>
                <w:highlight w:val="none"/>
              </w:rPr>
            </w:pPr>
            <w:r>
              <w:rPr>
                <w:rFonts w:hint="eastAsia" w:ascii="仿宋" w:hAnsi="仿宋" w:eastAsia="仿宋" w:cs="仿宋"/>
                <w:kern w:val="0"/>
                <w:szCs w:val="21"/>
                <w:highlight w:val="none"/>
              </w:rPr>
              <w:t>功能要求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1、可以使用EAS报警模式；</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2、可以非接触式的快速识别粘贴在流通资料上的超高频RFID标签；</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3、门禁自带一体式嵌入式不小于5寸液晶显示屏实时显示进出馆人数，自带流量统计功能，提供实物照片；</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4、系统在人员经过时，自动开启监测，在无人经过时，自动休眠；</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5、具有音频和视觉报警信号，报警音量可调控；</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二、性能要求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1.工作频率：920～925MHz；</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2.双通道总宽度达至：1700mm；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3.单通道门禁宽度范围：800-1200mm；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4.显示屏：≥5寸LCD显示屏</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5.通讯接口：RS232、10M/100M自适应网口</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三、技术要求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三、技术要求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三、技术要求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1、■设备辐射实测值须≤2 uW/cm2；</w:t>
            </w:r>
            <w:r>
              <w:rPr>
                <w:rFonts w:hint="eastAsia" w:ascii="仿宋" w:hAnsi="仿宋" w:eastAsia="仿宋" w:cs="宋体"/>
                <w:b/>
                <w:bCs/>
                <w:color w:val="000000"/>
                <w:kern w:val="0"/>
                <w:sz w:val="22"/>
                <w:szCs w:val="22"/>
                <w:highlight w:val="none"/>
              </w:rPr>
              <w:t>（证明材料提供具有国家认可的第三方检测机构出具的有“CMA或CNAS”标识的检测报告）</w:t>
            </w:r>
            <w:r>
              <w:rPr>
                <w:rFonts w:hint="eastAsia" w:ascii="仿宋" w:hAnsi="仿宋" w:eastAsia="仿宋" w:cs="宋体"/>
                <w:b/>
                <w:bCs/>
                <w:color w:val="000000"/>
                <w:kern w:val="0"/>
                <w:sz w:val="22"/>
                <w:szCs w:val="22"/>
                <w:highlight w:val="none"/>
              </w:rPr>
              <w:br w:type="textWrapping"/>
            </w:r>
            <w:r>
              <w:rPr>
                <w:rFonts w:hint="eastAsia" w:ascii="仿宋" w:hAnsi="仿宋" w:eastAsia="仿宋" w:cs="仿宋"/>
                <w:kern w:val="0"/>
                <w:szCs w:val="21"/>
                <w:highlight w:val="none"/>
              </w:rPr>
              <w:t>2、RFID安全门禁通过环境试验检测，在高低温环境中使用功能正常、读取标签性能稳定、外观无变形损坏；</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3、■RFID安全门禁通过《GB/T3768-2017》标准检测，设备在运行状态下四周噪声均≤35dB（A）；</w:t>
            </w:r>
            <w:r>
              <w:rPr>
                <w:rFonts w:hint="eastAsia" w:ascii="仿宋" w:hAnsi="仿宋" w:eastAsia="仿宋" w:cs="宋体"/>
                <w:b/>
                <w:bCs/>
                <w:color w:val="000000"/>
                <w:kern w:val="0"/>
                <w:sz w:val="22"/>
                <w:szCs w:val="22"/>
                <w:highlight w:val="none"/>
              </w:rPr>
              <w:t>（证明材料提供具有国家认可的第三方检测机构出具的有“CMA或CNAS”标识的检测报告）</w:t>
            </w:r>
            <w:r>
              <w:rPr>
                <w:rFonts w:hint="eastAsia" w:ascii="仿宋" w:hAnsi="仿宋" w:eastAsia="仿宋" w:cs="宋体"/>
                <w:b/>
                <w:bCs/>
                <w:color w:val="000000"/>
                <w:kern w:val="0"/>
                <w:sz w:val="22"/>
                <w:szCs w:val="22"/>
                <w:highlight w:val="none"/>
              </w:rPr>
              <w:br w:type="textWrapping"/>
            </w:r>
            <w:r>
              <w:rPr>
                <w:rFonts w:hint="eastAsia" w:ascii="仿宋" w:hAnsi="仿宋" w:eastAsia="仿宋" w:cs="仿宋"/>
                <w:kern w:val="0"/>
                <w:szCs w:val="21"/>
                <w:highlight w:val="none"/>
              </w:rPr>
              <w:t>4、■RFID安全门禁传导骚扰、辐射骚扰、谐波电流、电压波动与闪变、静电放电等通过《GB/T9254-2008》、《GB17625.1-2012》、《GB/T17625.2-2007》、《GB/T17618-2015》标准检测；</w:t>
            </w:r>
            <w:r>
              <w:rPr>
                <w:rFonts w:hint="eastAsia" w:ascii="仿宋" w:hAnsi="仿宋" w:eastAsia="仿宋" w:cs="宋体"/>
                <w:b/>
                <w:bCs/>
                <w:color w:val="000000"/>
                <w:kern w:val="0"/>
                <w:sz w:val="22"/>
                <w:szCs w:val="22"/>
                <w:highlight w:val="none"/>
              </w:rPr>
              <w:t>（证明材料提供具有国家认可的第三方检测机构出具的有“CMA或CNAS”标识的检测报告）</w:t>
            </w:r>
            <w:r>
              <w:rPr>
                <w:rFonts w:hint="eastAsia" w:ascii="仿宋" w:hAnsi="仿宋" w:eastAsia="仿宋" w:cs="宋体"/>
                <w:b/>
                <w:bCs/>
                <w:color w:val="000000"/>
                <w:kern w:val="0"/>
                <w:sz w:val="22"/>
                <w:szCs w:val="22"/>
                <w:highlight w:val="none"/>
              </w:rPr>
              <w:br w:type="textWrapping"/>
            </w:r>
            <w:r>
              <w:rPr>
                <w:rFonts w:hint="eastAsia" w:ascii="仿宋" w:hAnsi="仿宋" w:eastAsia="仿宋" w:cs="仿宋"/>
                <w:kern w:val="0"/>
                <w:szCs w:val="21"/>
                <w:highlight w:val="none"/>
              </w:rPr>
              <w:t>5、RFID安全门禁具备射频识别距离功能：单通道不小于2000mm、双通道不小于1200mm。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6、■RFID安全门禁具备防尾随防盗功能，设备配备防尾随系统；具备监控报警功能，设备配备监控报警系统；具备人流量统计功能，设备配备人流量统计系统；</w:t>
            </w:r>
            <w:r>
              <w:rPr>
                <w:rFonts w:hint="eastAsia" w:ascii="仿宋" w:hAnsi="仿宋" w:eastAsia="仿宋" w:cs="仿宋"/>
                <w:b/>
                <w:bCs/>
                <w:kern w:val="0"/>
                <w:szCs w:val="21"/>
                <w:highlight w:val="none"/>
              </w:rPr>
              <w:t>（证明材料提供系统功能界面截图加盖公章）</w:t>
            </w:r>
            <w:r>
              <w:rPr>
                <w:rFonts w:hint="eastAsia" w:ascii="仿宋" w:hAnsi="仿宋" w:eastAsia="仿宋" w:cs="仿宋"/>
                <w:b/>
                <w:bCs/>
                <w:kern w:val="0"/>
                <w:szCs w:val="21"/>
                <w:highlight w:val="none"/>
              </w:rPr>
              <w:br w:type="textWrapping"/>
            </w:r>
            <w:r>
              <w:rPr>
                <w:rFonts w:hint="eastAsia" w:ascii="仿宋" w:hAnsi="仿宋" w:eastAsia="仿宋" w:cs="仿宋"/>
                <w:kern w:val="0"/>
                <w:szCs w:val="21"/>
                <w:highlight w:val="none"/>
              </w:rPr>
              <w:t>7、RFID安全门禁防护等级须≥IP65。</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3</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片</w:t>
            </w:r>
          </w:p>
        </w:tc>
        <w:tc>
          <w:tcPr>
            <w:tcW w:w="1078" w:type="pct"/>
            <w:shd w:val="clear" w:color="auto" w:fill="auto"/>
            <w:vAlign w:val="center"/>
          </w:tcPr>
          <w:p>
            <w:pPr>
              <w:widowControl/>
              <w:jc w:val="cente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7</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安全门底座</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辅助安全门安装，方便后期安全门移动，≥560mm×106mm×1550mm ( 长 × 宽 ×高 )</w:t>
            </w:r>
            <w:r>
              <w:rPr>
                <w:rFonts w:hint="eastAsia"/>
                <w:highlight w:val="none"/>
              </w:rPr>
              <w:t xml:space="preserve"> </w:t>
            </w:r>
            <w:r>
              <w:rPr>
                <w:rFonts w:hint="eastAsia" w:ascii="仿宋" w:hAnsi="仿宋" w:eastAsia="仿宋" w:cs="仿宋"/>
                <w:kern w:val="0"/>
                <w:szCs w:val="21"/>
                <w:highlight w:val="none"/>
              </w:rPr>
              <w:t>底座材质是</w:t>
            </w:r>
            <w:r>
              <w:rPr>
                <w:rFonts w:ascii="仿宋" w:hAnsi="仿宋" w:eastAsia="仿宋" w:cs="仿宋"/>
                <w:kern w:val="0"/>
                <w:szCs w:val="21"/>
                <w:highlight w:val="none"/>
              </w:rPr>
              <w:t>06Cr19Ni10</w:t>
            </w:r>
            <w:r>
              <w:rPr>
                <w:rFonts w:hint="eastAsia" w:ascii="仿宋" w:hAnsi="仿宋" w:eastAsia="仿宋" w:cs="仿宋"/>
                <w:kern w:val="0"/>
                <w:szCs w:val="21"/>
                <w:highlight w:val="none"/>
              </w:rPr>
              <w:t>不锈钢。</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片</w:t>
            </w:r>
          </w:p>
        </w:tc>
        <w:tc>
          <w:tcPr>
            <w:tcW w:w="1078" w:type="pct"/>
            <w:shd w:val="clear" w:color="auto" w:fill="auto"/>
            <w:vAlign w:val="center"/>
          </w:tcPr>
          <w:p>
            <w:pPr>
              <w:widowControl/>
              <w:jc w:val="center"/>
              <w:rPr>
                <w:rFonts w:ascii="仿宋" w:hAnsi="仿宋" w:eastAsia="仿宋" w:cs="仿宋"/>
                <w:kern w:val="0"/>
                <w:szCs w:val="21"/>
                <w:highlight w:val="none"/>
              </w:rPr>
            </w:pPr>
            <w:r>
              <w:rPr>
                <w:highlight w:val="none"/>
              </w:rPr>
              <w:drawing>
                <wp:inline distT="0" distB="0" distL="0" distR="0">
                  <wp:extent cx="1038225" cy="287020"/>
                  <wp:effectExtent l="0" t="0" r="9525" b="17780"/>
                  <wp:docPr id="32" name="图片 19" descr="截屏2024-03-28 下午2.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9" descr="截屏2024-03-28 下午2.49.46"/>
                          <pic:cNvPicPr>
                            <a:picLocks noChangeAspect="1"/>
                          </pic:cNvPicPr>
                        </pic:nvPicPr>
                        <pic:blipFill>
                          <a:blip r:embed="rId49"/>
                          <a:stretch>
                            <a:fillRect/>
                          </a:stretch>
                        </pic:blipFill>
                        <pic:spPr>
                          <a:xfrm>
                            <a:off x="0" y="0"/>
                            <a:ext cx="1038225" cy="2870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80"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8</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智慧云终端讲台</w:t>
            </w:r>
          </w:p>
        </w:tc>
        <w:tc>
          <w:tcPr>
            <w:tcW w:w="2347" w:type="pct"/>
            <w:shd w:val="clear" w:color="auto" w:fill="auto"/>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讲台尺寸：长不小于1000mm，宽不小于500mm，高约700-900mm.</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1. 屏幕显示：屏幕采用LED背光液晶模组，显示尺寸不小于 23英寸，屏幕宽高比16：9，最大支持分辨率1920*1080。</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 屏幕触控：屏幕采用人机交互触控模式，手指轻触式多点（不小于8点触控）互动体验；连续响应速度≤40ms，触摸精度±3mm。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 屏幕支持专用智能手写笔进行数字书写画图，具备原笔迹三维压感识别。</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 要求符合人机交互的一体化设计：桌面与屏幕采用一体化双面设计，一面为完整桌面，一面为电脑显示屏幕，桌面和屏幕可在角度 0-180°之间调节和中轴翻转；显示器、主机、桌面、桌体采用一体化设计，通过外置电源适配器供电。</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 桌面显示屏翻转：桌面和显示屏可同时在角度 0-180°手动调节翻转。</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6. 桌面配置：设置教师用扩展桌面，桌面配备电源接口。</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7. 开关机键：屏幕面配置触摸式开关机键，具有一键开关机功能和开关机状态指示功能，便于管理维护。</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8. 智能配件：屏幕内前置麦克风及 高清前置摄像头，摄像头像素不低于200万像素。</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9. 输入输出接口：包括USB 接口；电源接口；网线接口；HDMI 接口；3.5mm 音频输出，3.5mmMIC 输入。</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10. 硬件模块：CPU采用2核以上；内存不低于 8G；存储固态硬盘容量不低于256G。</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11. 高度调节：通过电动升降按钮，可实现屏幕及桌面离地高度700mm—900mm 之间无级调节。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12. 设备接入电源：通过电源适配器供电，主机接入电压低于36V 。</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13. 网络支持：支持网线接入网络，支持WiFi接入网络，支持连接蓝牙设备。</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14. 操作系统：64位操作系统，支持s应用软件安装和卸载，支持重装系统；支持WMV、AVI、FLV、RM、RMVB、MPEG、TS、MP4 等常用格式彩色视频播放，支持BMP、JPEG、PNG、GIF 等格式彩色图片查看等功能；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15. 护眼健康：支持软件调整屏显色温，一键去蓝光。</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16. 支持一机多场景，通过手和智能笔支持数字书写画图、虚拟仿真实验等场景应用。</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17. 专用智能手写笔：充电式主动智能书写笔；具有柔性笔尖，在屏幕上模拟纸面书写阻尼感；具有原笔迹压感识别技术；充满电支持续航时间不低于200小时。</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■18.基本要求：正常工作条件下和出现单一故障后，次级SELV电路所呈现的电压不超过42.4V交流峰值电压或60V直流值。机械强度：≥10N的力施加在相关部件上，无危险；≥250N的力施加在外部外壳上，无危险；</w:t>
            </w:r>
            <w:r>
              <w:rPr>
                <w:rFonts w:hint="eastAsia" w:ascii="仿宋" w:hAnsi="仿宋" w:eastAsia="仿宋" w:cs="宋体"/>
                <w:b/>
                <w:bCs/>
                <w:color w:val="000000"/>
                <w:kern w:val="0"/>
                <w:sz w:val="22"/>
                <w:szCs w:val="22"/>
                <w:highlight w:val="none"/>
              </w:rPr>
              <w:t>（证明材料提供具有国家认可的第三方检测机构出具的有“CMA或CNAS”标识的检测报告）</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组</w:t>
            </w:r>
          </w:p>
        </w:tc>
        <w:tc>
          <w:tcPr>
            <w:tcW w:w="1078" w:type="pct"/>
            <w:shd w:val="clear" w:color="auto" w:fill="auto"/>
            <w:vAlign w:val="center"/>
          </w:tcPr>
          <w:p>
            <w:pPr>
              <w:widowControl/>
              <w:jc w:val="cente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80"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9</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自助借还书机（立式）</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一、功能要求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1.可非接触式快速识别粘贴在文献上的超高频RFID标签</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2.系统可以被馆员设定为仅有借书功能，或仅有还书功能。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3.配合后台应用系统使读者有使用密码的功能。保护读者隐私，可选择显示读者姓名、读者条码号，在借文献数量、读者在借文献等非隐私信息等</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设备具备借书、还书、续借功能：进行借书、还书、续借操作，且能正确完成。具备借还操作功能：放10本粘贴有电子标签的在馆图书到借阅区，能全部办理借阅手续；放10本粘贴有电子标签的在借图书到借阅区，能全部办理还书手续。</w:t>
            </w:r>
            <w:r>
              <w:rPr>
                <w:rFonts w:hint="eastAsia" w:ascii="仿宋" w:hAnsi="仿宋" w:eastAsia="仿宋" w:cs="仿宋"/>
                <w:b/>
                <w:bCs/>
                <w:kern w:val="0"/>
                <w:szCs w:val="21"/>
                <w:highlight w:val="none"/>
              </w:rPr>
              <w:t>（证明材料提供功能截图）</w:t>
            </w:r>
            <w:r>
              <w:rPr>
                <w:rFonts w:hint="eastAsia" w:ascii="仿宋" w:hAnsi="仿宋" w:eastAsia="仿宋" w:cs="仿宋"/>
                <w:kern w:val="0"/>
                <w:szCs w:val="21"/>
                <w:highlight w:val="none"/>
              </w:rPr>
              <w:t>。</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二、性能要求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1.工作频率：920-925MHz。</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2.触摸屏：≥18寸投射式电容屏</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3.天线厚度：≤14mm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4.分辨率：1366*768及以上</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5.工作电压：180-240V</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6.整机功耗：约80W</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 xml:space="preserve">7.通讯接口：RJ45 </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8.产品尺寸：约538*432*1222mm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三、技术需求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1.自助借还书机（立式）防护等级须≥IP65；</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■2.自助借还书机（立式）通过抗扰度（电快速瞬变脉冲群及浪涌冲击）试验，符合《GB/T17626.4-2018》、《GB/T 17626.5-2019》标准，有害物质通过《GB/T26572-2011》标准检测；</w:t>
            </w:r>
            <w:r>
              <w:rPr>
                <w:rFonts w:hint="eastAsia" w:ascii="仿宋" w:hAnsi="仿宋" w:eastAsia="仿宋" w:cs="宋体"/>
                <w:b/>
                <w:bCs/>
                <w:color w:val="000000"/>
                <w:kern w:val="0"/>
                <w:sz w:val="22"/>
                <w:szCs w:val="22"/>
                <w:highlight w:val="none"/>
              </w:rPr>
              <w:t>（证明材料提供具有国家认可的第三方检测机构出具的有“CMA或CNAS”标识的检测报告）</w:t>
            </w:r>
            <w:r>
              <w:rPr>
                <w:rFonts w:hint="eastAsia" w:ascii="仿宋" w:hAnsi="仿宋" w:eastAsia="仿宋" w:cs="宋体"/>
                <w:b/>
                <w:bCs/>
                <w:color w:val="000000"/>
                <w:kern w:val="0"/>
                <w:sz w:val="22"/>
                <w:szCs w:val="22"/>
                <w:highlight w:val="none"/>
              </w:rPr>
              <w:br w:type="textWrapping"/>
            </w:r>
            <w:r>
              <w:rPr>
                <w:rFonts w:hint="eastAsia" w:ascii="仿宋" w:hAnsi="仿宋" w:eastAsia="仿宋" w:cs="仿宋"/>
                <w:kern w:val="0"/>
                <w:szCs w:val="21"/>
                <w:highlight w:val="none"/>
              </w:rPr>
              <w:t>■3.自助借还书机（立式）通过IK06及以上等级防爆测试。</w:t>
            </w:r>
            <w:r>
              <w:rPr>
                <w:rFonts w:hint="eastAsia" w:ascii="仿宋" w:hAnsi="仿宋" w:eastAsia="仿宋" w:cs="宋体"/>
                <w:b/>
                <w:bCs/>
                <w:color w:val="000000"/>
                <w:kern w:val="0"/>
                <w:sz w:val="22"/>
                <w:szCs w:val="22"/>
                <w:highlight w:val="none"/>
              </w:rPr>
              <w:t>（证明材料提供具有国家认可的第三方检测机构出具的有“CMA或CNAS”标识的检测报告）</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台</w:t>
            </w:r>
          </w:p>
        </w:tc>
        <w:tc>
          <w:tcPr>
            <w:tcW w:w="1078" w:type="pct"/>
            <w:shd w:val="clear" w:color="auto" w:fill="auto"/>
            <w:vAlign w:val="center"/>
          </w:tcPr>
          <w:p>
            <w:pPr>
              <w:widowControl/>
              <w:jc w:val="cente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10</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升降式移动还书车（还书箱）</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一、功能需求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1.还书箱面板可根据放置书籍重量的增减而自动升降，从而让图书馆馆员不必长时间弯腰进行图书的分拣及搬运工作，可以减轻其工作的强度。</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2.还书箱带静态制动脚轮。</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3.还书箱把手高度及宽度设计符合人机工程学，易于推行及转向控制。</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二、性能需求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1.四个万向轮，靠近把手的两个带刹车</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 xml:space="preserve">2.尺寸：不小于500mm×600mm×840mm </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3.存放书量：≥100册（厚度小于30mm）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三、技术要求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1、■还书箱的铅、镉、汞、六价铬、多溴联苯、多溴二苯醚、邻苯二甲酸二(2-乙基己基)酯、邻苯二甲酸丁基苄酯、邻苯二甲酸二丁酯、邻苯二甲酸二异丁酯共不少于10项物质经检测合格；</w:t>
            </w:r>
            <w:r>
              <w:rPr>
                <w:rFonts w:hint="eastAsia" w:ascii="仿宋" w:hAnsi="仿宋" w:eastAsia="仿宋" w:cs="仿宋"/>
                <w:b/>
                <w:bCs/>
                <w:kern w:val="0"/>
                <w:szCs w:val="21"/>
                <w:highlight w:val="none"/>
              </w:rPr>
              <w:t>（证明材料提供具有国家认可或批准检测资质的第三方检测机构出具的有害物质检测报告复制件）</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辆</w:t>
            </w:r>
          </w:p>
        </w:tc>
        <w:tc>
          <w:tcPr>
            <w:tcW w:w="1078" w:type="pct"/>
            <w:shd w:val="clear" w:color="auto" w:fill="auto"/>
            <w:vAlign w:val="center"/>
          </w:tcPr>
          <w:p>
            <w:pPr>
              <w:widowControl/>
              <w:jc w:val="center"/>
              <w:rPr>
                <w:rFonts w:ascii="仿宋" w:hAnsi="仿宋" w:eastAsia="仿宋" w:cs="仿宋"/>
                <w:kern w:val="0"/>
                <w:szCs w:val="21"/>
                <w:highlight w:val="none"/>
              </w:rPr>
            </w:pPr>
            <w:r>
              <w:rPr>
                <w:highlight w:val="none"/>
              </w:rPr>
              <w:drawing>
                <wp:inline distT="0" distB="0" distL="0" distR="0">
                  <wp:extent cx="1166495" cy="8382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50"/>
                          <a:stretch>
                            <a:fillRect/>
                          </a:stretch>
                        </pic:blipFill>
                        <pic:spPr>
                          <a:xfrm>
                            <a:off x="0" y="0"/>
                            <a:ext cx="1171055" cy="841426"/>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11</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图书杀菌机</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1、杀菌册数≥8本，单次运行时间每次杀菌作业10秒-60分可调</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2、除静电，有芳香功能，噪音≤50分贝</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3、加装漏电保护装置，设备发生漏电故障时以及对有致命危险的人身触电进行有效保护。</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4、至少具有三种启动方式，适合任何身高读者使用。</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5、具备人性化操作界面设计，方便使用者操作。</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6、具有消毒时间、次数统计和耗材更换提醒功能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7、保护功能，开门自动停止杀菌，门缝安全距离应≤2厘米</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8、机器内部应设有按键，可以看到本机器使用累计的时间与次数，可对消毒时间自行调节设置。</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9、内置红外感应开关，关门自动杀菌</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10、提供气旋式逐翻动书页之功能，达到同时提供书封与内页之间杀菌效果</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11、具有消毒进度指示功能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12、具有设备状态指示功能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13、具备核心模块单独调试功能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14、具有定时开关机功能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15、具有宣讲内容播放及内容更新功能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16、抗UV面板对紫外线阻隔率不小于99.99%</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17、正常待机状态下可进入调试/设置界面，调试UV灯或风扇，并查询门状态</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18、紫外线灯管≥8组、24W*4+30W*4，共16根灯管</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19、操作界面具备警示设计，操作完成或发生错误时可自动提醒使用者。</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20、提供两组以上优质复合滤芯，可除尘、除甲醛、除异味，不衍生臭氧或二氧化碳等有害物质。</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21、内胆耐脏、防划处理。离子风除静电，有芳香功能。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22、杀菌室内置照明灯，打开杀菌室门照明灯自动点亮，方便操作。</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23、杀菌作业不得于书籍封面或内页留下刮痕或任何损害痕迹。</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24、抗uv面板、标志等不干胶件应粘贴平整、牢固、边缘不允许有脱翘现象，粘粘部分不允许有明显胶痕</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25、消毒杀菌机外观应光滑平整、色泽均匀一致，涂层不得有明显的划伤、凹痕、锈蚀、毛刺、起泡等表面缺陷</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26、内置≥10.1寸高清多媒体显示器，循环播放使用视频，使用更加方便，亦可播放馆方宣传资料</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27、设备具有整机检修功能，有效消除安全隐患，更好的延长设备的使用寿命。</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078" w:type="pct"/>
            <w:shd w:val="clear" w:color="auto" w:fill="auto"/>
            <w:vAlign w:val="center"/>
          </w:tcPr>
          <w:p>
            <w:pPr>
              <w:widowControl/>
              <w:jc w:val="cente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12</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OPAC</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查询机</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一、功能描述</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1、支持高效、快速及精准的检索服务，如热门词、普通任意词检索、主题名检索、出版社检索、著者名称检索、主题词检索等；</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2、支持高级组合式检索，联合主题名、著者、出版社、出版年月、版次等；</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3、支持结果中再次检索的二次检索；</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4、支持图书续借、图书收藏、图书荐购；</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5、支持按照中图法分类导航进行引导式检索；</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6、图书详情内支持相关图书推荐；</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7、■具备关联搜索功能，根据图书题名的分词、作者名、出版社、主题词等基本信息，和搜索词进行关联，点击搜索词即可查阅关联馆藏</w:t>
            </w:r>
            <w:r>
              <w:rPr>
                <w:rFonts w:hint="eastAsia" w:ascii="仿宋" w:hAnsi="仿宋" w:eastAsia="仿宋" w:cs="仿宋"/>
                <w:b/>
                <w:bCs/>
                <w:kern w:val="0"/>
                <w:szCs w:val="21"/>
                <w:highlight w:val="none"/>
              </w:rPr>
              <w:t>（证明材料提供系统功能界面截图加盖公章）</w:t>
            </w:r>
            <w:r>
              <w:rPr>
                <w:rFonts w:hint="eastAsia" w:ascii="仿宋" w:hAnsi="仿宋" w:eastAsia="仿宋" w:cs="仿宋"/>
                <w:b/>
                <w:bCs/>
                <w:kern w:val="0"/>
                <w:szCs w:val="21"/>
                <w:highlight w:val="none"/>
              </w:rPr>
              <w:br w:type="textWrapping"/>
            </w:r>
            <w:r>
              <w:rPr>
                <w:rFonts w:hint="eastAsia" w:ascii="仿宋" w:hAnsi="仿宋" w:eastAsia="仿宋" w:cs="仿宋"/>
                <w:kern w:val="0"/>
                <w:szCs w:val="21"/>
                <w:highlight w:val="none"/>
              </w:rPr>
              <w:t>二、产品规格</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1、尺寸：≥32英寸；</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2、物理分辨率：≥1920×1080；</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3、CPU：不低于四核1.8GHz；</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4、内存：≥4G；</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5、系统存储：≥32G。</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台</w:t>
            </w:r>
          </w:p>
        </w:tc>
        <w:tc>
          <w:tcPr>
            <w:tcW w:w="1078" w:type="pct"/>
            <w:shd w:val="clear" w:color="auto" w:fill="auto"/>
            <w:vAlign w:val="center"/>
          </w:tcPr>
          <w:p>
            <w:pPr>
              <w:widowControl/>
              <w:jc w:val="cente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80"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13</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RFID</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层架标签</w:t>
            </w:r>
          </w:p>
        </w:tc>
        <w:tc>
          <w:tcPr>
            <w:tcW w:w="2347" w:type="pct"/>
            <w:shd w:val="clear" w:color="auto" w:fill="auto"/>
            <w:vAlign w:val="center"/>
          </w:tcPr>
          <w:p>
            <w:pPr>
              <w:widowControl/>
              <w:numPr>
                <w:ilvl w:val="0"/>
                <w:numId w:val="18"/>
              </w:numPr>
              <w:jc w:val="left"/>
              <w:rPr>
                <w:rFonts w:ascii="仿宋" w:hAnsi="仿宋" w:eastAsia="仿宋" w:cs="仿宋"/>
                <w:kern w:val="0"/>
                <w:szCs w:val="21"/>
                <w:highlight w:val="none"/>
              </w:rPr>
            </w:pPr>
            <w:r>
              <w:rPr>
                <w:rFonts w:hint="eastAsia" w:ascii="仿宋" w:hAnsi="仿宋" w:eastAsia="仿宋" w:cs="仿宋"/>
                <w:kern w:val="0"/>
                <w:szCs w:val="21"/>
                <w:highlight w:val="none"/>
              </w:rPr>
              <w:t>功能要求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1、标签为无源标签，具有良好的互换性与兼容性。</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2、标签中有存储器，存储在其中的信息可重复读、写。</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3、标签可以非接触式的读取和写入。</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4、标签具有一定的抗冲突性，能保证多个标签的同时可靠识别。</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5、标签具有较高的安全性，防止存储在其中的信息资料被泄露。</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6、标签为自带不干胶标签。层位和架位标签上可标识层位和架位代号。</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二、性能要求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1.工作频率：860～960MHz；</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2.有效识读距离：符合盘点设备读取要求；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3.内存可擦写100,000 次以上。</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二、性能要求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1.工作频率：860～960MHz；</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2.有效识读距离：符合盘点设备读取要求。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三、技术要求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 xml:space="preserve">1.RFID层架标签通过环境试验检测，在高低温环境中使用无变形干裂、外表无污点瑕疵、无划痕，读写性能稳定、读卡速度连续正常； </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RFID层架标签的铅、镉、汞、六价铬、多溴联苯、多溴二苯醚、邻苯二甲酸二(2-乙基己基)酯、邻苯二甲酸丁基苄酯、邻苯二甲酸二丁酯、邻苯二甲酸二异丁酯共不少于10项物质经检测合格，产品材料及工艺更有利于人体健康及环境保护；</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3.■RFID层架标签剥离强度≥30N/cm；</w:t>
            </w:r>
            <w:r>
              <w:rPr>
                <w:rFonts w:hint="eastAsia" w:ascii="仿宋" w:hAnsi="仿宋" w:eastAsia="仿宋" w:cs="宋体"/>
                <w:b/>
                <w:bCs/>
                <w:color w:val="000000"/>
                <w:kern w:val="0"/>
                <w:sz w:val="22"/>
                <w:szCs w:val="22"/>
                <w:highlight w:val="none"/>
              </w:rPr>
              <w:t>（证明材料提供具有国家认可的第三方检测机构出具的有“CMA或CNAS”标识的检测报告）</w:t>
            </w:r>
            <w:r>
              <w:rPr>
                <w:rFonts w:hint="eastAsia" w:ascii="仿宋" w:hAnsi="仿宋" w:eastAsia="仿宋" w:cs="宋体"/>
                <w:b/>
                <w:bCs/>
                <w:color w:val="000000"/>
                <w:kern w:val="0"/>
                <w:sz w:val="22"/>
                <w:szCs w:val="22"/>
                <w:highlight w:val="none"/>
              </w:rPr>
              <w:br w:type="textWrapping"/>
            </w:r>
            <w:r>
              <w:rPr>
                <w:rFonts w:hint="eastAsia" w:ascii="仿宋" w:hAnsi="仿宋" w:eastAsia="仿宋" w:cs="仿宋"/>
                <w:kern w:val="0"/>
                <w:szCs w:val="21"/>
                <w:highlight w:val="none"/>
              </w:rPr>
              <w:t>4.■RFID层架标签粘贴在金属书架上，能被有效读取；</w:t>
            </w:r>
          </w:p>
          <w:p>
            <w:pPr>
              <w:widowControl/>
              <w:numPr>
                <w:ilvl w:val="255"/>
                <w:numId w:val="0"/>
              </w:numPr>
              <w:jc w:val="left"/>
              <w:rPr>
                <w:rFonts w:ascii="仿宋" w:hAnsi="仿宋" w:eastAsia="仿宋" w:cs="仿宋"/>
                <w:kern w:val="0"/>
                <w:szCs w:val="21"/>
                <w:highlight w:val="none"/>
              </w:rPr>
            </w:pPr>
            <w:r>
              <w:rPr>
                <w:rFonts w:hint="eastAsia" w:ascii="仿宋" w:hAnsi="仿宋" w:eastAsia="仿宋" w:cs="宋体"/>
                <w:b/>
                <w:bCs/>
                <w:color w:val="000000"/>
                <w:kern w:val="0"/>
                <w:sz w:val="22"/>
                <w:szCs w:val="22"/>
                <w:highlight w:val="none"/>
                <w:lang w:bidi="ar"/>
              </w:rPr>
              <w:t>（证明材料提供具有国家认可或批准检测资质的第三方检测机构出具的“标签灵敏度”及“读取距离”检测报告复制件）</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250</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枚</w:t>
            </w:r>
          </w:p>
        </w:tc>
        <w:tc>
          <w:tcPr>
            <w:tcW w:w="1078" w:type="pct"/>
            <w:shd w:val="clear" w:color="auto" w:fill="auto"/>
            <w:vAlign w:val="center"/>
          </w:tcPr>
          <w:p>
            <w:pPr>
              <w:widowControl/>
              <w:jc w:val="cente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14</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三维导航图</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对接OPAC查询系统，在图书查询时，能查询到图书具体层架信息，并支持三维图显示。</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套</w:t>
            </w:r>
          </w:p>
        </w:tc>
        <w:tc>
          <w:tcPr>
            <w:tcW w:w="1078" w:type="pct"/>
            <w:shd w:val="clear" w:color="auto" w:fill="auto"/>
            <w:vAlign w:val="center"/>
          </w:tcPr>
          <w:p>
            <w:pPr>
              <w:widowControl/>
              <w:jc w:val="cente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15</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手持式盘点机</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一、产品功能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1.可对RFID标签非接触式的进行阅读，快速识别粘贴在文献上的超高频RFID标签，快速识别粘贴在架位上的RFID架标及层标；</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2.设备配套软件须能实现资料搜索、资料错架检查、顺架、保存典藏结果等功能；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3.设备在找到目标图书，定位正确架位，发生报警提示时都必须同时提供声音、画面提示，声音音量可以调节；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4.具有图书盘点、上架、下架、查找、顺架等功能：</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二、性能要求</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1、支持协议：EPCglobal UHF class1 Gen2/ISO 18000-6C；</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2、工作频段：920-925 MHz / 902-928 MHz；</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3、输出功率：0dBm～30dBm；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4、读取距离：0m～10m；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5、写入距离：0m～5m；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6、最快读取速率：600次/秒；</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7、工作时间：大于10小时；</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8、充电时间：3-4小时；</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9、主电池：3.7V锂电池，容量5000mAh及以上</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10、手柄电池：3.7V锂电池，容量5200mAh及以上</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11、CPU处理器：八核64位处理器及以上，主频2.3GHz及以上</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12、存储器：2+16GB及以上</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台</w:t>
            </w:r>
          </w:p>
        </w:tc>
        <w:tc>
          <w:tcPr>
            <w:tcW w:w="1078" w:type="pct"/>
            <w:shd w:val="clear" w:color="auto" w:fill="auto"/>
            <w:vAlign w:val="center"/>
          </w:tcPr>
          <w:p>
            <w:pPr>
              <w:widowControl/>
              <w:jc w:val="cente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0"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16</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智通人行通道闸</w:t>
            </w:r>
          </w:p>
        </w:tc>
        <w:tc>
          <w:tcPr>
            <w:tcW w:w="2347" w:type="pct"/>
            <w:shd w:val="clear" w:color="auto" w:fill="auto"/>
            <w:vAlign w:val="center"/>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一、智通终端2个</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搭载先进的人脸识别算法，实现终端快速精准的人像抓取、识别、比对能力。同时内置扫码腔体，支持扫码身份认证以及13.56MHz各系列卡片的刷卡认证。</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显示方式：≥8英寸宽温IPS屏显示。</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显示范围：≥分辨率800*1280</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二维码：支持</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读卡距离：≤5cm。</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人脸识别：支持活体算法</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断电数据保护时间：≥10年</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支持卡类型：M1卡、CPU卡、SIMPASS、UIMPASS</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双目宽动态摄像头：红外输出850单通，分辨率1280*960;RGB输出650IR，分辨率1920*1080</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配套软件，电源、支架等配件。</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二、摆闸（左、右、中3个）</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主处理器：高性能嵌入式处理器；</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驱动电机：直流无刷电机；</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状态指示灯：蓝色常亮-工作状态，红色频闪-异常状态，绿色常亮-授权成功，绿色频闪-允许通行；</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语音提示：支持；</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外壳材料：0Cr19Ni9 不锈钢；</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开门模式：刷卡(标配)；</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MCBF：≥500万次；</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读卡距离：0cm～5cm；</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通道宽度：不锈钢：600mm~1100mm亚克力：600mm~1100mm；</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开关门速度：≥0.5s；</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红外对射对数：12对；</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摆臂材料：不锈钢；</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防暴等级：玻璃面板：IK06,不锈钢：IK08；</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防尘防水等级：IPX4；</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工作温度：-25℃～+70℃；</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工作湿度：5%～90%RH（无凝结）；</w:t>
            </w:r>
          </w:p>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防腐蚀等级：普通防护</w:t>
            </w:r>
          </w:p>
        </w:tc>
        <w:tc>
          <w:tcPr>
            <w:tcW w:w="388" w:type="pct"/>
            <w:shd w:val="clear" w:color="auto" w:fill="auto"/>
            <w:vAlign w:val="center"/>
          </w:tcPr>
          <w:p>
            <w:pPr>
              <w:widowControl/>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1</w:t>
            </w:r>
          </w:p>
        </w:tc>
        <w:tc>
          <w:tcPr>
            <w:tcW w:w="285" w:type="pct"/>
            <w:shd w:val="clear" w:color="auto" w:fill="auto"/>
            <w:vAlign w:val="center"/>
          </w:tcPr>
          <w:p>
            <w:pPr>
              <w:widowControl/>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套</w:t>
            </w:r>
          </w:p>
        </w:tc>
        <w:tc>
          <w:tcPr>
            <w:tcW w:w="1078" w:type="pct"/>
            <w:shd w:val="clear" w:color="auto" w:fill="auto"/>
            <w:vAlign w:val="center"/>
          </w:tcPr>
          <w:p>
            <w:pPr>
              <w:widowControl/>
              <w:jc w:val="cente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0" w:type="pct"/>
            <w:shd w:val="clear" w:color="auto" w:fill="auto"/>
            <w:noWrap/>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17</w:t>
            </w:r>
          </w:p>
        </w:tc>
        <w:tc>
          <w:tcPr>
            <w:tcW w:w="519"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窗帘</w:t>
            </w:r>
          </w:p>
        </w:tc>
        <w:tc>
          <w:tcPr>
            <w:tcW w:w="2347" w:type="pct"/>
            <w:shd w:val="clear" w:color="auto" w:fill="auto"/>
          </w:tcPr>
          <w:p>
            <w:pPr>
              <w:widowControl/>
              <w:jc w:val="left"/>
              <w:rPr>
                <w:rFonts w:ascii="仿宋" w:hAnsi="仿宋" w:eastAsia="仿宋" w:cs="仿宋"/>
                <w:kern w:val="0"/>
                <w:szCs w:val="21"/>
                <w:highlight w:val="none"/>
              </w:rPr>
            </w:pPr>
            <w:r>
              <w:rPr>
                <w:rFonts w:hint="eastAsia" w:ascii="仿宋" w:hAnsi="仿宋" w:eastAsia="仿宋" w:cs="仿宋"/>
                <w:kern w:val="0"/>
                <w:szCs w:val="21"/>
                <w:highlight w:val="none"/>
              </w:rPr>
              <w:t>定制，在窗帘上印制相关知识内容，集教学、观赏为一体；含窗帘图文设计与安装，不含窗帘盒。</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1、材质30%聚酯纤维、70%PVC</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2、厚度：0.50mm±5%</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3、抗拉强度：经向1500N/5cm</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rPr>
              <w:t>4、防火等级：B1级及以上</w:t>
            </w:r>
          </w:p>
        </w:tc>
        <w:tc>
          <w:tcPr>
            <w:tcW w:w="388"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145</w:t>
            </w:r>
          </w:p>
        </w:tc>
        <w:tc>
          <w:tcPr>
            <w:tcW w:w="285" w:type="pct"/>
            <w:shd w:val="clear" w:color="auto" w:fill="auto"/>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平方米</w:t>
            </w:r>
          </w:p>
        </w:tc>
        <w:tc>
          <w:tcPr>
            <w:tcW w:w="1078" w:type="pct"/>
            <w:shd w:val="clear" w:color="auto" w:fill="auto"/>
            <w:vAlign w:val="center"/>
          </w:tcPr>
          <w:p>
            <w:pPr>
              <w:widowControl/>
              <w:rPr>
                <w:rFonts w:ascii="仿宋" w:hAnsi="仿宋" w:eastAsia="仿宋" w:cs="仿宋"/>
                <w:kern w:val="0"/>
                <w:szCs w:val="21"/>
                <w:highlight w:val="none"/>
              </w:rPr>
            </w:pPr>
          </w:p>
        </w:tc>
      </w:tr>
    </w:tbl>
    <w:p>
      <w:pPr>
        <w:spacing w:line="360" w:lineRule="auto"/>
        <w:rPr>
          <w:rFonts w:ascii="仿宋" w:hAnsi="仿宋" w:eastAsia="仿宋" w:cs="仿宋"/>
          <w:b/>
          <w:bCs/>
          <w:sz w:val="24"/>
          <w:highlight w:val="none"/>
        </w:rPr>
      </w:pP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备注：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▲（1）投标人承担及负责招标文件对中标人要求的一切事宜及责任。包括货物的供货、安装、系统集成、调试、验收、培训、质保及售后服务等。</w:t>
      </w:r>
    </w:p>
    <w:p>
      <w:pPr>
        <w:numPr>
          <w:ilvl w:val="0"/>
          <w:numId w:val="19"/>
        </w:numPr>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rPr>
        <w:t>本项目的所有软、硬件(如线缆、管线、软件、硬件、模块等，包括未列出而系统实施又必需的软件、硬件)需配齐以构成一套完整实用系统，如有任何遗漏，</w:t>
      </w:r>
      <w:r>
        <w:rPr>
          <w:rFonts w:hint="eastAsia" w:ascii="仿宋" w:hAnsi="仿宋" w:eastAsia="仿宋" w:cs="仿宋"/>
          <w:sz w:val="24"/>
          <w:highlight w:val="none"/>
          <w:lang w:bidi="ar"/>
        </w:rPr>
        <w:t>则由供应商提供，所需费用计入投标报价。硬件设备如需使用特别接头、插座等，则由供应商提供，所需费用计入投标报价。</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本《项目采购清单和参数要求》提出的是基本技术要求，供应商应提供符合本技术要求和国家标准、行业标准的原厂商生产或授权生产的原装正品，软件均要求为正版。所投产品若按国家规定必须具有3C认证的，厂家必须进行3C认证，供货时提供，否则视为不合格产品，招标人可以无条件退货，所造成的损失由中标单位承担。</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项目采购清单和参数要求》中所列的产品尺寸规格是由学校根据自身场地条件测算，供应商应尽可能的选择符合需求学校要求的尺寸的产品参加投标，在不影响安装、整体美观度以及实际使用功能的前提下，允许存在合理的尺寸偏差。同时，供应商应无条件接受，采购人提出的因场地原因造成的部分产品尺寸的细微调整，产生的费用计入本次投标报价。</w:t>
      </w:r>
    </w:p>
    <w:p>
      <w:pPr>
        <w:numPr>
          <w:ilvl w:val="255"/>
          <w:numId w:val="0"/>
        </w:numPr>
        <w:tabs>
          <w:tab w:val="left" w:pos="0"/>
        </w:tabs>
        <w:spacing w:line="360" w:lineRule="auto"/>
        <w:ind w:firstLine="480" w:firstLineChars="200"/>
        <w:rPr>
          <w:rFonts w:ascii="仿宋" w:hAnsi="仿宋" w:eastAsia="仿宋" w:cs="仿宋"/>
          <w:bCs/>
          <w:kern w:val="0"/>
          <w:sz w:val="24"/>
          <w:highlight w:val="none"/>
        </w:rPr>
      </w:pPr>
      <w:r>
        <w:rPr>
          <w:rFonts w:hint="eastAsia" w:ascii="仿宋" w:hAnsi="仿宋" w:eastAsia="仿宋" w:cs="仿宋"/>
          <w:bCs/>
          <w:kern w:val="0"/>
          <w:sz w:val="24"/>
          <w:highlight w:val="none"/>
          <w:lang w:val="zh-CN"/>
        </w:rPr>
        <w:t>（</w:t>
      </w:r>
      <w:r>
        <w:rPr>
          <w:rFonts w:hint="eastAsia" w:ascii="仿宋" w:hAnsi="仿宋" w:eastAsia="仿宋" w:cs="仿宋"/>
          <w:bCs/>
          <w:kern w:val="0"/>
          <w:sz w:val="24"/>
          <w:highlight w:val="none"/>
        </w:rPr>
        <w:t>5）</w:t>
      </w:r>
      <w:r>
        <w:rPr>
          <w:rFonts w:hint="eastAsia" w:ascii="仿宋" w:hAnsi="仿宋" w:eastAsia="仿宋" w:cs="仿宋"/>
          <w:bCs/>
          <w:sz w:val="24"/>
          <w:highlight w:val="none"/>
          <w:lang w:val="zh-CN"/>
        </w:rPr>
        <w:t>标注</w:t>
      </w:r>
      <w:r>
        <w:rPr>
          <w:rFonts w:hint="eastAsia" w:ascii="仿宋" w:hAnsi="仿宋" w:eastAsia="仿宋" w:cs="仿宋"/>
          <w:bCs/>
          <w:sz w:val="24"/>
          <w:highlight w:val="none"/>
        </w:rPr>
        <w:t>“★”的</w:t>
      </w:r>
      <w:r>
        <w:rPr>
          <w:rFonts w:hint="eastAsia" w:ascii="仿宋" w:hAnsi="仿宋" w:eastAsia="仿宋" w:cs="仿宋"/>
          <w:bCs/>
          <w:sz w:val="24"/>
          <w:highlight w:val="none"/>
          <w:lang w:val="zh-CN"/>
        </w:rPr>
        <w:t>产品为核心产品。</w:t>
      </w:r>
    </w:p>
    <w:p>
      <w:pPr>
        <w:numPr>
          <w:ilvl w:val="255"/>
          <w:numId w:val="0"/>
        </w:numPr>
        <w:tabs>
          <w:tab w:val="left" w:pos="0"/>
        </w:tabs>
        <w:spacing w:line="360" w:lineRule="auto"/>
        <w:ind w:firstLine="480" w:firstLineChars="200"/>
        <w:rPr>
          <w:rFonts w:ascii="仿宋" w:hAnsi="仿宋" w:eastAsia="仿宋" w:cs="仿宋"/>
          <w:bCs/>
          <w:kern w:val="0"/>
          <w:sz w:val="24"/>
          <w:highlight w:val="none"/>
          <w:lang w:val="zh-CN"/>
        </w:rPr>
      </w:pPr>
      <w:r>
        <w:rPr>
          <w:rFonts w:hint="eastAsia" w:ascii="仿宋" w:hAnsi="仿宋" w:eastAsia="仿宋" w:cs="仿宋"/>
          <w:bCs/>
          <w:kern w:val="0"/>
          <w:sz w:val="24"/>
          <w:highlight w:val="none"/>
          <w:em w:val="dot"/>
          <w:lang w:val="zh-CN"/>
        </w:rPr>
        <w:t>（</w:t>
      </w:r>
      <w:r>
        <w:rPr>
          <w:rFonts w:hint="eastAsia" w:ascii="仿宋" w:hAnsi="仿宋" w:eastAsia="仿宋" w:cs="仿宋"/>
          <w:bCs/>
          <w:kern w:val="0"/>
          <w:sz w:val="24"/>
          <w:highlight w:val="none"/>
          <w:em w:val="dot"/>
        </w:rPr>
        <w:t>6</w:t>
      </w:r>
      <w:r>
        <w:rPr>
          <w:rFonts w:hint="eastAsia" w:ascii="仿宋" w:hAnsi="仿宋" w:eastAsia="仿宋" w:cs="仿宋"/>
          <w:bCs/>
          <w:kern w:val="0"/>
          <w:sz w:val="24"/>
          <w:highlight w:val="none"/>
          <w:em w:val="dot"/>
          <w:lang w:val="zh-CN"/>
        </w:rPr>
        <w:t>）供应商须逐条逐项做出响应，明确所投产品的品牌，并提供</w:t>
      </w:r>
      <w:r>
        <w:rPr>
          <w:rFonts w:hint="eastAsia" w:ascii="仿宋" w:hAnsi="仿宋" w:eastAsia="仿宋" w:cs="仿宋"/>
          <w:bCs/>
          <w:kern w:val="0"/>
          <w:sz w:val="24"/>
          <w:highlight w:val="none"/>
          <w:em w:val="dot"/>
        </w:rPr>
        <w:t>技术</w:t>
      </w:r>
      <w:r>
        <w:rPr>
          <w:rFonts w:hint="eastAsia" w:ascii="仿宋" w:hAnsi="仿宋" w:eastAsia="仿宋" w:cs="仿宋"/>
          <w:bCs/>
          <w:kern w:val="0"/>
          <w:sz w:val="24"/>
          <w:highlight w:val="none"/>
          <w:em w:val="dot"/>
          <w:lang w:val="zh-CN"/>
        </w:rPr>
        <w:t>偏离表</w:t>
      </w:r>
      <w:r>
        <w:rPr>
          <w:rFonts w:hint="eastAsia" w:ascii="仿宋" w:hAnsi="仿宋" w:eastAsia="仿宋" w:cs="仿宋"/>
          <w:bCs/>
          <w:kern w:val="0"/>
          <w:sz w:val="24"/>
          <w:highlight w:val="none"/>
          <w:lang w:val="zh-CN"/>
        </w:rPr>
        <w:t>。</w:t>
      </w:r>
    </w:p>
    <w:p>
      <w:pPr>
        <w:tabs>
          <w:tab w:val="left" w:pos="0"/>
        </w:tabs>
        <w:spacing w:line="360" w:lineRule="auto"/>
        <w:ind w:firstLine="480" w:firstLineChars="200"/>
        <w:rPr>
          <w:rFonts w:ascii="仿宋" w:hAnsi="仿宋" w:eastAsia="仿宋" w:cs="仿宋"/>
          <w:bCs/>
          <w:sz w:val="24"/>
          <w:szCs w:val="32"/>
          <w:highlight w:val="none"/>
          <w:lang w:val="zh-CN"/>
        </w:rPr>
      </w:pPr>
      <w:r>
        <w:rPr>
          <w:rFonts w:hint="eastAsia" w:ascii="仿宋" w:hAnsi="仿宋" w:eastAsia="仿宋" w:cs="仿宋"/>
          <w:bCs/>
          <w:sz w:val="24"/>
          <w:szCs w:val="32"/>
          <w:highlight w:val="none"/>
          <w:lang w:val="zh-CN"/>
        </w:rPr>
        <w:t>（</w:t>
      </w:r>
      <w:r>
        <w:rPr>
          <w:rFonts w:hint="eastAsia" w:ascii="仿宋" w:hAnsi="仿宋" w:eastAsia="仿宋" w:cs="仿宋"/>
          <w:bCs/>
          <w:sz w:val="24"/>
          <w:szCs w:val="32"/>
          <w:highlight w:val="none"/>
        </w:rPr>
        <w:t>7</w:t>
      </w:r>
      <w:r>
        <w:rPr>
          <w:rFonts w:hint="eastAsia" w:ascii="仿宋" w:hAnsi="仿宋" w:eastAsia="仿宋" w:cs="仿宋"/>
          <w:bCs/>
          <w:sz w:val="24"/>
          <w:szCs w:val="32"/>
          <w:highlight w:val="none"/>
          <w:lang w:val="zh-CN"/>
        </w:rPr>
        <w:t>）</w:t>
      </w:r>
      <w:r>
        <w:rPr>
          <w:rFonts w:hint="eastAsia" w:ascii="仿宋" w:hAnsi="仿宋" w:eastAsia="仿宋" w:cs="仿宋"/>
          <w:bCs/>
          <w:sz w:val="24"/>
          <w:highlight w:val="none"/>
          <w:lang w:bidi="ar"/>
        </w:rPr>
        <w:t>所投产品需为原厂全新产品，2023年9月份后生产的符合国家技术规格和质量标准的出厂合格产品，通过国家有关部门检测合格的原产地产品，未曾开箱使用，能够与学校现有设备正常连接；设备安装调试完毕后，能在其功能范围内保障用户的系统安全、稳定运行；</w:t>
      </w:r>
      <w:r>
        <w:rPr>
          <w:rFonts w:hint="eastAsia" w:ascii="仿宋" w:hAnsi="仿宋" w:eastAsia="仿宋" w:cs="仿宋"/>
          <w:bCs/>
          <w:sz w:val="24"/>
          <w:szCs w:val="32"/>
          <w:highlight w:val="none"/>
          <w:lang w:val="zh-CN"/>
        </w:rPr>
        <w:t>所有产品环保等级：E</w:t>
      </w:r>
      <w:r>
        <w:rPr>
          <w:rFonts w:hint="eastAsia" w:ascii="仿宋" w:hAnsi="仿宋" w:eastAsia="仿宋" w:cs="仿宋"/>
          <w:bCs/>
          <w:sz w:val="24"/>
          <w:szCs w:val="32"/>
          <w:highlight w:val="none"/>
        </w:rPr>
        <w:t>1</w:t>
      </w:r>
      <w:r>
        <w:rPr>
          <w:rFonts w:hint="eastAsia" w:ascii="仿宋" w:hAnsi="仿宋" w:eastAsia="仿宋" w:cs="仿宋"/>
          <w:bCs/>
          <w:sz w:val="24"/>
          <w:szCs w:val="32"/>
          <w:highlight w:val="none"/>
          <w:lang w:val="zh-CN"/>
        </w:rPr>
        <w:t>级；</w:t>
      </w:r>
      <w:r>
        <w:rPr>
          <w:rFonts w:hint="eastAsia" w:ascii="仿宋" w:hAnsi="仿宋" w:eastAsia="仿宋" w:cs="仿宋"/>
          <w:bCs/>
          <w:sz w:val="24"/>
          <w:szCs w:val="32"/>
          <w:highlight w:val="none"/>
        </w:rPr>
        <w:t>安装完毕室内空气检测环保等级达</w:t>
      </w:r>
      <w:r>
        <w:rPr>
          <w:rFonts w:hint="eastAsia" w:ascii="仿宋" w:hAnsi="仿宋" w:eastAsia="仿宋" w:cs="仿宋"/>
          <w:bCs/>
          <w:sz w:val="24"/>
          <w:szCs w:val="32"/>
          <w:highlight w:val="none"/>
          <w:lang w:val="zh-CN"/>
        </w:rPr>
        <w:t>E</w:t>
      </w:r>
      <w:r>
        <w:rPr>
          <w:rFonts w:hint="eastAsia" w:ascii="仿宋" w:hAnsi="仿宋" w:eastAsia="仿宋" w:cs="仿宋"/>
          <w:bCs/>
          <w:sz w:val="24"/>
          <w:szCs w:val="32"/>
          <w:highlight w:val="none"/>
        </w:rPr>
        <w:t>1</w:t>
      </w:r>
      <w:r>
        <w:rPr>
          <w:rFonts w:hint="eastAsia" w:ascii="仿宋" w:hAnsi="仿宋" w:eastAsia="仿宋" w:cs="仿宋"/>
          <w:bCs/>
          <w:sz w:val="24"/>
          <w:szCs w:val="32"/>
          <w:highlight w:val="none"/>
          <w:lang w:val="zh-CN"/>
        </w:rPr>
        <w:t>级。</w:t>
      </w:r>
    </w:p>
    <w:p>
      <w:pPr>
        <w:adjustRightInd/>
        <w:spacing w:line="360" w:lineRule="auto"/>
        <w:jc w:val="left"/>
        <w:rPr>
          <w:rFonts w:ascii="仿宋" w:hAnsi="仿宋" w:eastAsia="仿宋" w:cs="仿宋"/>
          <w:sz w:val="24"/>
          <w:highlight w:val="none"/>
        </w:rPr>
      </w:pPr>
      <w:r>
        <w:rPr>
          <w:rFonts w:hint="eastAsia" w:ascii="仿宋" w:hAnsi="仿宋" w:eastAsia="仿宋" w:cs="仿宋"/>
          <w:sz w:val="24"/>
          <w:highlight w:val="none"/>
        </w:rPr>
        <w:t>所投产品及主要部件均须非停产设备，并提供备件、附件和耗材的供应。</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（8）供应商投标产品与《项目采购清单和参数要求》不一致时，供应商应在投标文件中予以说明。如供应商没有在投标文件中提出负偏离，则视为供应商提供的产品完全按照本招标文件要求。</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（9）供应商须对招标文件中涉及到的专利负责，并保证不伤害招标人的利益。在法律范围内，所有文字、商标和技术侵权造成的相关费用，招标人概不负责。</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10）《项目采购清单和参数要求》中未要求提供证明材料的以技术响应偏离表为准。若证明材料有矛盾或者前后不一致，优先按照产品检测报告、产品使用说明书、用户手册、技术指标彩页或制造商（厂家）官网截图先后顺序为准。</w:t>
      </w:r>
    </w:p>
    <w:p>
      <w:pPr>
        <w:spacing w:line="360" w:lineRule="auto"/>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五、其他要求</w:t>
      </w:r>
    </w:p>
    <w:p>
      <w:pPr>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rPr>
        <w:t>▲</w:t>
      </w:r>
      <w:r>
        <w:rPr>
          <w:rFonts w:hint="eastAsia" w:ascii="仿宋" w:hAnsi="仿宋" w:eastAsia="仿宋" w:cs="仿宋"/>
          <w:sz w:val="24"/>
          <w:highlight w:val="none"/>
          <w:lang w:bidi="ar"/>
        </w:rPr>
        <w:t>1、交货要求</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交货时间：合同签订次日起60个日历日内完成生产、供货、安装，最晚不超出2024年6月30日。其中，合同签订次日起50个日历日内完成生产；接到甲方通知之日起10天完成供货及安装，具体安装根据总包单位建设进度需求。</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（2）交货地点：杭州学军中学桐庐学校图书馆。</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2.技术资料</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2.1供应商将所供货物的产品序列号、保修卡、合格证、测验报告等信息逐一进行登记，经招标人核对无误后加盖供应商单位公章，交招标人保管备查。</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2.2供应商提供的技术文件应是能满足所需的安装调试、操作使用及维护管理等所有设备的详细技术资料。</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2.3投标人提供的技术文件应该真实、全面、完整、详细，应以中文书写。</w:t>
      </w:r>
    </w:p>
    <w:p>
      <w:pPr>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3.安装、调试、验收要求</w:t>
      </w:r>
    </w:p>
    <w:p>
      <w:pPr>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3.1.供应商负责所提供的设备、软件的安装、调试，设备、软件安装、调试所需的工具、仪表及安装材料等应由供应商自行解决。</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3.2.安装过程中应科学、合理地掌握与其他工程界面的协调、交叉。为保证项目安全顺利完工，招标人有权将对所有投标设备及材料的材质、规格、安装等方面进行严格的监督审查，并加强现场管理，严格把好安全关、质量关、进度关，并且要求供应商必须派驻经验丰富的技术人员进行全面保障和全程管理，确保项目的顺利实施。</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3.3.项目施工保证安全文明，施工中一切安全责任均由供应商负责。设备验收过程中，由于质量不合格或运输等原因所造成的一切费用均由供应商负责。</w:t>
      </w:r>
    </w:p>
    <w:p>
      <w:pPr>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4.项目组人员要求</w:t>
      </w:r>
    </w:p>
    <w:p>
      <w:pPr>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项目组人员要求配置合理、专业素质高、数量充足；项目负责人应拥有较强的项目管理能力和同类项目建设经验，项目成员也应具备一定的资质和能力，能够保证项目实施到位。</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5.培训要求</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供应商应提供至少对招标人2名管理人员进行管理培训（包括软件、硬件），相关费用包含在投标报价中。投标人应在投标文件中提供相应的培训计划，详细说明培训的方式、地点、人数、时间等实质性内容。</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6.质保及售后服务要求</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6.1.质保期：验收合格之日起不少于3年，若原厂质保大于3年的，以原厂质保期为准。其中软件须提供原厂商质保服务，质保服务包括全功能模块更新、升级服务。</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6.2.在质保期内的工作应包括对所有设备常规检查、调整等。质保期内的维修费用 (包括配件) 全部由供应商负责，维修点需提供足够的备品备件以适应维修需求。超过质保期的，须承诺维修时只收部件成本费。</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6.3.供应商应具提供网上报修平台和报修电话。质保期内出现问题，2小时内电话服务响应，4小时内上门提供技术服务，24小时内恢复正常使用。若不能按期完成维修，需提供备品备件，确保设备设施正常使用，相关费用由供应商承担。供应商应</w:t>
      </w:r>
      <w:r>
        <w:rPr>
          <w:rFonts w:hint="eastAsia" w:ascii="仿宋" w:hAnsi="仿宋" w:eastAsia="仿宋" w:cs="仿宋"/>
          <w:sz w:val="24"/>
          <w:highlight w:val="none"/>
          <w:lang w:bidi="ar"/>
        </w:rPr>
        <w:t>所有硬件和软件设备提供</w:t>
      </w:r>
      <w:r>
        <w:rPr>
          <w:rFonts w:hint="eastAsia" w:ascii="仿宋" w:hAnsi="仿宋" w:eastAsia="仿宋" w:cs="仿宋"/>
          <w:sz w:val="24"/>
          <w:highlight w:val="none"/>
          <w:lang w:val="zh-CN" w:bidi="ar"/>
        </w:rPr>
        <w:t>三年</w:t>
      </w:r>
      <w:r>
        <w:rPr>
          <w:rFonts w:hint="eastAsia" w:ascii="仿宋" w:hAnsi="仿宋" w:eastAsia="仿宋" w:cs="仿宋"/>
          <w:sz w:val="24"/>
          <w:highlight w:val="none"/>
          <w:lang w:bidi="ar"/>
        </w:rPr>
        <w:t>5*8小时免费保修和售后现场技术服务。</w:t>
      </w:r>
    </w:p>
    <w:p>
      <w:pPr>
        <w:spacing w:line="360" w:lineRule="auto"/>
        <w:ind w:firstLine="480" w:firstLineChars="200"/>
        <w:rPr>
          <w:rFonts w:ascii="仿宋" w:hAnsi="仿宋" w:eastAsia="仿宋" w:cs="仿宋"/>
          <w:b/>
          <w:bCs/>
          <w:sz w:val="24"/>
          <w:highlight w:val="none"/>
        </w:rPr>
      </w:pPr>
      <w:r>
        <w:rPr>
          <w:rFonts w:hint="eastAsia" w:ascii="仿宋" w:hAnsi="仿宋" w:eastAsia="仿宋" w:cs="仿宋"/>
          <w:sz w:val="24"/>
          <w:highlight w:val="none"/>
        </w:rPr>
        <w:t>6.4.为保证售后服务质量，供应商交货时需提供原厂质保和售后服务保证承诺书。</w:t>
      </w:r>
    </w:p>
    <w:p>
      <w:pPr>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7.其它要求</w:t>
      </w:r>
    </w:p>
    <w:p>
      <w:pPr>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7.1本项目房间室内空气检测环保等级达E1级。供应商验收前提供成品家具类产品的环保检测报告和房间室内空气检测报告。安装前，若供应商对房间室内进行空气环保等级抽检的，检测费用自行承担。</w:t>
      </w:r>
    </w:p>
    <w:p>
      <w:pPr>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7.2产品必须是符合国家验收标准，一次性验收合格，是符合国家有关规定的原厂商生产或授权生产的原装正品，满足采购人的使用需求，并具有可靠的售后服务体系，质量可靠、使用安全。</w:t>
      </w:r>
    </w:p>
    <w:p>
      <w:pPr>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7.3产品应包括各类成品家具、柜体和所有跟其有关的联结部件、安装部件、备品备件及易损件、资料等。即提供的家具安装就位后，便可进行正式使用或满足正常需求。</w:t>
      </w:r>
    </w:p>
    <w:p>
      <w:pPr>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7.4产品完全是崭新的产品，且所有部件的生产日期为近一年内。</w:t>
      </w:r>
    </w:p>
    <w:p>
      <w:pPr>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7.5产品使用过程中出现知识产权、使用权或其他权利纠纷，由中标供应商负责。</w:t>
      </w:r>
    </w:p>
    <w:p>
      <w:pPr>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7.6供应商负责所有产品的整个安装过程，安装过程中所需的所有货物、工具、材料均由供应商负责。供应商应派资深的工程技术人员在现场完成对产品的正确安装及连接，负责产生的废料等现场清理和成品保护。如对现场环境造成损坏全部由中标供应商负责。</w:t>
      </w:r>
    </w:p>
    <w:p>
      <w:pPr>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7.7项目施工保证安全文明，施工中一切安全责任均由乙方负责。</w:t>
      </w:r>
    </w:p>
    <w:p>
      <w:pPr>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7.8在质保期内，所用的替代家具用品必须是新的未使用和未经修复的，除非采购人提供书面许可，否则不可使用此范围外的其他（非新的）配件。</w:t>
      </w:r>
    </w:p>
    <w:p>
      <w:pPr>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7.9在质保期内，供应商有责任解决所提供的投标产品的任何问题，在质保期满后，当需要时，中标供应商仍须对因投标产品本身的固有缺陷和瑕疵承担相应责任。</w:t>
      </w:r>
    </w:p>
    <w:p>
      <w:pPr>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7.10根据上级主管部门及学校疫情防控管控动态要求，供货方所提供的商品、设备及所有辅材须产自非疫区，且确保配送安全。供货方须自备防疫物资，做好施工人员健康信息审查，配合学校落实各项防疫管控措施 ，该项费用已包含在报价中。</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六、商务条款：</w:t>
      </w:r>
    </w:p>
    <w:p>
      <w:pPr>
        <w:spacing w:line="360" w:lineRule="auto"/>
        <w:ind w:firstLine="419" w:firstLineChars="174"/>
        <w:rPr>
          <w:rFonts w:ascii="仿宋" w:hAnsi="仿宋" w:eastAsia="仿宋" w:cs="仿宋"/>
          <w:b/>
          <w:bCs/>
          <w:sz w:val="24"/>
          <w:highlight w:val="none"/>
        </w:rPr>
      </w:pPr>
      <w:r>
        <w:rPr>
          <w:rFonts w:hint="eastAsia" w:ascii="仿宋" w:hAnsi="仿宋" w:eastAsia="仿宋" w:cs="仿宋"/>
          <w:b/>
          <w:bCs/>
          <w:sz w:val="24"/>
          <w:highlight w:val="none"/>
        </w:rPr>
        <w:t>1.投标报价说明</w:t>
      </w:r>
    </w:p>
    <w:p>
      <w:pPr>
        <w:pStyle w:val="80"/>
        <w:spacing w:line="360" w:lineRule="auto"/>
        <w:ind w:firstLine="480" w:firstLineChars="200"/>
        <w:rPr>
          <w:rFonts w:ascii="仿宋" w:hAnsi="仿宋" w:eastAsia="仿宋" w:cs="仿宋"/>
          <w:highlight w:val="none"/>
        </w:rPr>
      </w:pPr>
      <w:r>
        <w:rPr>
          <w:rFonts w:hint="eastAsia" w:ascii="仿宋" w:hAnsi="仿宋" w:eastAsia="仿宋" w:cs="仿宋"/>
          <w:highlight w:val="none"/>
          <w:lang w:val="en-US"/>
        </w:rPr>
        <w:t>（1）</w:t>
      </w:r>
      <w:r>
        <w:rPr>
          <w:rFonts w:hint="eastAsia" w:ascii="仿宋" w:hAnsi="仿宋" w:eastAsia="仿宋" w:cs="仿宋"/>
          <w:highlight w:val="none"/>
        </w:rPr>
        <w:t>本项目投标总价包含</w:t>
      </w:r>
      <w:r>
        <w:rPr>
          <w:rFonts w:hint="eastAsia" w:ascii="仿宋" w:hAnsi="仿宋" w:eastAsia="仿宋" w:cs="仿宋"/>
          <w:highlight w:val="none"/>
          <w:lang w:val="en-US"/>
        </w:rPr>
        <w:t>现场</w:t>
      </w:r>
      <w:r>
        <w:rPr>
          <w:rFonts w:hint="eastAsia" w:ascii="仿宋" w:hAnsi="仿宋" w:eastAsia="仿宋" w:cs="仿宋"/>
          <w:highlight w:val="none"/>
        </w:rPr>
        <w:t>踏勘费、</w:t>
      </w:r>
      <w:r>
        <w:rPr>
          <w:rFonts w:hint="eastAsia" w:ascii="仿宋" w:hAnsi="仿宋" w:eastAsia="仿宋" w:cs="仿宋"/>
          <w:highlight w:val="none"/>
          <w:lang w:val="en-US"/>
        </w:rPr>
        <w:t>材料</w:t>
      </w:r>
      <w:r>
        <w:rPr>
          <w:rFonts w:hint="eastAsia" w:ascii="仿宋" w:hAnsi="仿宋" w:eastAsia="仿宋" w:cs="仿宋"/>
          <w:highlight w:val="none"/>
        </w:rPr>
        <w:t>设备费、</w:t>
      </w:r>
      <w:r>
        <w:rPr>
          <w:rFonts w:hint="eastAsia" w:ascii="仿宋" w:hAnsi="仿宋" w:eastAsia="仿宋" w:cs="仿宋"/>
          <w:highlight w:val="none"/>
          <w:lang w:val="en-US"/>
        </w:rPr>
        <w:t>运杂</w:t>
      </w:r>
      <w:r>
        <w:rPr>
          <w:rFonts w:hint="eastAsia" w:ascii="仿宋" w:hAnsi="仿宋" w:eastAsia="仿宋" w:cs="仿宋"/>
          <w:highlight w:val="none"/>
        </w:rPr>
        <w:t>费、安装</w:t>
      </w:r>
      <w:r>
        <w:rPr>
          <w:rFonts w:hint="eastAsia" w:ascii="仿宋" w:hAnsi="仿宋" w:eastAsia="仿宋" w:cs="仿宋"/>
          <w:highlight w:val="none"/>
          <w:lang w:val="en-US"/>
        </w:rPr>
        <w:t>费</w:t>
      </w:r>
      <w:r>
        <w:rPr>
          <w:rFonts w:hint="eastAsia" w:ascii="仿宋" w:hAnsi="仿宋" w:eastAsia="仿宋" w:cs="仿宋"/>
          <w:highlight w:val="none"/>
        </w:rPr>
        <w:t>、调试费、试运行费、</w:t>
      </w:r>
      <w:r>
        <w:rPr>
          <w:rFonts w:hint="eastAsia" w:ascii="仿宋" w:hAnsi="仿宋" w:eastAsia="仿宋" w:cs="仿宋"/>
          <w:highlight w:val="none"/>
          <w:lang w:val="en-US"/>
        </w:rPr>
        <w:t>验收</w:t>
      </w:r>
      <w:r>
        <w:rPr>
          <w:rFonts w:hint="eastAsia" w:ascii="仿宋" w:hAnsi="仿宋" w:eastAsia="仿宋" w:cs="仿宋"/>
          <w:highlight w:val="none"/>
        </w:rPr>
        <w:t>费、售后及质保服务费、总包配合费、管理费、利润、税金等一切费用。本项目还应包括场地及原有设备的保护措施费、现场安装施工组织（含安全文明施工）措施费等。除产品外若未明确相应报价的，视为已综合考虑在产品综合单价内，中标后不做调整与补偿。</w:t>
      </w:r>
    </w:p>
    <w:p>
      <w:pPr>
        <w:pStyle w:val="80"/>
        <w:spacing w:line="360" w:lineRule="auto"/>
        <w:ind w:firstLine="482" w:firstLineChars="200"/>
        <w:rPr>
          <w:rFonts w:ascii="仿宋" w:hAnsi="仿宋" w:eastAsia="仿宋" w:cs="仿宋"/>
          <w:b/>
          <w:bCs/>
          <w:szCs w:val="24"/>
          <w:highlight w:val="none"/>
        </w:rPr>
      </w:pPr>
      <w:r>
        <w:rPr>
          <w:rFonts w:hint="eastAsia" w:ascii="仿宋" w:hAnsi="仿宋" w:eastAsia="仿宋" w:cs="仿宋"/>
          <w:b/>
          <w:szCs w:val="24"/>
          <w:highlight w:val="none"/>
          <w:lang w:val="en-US"/>
        </w:rPr>
        <w:t>（2）</w:t>
      </w:r>
      <w:r>
        <w:rPr>
          <w:rFonts w:hint="eastAsia" w:ascii="仿宋" w:hAnsi="仿宋" w:eastAsia="仿宋" w:cs="仿宋"/>
          <w:b/>
          <w:bCs/>
          <w:szCs w:val="24"/>
          <w:highlight w:val="none"/>
        </w:rPr>
        <w:t>供应商在投标报价时，应充分考虑辅材等安装材料的实际需求量，同时充分考虑安装过程中产生的原样修补费、打洞费、安全措施等所发生的费用，费用全部计入投标报价中。在合同执行过程中，合同价不予调整。</w:t>
      </w:r>
    </w:p>
    <w:p>
      <w:pPr>
        <w:spacing w:line="360" w:lineRule="auto"/>
        <w:ind w:firstLine="419" w:firstLineChars="174"/>
        <w:rPr>
          <w:rFonts w:ascii="仿宋" w:hAnsi="仿宋" w:eastAsia="仿宋" w:cs="仿宋"/>
          <w:b/>
          <w:bCs/>
          <w:sz w:val="24"/>
          <w:highlight w:val="none"/>
        </w:rPr>
      </w:pPr>
      <w:r>
        <w:rPr>
          <w:rFonts w:hint="eastAsia" w:ascii="仿宋" w:hAnsi="仿宋" w:eastAsia="仿宋" w:cs="仿宋"/>
          <w:b/>
          <w:bCs/>
          <w:sz w:val="24"/>
          <w:highlight w:val="none"/>
        </w:rPr>
        <w:t>（3）</w:t>
      </w:r>
      <w:r>
        <w:rPr>
          <w:rFonts w:hint="eastAsia" w:ascii="仿宋" w:hAnsi="仿宋" w:eastAsia="仿宋" w:cs="仿宋"/>
          <w:b/>
          <w:bCs/>
          <w:sz w:val="24"/>
          <w:highlight w:val="none"/>
          <w:lang w:val="zh-CN"/>
        </w:rPr>
        <w:t>不因产品尺寸大小、形状等改变调整合同价。</w:t>
      </w:r>
    </w:p>
    <w:p>
      <w:pPr>
        <w:spacing w:line="360" w:lineRule="auto"/>
        <w:ind w:firstLine="419" w:firstLineChars="174"/>
        <w:rPr>
          <w:rFonts w:ascii="仿宋" w:hAnsi="仿宋" w:eastAsia="仿宋" w:cs="仿宋"/>
          <w:b/>
          <w:bCs/>
          <w:sz w:val="24"/>
          <w:highlight w:val="none"/>
        </w:rPr>
      </w:pPr>
      <w:r>
        <w:rPr>
          <w:rFonts w:hint="eastAsia" w:ascii="仿宋" w:hAnsi="仿宋" w:eastAsia="仿宋" w:cs="仿宋"/>
          <w:b/>
          <w:bCs/>
          <w:sz w:val="24"/>
          <w:highlight w:val="none"/>
        </w:rPr>
        <w:t>2.合同价及支付方式</w:t>
      </w:r>
    </w:p>
    <w:p>
      <w:pPr>
        <w:pStyle w:val="61"/>
        <w:spacing w:after="0" w:line="360" w:lineRule="auto"/>
        <w:ind w:left="0" w:leftChars="0" w:firstLine="480"/>
        <w:rPr>
          <w:rFonts w:ascii="仿宋" w:hAnsi="仿宋" w:eastAsia="仿宋" w:cs="仿宋"/>
          <w:sz w:val="24"/>
          <w:highlight w:val="none"/>
        </w:rPr>
      </w:pPr>
      <w:r>
        <w:rPr>
          <w:rFonts w:hint="eastAsia" w:ascii="仿宋" w:hAnsi="仿宋" w:eastAsia="仿宋" w:cs="仿宋"/>
          <w:sz w:val="24"/>
          <w:highlight w:val="none"/>
        </w:rPr>
        <w:t>2.1本项目固定合同总价。</w:t>
      </w:r>
    </w:p>
    <w:p>
      <w:pPr>
        <w:pStyle w:val="61"/>
        <w:spacing w:after="0" w:line="360" w:lineRule="auto"/>
        <w:ind w:left="0" w:leftChars="0" w:firstLine="480"/>
        <w:rPr>
          <w:rFonts w:ascii="仿宋" w:hAnsi="仿宋" w:eastAsia="仿宋" w:cs="仿宋"/>
          <w:sz w:val="24"/>
          <w:highlight w:val="none"/>
        </w:rPr>
      </w:pPr>
      <w:r>
        <w:rPr>
          <w:rFonts w:hint="eastAsia" w:ascii="仿宋" w:hAnsi="仿宋" w:eastAsia="仿宋" w:cs="仿宋"/>
          <w:sz w:val="24"/>
          <w:highlight w:val="none"/>
        </w:rPr>
        <w:t>2.2支付方式</w:t>
      </w:r>
    </w:p>
    <w:p>
      <w:pPr>
        <w:pStyle w:val="61"/>
        <w:spacing w:after="0" w:line="360" w:lineRule="auto"/>
        <w:ind w:left="0" w:leftChars="0" w:firstLine="480"/>
        <w:rPr>
          <w:rFonts w:ascii="仿宋" w:hAnsi="仿宋" w:eastAsia="仿宋" w:cs="仿宋"/>
          <w:sz w:val="24"/>
          <w:highlight w:val="none"/>
        </w:rPr>
      </w:pPr>
      <w:r>
        <w:rPr>
          <w:rFonts w:hint="eastAsia" w:ascii="仿宋" w:hAnsi="仿宋" w:eastAsia="仿宋" w:cs="仿宋"/>
          <w:sz w:val="24"/>
          <w:highlight w:val="none"/>
        </w:rPr>
        <w:t>（1）第一期付款：合同签订之日起7个工作日内，招标人支付合同价的40%作为预付款；同时供应商提交银行或保险公司出具的同等金额的预付款保函，保函的格式和内容须经招标人确认；</w:t>
      </w:r>
    </w:p>
    <w:p>
      <w:pPr>
        <w:pStyle w:val="61"/>
        <w:spacing w:after="0" w:line="360" w:lineRule="auto"/>
        <w:ind w:left="0" w:leftChars="0" w:firstLine="480"/>
        <w:rPr>
          <w:rFonts w:ascii="仿宋" w:hAnsi="仿宋" w:eastAsia="仿宋" w:cs="仿宋"/>
          <w:sz w:val="24"/>
          <w:highlight w:val="none"/>
        </w:rPr>
      </w:pPr>
      <w:r>
        <w:rPr>
          <w:rFonts w:hint="eastAsia" w:ascii="仿宋" w:hAnsi="仿宋" w:eastAsia="仿宋" w:cs="仿宋"/>
          <w:sz w:val="24"/>
          <w:highlight w:val="none"/>
        </w:rPr>
        <w:t>（2）第二期付款：项目通过履约验收后10个工作日内，招标人支付剩余款项款。</w:t>
      </w:r>
    </w:p>
    <w:p>
      <w:pPr>
        <w:wordWrap w:val="0"/>
        <w:autoSpaceDE w:val="0"/>
        <w:autoSpaceDN w:val="0"/>
        <w:snapToGrid w:val="0"/>
        <w:spacing w:line="360" w:lineRule="auto"/>
        <w:ind w:firstLine="482" w:firstLineChars="200"/>
        <w:rPr>
          <w:rFonts w:ascii="仿宋" w:hAnsi="仿宋" w:eastAsia="仿宋" w:cs="仿宋"/>
          <w:b/>
          <w:bCs/>
          <w:sz w:val="24"/>
          <w:highlight w:val="none"/>
          <w:lang w:val="zh-CN"/>
        </w:rPr>
      </w:pPr>
      <w:r>
        <w:rPr>
          <w:rFonts w:hint="eastAsia" w:ascii="仿宋" w:hAnsi="仿宋" w:eastAsia="仿宋" w:cs="仿宋"/>
          <w:b/>
          <w:bCs/>
          <w:sz w:val="24"/>
          <w:highlight w:val="none"/>
        </w:rPr>
        <w:t>3.</w:t>
      </w:r>
      <w:r>
        <w:rPr>
          <w:rFonts w:hint="eastAsia" w:ascii="仿宋" w:hAnsi="仿宋" w:eastAsia="仿宋" w:cs="仿宋"/>
          <w:b/>
          <w:bCs/>
          <w:sz w:val="24"/>
          <w:highlight w:val="none"/>
          <w:lang w:val="zh-CN"/>
        </w:rPr>
        <w:t>履约保证金</w:t>
      </w:r>
    </w:p>
    <w:p>
      <w:pPr>
        <w:wordWrap w:val="0"/>
        <w:autoSpaceDE w:val="0"/>
        <w:autoSpaceDN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本项目免收履约保证金。</w:t>
      </w:r>
    </w:p>
    <w:p>
      <w:pPr>
        <w:snapToGrid w:val="0"/>
        <w:spacing w:line="360" w:lineRule="auto"/>
        <w:ind w:firstLine="482" w:firstLineChars="200"/>
        <w:outlineLvl w:val="2"/>
        <w:rPr>
          <w:rFonts w:ascii="仿宋" w:hAnsi="仿宋" w:eastAsia="仿宋" w:cs="仿宋"/>
          <w:b/>
          <w:bCs/>
          <w:kern w:val="0"/>
          <w:sz w:val="24"/>
          <w:highlight w:val="none"/>
        </w:rPr>
      </w:pPr>
      <w:r>
        <w:rPr>
          <w:rFonts w:hint="eastAsia" w:ascii="仿宋" w:hAnsi="仿宋" w:eastAsia="仿宋" w:cs="仿宋"/>
          <w:b/>
          <w:bCs/>
          <w:kern w:val="0"/>
          <w:sz w:val="24"/>
          <w:highlight w:val="none"/>
        </w:rPr>
        <w:t>4.联合体投标</w:t>
      </w:r>
    </w:p>
    <w:p>
      <w:pPr>
        <w:widowControl/>
        <w:wordWrap w:val="0"/>
        <w:snapToGrid w:val="0"/>
        <w:spacing w:line="360" w:lineRule="auto"/>
        <w:ind w:firstLine="480" w:firstLineChars="200"/>
        <w:jc w:val="left"/>
        <w:rPr>
          <w:rFonts w:ascii="仿宋" w:hAnsi="仿宋" w:eastAsia="仿宋" w:cs="仿宋"/>
          <w:bCs/>
          <w:snapToGrid w:val="0"/>
          <w:sz w:val="24"/>
          <w:highlight w:val="none"/>
        </w:rPr>
      </w:pPr>
      <w:r>
        <w:rPr>
          <w:rFonts w:hint="eastAsia" w:ascii="仿宋" w:hAnsi="仿宋" w:eastAsia="仿宋" w:cs="仿宋"/>
          <w:kern w:val="0"/>
          <w:sz w:val="24"/>
          <w:highlight w:val="none"/>
        </w:rPr>
        <w:t>联合体投标的，联合体成员应根据联合体协议书中相应承担的工作内容、合同份额进行各自提供相应设施设备并配备相应人员</w:t>
      </w:r>
      <w:r>
        <w:rPr>
          <w:rFonts w:hint="eastAsia" w:ascii="仿宋" w:hAnsi="仿宋" w:eastAsia="仿宋" w:cs="仿宋"/>
          <w:bCs/>
          <w:snapToGrid w:val="0"/>
          <w:sz w:val="24"/>
          <w:highlight w:val="none"/>
        </w:rPr>
        <w:t>，项目负责人由牵头人派遣。</w:t>
      </w:r>
    </w:p>
    <w:p>
      <w:pPr>
        <w:widowControl/>
        <w:wordWrap w:val="0"/>
        <w:snapToGrid w:val="0"/>
        <w:spacing w:line="360" w:lineRule="auto"/>
        <w:ind w:firstLine="480" w:firstLineChars="200"/>
        <w:jc w:val="left"/>
        <w:rPr>
          <w:rFonts w:ascii="仿宋" w:hAnsi="仿宋" w:eastAsia="仿宋" w:cs="仿宋"/>
          <w:bCs/>
          <w:snapToGrid w:val="0"/>
          <w:sz w:val="24"/>
          <w:highlight w:val="none"/>
        </w:rPr>
      </w:pPr>
      <w:r>
        <w:rPr>
          <w:rFonts w:hint="eastAsia" w:ascii="仿宋" w:hAnsi="仿宋" w:eastAsia="仿宋" w:cs="仿宋"/>
          <w:bCs/>
          <w:snapToGrid w:val="0"/>
          <w:sz w:val="24"/>
          <w:highlight w:val="none"/>
        </w:rPr>
        <w:t>联合体各成员的分工、费用收取、发票开具等事项：联合体各成员分工承担的工作内容以联合协议书为准，若联合协议书分工存在不明确事项的，则签订本项目合同前予以明确。合同款项采购人直接支付给联合体牵头人，即发票由牵头人开具。</w:t>
      </w:r>
    </w:p>
    <w:p>
      <w:pPr>
        <w:snapToGrid w:val="0"/>
        <w:spacing w:line="360" w:lineRule="auto"/>
        <w:ind w:firstLine="482" w:firstLineChars="200"/>
        <w:outlineLvl w:val="2"/>
        <w:rPr>
          <w:rFonts w:ascii="仿宋" w:hAnsi="仿宋" w:eastAsia="仿宋" w:cs="仿宋"/>
          <w:b/>
          <w:bCs/>
          <w:kern w:val="0"/>
          <w:sz w:val="24"/>
          <w:highlight w:val="none"/>
        </w:rPr>
      </w:pPr>
      <w:r>
        <w:rPr>
          <w:rFonts w:hint="eastAsia" w:ascii="仿宋" w:hAnsi="仿宋" w:eastAsia="仿宋" w:cs="仿宋"/>
          <w:b/>
          <w:bCs/>
          <w:kern w:val="0"/>
          <w:sz w:val="24"/>
          <w:highlight w:val="none"/>
        </w:rPr>
        <w:t>5.分包要求</w:t>
      </w:r>
    </w:p>
    <w:p>
      <w:pPr>
        <w:wordWrap w:val="0"/>
        <w:snapToGrid w:val="0"/>
        <w:spacing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若</w:t>
      </w:r>
      <w:r>
        <w:rPr>
          <w:rFonts w:hint="eastAsia" w:ascii="仿宋" w:hAnsi="仿宋" w:eastAsia="仿宋" w:cs="仿宋"/>
          <w:sz w:val="24"/>
          <w:highlight w:val="none"/>
        </w:rPr>
        <w:t>非主体、非关键性的</w:t>
      </w:r>
      <w:r>
        <w:rPr>
          <w:rFonts w:hint="eastAsia" w:ascii="仿宋" w:hAnsi="仿宋" w:eastAsia="仿宋" w:cs="仿宋"/>
          <w:sz w:val="24"/>
          <w:highlight w:val="none"/>
          <w:lang w:val="zh-CN"/>
        </w:rPr>
        <w:t>工作采用分包的，分包单位应具有相应能力，</w:t>
      </w:r>
      <w:r>
        <w:rPr>
          <w:rFonts w:hint="eastAsia" w:ascii="仿宋" w:hAnsi="仿宋" w:eastAsia="仿宋" w:cs="仿宋"/>
          <w:sz w:val="24"/>
          <w:highlight w:val="none"/>
        </w:rPr>
        <w:t>分包份额不得超过总包单位</w:t>
      </w:r>
      <w:r>
        <w:rPr>
          <w:rFonts w:hint="eastAsia" w:ascii="仿宋" w:hAnsi="仿宋" w:eastAsia="仿宋" w:cs="仿宋"/>
          <w:sz w:val="24"/>
          <w:highlight w:val="none"/>
          <w:lang w:val="zh-CN"/>
        </w:rPr>
        <w:t>。</w:t>
      </w:r>
    </w:p>
    <w:p>
      <w:pPr>
        <w:spacing w:line="360" w:lineRule="auto"/>
        <w:ind w:firstLine="419" w:firstLineChars="174"/>
        <w:rPr>
          <w:rFonts w:ascii="仿宋" w:hAnsi="仿宋" w:eastAsia="仿宋" w:cs="仿宋"/>
          <w:b/>
          <w:bCs/>
          <w:sz w:val="24"/>
          <w:highlight w:val="none"/>
        </w:rPr>
      </w:pPr>
      <w:r>
        <w:rPr>
          <w:rFonts w:hint="eastAsia" w:ascii="仿宋" w:hAnsi="仿宋" w:eastAsia="仿宋" w:cs="仿宋"/>
          <w:b/>
          <w:bCs/>
          <w:sz w:val="24"/>
          <w:highlight w:val="none"/>
        </w:rPr>
        <w:t>6.履约验收</w:t>
      </w:r>
    </w:p>
    <w:p>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（1）履约验收主体：招标人</w:t>
      </w:r>
    </w:p>
    <w:p>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（2）履约验收时间：安装调试完毕后10个工作日内。</w:t>
      </w:r>
    </w:p>
    <w:p>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（3）履约验收方式：一般程序</w:t>
      </w:r>
    </w:p>
    <w:p>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（4）履约验收程序：一次性验收</w:t>
      </w:r>
    </w:p>
    <w:p>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（5）履约验收内容</w:t>
      </w:r>
    </w:p>
    <w:p>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技术履约内容：乙方应按招标文件规定的货物性能、技术要求、质量标准向甲方提供产品；按招标文件要求时间交货。</w:t>
      </w:r>
    </w:p>
    <w:p>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商务履约内容：费用按招标文件要求结算、支付。</w:t>
      </w:r>
    </w:p>
    <w:p>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（6）履约验收标准</w:t>
      </w:r>
    </w:p>
    <w:p>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①满足采购需求及技术文件的要求，达到国家及行业现行规范的合格标准；②资金支付及履约保证金返还条件、争议处理、验收费用支付、采购人及供应商各自权利义务等内容按国家，省，市现行规定和合同约定的内容。③供应商提供成品家具环保检测报告合格证明和室内空气检测报告。</w:t>
      </w:r>
    </w:p>
    <w:p>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（7）初次验收费用由采购人承担；因供应商原因导致验收不通过的，限期整改，重新组织验收的费用由供应商承担。</w:t>
      </w:r>
      <w:r>
        <w:rPr>
          <w:rFonts w:hint="eastAsia" w:ascii="仿宋" w:hAnsi="仿宋" w:eastAsia="仿宋" w:cs="仿宋"/>
          <w:kern w:val="0"/>
          <w:sz w:val="24"/>
          <w:highlight w:val="none"/>
        </w:rPr>
        <w:t>整改结束后，由供应商通知采购人重新验收。若整改后验收仍不合格的，则扣除合同价5%作为违约金，同时采购人有权终止合同，供应商承担采购人所有损失。</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（8）采购人有权对到货的设备、家具进行随机抽样检测，供应商承担检测费用。检测不合格的由供应商负责更换，并承担相关费用。</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七、功能演示</w:t>
      </w:r>
    </w:p>
    <w:p>
      <w:pPr>
        <w:numPr>
          <w:ilvl w:val="0"/>
          <w:numId w:val="20"/>
        </w:numPr>
        <w:spacing w:line="360" w:lineRule="auto"/>
        <w:ind w:firstLine="482" w:firstLineChars="200"/>
        <w:rPr>
          <w:rFonts w:ascii="仿宋" w:hAnsi="仿宋" w:eastAsia="仿宋" w:cs="仿宋"/>
          <w:b/>
          <w:bCs/>
          <w:kern w:val="0"/>
          <w:sz w:val="24"/>
          <w:highlight w:val="none"/>
        </w:rPr>
      </w:pPr>
      <w:bookmarkStart w:id="55" w:name="_Toc14411"/>
      <w:bookmarkStart w:id="56" w:name="_Toc27989"/>
      <w:r>
        <w:rPr>
          <w:rFonts w:hint="eastAsia" w:ascii="仿宋" w:hAnsi="仿宋" w:eastAsia="仿宋" w:cs="仿宋"/>
          <w:b/>
          <w:bCs/>
          <w:kern w:val="0"/>
          <w:sz w:val="24"/>
          <w:highlight w:val="none"/>
        </w:rPr>
        <w:t>RFID图书管理系统</w:t>
      </w:r>
    </w:p>
    <w:tbl>
      <w:tblPr>
        <w:tblStyle w:val="62"/>
        <w:tblW w:w="0" w:type="auto"/>
        <w:tblInd w:w="96" w:type="dxa"/>
        <w:tblLayout w:type="fixed"/>
        <w:tblCellMar>
          <w:top w:w="0" w:type="dxa"/>
          <w:left w:w="108" w:type="dxa"/>
          <w:bottom w:w="0" w:type="dxa"/>
          <w:right w:w="108" w:type="dxa"/>
        </w:tblCellMar>
      </w:tblPr>
      <w:tblGrid>
        <w:gridCol w:w="730"/>
        <w:gridCol w:w="7702"/>
      </w:tblGrid>
      <w:tr>
        <w:tblPrEx>
          <w:tblCellMar>
            <w:top w:w="0" w:type="dxa"/>
            <w:left w:w="108" w:type="dxa"/>
            <w:bottom w:w="0" w:type="dxa"/>
            <w:right w:w="108" w:type="dxa"/>
          </w:tblCellMar>
        </w:tblPrEx>
        <w:trPr>
          <w:trHeight w:val="466"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b/>
                <w:bCs/>
                <w:sz w:val="24"/>
                <w:highlight w:val="none"/>
              </w:rPr>
            </w:pPr>
            <w:r>
              <w:rPr>
                <w:rFonts w:hint="eastAsia" w:ascii="仿宋" w:hAnsi="仿宋" w:eastAsia="仿宋" w:cs="仿宋"/>
                <w:b/>
                <w:bCs/>
                <w:kern w:val="0"/>
                <w:sz w:val="24"/>
                <w:highlight w:val="none"/>
                <w:lang w:bidi="ar"/>
              </w:rPr>
              <w:t>序号</w:t>
            </w:r>
          </w:p>
        </w:tc>
        <w:tc>
          <w:tcPr>
            <w:tcW w:w="7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b/>
                <w:bCs/>
                <w:sz w:val="24"/>
                <w:highlight w:val="none"/>
              </w:rPr>
            </w:pPr>
            <w:r>
              <w:rPr>
                <w:rFonts w:hint="eastAsia" w:ascii="仿宋" w:hAnsi="仿宋" w:eastAsia="仿宋" w:cs="仿宋"/>
                <w:b/>
                <w:bCs/>
                <w:kern w:val="0"/>
                <w:sz w:val="24"/>
                <w:highlight w:val="none"/>
                <w:lang w:bidi="ar"/>
              </w:rPr>
              <w:t>技术参数演示要求</w:t>
            </w:r>
          </w:p>
        </w:tc>
      </w:tr>
      <w:tr>
        <w:tblPrEx>
          <w:tblCellMar>
            <w:top w:w="0" w:type="dxa"/>
            <w:left w:w="108" w:type="dxa"/>
            <w:bottom w:w="0" w:type="dxa"/>
            <w:right w:w="108" w:type="dxa"/>
          </w:tblCellMar>
        </w:tblPrEx>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1</w:t>
            </w:r>
          </w:p>
        </w:tc>
        <w:tc>
          <w:tcPr>
            <w:tcW w:w="7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24"/>
                <w:highlight w:val="none"/>
              </w:rPr>
            </w:pPr>
            <w:r>
              <w:rPr>
                <w:rFonts w:hint="eastAsia" w:ascii="仿宋" w:hAnsi="仿宋" w:eastAsia="仿宋" w:cs="仿宋"/>
                <w:sz w:val="24"/>
                <w:highlight w:val="none"/>
              </w:rPr>
              <w:t>提供MARC解析器功能，支持国家图书馆网站、就要MARC网站MARC数据复制粘贴助手功能，自动解析且转换保存至本馆馆藏数据。</w:t>
            </w:r>
          </w:p>
        </w:tc>
      </w:tr>
      <w:tr>
        <w:tblPrEx>
          <w:tblCellMar>
            <w:top w:w="0" w:type="dxa"/>
            <w:left w:w="108" w:type="dxa"/>
            <w:bottom w:w="0" w:type="dxa"/>
            <w:right w:w="108" w:type="dxa"/>
          </w:tblCellMar>
        </w:tblPrEx>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2</w:t>
            </w:r>
          </w:p>
        </w:tc>
        <w:tc>
          <w:tcPr>
            <w:tcW w:w="7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24"/>
                <w:highlight w:val="none"/>
              </w:rPr>
            </w:pPr>
            <w:r>
              <w:rPr>
                <w:rFonts w:hint="eastAsia" w:ascii="仿宋" w:hAnsi="仿宋" w:eastAsia="仿宋" w:cs="仿宋"/>
                <w:sz w:val="24"/>
                <w:highlight w:val="none"/>
              </w:rPr>
              <w:t>支持完整且具备905字段条码号、索书号、馆藏地的MARC数据（iso文件，）导入功能，可配置解析编码格式GBK和UTF-8文件，905子字段解析内容，财产号分隔符解析。按照各书商提供的数据格式模板进行导入模式保存。数据导入后，馆藏图书可自动转换成可借状态或待审核状态。</w:t>
            </w:r>
          </w:p>
        </w:tc>
      </w:tr>
      <w:tr>
        <w:tblPrEx>
          <w:tblCellMar>
            <w:top w:w="0" w:type="dxa"/>
            <w:left w:w="108" w:type="dxa"/>
            <w:bottom w:w="0" w:type="dxa"/>
            <w:right w:w="108" w:type="dxa"/>
          </w:tblCellMar>
        </w:tblPrEx>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3</w:t>
            </w:r>
          </w:p>
        </w:tc>
        <w:tc>
          <w:tcPr>
            <w:tcW w:w="7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24"/>
                <w:highlight w:val="none"/>
              </w:rPr>
            </w:pPr>
            <w:r>
              <w:rPr>
                <w:rFonts w:hint="eastAsia" w:ascii="仿宋" w:hAnsi="仿宋" w:eastAsia="仿宋" w:cs="仿宋"/>
                <w:sz w:val="24"/>
                <w:highlight w:val="none"/>
              </w:rPr>
              <w:t>提供CNMARC与USMRAC字段内容切换辅助功能，严格按照USMARC与CNMARC字段信息内容对应关系进行转化辅助编辑。提供CNMARC、USMARC模板自定义配置，用户可通过账号绑定保存自己常用的模板，可选择MARC字段显示数量，多个MARC模板时，可设置默认显示模板。与其他用户模板互不冲突。</w:t>
            </w:r>
          </w:p>
        </w:tc>
      </w:tr>
      <w:tr>
        <w:tblPrEx>
          <w:tblCellMar>
            <w:top w:w="0" w:type="dxa"/>
            <w:left w:w="108" w:type="dxa"/>
            <w:bottom w:w="0" w:type="dxa"/>
            <w:right w:w="108" w:type="dxa"/>
          </w:tblCellMar>
        </w:tblPrEx>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4</w:t>
            </w:r>
          </w:p>
        </w:tc>
        <w:tc>
          <w:tcPr>
            <w:tcW w:w="7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24"/>
                <w:highlight w:val="none"/>
              </w:rPr>
            </w:pPr>
            <w:r>
              <w:rPr>
                <w:rFonts w:hint="eastAsia" w:ascii="仿宋" w:hAnsi="仿宋" w:eastAsia="仿宋" w:cs="仿宋"/>
                <w:sz w:val="24"/>
                <w:highlight w:val="none"/>
              </w:rPr>
              <w:t>CNMARC字段间规则按照《新版中国机读目录格式使用手册》，支持MARC字段必备与重复字段设置，字段之间关联设置，中文自动生成拼音，多音字字库拼音自动提醒，字体大中小显示设置。关联搜索功能，根据图书题名的分词、作者名、出版社、主题词等基本信息，和搜索词进行关联，点击搜索词即可查阅关联馆藏。</w:t>
            </w:r>
          </w:p>
        </w:tc>
      </w:tr>
    </w:tbl>
    <w:p>
      <w:pPr>
        <w:numPr>
          <w:ilvl w:val="255"/>
          <w:numId w:val="0"/>
        </w:numPr>
        <w:spacing w:line="360" w:lineRule="auto"/>
        <w:ind w:firstLine="482" w:firstLineChars="200"/>
        <w:rPr>
          <w:rFonts w:ascii="仿宋" w:hAnsi="仿宋" w:eastAsia="仿宋" w:cs="仿宋"/>
          <w:b/>
          <w:bCs/>
          <w:sz w:val="24"/>
          <w:highlight w:val="none"/>
        </w:rPr>
      </w:pPr>
    </w:p>
    <w:p>
      <w:pPr>
        <w:numPr>
          <w:ilvl w:val="255"/>
          <w:numId w:val="0"/>
        </w:num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2.智慧云终端讲台</w:t>
      </w:r>
    </w:p>
    <w:tbl>
      <w:tblPr>
        <w:tblStyle w:val="62"/>
        <w:tblW w:w="0" w:type="auto"/>
        <w:tblInd w:w="96" w:type="dxa"/>
        <w:tblLayout w:type="fixed"/>
        <w:tblCellMar>
          <w:top w:w="0" w:type="dxa"/>
          <w:left w:w="108" w:type="dxa"/>
          <w:bottom w:w="0" w:type="dxa"/>
          <w:right w:w="108" w:type="dxa"/>
        </w:tblCellMar>
      </w:tblPr>
      <w:tblGrid>
        <w:gridCol w:w="730"/>
        <w:gridCol w:w="7702"/>
      </w:tblGrid>
      <w:tr>
        <w:tblPrEx>
          <w:tblCellMar>
            <w:top w:w="0" w:type="dxa"/>
            <w:left w:w="108" w:type="dxa"/>
            <w:bottom w:w="0" w:type="dxa"/>
            <w:right w:w="108" w:type="dxa"/>
          </w:tblCellMar>
        </w:tblPrEx>
        <w:trPr>
          <w:trHeight w:val="466"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b/>
                <w:bCs/>
                <w:sz w:val="24"/>
                <w:highlight w:val="none"/>
              </w:rPr>
            </w:pPr>
            <w:r>
              <w:rPr>
                <w:rFonts w:hint="eastAsia" w:ascii="仿宋" w:hAnsi="仿宋" w:eastAsia="仿宋" w:cs="仿宋"/>
                <w:b/>
                <w:bCs/>
                <w:kern w:val="0"/>
                <w:sz w:val="24"/>
                <w:highlight w:val="none"/>
                <w:lang w:bidi="ar"/>
              </w:rPr>
              <w:t>序号</w:t>
            </w:r>
          </w:p>
        </w:tc>
        <w:tc>
          <w:tcPr>
            <w:tcW w:w="7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b/>
                <w:bCs/>
                <w:sz w:val="24"/>
                <w:highlight w:val="none"/>
              </w:rPr>
            </w:pPr>
            <w:r>
              <w:rPr>
                <w:rFonts w:hint="eastAsia" w:ascii="仿宋" w:hAnsi="仿宋" w:eastAsia="仿宋" w:cs="仿宋"/>
                <w:b/>
                <w:bCs/>
                <w:kern w:val="0"/>
                <w:sz w:val="24"/>
                <w:highlight w:val="none"/>
                <w:lang w:bidi="ar"/>
              </w:rPr>
              <w:t>技术参数演示要求</w:t>
            </w:r>
          </w:p>
        </w:tc>
      </w:tr>
      <w:tr>
        <w:tblPrEx>
          <w:tblCellMar>
            <w:top w:w="0" w:type="dxa"/>
            <w:left w:w="108" w:type="dxa"/>
            <w:bottom w:w="0" w:type="dxa"/>
            <w:right w:w="108" w:type="dxa"/>
          </w:tblCellMar>
        </w:tblPrEx>
        <w:trPr>
          <w:trHeight w:val="83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1</w:t>
            </w:r>
          </w:p>
        </w:tc>
        <w:tc>
          <w:tcPr>
            <w:tcW w:w="7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24"/>
                <w:highlight w:val="none"/>
              </w:rPr>
            </w:pPr>
            <w:r>
              <w:rPr>
                <w:rFonts w:hint="eastAsia" w:ascii="仿宋" w:hAnsi="仿宋" w:eastAsia="仿宋" w:cs="仿宋"/>
                <w:sz w:val="24"/>
                <w:highlight w:val="none"/>
              </w:rPr>
              <w:t>演示桌面与屏幕一体化双面设计，一面为完整桌面，一面为电脑显示屏幕，可完成0-180°之间调节和中轴翻转。</w:t>
            </w:r>
          </w:p>
        </w:tc>
      </w:tr>
      <w:tr>
        <w:tblPrEx>
          <w:tblCellMar>
            <w:top w:w="0" w:type="dxa"/>
            <w:left w:w="108" w:type="dxa"/>
            <w:bottom w:w="0" w:type="dxa"/>
            <w:right w:w="108" w:type="dxa"/>
          </w:tblCellMar>
        </w:tblPrEx>
        <w:trPr>
          <w:trHeight w:val="1681"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2</w:t>
            </w:r>
          </w:p>
        </w:tc>
        <w:tc>
          <w:tcPr>
            <w:tcW w:w="7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24"/>
                <w:highlight w:val="none"/>
              </w:rPr>
            </w:pPr>
            <w:r>
              <w:rPr>
                <w:rFonts w:hint="eastAsia" w:ascii="仿宋" w:hAnsi="仿宋" w:eastAsia="仿宋" w:cs="仿宋"/>
                <w:sz w:val="24"/>
                <w:highlight w:val="none"/>
              </w:rPr>
              <w:t>演示显示器、主机、桌面、桌体、教师用扩展桌面连为一体，可以适用多种应用场景，收纳（笔筒）设计合理，桌面设置有多功能插座，支持220V取电、USB输入与读取，触摸屏幕向上支持多场景教学。屏幕支持专用智能手写笔进行书写画图等，具备原笔迹三维压感识别。支持一机多场景，通过手和智能笔支持书写画图、虚拟仿真实验等场景应用。</w:t>
            </w:r>
          </w:p>
        </w:tc>
      </w:tr>
      <w:tr>
        <w:tblPrEx>
          <w:tblCellMar>
            <w:top w:w="0" w:type="dxa"/>
            <w:left w:w="108" w:type="dxa"/>
            <w:bottom w:w="0" w:type="dxa"/>
            <w:right w:w="108" w:type="dxa"/>
          </w:tblCellMar>
        </w:tblPrEx>
        <w:trPr>
          <w:trHeight w:val="201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3</w:t>
            </w:r>
          </w:p>
        </w:tc>
        <w:tc>
          <w:tcPr>
            <w:tcW w:w="7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24"/>
                <w:highlight w:val="none"/>
              </w:rPr>
            </w:pPr>
            <w:r>
              <w:rPr>
                <w:rFonts w:hint="eastAsia" w:ascii="仿宋" w:hAnsi="仿宋" w:eastAsia="仿宋" w:cs="仿宋"/>
                <w:sz w:val="24"/>
                <w:highlight w:val="none"/>
              </w:rPr>
              <w:t>高度调节，通过电动升降控制器，可实现屏幕及桌面离地700mm—900mm 之间无级调节；桌面右下侧多功能升降控制器，支持一键升、降调节、实时显示桌面位置高度信息并具有高度记忆功能。屏幕面内置集成前置高清摄像头及麦克；双向控制，通过HDMI、USB数据线与黑板连接；可实现画面投屏及触控双向控制功能；使用触摸按钮，可以实现一键开关机功能，并能显示开关机状态指示功能。</w:t>
            </w:r>
          </w:p>
        </w:tc>
      </w:tr>
    </w:tbl>
    <w:p>
      <w:pPr>
        <w:jc w:val="left"/>
        <w:rPr>
          <w:rFonts w:ascii="仿宋" w:hAnsi="仿宋" w:eastAsia="仿宋" w:cs="仿宋"/>
          <w:b/>
          <w:sz w:val="36"/>
          <w:szCs w:val="36"/>
          <w:highlight w:val="none"/>
        </w:rPr>
      </w:pPr>
      <w:r>
        <w:rPr>
          <w:rFonts w:hint="eastAsia" w:ascii="仿宋" w:hAnsi="仿宋" w:eastAsia="仿宋" w:cs="仿宋"/>
          <w:b/>
          <w:sz w:val="36"/>
          <w:szCs w:val="36"/>
          <w:highlight w:val="none"/>
        </w:rPr>
        <w:br w:type="page"/>
      </w:r>
    </w:p>
    <w:p>
      <w:pPr>
        <w:wordWrap w:val="0"/>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 xml:space="preserve">第四部分 </w:t>
      </w:r>
      <w:bookmarkStart w:id="57" w:name="_Toc184308058"/>
      <w:bookmarkEnd w:id="57"/>
      <w:bookmarkStart w:id="58" w:name="_Toc184310328"/>
      <w:bookmarkEnd w:id="58"/>
      <w:bookmarkStart w:id="59" w:name="_Toc184308059"/>
      <w:bookmarkEnd w:id="59"/>
      <w:bookmarkStart w:id="60" w:name="_Toc184310323"/>
      <w:bookmarkEnd w:id="60"/>
      <w:bookmarkStart w:id="61" w:name="_Toc184312101"/>
      <w:bookmarkEnd w:id="61"/>
      <w:bookmarkStart w:id="62" w:name="_Toc184313284"/>
      <w:bookmarkEnd w:id="62"/>
      <w:bookmarkStart w:id="63" w:name="_Toc184308037"/>
      <w:bookmarkEnd w:id="63"/>
      <w:bookmarkStart w:id="64" w:name="_Toc184312072"/>
      <w:bookmarkEnd w:id="64"/>
      <w:bookmarkStart w:id="65" w:name="_Toc184308071"/>
      <w:bookmarkEnd w:id="65"/>
      <w:bookmarkStart w:id="66" w:name="_Toc184312124"/>
      <w:bookmarkEnd w:id="66"/>
      <w:bookmarkStart w:id="67" w:name="_Toc184312112"/>
      <w:bookmarkEnd w:id="67"/>
      <w:bookmarkStart w:id="68" w:name="_Toc184314454"/>
      <w:bookmarkEnd w:id="68"/>
      <w:bookmarkStart w:id="69" w:name="_Toc184313285"/>
      <w:bookmarkEnd w:id="69"/>
      <w:bookmarkStart w:id="70" w:name="_Toc184314433"/>
      <w:bookmarkEnd w:id="70"/>
      <w:bookmarkStart w:id="71" w:name="_Toc184313304"/>
      <w:bookmarkEnd w:id="71"/>
      <w:bookmarkStart w:id="72" w:name="_Toc184313266"/>
      <w:bookmarkEnd w:id="72"/>
      <w:bookmarkStart w:id="73" w:name="_Toc184314447"/>
      <w:bookmarkEnd w:id="73"/>
      <w:bookmarkStart w:id="74" w:name="_Toc184312138"/>
      <w:bookmarkEnd w:id="74"/>
      <w:bookmarkStart w:id="75" w:name="_Toc184308104"/>
      <w:bookmarkEnd w:id="75"/>
      <w:bookmarkStart w:id="76" w:name="_Toc184310324"/>
      <w:bookmarkEnd w:id="76"/>
      <w:bookmarkStart w:id="77" w:name="_Toc184308064"/>
      <w:bookmarkEnd w:id="77"/>
      <w:bookmarkStart w:id="78" w:name="_Toc184313308"/>
      <w:bookmarkEnd w:id="78"/>
      <w:bookmarkStart w:id="79" w:name="_Toc184310325"/>
      <w:bookmarkEnd w:id="79"/>
      <w:bookmarkStart w:id="80" w:name="_Toc184313275"/>
      <w:bookmarkEnd w:id="80"/>
      <w:bookmarkStart w:id="81" w:name="_Toc184312107"/>
      <w:bookmarkEnd w:id="81"/>
      <w:bookmarkStart w:id="82" w:name="_Toc184310309"/>
      <w:bookmarkEnd w:id="82"/>
      <w:bookmarkStart w:id="83" w:name="_Toc184310282"/>
      <w:bookmarkEnd w:id="83"/>
      <w:bookmarkStart w:id="84" w:name="_Toc184313280"/>
      <w:bookmarkEnd w:id="84"/>
      <w:bookmarkStart w:id="85" w:name="_Toc184314422"/>
      <w:bookmarkEnd w:id="85"/>
      <w:bookmarkStart w:id="86" w:name="_Toc184312102"/>
      <w:bookmarkEnd w:id="86"/>
      <w:bookmarkStart w:id="87" w:name="_Toc184313260"/>
      <w:bookmarkEnd w:id="87"/>
      <w:bookmarkStart w:id="88" w:name="_Toc184314418"/>
      <w:bookmarkEnd w:id="88"/>
      <w:bookmarkStart w:id="89" w:name="_Toc184310288"/>
      <w:bookmarkEnd w:id="89"/>
      <w:bookmarkStart w:id="90" w:name="_Toc184310338"/>
      <w:bookmarkEnd w:id="90"/>
      <w:bookmarkStart w:id="91" w:name="_Toc184308065"/>
      <w:bookmarkEnd w:id="91"/>
      <w:bookmarkStart w:id="92" w:name="_Toc184312083"/>
      <w:bookmarkEnd w:id="92"/>
      <w:bookmarkStart w:id="93" w:name="_Toc184313247"/>
      <w:bookmarkEnd w:id="93"/>
      <w:bookmarkStart w:id="94" w:name="_Toc184308051"/>
      <w:bookmarkEnd w:id="94"/>
      <w:bookmarkStart w:id="95" w:name="_Toc184312108"/>
      <w:bookmarkEnd w:id="95"/>
      <w:bookmarkStart w:id="96" w:name="_Toc184314426"/>
      <w:bookmarkEnd w:id="96"/>
      <w:bookmarkStart w:id="97" w:name="_Toc184314419"/>
      <w:bookmarkEnd w:id="97"/>
      <w:bookmarkStart w:id="98" w:name="_Toc184308060"/>
      <w:bookmarkEnd w:id="98"/>
      <w:bookmarkStart w:id="99" w:name="_Toc184313297"/>
      <w:bookmarkEnd w:id="99"/>
      <w:bookmarkStart w:id="100" w:name="_Toc184313267"/>
      <w:bookmarkEnd w:id="100"/>
      <w:bookmarkStart w:id="101" w:name="_Toc184313277"/>
      <w:bookmarkEnd w:id="101"/>
      <w:bookmarkStart w:id="102" w:name="_Toc184310320"/>
      <w:bookmarkEnd w:id="102"/>
      <w:bookmarkStart w:id="103" w:name="_Toc184314452"/>
      <w:bookmarkEnd w:id="103"/>
      <w:bookmarkStart w:id="104" w:name="_Toc184310276"/>
      <w:bookmarkEnd w:id="104"/>
      <w:bookmarkStart w:id="105" w:name="_Toc184314413"/>
      <w:bookmarkEnd w:id="105"/>
      <w:bookmarkStart w:id="106" w:name="_Toc184308042"/>
      <w:bookmarkEnd w:id="106"/>
      <w:bookmarkStart w:id="107" w:name="_Toc184313281"/>
      <w:bookmarkEnd w:id="107"/>
      <w:bookmarkStart w:id="108" w:name="_Toc184310322"/>
      <w:bookmarkEnd w:id="108"/>
      <w:bookmarkStart w:id="109" w:name="_Toc184308068"/>
      <w:bookmarkEnd w:id="109"/>
      <w:bookmarkStart w:id="110" w:name="_Toc184308086"/>
      <w:bookmarkEnd w:id="110"/>
      <w:bookmarkStart w:id="111" w:name="_Toc184312113"/>
      <w:bookmarkEnd w:id="111"/>
      <w:bookmarkStart w:id="112" w:name="_Toc184313278"/>
      <w:bookmarkEnd w:id="112"/>
      <w:bookmarkStart w:id="113" w:name="_Toc184308078"/>
      <w:bookmarkEnd w:id="113"/>
      <w:bookmarkStart w:id="114" w:name="_Toc184312073"/>
      <w:bookmarkEnd w:id="114"/>
      <w:bookmarkStart w:id="115" w:name="_Toc184313254"/>
      <w:bookmarkEnd w:id="115"/>
      <w:bookmarkStart w:id="116" w:name="_Toc184308048"/>
      <w:bookmarkEnd w:id="116"/>
      <w:bookmarkStart w:id="117" w:name="_Toc184308074"/>
      <w:bookmarkEnd w:id="117"/>
      <w:bookmarkStart w:id="118" w:name="_Toc184312131"/>
      <w:bookmarkEnd w:id="118"/>
      <w:bookmarkStart w:id="119" w:name="_Toc184314436"/>
      <w:bookmarkEnd w:id="119"/>
      <w:bookmarkStart w:id="120" w:name="_Toc184310310"/>
      <w:bookmarkEnd w:id="120"/>
      <w:bookmarkStart w:id="121" w:name="_Toc184313259"/>
      <w:bookmarkEnd w:id="121"/>
      <w:bookmarkStart w:id="122" w:name="_Toc184314438"/>
      <w:bookmarkEnd w:id="122"/>
      <w:bookmarkStart w:id="123" w:name="_Toc184314471"/>
      <w:bookmarkEnd w:id="123"/>
      <w:bookmarkStart w:id="124" w:name="_Toc184310343"/>
      <w:bookmarkEnd w:id="124"/>
      <w:bookmarkStart w:id="125" w:name="_Toc184310301"/>
      <w:bookmarkEnd w:id="125"/>
      <w:bookmarkStart w:id="126" w:name="_Toc184313274"/>
      <w:bookmarkEnd w:id="126"/>
      <w:bookmarkStart w:id="127" w:name="_Toc184313258"/>
      <w:bookmarkEnd w:id="127"/>
      <w:bookmarkStart w:id="128" w:name="_Toc184314446"/>
      <w:bookmarkEnd w:id="128"/>
      <w:bookmarkStart w:id="129" w:name="_Toc184310326"/>
      <w:bookmarkEnd w:id="129"/>
      <w:bookmarkStart w:id="130" w:name="_Toc184310344"/>
      <w:bookmarkEnd w:id="130"/>
      <w:bookmarkStart w:id="131" w:name="_Toc184308093"/>
      <w:bookmarkEnd w:id="131"/>
      <w:bookmarkStart w:id="132" w:name="_Toc184308100"/>
      <w:bookmarkEnd w:id="132"/>
      <w:bookmarkStart w:id="133" w:name="_Toc184312126"/>
      <w:bookmarkEnd w:id="133"/>
      <w:bookmarkStart w:id="134" w:name="_Toc184314411"/>
      <w:bookmarkEnd w:id="134"/>
      <w:bookmarkStart w:id="135" w:name="_Toc184310290"/>
      <w:bookmarkEnd w:id="135"/>
      <w:bookmarkStart w:id="136" w:name="_Toc184314468"/>
      <w:bookmarkEnd w:id="136"/>
      <w:bookmarkStart w:id="137" w:name="_Toc184314450"/>
      <w:bookmarkEnd w:id="137"/>
      <w:bookmarkStart w:id="138" w:name="_Toc184308076"/>
      <w:bookmarkEnd w:id="138"/>
      <w:bookmarkStart w:id="139" w:name="_Toc184314441"/>
      <w:bookmarkEnd w:id="139"/>
      <w:bookmarkStart w:id="140" w:name="_Toc184313249"/>
      <w:bookmarkEnd w:id="140"/>
      <w:bookmarkStart w:id="141" w:name="_Toc184312116"/>
      <w:bookmarkEnd w:id="141"/>
      <w:bookmarkStart w:id="142" w:name="_Toc184310298"/>
      <w:bookmarkEnd w:id="142"/>
      <w:bookmarkStart w:id="143" w:name="_Toc184310274"/>
      <w:bookmarkEnd w:id="143"/>
      <w:bookmarkStart w:id="144" w:name="_Toc184308108"/>
      <w:bookmarkEnd w:id="144"/>
      <w:bookmarkStart w:id="145" w:name="_Toc184312084"/>
      <w:bookmarkEnd w:id="145"/>
      <w:bookmarkStart w:id="146" w:name="_Toc184314430"/>
      <w:bookmarkEnd w:id="146"/>
      <w:bookmarkStart w:id="147" w:name="_Toc184312129"/>
      <w:bookmarkEnd w:id="147"/>
      <w:bookmarkStart w:id="148" w:name="_Toc184312110"/>
      <w:bookmarkEnd w:id="148"/>
      <w:bookmarkStart w:id="149" w:name="_Toc184308091"/>
      <w:bookmarkEnd w:id="149"/>
      <w:bookmarkStart w:id="150" w:name="_Toc184314461"/>
      <w:bookmarkEnd w:id="150"/>
      <w:bookmarkStart w:id="151" w:name="_Toc184312137"/>
      <w:bookmarkEnd w:id="151"/>
      <w:bookmarkStart w:id="152" w:name="_Toc184313242"/>
      <w:bookmarkEnd w:id="152"/>
      <w:bookmarkStart w:id="153" w:name="_Toc184308049"/>
      <w:bookmarkEnd w:id="153"/>
      <w:bookmarkStart w:id="154" w:name="_Toc184314434"/>
      <w:bookmarkEnd w:id="154"/>
      <w:bookmarkStart w:id="155" w:name="_Toc184314476"/>
      <w:bookmarkEnd w:id="155"/>
      <w:bookmarkStart w:id="156" w:name="_Toc184313273"/>
      <w:bookmarkEnd w:id="156"/>
      <w:bookmarkStart w:id="157" w:name="_Toc184310342"/>
      <w:bookmarkEnd w:id="157"/>
      <w:bookmarkStart w:id="158" w:name="_Toc184308056"/>
      <w:bookmarkEnd w:id="158"/>
      <w:bookmarkStart w:id="159" w:name="_Toc184310293"/>
      <w:bookmarkEnd w:id="159"/>
      <w:bookmarkStart w:id="160" w:name="_Toc184310332"/>
      <w:bookmarkEnd w:id="160"/>
      <w:bookmarkStart w:id="161" w:name="_Toc184312095"/>
      <w:bookmarkEnd w:id="161"/>
      <w:bookmarkStart w:id="162" w:name="_Toc184314427"/>
      <w:bookmarkEnd w:id="162"/>
      <w:bookmarkStart w:id="163" w:name="_Toc184308084"/>
      <w:bookmarkEnd w:id="163"/>
      <w:bookmarkStart w:id="164" w:name="_Toc184312135"/>
      <w:bookmarkEnd w:id="164"/>
      <w:bookmarkStart w:id="165" w:name="_Toc184314444"/>
      <w:bookmarkEnd w:id="165"/>
      <w:bookmarkStart w:id="166" w:name="_Toc184312074"/>
      <w:bookmarkEnd w:id="166"/>
      <w:bookmarkStart w:id="167" w:name="_Toc184310327"/>
      <w:bookmarkEnd w:id="167"/>
      <w:bookmarkStart w:id="168" w:name="_Toc184313271"/>
      <w:bookmarkEnd w:id="168"/>
      <w:bookmarkStart w:id="169" w:name="_Toc184312120"/>
      <w:bookmarkEnd w:id="169"/>
      <w:bookmarkStart w:id="170" w:name="_Toc184310319"/>
      <w:bookmarkEnd w:id="170"/>
      <w:bookmarkStart w:id="171" w:name="_Toc184314467"/>
      <w:bookmarkEnd w:id="171"/>
      <w:bookmarkStart w:id="172" w:name="_Toc184314457"/>
      <w:bookmarkEnd w:id="172"/>
      <w:bookmarkStart w:id="173" w:name="_Toc184310312"/>
      <w:bookmarkEnd w:id="173"/>
      <w:bookmarkStart w:id="174" w:name="_Toc184312082"/>
      <w:bookmarkEnd w:id="174"/>
      <w:bookmarkStart w:id="175" w:name="_Toc184313246"/>
      <w:bookmarkEnd w:id="175"/>
      <w:bookmarkStart w:id="176" w:name="_Toc184308082"/>
      <w:bookmarkEnd w:id="176"/>
      <w:bookmarkStart w:id="177" w:name="_Toc184312117"/>
      <w:bookmarkEnd w:id="177"/>
      <w:bookmarkStart w:id="178" w:name="_Toc184313292"/>
      <w:bookmarkEnd w:id="178"/>
      <w:bookmarkStart w:id="179" w:name="_Toc184312088"/>
      <w:bookmarkEnd w:id="179"/>
      <w:bookmarkStart w:id="180" w:name="_Toc184310296"/>
      <w:bookmarkEnd w:id="180"/>
      <w:bookmarkStart w:id="181" w:name="_Toc184312132"/>
      <w:bookmarkEnd w:id="181"/>
      <w:bookmarkStart w:id="182" w:name="_Toc184308101"/>
      <w:bookmarkEnd w:id="182"/>
      <w:bookmarkStart w:id="183" w:name="_Toc184310299"/>
      <w:bookmarkEnd w:id="183"/>
      <w:bookmarkStart w:id="184" w:name="_Toc184314440"/>
      <w:bookmarkEnd w:id="184"/>
      <w:bookmarkStart w:id="185" w:name="_Toc184308067"/>
      <w:bookmarkEnd w:id="185"/>
      <w:bookmarkStart w:id="186" w:name="_Toc184310308"/>
      <w:bookmarkEnd w:id="186"/>
      <w:bookmarkStart w:id="187" w:name="_Toc184308041"/>
      <w:bookmarkEnd w:id="187"/>
      <w:bookmarkStart w:id="188" w:name="_Toc184314423"/>
      <w:bookmarkEnd w:id="188"/>
      <w:bookmarkStart w:id="189" w:name="_Toc184313306"/>
      <w:bookmarkEnd w:id="189"/>
      <w:bookmarkStart w:id="190" w:name="_Toc184308106"/>
      <w:bookmarkEnd w:id="190"/>
      <w:bookmarkStart w:id="191" w:name="_Toc184308063"/>
      <w:bookmarkEnd w:id="191"/>
      <w:bookmarkStart w:id="192" w:name="_Toc184314479"/>
      <w:bookmarkEnd w:id="192"/>
      <w:bookmarkStart w:id="193" w:name="_Toc184314473"/>
      <w:bookmarkEnd w:id="193"/>
      <w:bookmarkStart w:id="194" w:name="_Toc184310318"/>
      <w:bookmarkEnd w:id="194"/>
      <w:bookmarkStart w:id="195" w:name="_Toc184314420"/>
      <w:bookmarkEnd w:id="195"/>
      <w:bookmarkStart w:id="196" w:name="_Toc184313272"/>
      <w:bookmarkEnd w:id="196"/>
      <w:bookmarkStart w:id="197" w:name="_Toc184310277"/>
      <w:bookmarkEnd w:id="197"/>
      <w:bookmarkStart w:id="198" w:name="_Toc184310294"/>
      <w:bookmarkEnd w:id="198"/>
      <w:bookmarkStart w:id="199" w:name="_Toc184313250"/>
      <w:bookmarkEnd w:id="199"/>
      <w:bookmarkStart w:id="200" w:name="_Toc184308073"/>
      <w:bookmarkEnd w:id="200"/>
      <w:bookmarkStart w:id="201" w:name="_Toc184310314"/>
      <w:bookmarkEnd w:id="201"/>
      <w:bookmarkStart w:id="202" w:name="_Toc184313269"/>
      <w:bookmarkEnd w:id="202"/>
      <w:bookmarkStart w:id="203" w:name="_Toc184313255"/>
      <w:bookmarkEnd w:id="203"/>
      <w:bookmarkStart w:id="204" w:name="_Toc184314443"/>
      <w:bookmarkEnd w:id="204"/>
      <w:bookmarkStart w:id="205" w:name="_Toc184313300"/>
      <w:bookmarkEnd w:id="205"/>
      <w:bookmarkStart w:id="206" w:name="_Toc184314470"/>
      <w:bookmarkEnd w:id="206"/>
      <w:bookmarkStart w:id="207" w:name="_Toc184312067"/>
      <w:bookmarkEnd w:id="207"/>
      <w:bookmarkStart w:id="208" w:name="_Toc184310292"/>
      <w:bookmarkEnd w:id="208"/>
      <w:bookmarkStart w:id="209" w:name="_Toc184312099"/>
      <w:bookmarkEnd w:id="209"/>
      <w:bookmarkStart w:id="210" w:name="_Toc184310341"/>
      <w:bookmarkEnd w:id="210"/>
      <w:bookmarkStart w:id="211" w:name="_Toc184313283"/>
      <w:bookmarkEnd w:id="211"/>
      <w:bookmarkStart w:id="212" w:name="_Toc184312139"/>
      <w:bookmarkEnd w:id="212"/>
      <w:bookmarkStart w:id="213" w:name="_Toc184313276"/>
      <w:bookmarkEnd w:id="213"/>
      <w:bookmarkStart w:id="214" w:name="_Toc184308103"/>
      <w:bookmarkEnd w:id="214"/>
      <w:bookmarkStart w:id="215" w:name="_Toc184313261"/>
      <w:bookmarkEnd w:id="215"/>
      <w:bookmarkStart w:id="216" w:name="_Toc184312094"/>
      <w:bookmarkEnd w:id="216"/>
      <w:bookmarkStart w:id="217" w:name="_Toc184313290"/>
      <w:bookmarkEnd w:id="217"/>
      <w:bookmarkStart w:id="218" w:name="_Toc184310333"/>
      <w:bookmarkEnd w:id="218"/>
      <w:bookmarkStart w:id="219" w:name="_Toc184312076"/>
      <w:bookmarkEnd w:id="219"/>
      <w:bookmarkStart w:id="220" w:name="_Toc184308079"/>
      <w:bookmarkEnd w:id="220"/>
      <w:bookmarkStart w:id="221" w:name="_Toc184308046"/>
      <w:bookmarkEnd w:id="221"/>
      <w:bookmarkStart w:id="222" w:name="_Toc184312070"/>
      <w:bookmarkEnd w:id="222"/>
      <w:bookmarkStart w:id="223" w:name="_Toc184308044"/>
      <w:bookmarkEnd w:id="223"/>
      <w:bookmarkStart w:id="224" w:name="_Toc184310273"/>
      <w:bookmarkEnd w:id="224"/>
      <w:bookmarkStart w:id="225" w:name="_Toc184313305"/>
      <w:bookmarkEnd w:id="225"/>
      <w:bookmarkStart w:id="226" w:name="_Toc184312078"/>
      <w:bookmarkEnd w:id="226"/>
      <w:bookmarkStart w:id="227" w:name="_Toc184308099"/>
      <w:bookmarkEnd w:id="227"/>
      <w:bookmarkStart w:id="228" w:name="_Toc184310283"/>
      <w:bookmarkEnd w:id="228"/>
      <w:bookmarkStart w:id="229" w:name="_Toc184310302"/>
      <w:bookmarkEnd w:id="229"/>
      <w:bookmarkStart w:id="230" w:name="_Toc184308066"/>
      <w:bookmarkEnd w:id="230"/>
      <w:bookmarkStart w:id="231" w:name="_Toc184314414"/>
      <w:bookmarkEnd w:id="231"/>
      <w:bookmarkStart w:id="232" w:name="_Toc184312080"/>
      <w:bookmarkEnd w:id="232"/>
      <w:bookmarkStart w:id="233" w:name="_Toc184312114"/>
      <w:bookmarkEnd w:id="233"/>
      <w:bookmarkStart w:id="234" w:name="_Toc184310315"/>
      <w:bookmarkEnd w:id="234"/>
      <w:bookmarkStart w:id="235" w:name="_Toc184314424"/>
      <w:bookmarkEnd w:id="235"/>
      <w:bookmarkStart w:id="236" w:name="_Toc184314458"/>
      <w:bookmarkEnd w:id="236"/>
      <w:bookmarkStart w:id="237" w:name="_Toc184313298"/>
      <w:bookmarkEnd w:id="237"/>
      <w:bookmarkStart w:id="238" w:name="_Toc184313291"/>
      <w:bookmarkEnd w:id="238"/>
      <w:bookmarkStart w:id="239" w:name="_Toc184313270"/>
      <w:bookmarkEnd w:id="239"/>
      <w:bookmarkStart w:id="240" w:name="_Toc184314421"/>
      <w:bookmarkEnd w:id="240"/>
      <w:bookmarkStart w:id="241" w:name="_Toc184310289"/>
      <w:bookmarkEnd w:id="241"/>
      <w:bookmarkStart w:id="242" w:name="_Toc184312089"/>
      <w:bookmarkEnd w:id="242"/>
      <w:bookmarkStart w:id="243" w:name="_Toc184314463"/>
      <w:bookmarkEnd w:id="243"/>
      <w:bookmarkStart w:id="244" w:name="_Toc184313296"/>
      <w:bookmarkEnd w:id="244"/>
      <w:bookmarkStart w:id="245" w:name="_Toc184310304"/>
      <w:bookmarkEnd w:id="245"/>
      <w:bookmarkStart w:id="246" w:name="_Toc184312085"/>
      <w:bookmarkEnd w:id="246"/>
      <w:bookmarkStart w:id="247" w:name="_Toc184308105"/>
      <w:bookmarkEnd w:id="247"/>
      <w:bookmarkStart w:id="248" w:name="_Toc184313257"/>
      <w:bookmarkEnd w:id="248"/>
      <w:bookmarkStart w:id="249" w:name="_Toc184312093"/>
      <w:bookmarkEnd w:id="249"/>
      <w:bookmarkStart w:id="250" w:name="_Toc184314475"/>
      <w:bookmarkEnd w:id="250"/>
      <w:bookmarkStart w:id="251" w:name="_Toc184313289"/>
      <w:bookmarkEnd w:id="251"/>
      <w:bookmarkStart w:id="252" w:name="_Toc184310275"/>
      <w:bookmarkEnd w:id="252"/>
      <w:bookmarkStart w:id="253" w:name="_Toc184314481"/>
      <w:bookmarkEnd w:id="253"/>
      <w:bookmarkStart w:id="254" w:name="_Toc184310291"/>
      <w:bookmarkEnd w:id="254"/>
      <w:bookmarkStart w:id="255" w:name="_Toc184310303"/>
      <w:bookmarkEnd w:id="255"/>
      <w:bookmarkStart w:id="256" w:name="_Toc184308043"/>
      <w:bookmarkEnd w:id="256"/>
      <w:bookmarkStart w:id="257" w:name="_Toc184312133"/>
      <w:bookmarkEnd w:id="257"/>
      <w:bookmarkStart w:id="258" w:name="_Toc184313302"/>
      <w:bookmarkEnd w:id="258"/>
      <w:bookmarkStart w:id="259" w:name="_Toc184312125"/>
      <w:bookmarkEnd w:id="259"/>
      <w:bookmarkStart w:id="260" w:name="_Toc184314429"/>
      <w:bookmarkEnd w:id="260"/>
      <w:bookmarkStart w:id="261" w:name="_Toc184314442"/>
      <w:bookmarkEnd w:id="261"/>
      <w:bookmarkStart w:id="262" w:name="_Toc184313295"/>
      <w:bookmarkEnd w:id="262"/>
      <w:bookmarkStart w:id="263" w:name="_Toc184312081"/>
      <w:bookmarkEnd w:id="263"/>
      <w:bookmarkStart w:id="264" w:name="_Toc184308072"/>
      <w:bookmarkEnd w:id="264"/>
      <w:bookmarkStart w:id="265" w:name="_Toc184314445"/>
      <w:bookmarkEnd w:id="265"/>
      <w:bookmarkStart w:id="266" w:name="_Toc184310313"/>
      <w:bookmarkEnd w:id="266"/>
      <w:bookmarkStart w:id="267" w:name="_Toc184312077"/>
      <w:bookmarkEnd w:id="267"/>
      <w:bookmarkStart w:id="268" w:name="_Toc184308102"/>
      <w:bookmarkEnd w:id="268"/>
      <w:bookmarkStart w:id="269" w:name="_Toc184314435"/>
      <w:bookmarkEnd w:id="269"/>
      <w:bookmarkStart w:id="270" w:name="_Toc184308088"/>
      <w:bookmarkEnd w:id="270"/>
      <w:bookmarkStart w:id="271" w:name="_Toc184314474"/>
      <w:bookmarkEnd w:id="271"/>
      <w:bookmarkStart w:id="272" w:name="_Toc184314449"/>
      <w:bookmarkEnd w:id="272"/>
      <w:bookmarkStart w:id="273" w:name="_Toc184310331"/>
      <w:bookmarkEnd w:id="273"/>
      <w:bookmarkStart w:id="274" w:name="_Toc184310330"/>
      <w:bookmarkEnd w:id="274"/>
      <w:bookmarkStart w:id="275" w:name="_Toc184314425"/>
      <w:bookmarkEnd w:id="275"/>
      <w:bookmarkStart w:id="276" w:name="_Toc184308089"/>
      <w:bookmarkEnd w:id="276"/>
      <w:bookmarkStart w:id="277" w:name="_Toc184310300"/>
      <w:bookmarkEnd w:id="277"/>
      <w:bookmarkStart w:id="278" w:name="_Toc184308047"/>
      <w:bookmarkEnd w:id="278"/>
      <w:bookmarkStart w:id="279" w:name="_Toc184308107"/>
      <w:bookmarkEnd w:id="279"/>
      <w:bookmarkStart w:id="280" w:name="_Toc184312086"/>
      <w:bookmarkEnd w:id="280"/>
      <w:bookmarkStart w:id="281" w:name="_Toc184312119"/>
      <w:bookmarkEnd w:id="281"/>
      <w:bookmarkStart w:id="282" w:name="_Toc184310334"/>
      <w:bookmarkEnd w:id="282"/>
      <w:bookmarkStart w:id="283" w:name="_Toc184312106"/>
      <w:bookmarkEnd w:id="283"/>
      <w:bookmarkStart w:id="284" w:name="_Toc184310285"/>
      <w:bookmarkEnd w:id="284"/>
      <w:bookmarkStart w:id="285" w:name="_Toc184314428"/>
      <w:bookmarkEnd w:id="285"/>
      <w:bookmarkStart w:id="286" w:name="_Toc184308083"/>
      <w:bookmarkEnd w:id="286"/>
      <w:bookmarkStart w:id="287" w:name="_Toc184313245"/>
      <w:bookmarkEnd w:id="287"/>
      <w:bookmarkStart w:id="288" w:name="_Toc184314460"/>
      <w:bookmarkEnd w:id="288"/>
      <w:bookmarkStart w:id="289" w:name="_Toc184313287"/>
      <w:bookmarkEnd w:id="289"/>
      <w:bookmarkStart w:id="290" w:name="_Toc184310297"/>
      <w:bookmarkEnd w:id="290"/>
      <w:bookmarkStart w:id="291" w:name="_Toc184310278"/>
      <w:bookmarkEnd w:id="291"/>
      <w:bookmarkStart w:id="292" w:name="_Toc184312128"/>
      <w:bookmarkEnd w:id="292"/>
      <w:bookmarkStart w:id="293" w:name="_Toc184308053"/>
      <w:bookmarkEnd w:id="293"/>
      <w:bookmarkStart w:id="294" w:name="_Toc184312096"/>
      <w:bookmarkEnd w:id="294"/>
      <w:bookmarkStart w:id="295" w:name="_Toc184313265"/>
      <w:bookmarkEnd w:id="295"/>
      <w:bookmarkStart w:id="296" w:name="_Toc184314456"/>
      <w:bookmarkEnd w:id="296"/>
      <w:bookmarkStart w:id="297" w:name="_Toc184314465"/>
      <w:bookmarkEnd w:id="297"/>
      <w:bookmarkStart w:id="298" w:name="_Toc184312069"/>
      <w:bookmarkEnd w:id="298"/>
      <w:bookmarkStart w:id="299" w:name="_Toc184314478"/>
      <w:bookmarkEnd w:id="299"/>
      <w:bookmarkStart w:id="300" w:name="_Toc184312068"/>
      <w:bookmarkEnd w:id="300"/>
      <w:bookmarkStart w:id="301" w:name="_Toc184312136"/>
      <w:bookmarkEnd w:id="301"/>
      <w:bookmarkStart w:id="302" w:name="_Toc184310307"/>
      <w:bookmarkEnd w:id="302"/>
      <w:bookmarkStart w:id="303" w:name="_Toc184313263"/>
      <w:bookmarkEnd w:id="303"/>
      <w:bookmarkStart w:id="304" w:name="_Toc184310284"/>
      <w:bookmarkEnd w:id="304"/>
      <w:bookmarkStart w:id="305" w:name="_Toc184308097"/>
      <w:bookmarkEnd w:id="305"/>
      <w:bookmarkStart w:id="306" w:name="_Toc184308075"/>
      <w:bookmarkEnd w:id="306"/>
      <w:bookmarkStart w:id="307" w:name="_Toc184314459"/>
      <w:bookmarkEnd w:id="307"/>
      <w:bookmarkStart w:id="308" w:name="_Toc184314432"/>
      <w:bookmarkEnd w:id="308"/>
      <w:bookmarkStart w:id="309" w:name="_Toc184308077"/>
      <w:bookmarkEnd w:id="309"/>
      <w:bookmarkStart w:id="310" w:name="_Toc184314417"/>
      <w:bookmarkEnd w:id="310"/>
      <w:bookmarkStart w:id="311" w:name="_Toc184312134"/>
      <w:bookmarkEnd w:id="311"/>
      <w:bookmarkStart w:id="312" w:name="_Toc184312079"/>
      <w:bookmarkEnd w:id="312"/>
      <w:bookmarkStart w:id="313" w:name="_Toc184314477"/>
      <w:bookmarkEnd w:id="313"/>
      <w:bookmarkStart w:id="314" w:name="_Toc184312090"/>
      <w:bookmarkEnd w:id="314"/>
      <w:bookmarkStart w:id="315" w:name="_Toc184312092"/>
      <w:bookmarkEnd w:id="315"/>
      <w:bookmarkStart w:id="316" w:name="_Toc184312100"/>
      <w:bookmarkEnd w:id="316"/>
      <w:bookmarkStart w:id="317" w:name="_Toc184313262"/>
      <w:bookmarkEnd w:id="317"/>
      <w:bookmarkStart w:id="318" w:name="_Toc184313253"/>
      <w:bookmarkEnd w:id="318"/>
      <w:bookmarkStart w:id="319" w:name="_Toc184312071"/>
      <w:bookmarkEnd w:id="319"/>
      <w:bookmarkStart w:id="320" w:name="_Toc184310335"/>
      <w:bookmarkEnd w:id="320"/>
      <w:bookmarkStart w:id="321" w:name="_Toc184310305"/>
      <w:bookmarkEnd w:id="321"/>
      <w:bookmarkStart w:id="322" w:name="_Toc184310287"/>
      <w:bookmarkEnd w:id="322"/>
      <w:bookmarkStart w:id="323" w:name="_Toc184310321"/>
      <w:bookmarkEnd w:id="323"/>
      <w:bookmarkStart w:id="324" w:name="_Toc184314448"/>
      <w:bookmarkEnd w:id="324"/>
      <w:bookmarkStart w:id="325" w:name="_Toc184308045"/>
      <w:bookmarkEnd w:id="325"/>
      <w:bookmarkStart w:id="326" w:name="_Toc184308054"/>
      <w:bookmarkEnd w:id="326"/>
      <w:bookmarkStart w:id="327" w:name="_Toc184312127"/>
      <w:bookmarkEnd w:id="327"/>
      <w:bookmarkStart w:id="328" w:name="_Toc184310272"/>
      <w:bookmarkEnd w:id="328"/>
      <w:bookmarkStart w:id="329" w:name="_Toc184310311"/>
      <w:bookmarkEnd w:id="329"/>
      <w:bookmarkStart w:id="330" w:name="_Toc184313279"/>
      <w:bookmarkEnd w:id="330"/>
      <w:bookmarkStart w:id="331" w:name="_Toc184308052"/>
      <w:bookmarkEnd w:id="331"/>
      <w:bookmarkStart w:id="332" w:name="_Toc184313238"/>
      <w:bookmarkEnd w:id="332"/>
      <w:bookmarkStart w:id="333" w:name="_Toc184312111"/>
      <w:bookmarkEnd w:id="333"/>
      <w:bookmarkStart w:id="334" w:name="_Toc184313294"/>
      <w:bookmarkEnd w:id="334"/>
      <w:bookmarkStart w:id="335" w:name="_Toc184308040"/>
      <w:bookmarkEnd w:id="335"/>
      <w:bookmarkStart w:id="336" w:name="_Toc184308062"/>
      <w:bookmarkEnd w:id="336"/>
      <w:bookmarkStart w:id="337" w:name="_Toc184310339"/>
      <w:bookmarkEnd w:id="337"/>
      <w:bookmarkStart w:id="338" w:name="_Toc184313256"/>
      <w:bookmarkEnd w:id="338"/>
      <w:bookmarkStart w:id="339" w:name="_Toc184312105"/>
      <w:bookmarkEnd w:id="339"/>
      <w:bookmarkStart w:id="340" w:name="_Toc184314462"/>
      <w:bookmarkEnd w:id="340"/>
      <w:bookmarkStart w:id="341" w:name="_Toc184308080"/>
      <w:bookmarkEnd w:id="341"/>
      <w:bookmarkStart w:id="342" w:name="_Toc184312122"/>
      <w:bookmarkEnd w:id="342"/>
      <w:bookmarkStart w:id="343" w:name="_Toc184314439"/>
      <w:bookmarkEnd w:id="343"/>
      <w:bookmarkStart w:id="344" w:name="_Toc184313309"/>
      <w:bookmarkEnd w:id="344"/>
      <w:bookmarkStart w:id="345" w:name="_Toc184308096"/>
      <w:bookmarkEnd w:id="345"/>
      <w:bookmarkStart w:id="346" w:name="_Toc184313251"/>
      <w:bookmarkEnd w:id="346"/>
      <w:bookmarkStart w:id="347" w:name="_Toc184313293"/>
      <w:bookmarkEnd w:id="347"/>
      <w:bookmarkStart w:id="348" w:name="_Toc184310306"/>
      <w:bookmarkEnd w:id="348"/>
      <w:bookmarkStart w:id="349" w:name="_Toc184308070"/>
      <w:bookmarkEnd w:id="349"/>
      <w:bookmarkStart w:id="350" w:name="_Toc184314416"/>
      <w:bookmarkEnd w:id="350"/>
      <w:bookmarkStart w:id="351" w:name="_Toc184313301"/>
      <w:bookmarkEnd w:id="351"/>
      <w:bookmarkStart w:id="352" w:name="_Toc184308087"/>
      <w:bookmarkEnd w:id="352"/>
      <w:bookmarkStart w:id="353" w:name="_Toc184313239"/>
      <w:bookmarkEnd w:id="353"/>
      <w:bookmarkStart w:id="354" w:name="_Toc184314451"/>
      <w:bookmarkEnd w:id="354"/>
      <w:bookmarkStart w:id="355" w:name="_Toc184312115"/>
      <w:bookmarkEnd w:id="355"/>
      <w:bookmarkStart w:id="356" w:name="_Toc184313241"/>
      <w:bookmarkEnd w:id="356"/>
      <w:bookmarkStart w:id="357" w:name="_Toc184308095"/>
      <w:bookmarkEnd w:id="357"/>
      <w:bookmarkStart w:id="358" w:name="_Toc184313268"/>
      <w:bookmarkEnd w:id="358"/>
      <w:bookmarkStart w:id="359" w:name="_Toc184313243"/>
      <w:bookmarkEnd w:id="359"/>
      <w:bookmarkStart w:id="360" w:name="_Toc184308090"/>
      <w:bookmarkEnd w:id="360"/>
      <w:bookmarkStart w:id="361" w:name="_Toc184310279"/>
      <w:bookmarkEnd w:id="361"/>
      <w:bookmarkStart w:id="362" w:name="_Toc184314415"/>
      <w:bookmarkEnd w:id="362"/>
      <w:bookmarkStart w:id="363" w:name="_Toc184308085"/>
      <w:bookmarkEnd w:id="363"/>
      <w:bookmarkStart w:id="364" w:name="_Toc184313282"/>
      <w:bookmarkEnd w:id="364"/>
      <w:bookmarkStart w:id="365" w:name="_Toc184314453"/>
      <w:bookmarkEnd w:id="365"/>
      <w:bookmarkStart w:id="366" w:name="_Toc184313252"/>
      <w:bookmarkEnd w:id="366"/>
      <w:bookmarkStart w:id="367" w:name="_Toc184310286"/>
      <w:bookmarkEnd w:id="367"/>
      <w:bookmarkStart w:id="368" w:name="_Toc184310340"/>
      <w:bookmarkEnd w:id="368"/>
      <w:bookmarkStart w:id="369" w:name="_Toc184308038"/>
      <w:bookmarkEnd w:id="369"/>
      <w:bookmarkStart w:id="370" w:name="_Toc184312097"/>
      <w:bookmarkEnd w:id="370"/>
      <w:bookmarkStart w:id="371" w:name="_Toc184312103"/>
      <w:bookmarkEnd w:id="371"/>
      <w:bookmarkStart w:id="372" w:name="_Toc184312121"/>
      <w:bookmarkEnd w:id="372"/>
      <w:bookmarkStart w:id="373" w:name="_Toc184310336"/>
      <w:bookmarkEnd w:id="373"/>
      <w:bookmarkStart w:id="374" w:name="_Toc184314410"/>
      <w:bookmarkEnd w:id="374"/>
      <w:bookmarkStart w:id="375" w:name="_Toc184310337"/>
      <w:bookmarkEnd w:id="375"/>
      <w:bookmarkStart w:id="376" w:name="_Toc184313248"/>
      <w:bookmarkEnd w:id="376"/>
      <w:bookmarkStart w:id="377" w:name="_Toc184312075"/>
      <w:bookmarkEnd w:id="377"/>
      <w:bookmarkStart w:id="378" w:name="_Toc184313303"/>
      <w:bookmarkEnd w:id="378"/>
      <w:bookmarkStart w:id="379" w:name="_Toc184314480"/>
      <w:bookmarkEnd w:id="379"/>
      <w:bookmarkStart w:id="380" w:name="_Toc184313240"/>
      <w:bookmarkEnd w:id="380"/>
      <w:bookmarkStart w:id="381" w:name="_Toc184314469"/>
      <w:bookmarkEnd w:id="381"/>
      <w:bookmarkStart w:id="382" w:name="_Toc184312098"/>
      <w:bookmarkEnd w:id="382"/>
      <w:bookmarkStart w:id="383" w:name="_Toc184313264"/>
      <w:bookmarkEnd w:id="383"/>
      <w:bookmarkStart w:id="384" w:name="_Toc184314431"/>
      <w:bookmarkEnd w:id="384"/>
      <w:bookmarkStart w:id="385" w:name="_Toc184314482"/>
      <w:bookmarkEnd w:id="385"/>
      <w:bookmarkStart w:id="386" w:name="_Toc184308098"/>
      <w:bookmarkEnd w:id="386"/>
      <w:bookmarkStart w:id="387" w:name="_Toc184313288"/>
      <w:bookmarkEnd w:id="387"/>
      <w:bookmarkStart w:id="388" w:name="_Toc184310329"/>
      <w:bookmarkEnd w:id="388"/>
      <w:bookmarkStart w:id="389" w:name="_Toc184314472"/>
      <w:bookmarkEnd w:id="389"/>
      <w:bookmarkStart w:id="390" w:name="_Toc184310317"/>
      <w:bookmarkEnd w:id="390"/>
      <w:bookmarkStart w:id="391" w:name="_Toc184308094"/>
      <w:bookmarkEnd w:id="391"/>
      <w:bookmarkStart w:id="392" w:name="_Toc184312087"/>
      <w:bookmarkEnd w:id="392"/>
      <w:bookmarkStart w:id="393" w:name="_Toc184308055"/>
      <w:bookmarkEnd w:id="393"/>
      <w:bookmarkStart w:id="394" w:name="_Toc184308069"/>
      <w:bookmarkEnd w:id="394"/>
      <w:bookmarkStart w:id="395" w:name="_Toc184314437"/>
      <w:bookmarkEnd w:id="395"/>
      <w:bookmarkStart w:id="396" w:name="_Toc184313299"/>
      <w:bookmarkEnd w:id="396"/>
      <w:bookmarkStart w:id="397" w:name="_Toc184313244"/>
      <w:bookmarkEnd w:id="397"/>
      <w:bookmarkStart w:id="398" w:name="_Toc184308036"/>
      <w:bookmarkEnd w:id="398"/>
      <w:bookmarkStart w:id="399" w:name="_Toc184310281"/>
      <w:bookmarkEnd w:id="399"/>
      <w:bookmarkStart w:id="400" w:name="_Toc184314412"/>
      <w:bookmarkEnd w:id="400"/>
      <w:bookmarkStart w:id="401" w:name="_Toc184313307"/>
      <w:bookmarkEnd w:id="401"/>
      <w:bookmarkStart w:id="402" w:name="_Toc184308061"/>
      <w:bookmarkEnd w:id="402"/>
      <w:bookmarkStart w:id="403" w:name="_Toc184312109"/>
      <w:bookmarkEnd w:id="403"/>
      <w:bookmarkStart w:id="404" w:name="_Toc184314466"/>
      <w:bookmarkEnd w:id="404"/>
      <w:bookmarkStart w:id="405" w:name="_Toc184312130"/>
      <w:bookmarkEnd w:id="405"/>
      <w:bookmarkStart w:id="406" w:name="_Toc184313286"/>
      <w:bookmarkEnd w:id="406"/>
      <w:bookmarkStart w:id="407" w:name="_Toc184308039"/>
      <w:bookmarkEnd w:id="407"/>
      <w:bookmarkStart w:id="408" w:name="_Toc184314464"/>
      <w:bookmarkEnd w:id="408"/>
      <w:bookmarkStart w:id="409" w:name="_Toc184308050"/>
      <w:bookmarkEnd w:id="409"/>
      <w:bookmarkStart w:id="410" w:name="_Toc184312118"/>
      <w:bookmarkEnd w:id="410"/>
      <w:bookmarkStart w:id="411" w:name="_Toc184308092"/>
      <w:bookmarkEnd w:id="411"/>
      <w:bookmarkStart w:id="412" w:name="_Toc184312091"/>
      <w:bookmarkEnd w:id="412"/>
      <w:bookmarkStart w:id="413" w:name="_Toc184310316"/>
      <w:bookmarkEnd w:id="413"/>
      <w:bookmarkStart w:id="414" w:name="_Toc184313310"/>
      <w:bookmarkEnd w:id="414"/>
      <w:bookmarkStart w:id="415" w:name="_Toc184310295"/>
      <w:bookmarkEnd w:id="415"/>
      <w:bookmarkStart w:id="416" w:name="_Toc184308081"/>
      <w:bookmarkEnd w:id="416"/>
      <w:bookmarkStart w:id="417" w:name="_Toc184310280"/>
      <w:bookmarkEnd w:id="417"/>
      <w:bookmarkStart w:id="418" w:name="_Toc184312104"/>
      <w:bookmarkEnd w:id="418"/>
      <w:bookmarkStart w:id="419" w:name="_Toc184308057"/>
      <w:bookmarkEnd w:id="419"/>
      <w:bookmarkStart w:id="420" w:name="_Toc184314455"/>
      <w:bookmarkEnd w:id="420"/>
      <w:bookmarkStart w:id="421" w:name="_Toc184312123"/>
      <w:bookmarkEnd w:id="421"/>
      <w:r>
        <w:rPr>
          <w:rFonts w:hint="eastAsia" w:ascii="仿宋" w:hAnsi="仿宋" w:eastAsia="仿宋" w:cs="仿宋"/>
          <w:b/>
          <w:sz w:val="36"/>
          <w:szCs w:val="36"/>
          <w:highlight w:val="none"/>
        </w:rPr>
        <w:t>评标办法</w:t>
      </w:r>
      <w:bookmarkEnd w:id="50"/>
      <w:bookmarkEnd w:id="51"/>
      <w:bookmarkEnd w:id="52"/>
      <w:bookmarkEnd w:id="53"/>
      <w:bookmarkEnd w:id="54"/>
      <w:bookmarkEnd w:id="55"/>
      <w:bookmarkEnd w:id="56"/>
    </w:p>
    <w:p>
      <w:pPr>
        <w:wordWrap w:val="0"/>
        <w:snapToGrid w:val="0"/>
        <w:spacing w:line="360" w:lineRule="auto"/>
        <w:jc w:val="center"/>
        <w:outlineLvl w:val="1"/>
        <w:rPr>
          <w:rFonts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2"/>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110"/>
        <w:gridCol w:w="774"/>
        <w:gridCol w:w="4395"/>
        <w:gridCol w:w="89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59" w:type="dxa"/>
            <w:vAlign w:val="center"/>
          </w:tcPr>
          <w:p>
            <w:pPr>
              <w:autoSpaceDE w:val="0"/>
              <w:autoSpaceDN w:val="0"/>
              <w:spacing w:line="400" w:lineRule="exact"/>
              <w:jc w:val="center"/>
              <w:rPr>
                <w:rStyle w:val="78"/>
                <w:rFonts w:ascii="仿宋" w:hAnsi="仿宋" w:eastAsia="仿宋" w:cs="仿宋"/>
                <w:bCs/>
                <w:highlight w:val="none"/>
              </w:rPr>
            </w:pPr>
            <w:r>
              <w:rPr>
                <w:rStyle w:val="78"/>
                <w:rFonts w:hint="eastAsia" w:ascii="仿宋" w:hAnsi="仿宋" w:eastAsia="仿宋" w:cs="仿宋"/>
                <w:bCs/>
                <w:highlight w:val="none"/>
              </w:rPr>
              <w:t>序号</w:t>
            </w:r>
          </w:p>
        </w:tc>
        <w:tc>
          <w:tcPr>
            <w:tcW w:w="1110" w:type="dxa"/>
            <w:vAlign w:val="center"/>
          </w:tcPr>
          <w:p>
            <w:pPr>
              <w:autoSpaceDE w:val="0"/>
              <w:autoSpaceDN w:val="0"/>
              <w:spacing w:line="400" w:lineRule="exact"/>
              <w:jc w:val="center"/>
              <w:rPr>
                <w:rStyle w:val="78"/>
                <w:rFonts w:ascii="仿宋" w:hAnsi="仿宋" w:eastAsia="仿宋" w:cs="仿宋"/>
                <w:bCs/>
                <w:highlight w:val="none"/>
              </w:rPr>
            </w:pPr>
            <w:r>
              <w:rPr>
                <w:rStyle w:val="78"/>
                <w:rFonts w:hint="eastAsia" w:ascii="仿宋" w:hAnsi="仿宋" w:eastAsia="仿宋" w:cs="仿宋"/>
                <w:bCs/>
                <w:highlight w:val="none"/>
              </w:rPr>
              <w:t>名称</w:t>
            </w:r>
          </w:p>
        </w:tc>
        <w:tc>
          <w:tcPr>
            <w:tcW w:w="774" w:type="dxa"/>
            <w:vAlign w:val="center"/>
          </w:tcPr>
          <w:p>
            <w:pPr>
              <w:autoSpaceDE w:val="0"/>
              <w:autoSpaceDN w:val="0"/>
              <w:spacing w:line="400" w:lineRule="exact"/>
              <w:jc w:val="center"/>
              <w:rPr>
                <w:rStyle w:val="78"/>
                <w:rFonts w:ascii="仿宋" w:hAnsi="仿宋" w:eastAsia="仿宋" w:cs="仿宋"/>
                <w:bCs/>
                <w:highlight w:val="none"/>
              </w:rPr>
            </w:pPr>
            <w:r>
              <w:rPr>
                <w:rStyle w:val="78"/>
                <w:rFonts w:hint="eastAsia" w:ascii="仿宋" w:hAnsi="仿宋" w:eastAsia="仿宋" w:cs="仿宋"/>
                <w:bCs/>
                <w:highlight w:val="none"/>
              </w:rPr>
              <w:t>分值</w:t>
            </w:r>
          </w:p>
        </w:tc>
        <w:tc>
          <w:tcPr>
            <w:tcW w:w="4395" w:type="dxa"/>
            <w:vAlign w:val="center"/>
          </w:tcPr>
          <w:p>
            <w:pPr>
              <w:autoSpaceDE w:val="0"/>
              <w:autoSpaceDN w:val="0"/>
              <w:spacing w:line="400" w:lineRule="exact"/>
              <w:ind w:firstLine="420" w:firstLineChars="200"/>
              <w:jc w:val="center"/>
              <w:rPr>
                <w:rStyle w:val="78"/>
                <w:rFonts w:ascii="仿宋" w:hAnsi="仿宋" w:eastAsia="仿宋" w:cs="仿宋"/>
                <w:bCs/>
                <w:highlight w:val="none"/>
              </w:rPr>
            </w:pPr>
            <w:r>
              <w:rPr>
                <w:rStyle w:val="78"/>
                <w:rFonts w:hint="eastAsia" w:ascii="仿宋" w:hAnsi="仿宋" w:eastAsia="仿宋" w:cs="仿宋"/>
                <w:bCs/>
                <w:highlight w:val="none"/>
              </w:rPr>
              <w:t>评审因素</w:t>
            </w:r>
          </w:p>
        </w:tc>
        <w:tc>
          <w:tcPr>
            <w:tcW w:w="899" w:type="dxa"/>
            <w:vAlign w:val="center"/>
          </w:tcPr>
          <w:p>
            <w:pPr>
              <w:autoSpaceDE w:val="0"/>
              <w:autoSpaceDN w:val="0"/>
              <w:spacing w:line="400" w:lineRule="exact"/>
              <w:jc w:val="center"/>
              <w:rPr>
                <w:rFonts w:ascii="仿宋" w:hAnsi="仿宋" w:eastAsia="仿宋" w:cs="仿宋"/>
                <w:bCs/>
                <w:szCs w:val="21"/>
                <w:highlight w:val="none"/>
              </w:rPr>
            </w:pPr>
            <w:r>
              <w:rPr>
                <w:rFonts w:hint="eastAsia" w:ascii="仿宋" w:hAnsi="仿宋" w:eastAsia="仿宋" w:cs="仿宋"/>
                <w:bCs/>
                <w:szCs w:val="21"/>
                <w:highlight w:val="none"/>
              </w:rPr>
              <w:t>备注</w:t>
            </w:r>
          </w:p>
        </w:tc>
        <w:tc>
          <w:tcPr>
            <w:tcW w:w="1071" w:type="dxa"/>
            <w:vAlign w:val="center"/>
          </w:tcPr>
          <w:p>
            <w:pPr>
              <w:autoSpaceDE w:val="0"/>
              <w:autoSpaceDN w:val="0"/>
              <w:spacing w:line="400" w:lineRule="exact"/>
              <w:rPr>
                <w:rStyle w:val="78"/>
                <w:rFonts w:ascii="仿宋" w:hAnsi="仿宋" w:eastAsia="仿宋" w:cs="仿宋"/>
                <w:bCs/>
                <w:highlight w:val="none"/>
              </w:rPr>
            </w:pPr>
            <w:r>
              <w:rPr>
                <w:rFonts w:hint="eastAsia" w:ascii="仿宋" w:hAnsi="仿宋" w:eastAsia="仿宋" w:cs="仿宋"/>
                <w:bCs/>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9" w:type="dxa"/>
            <w:vAlign w:val="center"/>
          </w:tcPr>
          <w:p>
            <w:pPr>
              <w:autoSpaceDE w:val="0"/>
              <w:autoSpaceDN w:val="0"/>
              <w:spacing w:line="400" w:lineRule="exact"/>
              <w:jc w:val="center"/>
              <w:rPr>
                <w:rStyle w:val="78"/>
                <w:rFonts w:ascii="仿宋" w:hAnsi="仿宋" w:eastAsia="仿宋" w:cs="仿宋"/>
                <w:bCs/>
                <w:highlight w:val="none"/>
              </w:rPr>
            </w:pPr>
            <w:r>
              <w:rPr>
                <w:rStyle w:val="78"/>
                <w:rFonts w:hint="eastAsia" w:ascii="仿宋" w:hAnsi="仿宋" w:eastAsia="仿宋" w:cs="仿宋"/>
                <w:bCs/>
                <w:highlight w:val="none"/>
              </w:rPr>
              <w:t>一</w:t>
            </w:r>
          </w:p>
        </w:tc>
        <w:tc>
          <w:tcPr>
            <w:tcW w:w="6279" w:type="dxa"/>
            <w:gridSpan w:val="3"/>
            <w:vAlign w:val="center"/>
          </w:tcPr>
          <w:p>
            <w:pPr>
              <w:autoSpaceDE w:val="0"/>
              <w:autoSpaceDN w:val="0"/>
              <w:spacing w:line="400" w:lineRule="exact"/>
              <w:rPr>
                <w:rStyle w:val="78"/>
                <w:rFonts w:ascii="仿宋" w:hAnsi="仿宋" w:eastAsia="仿宋" w:cs="仿宋"/>
                <w:bCs/>
                <w:highlight w:val="none"/>
              </w:rPr>
            </w:pPr>
            <w:r>
              <w:rPr>
                <w:rStyle w:val="78"/>
                <w:rFonts w:hint="eastAsia" w:ascii="仿宋" w:hAnsi="仿宋" w:eastAsia="仿宋" w:cs="仿宋"/>
                <w:bCs/>
                <w:highlight w:val="none"/>
              </w:rPr>
              <w:t>商务技术，70分</w:t>
            </w:r>
          </w:p>
        </w:tc>
        <w:tc>
          <w:tcPr>
            <w:tcW w:w="899" w:type="dxa"/>
            <w:vAlign w:val="center"/>
          </w:tcPr>
          <w:p>
            <w:pPr>
              <w:autoSpaceDE w:val="0"/>
              <w:autoSpaceDN w:val="0"/>
              <w:spacing w:line="400" w:lineRule="exact"/>
              <w:jc w:val="center"/>
              <w:rPr>
                <w:rStyle w:val="78"/>
                <w:rFonts w:ascii="仿宋" w:hAnsi="仿宋" w:eastAsia="仿宋" w:cs="仿宋"/>
                <w:bCs/>
                <w:highlight w:val="none"/>
              </w:rPr>
            </w:pPr>
          </w:p>
        </w:tc>
        <w:tc>
          <w:tcPr>
            <w:tcW w:w="1071" w:type="dxa"/>
            <w:vAlign w:val="center"/>
          </w:tcPr>
          <w:p>
            <w:pPr>
              <w:autoSpaceDE w:val="0"/>
              <w:autoSpaceDN w:val="0"/>
              <w:spacing w:line="400" w:lineRule="exact"/>
              <w:rPr>
                <w:rStyle w:val="78"/>
                <w:rFonts w:ascii="仿宋" w:hAnsi="仿宋" w:eastAsia="仿宋" w:cs="仿宋"/>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59" w:type="dxa"/>
            <w:tcBorders>
              <w:bottom w:val="nil"/>
            </w:tcBorders>
            <w:vAlign w:val="center"/>
          </w:tcPr>
          <w:p>
            <w:pPr>
              <w:autoSpaceDE w:val="0"/>
              <w:autoSpaceDN w:val="0"/>
              <w:spacing w:line="400" w:lineRule="exact"/>
              <w:jc w:val="center"/>
              <w:rPr>
                <w:rStyle w:val="78"/>
                <w:rFonts w:ascii="仿宋" w:hAnsi="仿宋" w:eastAsia="仿宋" w:cs="仿宋"/>
                <w:bCs/>
                <w:highlight w:val="none"/>
              </w:rPr>
            </w:pPr>
            <w:r>
              <w:rPr>
                <w:rStyle w:val="78"/>
                <w:rFonts w:hint="eastAsia" w:ascii="仿宋" w:hAnsi="仿宋" w:eastAsia="仿宋" w:cs="仿宋"/>
                <w:bCs/>
                <w:highlight w:val="none"/>
              </w:rPr>
              <w:t>1</w:t>
            </w:r>
          </w:p>
        </w:tc>
        <w:tc>
          <w:tcPr>
            <w:tcW w:w="1110" w:type="dxa"/>
            <w:tcBorders>
              <w:bottom w:val="nil"/>
            </w:tcBorders>
            <w:vAlign w:val="center"/>
          </w:tcPr>
          <w:p>
            <w:pPr>
              <w:spacing w:line="400" w:lineRule="exact"/>
              <w:ind w:left="31" w:hanging="31" w:hangingChars="15"/>
              <w:jc w:val="center"/>
              <w:rPr>
                <w:rFonts w:ascii="仿宋" w:hAnsi="仿宋" w:eastAsia="仿宋" w:cs="仿宋"/>
                <w:szCs w:val="21"/>
                <w:highlight w:val="none"/>
              </w:rPr>
            </w:pPr>
            <w:r>
              <w:rPr>
                <w:rFonts w:hint="eastAsia" w:ascii="仿宋" w:hAnsi="仿宋" w:eastAsia="仿宋" w:cs="仿宋"/>
                <w:szCs w:val="21"/>
                <w:highlight w:val="none"/>
              </w:rPr>
              <w:t>企业综合</w:t>
            </w:r>
          </w:p>
          <w:p>
            <w:pPr>
              <w:spacing w:line="400" w:lineRule="exact"/>
              <w:ind w:left="31" w:hanging="31" w:hangingChars="15"/>
              <w:jc w:val="center"/>
              <w:rPr>
                <w:rStyle w:val="78"/>
                <w:rFonts w:ascii="仿宋" w:hAnsi="仿宋" w:eastAsia="仿宋" w:cs="仿宋"/>
                <w:bCs/>
                <w:highlight w:val="none"/>
              </w:rPr>
            </w:pPr>
            <w:r>
              <w:rPr>
                <w:rFonts w:hint="eastAsia" w:ascii="仿宋" w:hAnsi="仿宋" w:eastAsia="仿宋" w:cs="仿宋"/>
                <w:szCs w:val="21"/>
                <w:highlight w:val="none"/>
              </w:rPr>
              <w:t>实力</w:t>
            </w:r>
          </w:p>
        </w:tc>
        <w:tc>
          <w:tcPr>
            <w:tcW w:w="774" w:type="dxa"/>
            <w:tcBorders>
              <w:bottom w:val="nil"/>
            </w:tcBorders>
            <w:vAlign w:val="center"/>
          </w:tcPr>
          <w:p>
            <w:pPr>
              <w:spacing w:line="400" w:lineRule="exact"/>
              <w:jc w:val="center"/>
              <w:rPr>
                <w:rStyle w:val="78"/>
                <w:rFonts w:ascii="仿宋" w:hAnsi="仿宋" w:eastAsia="仿宋" w:cs="仿宋"/>
                <w:bCs/>
                <w:highlight w:val="none"/>
              </w:rPr>
            </w:pPr>
            <w:r>
              <w:rPr>
                <w:rFonts w:hint="eastAsia" w:ascii="仿宋" w:hAnsi="仿宋" w:eastAsia="仿宋" w:cs="仿宋"/>
                <w:szCs w:val="21"/>
                <w:highlight w:val="none"/>
              </w:rPr>
              <w:t>0-3</w:t>
            </w:r>
          </w:p>
        </w:tc>
        <w:tc>
          <w:tcPr>
            <w:tcW w:w="4395" w:type="dxa"/>
            <w:tcBorders>
              <w:bottom w:val="nil"/>
            </w:tcBorders>
            <w:vAlign w:val="center"/>
          </w:tcPr>
          <w:p>
            <w:pPr>
              <w:pStyle w:val="80"/>
              <w:numPr>
                <w:ilvl w:val="255"/>
                <w:numId w:val="0"/>
              </w:numPr>
              <w:spacing w:line="400" w:lineRule="exact"/>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投标人（联合体投标的，指牵头人）具ISO系列质量管理体系认证、职业健康安全管理体系认证、环境管理体系认证的，每个得1分，最高得3分。</w:t>
            </w:r>
          </w:p>
          <w:p>
            <w:pPr>
              <w:pStyle w:val="80"/>
              <w:rPr>
                <w:rStyle w:val="78"/>
                <w:rFonts w:ascii="仿宋" w:hAnsi="仿宋" w:eastAsia="仿宋" w:cs="仿宋"/>
                <w:bCs/>
                <w:highlight w:val="none"/>
              </w:rPr>
            </w:pPr>
            <w:r>
              <w:rPr>
                <w:rFonts w:hint="eastAsia" w:ascii="仿宋" w:hAnsi="仿宋" w:eastAsia="仿宋" w:cs="仿宋"/>
                <w:sz w:val="21"/>
                <w:szCs w:val="21"/>
                <w:highlight w:val="none"/>
                <w:lang w:val="en-US"/>
              </w:rPr>
              <w:t>证明材料提供有效的认证证书。</w:t>
            </w:r>
          </w:p>
        </w:tc>
        <w:tc>
          <w:tcPr>
            <w:tcW w:w="899" w:type="dxa"/>
            <w:tcBorders>
              <w:bottom w:val="nil"/>
            </w:tcBorders>
            <w:vAlign w:val="center"/>
          </w:tcPr>
          <w:p>
            <w:pPr>
              <w:spacing w:line="400" w:lineRule="exact"/>
              <w:jc w:val="center"/>
              <w:rPr>
                <w:rFonts w:ascii="仿宋" w:hAnsi="仿宋" w:eastAsia="仿宋" w:cs="仿宋"/>
                <w:szCs w:val="21"/>
                <w:highlight w:val="none"/>
              </w:rPr>
            </w:pPr>
            <w:r>
              <w:rPr>
                <w:rFonts w:hint="eastAsia" w:ascii="仿宋" w:hAnsi="仿宋" w:eastAsia="仿宋" w:cs="仿宋"/>
                <w:bCs/>
                <w:szCs w:val="21"/>
                <w:highlight w:val="none"/>
              </w:rPr>
              <w:t>客观分</w:t>
            </w:r>
          </w:p>
        </w:tc>
        <w:tc>
          <w:tcPr>
            <w:tcW w:w="1071" w:type="dxa"/>
            <w:tcBorders>
              <w:bottom w:val="nil"/>
            </w:tcBorders>
            <w:vAlign w:val="center"/>
          </w:tcPr>
          <w:p>
            <w:pPr>
              <w:spacing w:line="400" w:lineRule="exact"/>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tcBorders>
              <w:bottom w:val="nil"/>
            </w:tcBorders>
            <w:vAlign w:val="center"/>
          </w:tcPr>
          <w:p>
            <w:pPr>
              <w:autoSpaceDE w:val="0"/>
              <w:autoSpaceDN w:val="0"/>
              <w:spacing w:line="400" w:lineRule="exact"/>
              <w:jc w:val="center"/>
              <w:rPr>
                <w:rFonts w:ascii="仿宋" w:hAnsi="仿宋" w:eastAsia="仿宋" w:cs="仿宋"/>
                <w:bCs/>
                <w:szCs w:val="21"/>
                <w:highlight w:val="none"/>
              </w:rPr>
            </w:pPr>
            <w:r>
              <w:rPr>
                <w:rStyle w:val="78"/>
                <w:rFonts w:hint="eastAsia" w:ascii="仿宋" w:hAnsi="仿宋" w:eastAsia="仿宋" w:cs="仿宋"/>
                <w:bCs/>
                <w:highlight w:val="none"/>
              </w:rPr>
              <w:t>2</w:t>
            </w:r>
          </w:p>
        </w:tc>
        <w:tc>
          <w:tcPr>
            <w:tcW w:w="1110" w:type="dxa"/>
            <w:tcBorders>
              <w:bottom w:val="nil"/>
            </w:tcBorders>
            <w:vAlign w:val="center"/>
          </w:tcPr>
          <w:p>
            <w:pPr>
              <w:tabs>
                <w:tab w:val="left" w:pos="248"/>
              </w:tabs>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所投产品节能、环保</w:t>
            </w:r>
          </w:p>
        </w:tc>
        <w:tc>
          <w:tcPr>
            <w:tcW w:w="774" w:type="dxa"/>
            <w:tcBorders>
              <w:bottom w:val="nil"/>
            </w:tcBorders>
            <w:vAlign w:val="center"/>
          </w:tcPr>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0-2</w:t>
            </w:r>
          </w:p>
        </w:tc>
        <w:tc>
          <w:tcPr>
            <w:tcW w:w="4395" w:type="dxa"/>
            <w:tcBorders>
              <w:bottom w:val="nil"/>
            </w:tcBorders>
            <w:vAlign w:val="center"/>
          </w:tcPr>
          <w:p>
            <w:pPr>
              <w:pStyle w:val="80"/>
              <w:spacing w:line="400" w:lineRule="exact"/>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（1）除</w:t>
            </w:r>
            <w:r>
              <w:rPr>
                <w:rFonts w:hint="eastAsia" w:ascii="仿宋" w:hAnsi="仿宋" w:eastAsia="仿宋" w:cs="仿宋"/>
                <w:sz w:val="21"/>
                <w:szCs w:val="21"/>
                <w:highlight w:val="none"/>
                <w:lang w:val="en-US" w:eastAsia="zh-CN"/>
              </w:rPr>
              <w:t>本项目</w:t>
            </w:r>
            <w:r>
              <w:rPr>
                <w:rFonts w:hint="eastAsia" w:ascii="仿宋" w:hAnsi="仿宋" w:eastAsia="仿宋" w:cs="仿宋"/>
                <w:sz w:val="21"/>
                <w:szCs w:val="21"/>
                <w:highlight w:val="none"/>
                <w:lang w:val="en-US"/>
              </w:rPr>
              <w:t>强制采购的节能产品外，所投产品中具有有效的节能产品认证证书的每个得0.5分，最高得1分；</w:t>
            </w:r>
          </w:p>
          <w:p>
            <w:pPr>
              <w:pStyle w:val="80"/>
              <w:spacing w:line="400" w:lineRule="exact"/>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（2）所投产品中具有有效的环境标志产品认证证书的每个得0.5分，最高得1分。</w:t>
            </w:r>
          </w:p>
          <w:p>
            <w:pPr>
              <w:pStyle w:val="80"/>
              <w:spacing w:line="400" w:lineRule="exact"/>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证明材料提供有效的认证证书，认证证书所列产品型号与所投产品不一致的不予认可。</w:t>
            </w:r>
          </w:p>
        </w:tc>
        <w:tc>
          <w:tcPr>
            <w:tcW w:w="899" w:type="dxa"/>
            <w:tcBorders>
              <w:bottom w:val="nil"/>
            </w:tcBorders>
            <w:vAlign w:val="center"/>
          </w:tcPr>
          <w:p>
            <w:pPr>
              <w:spacing w:line="400" w:lineRule="exact"/>
              <w:jc w:val="center"/>
              <w:rPr>
                <w:rFonts w:ascii="仿宋" w:hAnsi="仿宋" w:eastAsia="仿宋" w:cs="仿宋"/>
                <w:szCs w:val="21"/>
                <w:highlight w:val="none"/>
              </w:rPr>
            </w:pPr>
            <w:r>
              <w:rPr>
                <w:rFonts w:hint="eastAsia" w:ascii="仿宋" w:hAnsi="仿宋" w:eastAsia="仿宋" w:cs="仿宋"/>
                <w:bCs/>
                <w:szCs w:val="21"/>
                <w:highlight w:val="none"/>
              </w:rPr>
              <w:t>客观分</w:t>
            </w:r>
          </w:p>
        </w:tc>
        <w:tc>
          <w:tcPr>
            <w:tcW w:w="1071" w:type="dxa"/>
            <w:tcBorders>
              <w:bottom w:val="nil"/>
            </w:tcBorders>
            <w:vAlign w:val="center"/>
          </w:tcPr>
          <w:p>
            <w:pPr>
              <w:spacing w:line="400" w:lineRule="exact"/>
              <w:jc w:val="left"/>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59" w:type="dxa"/>
            <w:vAlign w:val="center"/>
          </w:tcPr>
          <w:p>
            <w:pPr>
              <w:autoSpaceDE w:val="0"/>
              <w:autoSpaceDN w:val="0"/>
              <w:spacing w:line="400" w:lineRule="exact"/>
              <w:jc w:val="center"/>
              <w:rPr>
                <w:rStyle w:val="78"/>
                <w:rFonts w:ascii="仿宋" w:hAnsi="仿宋" w:eastAsia="仿宋" w:cs="仿宋"/>
                <w:bCs/>
                <w:highlight w:val="none"/>
              </w:rPr>
            </w:pPr>
            <w:r>
              <w:rPr>
                <w:rStyle w:val="78"/>
                <w:rFonts w:hint="eastAsia" w:ascii="仿宋" w:hAnsi="仿宋" w:eastAsia="仿宋" w:cs="仿宋"/>
                <w:bCs/>
                <w:highlight w:val="none"/>
              </w:rPr>
              <w:t>3</w:t>
            </w:r>
          </w:p>
        </w:tc>
        <w:tc>
          <w:tcPr>
            <w:tcW w:w="1110" w:type="dxa"/>
            <w:vAlign w:val="center"/>
          </w:tcPr>
          <w:p>
            <w:pPr>
              <w:spacing w:line="400" w:lineRule="exact"/>
              <w:jc w:val="center"/>
              <w:rPr>
                <w:rFonts w:ascii="仿宋" w:hAnsi="仿宋" w:eastAsia="仿宋" w:cs="仿宋"/>
                <w:szCs w:val="21"/>
                <w:highlight w:val="none"/>
              </w:rPr>
            </w:pPr>
            <w:r>
              <w:rPr>
                <w:rFonts w:hint="eastAsia" w:ascii="仿宋" w:hAnsi="仿宋" w:eastAsia="仿宋" w:cs="仿宋"/>
                <w:sz w:val="22"/>
                <w:szCs w:val="22"/>
                <w:highlight w:val="none"/>
              </w:rPr>
              <w:t>技术指标</w:t>
            </w:r>
          </w:p>
        </w:tc>
        <w:tc>
          <w:tcPr>
            <w:tcW w:w="774" w:type="dxa"/>
            <w:vAlign w:val="center"/>
          </w:tcPr>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0-24</w:t>
            </w:r>
          </w:p>
        </w:tc>
        <w:tc>
          <w:tcPr>
            <w:tcW w:w="4395" w:type="dxa"/>
            <w:vAlign w:val="center"/>
          </w:tcPr>
          <w:p>
            <w:pPr>
              <w:spacing w:line="400" w:lineRule="exact"/>
              <w:jc w:val="left"/>
              <w:rPr>
                <w:rFonts w:ascii="仿宋" w:hAnsi="仿宋" w:eastAsia="仿宋" w:cs="仿宋"/>
                <w:szCs w:val="21"/>
                <w:highlight w:val="none"/>
              </w:rPr>
            </w:pPr>
            <w:r>
              <w:rPr>
                <w:rFonts w:hint="eastAsia" w:ascii="仿宋" w:hAnsi="仿宋" w:eastAsia="仿宋" w:cs="仿宋"/>
                <w:kern w:val="0"/>
                <w:szCs w:val="21"/>
                <w:highlight w:val="none"/>
              </w:rPr>
              <w:t>“二、项目采购清单和参数要求”中的投标产品技术参数和配置完全满足的得24分，</w:t>
            </w:r>
            <w:r>
              <w:rPr>
                <w:rStyle w:val="78"/>
                <w:rFonts w:hint="eastAsia" w:ascii="仿宋" w:hAnsi="仿宋" w:eastAsia="仿宋" w:cs="仿宋"/>
                <w:bCs/>
                <w:kern w:val="0"/>
                <w:highlight w:val="none"/>
              </w:rPr>
              <w:t>“▲”项技术指标负偏离的按无效投标处理，“</w:t>
            </w:r>
            <w:r>
              <w:rPr>
                <w:rFonts w:hint="eastAsia" w:ascii="微软雅黑" w:hAnsi="微软雅黑" w:eastAsia="微软雅黑" w:cs="微软雅黑"/>
                <w:sz w:val="24"/>
                <w:highlight w:val="none"/>
              </w:rPr>
              <w:t>█</w:t>
            </w:r>
            <w:r>
              <w:rPr>
                <w:rStyle w:val="78"/>
                <w:rFonts w:hint="eastAsia" w:ascii="仿宋" w:hAnsi="仿宋" w:eastAsia="仿宋" w:cs="仿宋"/>
                <w:bCs/>
                <w:kern w:val="0"/>
                <w:highlight w:val="none"/>
              </w:rPr>
              <w:t>”项技术指标负偏离一项扣2分，其他技术指标负偏离一项扣1分，扣完为止。（未按</w:t>
            </w:r>
            <w:r>
              <w:rPr>
                <w:rFonts w:hint="eastAsia" w:ascii="仿宋" w:hAnsi="仿宋" w:eastAsia="仿宋" w:cs="仿宋"/>
                <w:kern w:val="0"/>
                <w:szCs w:val="21"/>
                <w:highlight w:val="none"/>
              </w:rPr>
              <w:t>“二、项目采购清单和参数要求”</w:t>
            </w:r>
            <w:r>
              <w:rPr>
                <w:rStyle w:val="78"/>
                <w:rFonts w:hint="eastAsia" w:ascii="仿宋" w:hAnsi="仿宋" w:eastAsia="仿宋" w:cs="仿宋"/>
                <w:bCs/>
                <w:kern w:val="0"/>
                <w:highlight w:val="none"/>
              </w:rPr>
              <w:t>中要求提供证明材料的，该项予以扣分。</w:t>
            </w:r>
            <w:r>
              <w:rPr>
                <w:rFonts w:hint="eastAsia" w:ascii="仿宋" w:hAnsi="仿宋" w:eastAsia="仿宋" w:cs="仿宋"/>
                <w:kern w:val="0"/>
                <w:szCs w:val="21"/>
                <w:highlight w:val="none"/>
              </w:rPr>
              <w:t>“二、项目采购清单和参数要求”</w:t>
            </w:r>
            <w:r>
              <w:rPr>
                <w:rStyle w:val="78"/>
                <w:rFonts w:hint="eastAsia" w:ascii="仿宋" w:hAnsi="仿宋" w:eastAsia="仿宋" w:cs="仿宋"/>
                <w:bCs/>
                <w:kern w:val="0"/>
                <w:highlight w:val="none"/>
              </w:rPr>
              <w:t>中未要求提供证明材料的以《技术偏离表》响应为准。）</w:t>
            </w:r>
          </w:p>
        </w:tc>
        <w:tc>
          <w:tcPr>
            <w:tcW w:w="899" w:type="dxa"/>
            <w:vAlign w:val="center"/>
          </w:tcPr>
          <w:p>
            <w:pPr>
              <w:spacing w:line="400" w:lineRule="exact"/>
              <w:jc w:val="center"/>
              <w:rPr>
                <w:rFonts w:ascii="仿宋" w:hAnsi="仿宋" w:eastAsia="仿宋" w:cs="仿宋"/>
                <w:szCs w:val="21"/>
                <w:highlight w:val="none"/>
              </w:rPr>
            </w:pPr>
            <w:r>
              <w:rPr>
                <w:rFonts w:hint="eastAsia" w:ascii="仿宋" w:hAnsi="仿宋" w:eastAsia="仿宋" w:cs="仿宋"/>
                <w:bCs/>
                <w:szCs w:val="21"/>
                <w:highlight w:val="none"/>
              </w:rPr>
              <w:t>客观分</w:t>
            </w:r>
          </w:p>
        </w:tc>
        <w:tc>
          <w:tcPr>
            <w:tcW w:w="1071" w:type="dxa"/>
            <w:vAlign w:val="center"/>
          </w:tcPr>
          <w:p>
            <w:pPr>
              <w:spacing w:line="400" w:lineRule="exact"/>
              <w:jc w:val="left"/>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59" w:type="dxa"/>
            <w:vMerge w:val="restart"/>
            <w:vAlign w:val="center"/>
          </w:tcPr>
          <w:p>
            <w:pPr>
              <w:autoSpaceDE w:val="0"/>
              <w:autoSpaceDN w:val="0"/>
              <w:spacing w:line="400" w:lineRule="exact"/>
              <w:jc w:val="center"/>
              <w:rPr>
                <w:rStyle w:val="78"/>
                <w:rFonts w:ascii="仿宋" w:hAnsi="仿宋" w:eastAsia="仿宋" w:cs="仿宋"/>
                <w:bCs/>
                <w:highlight w:val="none"/>
              </w:rPr>
            </w:pPr>
            <w:r>
              <w:rPr>
                <w:rStyle w:val="78"/>
                <w:rFonts w:hint="eastAsia" w:ascii="仿宋" w:hAnsi="仿宋" w:eastAsia="仿宋" w:cs="仿宋"/>
                <w:bCs/>
                <w:highlight w:val="none"/>
              </w:rPr>
              <w:t>4</w:t>
            </w:r>
          </w:p>
        </w:tc>
        <w:tc>
          <w:tcPr>
            <w:tcW w:w="1110" w:type="dxa"/>
            <w:vMerge w:val="restart"/>
            <w:vAlign w:val="center"/>
          </w:tcPr>
          <w:p>
            <w:pPr>
              <w:spacing w:line="400" w:lineRule="exact"/>
              <w:ind w:left="31" w:hanging="31" w:hangingChars="15"/>
              <w:jc w:val="left"/>
              <w:rPr>
                <w:rFonts w:ascii="仿宋" w:hAnsi="仿宋" w:eastAsia="仿宋" w:cs="仿宋"/>
                <w:snapToGrid w:val="0"/>
                <w:kern w:val="0"/>
                <w:szCs w:val="21"/>
                <w:highlight w:val="none"/>
              </w:rPr>
            </w:pPr>
            <w:r>
              <w:rPr>
                <w:rStyle w:val="78"/>
                <w:rFonts w:ascii="仿宋" w:hAnsi="仿宋" w:eastAsia="仿宋" w:cs="仿宋"/>
                <w:highlight w:val="none"/>
              </w:rPr>
              <w:t>项目设计方案</w:t>
            </w:r>
          </w:p>
        </w:tc>
        <w:tc>
          <w:tcPr>
            <w:tcW w:w="774" w:type="dxa"/>
            <w:vAlign w:val="center"/>
          </w:tcPr>
          <w:p>
            <w:pPr>
              <w:spacing w:line="400" w:lineRule="exact"/>
              <w:ind w:left="31" w:hanging="31" w:hangingChars="15"/>
              <w:jc w:val="center"/>
              <w:rPr>
                <w:rFonts w:ascii="仿宋" w:hAnsi="仿宋" w:eastAsia="仿宋" w:cs="仿宋"/>
                <w:szCs w:val="21"/>
                <w:highlight w:val="none"/>
              </w:rPr>
            </w:pPr>
            <w:r>
              <w:rPr>
                <w:rFonts w:hint="eastAsia" w:ascii="仿宋" w:hAnsi="仿宋" w:eastAsia="仿宋" w:cs="仿宋"/>
                <w:szCs w:val="21"/>
                <w:highlight w:val="none"/>
              </w:rPr>
              <w:t>0-6</w:t>
            </w:r>
          </w:p>
        </w:tc>
        <w:tc>
          <w:tcPr>
            <w:tcW w:w="4395" w:type="dxa"/>
            <w:vAlign w:val="center"/>
          </w:tcPr>
          <w:p>
            <w:pPr>
              <w:spacing w:line="400" w:lineRule="exact"/>
              <w:rPr>
                <w:rFonts w:ascii="仿宋" w:hAnsi="仿宋" w:eastAsia="仿宋" w:cs="仿宋"/>
                <w:kern w:val="0"/>
                <w:szCs w:val="21"/>
                <w:highlight w:val="none"/>
              </w:rPr>
            </w:pPr>
            <w:r>
              <w:rPr>
                <w:rStyle w:val="78"/>
                <w:rFonts w:ascii="仿宋" w:hAnsi="仿宋" w:eastAsia="仿宋" w:cs="仿宋"/>
                <w:bCs/>
                <w:highlight w:val="none"/>
              </w:rPr>
              <w:t>投标人根据项目现场实际情况与采购需求进行整体规划设计，根据投标人对招标范围内的空间所提供的平面布置图、产品布置说明方案以及</w:t>
            </w:r>
            <w:r>
              <w:rPr>
                <w:rStyle w:val="78"/>
                <w:rFonts w:hint="eastAsia" w:ascii="仿宋" w:hAnsi="仿宋" w:eastAsia="仿宋" w:cs="仿宋"/>
                <w:bCs/>
                <w:highlight w:val="none"/>
              </w:rPr>
              <w:t>彩色</w:t>
            </w:r>
            <w:r>
              <w:rPr>
                <w:rStyle w:val="78"/>
                <w:rFonts w:ascii="仿宋" w:hAnsi="仿宋" w:eastAsia="仿宋" w:cs="仿宋"/>
                <w:bCs/>
                <w:highlight w:val="none"/>
              </w:rPr>
              <w:t>效果图与现场条件的匹配性、实用性、科学性。图纸和说明方案规范，完整，准确性强，结构合理的，完全符合需求得6分；图纸和说明方案较规范，相对完整，准确性较强，结构较合理的，相对符合需求的得</w:t>
            </w:r>
            <w:r>
              <w:rPr>
                <w:rStyle w:val="78"/>
                <w:rFonts w:hint="eastAsia" w:ascii="仿宋" w:hAnsi="仿宋" w:eastAsia="仿宋" w:cs="仿宋"/>
                <w:bCs/>
                <w:highlight w:val="none"/>
              </w:rPr>
              <w:t>4</w:t>
            </w:r>
            <w:r>
              <w:rPr>
                <w:rStyle w:val="78"/>
                <w:rFonts w:ascii="仿宋" w:hAnsi="仿宋" w:eastAsia="仿宋" w:cs="仿宋"/>
                <w:bCs/>
                <w:highlight w:val="none"/>
              </w:rPr>
              <w:t>分；图纸和说明方案基本规范，基本完整，准确性较弱，结构基本合理的，基本符合需求的得</w:t>
            </w:r>
            <w:r>
              <w:rPr>
                <w:rStyle w:val="78"/>
                <w:rFonts w:hint="eastAsia" w:ascii="仿宋" w:hAnsi="仿宋" w:eastAsia="仿宋" w:cs="仿宋"/>
                <w:bCs/>
                <w:highlight w:val="none"/>
              </w:rPr>
              <w:t>2</w:t>
            </w:r>
            <w:r>
              <w:rPr>
                <w:rStyle w:val="78"/>
                <w:rFonts w:ascii="仿宋" w:hAnsi="仿宋" w:eastAsia="仿宋" w:cs="仿宋"/>
                <w:bCs/>
                <w:highlight w:val="none"/>
              </w:rPr>
              <w:t>分；不提供</w:t>
            </w:r>
            <w:r>
              <w:rPr>
                <w:rFonts w:hint="eastAsia" w:ascii="仿宋" w:hAnsi="仿宋" w:eastAsia="仿宋" w:cs="仿宋"/>
                <w:bCs/>
                <w:szCs w:val="21"/>
                <w:highlight w:val="none"/>
                <w:lang w:val="zh-CN"/>
              </w:rPr>
              <w:t>得0分</w:t>
            </w:r>
            <w:r>
              <w:rPr>
                <w:rStyle w:val="78"/>
                <w:rFonts w:ascii="仿宋" w:hAnsi="仿宋" w:eastAsia="仿宋" w:cs="仿宋"/>
                <w:bCs/>
                <w:highlight w:val="none"/>
              </w:rPr>
              <w:t>。</w:t>
            </w:r>
          </w:p>
        </w:tc>
        <w:tc>
          <w:tcPr>
            <w:tcW w:w="899" w:type="dxa"/>
            <w:vAlign w:val="center"/>
          </w:tcPr>
          <w:p>
            <w:pPr>
              <w:spacing w:line="400" w:lineRule="exact"/>
              <w:jc w:val="center"/>
              <w:rPr>
                <w:rFonts w:ascii="仿宋" w:hAnsi="仿宋" w:eastAsia="仿宋" w:cs="仿宋"/>
                <w:bCs/>
                <w:szCs w:val="21"/>
                <w:highlight w:val="none"/>
              </w:rPr>
            </w:pPr>
            <w:r>
              <w:rPr>
                <w:rFonts w:hint="eastAsia" w:ascii="仿宋" w:hAnsi="仿宋" w:eastAsia="仿宋" w:cs="仿宋"/>
                <w:bCs/>
                <w:szCs w:val="21"/>
                <w:highlight w:val="none"/>
              </w:rPr>
              <w:t>主观分</w:t>
            </w:r>
          </w:p>
        </w:tc>
        <w:tc>
          <w:tcPr>
            <w:tcW w:w="1071" w:type="dxa"/>
            <w:vAlign w:val="center"/>
          </w:tcPr>
          <w:p>
            <w:pPr>
              <w:spacing w:line="400" w:lineRule="exact"/>
              <w:jc w:val="left"/>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759" w:type="dxa"/>
            <w:vMerge w:val="continue"/>
            <w:vAlign w:val="center"/>
          </w:tcPr>
          <w:p>
            <w:pPr>
              <w:autoSpaceDE w:val="0"/>
              <w:autoSpaceDN w:val="0"/>
              <w:spacing w:line="400" w:lineRule="exact"/>
              <w:jc w:val="center"/>
              <w:rPr>
                <w:rStyle w:val="78"/>
                <w:rFonts w:ascii="仿宋" w:hAnsi="仿宋" w:eastAsia="仿宋" w:cs="仿宋"/>
                <w:bCs/>
                <w:highlight w:val="none"/>
              </w:rPr>
            </w:pPr>
          </w:p>
        </w:tc>
        <w:tc>
          <w:tcPr>
            <w:tcW w:w="1110" w:type="dxa"/>
            <w:vMerge w:val="continue"/>
            <w:vAlign w:val="center"/>
          </w:tcPr>
          <w:p>
            <w:pPr>
              <w:spacing w:line="400" w:lineRule="exact"/>
              <w:ind w:left="31" w:hanging="31" w:hangingChars="15"/>
              <w:jc w:val="left"/>
              <w:rPr>
                <w:rFonts w:ascii="仿宋" w:hAnsi="仿宋" w:eastAsia="仿宋" w:cs="仿宋"/>
                <w:snapToGrid w:val="0"/>
                <w:kern w:val="0"/>
                <w:szCs w:val="21"/>
                <w:highlight w:val="none"/>
              </w:rPr>
            </w:pPr>
          </w:p>
        </w:tc>
        <w:tc>
          <w:tcPr>
            <w:tcW w:w="774" w:type="dxa"/>
            <w:vAlign w:val="center"/>
          </w:tcPr>
          <w:p>
            <w:pPr>
              <w:spacing w:line="400" w:lineRule="exact"/>
              <w:ind w:left="31" w:hanging="31" w:hangingChars="15"/>
              <w:jc w:val="center"/>
              <w:rPr>
                <w:rFonts w:ascii="仿宋" w:hAnsi="仿宋" w:eastAsia="仿宋" w:cs="仿宋"/>
                <w:szCs w:val="21"/>
                <w:highlight w:val="none"/>
              </w:rPr>
            </w:pPr>
            <w:r>
              <w:rPr>
                <w:rFonts w:hint="eastAsia" w:ascii="仿宋" w:hAnsi="仿宋" w:eastAsia="仿宋" w:cs="仿宋"/>
                <w:szCs w:val="21"/>
                <w:highlight w:val="none"/>
              </w:rPr>
              <w:t>0-2</w:t>
            </w:r>
          </w:p>
        </w:tc>
        <w:tc>
          <w:tcPr>
            <w:tcW w:w="4395" w:type="dxa"/>
            <w:vAlign w:val="center"/>
          </w:tcPr>
          <w:p>
            <w:pPr>
              <w:spacing w:line="400" w:lineRule="exact"/>
              <w:rPr>
                <w:rFonts w:ascii="宋体" w:hAnsi="宋体" w:cs="宋体"/>
                <w:kern w:val="0"/>
                <w:sz w:val="18"/>
                <w:szCs w:val="18"/>
                <w:highlight w:val="none"/>
              </w:rPr>
            </w:pPr>
            <w:r>
              <w:rPr>
                <w:rStyle w:val="78"/>
                <w:rFonts w:ascii="仿宋" w:hAnsi="仿宋" w:eastAsia="仿宋" w:cs="仿宋"/>
                <w:bCs/>
                <w:highlight w:val="none"/>
              </w:rPr>
              <w:t>投标人提供</w:t>
            </w:r>
            <w:r>
              <w:rPr>
                <w:rStyle w:val="78"/>
                <w:rFonts w:hint="eastAsia" w:ascii="仿宋" w:hAnsi="仿宋" w:eastAsia="仿宋" w:cs="仿宋"/>
                <w:bCs/>
                <w:highlight w:val="none"/>
              </w:rPr>
              <w:t>门厅</w:t>
            </w:r>
            <w:r>
              <w:rPr>
                <w:rStyle w:val="78"/>
                <w:rFonts w:ascii="仿宋" w:hAnsi="仿宋" w:eastAsia="仿宋" w:cs="仿宋"/>
                <w:bCs/>
                <w:highlight w:val="none"/>
              </w:rPr>
              <w:t>主题展示墙设计</w:t>
            </w:r>
            <w:r>
              <w:rPr>
                <w:rStyle w:val="78"/>
                <w:rFonts w:hint="eastAsia" w:ascii="仿宋" w:hAnsi="仿宋" w:eastAsia="仿宋" w:cs="仿宋"/>
                <w:bCs/>
                <w:highlight w:val="none"/>
              </w:rPr>
              <w:t>方案及效果图，方案理念、内容完全</w:t>
            </w:r>
            <w:r>
              <w:rPr>
                <w:rStyle w:val="78"/>
                <w:rFonts w:ascii="仿宋" w:hAnsi="仿宋" w:eastAsia="仿宋" w:cs="仿宋"/>
                <w:bCs/>
                <w:highlight w:val="none"/>
              </w:rPr>
              <w:t>完全符合需求得2分；相对符合需求的得1分；</w:t>
            </w:r>
            <w:r>
              <w:rPr>
                <w:rStyle w:val="78"/>
                <w:rFonts w:hint="eastAsia" w:ascii="仿宋" w:hAnsi="仿宋" w:eastAsia="仿宋" w:cs="仿宋"/>
                <w:bCs/>
                <w:kern w:val="0"/>
                <w:highlight w:val="none"/>
              </w:rPr>
              <w:t>不提供</w:t>
            </w:r>
            <w:r>
              <w:rPr>
                <w:rStyle w:val="78"/>
                <w:rFonts w:hint="eastAsia" w:ascii="仿宋" w:hAnsi="仿宋" w:eastAsia="仿宋" w:cs="仿宋"/>
                <w:highlight w:val="none"/>
              </w:rPr>
              <w:t>得0分</w:t>
            </w:r>
            <w:r>
              <w:rPr>
                <w:rStyle w:val="78"/>
                <w:rFonts w:hint="eastAsia" w:ascii="仿宋" w:hAnsi="仿宋" w:eastAsia="仿宋" w:cs="仿宋"/>
                <w:bCs/>
                <w:kern w:val="0"/>
                <w:highlight w:val="none"/>
              </w:rPr>
              <w:t>。</w:t>
            </w:r>
          </w:p>
        </w:tc>
        <w:tc>
          <w:tcPr>
            <w:tcW w:w="899" w:type="dxa"/>
            <w:vAlign w:val="center"/>
          </w:tcPr>
          <w:p>
            <w:pPr>
              <w:spacing w:line="400" w:lineRule="exact"/>
              <w:jc w:val="center"/>
              <w:rPr>
                <w:rFonts w:ascii="仿宋" w:hAnsi="仿宋" w:eastAsia="仿宋" w:cs="仿宋"/>
                <w:bCs/>
                <w:szCs w:val="21"/>
                <w:highlight w:val="none"/>
              </w:rPr>
            </w:pPr>
            <w:r>
              <w:rPr>
                <w:rFonts w:hint="eastAsia" w:ascii="仿宋" w:hAnsi="仿宋" w:eastAsia="仿宋" w:cs="仿宋"/>
                <w:bCs/>
                <w:szCs w:val="21"/>
                <w:highlight w:val="none"/>
              </w:rPr>
              <w:t>主观分</w:t>
            </w:r>
          </w:p>
        </w:tc>
        <w:tc>
          <w:tcPr>
            <w:tcW w:w="1071" w:type="dxa"/>
            <w:vAlign w:val="center"/>
          </w:tcPr>
          <w:p>
            <w:pPr>
              <w:spacing w:line="400" w:lineRule="exact"/>
              <w:jc w:val="left"/>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759" w:type="dxa"/>
            <w:vAlign w:val="center"/>
          </w:tcPr>
          <w:p>
            <w:pPr>
              <w:autoSpaceDE w:val="0"/>
              <w:autoSpaceDN w:val="0"/>
              <w:spacing w:line="400" w:lineRule="exact"/>
              <w:jc w:val="center"/>
              <w:rPr>
                <w:rStyle w:val="78"/>
                <w:rFonts w:hint="eastAsia" w:ascii="仿宋" w:hAnsi="仿宋" w:eastAsia="仿宋" w:cs="仿宋"/>
                <w:bCs/>
                <w:highlight w:val="none"/>
                <w:lang w:eastAsia="zh-CN"/>
              </w:rPr>
            </w:pPr>
            <w:r>
              <w:rPr>
                <w:rStyle w:val="78"/>
                <w:rFonts w:hint="eastAsia" w:ascii="仿宋" w:hAnsi="仿宋" w:eastAsia="仿宋" w:cs="仿宋"/>
                <w:bCs/>
                <w:highlight w:val="none"/>
                <w:lang w:val="en-US" w:eastAsia="zh-CN"/>
              </w:rPr>
              <w:t>5</w:t>
            </w:r>
          </w:p>
        </w:tc>
        <w:tc>
          <w:tcPr>
            <w:tcW w:w="1110" w:type="dxa"/>
            <w:vAlign w:val="center"/>
          </w:tcPr>
          <w:p>
            <w:pPr>
              <w:spacing w:line="400" w:lineRule="exact"/>
              <w:ind w:left="31" w:hanging="31" w:hangingChars="15"/>
              <w:jc w:val="left"/>
              <w:rPr>
                <w:rFonts w:ascii="仿宋" w:hAnsi="仿宋" w:eastAsia="仿宋" w:cs="仿宋"/>
                <w:szCs w:val="21"/>
                <w:highlight w:val="none"/>
              </w:rPr>
            </w:pPr>
            <w:r>
              <w:rPr>
                <w:rFonts w:hint="eastAsia" w:ascii="仿宋" w:hAnsi="仿宋" w:eastAsia="仿宋" w:cs="仿宋"/>
                <w:szCs w:val="21"/>
                <w:highlight w:val="none"/>
              </w:rPr>
              <w:t>项目实施组织方案</w:t>
            </w:r>
          </w:p>
        </w:tc>
        <w:tc>
          <w:tcPr>
            <w:tcW w:w="774" w:type="dxa"/>
            <w:vAlign w:val="center"/>
          </w:tcPr>
          <w:p>
            <w:pPr>
              <w:spacing w:line="400" w:lineRule="exact"/>
              <w:ind w:left="31" w:hanging="31" w:hangingChars="15"/>
              <w:jc w:val="center"/>
              <w:rPr>
                <w:rFonts w:ascii="仿宋" w:hAnsi="仿宋" w:eastAsia="仿宋" w:cs="仿宋"/>
                <w:szCs w:val="21"/>
                <w:highlight w:val="none"/>
              </w:rPr>
            </w:pPr>
            <w:r>
              <w:rPr>
                <w:rFonts w:hint="eastAsia" w:ascii="仿宋" w:hAnsi="仿宋" w:eastAsia="仿宋" w:cs="仿宋"/>
                <w:szCs w:val="21"/>
                <w:highlight w:val="none"/>
              </w:rPr>
              <w:t>0-5</w:t>
            </w:r>
          </w:p>
        </w:tc>
        <w:tc>
          <w:tcPr>
            <w:tcW w:w="4395" w:type="dxa"/>
            <w:vAlign w:val="center"/>
          </w:tcPr>
          <w:p>
            <w:pPr>
              <w:spacing w:line="400" w:lineRule="exact"/>
              <w:rPr>
                <w:rFonts w:ascii="仿宋" w:hAnsi="仿宋" w:eastAsia="仿宋" w:cs="仿宋"/>
                <w:szCs w:val="21"/>
                <w:highlight w:val="none"/>
              </w:rPr>
            </w:pPr>
            <w:r>
              <w:rPr>
                <w:rFonts w:hint="eastAsia" w:ascii="仿宋" w:hAnsi="仿宋" w:eastAsia="仿宋" w:cs="仿宋"/>
                <w:szCs w:val="21"/>
                <w:highlight w:val="none"/>
              </w:rPr>
              <w:t>项目实施组织</w:t>
            </w:r>
            <w:r>
              <w:rPr>
                <w:rFonts w:hint="eastAsia" w:ascii="仿宋" w:hAnsi="仿宋" w:eastAsia="仿宋" w:cs="仿宋"/>
                <w:bCs/>
                <w:szCs w:val="21"/>
                <w:highlight w:val="none"/>
                <w:lang w:val="zh-CN"/>
              </w:rPr>
              <w:t>方案（包括供货组织方案、安装方案、施工质量、施工安全、计划安排和进度保证措施、</w:t>
            </w:r>
            <w:r>
              <w:rPr>
                <w:rFonts w:hint="eastAsia" w:ascii="仿宋" w:hAnsi="仿宋" w:eastAsia="仿宋" w:cs="仿宋"/>
                <w:bCs/>
                <w:szCs w:val="21"/>
                <w:highlight w:val="none"/>
              </w:rPr>
              <w:t>应急预</w:t>
            </w:r>
            <w:r>
              <w:rPr>
                <w:rFonts w:hint="eastAsia" w:ascii="仿宋" w:hAnsi="仿宋" w:eastAsia="仿宋" w:cs="仿宋"/>
                <w:bCs/>
                <w:szCs w:val="21"/>
                <w:highlight w:val="none"/>
                <w:lang w:val="zh-CN"/>
              </w:rPr>
              <w:t>案）完整性、需求满足性：</w:t>
            </w:r>
            <w:r>
              <w:rPr>
                <w:rStyle w:val="78"/>
                <w:rFonts w:hint="eastAsia" w:ascii="仿宋" w:hAnsi="仿宋" w:eastAsia="仿宋" w:cs="仿宋"/>
                <w:bCs/>
                <w:highlight w:val="none"/>
                <w:lang w:val="zh-CN"/>
              </w:rPr>
              <w:t>方案齐全、内容完整，满足采购需求的得</w:t>
            </w:r>
            <w:r>
              <w:rPr>
                <w:rStyle w:val="78"/>
                <w:rFonts w:hint="eastAsia" w:ascii="仿宋" w:hAnsi="仿宋" w:eastAsia="仿宋" w:cs="仿宋"/>
                <w:bCs/>
                <w:highlight w:val="none"/>
              </w:rPr>
              <w:t>5</w:t>
            </w:r>
            <w:r>
              <w:rPr>
                <w:rStyle w:val="78"/>
                <w:rFonts w:hint="eastAsia" w:ascii="仿宋" w:hAnsi="仿宋" w:eastAsia="仿宋" w:cs="仿宋"/>
                <w:bCs/>
                <w:highlight w:val="none"/>
                <w:lang w:val="zh-CN"/>
              </w:rPr>
              <w:t>分，方案齐全、内容基本完整、基本满足采购需求的得</w:t>
            </w:r>
            <w:r>
              <w:rPr>
                <w:rStyle w:val="78"/>
                <w:rFonts w:hint="eastAsia" w:ascii="仿宋" w:hAnsi="仿宋" w:eastAsia="仿宋" w:cs="仿宋"/>
                <w:bCs/>
                <w:highlight w:val="none"/>
              </w:rPr>
              <w:t>3</w:t>
            </w:r>
            <w:r>
              <w:rPr>
                <w:rStyle w:val="78"/>
                <w:rFonts w:hint="eastAsia" w:ascii="仿宋" w:hAnsi="仿宋" w:eastAsia="仿宋" w:cs="仿宋"/>
                <w:bCs/>
                <w:highlight w:val="none"/>
                <w:lang w:val="zh-CN"/>
              </w:rPr>
              <w:t>分，</w:t>
            </w:r>
            <w:r>
              <w:rPr>
                <w:rStyle w:val="78"/>
                <w:rFonts w:hint="eastAsia" w:ascii="仿宋" w:hAnsi="仿宋" w:eastAsia="仿宋" w:cs="仿宋"/>
                <w:bCs/>
                <w:highlight w:val="none"/>
              </w:rPr>
              <w:t>实施方案有缺陷、思路不清的得1分；无</w:t>
            </w:r>
            <w:r>
              <w:rPr>
                <w:rStyle w:val="78"/>
                <w:rFonts w:hint="eastAsia" w:ascii="仿宋" w:hAnsi="仿宋" w:eastAsia="仿宋" w:cs="仿宋"/>
                <w:bCs/>
                <w:highlight w:val="none"/>
                <w:lang w:val="zh-CN"/>
              </w:rPr>
              <w:t>方案的得0分。</w:t>
            </w:r>
          </w:p>
        </w:tc>
        <w:tc>
          <w:tcPr>
            <w:tcW w:w="899" w:type="dxa"/>
            <w:vAlign w:val="center"/>
          </w:tcPr>
          <w:p>
            <w:pPr>
              <w:spacing w:line="400" w:lineRule="exact"/>
              <w:jc w:val="center"/>
              <w:rPr>
                <w:rFonts w:ascii="仿宋" w:hAnsi="仿宋" w:eastAsia="仿宋" w:cs="仿宋"/>
                <w:szCs w:val="21"/>
                <w:highlight w:val="none"/>
              </w:rPr>
            </w:pPr>
            <w:r>
              <w:rPr>
                <w:rFonts w:hint="eastAsia" w:ascii="仿宋" w:hAnsi="仿宋" w:eastAsia="仿宋" w:cs="仿宋"/>
                <w:bCs/>
                <w:szCs w:val="21"/>
                <w:highlight w:val="none"/>
              </w:rPr>
              <w:t>主观分</w:t>
            </w:r>
          </w:p>
        </w:tc>
        <w:tc>
          <w:tcPr>
            <w:tcW w:w="1071" w:type="dxa"/>
            <w:vAlign w:val="center"/>
          </w:tcPr>
          <w:p>
            <w:pPr>
              <w:spacing w:line="400" w:lineRule="exact"/>
              <w:jc w:val="left"/>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759" w:type="dxa"/>
            <w:vAlign w:val="center"/>
          </w:tcPr>
          <w:p>
            <w:pPr>
              <w:autoSpaceDE w:val="0"/>
              <w:autoSpaceDN w:val="0"/>
              <w:spacing w:line="400" w:lineRule="exact"/>
              <w:jc w:val="center"/>
              <w:rPr>
                <w:rStyle w:val="78"/>
                <w:rFonts w:hint="eastAsia" w:ascii="仿宋" w:hAnsi="仿宋" w:eastAsia="仿宋" w:cs="仿宋"/>
                <w:bCs/>
                <w:highlight w:val="none"/>
                <w:lang w:eastAsia="zh-CN"/>
              </w:rPr>
            </w:pPr>
            <w:r>
              <w:rPr>
                <w:rStyle w:val="78"/>
                <w:rFonts w:hint="eastAsia" w:ascii="仿宋" w:hAnsi="仿宋" w:eastAsia="仿宋" w:cs="仿宋"/>
                <w:bCs/>
                <w:highlight w:val="none"/>
                <w:lang w:val="en-US" w:eastAsia="zh-CN"/>
              </w:rPr>
              <w:t>6</w:t>
            </w:r>
          </w:p>
        </w:tc>
        <w:tc>
          <w:tcPr>
            <w:tcW w:w="1110" w:type="dxa"/>
            <w:vAlign w:val="center"/>
          </w:tcPr>
          <w:p>
            <w:pPr>
              <w:spacing w:line="400" w:lineRule="exact"/>
              <w:ind w:left="31" w:hanging="31" w:hangingChars="15"/>
              <w:jc w:val="left"/>
              <w:rPr>
                <w:rFonts w:ascii="仿宋" w:hAnsi="仿宋" w:eastAsia="仿宋" w:cs="仿宋"/>
                <w:szCs w:val="21"/>
                <w:highlight w:val="none"/>
              </w:rPr>
            </w:pPr>
            <w:r>
              <w:rPr>
                <w:rFonts w:hint="eastAsia" w:ascii="仿宋" w:hAnsi="仿宋" w:eastAsia="仿宋" w:cs="仿宋"/>
                <w:bCs/>
                <w:szCs w:val="21"/>
                <w:highlight w:val="none"/>
                <w:lang w:val="zh-CN"/>
              </w:rPr>
              <w:t>项目培训方案</w:t>
            </w:r>
          </w:p>
        </w:tc>
        <w:tc>
          <w:tcPr>
            <w:tcW w:w="774" w:type="dxa"/>
            <w:vAlign w:val="center"/>
          </w:tcPr>
          <w:p>
            <w:pPr>
              <w:spacing w:line="400" w:lineRule="exact"/>
              <w:ind w:left="31" w:hanging="31" w:hangingChars="15"/>
              <w:jc w:val="center"/>
              <w:rPr>
                <w:rFonts w:ascii="仿宋" w:hAnsi="仿宋" w:eastAsia="仿宋" w:cs="仿宋"/>
                <w:szCs w:val="21"/>
                <w:highlight w:val="none"/>
              </w:rPr>
            </w:pPr>
            <w:r>
              <w:rPr>
                <w:rFonts w:hint="eastAsia" w:ascii="仿宋" w:hAnsi="仿宋" w:eastAsia="仿宋" w:cs="仿宋"/>
                <w:szCs w:val="21"/>
                <w:highlight w:val="none"/>
              </w:rPr>
              <w:t>0-3</w:t>
            </w:r>
          </w:p>
        </w:tc>
        <w:tc>
          <w:tcPr>
            <w:tcW w:w="4395" w:type="dxa"/>
            <w:vAlign w:val="center"/>
          </w:tcPr>
          <w:p>
            <w:pPr>
              <w:spacing w:line="400" w:lineRule="exact"/>
              <w:rPr>
                <w:rFonts w:ascii="仿宋" w:hAnsi="仿宋" w:eastAsia="仿宋" w:cs="仿宋"/>
                <w:szCs w:val="21"/>
                <w:highlight w:val="none"/>
              </w:rPr>
            </w:pPr>
            <w:r>
              <w:rPr>
                <w:rFonts w:hint="eastAsia" w:ascii="仿宋" w:hAnsi="仿宋" w:eastAsia="仿宋" w:cs="仿宋"/>
                <w:bCs/>
                <w:szCs w:val="21"/>
                <w:highlight w:val="none"/>
                <w:lang w:val="zh-CN"/>
              </w:rPr>
              <w:t>项目培训方案（包括培训方案、培训计划、培训内容并符合采购需求）内容完整、措施有效、符合采购人实际需求得</w:t>
            </w:r>
            <w:r>
              <w:rPr>
                <w:rFonts w:hint="eastAsia" w:ascii="仿宋" w:hAnsi="仿宋" w:eastAsia="仿宋" w:cs="仿宋"/>
                <w:bCs/>
                <w:szCs w:val="21"/>
                <w:highlight w:val="none"/>
              </w:rPr>
              <w:t>3</w:t>
            </w:r>
            <w:r>
              <w:rPr>
                <w:rFonts w:hint="eastAsia" w:ascii="仿宋" w:hAnsi="仿宋" w:eastAsia="仿宋" w:cs="仿宋"/>
                <w:bCs/>
                <w:szCs w:val="21"/>
                <w:highlight w:val="none"/>
                <w:lang w:val="zh-CN"/>
              </w:rPr>
              <w:t>分；内容较完整、措施较有效、基本符合采购人实际需求得</w:t>
            </w:r>
            <w:r>
              <w:rPr>
                <w:rFonts w:hint="eastAsia" w:ascii="仿宋" w:hAnsi="仿宋" w:eastAsia="仿宋" w:cs="仿宋"/>
                <w:bCs/>
                <w:szCs w:val="21"/>
                <w:highlight w:val="none"/>
              </w:rPr>
              <w:t>2</w:t>
            </w:r>
            <w:r>
              <w:rPr>
                <w:rFonts w:hint="eastAsia" w:ascii="仿宋" w:hAnsi="仿宋" w:eastAsia="仿宋" w:cs="仿宋"/>
                <w:bCs/>
                <w:szCs w:val="21"/>
                <w:highlight w:val="none"/>
                <w:lang w:val="zh-CN"/>
              </w:rPr>
              <w:t>分；内容有缺陷，不太符合采购人实际需求得1分；不满足或未提供得0分。</w:t>
            </w:r>
          </w:p>
        </w:tc>
        <w:tc>
          <w:tcPr>
            <w:tcW w:w="899" w:type="dxa"/>
            <w:vAlign w:val="center"/>
          </w:tcPr>
          <w:p>
            <w:pPr>
              <w:spacing w:line="400" w:lineRule="exact"/>
              <w:jc w:val="center"/>
              <w:rPr>
                <w:rFonts w:ascii="仿宋" w:hAnsi="仿宋" w:eastAsia="仿宋" w:cs="仿宋"/>
                <w:bCs/>
                <w:szCs w:val="21"/>
                <w:highlight w:val="none"/>
              </w:rPr>
            </w:pPr>
            <w:r>
              <w:rPr>
                <w:rFonts w:hint="eastAsia" w:ascii="仿宋" w:hAnsi="仿宋" w:eastAsia="仿宋" w:cs="仿宋"/>
                <w:bCs/>
                <w:szCs w:val="21"/>
                <w:highlight w:val="none"/>
              </w:rPr>
              <w:t>主观分</w:t>
            </w:r>
          </w:p>
        </w:tc>
        <w:tc>
          <w:tcPr>
            <w:tcW w:w="1071" w:type="dxa"/>
            <w:vAlign w:val="center"/>
          </w:tcPr>
          <w:p>
            <w:pPr>
              <w:spacing w:line="400" w:lineRule="exact"/>
              <w:jc w:val="left"/>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Align w:val="center"/>
          </w:tcPr>
          <w:p>
            <w:pPr>
              <w:autoSpaceDE w:val="0"/>
              <w:autoSpaceDN w:val="0"/>
              <w:spacing w:line="400" w:lineRule="exact"/>
              <w:jc w:val="center"/>
              <w:rPr>
                <w:rStyle w:val="78"/>
                <w:rFonts w:hint="eastAsia" w:ascii="仿宋" w:hAnsi="仿宋" w:eastAsia="仿宋" w:cs="仿宋"/>
                <w:bCs/>
                <w:highlight w:val="none"/>
                <w:lang w:eastAsia="zh-CN"/>
              </w:rPr>
            </w:pPr>
            <w:r>
              <w:rPr>
                <w:rStyle w:val="78"/>
                <w:rFonts w:hint="eastAsia" w:ascii="仿宋" w:hAnsi="仿宋" w:eastAsia="仿宋" w:cs="仿宋"/>
                <w:bCs/>
                <w:highlight w:val="none"/>
                <w:lang w:val="en-US" w:eastAsia="zh-CN"/>
              </w:rPr>
              <w:t>7</w:t>
            </w:r>
          </w:p>
        </w:tc>
        <w:tc>
          <w:tcPr>
            <w:tcW w:w="1110" w:type="dxa"/>
            <w:vAlign w:val="center"/>
          </w:tcPr>
          <w:p>
            <w:pPr>
              <w:spacing w:line="400" w:lineRule="exact"/>
              <w:ind w:left="31" w:hanging="31" w:hangingChars="15"/>
              <w:jc w:val="center"/>
              <w:rPr>
                <w:rFonts w:ascii="仿宋" w:hAnsi="仿宋" w:eastAsia="仿宋" w:cs="仿宋"/>
                <w:bCs/>
                <w:kern w:val="0"/>
                <w:szCs w:val="21"/>
                <w:highlight w:val="none"/>
              </w:rPr>
            </w:pPr>
            <w:r>
              <w:rPr>
                <w:rFonts w:hint="eastAsia" w:ascii="仿宋" w:hAnsi="仿宋" w:eastAsia="仿宋" w:cs="仿宋"/>
                <w:szCs w:val="21"/>
                <w:highlight w:val="none"/>
              </w:rPr>
              <w:t>调试、验收等服务方案</w:t>
            </w:r>
          </w:p>
        </w:tc>
        <w:tc>
          <w:tcPr>
            <w:tcW w:w="774" w:type="dxa"/>
            <w:vAlign w:val="center"/>
          </w:tcPr>
          <w:p>
            <w:pPr>
              <w:spacing w:line="400" w:lineRule="exact"/>
              <w:ind w:left="31" w:hanging="31" w:hangingChars="15"/>
              <w:jc w:val="center"/>
              <w:rPr>
                <w:rStyle w:val="78"/>
                <w:rFonts w:ascii="仿宋" w:hAnsi="仿宋" w:eastAsia="仿宋" w:cs="仿宋"/>
                <w:bCs/>
                <w:highlight w:val="none"/>
              </w:rPr>
            </w:pPr>
            <w:r>
              <w:rPr>
                <w:rFonts w:hint="eastAsia" w:ascii="仿宋" w:hAnsi="仿宋" w:eastAsia="仿宋" w:cs="仿宋"/>
                <w:szCs w:val="21"/>
                <w:highlight w:val="none"/>
              </w:rPr>
              <w:t>0-3</w:t>
            </w:r>
          </w:p>
        </w:tc>
        <w:tc>
          <w:tcPr>
            <w:tcW w:w="4395" w:type="dxa"/>
            <w:vAlign w:val="center"/>
          </w:tcPr>
          <w:p>
            <w:pPr>
              <w:pStyle w:val="61"/>
              <w:spacing w:after="0" w:line="400" w:lineRule="exact"/>
              <w:ind w:left="0" w:leftChars="0" w:firstLine="0" w:firstLineChars="0"/>
              <w:rPr>
                <w:rFonts w:ascii="仿宋" w:hAnsi="仿宋" w:eastAsia="仿宋" w:cs="仿宋"/>
                <w:szCs w:val="21"/>
                <w:highlight w:val="none"/>
              </w:rPr>
            </w:pPr>
            <w:r>
              <w:rPr>
                <w:rFonts w:hint="eastAsia" w:ascii="仿宋" w:hAnsi="仿宋" w:eastAsia="仿宋" w:cs="仿宋"/>
                <w:szCs w:val="21"/>
                <w:highlight w:val="none"/>
              </w:rPr>
              <w:t>调试、验收等服务方案内容详实、计划明确、方案科学合理的得3分，内容较详实、计划欠缺、方案较科学合理的得2分，内容欠缺、计划紊乱的得1分，不合理、不可行或未提供的不得分。</w:t>
            </w:r>
          </w:p>
        </w:tc>
        <w:tc>
          <w:tcPr>
            <w:tcW w:w="899" w:type="dxa"/>
            <w:vAlign w:val="center"/>
          </w:tcPr>
          <w:p>
            <w:pPr>
              <w:spacing w:line="400" w:lineRule="exact"/>
              <w:jc w:val="center"/>
              <w:rPr>
                <w:rFonts w:ascii="仿宋" w:hAnsi="仿宋" w:eastAsia="仿宋" w:cs="仿宋"/>
                <w:szCs w:val="21"/>
                <w:highlight w:val="none"/>
              </w:rPr>
            </w:pPr>
            <w:r>
              <w:rPr>
                <w:rFonts w:hint="eastAsia" w:ascii="仿宋" w:hAnsi="仿宋" w:eastAsia="仿宋" w:cs="仿宋"/>
                <w:bCs/>
                <w:szCs w:val="21"/>
                <w:highlight w:val="none"/>
              </w:rPr>
              <w:t>主观分</w:t>
            </w:r>
          </w:p>
        </w:tc>
        <w:tc>
          <w:tcPr>
            <w:tcW w:w="1071" w:type="dxa"/>
            <w:vAlign w:val="center"/>
          </w:tcPr>
          <w:p>
            <w:pPr>
              <w:spacing w:line="400" w:lineRule="exact"/>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59" w:type="dxa"/>
            <w:vAlign w:val="center"/>
          </w:tcPr>
          <w:p>
            <w:pPr>
              <w:autoSpaceDE w:val="0"/>
              <w:autoSpaceDN w:val="0"/>
              <w:spacing w:line="400" w:lineRule="exact"/>
              <w:jc w:val="center"/>
              <w:rPr>
                <w:rStyle w:val="78"/>
                <w:rFonts w:hint="eastAsia" w:ascii="仿宋" w:hAnsi="仿宋" w:eastAsia="仿宋" w:cs="仿宋"/>
                <w:bCs/>
                <w:highlight w:val="none"/>
                <w:lang w:eastAsia="zh-CN"/>
              </w:rPr>
            </w:pPr>
            <w:r>
              <w:rPr>
                <w:rStyle w:val="78"/>
                <w:rFonts w:hint="eastAsia" w:ascii="仿宋" w:hAnsi="仿宋" w:eastAsia="仿宋" w:cs="仿宋"/>
                <w:bCs/>
                <w:highlight w:val="none"/>
                <w:lang w:val="en-US" w:eastAsia="zh-CN"/>
              </w:rPr>
              <w:t>8</w:t>
            </w:r>
          </w:p>
        </w:tc>
        <w:tc>
          <w:tcPr>
            <w:tcW w:w="1110" w:type="dxa"/>
            <w:vAlign w:val="center"/>
          </w:tcPr>
          <w:p>
            <w:pPr>
              <w:spacing w:line="400" w:lineRule="exact"/>
              <w:ind w:left="31" w:hanging="31" w:hangingChars="15"/>
              <w:jc w:val="center"/>
              <w:rPr>
                <w:rFonts w:ascii="仿宋" w:hAnsi="仿宋" w:eastAsia="仿宋" w:cs="仿宋"/>
                <w:szCs w:val="21"/>
                <w:highlight w:val="none"/>
              </w:rPr>
            </w:pPr>
            <w:r>
              <w:rPr>
                <w:rFonts w:hint="eastAsia" w:ascii="仿宋" w:hAnsi="仿宋" w:eastAsia="仿宋" w:cs="仿宋"/>
                <w:szCs w:val="21"/>
                <w:highlight w:val="none"/>
              </w:rPr>
              <w:t>项目人员配置</w:t>
            </w:r>
          </w:p>
        </w:tc>
        <w:tc>
          <w:tcPr>
            <w:tcW w:w="774" w:type="dxa"/>
            <w:vAlign w:val="center"/>
          </w:tcPr>
          <w:p>
            <w:pPr>
              <w:spacing w:line="400" w:lineRule="exact"/>
              <w:ind w:left="31" w:hanging="31" w:hangingChars="15"/>
              <w:jc w:val="center"/>
              <w:rPr>
                <w:rFonts w:ascii="仿宋" w:hAnsi="仿宋" w:eastAsia="仿宋" w:cs="仿宋"/>
                <w:szCs w:val="21"/>
                <w:highlight w:val="none"/>
              </w:rPr>
            </w:pPr>
            <w:r>
              <w:rPr>
                <w:rFonts w:hint="eastAsia" w:ascii="仿宋" w:hAnsi="仿宋" w:eastAsia="仿宋" w:cs="仿宋"/>
                <w:szCs w:val="21"/>
                <w:highlight w:val="none"/>
              </w:rPr>
              <w:t>0-3</w:t>
            </w:r>
          </w:p>
        </w:tc>
        <w:tc>
          <w:tcPr>
            <w:tcW w:w="4395" w:type="dxa"/>
            <w:vAlign w:val="center"/>
          </w:tcPr>
          <w:p>
            <w:pPr>
              <w:spacing w:line="400" w:lineRule="exact"/>
              <w:jc w:val="left"/>
              <w:rPr>
                <w:rFonts w:ascii="仿宋" w:hAnsi="仿宋" w:eastAsia="仿宋" w:cs="仿宋"/>
                <w:szCs w:val="21"/>
                <w:highlight w:val="none"/>
              </w:rPr>
            </w:pPr>
            <w:r>
              <w:rPr>
                <w:rFonts w:hint="eastAsia" w:ascii="仿宋" w:hAnsi="仿宋" w:eastAsia="仿宋" w:cs="仿宋"/>
                <w:szCs w:val="21"/>
                <w:highlight w:val="none"/>
              </w:rPr>
              <w:t>拟担任本项目</w:t>
            </w:r>
            <w:r>
              <w:rPr>
                <w:rFonts w:hint="eastAsia" w:ascii="仿宋" w:hAnsi="仿宋" w:eastAsia="仿宋" w:cs="仿宋"/>
                <w:kern w:val="0"/>
                <w:szCs w:val="21"/>
                <w:highlight w:val="none"/>
                <w:lang w:val="zh-CN"/>
              </w:rPr>
              <w:t>组织结构完全满足</w:t>
            </w:r>
            <w:r>
              <w:rPr>
                <w:rFonts w:hint="eastAsia" w:ascii="仿宋" w:hAnsi="仿宋" w:eastAsia="仿宋" w:cs="仿宋"/>
                <w:kern w:val="0"/>
                <w:szCs w:val="21"/>
                <w:highlight w:val="none"/>
              </w:rPr>
              <w:t>采购文件</w:t>
            </w:r>
            <w:r>
              <w:rPr>
                <w:rFonts w:hint="eastAsia" w:ascii="仿宋" w:hAnsi="仿宋" w:eastAsia="仿宋" w:cs="仿宋"/>
                <w:kern w:val="0"/>
                <w:szCs w:val="21"/>
                <w:highlight w:val="none"/>
                <w:lang w:val="zh-CN"/>
              </w:rPr>
              <w:t>要求，工作经验丰富、专业性强的得</w:t>
            </w:r>
            <w:r>
              <w:rPr>
                <w:rFonts w:hint="eastAsia" w:ascii="仿宋" w:hAnsi="仿宋" w:eastAsia="仿宋" w:cs="仿宋"/>
                <w:kern w:val="0"/>
                <w:szCs w:val="21"/>
                <w:highlight w:val="none"/>
              </w:rPr>
              <w:t>3</w:t>
            </w:r>
            <w:r>
              <w:rPr>
                <w:rFonts w:hint="eastAsia" w:ascii="仿宋" w:hAnsi="仿宋" w:eastAsia="仿宋" w:cs="仿宋"/>
                <w:kern w:val="0"/>
                <w:szCs w:val="21"/>
                <w:highlight w:val="none"/>
                <w:lang w:val="zh-CN"/>
              </w:rPr>
              <w:t>分，拟派人员组织结构基本满足用户要求，具有一定的经验和专业性的得</w:t>
            </w:r>
            <w:r>
              <w:rPr>
                <w:rFonts w:hint="eastAsia" w:ascii="仿宋" w:hAnsi="仿宋" w:eastAsia="仿宋" w:cs="仿宋"/>
                <w:kern w:val="0"/>
                <w:szCs w:val="21"/>
                <w:highlight w:val="none"/>
              </w:rPr>
              <w:t>2</w:t>
            </w:r>
            <w:r>
              <w:rPr>
                <w:rFonts w:hint="eastAsia" w:ascii="仿宋" w:hAnsi="仿宋" w:eastAsia="仿宋" w:cs="仿宋"/>
                <w:kern w:val="0"/>
                <w:szCs w:val="21"/>
                <w:highlight w:val="none"/>
                <w:lang w:val="zh-CN"/>
              </w:rPr>
              <w:t>分，拟派人员组织结构类似经验</w:t>
            </w:r>
            <w:r>
              <w:rPr>
                <w:rFonts w:hint="eastAsia" w:ascii="仿宋" w:hAnsi="仿宋" w:eastAsia="仿宋" w:cs="仿宋"/>
                <w:kern w:val="0"/>
                <w:szCs w:val="21"/>
                <w:highlight w:val="none"/>
              </w:rPr>
              <w:t>欠缺</w:t>
            </w:r>
            <w:r>
              <w:rPr>
                <w:rFonts w:hint="eastAsia" w:ascii="仿宋" w:hAnsi="仿宋" w:eastAsia="仿宋" w:cs="仿宋"/>
                <w:kern w:val="0"/>
                <w:szCs w:val="21"/>
                <w:highlight w:val="none"/>
                <w:lang w:val="zh-CN"/>
              </w:rPr>
              <w:t>、专业能力较差的得1分，</w:t>
            </w:r>
            <w:r>
              <w:rPr>
                <w:rFonts w:hint="eastAsia" w:ascii="仿宋" w:hAnsi="仿宋" w:eastAsia="仿宋" w:cs="仿宋"/>
                <w:bCs/>
                <w:szCs w:val="21"/>
                <w:highlight w:val="none"/>
              </w:rPr>
              <w:t>未提供或与项目需求不吻合的得0分</w:t>
            </w:r>
          </w:p>
        </w:tc>
        <w:tc>
          <w:tcPr>
            <w:tcW w:w="899" w:type="dxa"/>
            <w:vAlign w:val="center"/>
          </w:tcPr>
          <w:p>
            <w:pPr>
              <w:autoSpaceDE w:val="0"/>
              <w:autoSpaceDN w:val="0"/>
              <w:spacing w:line="400" w:lineRule="exact"/>
              <w:jc w:val="center"/>
              <w:rPr>
                <w:rFonts w:ascii="仿宋" w:hAnsi="仿宋" w:eastAsia="仿宋" w:cs="仿宋"/>
                <w:bCs/>
                <w:szCs w:val="21"/>
                <w:highlight w:val="none"/>
              </w:rPr>
            </w:pPr>
            <w:r>
              <w:rPr>
                <w:rFonts w:hint="eastAsia" w:ascii="仿宋" w:hAnsi="仿宋" w:eastAsia="仿宋" w:cs="仿宋"/>
                <w:bCs/>
                <w:szCs w:val="21"/>
                <w:highlight w:val="none"/>
              </w:rPr>
              <w:t>主观分</w:t>
            </w:r>
          </w:p>
        </w:tc>
        <w:tc>
          <w:tcPr>
            <w:tcW w:w="1071" w:type="dxa"/>
            <w:vAlign w:val="center"/>
          </w:tcPr>
          <w:p>
            <w:pPr>
              <w:autoSpaceDE w:val="0"/>
              <w:autoSpaceDN w:val="0"/>
              <w:spacing w:line="400" w:lineRule="exact"/>
              <w:rPr>
                <w:rStyle w:val="78"/>
                <w:rFonts w:ascii="仿宋" w:hAnsi="仿宋" w:eastAsia="仿宋" w:cs="仿宋"/>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59" w:type="dxa"/>
            <w:vMerge w:val="restart"/>
            <w:vAlign w:val="center"/>
          </w:tcPr>
          <w:p>
            <w:pPr>
              <w:autoSpaceDE w:val="0"/>
              <w:autoSpaceDN w:val="0"/>
              <w:spacing w:line="400" w:lineRule="exact"/>
              <w:jc w:val="center"/>
              <w:rPr>
                <w:rStyle w:val="78"/>
                <w:rFonts w:hint="eastAsia" w:ascii="仿宋" w:hAnsi="仿宋" w:eastAsia="仿宋" w:cs="仿宋"/>
                <w:bCs/>
                <w:highlight w:val="none"/>
                <w:lang w:eastAsia="zh-CN"/>
              </w:rPr>
            </w:pPr>
            <w:r>
              <w:rPr>
                <w:rStyle w:val="78"/>
                <w:rFonts w:hint="eastAsia" w:ascii="仿宋" w:hAnsi="仿宋" w:eastAsia="仿宋" w:cs="仿宋"/>
                <w:bCs/>
                <w:highlight w:val="none"/>
                <w:lang w:val="en-US" w:eastAsia="zh-CN"/>
              </w:rPr>
              <w:t>9</w:t>
            </w:r>
          </w:p>
        </w:tc>
        <w:tc>
          <w:tcPr>
            <w:tcW w:w="1110" w:type="dxa"/>
            <w:vMerge w:val="restart"/>
            <w:vAlign w:val="center"/>
          </w:tcPr>
          <w:p>
            <w:pPr>
              <w:spacing w:line="400" w:lineRule="exact"/>
              <w:ind w:left="31" w:hanging="31" w:hangingChars="15"/>
              <w:jc w:val="left"/>
              <w:rPr>
                <w:rFonts w:ascii="仿宋" w:hAnsi="仿宋" w:eastAsia="仿宋" w:cs="仿宋"/>
                <w:szCs w:val="21"/>
                <w:highlight w:val="none"/>
              </w:rPr>
            </w:pPr>
            <w:r>
              <w:rPr>
                <w:rFonts w:hint="eastAsia" w:ascii="仿宋" w:hAnsi="仿宋" w:eastAsia="仿宋" w:cs="仿宋"/>
                <w:szCs w:val="21"/>
                <w:highlight w:val="none"/>
              </w:rPr>
              <w:t>售后服务</w:t>
            </w:r>
          </w:p>
        </w:tc>
        <w:tc>
          <w:tcPr>
            <w:tcW w:w="774" w:type="dxa"/>
            <w:vAlign w:val="center"/>
          </w:tcPr>
          <w:p>
            <w:pPr>
              <w:spacing w:line="400" w:lineRule="exact"/>
              <w:ind w:left="31" w:hanging="31" w:hangingChars="15"/>
              <w:jc w:val="center"/>
              <w:rPr>
                <w:rStyle w:val="78"/>
                <w:rFonts w:ascii="仿宋" w:hAnsi="仿宋" w:eastAsia="仿宋" w:cs="仿宋"/>
                <w:bCs/>
                <w:highlight w:val="none"/>
              </w:rPr>
            </w:pPr>
            <w:r>
              <w:rPr>
                <w:rFonts w:hint="eastAsia" w:ascii="仿宋" w:hAnsi="仿宋" w:eastAsia="仿宋" w:cs="仿宋"/>
                <w:szCs w:val="21"/>
                <w:highlight w:val="none"/>
              </w:rPr>
              <w:t>0-3</w:t>
            </w:r>
          </w:p>
        </w:tc>
        <w:tc>
          <w:tcPr>
            <w:tcW w:w="4395" w:type="dxa"/>
            <w:vAlign w:val="center"/>
          </w:tcPr>
          <w:p>
            <w:pPr>
              <w:spacing w:line="400" w:lineRule="exact"/>
              <w:jc w:val="left"/>
              <w:rPr>
                <w:rFonts w:ascii="仿宋" w:hAnsi="仿宋" w:eastAsia="仿宋" w:cs="仿宋"/>
                <w:szCs w:val="21"/>
                <w:highlight w:val="none"/>
              </w:rPr>
            </w:pPr>
            <w:r>
              <w:rPr>
                <w:rFonts w:hint="eastAsia" w:ascii="仿宋" w:hAnsi="仿宋" w:eastAsia="仿宋" w:cs="仿宋"/>
                <w:szCs w:val="21"/>
                <w:highlight w:val="none"/>
              </w:rPr>
              <w:t>售后服务方案（售后服务承诺、维护人员和服务机构设置、保障措施、质保期外费用计取等情况）完整、可行性强的得3分，整体基本完整、可行的得2分，整体较差、可行性低得1分，不满足或未提供的得0分。</w:t>
            </w:r>
          </w:p>
        </w:tc>
        <w:tc>
          <w:tcPr>
            <w:tcW w:w="899" w:type="dxa"/>
            <w:vAlign w:val="center"/>
          </w:tcPr>
          <w:p>
            <w:pPr>
              <w:autoSpaceDE w:val="0"/>
              <w:autoSpaceDN w:val="0"/>
              <w:spacing w:line="400" w:lineRule="exact"/>
              <w:jc w:val="center"/>
              <w:rPr>
                <w:rStyle w:val="78"/>
                <w:rFonts w:ascii="仿宋" w:hAnsi="仿宋" w:eastAsia="仿宋" w:cs="仿宋"/>
                <w:kern w:val="0"/>
                <w:highlight w:val="none"/>
              </w:rPr>
            </w:pPr>
            <w:r>
              <w:rPr>
                <w:rFonts w:hint="eastAsia" w:ascii="仿宋" w:hAnsi="仿宋" w:eastAsia="仿宋" w:cs="仿宋"/>
                <w:bCs/>
                <w:szCs w:val="21"/>
                <w:highlight w:val="none"/>
              </w:rPr>
              <w:t>主观分</w:t>
            </w:r>
          </w:p>
        </w:tc>
        <w:tc>
          <w:tcPr>
            <w:tcW w:w="1071" w:type="dxa"/>
            <w:vAlign w:val="center"/>
          </w:tcPr>
          <w:p>
            <w:pPr>
              <w:autoSpaceDE w:val="0"/>
              <w:autoSpaceDN w:val="0"/>
              <w:spacing w:line="400" w:lineRule="exact"/>
              <w:rPr>
                <w:rStyle w:val="78"/>
                <w:rFonts w:ascii="仿宋" w:hAnsi="仿宋" w:eastAsia="仿宋" w:cs="仿宋"/>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59" w:type="dxa"/>
            <w:vMerge w:val="continue"/>
            <w:vAlign w:val="center"/>
          </w:tcPr>
          <w:p>
            <w:pPr>
              <w:autoSpaceDE w:val="0"/>
              <w:autoSpaceDN w:val="0"/>
              <w:spacing w:line="400" w:lineRule="exact"/>
              <w:jc w:val="center"/>
              <w:rPr>
                <w:rStyle w:val="78"/>
                <w:rFonts w:ascii="仿宋" w:hAnsi="仿宋" w:eastAsia="仿宋" w:cs="仿宋"/>
                <w:bCs/>
                <w:highlight w:val="none"/>
              </w:rPr>
            </w:pPr>
          </w:p>
        </w:tc>
        <w:tc>
          <w:tcPr>
            <w:tcW w:w="1110" w:type="dxa"/>
            <w:vMerge w:val="continue"/>
            <w:vAlign w:val="center"/>
          </w:tcPr>
          <w:p>
            <w:pPr>
              <w:spacing w:line="400" w:lineRule="exact"/>
              <w:ind w:left="31" w:hanging="31" w:hangingChars="15"/>
              <w:jc w:val="left"/>
              <w:rPr>
                <w:rFonts w:ascii="仿宋" w:hAnsi="仿宋" w:eastAsia="仿宋" w:cs="仿宋"/>
                <w:szCs w:val="21"/>
                <w:highlight w:val="none"/>
              </w:rPr>
            </w:pPr>
          </w:p>
        </w:tc>
        <w:tc>
          <w:tcPr>
            <w:tcW w:w="774" w:type="dxa"/>
            <w:vAlign w:val="center"/>
          </w:tcPr>
          <w:p>
            <w:pPr>
              <w:spacing w:line="400" w:lineRule="exact"/>
              <w:ind w:left="31" w:hanging="31" w:hangingChars="15"/>
              <w:jc w:val="center"/>
              <w:rPr>
                <w:rFonts w:ascii="仿宋" w:hAnsi="仿宋" w:eastAsia="仿宋" w:cs="仿宋"/>
                <w:szCs w:val="21"/>
                <w:highlight w:val="none"/>
              </w:rPr>
            </w:pPr>
            <w:r>
              <w:rPr>
                <w:rFonts w:hint="eastAsia" w:ascii="仿宋" w:hAnsi="仿宋" w:eastAsia="仿宋" w:cs="仿宋"/>
                <w:szCs w:val="21"/>
                <w:highlight w:val="none"/>
              </w:rPr>
              <w:t>0-2</w:t>
            </w:r>
          </w:p>
        </w:tc>
        <w:tc>
          <w:tcPr>
            <w:tcW w:w="4395" w:type="dxa"/>
            <w:vAlign w:val="center"/>
          </w:tcPr>
          <w:p>
            <w:pPr>
              <w:spacing w:line="400" w:lineRule="exact"/>
              <w:jc w:val="left"/>
              <w:rPr>
                <w:rFonts w:ascii="宋体" w:hAnsi="宋体" w:cs="宋体"/>
                <w:kern w:val="0"/>
                <w:sz w:val="18"/>
                <w:szCs w:val="18"/>
                <w:highlight w:val="none"/>
              </w:rPr>
            </w:pPr>
            <w:r>
              <w:rPr>
                <w:rFonts w:hint="eastAsia" w:ascii="仿宋" w:hAnsi="仿宋" w:eastAsia="仿宋" w:cs="仿宋"/>
                <w:szCs w:val="21"/>
                <w:highlight w:val="none"/>
              </w:rPr>
              <w:t>投标人提供满足项目需求的备品备件或可用于项目售后的备品备件清单，备品备件清单内容完整、规格产地清楚得2分；部分符合得1分；不符合或未提供0分。</w:t>
            </w:r>
          </w:p>
        </w:tc>
        <w:tc>
          <w:tcPr>
            <w:tcW w:w="899" w:type="dxa"/>
            <w:vAlign w:val="center"/>
          </w:tcPr>
          <w:p>
            <w:pPr>
              <w:autoSpaceDE w:val="0"/>
              <w:autoSpaceDN w:val="0"/>
              <w:spacing w:line="400" w:lineRule="exact"/>
              <w:jc w:val="center"/>
              <w:rPr>
                <w:rFonts w:ascii="仿宋" w:hAnsi="仿宋" w:eastAsia="仿宋" w:cs="仿宋"/>
                <w:bCs/>
                <w:szCs w:val="21"/>
                <w:highlight w:val="none"/>
              </w:rPr>
            </w:pPr>
          </w:p>
        </w:tc>
        <w:tc>
          <w:tcPr>
            <w:tcW w:w="1071" w:type="dxa"/>
            <w:vAlign w:val="center"/>
          </w:tcPr>
          <w:p>
            <w:pPr>
              <w:autoSpaceDE w:val="0"/>
              <w:autoSpaceDN w:val="0"/>
              <w:spacing w:line="400" w:lineRule="exact"/>
              <w:rPr>
                <w:rStyle w:val="78"/>
                <w:rFonts w:ascii="仿宋" w:hAnsi="仿宋" w:eastAsia="仿宋" w:cs="仿宋"/>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59" w:type="dxa"/>
            <w:vMerge w:val="restart"/>
            <w:vAlign w:val="center"/>
          </w:tcPr>
          <w:p>
            <w:pPr>
              <w:autoSpaceDE w:val="0"/>
              <w:autoSpaceDN w:val="0"/>
              <w:spacing w:line="400" w:lineRule="exact"/>
              <w:jc w:val="center"/>
              <w:rPr>
                <w:rStyle w:val="78"/>
                <w:rFonts w:hint="eastAsia" w:ascii="仿宋" w:hAnsi="仿宋" w:eastAsia="仿宋" w:cs="仿宋"/>
                <w:bCs/>
                <w:highlight w:val="none"/>
                <w:lang w:eastAsia="zh-CN"/>
              </w:rPr>
            </w:pPr>
            <w:r>
              <w:rPr>
                <w:rStyle w:val="78"/>
                <w:rFonts w:hint="eastAsia" w:ascii="仿宋" w:hAnsi="仿宋" w:eastAsia="仿宋" w:cs="仿宋"/>
                <w:bCs/>
                <w:highlight w:val="none"/>
              </w:rPr>
              <w:t>1</w:t>
            </w:r>
            <w:r>
              <w:rPr>
                <w:rStyle w:val="78"/>
                <w:rFonts w:hint="eastAsia" w:ascii="仿宋" w:hAnsi="仿宋" w:eastAsia="仿宋" w:cs="仿宋"/>
                <w:bCs/>
                <w:highlight w:val="none"/>
                <w:lang w:val="en-US" w:eastAsia="zh-CN"/>
              </w:rPr>
              <w:t>0</w:t>
            </w:r>
          </w:p>
        </w:tc>
        <w:tc>
          <w:tcPr>
            <w:tcW w:w="1110" w:type="dxa"/>
            <w:vMerge w:val="restart"/>
            <w:vAlign w:val="center"/>
          </w:tcPr>
          <w:p>
            <w:pPr>
              <w:spacing w:line="400" w:lineRule="exact"/>
              <w:jc w:val="left"/>
              <w:rPr>
                <w:rFonts w:ascii="仿宋" w:hAnsi="仿宋" w:eastAsia="仿宋" w:cs="仿宋"/>
                <w:bCs/>
                <w:kern w:val="0"/>
                <w:szCs w:val="21"/>
                <w:highlight w:val="none"/>
              </w:rPr>
            </w:pPr>
            <w:r>
              <w:rPr>
                <w:rFonts w:hint="eastAsia" w:ascii="仿宋" w:hAnsi="仿宋" w:eastAsia="仿宋" w:cs="仿宋"/>
                <w:szCs w:val="21"/>
                <w:highlight w:val="none"/>
              </w:rPr>
              <w:t>功能演示</w:t>
            </w:r>
          </w:p>
        </w:tc>
        <w:tc>
          <w:tcPr>
            <w:tcW w:w="774" w:type="dxa"/>
            <w:vAlign w:val="center"/>
          </w:tcPr>
          <w:p>
            <w:pPr>
              <w:spacing w:line="400" w:lineRule="exact"/>
              <w:jc w:val="center"/>
              <w:rPr>
                <w:rFonts w:ascii="仿宋" w:hAnsi="仿宋" w:eastAsia="仿宋" w:cs="仿宋"/>
                <w:bCs/>
                <w:kern w:val="0"/>
                <w:szCs w:val="21"/>
                <w:highlight w:val="none"/>
              </w:rPr>
            </w:pPr>
            <w:r>
              <w:rPr>
                <w:rFonts w:hint="eastAsia" w:ascii="仿宋" w:hAnsi="仿宋" w:eastAsia="仿宋" w:cs="仿宋"/>
                <w:szCs w:val="21"/>
                <w:highlight w:val="none"/>
              </w:rPr>
              <w:t>0-8</w:t>
            </w:r>
          </w:p>
        </w:tc>
        <w:tc>
          <w:tcPr>
            <w:tcW w:w="4395" w:type="dxa"/>
            <w:vAlign w:val="center"/>
          </w:tcPr>
          <w:p>
            <w:pPr>
              <w:widowControl/>
              <w:numPr>
                <w:ilvl w:val="255"/>
                <w:numId w:val="0"/>
              </w:numPr>
              <w:spacing w:line="360" w:lineRule="exact"/>
              <w:jc w:val="left"/>
              <w:rPr>
                <w:rFonts w:ascii="仿宋" w:hAnsi="仿宋" w:eastAsia="仿宋" w:cs="仿宋"/>
                <w:szCs w:val="21"/>
                <w:highlight w:val="none"/>
              </w:rPr>
            </w:pPr>
            <w:r>
              <w:rPr>
                <w:rFonts w:hint="eastAsia" w:ascii="仿宋" w:hAnsi="仿宋" w:eastAsia="仿宋" w:cs="仿宋"/>
                <w:szCs w:val="21"/>
                <w:highlight w:val="none"/>
              </w:rPr>
              <w:t>设备名称：RFID图书管理系统</w:t>
            </w:r>
          </w:p>
          <w:p>
            <w:pPr>
              <w:widowControl/>
              <w:numPr>
                <w:ilvl w:val="255"/>
                <w:numId w:val="0"/>
              </w:numPr>
              <w:spacing w:line="360" w:lineRule="exact"/>
              <w:jc w:val="left"/>
              <w:rPr>
                <w:rFonts w:ascii="仿宋" w:hAnsi="仿宋" w:eastAsia="仿宋" w:cs="仿宋"/>
                <w:szCs w:val="21"/>
                <w:highlight w:val="none"/>
              </w:rPr>
            </w:pPr>
            <w:r>
              <w:rPr>
                <w:rStyle w:val="125"/>
                <w:rFonts w:hint="eastAsia" w:ascii="仿宋" w:hAnsi="仿宋" w:eastAsia="仿宋" w:cs="仿宋"/>
                <w:color w:val="auto"/>
                <w:sz w:val="21"/>
                <w:szCs w:val="21"/>
                <w:highlight w:val="none"/>
                <w:lang w:bidi="ar"/>
              </w:rPr>
              <w:t>要求演示内容清晰、内容完整、过程流畅、满足演示内容。演示时长不超过15分钟，超出时长或不演示则不得分。具体要求如下：</w:t>
            </w:r>
            <w:r>
              <w:rPr>
                <w:rFonts w:hint="eastAsia" w:ascii="仿宋" w:hAnsi="仿宋" w:eastAsia="仿宋" w:cs="仿宋"/>
                <w:szCs w:val="21"/>
                <w:highlight w:val="none"/>
              </w:rPr>
              <w:br w:type="textWrapping"/>
            </w:r>
            <w:r>
              <w:rPr>
                <w:rFonts w:hint="eastAsia" w:ascii="仿宋" w:hAnsi="仿宋" w:eastAsia="仿宋" w:cs="仿宋"/>
                <w:szCs w:val="21"/>
                <w:highlight w:val="none"/>
              </w:rPr>
              <w:t>1、提供MARC解析器功能，支持国家图书馆网站、就要MARC网站MARC数据复制粘贴助手功能，自动解析且转换保存至本馆馆藏数据。（</w:t>
            </w:r>
            <w:r>
              <w:rPr>
                <w:rStyle w:val="125"/>
                <w:rFonts w:hint="eastAsia" w:ascii="仿宋" w:hAnsi="仿宋" w:eastAsia="仿宋" w:cs="仿宋"/>
                <w:color w:val="auto"/>
                <w:sz w:val="21"/>
                <w:szCs w:val="21"/>
                <w:highlight w:val="none"/>
                <w:lang w:bidi="ar"/>
              </w:rPr>
              <w:t>演示完整、过程流畅、满足需求的得2分，内容较完整、过程流畅、思路较模糊，基本满足需求的得1分，内容不完整、过程卡顿、思路较模糊的或未提供的不得分</w:t>
            </w:r>
            <w:r>
              <w:rPr>
                <w:rFonts w:hint="eastAsia" w:ascii="仿宋" w:hAnsi="仿宋" w:eastAsia="仿宋" w:cs="仿宋"/>
                <w:szCs w:val="21"/>
                <w:highlight w:val="none"/>
              </w:rPr>
              <w:t>）；</w:t>
            </w:r>
            <w:r>
              <w:rPr>
                <w:rFonts w:hint="eastAsia" w:ascii="仿宋" w:hAnsi="仿宋" w:eastAsia="仿宋" w:cs="仿宋"/>
                <w:szCs w:val="21"/>
                <w:highlight w:val="none"/>
              </w:rPr>
              <w:br w:type="textWrapping"/>
            </w:r>
            <w:r>
              <w:rPr>
                <w:rFonts w:hint="eastAsia" w:ascii="仿宋" w:hAnsi="仿宋" w:eastAsia="仿宋" w:cs="仿宋"/>
                <w:szCs w:val="21"/>
                <w:highlight w:val="none"/>
              </w:rPr>
              <w:t>2、支持完整且具备905字段条码号、索书号、馆藏地的MARC数据（iso文件，）导入功能，可配置解析编码格式GBK和UTF-8文件，905子字段解析内容，财产号分隔符解析。按照各书商提供的数据格式模板进行导入模式保存。数据导入后，馆藏图书可自动转换成可借状态或待审核状态。（</w:t>
            </w:r>
            <w:r>
              <w:rPr>
                <w:rStyle w:val="125"/>
                <w:rFonts w:hint="eastAsia" w:ascii="仿宋" w:hAnsi="仿宋" w:eastAsia="仿宋" w:cs="仿宋"/>
                <w:color w:val="auto"/>
                <w:sz w:val="21"/>
                <w:szCs w:val="21"/>
                <w:highlight w:val="none"/>
                <w:lang w:bidi="ar"/>
              </w:rPr>
              <w:t>演示完整、过程流畅、满足需求的得2分，内容较完整、过程流畅、思路较模糊，基本满足需求的得1分，内容不完整、过程卡顿、思路较模糊的或未提供的不得分</w:t>
            </w:r>
            <w:r>
              <w:rPr>
                <w:rFonts w:hint="eastAsia" w:ascii="仿宋" w:hAnsi="仿宋" w:eastAsia="仿宋" w:cs="仿宋"/>
                <w:szCs w:val="21"/>
                <w:highlight w:val="none"/>
              </w:rPr>
              <w:t>）；</w:t>
            </w:r>
            <w:r>
              <w:rPr>
                <w:rFonts w:hint="eastAsia" w:ascii="仿宋" w:hAnsi="仿宋" w:eastAsia="仿宋" w:cs="仿宋"/>
                <w:szCs w:val="21"/>
                <w:highlight w:val="none"/>
              </w:rPr>
              <w:br w:type="textWrapping"/>
            </w:r>
            <w:r>
              <w:rPr>
                <w:rFonts w:hint="eastAsia" w:ascii="仿宋" w:hAnsi="仿宋" w:eastAsia="仿宋" w:cs="仿宋"/>
                <w:szCs w:val="21"/>
                <w:highlight w:val="none"/>
              </w:rPr>
              <w:t>3、提供CNMARC与USMRAC字段内容切换辅助功能，严格按照USMARC与CNMARC字段信息内容对应关系</w:t>
            </w:r>
            <w:bookmarkStart w:id="645" w:name="_GoBack"/>
            <w:bookmarkEnd w:id="645"/>
            <w:r>
              <w:rPr>
                <w:rFonts w:hint="eastAsia" w:ascii="仿宋" w:hAnsi="仿宋" w:eastAsia="仿宋" w:cs="仿宋"/>
                <w:szCs w:val="21"/>
                <w:highlight w:val="none"/>
              </w:rPr>
              <w:t>进行转化辅助编辑。提供CNMARC、USMARC模板自定义配置，用户可通过账号绑定保存自己常用的模板，可选择MARC字段显示数量，多个MARC模板时，可设置默认显示模板。与其他用户模板互不冲突。（</w:t>
            </w:r>
            <w:r>
              <w:rPr>
                <w:rStyle w:val="125"/>
                <w:rFonts w:hint="eastAsia" w:ascii="仿宋" w:hAnsi="仿宋" w:eastAsia="仿宋" w:cs="仿宋"/>
                <w:color w:val="auto"/>
                <w:sz w:val="21"/>
                <w:szCs w:val="21"/>
                <w:highlight w:val="none"/>
                <w:lang w:bidi="ar"/>
              </w:rPr>
              <w:t>演示完整、过程流畅、满足需求的得2分，内容较完整、过程流畅、思路较模糊，基本满足需求的得1分，内容不完整、过程卡顿、思路较模糊的或未提供的不得分</w:t>
            </w:r>
            <w:r>
              <w:rPr>
                <w:rFonts w:hint="eastAsia" w:ascii="仿宋" w:hAnsi="仿宋" w:eastAsia="仿宋" w:cs="仿宋"/>
                <w:szCs w:val="21"/>
                <w:highlight w:val="none"/>
              </w:rPr>
              <w:t>）；</w:t>
            </w:r>
            <w:r>
              <w:rPr>
                <w:rFonts w:hint="eastAsia" w:ascii="仿宋" w:hAnsi="仿宋" w:eastAsia="仿宋" w:cs="仿宋"/>
                <w:szCs w:val="21"/>
                <w:highlight w:val="none"/>
              </w:rPr>
              <w:br w:type="textWrapping"/>
            </w:r>
            <w:r>
              <w:rPr>
                <w:rFonts w:hint="eastAsia" w:ascii="仿宋" w:hAnsi="仿宋" w:eastAsia="仿宋" w:cs="仿宋"/>
                <w:szCs w:val="21"/>
                <w:highlight w:val="none"/>
              </w:rPr>
              <w:t>4、CNMARC字段间规则按照《新版中国机读目录格式使用手册》，支持MARC字段必备与重复字段设置，字段之间关联设置，中文自动生成拼音，多音字字库拼音自动提醒，字体大中小显示设置。关联搜索功能，根据图书题名的分词、作者名、出版社、主题词等基本信息，和搜索词进行关联，点击搜索词即可查阅关联馆藏。（</w:t>
            </w:r>
            <w:r>
              <w:rPr>
                <w:rStyle w:val="125"/>
                <w:rFonts w:hint="eastAsia" w:ascii="仿宋" w:hAnsi="仿宋" w:eastAsia="仿宋" w:cs="仿宋"/>
                <w:color w:val="auto"/>
                <w:sz w:val="21"/>
                <w:szCs w:val="21"/>
                <w:highlight w:val="none"/>
                <w:lang w:bidi="ar"/>
              </w:rPr>
              <w:t>演示完整、过程流畅、满足需求的得2分，内容较完整、过程流畅、思路较模糊，基本满足需求的得1分，内容不完整、过程卡顿、思路较模糊的或未提供的不得分</w:t>
            </w:r>
            <w:r>
              <w:rPr>
                <w:rFonts w:hint="eastAsia" w:ascii="仿宋" w:hAnsi="仿宋" w:eastAsia="仿宋" w:cs="仿宋"/>
                <w:szCs w:val="21"/>
                <w:highlight w:val="none"/>
              </w:rPr>
              <w:t>）；</w:t>
            </w:r>
          </w:p>
        </w:tc>
        <w:tc>
          <w:tcPr>
            <w:tcW w:w="899" w:type="dxa"/>
            <w:vAlign w:val="center"/>
          </w:tcPr>
          <w:p>
            <w:pPr>
              <w:autoSpaceDE w:val="0"/>
              <w:autoSpaceDN w:val="0"/>
              <w:spacing w:line="400" w:lineRule="exact"/>
              <w:jc w:val="center"/>
              <w:rPr>
                <w:rStyle w:val="78"/>
                <w:rFonts w:ascii="仿宋" w:hAnsi="仿宋" w:eastAsia="仿宋" w:cs="仿宋"/>
                <w:bCs/>
                <w:kern w:val="0"/>
                <w:highlight w:val="none"/>
              </w:rPr>
            </w:pPr>
            <w:r>
              <w:rPr>
                <w:rFonts w:hint="eastAsia" w:ascii="仿宋" w:hAnsi="仿宋" w:eastAsia="仿宋" w:cs="仿宋"/>
                <w:bCs/>
                <w:szCs w:val="21"/>
                <w:highlight w:val="none"/>
              </w:rPr>
              <w:t>主观分</w:t>
            </w:r>
          </w:p>
        </w:tc>
        <w:tc>
          <w:tcPr>
            <w:tcW w:w="1071" w:type="dxa"/>
            <w:vAlign w:val="center"/>
          </w:tcPr>
          <w:p>
            <w:pPr>
              <w:autoSpaceDE w:val="0"/>
              <w:autoSpaceDN w:val="0"/>
              <w:spacing w:line="400" w:lineRule="exact"/>
              <w:rPr>
                <w:rStyle w:val="78"/>
                <w:rFonts w:ascii="仿宋" w:hAnsi="仿宋" w:eastAsia="仿宋" w:cs="仿宋"/>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59" w:type="dxa"/>
            <w:vMerge w:val="continue"/>
            <w:vAlign w:val="center"/>
          </w:tcPr>
          <w:p>
            <w:pPr>
              <w:autoSpaceDE w:val="0"/>
              <w:autoSpaceDN w:val="0"/>
              <w:spacing w:line="400" w:lineRule="exact"/>
              <w:jc w:val="center"/>
              <w:rPr>
                <w:rStyle w:val="78"/>
                <w:rFonts w:ascii="仿宋" w:hAnsi="仿宋" w:eastAsia="仿宋" w:cs="仿宋"/>
                <w:bCs/>
                <w:highlight w:val="none"/>
              </w:rPr>
            </w:pPr>
          </w:p>
        </w:tc>
        <w:tc>
          <w:tcPr>
            <w:tcW w:w="1110" w:type="dxa"/>
            <w:vMerge w:val="continue"/>
            <w:vAlign w:val="center"/>
          </w:tcPr>
          <w:p>
            <w:pPr>
              <w:spacing w:line="400" w:lineRule="exact"/>
              <w:jc w:val="left"/>
              <w:rPr>
                <w:rFonts w:ascii="仿宋" w:hAnsi="仿宋" w:eastAsia="仿宋" w:cs="仿宋"/>
                <w:szCs w:val="21"/>
                <w:highlight w:val="none"/>
              </w:rPr>
            </w:pPr>
          </w:p>
        </w:tc>
        <w:tc>
          <w:tcPr>
            <w:tcW w:w="774" w:type="dxa"/>
            <w:vAlign w:val="center"/>
          </w:tcPr>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0-6</w:t>
            </w:r>
          </w:p>
          <w:p>
            <w:pPr>
              <w:spacing w:line="400" w:lineRule="exact"/>
              <w:jc w:val="center"/>
              <w:rPr>
                <w:rFonts w:ascii="仿宋" w:hAnsi="仿宋" w:eastAsia="仿宋" w:cs="仿宋"/>
                <w:szCs w:val="21"/>
                <w:highlight w:val="none"/>
              </w:rPr>
            </w:pPr>
          </w:p>
        </w:tc>
        <w:tc>
          <w:tcPr>
            <w:tcW w:w="4395" w:type="dxa"/>
            <w:vAlign w:val="center"/>
          </w:tcPr>
          <w:p>
            <w:pPr>
              <w:widowControl/>
              <w:spacing w:line="360" w:lineRule="exact"/>
              <w:jc w:val="left"/>
              <w:rPr>
                <w:rFonts w:ascii="仿宋" w:hAnsi="仿宋" w:eastAsia="仿宋" w:cs="仿宋"/>
                <w:szCs w:val="21"/>
                <w:highlight w:val="none"/>
              </w:rPr>
            </w:pPr>
            <w:r>
              <w:rPr>
                <w:rFonts w:hint="eastAsia" w:ascii="仿宋" w:hAnsi="仿宋" w:eastAsia="仿宋" w:cs="仿宋"/>
                <w:szCs w:val="21"/>
                <w:highlight w:val="none"/>
              </w:rPr>
              <w:t>设备名称：智慧云终端讲台</w:t>
            </w:r>
            <w:r>
              <w:rPr>
                <w:rFonts w:hint="eastAsia" w:ascii="仿宋" w:hAnsi="仿宋" w:eastAsia="仿宋" w:cs="仿宋"/>
                <w:szCs w:val="21"/>
                <w:highlight w:val="none"/>
              </w:rPr>
              <w:br w:type="textWrapping"/>
            </w:r>
            <w:r>
              <w:rPr>
                <w:rFonts w:hint="eastAsia" w:ascii="仿宋" w:hAnsi="仿宋" w:eastAsia="仿宋" w:cs="仿宋"/>
                <w:szCs w:val="21"/>
                <w:highlight w:val="none"/>
              </w:rPr>
              <w:t>1、演示桌面与屏幕一体化双面设计，一面为完整桌面，一面为电脑显示屏幕，可完成0-180°之间调节和中轴翻转。（</w:t>
            </w:r>
            <w:r>
              <w:rPr>
                <w:rStyle w:val="125"/>
                <w:rFonts w:hint="eastAsia" w:ascii="仿宋" w:hAnsi="仿宋" w:eastAsia="仿宋" w:cs="仿宋"/>
                <w:color w:val="auto"/>
                <w:sz w:val="21"/>
                <w:szCs w:val="21"/>
                <w:highlight w:val="none"/>
                <w:lang w:bidi="ar"/>
              </w:rPr>
              <w:t>演示完整、过程流畅、满足需求的得2分，内容较完整、过程流畅、思路较模糊，基本满足需求的得1分，内容不完整、过程卡顿、思路较模糊的或未提供的不得分</w:t>
            </w:r>
            <w:r>
              <w:rPr>
                <w:rFonts w:hint="eastAsia" w:ascii="仿宋" w:hAnsi="仿宋" w:eastAsia="仿宋" w:cs="仿宋"/>
                <w:szCs w:val="21"/>
                <w:highlight w:val="none"/>
              </w:rPr>
              <w:t>）；</w:t>
            </w:r>
            <w:r>
              <w:rPr>
                <w:rFonts w:hint="eastAsia" w:ascii="仿宋" w:hAnsi="仿宋" w:eastAsia="仿宋" w:cs="仿宋"/>
                <w:szCs w:val="21"/>
                <w:highlight w:val="none"/>
              </w:rPr>
              <w:br w:type="textWrapping"/>
            </w:r>
            <w:r>
              <w:rPr>
                <w:rFonts w:hint="eastAsia" w:ascii="仿宋" w:hAnsi="仿宋" w:eastAsia="仿宋" w:cs="仿宋"/>
                <w:szCs w:val="21"/>
                <w:highlight w:val="none"/>
              </w:rPr>
              <w:t>2、演示显示器、主机、桌面、桌体、教师用扩展桌面连为一体，可以适用多种应用场景，收纳（笔筒）设计合理，桌面设置有多功能插座，支持220V取电、USB输入与读取，触摸屏幕向上支持多场景教学。屏幕支持专用智能手写笔进行书写画图等，具备原笔迹三维压感识别。支持一机多场景，通过手和智能笔支持书写画图、虚拟仿真实验等场景应用。（</w:t>
            </w:r>
            <w:r>
              <w:rPr>
                <w:rStyle w:val="125"/>
                <w:rFonts w:hint="eastAsia" w:ascii="仿宋" w:hAnsi="仿宋" w:eastAsia="仿宋" w:cs="仿宋"/>
                <w:color w:val="auto"/>
                <w:sz w:val="21"/>
                <w:szCs w:val="21"/>
                <w:highlight w:val="none"/>
                <w:lang w:bidi="ar"/>
              </w:rPr>
              <w:t>演示完整、过程流畅、满足需求的得2分，内容较完整、过程流畅、思路较模糊，基本满足需求的得1分，内容不完整、过程卡顿、思路较模糊的或未提供的不得分</w:t>
            </w:r>
            <w:r>
              <w:rPr>
                <w:rFonts w:hint="eastAsia" w:ascii="仿宋" w:hAnsi="仿宋" w:eastAsia="仿宋" w:cs="仿宋"/>
                <w:szCs w:val="21"/>
                <w:highlight w:val="none"/>
              </w:rPr>
              <w:t>）；</w:t>
            </w:r>
            <w:r>
              <w:rPr>
                <w:rFonts w:hint="eastAsia" w:ascii="仿宋" w:hAnsi="仿宋" w:eastAsia="仿宋" w:cs="仿宋"/>
                <w:szCs w:val="21"/>
                <w:highlight w:val="none"/>
              </w:rPr>
              <w:br w:type="textWrapping"/>
            </w:r>
            <w:r>
              <w:rPr>
                <w:rFonts w:hint="eastAsia" w:ascii="仿宋" w:hAnsi="仿宋" w:eastAsia="仿宋" w:cs="仿宋"/>
                <w:szCs w:val="21"/>
                <w:highlight w:val="none"/>
              </w:rPr>
              <w:t>3、高度调节，通过电动升降控制器，可实现屏幕及桌面离地700mm—900mm 之间无级调节；桌面右下侧多功能升降控制器，支持一键升、降调节、实时显示桌面位置高度信息并具有高度记忆功能。屏幕面内置集成前置高清摄像头及麦克；双向控制，通过HDMI、USB数据线与黑板连接；可实现画面投屏及触控双向控制功能；使用触摸按钮，可以实现一键开关机功能，并能显示开关机状态指示功能。（</w:t>
            </w:r>
            <w:r>
              <w:rPr>
                <w:rStyle w:val="125"/>
                <w:rFonts w:hint="eastAsia" w:ascii="仿宋" w:hAnsi="仿宋" w:eastAsia="仿宋" w:cs="仿宋"/>
                <w:color w:val="auto"/>
                <w:sz w:val="21"/>
                <w:szCs w:val="21"/>
                <w:highlight w:val="none"/>
                <w:lang w:bidi="ar"/>
              </w:rPr>
              <w:t>演示完整、过程流畅、满足需求的得2分，内容较完整、过程流畅、思路较模糊，基本满足需求的得1分，内容不完整、过程卡顿、思路较模糊的或未提供的不得分</w:t>
            </w:r>
            <w:r>
              <w:rPr>
                <w:rFonts w:hint="eastAsia" w:ascii="仿宋" w:hAnsi="仿宋" w:eastAsia="仿宋" w:cs="仿宋"/>
                <w:szCs w:val="21"/>
                <w:highlight w:val="none"/>
              </w:rPr>
              <w:t>）；</w:t>
            </w:r>
          </w:p>
        </w:tc>
        <w:tc>
          <w:tcPr>
            <w:tcW w:w="899" w:type="dxa"/>
            <w:vAlign w:val="center"/>
          </w:tcPr>
          <w:p>
            <w:pPr>
              <w:autoSpaceDE w:val="0"/>
              <w:autoSpaceDN w:val="0"/>
              <w:spacing w:line="400" w:lineRule="exact"/>
              <w:jc w:val="center"/>
              <w:rPr>
                <w:rFonts w:ascii="仿宋" w:hAnsi="仿宋" w:eastAsia="仿宋" w:cs="仿宋"/>
                <w:bCs/>
                <w:szCs w:val="21"/>
                <w:highlight w:val="none"/>
              </w:rPr>
            </w:pPr>
          </w:p>
          <w:p>
            <w:pPr>
              <w:autoSpaceDE w:val="0"/>
              <w:autoSpaceDN w:val="0"/>
              <w:spacing w:line="400" w:lineRule="exact"/>
              <w:jc w:val="center"/>
              <w:rPr>
                <w:rFonts w:ascii="仿宋" w:hAnsi="仿宋" w:eastAsia="仿宋" w:cs="仿宋"/>
                <w:bCs/>
                <w:szCs w:val="21"/>
                <w:highlight w:val="none"/>
              </w:rPr>
            </w:pPr>
            <w:r>
              <w:rPr>
                <w:rFonts w:hint="eastAsia" w:ascii="仿宋" w:hAnsi="仿宋" w:eastAsia="仿宋" w:cs="仿宋"/>
                <w:bCs/>
                <w:szCs w:val="21"/>
                <w:highlight w:val="none"/>
              </w:rPr>
              <w:t>主观分</w:t>
            </w:r>
          </w:p>
        </w:tc>
        <w:tc>
          <w:tcPr>
            <w:tcW w:w="1071" w:type="dxa"/>
            <w:vAlign w:val="center"/>
          </w:tcPr>
          <w:p>
            <w:pPr>
              <w:autoSpaceDE w:val="0"/>
              <w:autoSpaceDN w:val="0"/>
              <w:spacing w:line="400" w:lineRule="exact"/>
              <w:rPr>
                <w:rStyle w:val="78"/>
                <w:rFonts w:ascii="仿宋" w:hAnsi="仿宋" w:eastAsia="仿宋" w:cs="仿宋"/>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9" w:type="dxa"/>
            <w:vAlign w:val="center"/>
          </w:tcPr>
          <w:p>
            <w:pPr>
              <w:autoSpaceDE w:val="0"/>
              <w:autoSpaceDN w:val="0"/>
              <w:spacing w:line="400" w:lineRule="exact"/>
              <w:jc w:val="center"/>
              <w:rPr>
                <w:rStyle w:val="78"/>
                <w:rFonts w:ascii="仿宋" w:hAnsi="仿宋" w:eastAsia="仿宋" w:cs="仿宋"/>
                <w:bCs/>
                <w:highlight w:val="none"/>
              </w:rPr>
            </w:pPr>
            <w:r>
              <w:rPr>
                <w:rStyle w:val="78"/>
                <w:rFonts w:hint="eastAsia" w:ascii="仿宋" w:hAnsi="仿宋" w:eastAsia="仿宋" w:cs="仿宋"/>
                <w:bCs/>
                <w:highlight w:val="none"/>
              </w:rPr>
              <w:t>二</w:t>
            </w:r>
          </w:p>
        </w:tc>
        <w:tc>
          <w:tcPr>
            <w:tcW w:w="6279" w:type="dxa"/>
            <w:gridSpan w:val="3"/>
            <w:vAlign w:val="center"/>
          </w:tcPr>
          <w:p>
            <w:pPr>
              <w:autoSpaceDE w:val="0"/>
              <w:autoSpaceDN w:val="0"/>
              <w:spacing w:line="400" w:lineRule="exact"/>
              <w:rPr>
                <w:rStyle w:val="78"/>
                <w:rFonts w:ascii="仿宋" w:hAnsi="仿宋" w:eastAsia="仿宋" w:cs="仿宋"/>
                <w:bCs/>
                <w:kern w:val="0"/>
                <w:highlight w:val="none"/>
              </w:rPr>
            </w:pPr>
            <w:r>
              <w:rPr>
                <w:rStyle w:val="78"/>
                <w:rFonts w:hint="eastAsia" w:ascii="仿宋" w:hAnsi="仿宋" w:eastAsia="仿宋" w:cs="仿宋"/>
                <w:bCs/>
                <w:highlight w:val="none"/>
              </w:rPr>
              <w:t>报价，30分</w:t>
            </w:r>
          </w:p>
        </w:tc>
        <w:tc>
          <w:tcPr>
            <w:tcW w:w="899" w:type="dxa"/>
            <w:vAlign w:val="center"/>
          </w:tcPr>
          <w:p>
            <w:pPr>
              <w:autoSpaceDE w:val="0"/>
              <w:autoSpaceDN w:val="0"/>
              <w:spacing w:line="400" w:lineRule="exact"/>
              <w:jc w:val="center"/>
              <w:rPr>
                <w:rStyle w:val="78"/>
                <w:rFonts w:ascii="仿宋" w:hAnsi="仿宋" w:eastAsia="仿宋" w:cs="仿宋"/>
                <w:bCs/>
                <w:kern w:val="0"/>
                <w:highlight w:val="none"/>
              </w:rPr>
            </w:pPr>
          </w:p>
        </w:tc>
        <w:tc>
          <w:tcPr>
            <w:tcW w:w="1071" w:type="dxa"/>
            <w:vAlign w:val="center"/>
          </w:tcPr>
          <w:p>
            <w:pPr>
              <w:autoSpaceDE w:val="0"/>
              <w:autoSpaceDN w:val="0"/>
              <w:spacing w:line="400" w:lineRule="exact"/>
              <w:rPr>
                <w:rStyle w:val="78"/>
                <w:rFonts w:ascii="仿宋" w:hAnsi="仿宋" w:eastAsia="仿宋" w:cs="仿宋"/>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59" w:type="dxa"/>
            <w:vAlign w:val="center"/>
          </w:tcPr>
          <w:p>
            <w:pPr>
              <w:autoSpaceDE w:val="0"/>
              <w:autoSpaceDN w:val="0"/>
              <w:spacing w:line="400" w:lineRule="exact"/>
              <w:jc w:val="center"/>
              <w:rPr>
                <w:rStyle w:val="78"/>
                <w:rFonts w:ascii="仿宋" w:hAnsi="仿宋" w:eastAsia="仿宋" w:cs="仿宋"/>
                <w:bCs/>
                <w:highlight w:val="none"/>
              </w:rPr>
            </w:pPr>
          </w:p>
        </w:tc>
        <w:tc>
          <w:tcPr>
            <w:tcW w:w="6279" w:type="dxa"/>
            <w:gridSpan w:val="3"/>
            <w:vAlign w:val="center"/>
          </w:tcPr>
          <w:p>
            <w:pPr>
              <w:spacing w:line="400" w:lineRule="exact"/>
              <w:outlineLvl w:val="0"/>
              <w:rPr>
                <w:rFonts w:ascii="仿宋" w:hAnsi="仿宋" w:eastAsia="仿宋" w:cs="仿宋"/>
                <w:szCs w:val="21"/>
                <w:highlight w:val="none"/>
              </w:rPr>
            </w:pPr>
            <w:bookmarkStart w:id="422" w:name="_Toc10190"/>
            <w:bookmarkStart w:id="423" w:name="_Toc1434"/>
            <w:bookmarkStart w:id="424" w:name="_Toc18230"/>
            <w:r>
              <w:rPr>
                <w:rFonts w:hint="eastAsia" w:ascii="仿宋" w:hAnsi="仿宋" w:eastAsia="仿宋" w:cs="仿宋"/>
                <w:szCs w:val="21"/>
                <w:highlight w:val="none"/>
              </w:rPr>
              <w:t>有效投标报价的最低价作为评标基准价，其最低报价为满分；按［投标报价得分=（评标基准价/投标报价）*30］的计算公式计算。</w:t>
            </w:r>
            <w:bookmarkEnd w:id="422"/>
            <w:bookmarkEnd w:id="423"/>
            <w:bookmarkEnd w:id="424"/>
          </w:p>
          <w:p>
            <w:pPr>
              <w:autoSpaceDE w:val="0"/>
              <w:autoSpaceDN w:val="0"/>
              <w:spacing w:line="400" w:lineRule="exact"/>
              <w:rPr>
                <w:rFonts w:ascii="仿宋" w:hAnsi="仿宋" w:eastAsia="仿宋" w:cs="仿宋"/>
                <w:szCs w:val="21"/>
                <w:highlight w:val="none"/>
              </w:rPr>
            </w:pPr>
            <w:r>
              <w:rPr>
                <w:rFonts w:hint="eastAsia" w:ascii="仿宋" w:hAnsi="仿宋" w:eastAsia="仿宋" w:cs="仿宋"/>
                <w:szCs w:val="21"/>
                <w:highlight w:val="none"/>
              </w:rPr>
              <w:t>评标过程中，不得去掉报价中的最高报价和最低报价。</w:t>
            </w:r>
          </w:p>
          <w:p>
            <w:pPr>
              <w:autoSpaceDE w:val="0"/>
              <w:autoSpaceDN w:val="0"/>
              <w:spacing w:line="400" w:lineRule="exact"/>
              <w:rPr>
                <w:rStyle w:val="78"/>
                <w:rFonts w:ascii="仿宋" w:hAnsi="仿宋" w:eastAsia="仿宋" w:cs="仿宋"/>
                <w:bCs/>
                <w:kern w:val="0"/>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w:t>
            </w:r>
            <w:r>
              <w:rPr>
                <w:rFonts w:hint="eastAsia" w:ascii="仿宋" w:hAnsi="仿宋" w:eastAsia="仿宋" w:cs="仿宋"/>
                <w:szCs w:val="21"/>
                <w:highlight w:val="none"/>
              </w:rPr>
              <w:sym w:font="Wingdings" w:char="00FE"/>
            </w:r>
            <w:r>
              <w:rPr>
                <w:rFonts w:hint="eastAsia" w:ascii="仿宋" w:hAnsi="仿宋" w:eastAsia="仿宋" w:cs="仿宋"/>
                <w:szCs w:val="21"/>
                <w:highlight w:val="none"/>
              </w:rPr>
              <w:t>本项目专门面向中小企业，无价格扣除。</w:t>
            </w:r>
          </w:p>
        </w:tc>
        <w:tc>
          <w:tcPr>
            <w:tcW w:w="899" w:type="dxa"/>
            <w:vAlign w:val="center"/>
          </w:tcPr>
          <w:p>
            <w:pPr>
              <w:autoSpaceDE w:val="0"/>
              <w:autoSpaceDN w:val="0"/>
              <w:spacing w:line="400" w:lineRule="exact"/>
              <w:jc w:val="center"/>
              <w:rPr>
                <w:rStyle w:val="78"/>
                <w:rFonts w:ascii="仿宋" w:hAnsi="仿宋" w:eastAsia="仿宋" w:cs="仿宋"/>
                <w:bCs/>
                <w:kern w:val="0"/>
                <w:highlight w:val="none"/>
              </w:rPr>
            </w:pPr>
          </w:p>
        </w:tc>
        <w:tc>
          <w:tcPr>
            <w:tcW w:w="1071" w:type="dxa"/>
            <w:vAlign w:val="center"/>
          </w:tcPr>
          <w:p>
            <w:pPr>
              <w:autoSpaceDE w:val="0"/>
              <w:autoSpaceDN w:val="0"/>
              <w:spacing w:line="400" w:lineRule="exact"/>
              <w:rPr>
                <w:rStyle w:val="78"/>
                <w:rFonts w:ascii="仿宋" w:hAnsi="仿宋" w:eastAsia="仿宋" w:cs="仿宋"/>
                <w:bCs/>
                <w:kern w:val="0"/>
                <w:highlight w:val="none"/>
              </w:rPr>
            </w:pPr>
            <w:r>
              <w:rPr>
                <w:rStyle w:val="78"/>
                <w:rFonts w:hint="eastAsia" w:ascii="仿宋" w:hAnsi="仿宋" w:eastAsia="仿宋" w:cs="仿宋"/>
                <w:bCs/>
                <w:kern w:val="0"/>
                <w:highlight w:val="none"/>
              </w:rPr>
              <w:t>/</w:t>
            </w:r>
          </w:p>
        </w:tc>
      </w:tr>
    </w:tbl>
    <w:p>
      <w:pPr>
        <w:wordWrap w:val="0"/>
        <w:snapToGrid w:val="0"/>
        <w:spacing w:line="360" w:lineRule="auto"/>
        <w:rPr>
          <w:rFonts w:ascii="仿宋" w:hAnsi="仿宋" w:eastAsia="仿宋" w:cs="仿宋"/>
          <w:b/>
          <w:szCs w:val="21"/>
          <w:highlight w:val="none"/>
        </w:rPr>
      </w:pPr>
      <w:r>
        <w:rPr>
          <w:rFonts w:hint="eastAsia" w:ascii="仿宋" w:hAnsi="仿宋" w:eastAsia="仿宋" w:cs="仿宋"/>
          <w:szCs w:val="21"/>
          <w:highlight w:val="none"/>
          <w:shd w:val="clear" w:color="auto" w:fill="FFFFFF"/>
        </w:rPr>
        <w:t xml:space="preserve">   </w:t>
      </w:r>
      <w:r>
        <w:rPr>
          <w:rFonts w:hint="eastAsia" w:ascii="仿宋" w:hAnsi="仿宋" w:eastAsia="仿宋" w:cs="仿宋"/>
          <w:b/>
          <w:szCs w:val="21"/>
          <w:highlight w:val="none"/>
        </w:rPr>
        <w:t>备注：1.</w:t>
      </w:r>
      <w:r>
        <w:rPr>
          <w:rFonts w:hint="eastAsia" w:ascii="仿宋" w:hAnsi="仿宋" w:eastAsia="仿宋" w:cs="仿宋"/>
          <w:szCs w:val="21"/>
          <w:highlight w:val="none"/>
        </w:rPr>
        <w:t>投标人编制投标文件（商务技术文件部分）时，建议按此目录（序号和内容）提供评标标准相应的商务技术资料。 </w:t>
      </w:r>
    </w:p>
    <w:p>
      <w:pPr>
        <w:wordWrap w:val="0"/>
        <w:spacing w:line="360"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u w:val="single"/>
        </w:rPr>
        <w:t>2.证明材料提供扫描件或复制件，未提供或提供不全的不得分。以上包含本数，以下不含本数。</w:t>
      </w:r>
    </w:p>
    <w:p>
      <w:pPr>
        <w:wordWrap w:val="0"/>
        <w:spacing w:line="360"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u w:val="single"/>
        </w:rPr>
        <w:sym w:font="Wingdings" w:char="00FE"/>
      </w:r>
      <w:r>
        <w:rPr>
          <w:rFonts w:hint="eastAsia" w:ascii="仿宋" w:hAnsi="仿宋" w:eastAsia="仿宋" w:cs="仿宋"/>
          <w:szCs w:val="21"/>
          <w:highlight w:val="none"/>
          <w:u w:val="single"/>
        </w:rPr>
        <w:t>3.首台套产品被纳入《首台套产品推广应用指导目录》之日起3年内，以及产品核心技术高于国内领先水平，并具有明晰自主知识产权的“制造精品”产品，自认定之日起2年内视同已具备相应销售业绩，则“企业类似项目业绩”分值为满分。证明材料提供目录文件。</w:t>
      </w:r>
    </w:p>
    <w:p>
      <w:pPr>
        <w:wordWrap w:val="0"/>
        <w:spacing w:line="360"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u w:val="single"/>
        </w:rPr>
        <w:t>4.评标委员会将对实质上响应招标文件的投标人，各自独立记名打分，小数点后最多保留一位小数。投标人商务技术分=评标委员会所有成员评分合计数/评标委员会组成人员数（小数点后保留二位小数，第三位四舍五入）。投标人价格得分小数点后保留两位小数。</w:t>
      </w:r>
    </w:p>
    <w:p>
      <w:pPr>
        <w:numPr>
          <w:ilvl w:val="255"/>
          <w:numId w:val="0"/>
        </w:numPr>
        <w:spacing w:line="360"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u w:val="single"/>
        </w:rPr>
        <w:t>5.演示要求：为完成演示所需的配套相关设备由投标人自行提供。需采用投标同型号的硬件设备和软件进行现场演示。中标单位的演示设备将不予退回，予以封存。现场演示人员(不超过三人)进场时提供讲解人员名单（加盖公章）、身份证明，否则不得进场讲解演示。</w:t>
      </w:r>
    </w:p>
    <w:p>
      <w:pPr>
        <w:wordWrap w:val="0"/>
        <w:spacing w:line="360" w:lineRule="auto"/>
        <w:ind w:firstLine="643" w:firstLineChars="200"/>
        <w:rPr>
          <w:rFonts w:ascii="仿宋" w:hAnsi="仿宋" w:eastAsia="仿宋" w:cs="仿宋"/>
          <w:b/>
          <w:sz w:val="32"/>
          <w:highlight w:val="none"/>
        </w:rPr>
        <w:sectPr>
          <w:footerReference r:id="rId10" w:type="first"/>
          <w:headerReference r:id="rId8" w:type="default"/>
          <w:footerReference r:id="rId9" w:type="default"/>
          <w:pgSz w:w="11905" w:h="16838"/>
          <w:pgMar w:top="652" w:right="1417" w:bottom="680" w:left="1417" w:header="539" w:footer="425" w:gutter="0"/>
          <w:cols w:space="0" w:num="1"/>
          <w:titlePg/>
        </w:sectPr>
      </w:pPr>
    </w:p>
    <w:p>
      <w:pPr>
        <w:wordWrap w:val="0"/>
        <w:spacing w:line="360" w:lineRule="auto"/>
        <w:ind w:firstLine="643" w:firstLineChars="200"/>
        <w:rPr>
          <w:rFonts w:ascii="仿宋" w:hAnsi="仿宋" w:eastAsia="仿宋" w:cs="仿宋"/>
          <w:b/>
          <w:sz w:val="28"/>
          <w:szCs w:val="28"/>
          <w:highlight w:val="none"/>
        </w:rPr>
      </w:pPr>
      <w:r>
        <w:rPr>
          <w:rFonts w:hint="eastAsia" w:ascii="仿宋" w:hAnsi="仿宋" w:eastAsia="仿宋" w:cs="仿宋"/>
          <w:b/>
          <w:sz w:val="32"/>
          <w:highlight w:val="none"/>
        </w:rPr>
        <w:t>1.评标方法</w:t>
      </w:r>
    </w:p>
    <w:p>
      <w:pPr>
        <w:wordWrap w:val="0"/>
        <w:adjustRightInd/>
        <w:spacing w:line="360" w:lineRule="auto"/>
        <w:ind w:firstLine="482" w:firstLineChars="200"/>
        <w:rPr>
          <w:rFonts w:ascii="仿宋" w:hAnsi="仿宋" w:eastAsia="仿宋" w:cs="仿宋"/>
          <w:kern w:val="0"/>
          <w:sz w:val="24"/>
          <w:highlight w:val="none"/>
        </w:rPr>
      </w:pPr>
      <w:r>
        <w:rPr>
          <w:rFonts w:hint="eastAsia" w:ascii="仿宋" w:hAnsi="仿宋" w:eastAsia="仿宋" w:cs="仿宋"/>
          <w:b/>
          <w:kern w:val="0"/>
          <w:sz w:val="24"/>
          <w:highlight w:val="none"/>
        </w:rPr>
        <w:t>1.1本项目采用综合评分法。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pPr>
        <w:wordWrap w:val="0"/>
        <w:adjustRightInd/>
        <w:spacing w:line="360" w:lineRule="auto"/>
        <w:ind w:firstLine="321" w:firstLineChars="100"/>
        <w:outlineLvl w:val="1"/>
        <w:rPr>
          <w:rFonts w:ascii="仿宋" w:hAnsi="仿宋" w:eastAsia="仿宋" w:cs="仿宋"/>
          <w:kern w:val="0"/>
          <w:sz w:val="24"/>
          <w:highlight w:val="none"/>
        </w:rPr>
      </w:pPr>
      <w:r>
        <w:rPr>
          <w:rFonts w:hint="eastAsia" w:ascii="仿宋" w:hAnsi="仿宋" w:eastAsia="仿宋" w:cs="仿宋"/>
          <w:b/>
          <w:sz w:val="32"/>
          <w:highlight w:val="none"/>
        </w:rPr>
        <w:t>2.评标标准</w:t>
      </w:r>
    </w:p>
    <w:p>
      <w:pPr>
        <w:wordWrap w:val="0"/>
        <w:spacing w:line="360" w:lineRule="auto"/>
        <w:ind w:firstLine="480" w:firstLineChars="200"/>
        <w:rPr>
          <w:rFonts w:ascii="仿宋" w:hAnsi="仿宋" w:eastAsia="仿宋" w:cs="仿宋"/>
          <w:b/>
          <w:sz w:val="24"/>
          <w:highlight w:val="none"/>
        </w:rPr>
      </w:pPr>
      <w:r>
        <w:rPr>
          <w:rFonts w:hint="eastAsia" w:ascii="仿宋" w:hAnsi="仿宋" w:eastAsia="仿宋" w:cs="仿宋"/>
          <w:kern w:val="0"/>
          <w:sz w:val="24"/>
          <w:highlight w:val="none"/>
        </w:rPr>
        <w:t>见评标办法前附表。</w:t>
      </w:r>
    </w:p>
    <w:p>
      <w:pPr>
        <w:wordWrap w:val="0"/>
        <w:spacing w:line="360" w:lineRule="auto"/>
        <w:ind w:firstLine="361" w:firstLineChars="100"/>
        <w:outlineLvl w:val="1"/>
        <w:rPr>
          <w:rFonts w:ascii="仿宋" w:hAnsi="仿宋" w:eastAsia="仿宋" w:cs="仿宋"/>
          <w:b/>
          <w:sz w:val="36"/>
          <w:szCs w:val="36"/>
          <w:highlight w:val="none"/>
        </w:rPr>
      </w:pPr>
      <w:r>
        <w:rPr>
          <w:rFonts w:hint="eastAsia" w:ascii="仿宋" w:hAnsi="仿宋" w:eastAsia="仿宋" w:cs="仿宋"/>
          <w:b/>
          <w:sz w:val="36"/>
          <w:szCs w:val="36"/>
          <w:highlight w:val="none"/>
        </w:rPr>
        <w:t>3.评标程序</w:t>
      </w:r>
    </w:p>
    <w:p>
      <w:pPr>
        <w:wordWrap w:val="0"/>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pPr>
        <w:wordWrap w:val="0"/>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pPr>
        <w:wordWrap w:val="0"/>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pPr>
        <w:wordWrap w:val="0"/>
        <w:spacing w:line="360" w:lineRule="auto"/>
        <w:ind w:firstLine="472" w:firstLineChars="196"/>
        <w:rPr>
          <w:rFonts w:ascii="仿宋" w:hAnsi="仿宋" w:eastAsia="仿宋" w:cs="仿宋"/>
          <w:b/>
          <w:kern w:val="0"/>
          <w:sz w:val="24"/>
          <w:highlight w:val="none"/>
        </w:rPr>
      </w:pPr>
      <w:r>
        <w:rPr>
          <w:rFonts w:hint="eastAsia" w:ascii="仿宋" w:hAnsi="仿宋" w:eastAsia="仿宋" w:cs="仿宋"/>
          <w:b/>
          <w:kern w:val="0"/>
          <w:sz w:val="24"/>
          <w:highlight w:val="none"/>
        </w:rPr>
        <w:t>3.4报价评审。</w:t>
      </w:r>
    </w:p>
    <w:p>
      <w:pPr>
        <w:pStyle w:val="134"/>
        <w:wordWrap w:val="0"/>
        <w:spacing w:before="0"/>
        <w:ind w:firstLine="508" w:firstLineChars="212"/>
        <w:rPr>
          <w:rFonts w:ascii="仿宋" w:hAnsi="仿宋" w:eastAsia="仿宋" w:cs="仿宋"/>
          <w:kern w:val="0"/>
          <w:highlight w:val="none"/>
        </w:rPr>
      </w:pPr>
      <w:r>
        <w:rPr>
          <w:rFonts w:hint="eastAsia" w:ascii="仿宋" w:hAnsi="仿宋" w:eastAsia="仿宋" w:cs="仿宋"/>
          <w:kern w:val="0"/>
          <w:highlight w:val="none"/>
        </w:rPr>
        <w:t>3.4.1 报价文件开启后，如发现开标结果与报价文件不一致者，以报价文件为准。由评标委员会根据报价文件内容进行修正。</w:t>
      </w:r>
    </w:p>
    <w:p>
      <w:pPr>
        <w:pStyle w:val="134"/>
        <w:wordWrap w:val="0"/>
        <w:spacing w:before="0"/>
        <w:ind w:firstLine="508" w:firstLineChars="212"/>
        <w:rPr>
          <w:rFonts w:ascii="仿宋" w:hAnsi="仿宋" w:eastAsia="仿宋" w:cs="仿宋"/>
          <w:kern w:val="0"/>
          <w:highlight w:val="none"/>
        </w:rPr>
      </w:pPr>
      <w:r>
        <w:rPr>
          <w:rFonts w:hint="eastAsia" w:ascii="仿宋" w:hAnsi="仿宋" w:eastAsia="仿宋" w:cs="仿宋"/>
          <w:kern w:val="0"/>
          <w:highlight w:val="none"/>
        </w:rPr>
        <w:t>3.4.2投标文件报价出现前后不一致的，按照下列规定修正：</w:t>
      </w:r>
    </w:p>
    <w:p>
      <w:pPr>
        <w:pStyle w:val="134"/>
        <w:wordWrap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3.4.2.1投标文件中开标一览表(报价表)内容与投标文件中相应内容不一致的，以开标一览表(报价表)为准;但开标一览表(报价表)存在明显单位、文字错误的，则澄清、说明、补正；</w:t>
      </w:r>
    </w:p>
    <w:p>
      <w:pPr>
        <w:pStyle w:val="134"/>
        <w:wordWrap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3.4.2.2大写金额和小写金额不一致的，以大写金额为准;但大写有明显单位、文字错误外的除外;</w:t>
      </w:r>
    </w:p>
    <w:p>
      <w:pPr>
        <w:pStyle w:val="134"/>
        <w:wordWrap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3.4.2.3单价金额小数点或者百分比有明显错位的，以开标一览表的总价为准，并修改单价;</w:t>
      </w:r>
    </w:p>
    <w:p>
      <w:pPr>
        <w:pStyle w:val="134"/>
        <w:wordWrap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3.4.2.4总价金额与按单价汇总金额不一致的，以单价金额计算结果为准。</w:t>
      </w:r>
    </w:p>
    <w:p>
      <w:pPr>
        <w:pStyle w:val="134"/>
        <w:wordWrap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同时出现两种以上不一致的，按照3.4.2规定的顺序修正。修正后的报价按照财政部第87号令 《政府采购货物和服务招标投标管理办法》第五十一条第二款的规定经投标人确认后产生约束力。</w:t>
      </w:r>
    </w:p>
    <w:p>
      <w:pPr>
        <w:wordWrap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3.4.3投标文件出现不是唯一的、有选择性投标报价的，投标无效。</w:t>
      </w:r>
    </w:p>
    <w:p>
      <w:pPr>
        <w:wordWrap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3.4.4投标报价超过招标文件中规定的预算金额或者最高限价的，投标无效。</w:t>
      </w:r>
    </w:p>
    <w:p>
      <w:pPr>
        <w:pStyle w:val="134"/>
        <w:wordWrap w:val="0"/>
        <w:spacing w:before="0"/>
        <w:ind w:firstLine="482"/>
        <w:rPr>
          <w:rFonts w:ascii="仿宋" w:hAnsi="仿宋" w:eastAsia="仿宋" w:cs="仿宋"/>
          <w:b/>
          <w:bCs/>
          <w:kern w:val="0"/>
          <w:szCs w:val="24"/>
          <w:highlight w:val="none"/>
        </w:rPr>
      </w:pPr>
      <w:r>
        <w:rPr>
          <w:rFonts w:hint="eastAsia" w:ascii="仿宋" w:hAnsi="仿宋" w:eastAsia="仿宋" w:cs="仿宋"/>
          <w:b/>
          <w:bCs/>
          <w:kern w:val="0"/>
          <w:szCs w:val="24"/>
          <w:highlight w:val="none"/>
        </w:rPr>
        <w:t>3.4.5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wordWrap w:val="0"/>
        <w:spacing w:before="0"/>
        <w:ind w:firstLine="480"/>
        <w:rPr>
          <w:rFonts w:ascii="仿宋" w:hAnsi="仿宋" w:eastAsia="仿宋" w:cs="仿宋"/>
          <w:b/>
          <w:bCs/>
          <w:kern w:val="0"/>
          <w:szCs w:val="24"/>
          <w:highlight w:val="none"/>
        </w:rPr>
      </w:pPr>
      <w:r>
        <w:rPr>
          <w:rFonts w:hint="eastAsia" w:ascii="仿宋" w:hAnsi="仿宋" w:eastAsia="仿宋" w:cs="仿宋"/>
          <w:szCs w:val="21"/>
          <w:highlight w:val="none"/>
          <w:u w:val="single"/>
        </w:rPr>
        <w:sym w:font="Wingdings" w:char="00A8"/>
      </w:r>
      <w:r>
        <w:rPr>
          <w:rFonts w:hint="eastAsia" w:ascii="仿宋" w:hAnsi="仿宋" w:eastAsia="仿宋" w:cs="仿宋"/>
          <w:kern w:val="0"/>
          <w:szCs w:val="24"/>
          <w:highlight w:val="none"/>
        </w:rPr>
        <w:t>3.4.6对于未预留份额专门面向中小企业的政府采购货物或服务项目，以及预留份额政府采购货物或服务项目中的非预留部分标项，对小型和微型企业的投标报价给予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kern w:val="0"/>
          <w:szCs w:val="24"/>
          <w:highlight w:val="none"/>
          <w:u w:val="single"/>
        </w:rPr>
        <w:t>10%</w:t>
      </w:r>
      <w:r>
        <w:rPr>
          <w:rFonts w:hint="eastAsia" w:ascii="仿宋" w:hAnsi="仿宋" w:eastAsia="仿宋" w:cs="仿宋"/>
          <w:szCs w:val="21"/>
          <w:highlight w:val="none"/>
        </w:rPr>
        <w:t>（10%-20%）</w:t>
      </w:r>
      <w:r>
        <w:rPr>
          <w:rFonts w:hint="eastAsia" w:ascii="仿宋" w:hAnsi="仿宋" w:eastAsia="仿宋" w:cs="仿宋"/>
          <w:kern w:val="0"/>
          <w:szCs w:val="24"/>
          <w:highlight w:val="none"/>
        </w:rPr>
        <w:t>的扣除，用扣除后的价格参与评审。</w:t>
      </w:r>
      <w:r>
        <w:rPr>
          <w:rFonts w:hint="eastAsia" w:ascii="仿宋" w:hAnsi="仿宋" w:eastAsia="仿宋" w:cs="仿宋"/>
          <w:b/>
          <w:bCs/>
          <w:kern w:val="0"/>
          <w:szCs w:val="24"/>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kern w:val="0"/>
          <w:szCs w:val="24"/>
          <w:highlight w:val="none"/>
          <w:u w:val="single"/>
        </w:rPr>
        <w:t>4%</w:t>
      </w:r>
      <w:r>
        <w:rPr>
          <w:rFonts w:hint="eastAsia" w:ascii="仿宋" w:hAnsi="仿宋" w:eastAsia="仿宋" w:cs="仿宋"/>
          <w:szCs w:val="21"/>
          <w:highlight w:val="none"/>
        </w:rPr>
        <w:t>（4%-6%）</w:t>
      </w:r>
      <w:r>
        <w:rPr>
          <w:rFonts w:hint="eastAsia" w:ascii="仿宋" w:hAnsi="仿宋" w:eastAsia="仿宋" w:cs="仿宋"/>
          <w:b/>
          <w:bCs/>
          <w:kern w:val="0"/>
          <w:szCs w:val="24"/>
          <w:highlight w:val="none"/>
        </w:rPr>
        <w:t>的扣除，用扣除后的价格参加评审。</w:t>
      </w:r>
    </w:p>
    <w:p>
      <w:pPr>
        <w:pStyle w:val="134"/>
        <w:wordWrap w:val="0"/>
        <w:spacing w:before="0"/>
        <w:ind w:firstLine="482"/>
        <w:rPr>
          <w:rFonts w:ascii="仿宋" w:hAnsi="仿宋" w:eastAsia="仿宋" w:cs="仿宋"/>
          <w:b/>
          <w:bCs/>
          <w:kern w:val="0"/>
          <w:szCs w:val="24"/>
          <w:highlight w:val="none"/>
        </w:rPr>
      </w:pPr>
      <w:r>
        <w:rPr>
          <w:rFonts w:hint="eastAsia" w:ascii="仿宋" w:hAnsi="仿宋" w:eastAsia="仿宋" w:cs="仿宋"/>
          <w:b/>
          <w:bCs/>
          <w:kern w:val="0"/>
          <w:szCs w:val="24"/>
          <w:highlight w:val="none"/>
        </w:rPr>
        <w:t>组成联合体或者接受分包的小微企业与联合体内其他企业、分包企业之间存在直接控股、管理关系的，不享受价格扣除优惠政策。</w:t>
      </w:r>
    </w:p>
    <w:p>
      <w:pPr>
        <w:wordWrap w:val="0"/>
        <w:spacing w:line="360" w:lineRule="auto"/>
        <w:ind w:firstLine="482" w:firstLineChars="200"/>
        <w:rPr>
          <w:rFonts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kern w:val="0"/>
          <w:sz w:val="24"/>
          <w:highlight w:val="none"/>
          <w:u w:val="single"/>
        </w:rPr>
        <w:t>本项目推荐1名中标候选人</w:t>
      </w:r>
      <w:r>
        <w:rPr>
          <w:rFonts w:hint="eastAsia" w:ascii="仿宋" w:hAnsi="仿宋" w:eastAsia="仿宋" w:cs="仿宋"/>
          <w:kern w:val="0"/>
          <w:sz w:val="24"/>
          <w:highlight w:val="none"/>
        </w:rPr>
        <w:t>。</w:t>
      </w:r>
    </w:p>
    <w:p>
      <w:pPr>
        <w:wordWrap w:val="0"/>
        <w:spacing w:line="360" w:lineRule="auto"/>
        <w:ind w:firstLine="480" w:firstLineChars="200"/>
        <w:rPr>
          <w:rFonts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ordWrap w:val="0"/>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wordWrap w:val="0"/>
        <w:adjustRightInd/>
        <w:spacing w:after="225" w:line="315" w:lineRule="atLeast"/>
        <w:jc w:val="left"/>
        <w:outlineLvl w:val="1"/>
        <w:rPr>
          <w:rFonts w:ascii="仿宋" w:hAnsi="仿宋" w:eastAsia="仿宋" w:cs="仿宋"/>
          <w:b/>
          <w:sz w:val="32"/>
          <w:highlight w:val="none"/>
        </w:rPr>
      </w:pPr>
      <w:r>
        <w:rPr>
          <w:rFonts w:hint="eastAsia" w:ascii="仿宋" w:hAnsi="仿宋" w:eastAsia="仿宋" w:cs="仿宋"/>
          <w:b/>
          <w:sz w:val="32"/>
          <w:highlight w:val="none"/>
        </w:rPr>
        <w:t>四、评标中的其他事项</w:t>
      </w:r>
    </w:p>
    <w:p>
      <w:pPr>
        <w:pStyle w:val="134"/>
        <w:wordWrap w:val="0"/>
        <w:spacing w:before="0"/>
        <w:ind w:firstLine="472" w:firstLineChars="196"/>
        <w:rPr>
          <w:rFonts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wordWrap w:val="0"/>
        <w:spacing w:line="360" w:lineRule="auto"/>
        <w:ind w:left="954" w:leftChars="226" w:hanging="479" w:firstLineChars="0"/>
        <w:rPr>
          <w:rFonts w:ascii="仿宋" w:hAnsi="仿宋" w:eastAsia="仿宋" w:cs="仿宋"/>
          <w:b/>
          <w:kern w:val="0"/>
          <w:highlight w:val="none"/>
        </w:rPr>
      </w:pPr>
      <w:r>
        <w:rPr>
          <w:rFonts w:hint="eastAsia" w:ascii="仿宋" w:hAnsi="仿宋" w:eastAsia="仿宋" w:cs="仿宋"/>
          <w:b/>
          <w:kern w:val="0"/>
          <w:highlight w:val="none"/>
        </w:rPr>
        <w:t>4.2投标无效</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有下列情况之一的，投标无效：</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4.2.1投标人不具备招标文件中规定的资格要求的（投标人未提供有效的资格文件的，视为投标人不具备招标文件中规定的资格要求）；</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4.2.2投标文件未按照招标文件要求签署、盖章的；</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4.2.5投标文件中承诺的投标有效期少于招标文件中载明的投标有效期的；</w:t>
      </w:r>
    </w:p>
    <w:p>
      <w:pPr>
        <w:wordWrap w:val="0"/>
        <w:snapToGrid w:val="0"/>
        <w:spacing w:line="360" w:lineRule="auto"/>
        <w:ind w:firstLine="120" w:firstLineChars="50"/>
        <w:jc w:val="left"/>
        <w:rPr>
          <w:rFonts w:ascii="仿宋" w:hAnsi="仿宋" w:eastAsia="仿宋" w:cs="仿宋"/>
          <w:kern w:val="0"/>
          <w:sz w:val="24"/>
          <w:highlight w:val="none"/>
        </w:rPr>
      </w:pPr>
      <w:r>
        <w:rPr>
          <w:rFonts w:hint="eastAsia" w:ascii="仿宋" w:hAnsi="仿宋" w:eastAsia="仿宋" w:cs="仿宋"/>
          <w:kern w:val="0"/>
          <w:sz w:val="24"/>
          <w:highlight w:val="none"/>
        </w:rPr>
        <w:t xml:space="preserve">   4.2.6投标文件出现不是唯一的、有选择性投标报价的;</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4.2.7投标报价超过招标文件中规定的预算金额或者最高限价的;</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4.2.9投标人对根据修正原则修正后的报价不确认的；</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4.2.10投标人提供虚假材料投标的；</w:t>
      </w:r>
    </w:p>
    <w:p>
      <w:pPr>
        <w:wordWrap w:val="0"/>
        <w:spacing w:line="360" w:lineRule="auto"/>
        <w:ind w:firstLine="240" w:firstLineChars="100"/>
        <w:rPr>
          <w:rFonts w:ascii="仿宋" w:hAnsi="仿宋" w:eastAsia="仿宋" w:cs="仿宋"/>
          <w:kern w:val="0"/>
          <w:sz w:val="24"/>
          <w:highlight w:val="none"/>
        </w:rPr>
      </w:pPr>
      <w:r>
        <w:rPr>
          <w:rFonts w:hint="eastAsia" w:ascii="仿宋" w:hAnsi="仿宋" w:eastAsia="仿宋" w:cs="仿宋"/>
          <w:kern w:val="0"/>
          <w:sz w:val="24"/>
          <w:highlight w:val="none"/>
        </w:rPr>
        <w:t xml:space="preserve">  4.2.11投标人有恶意串通、妨碍其他投标人的竞争行为、损害采购人或者其他投标人的合法权益情形的；</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4.2.12投标人仅提交备份投标文件，没有在电子交易平台传输递交投标文件的，投标无效；</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4.2.13投标文件组成严重漏项、内容严重不全的；</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4.2.14未按规定的格式编制影响实质内容的；</w:t>
      </w:r>
    </w:p>
    <w:p>
      <w:pPr>
        <w:pStyle w:val="3"/>
        <w:keepNext w:val="0"/>
        <w:keepLines w:val="0"/>
        <w:wordWrap w:val="0"/>
        <w:ind w:left="862" w:leftChars="205"/>
        <w:rPr>
          <w:rFonts w:ascii="仿宋" w:eastAsia="仿宋" w:cs="仿宋"/>
          <w:b w:val="0"/>
          <w:bCs w:val="0"/>
          <w:kern w:val="0"/>
          <w:sz w:val="24"/>
          <w:szCs w:val="24"/>
          <w:highlight w:val="none"/>
          <w:lang w:val="en-US"/>
        </w:rPr>
      </w:pPr>
      <w:r>
        <w:rPr>
          <w:rFonts w:hint="eastAsia" w:ascii="仿宋" w:eastAsia="仿宋" w:cs="仿宋"/>
          <w:b w:val="0"/>
          <w:bCs w:val="0"/>
          <w:kern w:val="0"/>
          <w:sz w:val="24"/>
          <w:szCs w:val="24"/>
          <w:highlight w:val="none"/>
          <w:lang w:val="en-US"/>
        </w:rPr>
        <w:t>4.2.15投标文件不满足招标文件的其它实质性要求的；</w:t>
      </w:r>
    </w:p>
    <w:p>
      <w:pPr>
        <w:pStyle w:val="3"/>
        <w:keepNext w:val="0"/>
        <w:keepLines w:val="0"/>
        <w:wordWrap w:val="0"/>
        <w:ind w:left="862" w:leftChars="205"/>
        <w:rPr>
          <w:rFonts w:ascii="仿宋" w:eastAsia="仿宋" w:cs="仿宋"/>
          <w:b w:val="0"/>
          <w:bCs w:val="0"/>
          <w:sz w:val="24"/>
          <w:szCs w:val="24"/>
          <w:highlight w:val="none"/>
        </w:rPr>
      </w:pPr>
      <w:r>
        <w:rPr>
          <w:rFonts w:hint="eastAsia" w:ascii="仿宋" w:eastAsia="仿宋" w:cs="仿宋"/>
          <w:b w:val="0"/>
          <w:bCs w:val="0"/>
          <w:kern w:val="0"/>
          <w:sz w:val="24"/>
          <w:highlight w:val="none"/>
        </w:rPr>
        <w:t>4.2.1</w:t>
      </w:r>
      <w:r>
        <w:rPr>
          <w:rFonts w:hint="eastAsia" w:ascii="仿宋" w:eastAsia="仿宋" w:cs="仿宋"/>
          <w:b w:val="0"/>
          <w:bCs w:val="0"/>
          <w:kern w:val="0"/>
          <w:sz w:val="24"/>
          <w:highlight w:val="none"/>
          <w:lang w:val="en-US"/>
        </w:rPr>
        <w:t>6</w:t>
      </w:r>
      <w:r>
        <w:rPr>
          <w:rFonts w:hint="eastAsia" w:ascii="仿宋" w:eastAsia="仿宋" w:cs="仿宋"/>
          <w:b w:val="0"/>
          <w:bCs w:val="0"/>
          <w:sz w:val="24"/>
          <w:szCs w:val="24"/>
          <w:highlight w:val="none"/>
        </w:rPr>
        <w:t>法律、法规、规章（适用本市的）及省级以上规范性文件（适用本市的）规</w:t>
      </w:r>
    </w:p>
    <w:p>
      <w:pPr>
        <w:pStyle w:val="3"/>
        <w:keepNext w:val="0"/>
        <w:keepLines w:val="0"/>
        <w:wordWrap w:val="0"/>
        <w:ind w:left="0" w:firstLine="0"/>
        <w:rPr>
          <w:rFonts w:ascii="仿宋" w:eastAsia="仿宋" w:cs="仿宋"/>
          <w:kern w:val="0"/>
          <w:sz w:val="24"/>
          <w:highlight w:val="none"/>
          <w:lang w:val="en-US"/>
        </w:rPr>
      </w:pPr>
      <w:r>
        <w:rPr>
          <w:rFonts w:hint="eastAsia" w:ascii="仿宋" w:eastAsia="仿宋" w:cs="仿宋"/>
          <w:b w:val="0"/>
          <w:bCs w:val="0"/>
          <w:sz w:val="24"/>
          <w:szCs w:val="24"/>
          <w:highlight w:val="none"/>
        </w:rPr>
        <w:t>定的其他无效情形。</w:t>
      </w:r>
    </w:p>
    <w:p>
      <w:pPr>
        <w:pStyle w:val="25"/>
        <w:wordWrap w:val="0"/>
        <w:snapToGrid w:val="0"/>
        <w:spacing w:line="360" w:lineRule="auto"/>
        <w:ind w:firstLine="472" w:firstLineChars="196"/>
        <w:rPr>
          <w:rFonts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pPr>
        <w:pStyle w:val="25"/>
        <w:wordWrap w:val="0"/>
        <w:snapToGrid w:val="0"/>
        <w:spacing w:line="360" w:lineRule="auto"/>
        <w:rPr>
          <w:rFonts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pPr>
        <w:pStyle w:val="25"/>
        <w:wordWrap w:val="0"/>
        <w:snapToGrid w:val="0"/>
        <w:spacing w:line="360" w:lineRule="auto"/>
        <w:rPr>
          <w:rFonts w:ascii="仿宋" w:hAnsi="仿宋" w:eastAsia="仿宋" w:cs="仿宋"/>
          <w:highlight w:val="none"/>
        </w:rPr>
      </w:pPr>
      <w:r>
        <w:rPr>
          <w:rFonts w:hint="eastAsia" w:ascii="仿宋" w:hAnsi="仿宋" w:eastAsia="仿宋" w:cs="仿宋"/>
          <w:highlight w:val="none"/>
        </w:rPr>
        <w:t>5.2出现影响采购公正的违法、违规行为的；</w:t>
      </w:r>
    </w:p>
    <w:p>
      <w:pPr>
        <w:pStyle w:val="25"/>
        <w:wordWrap w:val="0"/>
        <w:snapToGrid w:val="0"/>
        <w:spacing w:line="360" w:lineRule="auto"/>
        <w:rPr>
          <w:rFonts w:ascii="仿宋" w:hAnsi="仿宋" w:eastAsia="仿宋" w:cs="仿宋"/>
          <w:highlight w:val="none"/>
        </w:rPr>
      </w:pPr>
      <w:r>
        <w:rPr>
          <w:rFonts w:hint="eastAsia" w:ascii="仿宋" w:hAnsi="仿宋" w:eastAsia="仿宋" w:cs="仿宋"/>
          <w:highlight w:val="none"/>
        </w:rPr>
        <w:t>5.3投标人的报价均超过了采购预算，采购人不能支付的；</w:t>
      </w:r>
    </w:p>
    <w:p>
      <w:pPr>
        <w:pStyle w:val="25"/>
        <w:wordWrap w:val="0"/>
        <w:snapToGrid w:val="0"/>
        <w:spacing w:line="360" w:lineRule="auto"/>
        <w:rPr>
          <w:rFonts w:ascii="仿宋" w:hAnsi="仿宋" w:eastAsia="仿宋" w:cs="仿宋"/>
          <w:highlight w:val="none"/>
        </w:rPr>
      </w:pPr>
      <w:r>
        <w:rPr>
          <w:rFonts w:hint="eastAsia" w:ascii="仿宋" w:hAnsi="仿宋" w:eastAsia="仿宋" w:cs="仿宋"/>
          <w:highlight w:val="none"/>
        </w:rPr>
        <w:t>5.4因重大变故，采购任务取消的。</w:t>
      </w:r>
    </w:p>
    <w:p>
      <w:pPr>
        <w:pStyle w:val="25"/>
        <w:wordWrap w:val="0"/>
        <w:snapToGrid w:val="0"/>
        <w:spacing w:line="360" w:lineRule="auto"/>
        <w:rPr>
          <w:rFonts w:ascii="仿宋" w:hAnsi="仿宋" w:eastAsia="仿宋" w:cs="仿宋"/>
          <w:highlight w:val="none"/>
        </w:rPr>
      </w:pPr>
      <w:r>
        <w:rPr>
          <w:rFonts w:hint="eastAsia" w:ascii="仿宋" w:hAnsi="仿宋" w:eastAsia="仿宋" w:cs="仿宋"/>
          <w:highlight w:val="none"/>
        </w:rPr>
        <w:t>废标后，采购代理机构应当将废标理由通知所有投标人。</w:t>
      </w:r>
    </w:p>
    <w:p>
      <w:pPr>
        <w:pStyle w:val="25"/>
        <w:wordWrap w:val="0"/>
        <w:snapToGrid w:val="0"/>
        <w:spacing w:line="360" w:lineRule="auto"/>
        <w:ind w:firstLine="590" w:firstLineChars="245"/>
        <w:rPr>
          <w:rFonts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wordWrap w:val="0"/>
        <w:snapToGrid w:val="0"/>
        <w:spacing w:line="360" w:lineRule="auto"/>
        <w:ind w:firstLine="590" w:firstLineChars="245"/>
        <w:rPr>
          <w:rFonts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pPr>
        <w:pStyle w:val="25"/>
        <w:wordWrap w:val="0"/>
        <w:snapToGrid w:val="0"/>
        <w:spacing w:line="360" w:lineRule="auto"/>
        <w:ind w:firstLine="600" w:firstLineChars="250"/>
        <w:rPr>
          <w:rFonts w:ascii="仿宋" w:hAnsi="仿宋" w:eastAsia="仿宋" w:cs="仿宋"/>
          <w:highlight w:val="none"/>
        </w:rPr>
      </w:pPr>
      <w:r>
        <w:rPr>
          <w:rFonts w:hint="eastAsia" w:ascii="仿宋" w:hAnsi="仿宋" w:eastAsia="仿宋" w:cs="仿宋"/>
          <w:highlight w:val="none"/>
        </w:rPr>
        <w:t>7.1未确定中标或者中标人的，终止本次政府采购活动，重新开展政府采购活动。</w:t>
      </w:r>
    </w:p>
    <w:p>
      <w:pPr>
        <w:pStyle w:val="25"/>
        <w:wordWrap w:val="0"/>
        <w:snapToGrid w:val="0"/>
        <w:spacing w:line="360" w:lineRule="auto"/>
        <w:ind w:firstLine="600" w:firstLineChars="250"/>
        <w:rPr>
          <w:rFonts w:ascii="仿宋" w:hAnsi="仿宋" w:eastAsia="仿宋" w:cs="仿宋"/>
          <w:highlight w:val="none"/>
        </w:rPr>
      </w:pPr>
      <w:r>
        <w:rPr>
          <w:rFonts w:hint="eastAsia" w:ascii="仿宋" w:hAnsi="仿宋" w:eastAsia="仿宋" w:cs="仿宋"/>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wordWrap w:val="0"/>
        <w:snapToGrid w:val="0"/>
        <w:spacing w:line="360" w:lineRule="auto"/>
        <w:ind w:firstLine="600" w:firstLineChars="250"/>
        <w:rPr>
          <w:rFonts w:ascii="仿宋" w:hAnsi="仿宋" w:eastAsia="仿宋" w:cs="仿宋"/>
          <w:highlight w:val="none"/>
        </w:rPr>
      </w:pPr>
      <w:r>
        <w:rPr>
          <w:rFonts w:hint="eastAsia" w:ascii="仿宋" w:hAnsi="仿宋" w:eastAsia="仿宋" w:cs="仿宋"/>
          <w:highlight w:val="none"/>
        </w:rPr>
        <w:t>7.3政府采购合同已签订但尚未履行的，撤销合同，从合格的中标或者成交候选人中另行确定中标或者中标人；没有合格的中标或者成交候选人的，重新开展政府采购活动。</w:t>
      </w:r>
    </w:p>
    <w:p>
      <w:pPr>
        <w:pStyle w:val="25"/>
        <w:wordWrap w:val="0"/>
        <w:snapToGrid w:val="0"/>
        <w:spacing w:line="360" w:lineRule="auto"/>
        <w:rPr>
          <w:rFonts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pPr>
        <w:pStyle w:val="25"/>
        <w:wordWrap w:val="0"/>
        <w:snapToGrid w:val="0"/>
        <w:spacing w:line="360" w:lineRule="auto"/>
        <w:rPr>
          <w:rFonts w:ascii="仿宋" w:hAnsi="仿宋" w:eastAsia="仿宋" w:cs="仿宋"/>
          <w:highlight w:val="none"/>
        </w:rPr>
      </w:pPr>
      <w:r>
        <w:rPr>
          <w:rFonts w:hint="eastAsia" w:ascii="仿宋" w:hAnsi="仿宋" w:eastAsia="仿宋" w:cs="仿宋"/>
          <w:highlight w:val="none"/>
        </w:rPr>
        <w:t>7.5政府采购当事人有其他违反政府采购法</w:t>
      </w:r>
      <w:r>
        <w:rPr>
          <w:rFonts w:hint="eastAsia" w:ascii="仿宋" w:hAnsi="仿宋" w:eastAsia="仿宋" w:cs="仿宋"/>
          <w:kern w:val="0"/>
          <w:highlight w:val="none"/>
        </w:rPr>
        <w:t>或者政府采购法实施条例等法律法规规定</w:t>
      </w:r>
      <w:r>
        <w:rPr>
          <w:rFonts w:hint="eastAsia" w:ascii="仿宋" w:hAnsi="仿宋" w:eastAsia="仿宋" w:cs="仿宋"/>
          <w:highlight w:val="none"/>
        </w:rPr>
        <w:t>的行为，经改正后仍然影响或者可能影响中标、成交结果或者依法被认定为中标、成交无效的，依照7.1-7.4规定处理。</w:t>
      </w:r>
    </w:p>
    <w:p>
      <w:pPr>
        <w:pStyle w:val="25"/>
        <w:wordWrap w:val="0"/>
        <w:snapToGrid w:val="0"/>
        <w:spacing w:line="360" w:lineRule="auto"/>
        <w:ind w:firstLine="0" w:firstLineChars="0"/>
        <w:rPr>
          <w:rFonts w:ascii="仿宋" w:hAnsi="仿宋" w:eastAsia="仿宋" w:cs="仿宋"/>
          <w:highlight w:val="none"/>
        </w:rPr>
      </w:pPr>
    </w:p>
    <w:bookmarkEnd w:id="49"/>
    <w:p>
      <w:pPr>
        <w:wordWrap w:val="0"/>
        <w:spacing w:line="360" w:lineRule="auto"/>
        <w:ind w:left="720" w:leftChars="343" w:firstLine="1084" w:firstLineChars="300"/>
        <w:rPr>
          <w:rFonts w:ascii="仿宋" w:hAnsi="仿宋" w:eastAsia="仿宋" w:cs="仿宋"/>
          <w:b/>
          <w:sz w:val="36"/>
          <w:szCs w:val="36"/>
          <w:highlight w:val="none"/>
        </w:rPr>
      </w:pPr>
      <w:bookmarkStart w:id="425" w:name="第五部分"/>
      <w:bookmarkStart w:id="426" w:name="_Toc86217003"/>
    </w:p>
    <w:p>
      <w:pPr>
        <w:wordWrap w:val="0"/>
        <w:spacing w:line="360" w:lineRule="auto"/>
        <w:ind w:left="720" w:leftChars="343" w:firstLine="1084" w:firstLineChars="300"/>
        <w:rPr>
          <w:rFonts w:ascii="仿宋" w:hAnsi="仿宋" w:eastAsia="仿宋" w:cs="仿宋"/>
          <w:b/>
          <w:sz w:val="36"/>
          <w:szCs w:val="36"/>
          <w:highlight w:val="none"/>
        </w:rPr>
      </w:pPr>
    </w:p>
    <w:p>
      <w:pPr>
        <w:wordWrap w:val="0"/>
        <w:spacing w:line="360" w:lineRule="auto"/>
        <w:ind w:left="720" w:leftChars="343" w:firstLine="1084" w:firstLineChars="300"/>
        <w:rPr>
          <w:rFonts w:ascii="仿宋" w:hAnsi="仿宋" w:eastAsia="仿宋" w:cs="仿宋"/>
          <w:b/>
          <w:sz w:val="36"/>
          <w:szCs w:val="36"/>
          <w:highlight w:val="none"/>
        </w:rPr>
      </w:pPr>
    </w:p>
    <w:p>
      <w:pPr>
        <w:wordWrap w:val="0"/>
        <w:spacing w:line="360" w:lineRule="auto"/>
        <w:ind w:left="720" w:leftChars="343" w:firstLine="1084" w:firstLineChars="300"/>
        <w:rPr>
          <w:rFonts w:ascii="仿宋" w:hAnsi="仿宋" w:eastAsia="仿宋" w:cs="仿宋"/>
          <w:b/>
          <w:sz w:val="36"/>
          <w:szCs w:val="36"/>
          <w:highlight w:val="none"/>
        </w:rPr>
      </w:pPr>
    </w:p>
    <w:p>
      <w:pPr>
        <w:tabs>
          <w:tab w:val="left" w:pos="1792"/>
        </w:tabs>
        <w:wordWrap w:val="0"/>
        <w:spacing w:line="360" w:lineRule="auto"/>
        <w:ind w:left="720" w:leftChars="343" w:firstLine="1084" w:firstLineChars="300"/>
        <w:rPr>
          <w:rFonts w:ascii="仿宋" w:hAnsi="仿宋" w:eastAsia="仿宋" w:cs="仿宋"/>
          <w:b/>
          <w:sz w:val="36"/>
          <w:szCs w:val="36"/>
          <w:highlight w:val="none"/>
        </w:rPr>
      </w:pPr>
      <w:r>
        <w:rPr>
          <w:rFonts w:hint="eastAsia" w:ascii="仿宋" w:hAnsi="仿宋" w:eastAsia="仿宋" w:cs="仿宋"/>
          <w:b/>
          <w:sz w:val="36"/>
          <w:szCs w:val="36"/>
          <w:highlight w:val="none"/>
        </w:rPr>
        <w:tab/>
      </w:r>
    </w:p>
    <w:p>
      <w:pPr>
        <w:wordWrap w:val="0"/>
        <w:ind w:firstLine="1807" w:firstLineChars="500"/>
        <w:outlineLvl w:val="0"/>
        <w:rPr>
          <w:rFonts w:ascii="仿宋" w:hAnsi="仿宋" w:eastAsia="仿宋" w:cs="仿宋"/>
          <w:b/>
          <w:sz w:val="36"/>
          <w:szCs w:val="36"/>
          <w:highlight w:val="none"/>
        </w:rPr>
        <w:sectPr>
          <w:pgSz w:w="11905" w:h="16838"/>
          <w:pgMar w:top="652" w:right="1417" w:bottom="680" w:left="1417" w:header="539" w:footer="425" w:gutter="0"/>
          <w:cols w:space="0" w:num="1"/>
          <w:titlePg/>
        </w:sectPr>
      </w:pPr>
      <w:bookmarkStart w:id="427" w:name="_Toc28629"/>
      <w:bookmarkStart w:id="428" w:name="_Toc22290"/>
      <w:bookmarkStart w:id="429" w:name="_Toc12903"/>
    </w:p>
    <w:p>
      <w:pPr>
        <w:wordWrap w:val="0"/>
        <w:ind w:firstLine="1807" w:firstLineChars="500"/>
        <w:outlineLvl w:val="0"/>
        <w:rPr>
          <w:rFonts w:ascii="仿宋" w:hAnsi="仿宋" w:eastAsia="仿宋" w:cs="仿宋"/>
          <w:b/>
          <w:sz w:val="36"/>
          <w:szCs w:val="36"/>
          <w:highlight w:val="none"/>
        </w:rPr>
      </w:pPr>
      <w:bookmarkStart w:id="430" w:name="_Toc12722"/>
      <w:bookmarkStart w:id="431" w:name="_Toc30437"/>
      <w:bookmarkStart w:id="432" w:name="_Toc8068"/>
      <w:bookmarkStart w:id="433" w:name="_Toc3651"/>
      <w:r>
        <w:rPr>
          <w:rFonts w:hint="eastAsia" w:ascii="仿宋" w:hAnsi="仿宋" w:eastAsia="仿宋" w:cs="仿宋"/>
          <w:b/>
          <w:sz w:val="36"/>
          <w:szCs w:val="36"/>
          <w:highlight w:val="none"/>
        </w:rPr>
        <w:t>第五部分 拟签订的合同文本</w:t>
      </w:r>
      <w:bookmarkEnd w:id="427"/>
      <w:bookmarkEnd w:id="428"/>
      <w:bookmarkEnd w:id="429"/>
      <w:bookmarkEnd w:id="430"/>
      <w:bookmarkEnd w:id="431"/>
      <w:bookmarkEnd w:id="432"/>
      <w:bookmarkEnd w:id="433"/>
    </w:p>
    <w:p>
      <w:pPr>
        <w:wordWrap w:val="0"/>
        <w:rPr>
          <w:rFonts w:ascii="仿宋" w:hAnsi="仿宋" w:eastAsia="仿宋" w:cs="仿宋"/>
          <w:sz w:val="24"/>
          <w:highlight w:val="none"/>
        </w:rPr>
      </w:pPr>
    </w:p>
    <w:p>
      <w:pPr>
        <w:wordWrap w:val="0"/>
        <w:rPr>
          <w:rFonts w:ascii="仿宋" w:hAnsi="仿宋" w:eastAsia="仿宋" w:cs="仿宋"/>
          <w:sz w:val="24"/>
          <w:highlight w:val="none"/>
        </w:rPr>
      </w:pPr>
    </w:p>
    <w:p>
      <w:pPr>
        <w:wordWrap w:val="0"/>
        <w:rPr>
          <w:rFonts w:ascii="仿宋" w:hAnsi="仿宋" w:eastAsia="仿宋" w:cs="仿宋"/>
          <w:sz w:val="24"/>
          <w:highlight w:val="none"/>
        </w:rPr>
      </w:pPr>
    </w:p>
    <w:p>
      <w:pPr>
        <w:wordWrap w:val="0"/>
        <w:rPr>
          <w:rFonts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pPr>
        <w:wordWrap w:val="0"/>
        <w:spacing w:line="480" w:lineRule="auto"/>
        <w:jc w:val="center"/>
        <w:rPr>
          <w:rFonts w:ascii="仿宋" w:hAnsi="仿宋" w:eastAsia="仿宋" w:cs="仿宋"/>
          <w:b/>
          <w:sz w:val="24"/>
          <w:highlight w:val="none"/>
        </w:rPr>
      </w:pPr>
    </w:p>
    <w:p>
      <w:pPr>
        <w:wordWrap w:val="0"/>
        <w:spacing w:line="48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政府采购合同</w:t>
      </w:r>
    </w:p>
    <w:p>
      <w:pPr>
        <w:wordWrap w:val="0"/>
        <w:spacing w:line="48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 xml:space="preserve">（货物类） </w:t>
      </w:r>
    </w:p>
    <w:p>
      <w:pPr>
        <w:pStyle w:val="703"/>
        <w:wordWrap w:val="0"/>
        <w:ind w:left="0" w:leftChars="0" w:firstLine="0" w:firstLineChars="0"/>
        <w:jc w:val="center"/>
        <w:rPr>
          <w:rFonts w:ascii="仿宋" w:hAnsi="仿宋" w:eastAsia="仿宋" w:cs="仿宋"/>
          <w:b/>
          <w:sz w:val="32"/>
          <w:szCs w:val="32"/>
          <w:highlight w:val="none"/>
        </w:rPr>
      </w:pPr>
    </w:p>
    <w:p>
      <w:pPr>
        <w:pStyle w:val="703"/>
        <w:wordWrap w:val="0"/>
        <w:ind w:left="0" w:leftChars="0" w:firstLine="0" w:firstLineChars="0"/>
        <w:jc w:val="center"/>
        <w:outlineLvl w:val="1"/>
        <w:rPr>
          <w:rFonts w:ascii="仿宋" w:hAnsi="仿宋" w:eastAsia="仿宋" w:cs="仿宋"/>
          <w:b/>
          <w:sz w:val="32"/>
          <w:szCs w:val="32"/>
          <w:highlight w:val="none"/>
        </w:rPr>
      </w:pPr>
      <w:bookmarkStart w:id="434" w:name="_Toc24027"/>
      <w:bookmarkStart w:id="435" w:name="_Toc12420"/>
      <w:bookmarkStart w:id="436" w:name="_Toc28437"/>
      <w:bookmarkStart w:id="437" w:name="_Toc25128"/>
      <w:bookmarkStart w:id="438" w:name="_Toc27969"/>
      <w:bookmarkStart w:id="439" w:name="_Toc19069"/>
      <w:bookmarkStart w:id="440" w:name="_Toc30206"/>
      <w:bookmarkStart w:id="441" w:name="_Toc23916"/>
      <w:bookmarkStart w:id="442" w:name="_Toc5865"/>
      <w:r>
        <w:rPr>
          <w:rFonts w:hint="eastAsia" w:ascii="仿宋" w:hAnsi="仿宋" w:eastAsia="仿宋" w:cs="仿宋"/>
          <w:b/>
          <w:sz w:val="32"/>
          <w:szCs w:val="32"/>
          <w:highlight w:val="none"/>
        </w:rPr>
        <w:t>第一部分 合同书</w:t>
      </w:r>
      <w:bookmarkEnd w:id="434"/>
      <w:bookmarkEnd w:id="435"/>
      <w:bookmarkEnd w:id="436"/>
      <w:bookmarkEnd w:id="437"/>
      <w:bookmarkEnd w:id="438"/>
      <w:bookmarkEnd w:id="439"/>
      <w:bookmarkEnd w:id="440"/>
      <w:bookmarkEnd w:id="441"/>
      <w:bookmarkEnd w:id="442"/>
    </w:p>
    <w:p>
      <w:pPr>
        <w:pStyle w:val="703"/>
        <w:wordWrap w:val="0"/>
        <w:rPr>
          <w:rFonts w:ascii="仿宋" w:hAnsi="仿宋" w:eastAsia="仿宋" w:cs="仿宋"/>
          <w:szCs w:val="24"/>
          <w:highlight w:val="none"/>
        </w:rPr>
      </w:pPr>
    </w:p>
    <w:p>
      <w:pPr>
        <w:pStyle w:val="703"/>
        <w:wordWrap w:val="0"/>
        <w:rPr>
          <w:rFonts w:ascii="仿宋" w:hAnsi="仿宋" w:eastAsia="仿宋" w:cs="仿宋"/>
          <w:szCs w:val="24"/>
          <w:highlight w:val="none"/>
        </w:rPr>
      </w:pPr>
    </w:p>
    <w:p>
      <w:pPr>
        <w:pStyle w:val="25"/>
        <w:rPr>
          <w:rFonts w:ascii="仿宋" w:hAnsi="仿宋" w:eastAsia="仿宋" w:cs="仿宋"/>
          <w:highlight w:val="none"/>
        </w:rPr>
      </w:pPr>
    </w:p>
    <w:p>
      <w:pPr>
        <w:pStyle w:val="15"/>
        <w:rPr>
          <w:rFonts w:ascii="仿宋" w:hAnsi="仿宋" w:eastAsia="仿宋" w:cs="仿宋"/>
          <w:color w:val="auto"/>
          <w:highlight w:val="none"/>
        </w:rPr>
      </w:pPr>
    </w:p>
    <w:p>
      <w:pPr>
        <w:wordWrap w:val="0"/>
        <w:spacing w:before="120" w:line="22" w:lineRule="atLeast"/>
        <w:rPr>
          <w:rFonts w:ascii="仿宋" w:hAnsi="仿宋" w:eastAsia="仿宋" w:cs="仿宋"/>
          <w:sz w:val="24"/>
          <w:highlight w:val="none"/>
        </w:rPr>
      </w:pPr>
    </w:p>
    <w:p>
      <w:pPr>
        <w:wordWrap w:val="0"/>
        <w:ind w:left="2238" w:leftChars="399" w:right="840" w:rightChars="400" w:hanging="1400" w:hangingChars="500"/>
        <w:rPr>
          <w:rFonts w:ascii="仿宋" w:hAnsi="仿宋" w:eastAsia="仿宋" w:cs="仿宋"/>
          <w:sz w:val="28"/>
          <w:szCs w:val="28"/>
          <w:highlight w:val="none"/>
          <w:u w:val="singl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u w:val="single"/>
        </w:rPr>
        <w:t>杭州学军中学桐庐学校</w:t>
      </w:r>
    </w:p>
    <w:p>
      <w:pPr>
        <w:wordWrap w:val="0"/>
        <w:ind w:left="2234" w:leftChars="1064" w:right="840" w:rightChars="400"/>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竣工配套设施设备（图书馆）项目 </w:t>
      </w:r>
    </w:p>
    <w:p>
      <w:pPr>
        <w:pStyle w:val="601"/>
        <w:wordWrap w:val="0"/>
        <w:spacing w:line="240" w:lineRule="auto"/>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wordWrap w:val="0"/>
        <w:rPr>
          <w:rFonts w:ascii="仿宋" w:hAnsi="仿宋" w:eastAsia="仿宋" w:cs="仿宋"/>
          <w:sz w:val="28"/>
          <w:szCs w:val="28"/>
          <w:highlight w:val="none"/>
        </w:rPr>
      </w:pPr>
    </w:p>
    <w:p>
      <w:pPr>
        <w:wordWrap w:val="0"/>
        <w:ind w:firstLine="840" w:firstLineChars="300"/>
        <w:rPr>
          <w:rFonts w:ascii="仿宋" w:hAnsi="仿宋" w:eastAsia="仿宋" w:cs="仿宋"/>
          <w:sz w:val="28"/>
          <w:szCs w:val="28"/>
          <w:highlight w:val="none"/>
          <w:u w:val="single"/>
        </w:rPr>
      </w:pPr>
      <w:r>
        <w:rPr>
          <w:rFonts w:hint="eastAsia" w:ascii="仿宋" w:hAnsi="仿宋" w:eastAsia="仿宋" w:cs="仿宋"/>
          <w:sz w:val="28"/>
          <w:szCs w:val="28"/>
          <w:highlight w:val="none"/>
        </w:rPr>
        <w:t>甲    方：</w:t>
      </w:r>
      <w:r>
        <w:rPr>
          <w:rFonts w:hint="eastAsia" w:ascii="仿宋" w:hAnsi="仿宋" w:eastAsia="仿宋" w:cs="仿宋"/>
          <w:sz w:val="28"/>
          <w:szCs w:val="28"/>
          <w:highlight w:val="none"/>
          <w:u w:val="single"/>
        </w:rPr>
        <w:t xml:space="preserve">                                          </w:t>
      </w:r>
    </w:p>
    <w:p>
      <w:pPr>
        <w:wordWrap w:val="0"/>
        <w:rPr>
          <w:rFonts w:ascii="仿宋" w:hAnsi="仿宋" w:eastAsia="仿宋" w:cs="仿宋"/>
          <w:sz w:val="28"/>
          <w:szCs w:val="28"/>
          <w:highlight w:val="none"/>
        </w:rPr>
      </w:pPr>
    </w:p>
    <w:p>
      <w:pPr>
        <w:wordWrap w:val="0"/>
        <w:ind w:firstLine="840" w:firstLineChars="300"/>
        <w:rPr>
          <w:rFonts w:ascii="仿宋" w:hAnsi="仿宋" w:eastAsia="仿宋" w:cs="仿宋"/>
          <w:sz w:val="28"/>
          <w:szCs w:val="28"/>
          <w:highlight w:val="none"/>
          <w:u w:val="single"/>
        </w:rPr>
      </w:pPr>
      <w:r>
        <w:rPr>
          <w:rFonts w:hint="eastAsia" w:ascii="仿宋" w:hAnsi="仿宋" w:eastAsia="仿宋" w:cs="仿宋"/>
          <w:sz w:val="28"/>
          <w:szCs w:val="28"/>
          <w:highlight w:val="none"/>
        </w:rPr>
        <w:t>乙    方：</w:t>
      </w:r>
      <w:r>
        <w:rPr>
          <w:rFonts w:hint="eastAsia" w:ascii="仿宋" w:hAnsi="仿宋" w:eastAsia="仿宋" w:cs="仿宋"/>
          <w:sz w:val="28"/>
          <w:szCs w:val="28"/>
          <w:highlight w:val="none"/>
          <w:u w:val="single"/>
        </w:rPr>
        <w:t xml:space="preserve">                                          </w:t>
      </w:r>
    </w:p>
    <w:p>
      <w:pPr>
        <w:wordWrap w:val="0"/>
        <w:rPr>
          <w:rFonts w:ascii="仿宋" w:hAnsi="仿宋" w:eastAsia="仿宋" w:cs="仿宋"/>
          <w:sz w:val="28"/>
          <w:szCs w:val="28"/>
          <w:highlight w:val="none"/>
        </w:rPr>
      </w:pPr>
    </w:p>
    <w:p>
      <w:pPr>
        <w:wordWrap w:val="0"/>
        <w:ind w:firstLine="840" w:firstLineChars="300"/>
        <w:rPr>
          <w:rFonts w:ascii="仿宋" w:hAnsi="仿宋" w:eastAsia="仿宋" w:cs="仿宋"/>
          <w:sz w:val="28"/>
          <w:szCs w:val="28"/>
          <w:highlight w:val="none"/>
          <w:u w:val="single"/>
        </w:rPr>
      </w:pPr>
      <w:r>
        <w:rPr>
          <w:rFonts w:hint="eastAsia" w:ascii="仿宋" w:hAnsi="仿宋" w:eastAsia="仿宋" w:cs="仿宋"/>
          <w:sz w:val="28"/>
          <w:szCs w:val="28"/>
          <w:highlight w:val="none"/>
        </w:rPr>
        <w:t>签 订 地：</w:t>
      </w:r>
      <w:r>
        <w:rPr>
          <w:rFonts w:hint="eastAsia" w:ascii="仿宋" w:hAnsi="仿宋" w:eastAsia="仿宋" w:cs="仿宋"/>
          <w:sz w:val="28"/>
          <w:szCs w:val="28"/>
          <w:highlight w:val="none"/>
          <w:u w:val="single"/>
        </w:rPr>
        <w:t xml:space="preserve">                                         </w:t>
      </w:r>
    </w:p>
    <w:p>
      <w:pPr>
        <w:wordWrap w:val="0"/>
        <w:rPr>
          <w:rFonts w:ascii="仿宋" w:hAnsi="仿宋" w:eastAsia="仿宋" w:cs="仿宋"/>
          <w:sz w:val="28"/>
          <w:szCs w:val="28"/>
          <w:highlight w:val="none"/>
        </w:rPr>
      </w:pPr>
    </w:p>
    <w:p>
      <w:pPr>
        <w:wordWrap w:val="0"/>
        <w:ind w:firstLine="840" w:firstLineChars="300"/>
        <w:rPr>
          <w:rFonts w:ascii="仿宋" w:hAnsi="仿宋" w:eastAsia="仿宋" w:cs="仿宋"/>
          <w:sz w:val="28"/>
          <w:szCs w:val="28"/>
          <w:highlight w:val="none"/>
          <w:u w:val="single"/>
        </w:rPr>
      </w:pPr>
      <w:r>
        <w:rPr>
          <w:rFonts w:hint="eastAsia" w:ascii="仿宋" w:hAnsi="仿宋" w:eastAsia="仿宋" w:cs="仿宋"/>
          <w:sz w:val="28"/>
          <w:szCs w:val="28"/>
          <w:highlight w:val="none"/>
        </w:rPr>
        <w:t>签订日期：</w:t>
      </w:r>
      <w:r>
        <w:rPr>
          <w:rFonts w:hint="eastAsia" w:ascii="仿宋" w:hAnsi="仿宋" w:eastAsia="仿宋" w:cs="仿宋"/>
          <w:sz w:val="28"/>
          <w:szCs w:val="28"/>
          <w:highlight w:val="none"/>
          <w:u w:val="single"/>
        </w:rPr>
        <w:t xml:space="preserve">  2024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widowControl/>
        <w:wordWrap w:val="0"/>
        <w:jc w:val="left"/>
        <w:rPr>
          <w:rFonts w:ascii="仿宋" w:hAnsi="仿宋" w:eastAsia="仿宋" w:cs="仿宋"/>
          <w:kern w:val="0"/>
          <w:sz w:val="28"/>
          <w:szCs w:val="28"/>
          <w:highlight w:val="none"/>
        </w:rPr>
        <w:sectPr>
          <w:pgSz w:w="11905" w:h="16838"/>
          <w:pgMar w:top="652" w:right="1417" w:bottom="680" w:left="1417" w:header="539" w:footer="425" w:gutter="0"/>
          <w:cols w:space="0" w:num="1"/>
          <w:titlePg/>
        </w:sectPr>
      </w:pPr>
    </w:p>
    <w:p>
      <w:pPr>
        <w:wordWrap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u w:val="single"/>
        </w:rPr>
        <w:t>杭州学军中学桐庐学校</w:t>
      </w:r>
      <w:r>
        <w:rPr>
          <w:rFonts w:hint="eastAsia" w:ascii="仿宋" w:hAnsi="仿宋" w:eastAsia="仿宋" w:cs="仿宋"/>
          <w:sz w:val="24"/>
          <w:highlight w:val="none"/>
        </w:rPr>
        <w:t>按照</w:t>
      </w:r>
      <w:r>
        <w:rPr>
          <w:rFonts w:hint="eastAsia" w:ascii="仿宋" w:hAnsi="仿宋" w:eastAsia="仿宋" w:cs="仿宋"/>
          <w:sz w:val="24"/>
          <w:highlight w:val="none"/>
          <w:u w:val="single"/>
        </w:rPr>
        <w:t xml:space="preserve">  公开招标 </w:t>
      </w:r>
      <w:r>
        <w:rPr>
          <w:rFonts w:hint="eastAsia" w:ascii="仿宋" w:hAnsi="仿宋" w:eastAsia="仿宋" w:cs="仿宋"/>
          <w:sz w:val="24"/>
          <w:highlight w:val="none"/>
        </w:rPr>
        <w:t>方式对</w:t>
      </w:r>
      <w:r>
        <w:rPr>
          <w:rFonts w:hint="eastAsia" w:ascii="仿宋" w:hAnsi="仿宋" w:eastAsia="仿宋" w:cs="仿宋"/>
          <w:kern w:val="0"/>
          <w:sz w:val="24"/>
          <w:highlight w:val="none"/>
          <w:u w:val="single"/>
          <w:lang w:bidi="ar"/>
        </w:rPr>
        <w:t>杭州学军中学桐庐学校竣工配套设施设备（图书馆）项目</w:t>
      </w:r>
      <w:r>
        <w:rPr>
          <w:rFonts w:hint="eastAsia" w:ascii="仿宋" w:hAnsi="仿宋" w:eastAsia="仿宋" w:cs="仿宋"/>
          <w:sz w:val="24"/>
          <w:highlight w:val="none"/>
        </w:rPr>
        <w:t>进行了采购。</w:t>
      </w:r>
      <w:r>
        <w:rPr>
          <w:rFonts w:hint="eastAsia" w:ascii="仿宋" w:hAnsi="仿宋" w:eastAsia="仿宋" w:cs="仿宋"/>
          <w:sz w:val="24"/>
          <w:highlight w:val="none"/>
          <w:u w:val="single"/>
        </w:rPr>
        <w:t>2024</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杭州学军中学桐庐学校 </w:t>
      </w:r>
      <w:r>
        <w:rPr>
          <w:rFonts w:hint="eastAsia" w:ascii="仿宋" w:hAnsi="仿宋" w:eastAsia="仿宋" w:cs="仿宋"/>
          <w:sz w:val="24"/>
          <w:highlight w:val="none"/>
        </w:rPr>
        <w:t>确定</w:t>
      </w:r>
      <w:r>
        <w:rPr>
          <w:rFonts w:hint="eastAsia" w:ascii="仿宋" w:hAnsi="仿宋" w:eastAsia="仿宋" w:cs="仿宋"/>
          <w:sz w:val="24"/>
          <w:highlight w:val="none"/>
          <w:u w:val="single"/>
        </w:rPr>
        <w:t xml:space="preserve"> （中标供应商名称）</w:t>
      </w:r>
      <w:r>
        <w:rPr>
          <w:rFonts w:hint="eastAsia" w:ascii="仿宋" w:hAnsi="仿宋" w:eastAsia="仿宋" w:cs="仿宋"/>
          <w:sz w:val="24"/>
          <w:highlight w:val="none"/>
        </w:rPr>
        <w:t>为本项目的中标供应商。</w:t>
      </w:r>
    </w:p>
    <w:p>
      <w:pPr>
        <w:wordWrap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在中标通知书发出之日起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日内，</w:t>
      </w:r>
      <w:r>
        <w:rPr>
          <w:rFonts w:hint="eastAsia" w:ascii="仿宋" w:hAnsi="仿宋" w:eastAsia="仿宋" w:cs="仿宋"/>
          <w:sz w:val="24"/>
          <w:highlight w:val="none"/>
          <w:lang w:val="zh-CN"/>
        </w:rPr>
        <w:t>根据《中华人民共和国民法典》、《中华人民共和国政府采购法》等相关法律法规之规定，按照平等、自愿、公平、诚实信用和绿色的原则</w:t>
      </w:r>
      <w:r>
        <w:rPr>
          <w:rFonts w:hint="eastAsia" w:ascii="仿宋" w:hAnsi="仿宋" w:eastAsia="仿宋" w:cs="仿宋"/>
          <w:sz w:val="24"/>
          <w:highlight w:val="none"/>
        </w:rPr>
        <w:t>和采购文件确定的事项，</w:t>
      </w:r>
      <w:r>
        <w:rPr>
          <w:rFonts w:hint="eastAsia" w:ascii="仿宋" w:hAnsi="仿宋" w:eastAsia="仿宋" w:cs="仿宋"/>
          <w:sz w:val="24"/>
          <w:highlight w:val="none"/>
          <w:lang w:val="zh-CN"/>
        </w:rPr>
        <w:t>经</w:t>
      </w:r>
      <w:r>
        <w:rPr>
          <w:rFonts w:hint="eastAsia" w:ascii="仿宋" w:hAnsi="仿宋" w:eastAsia="仿宋" w:cs="仿宋"/>
          <w:sz w:val="24"/>
          <w:highlight w:val="none"/>
          <w:u w:val="single"/>
        </w:rPr>
        <w:t xml:space="preserve"> 杭州学军中学桐庐学校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lang w:val="zh-CN"/>
        </w:rPr>
        <w:t>(以下简称乙方)协商一致，</w:t>
      </w:r>
      <w:r>
        <w:rPr>
          <w:rFonts w:hint="eastAsia" w:ascii="仿宋" w:hAnsi="仿宋" w:eastAsia="仿宋" w:cs="仿宋"/>
          <w:sz w:val="24"/>
          <w:highlight w:val="none"/>
        </w:rPr>
        <w:t>签订本合同，以兹共同遵守、全面履行。</w:t>
      </w:r>
    </w:p>
    <w:p>
      <w:pPr>
        <w:spacing w:line="440" w:lineRule="exact"/>
        <w:ind w:firstLine="482" w:firstLineChars="200"/>
        <w:outlineLvl w:val="2"/>
        <w:rPr>
          <w:rFonts w:ascii="仿宋" w:hAnsi="仿宋" w:eastAsia="仿宋" w:cs="仿宋"/>
          <w:b/>
          <w:sz w:val="24"/>
          <w:highlight w:val="none"/>
        </w:rPr>
      </w:pPr>
      <w:bookmarkStart w:id="443" w:name="_Toc2232"/>
      <w:bookmarkStart w:id="444" w:name="_Toc24059"/>
      <w:bookmarkStart w:id="445" w:name="_Toc3029"/>
      <w:r>
        <w:rPr>
          <w:rFonts w:hint="eastAsia" w:ascii="仿宋" w:hAnsi="仿宋" w:eastAsia="仿宋" w:cs="仿宋"/>
          <w:b/>
          <w:sz w:val="24"/>
          <w:highlight w:val="none"/>
        </w:rPr>
        <w:t>1.1 合同组成部分</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1.1.1 本合同及其补充合同、变更协议；</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1.1.2 中标通知书；</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1.1.3 投标文件（含澄清或者说明文件）；</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1.1.4 招标文件（含澄清或者修改文件）；</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1.1.5 其他相关采购文件。</w:t>
      </w:r>
    </w:p>
    <w:p>
      <w:pPr>
        <w:spacing w:line="440" w:lineRule="exact"/>
        <w:ind w:firstLine="482" w:firstLineChars="200"/>
        <w:outlineLvl w:val="2"/>
        <w:rPr>
          <w:rFonts w:ascii="仿宋" w:hAnsi="仿宋" w:eastAsia="仿宋" w:cs="仿宋"/>
          <w:b/>
          <w:sz w:val="24"/>
          <w:highlight w:val="none"/>
        </w:rPr>
      </w:pPr>
      <w:bookmarkStart w:id="446" w:name="_Toc27126"/>
      <w:bookmarkStart w:id="447" w:name="_Toc21295"/>
      <w:bookmarkStart w:id="448" w:name="_Toc24300"/>
      <w:r>
        <w:rPr>
          <w:rFonts w:hint="eastAsia" w:ascii="仿宋" w:hAnsi="仿宋" w:eastAsia="仿宋" w:cs="仿宋"/>
          <w:b/>
          <w:sz w:val="24"/>
          <w:highlight w:val="none"/>
        </w:rPr>
        <w:t xml:space="preserve">1.2 </w:t>
      </w:r>
      <w:bookmarkEnd w:id="446"/>
      <w:bookmarkEnd w:id="447"/>
      <w:bookmarkEnd w:id="448"/>
      <w:r>
        <w:rPr>
          <w:rFonts w:hint="eastAsia" w:ascii="仿宋" w:hAnsi="仿宋" w:eastAsia="仿宋" w:cs="仿宋"/>
          <w:b/>
          <w:sz w:val="24"/>
          <w:highlight w:val="none"/>
        </w:rPr>
        <w:t>货物</w:t>
      </w:r>
    </w:p>
    <w:p>
      <w:pPr>
        <w:spacing w:line="360" w:lineRule="auto"/>
        <w:ind w:firstLine="480" w:firstLineChars="200"/>
        <w:jc w:val="center"/>
        <w:rPr>
          <w:rFonts w:ascii="仿宋" w:hAnsi="仿宋" w:eastAsia="仿宋" w:cs="仿宋"/>
          <w:sz w:val="24"/>
          <w:highlight w:val="none"/>
        </w:rPr>
      </w:pPr>
      <w:r>
        <w:rPr>
          <w:rFonts w:hint="eastAsia" w:ascii="仿宋" w:hAnsi="仿宋" w:eastAsia="仿宋" w:cs="仿宋"/>
          <w:sz w:val="24"/>
          <w:highlight w:val="none"/>
        </w:rPr>
        <w:t>货物清单一栏表</w:t>
      </w:r>
    </w:p>
    <w:tbl>
      <w:tblPr>
        <w:tblStyle w:val="62"/>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228"/>
        <w:gridCol w:w="755"/>
        <w:gridCol w:w="863"/>
        <w:gridCol w:w="408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序号</w:t>
            </w:r>
          </w:p>
        </w:tc>
        <w:tc>
          <w:tcPr>
            <w:tcW w:w="1228" w:type="dxa"/>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产品名称</w:t>
            </w:r>
          </w:p>
        </w:tc>
        <w:tc>
          <w:tcPr>
            <w:tcW w:w="755" w:type="dxa"/>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单位</w:t>
            </w:r>
          </w:p>
        </w:tc>
        <w:tc>
          <w:tcPr>
            <w:tcW w:w="863" w:type="dxa"/>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数量</w:t>
            </w:r>
          </w:p>
        </w:tc>
        <w:tc>
          <w:tcPr>
            <w:tcW w:w="4080" w:type="dxa"/>
          </w:tcPr>
          <w:p>
            <w:pPr>
              <w:spacing w:line="360" w:lineRule="auto"/>
              <w:ind w:firstLine="1920" w:firstLineChars="800"/>
              <w:jc w:val="left"/>
              <w:rPr>
                <w:rFonts w:ascii="仿宋" w:hAnsi="仿宋" w:eastAsia="仿宋" w:cs="仿宋"/>
                <w:sz w:val="24"/>
                <w:highlight w:val="none"/>
              </w:rPr>
            </w:pPr>
            <w:r>
              <w:rPr>
                <w:rFonts w:hint="eastAsia" w:ascii="仿宋" w:hAnsi="仿宋" w:eastAsia="仿宋" w:cs="仿宋"/>
                <w:sz w:val="24"/>
                <w:highlight w:val="none"/>
              </w:rPr>
              <w:t>技术参数</w:t>
            </w:r>
          </w:p>
        </w:tc>
        <w:tc>
          <w:tcPr>
            <w:tcW w:w="1497" w:type="dxa"/>
          </w:tcPr>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pPr>
              <w:spacing w:line="360" w:lineRule="auto"/>
              <w:ind w:firstLine="480" w:firstLineChars="200"/>
              <w:jc w:val="left"/>
              <w:rPr>
                <w:rFonts w:ascii="仿宋" w:hAnsi="仿宋" w:eastAsia="仿宋" w:cs="仿宋"/>
                <w:sz w:val="24"/>
                <w:highlight w:val="none"/>
              </w:rPr>
            </w:pPr>
          </w:p>
        </w:tc>
        <w:tc>
          <w:tcPr>
            <w:tcW w:w="1228" w:type="dxa"/>
            <w:vAlign w:val="center"/>
          </w:tcPr>
          <w:p>
            <w:pPr>
              <w:spacing w:line="360" w:lineRule="auto"/>
              <w:ind w:firstLine="480" w:firstLineChars="200"/>
              <w:jc w:val="left"/>
              <w:rPr>
                <w:rFonts w:ascii="仿宋" w:hAnsi="仿宋" w:eastAsia="仿宋" w:cs="仿宋"/>
                <w:sz w:val="24"/>
                <w:highlight w:val="none"/>
              </w:rPr>
            </w:pPr>
          </w:p>
        </w:tc>
        <w:tc>
          <w:tcPr>
            <w:tcW w:w="755" w:type="dxa"/>
            <w:vAlign w:val="center"/>
          </w:tcPr>
          <w:p>
            <w:pPr>
              <w:spacing w:line="360" w:lineRule="auto"/>
              <w:ind w:firstLine="480" w:firstLineChars="200"/>
              <w:jc w:val="left"/>
              <w:rPr>
                <w:rFonts w:ascii="仿宋" w:hAnsi="仿宋" w:eastAsia="仿宋" w:cs="仿宋"/>
                <w:sz w:val="24"/>
                <w:highlight w:val="none"/>
              </w:rPr>
            </w:pPr>
          </w:p>
        </w:tc>
        <w:tc>
          <w:tcPr>
            <w:tcW w:w="863" w:type="dxa"/>
            <w:vAlign w:val="center"/>
          </w:tcPr>
          <w:p>
            <w:pPr>
              <w:spacing w:line="360" w:lineRule="auto"/>
              <w:ind w:firstLine="480" w:firstLineChars="200"/>
              <w:jc w:val="left"/>
              <w:rPr>
                <w:rFonts w:ascii="仿宋" w:hAnsi="仿宋" w:eastAsia="仿宋" w:cs="仿宋"/>
                <w:sz w:val="24"/>
                <w:highlight w:val="none"/>
              </w:rPr>
            </w:pPr>
          </w:p>
        </w:tc>
        <w:tc>
          <w:tcPr>
            <w:tcW w:w="4080" w:type="dxa"/>
          </w:tcPr>
          <w:p>
            <w:pPr>
              <w:spacing w:line="360" w:lineRule="auto"/>
              <w:ind w:firstLine="480" w:firstLineChars="200"/>
              <w:jc w:val="left"/>
              <w:rPr>
                <w:rFonts w:ascii="仿宋" w:hAnsi="仿宋" w:eastAsia="仿宋" w:cs="仿宋"/>
                <w:sz w:val="24"/>
                <w:highlight w:val="none"/>
              </w:rPr>
            </w:pPr>
          </w:p>
        </w:tc>
        <w:tc>
          <w:tcPr>
            <w:tcW w:w="1497" w:type="dxa"/>
          </w:tcPr>
          <w:p>
            <w:pPr>
              <w:spacing w:line="360" w:lineRule="auto"/>
              <w:ind w:firstLine="480" w:firstLineChars="200"/>
              <w:jc w:val="lef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pPr>
              <w:spacing w:line="360" w:lineRule="auto"/>
              <w:ind w:firstLine="480" w:firstLineChars="200"/>
              <w:jc w:val="left"/>
              <w:rPr>
                <w:rFonts w:ascii="仿宋" w:hAnsi="仿宋" w:eastAsia="仿宋" w:cs="仿宋"/>
                <w:sz w:val="24"/>
                <w:highlight w:val="none"/>
              </w:rPr>
            </w:pPr>
          </w:p>
        </w:tc>
        <w:tc>
          <w:tcPr>
            <w:tcW w:w="1228" w:type="dxa"/>
            <w:vAlign w:val="center"/>
          </w:tcPr>
          <w:p>
            <w:pPr>
              <w:spacing w:line="360" w:lineRule="auto"/>
              <w:ind w:firstLine="480" w:firstLineChars="200"/>
              <w:jc w:val="left"/>
              <w:rPr>
                <w:rFonts w:ascii="仿宋" w:hAnsi="仿宋" w:eastAsia="仿宋" w:cs="仿宋"/>
                <w:sz w:val="24"/>
                <w:highlight w:val="none"/>
              </w:rPr>
            </w:pPr>
          </w:p>
        </w:tc>
        <w:tc>
          <w:tcPr>
            <w:tcW w:w="755" w:type="dxa"/>
            <w:vAlign w:val="center"/>
          </w:tcPr>
          <w:p>
            <w:pPr>
              <w:spacing w:line="360" w:lineRule="auto"/>
              <w:ind w:firstLine="480" w:firstLineChars="200"/>
              <w:jc w:val="left"/>
              <w:rPr>
                <w:rFonts w:ascii="仿宋" w:hAnsi="仿宋" w:eastAsia="仿宋" w:cs="仿宋"/>
                <w:sz w:val="24"/>
                <w:highlight w:val="none"/>
              </w:rPr>
            </w:pPr>
          </w:p>
        </w:tc>
        <w:tc>
          <w:tcPr>
            <w:tcW w:w="863" w:type="dxa"/>
            <w:vAlign w:val="center"/>
          </w:tcPr>
          <w:p>
            <w:pPr>
              <w:spacing w:line="360" w:lineRule="auto"/>
              <w:ind w:firstLine="480" w:firstLineChars="200"/>
              <w:jc w:val="left"/>
              <w:rPr>
                <w:rFonts w:ascii="仿宋" w:hAnsi="仿宋" w:eastAsia="仿宋" w:cs="仿宋"/>
                <w:sz w:val="24"/>
                <w:highlight w:val="none"/>
              </w:rPr>
            </w:pPr>
          </w:p>
        </w:tc>
        <w:tc>
          <w:tcPr>
            <w:tcW w:w="4080" w:type="dxa"/>
          </w:tcPr>
          <w:p>
            <w:pPr>
              <w:spacing w:line="360" w:lineRule="auto"/>
              <w:ind w:firstLine="480" w:firstLineChars="200"/>
              <w:jc w:val="left"/>
              <w:rPr>
                <w:rFonts w:ascii="仿宋" w:hAnsi="仿宋" w:eastAsia="仿宋" w:cs="仿宋"/>
                <w:sz w:val="24"/>
                <w:highlight w:val="none"/>
              </w:rPr>
            </w:pPr>
          </w:p>
        </w:tc>
        <w:tc>
          <w:tcPr>
            <w:tcW w:w="1497" w:type="dxa"/>
          </w:tcPr>
          <w:p>
            <w:pPr>
              <w:spacing w:line="360" w:lineRule="auto"/>
              <w:ind w:firstLine="480" w:firstLineChars="200"/>
              <w:jc w:val="lef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pPr>
              <w:spacing w:line="360" w:lineRule="auto"/>
              <w:ind w:firstLine="480" w:firstLineChars="200"/>
              <w:jc w:val="left"/>
              <w:rPr>
                <w:rFonts w:ascii="仿宋" w:hAnsi="仿宋" w:eastAsia="仿宋" w:cs="仿宋"/>
                <w:sz w:val="24"/>
                <w:highlight w:val="none"/>
              </w:rPr>
            </w:pPr>
          </w:p>
        </w:tc>
        <w:tc>
          <w:tcPr>
            <w:tcW w:w="1228" w:type="dxa"/>
            <w:vAlign w:val="center"/>
          </w:tcPr>
          <w:p>
            <w:pPr>
              <w:spacing w:line="360" w:lineRule="auto"/>
              <w:ind w:firstLine="480" w:firstLineChars="200"/>
              <w:jc w:val="left"/>
              <w:rPr>
                <w:rFonts w:ascii="仿宋" w:hAnsi="仿宋" w:eastAsia="仿宋" w:cs="仿宋"/>
                <w:sz w:val="24"/>
                <w:highlight w:val="none"/>
              </w:rPr>
            </w:pPr>
          </w:p>
        </w:tc>
        <w:tc>
          <w:tcPr>
            <w:tcW w:w="755" w:type="dxa"/>
            <w:vAlign w:val="center"/>
          </w:tcPr>
          <w:p>
            <w:pPr>
              <w:spacing w:line="360" w:lineRule="auto"/>
              <w:ind w:firstLine="480" w:firstLineChars="200"/>
              <w:jc w:val="left"/>
              <w:rPr>
                <w:rFonts w:ascii="仿宋" w:hAnsi="仿宋" w:eastAsia="仿宋" w:cs="仿宋"/>
                <w:sz w:val="24"/>
                <w:highlight w:val="none"/>
              </w:rPr>
            </w:pPr>
          </w:p>
        </w:tc>
        <w:tc>
          <w:tcPr>
            <w:tcW w:w="863" w:type="dxa"/>
            <w:vAlign w:val="center"/>
          </w:tcPr>
          <w:p>
            <w:pPr>
              <w:spacing w:line="360" w:lineRule="auto"/>
              <w:ind w:firstLine="480" w:firstLineChars="200"/>
              <w:jc w:val="left"/>
              <w:rPr>
                <w:rFonts w:ascii="仿宋" w:hAnsi="仿宋" w:eastAsia="仿宋" w:cs="仿宋"/>
                <w:sz w:val="24"/>
                <w:highlight w:val="none"/>
              </w:rPr>
            </w:pPr>
          </w:p>
        </w:tc>
        <w:tc>
          <w:tcPr>
            <w:tcW w:w="4080" w:type="dxa"/>
          </w:tcPr>
          <w:p>
            <w:pPr>
              <w:spacing w:line="360" w:lineRule="auto"/>
              <w:ind w:firstLine="480" w:firstLineChars="200"/>
              <w:jc w:val="left"/>
              <w:rPr>
                <w:rFonts w:ascii="仿宋" w:hAnsi="仿宋" w:eastAsia="仿宋" w:cs="仿宋"/>
                <w:sz w:val="24"/>
                <w:highlight w:val="none"/>
              </w:rPr>
            </w:pPr>
          </w:p>
        </w:tc>
        <w:tc>
          <w:tcPr>
            <w:tcW w:w="1497" w:type="dxa"/>
          </w:tcPr>
          <w:p>
            <w:pPr>
              <w:spacing w:line="360" w:lineRule="auto"/>
              <w:ind w:firstLine="480" w:firstLineChars="200"/>
              <w:jc w:val="left"/>
              <w:rPr>
                <w:rFonts w:ascii="仿宋" w:hAnsi="仿宋" w:eastAsia="仿宋" w:cs="仿宋"/>
                <w:sz w:val="24"/>
                <w:highlight w:val="none"/>
              </w:rPr>
            </w:pPr>
          </w:p>
        </w:tc>
      </w:tr>
    </w:tbl>
    <w:p>
      <w:pPr>
        <w:spacing w:line="4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1.3 价款</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本合同总价（含税）为：￥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元人民币）。分项价格表详见附件。</w:t>
      </w:r>
    </w:p>
    <w:p>
      <w:pPr>
        <w:spacing w:line="440" w:lineRule="exact"/>
        <w:ind w:firstLine="482" w:firstLineChars="200"/>
        <w:rPr>
          <w:rFonts w:ascii="仿宋" w:hAnsi="仿宋" w:eastAsia="仿宋" w:cs="仿宋"/>
          <w:b/>
          <w:sz w:val="24"/>
          <w:highlight w:val="none"/>
        </w:rPr>
      </w:pPr>
      <w:bookmarkStart w:id="449" w:name="_Toc22618"/>
      <w:bookmarkStart w:id="450" w:name="_Toc1814"/>
      <w:bookmarkStart w:id="451" w:name="_Toc10340"/>
      <w:bookmarkStart w:id="452" w:name="_Toc3654"/>
      <w:bookmarkStart w:id="453" w:name="_Toc30506"/>
      <w:bookmarkStart w:id="454" w:name="_Toc26916"/>
      <w:bookmarkStart w:id="455" w:name="_Toc14993"/>
      <w:bookmarkStart w:id="456" w:name="_Toc30158"/>
      <w:r>
        <w:rPr>
          <w:rFonts w:hint="eastAsia" w:ascii="仿宋" w:hAnsi="仿宋" w:eastAsia="仿宋" w:cs="仿宋"/>
          <w:b/>
          <w:sz w:val="24"/>
          <w:highlight w:val="none"/>
        </w:rPr>
        <w:t>1.4履约保证金</w:t>
      </w:r>
    </w:p>
    <w:p>
      <w:pPr>
        <w:pStyle w:val="961"/>
        <w:spacing w:before="0" w:beforeAutospacing="0" w:after="0" w:afterAutospacing="0" w:line="440" w:lineRule="exact"/>
        <w:ind w:firstLine="480" w:firstLineChars="200"/>
        <w:rPr>
          <w:rFonts w:ascii="仿宋" w:hAnsi="仿宋" w:eastAsia="仿宋" w:cs="仿宋"/>
          <w:highlight w:val="none"/>
        </w:rPr>
      </w:pPr>
      <w:r>
        <w:rPr>
          <w:rFonts w:hint="eastAsia" w:ascii="仿宋" w:hAnsi="仿宋" w:eastAsia="仿宋" w:cs="仿宋"/>
          <w:highlight w:val="none"/>
        </w:rPr>
        <w:t>乙方</w:t>
      </w:r>
      <w:r>
        <w:rPr>
          <w:rFonts w:hint="eastAsia" w:ascii="仿宋" w:hAnsi="仿宋" w:eastAsia="仿宋" w:cs="仿宋"/>
          <w:highlight w:val="none"/>
          <w:u w:val="single"/>
        </w:rPr>
        <w:t xml:space="preserve">   否  </w:t>
      </w:r>
      <w:r>
        <w:rPr>
          <w:rFonts w:hint="eastAsia" w:ascii="仿宋" w:hAnsi="仿宋" w:eastAsia="仿宋" w:cs="仿宋"/>
          <w:highlight w:val="none"/>
        </w:rPr>
        <w:t>（是/否）需要支付履约保证金。若需要支付履约保证金的，则：</w:t>
      </w:r>
    </w:p>
    <w:p>
      <w:pPr>
        <w:spacing w:line="440" w:lineRule="exact"/>
        <w:ind w:firstLine="480" w:firstLineChars="200"/>
        <w:outlineLvl w:val="1"/>
        <w:rPr>
          <w:rFonts w:ascii="仿宋" w:hAnsi="仿宋" w:eastAsia="仿宋" w:cs="仿宋"/>
          <w:kern w:val="0"/>
          <w:sz w:val="24"/>
          <w:highlight w:val="none"/>
        </w:rPr>
      </w:pPr>
      <w:bookmarkStart w:id="457" w:name="_Toc10654"/>
      <w:bookmarkStart w:id="458" w:name="_Toc10150"/>
      <w:bookmarkStart w:id="459" w:name="_Toc23432"/>
      <w:r>
        <w:rPr>
          <w:rFonts w:hint="eastAsia" w:ascii="仿宋" w:hAnsi="仿宋" w:eastAsia="仿宋" w:cs="仿宋"/>
          <w:kern w:val="0"/>
          <w:sz w:val="24"/>
          <w:highlight w:val="none"/>
        </w:rPr>
        <w:t>1.4.1履约保证金的比例为合同金额的</w:t>
      </w:r>
      <w:r>
        <w:rPr>
          <w:rFonts w:hint="eastAsia" w:ascii="仿宋" w:hAnsi="仿宋" w:eastAsia="仿宋" w:cs="仿宋"/>
          <w:kern w:val="0"/>
          <w:sz w:val="24"/>
          <w:highlight w:val="none"/>
          <w:u w:val="single"/>
        </w:rPr>
        <w:t xml:space="preserve"> / </w:t>
      </w:r>
      <w:r>
        <w:rPr>
          <w:rFonts w:hint="eastAsia" w:ascii="仿宋" w:hAnsi="仿宋" w:eastAsia="仿宋" w:cs="仿宋"/>
          <w:kern w:val="0"/>
          <w:sz w:val="24"/>
          <w:highlight w:val="none"/>
        </w:rPr>
        <w:t>%；</w:t>
      </w:r>
      <w:bookmarkEnd w:id="457"/>
      <w:bookmarkEnd w:id="458"/>
      <w:bookmarkEnd w:id="459"/>
    </w:p>
    <w:p>
      <w:pPr>
        <w:spacing w:line="440" w:lineRule="exact"/>
        <w:ind w:firstLine="480" w:firstLineChars="200"/>
        <w:outlineLvl w:val="1"/>
        <w:rPr>
          <w:rFonts w:ascii="仿宋" w:hAnsi="仿宋" w:eastAsia="仿宋" w:cs="仿宋"/>
          <w:kern w:val="0"/>
          <w:sz w:val="24"/>
          <w:highlight w:val="none"/>
        </w:rPr>
      </w:pPr>
      <w:bookmarkStart w:id="460" w:name="_Toc29534"/>
      <w:bookmarkStart w:id="461" w:name="_Toc6717"/>
      <w:bookmarkStart w:id="462" w:name="_Toc8714"/>
      <w:r>
        <w:rPr>
          <w:rFonts w:hint="eastAsia" w:ascii="仿宋" w:hAnsi="仿宋" w:eastAsia="仿宋" w:cs="仿宋"/>
          <w:kern w:val="0"/>
          <w:sz w:val="24"/>
          <w:highlight w:val="none"/>
        </w:rPr>
        <w:t>1.4.2履约保证金支付方式详见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bookmarkEnd w:id="460"/>
      <w:bookmarkEnd w:id="461"/>
      <w:bookmarkEnd w:id="462"/>
    </w:p>
    <w:p>
      <w:pPr>
        <w:pStyle w:val="4"/>
        <w:spacing w:before="0" w:after="0" w:line="440" w:lineRule="exact"/>
        <w:ind w:left="0" w:firstLine="480" w:firstLineChars="200"/>
        <w:rPr>
          <w:rFonts w:ascii="仿宋" w:hAnsi="仿宋" w:eastAsia="仿宋" w:cs="仿宋"/>
          <w:highlight w:val="none"/>
        </w:rPr>
      </w:pPr>
      <w:r>
        <w:rPr>
          <w:rFonts w:hint="eastAsia" w:ascii="仿宋" w:hAnsi="仿宋" w:eastAsia="仿宋" w:cs="仿宋"/>
          <w:b w:val="0"/>
          <w:bCs w:val="0"/>
          <w:kern w:val="0"/>
          <w:sz w:val="24"/>
          <w:szCs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440" w:lineRule="exact"/>
        <w:ind w:firstLine="480" w:firstLineChars="200"/>
        <w:outlineLvl w:val="1"/>
        <w:rPr>
          <w:rFonts w:ascii="仿宋" w:hAnsi="仿宋" w:eastAsia="仿宋" w:cs="仿宋"/>
          <w:kern w:val="0"/>
          <w:sz w:val="24"/>
          <w:highlight w:val="none"/>
        </w:rPr>
      </w:pPr>
      <w:bookmarkStart w:id="463" w:name="_Toc22822"/>
      <w:bookmarkStart w:id="464" w:name="_Toc9602"/>
      <w:bookmarkStart w:id="465" w:name="_Toc6865"/>
      <w:r>
        <w:rPr>
          <w:rFonts w:hint="eastAsia" w:ascii="仿宋" w:hAnsi="仿宋" w:eastAsia="仿宋" w:cs="仿宋"/>
          <w:kern w:val="0"/>
          <w:sz w:val="24"/>
          <w:highlight w:val="none"/>
        </w:rPr>
        <w:t>1.4.4甲方在项目验收结束后及时退还履约保证金。甲方在项目通过验收之日起</w:t>
      </w:r>
      <w:r>
        <w:rPr>
          <w:rFonts w:hint="eastAsia" w:ascii="仿宋" w:hAnsi="仿宋" w:eastAsia="仿宋" w:cs="仿宋"/>
          <w:kern w:val="0"/>
          <w:sz w:val="24"/>
          <w:highlight w:val="none"/>
          <w:u w:val="single"/>
        </w:rPr>
        <w:t>（ 5 ）</w:t>
      </w:r>
      <w:r>
        <w:rPr>
          <w:rFonts w:hint="eastAsia" w:ascii="仿宋" w:hAnsi="仿宋" w:eastAsia="仿宋" w:cs="仿宋"/>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highlight w:val="none"/>
          <w:u w:val="single"/>
        </w:rPr>
        <w:t xml:space="preserve">  0.05  </w:t>
      </w:r>
      <w:r>
        <w:rPr>
          <w:rFonts w:hint="eastAsia" w:ascii="仿宋" w:hAnsi="仿宋" w:eastAsia="仿宋" w:cs="仿宋"/>
          <w:kern w:val="0"/>
          <w:sz w:val="24"/>
          <w:highlight w:val="none"/>
        </w:rPr>
        <w:t>%计算，最高限额为本合同履约保证金的</w:t>
      </w:r>
      <w:r>
        <w:rPr>
          <w:rFonts w:hint="eastAsia" w:ascii="仿宋" w:hAnsi="仿宋" w:eastAsia="仿宋" w:cs="仿宋"/>
          <w:kern w:val="0"/>
          <w:sz w:val="24"/>
          <w:highlight w:val="none"/>
          <w:u w:val="single"/>
        </w:rPr>
        <w:t xml:space="preserve">  20  </w:t>
      </w:r>
      <w:r>
        <w:rPr>
          <w:rFonts w:hint="eastAsia" w:ascii="仿宋" w:hAnsi="仿宋" w:eastAsia="仿宋" w:cs="仿宋"/>
          <w:kern w:val="0"/>
          <w:sz w:val="24"/>
          <w:highlight w:val="none"/>
        </w:rPr>
        <w:t xml:space="preserve"> %。</w:t>
      </w:r>
      <w:bookmarkEnd w:id="463"/>
      <w:bookmarkEnd w:id="464"/>
      <w:bookmarkEnd w:id="465"/>
    </w:p>
    <w:p>
      <w:pPr>
        <w:spacing w:line="440" w:lineRule="exact"/>
        <w:ind w:firstLine="482" w:firstLineChars="200"/>
        <w:outlineLvl w:val="1"/>
        <w:rPr>
          <w:rFonts w:ascii="仿宋" w:hAnsi="仿宋" w:eastAsia="仿宋" w:cs="仿宋"/>
          <w:b/>
          <w:sz w:val="24"/>
          <w:highlight w:val="none"/>
        </w:rPr>
      </w:pPr>
      <w:bookmarkStart w:id="466" w:name="_Toc30339"/>
      <w:bookmarkStart w:id="467" w:name="_Toc8649"/>
      <w:bookmarkStart w:id="468" w:name="_Toc13676"/>
      <w:r>
        <w:rPr>
          <w:rFonts w:hint="eastAsia" w:ascii="仿宋" w:hAnsi="仿宋" w:eastAsia="仿宋" w:cs="仿宋"/>
          <w:b/>
          <w:sz w:val="24"/>
          <w:highlight w:val="none"/>
        </w:rPr>
        <w:t>1.5</w:t>
      </w:r>
      <w:bookmarkEnd w:id="449"/>
      <w:bookmarkEnd w:id="450"/>
      <w:bookmarkEnd w:id="451"/>
      <w:r>
        <w:rPr>
          <w:rFonts w:hint="eastAsia" w:ascii="仿宋" w:hAnsi="仿宋" w:eastAsia="仿宋" w:cs="仿宋"/>
          <w:b/>
          <w:sz w:val="24"/>
          <w:highlight w:val="none"/>
        </w:rPr>
        <w:t>预付款</w:t>
      </w:r>
      <w:bookmarkEnd w:id="466"/>
      <w:bookmarkEnd w:id="467"/>
      <w:bookmarkEnd w:id="468"/>
    </w:p>
    <w:p>
      <w:pPr>
        <w:pStyle w:val="961"/>
        <w:spacing w:before="0" w:beforeAutospacing="0" w:after="0" w:afterAutospacing="0" w:line="440" w:lineRule="exact"/>
        <w:ind w:firstLine="480" w:firstLineChars="200"/>
        <w:rPr>
          <w:rFonts w:ascii="仿宋" w:hAnsi="仿宋" w:eastAsia="仿宋" w:cs="仿宋"/>
          <w:highlight w:val="none"/>
        </w:rPr>
      </w:pPr>
      <w:r>
        <w:rPr>
          <w:rFonts w:hint="eastAsia" w:ascii="仿宋" w:hAnsi="仿宋" w:eastAsia="仿宋" w:cs="仿宋"/>
          <w:highlight w:val="none"/>
        </w:rPr>
        <w:t>甲方</w:t>
      </w:r>
      <w:r>
        <w:rPr>
          <w:rFonts w:hint="eastAsia" w:ascii="仿宋" w:hAnsi="仿宋" w:eastAsia="仿宋" w:cs="仿宋"/>
          <w:highlight w:val="none"/>
          <w:u w:val="single"/>
        </w:rPr>
        <w:t xml:space="preserve">  是   </w:t>
      </w:r>
      <w:r>
        <w:rPr>
          <w:rFonts w:hint="eastAsia" w:ascii="仿宋" w:hAnsi="仿宋" w:eastAsia="仿宋" w:cs="仿宋"/>
          <w:highlight w:val="none"/>
        </w:rPr>
        <w:t>（是/否）需要支付预付款。若需要支付预付款的，则：</w:t>
      </w:r>
    </w:p>
    <w:p>
      <w:pPr>
        <w:spacing w:line="44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1.5.1预付款比例、支付方式、时间详见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pPr>
        <w:pStyle w:val="961"/>
        <w:spacing w:before="0" w:beforeAutospacing="0" w:after="0" w:afterAutospacing="0" w:line="440" w:lineRule="exact"/>
        <w:ind w:firstLine="480" w:firstLineChars="200"/>
        <w:rPr>
          <w:rFonts w:ascii="仿宋" w:hAnsi="仿宋" w:eastAsia="仿宋" w:cs="仿宋"/>
          <w:highlight w:val="none"/>
        </w:rPr>
      </w:pPr>
      <w:r>
        <w:rPr>
          <w:rFonts w:hint="eastAsia" w:ascii="仿宋" w:hAnsi="仿宋" w:eastAsia="仿宋" w:cs="仿宋"/>
          <w:highlight w:val="none"/>
        </w:rPr>
        <w:t>1.5.2预付款的扣回方式详见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961"/>
        <w:spacing w:before="0" w:beforeAutospacing="0" w:after="0" w:afterAutospacing="0" w:line="440" w:lineRule="exact"/>
        <w:ind w:firstLine="480" w:firstLineChars="200"/>
        <w:rPr>
          <w:rFonts w:ascii="仿宋" w:hAnsi="仿宋" w:eastAsia="仿宋" w:cs="仿宋"/>
          <w:highlight w:val="none"/>
          <w:u w:val="single"/>
        </w:rPr>
      </w:pPr>
      <w:r>
        <w:rPr>
          <w:rFonts w:hint="eastAsia" w:ascii="仿宋" w:hAnsi="仿宋" w:eastAsia="仿宋" w:cs="仿宋"/>
          <w:highlight w:val="none"/>
        </w:rPr>
        <w:t>1.5.3预付款的担保措施详见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961"/>
        <w:spacing w:before="0" w:beforeAutospacing="0" w:after="0" w:afterAutospacing="0" w:line="440" w:lineRule="exact"/>
        <w:ind w:firstLine="482" w:firstLineChars="200"/>
        <w:rPr>
          <w:rFonts w:ascii="仿宋" w:hAnsi="仿宋" w:eastAsia="仿宋" w:cs="仿宋"/>
          <w:b/>
          <w:bCs/>
          <w:highlight w:val="none"/>
        </w:rPr>
      </w:pPr>
      <w:r>
        <w:rPr>
          <w:rFonts w:hint="eastAsia" w:ascii="仿宋" w:hAnsi="仿宋" w:eastAsia="仿宋" w:cs="仿宋"/>
          <w:b/>
          <w:bCs/>
          <w:highlight w:val="none"/>
        </w:rPr>
        <w:t>1.6资金支付</w:t>
      </w:r>
    </w:p>
    <w:p>
      <w:pPr>
        <w:pStyle w:val="961"/>
        <w:spacing w:before="0" w:beforeAutospacing="0" w:after="0" w:afterAutospacing="0" w:line="440" w:lineRule="exact"/>
        <w:ind w:firstLine="480" w:firstLineChars="200"/>
        <w:rPr>
          <w:rFonts w:ascii="仿宋" w:hAnsi="仿宋" w:eastAsia="仿宋" w:cs="仿宋"/>
          <w:highlight w:val="none"/>
        </w:rPr>
      </w:pPr>
      <w:r>
        <w:rPr>
          <w:rFonts w:hint="eastAsia" w:ascii="仿宋" w:hAnsi="仿宋" w:eastAsia="仿宋" w:cs="仿宋"/>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440" w:lineRule="exact"/>
        <w:ind w:firstLine="480" w:firstLineChars="200"/>
        <w:outlineLvl w:val="1"/>
        <w:rPr>
          <w:rFonts w:ascii="仿宋" w:hAnsi="仿宋" w:eastAsia="仿宋" w:cs="仿宋"/>
          <w:sz w:val="24"/>
          <w:highlight w:val="none"/>
        </w:rPr>
      </w:pPr>
      <w:bookmarkStart w:id="469" w:name="_Toc13230"/>
      <w:bookmarkStart w:id="470" w:name="_Toc15644"/>
      <w:bookmarkStart w:id="471" w:name="_Toc20620"/>
      <w:r>
        <w:rPr>
          <w:rFonts w:hint="eastAsia" w:ascii="仿宋" w:hAnsi="仿宋" w:eastAsia="仿宋" w:cs="仿宋"/>
          <w:sz w:val="24"/>
          <w:highlight w:val="none"/>
        </w:rPr>
        <w:t>1.6.2资金支付的方式、时间和条件详见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bookmarkEnd w:id="469"/>
      <w:bookmarkEnd w:id="470"/>
      <w:bookmarkEnd w:id="471"/>
    </w:p>
    <w:p>
      <w:pPr>
        <w:spacing w:line="440" w:lineRule="exact"/>
        <w:ind w:firstLine="482" w:firstLineChars="200"/>
        <w:outlineLvl w:val="1"/>
        <w:rPr>
          <w:rFonts w:ascii="仿宋" w:hAnsi="仿宋" w:eastAsia="仿宋" w:cs="仿宋"/>
          <w:b/>
          <w:sz w:val="24"/>
          <w:highlight w:val="none"/>
        </w:rPr>
      </w:pPr>
      <w:bookmarkStart w:id="472" w:name="_Toc3031"/>
      <w:bookmarkStart w:id="473" w:name="_Toc15195"/>
      <w:bookmarkStart w:id="474" w:name="_Toc32135"/>
      <w:r>
        <w:rPr>
          <w:rFonts w:hint="eastAsia" w:ascii="仿宋" w:hAnsi="仿宋" w:eastAsia="仿宋" w:cs="仿宋"/>
          <w:b/>
          <w:sz w:val="24"/>
          <w:highlight w:val="none"/>
        </w:rPr>
        <w:t>1.7 货物交付期限、地点和方式</w:t>
      </w:r>
      <w:bookmarkEnd w:id="472"/>
      <w:bookmarkEnd w:id="473"/>
      <w:bookmarkEnd w:id="474"/>
    </w:p>
    <w:p>
      <w:pPr>
        <w:spacing w:line="4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1.7.1 交付期限：</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1.7.2 交付地点：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1.7.3 交付的方式：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440" w:lineRule="exact"/>
        <w:ind w:firstLine="482" w:firstLineChars="200"/>
        <w:outlineLvl w:val="1"/>
        <w:rPr>
          <w:rFonts w:ascii="仿宋" w:hAnsi="仿宋" w:eastAsia="仿宋" w:cs="仿宋"/>
          <w:sz w:val="24"/>
          <w:highlight w:val="none"/>
          <w:u w:val="single"/>
        </w:rPr>
      </w:pPr>
      <w:bookmarkStart w:id="475" w:name="_Toc31802"/>
      <w:bookmarkStart w:id="476" w:name="_Toc23902"/>
      <w:bookmarkStart w:id="477" w:name="_Toc13446"/>
      <w:r>
        <w:rPr>
          <w:rFonts w:hint="eastAsia" w:ascii="仿宋" w:hAnsi="仿宋" w:eastAsia="仿宋" w:cs="仿宋"/>
          <w:b/>
          <w:sz w:val="24"/>
          <w:highlight w:val="none"/>
        </w:rPr>
        <w:t>1.8违约责任</w:t>
      </w:r>
      <w:bookmarkEnd w:id="475"/>
      <w:bookmarkEnd w:id="476"/>
      <w:bookmarkEnd w:id="477"/>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%；迟延交付货物的违约金计算数额达到前述最高限额之日起，甲方有权在要求乙方支付违约金的同时，书面通知乙方解除本合同；</w:t>
      </w:r>
    </w:p>
    <w:p>
      <w:pPr>
        <w:pStyle w:val="4"/>
        <w:spacing w:before="0" w:after="0" w:line="440" w:lineRule="exact"/>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1.8.2 除不可抗力外和财政预算调整外，如果甲方没有按照本合同约定的付款方式付款，那么乙方可要求甲方支付违约金，违约金按每迟延付款一日的应付而未付款的</w:t>
      </w:r>
      <w:r>
        <w:rPr>
          <w:rFonts w:hint="eastAsia" w:ascii="仿宋" w:hAnsi="仿宋" w:eastAsia="仿宋" w:cs="仿宋"/>
          <w:b w:val="0"/>
          <w:bCs w:val="0"/>
          <w:sz w:val="24"/>
          <w:szCs w:val="24"/>
          <w:highlight w:val="none"/>
          <w:u w:val="single"/>
        </w:rPr>
        <w:t xml:space="preserve"> 0.05 </w:t>
      </w:r>
      <w:r>
        <w:rPr>
          <w:rFonts w:hint="eastAsia" w:ascii="仿宋" w:hAnsi="仿宋" w:eastAsia="仿宋" w:cs="仿宋"/>
          <w:b w:val="0"/>
          <w:bCs w:val="0"/>
          <w:sz w:val="24"/>
          <w:szCs w:val="24"/>
          <w:highlight w:val="none"/>
        </w:rPr>
        <w:t>%计算，最高限额为本合同总价的</w:t>
      </w:r>
      <w:r>
        <w:rPr>
          <w:rFonts w:hint="eastAsia" w:ascii="仿宋" w:hAnsi="仿宋" w:eastAsia="仿宋" w:cs="仿宋"/>
          <w:b w:val="0"/>
          <w:bCs w:val="0"/>
          <w:sz w:val="24"/>
          <w:szCs w:val="24"/>
          <w:highlight w:val="none"/>
          <w:u w:val="single"/>
        </w:rPr>
        <w:t xml:space="preserve">  20  </w:t>
      </w:r>
      <w:r>
        <w:rPr>
          <w:rFonts w:hint="eastAsia" w:ascii="仿宋" w:hAnsi="仿宋" w:eastAsia="仿宋" w:cs="仿宋"/>
          <w:b w:val="0"/>
          <w:bCs w:val="0"/>
          <w:sz w:val="24"/>
          <w:szCs w:val="24"/>
          <w:highlight w:val="none"/>
        </w:rPr>
        <w:t>%；迟延付款的违约金计算数额达到前述最高限额之日起，乙方有权在要求甲方支付违约金的同时，书面通知甲方解除本合同；</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1.8.5 如果出现政府采购监督管理部门在处理投诉事项期间，书面通知甲方暂停采购活动的情形，或者询问或质疑事项可能影响中标或者成交结果的，导致甲方中止履行合同的情形，均不视为甲方违约。</w:t>
      </w:r>
    </w:p>
    <w:p>
      <w:pPr>
        <w:spacing w:line="440" w:lineRule="exact"/>
        <w:ind w:firstLine="480" w:firstLineChars="200"/>
        <w:rPr>
          <w:rFonts w:ascii="仿宋" w:hAnsi="仿宋" w:eastAsia="仿宋" w:cs="仿宋"/>
          <w:highlight w:val="none"/>
        </w:rPr>
      </w:pPr>
      <w:r>
        <w:rPr>
          <w:rFonts w:hint="eastAsia" w:ascii="仿宋" w:hAnsi="仿宋" w:eastAsia="仿宋" w:cs="仿宋"/>
          <w:sz w:val="24"/>
          <w:highlight w:val="none"/>
        </w:rPr>
        <w:t>1.8.6 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p>
      <w:pPr>
        <w:spacing w:line="440" w:lineRule="exact"/>
        <w:ind w:firstLine="482" w:firstLineChars="200"/>
        <w:outlineLvl w:val="1"/>
        <w:rPr>
          <w:rFonts w:ascii="仿宋" w:hAnsi="仿宋" w:eastAsia="仿宋" w:cs="仿宋"/>
          <w:b/>
          <w:sz w:val="24"/>
          <w:highlight w:val="none"/>
        </w:rPr>
      </w:pPr>
      <w:bookmarkStart w:id="478" w:name="_Toc15583"/>
      <w:bookmarkStart w:id="479" w:name="_Toc28375"/>
      <w:bookmarkStart w:id="480" w:name="_Toc4927"/>
      <w:bookmarkStart w:id="481" w:name="_Toc198"/>
      <w:bookmarkStart w:id="482" w:name="_Toc16021"/>
      <w:bookmarkStart w:id="483" w:name="_Toc7349"/>
      <w:r>
        <w:rPr>
          <w:rFonts w:hint="eastAsia" w:ascii="仿宋" w:hAnsi="仿宋" w:eastAsia="仿宋" w:cs="仿宋"/>
          <w:b/>
          <w:sz w:val="24"/>
          <w:highlight w:val="none"/>
        </w:rPr>
        <w:t>1.9合同争议的解决</w:t>
      </w:r>
      <w:bookmarkEnd w:id="478"/>
      <w:bookmarkEnd w:id="479"/>
      <w:bookmarkEnd w:id="480"/>
      <w:bookmarkEnd w:id="481"/>
      <w:bookmarkEnd w:id="482"/>
      <w:bookmarkEnd w:id="483"/>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 xml:space="preserve"> </w:t>
      </w:r>
      <w:r>
        <w:rPr>
          <w:rFonts w:hint="eastAsia" w:ascii="仿宋" w:hAnsi="仿宋" w:eastAsia="仿宋" w:cs="仿宋"/>
          <w:b/>
          <w:iCs/>
          <w:sz w:val="24"/>
          <w:highlight w:val="none"/>
          <w:u w:val="single"/>
        </w:rPr>
        <w:t>1.9.2</w:t>
      </w:r>
      <w:r>
        <w:rPr>
          <w:rFonts w:hint="eastAsia" w:ascii="仿宋" w:hAnsi="仿宋" w:eastAsia="仿宋" w:cs="仿宋"/>
          <w:b/>
          <w:i/>
          <w:sz w:val="24"/>
          <w:highlight w:val="none"/>
          <w:u w:val="single"/>
        </w:rPr>
        <w:t xml:space="preserve"> </w:t>
      </w:r>
      <w:r>
        <w:rPr>
          <w:rFonts w:hint="eastAsia" w:ascii="仿宋" w:hAnsi="仿宋" w:eastAsia="仿宋" w:cs="仿宋"/>
          <w:sz w:val="24"/>
          <w:highlight w:val="none"/>
        </w:rPr>
        <w:t>条款规定的方式解决：</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1.9.1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1.9.2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pPr>
        <w:spacing w:line="440" w:lineRule="exact"/>
        <w:ind w:firstLine="482" w:firstLineChars="200"/>
        <w:outlineLvl w:val="2"/>
        <w:rPr>
          <w:rFonts w:ascii="仿宋" w:hAnsi="仿宋" w:eastAsia="仿宋" w:cs="仿宋"/>
          <w:b/>
          <w:sz w:val="24"/>
          <w:highlight w:val="none"/>
        </w:rPr>
      </w:pPr>
      <w:bookmarkStart w:id="484" w:name="_Toc15322"/>
      <w:bookmarkStart w:id="485" w:name="_Toc7245"/>
      <w:bookmarkStart w:id="486" w:name="_Toc2411"/>
      <w:bookmarkStart w:id="487" w:name="_Toc11173"/>
      <w:bookmarkStart w:id="488" w:name="_Toc14116"/>
      <w:r>
        <w:rPr>
          <w:rFonts w:hint="eastAsia" w:ascii="仿宋" w:hAnsi="仿宋" w:eastAsia="仿宋" w:cs="仿宋"/>
          <w:b/>
          <w:sz w:val="24"/>
          <w:highlight w:val="none"/>
        </w:rPr>
        <w:t>2.0 合同生效</w:t>
      </w:r>
      <w:bookmarkEnd w:id="484"/>
      <w:bookmarkEnd w:id="485"/>
      <w:bookmarkEnd w:id="486"/>
      <w:bookmarkEnd w:id="487"/>
      <w:bookmarkEnd w:id="488"/>
    </w:p>
    <w:p>
      <w:pPr>
        <w:spacing w:line="440" w:lineRule="exact"/>
        <w:ind w:firstLine="480" w:firstLineChars="200"/>
        <w:rPr>
          <w:rFonts w:ascii="仿宋" w:hAnsi="仿宋" w:eastAsia="仿宋" w:cs="仿宋"/>
          <w:b/>
          <w:sz w:val="24"/>
          <w:highlight w:val="none"/>
        </w:rPr>
      </w:pPr>
      <w:r>
        <w:rPr>
          <w:rFonts w:hint="eastAsia" w:ascii="仿宋" w:hAnsi="仿宋" w:eastAsia="仿宋" w:cs="仿宋"/>
          <w:sz w:val="24"/>
          <w:highlight w:val="none"/>
        </w:rPr>
        <w:t>本合同自双方当事人盖章签字时生效。</w:t>
      </w:r>
    </w:p>
    <w:p>
      <w:pPr>
        <w:autoSpaceDE w:val="0"/>
        <w:autoSpaceDN w:val="0"/>
        <w:spacing w:line="560" w:lineRule="exact"/>
        <w:ind w:firstLine="482" w:firstLineChars="200"/>
        <w:rPr>
          <w:rFonts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pPr>
        <w:autoSpaceDE w:val="0"/>
        <w:autoSpaceDN w:val="0"/>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pPr>
        <w:autoSpaceDE w:val="0"/>
        <w:autoSpaceDN w:val="0"/>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住所：                                   住所：</w:t>
      </w:r>
    </w:p>
    <w:p>
      <w:pPr>
        <w:autoSpaceDE w:val="0"/>
        <w:autoSpaceDN w:val="0"/>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法定代表人或                             法定代表人或</w:t>
      </w:r>
    </w:p>
    <w:p>
      <w:pPr>
        <w:autoSpaceDE w:val="0"/>
        <w:autoSpaceDN w:val="0"/>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授权代表（签字）: </w:t>
      </w:r>
    </w:p>
    <w:p>
      <w:pPr>
        <w:autoSpaceDE w:val="0"/>
        <w:autoSpaceDN w:val="0"/>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联系人：                                 联系人：</w:t>
      </w:r>
    </w:p>
    <w:p>
      <w:pPr>
        <w:autoSpaceDE w:val="0"/>
        <w:autoSpaceDN w:val="0"/>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pPr>
        <w:autoSpaceDE w:val="0"/>
        <w:autoSpaceDN w:val="0"/>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pPr>
        <w:autoSpaceDE w:val="0"/>
        <w:autoSpaceDN w:val="0"/>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pPr>
        <w:autoSpaceDE w:val="0"/>
        <w:autoSpaceDN w:val="0"/>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传真:                                    传真:</w:t>
      </w:r>
    </w:p>
    <w:p>
      <w:pPr>
        <w:autoSpaceDE w:val="0"/>
        <w:autoSpaceDN w:val="0"/>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电子邮箱：                               电子邮箱：</w:t>
      </w:r>
    </w:p>
    <w:p>
      <w:pPr>
        <w:autoSpaceDE w:val="0"/>
        <w:autoSpaceDN w:val="0"/>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开户银行：                               开户银行： </w:t>
      </w:r>
    </w:p>
    <w:p>
      <w:pPr>
        <w:autoSpaceDE w:val="0"/>
        <w:autoSpaceDN w:val="0"/>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开户名称：                               开户名称： </w:t>
      </w:r>
    </w:p>
    <w:p>
      <w:pPr>
        <w:autoSpaceDE w:val="0"/>
        <w:autoSpaceDN w:val="0"/>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p>
    <w:p>
      <w:pPr>
        <w:widowControl/>
        <w:adjustRightInd/>
        <w:spacing w:line="560" w:lineRule="exact"/>
        <w:ind w:firstLine="422" w:firstLineChars="200"/>
        <w:jc w:val="left"/>
        <w:rPr>
          <w:rFonts w:ascii="仿宋" w:hAnsi="仿宋" w:eastAsia="仿宋" w:cs="仿宋"/>
          <w:b/>
          <w:sz w:val="24"/>
          <w:highlight w:val="none"/>
        </w:rPr>
      </w:pPr>
      <w:r>
        <w:rPr>
          <w:rFonts w:hint="eastAsia" w:ascii="仿宋" w:hAnsi="仿宋" w:eastAsia="仿宋" w:cs="仿宋"/>
          <w:b/>
          <w:highlight w:val="none"/>
        </w:rPr>
        <w:br w:type="page"/>
      </w:r>
    </w:p>
    <w:p>
      <w:pPr>
        <w:pStyle w:val="703"/>
        <w:autoSpaceDE/>
        <w:autoSpaceDN/>
        <w:spacing w:after="0" w:line="420" w:lineRule="exact"/>
        <w:ind w:left="0" w:leftChars="0" w:firstLine="482"/>
        <w:jc w:val="center"/>
        <w:rPr>
          <w:rFonts w:ascii="仿宋" w:hAnsi="仿宋" w:eastAsia="仿宋" w:cs="仿宋"/>
          <w:b/>
          <w:szCs w:val="24"/>
          <w:highlight w:val="none"/>
        </w:rPr>
      </w:pPr>
      <w:r>
        <w:rPr>
          <w:rFonts w:hint="eastAsia" w:ascii="仿宋" w:hAnsi="仿宋" w:eastAsia="仿宋" w:cs="仿宋"/>
          <w:b/>
          <w:szCs w:val="24"/>
          <w:highlight w:val="none"/>
        </w:rPr>
        <w:t>第二部分 合同一般条款</w:t>
      </w:r>
    </w:p>
    <w:p>
      <w:pPr>
        <w:spacing w:line="420" w:lineRule="exact"/>
        <w:ind w:firstLine="482" w:firstLineChars="200"/>
        <w:rPr>
          <w:rFonts w:ascii="仿宋" w:hAnsi="仿宋" w:eastAsia="仿宋" w:cs="仿宋"/>
          <w:b/>
          <w:sz w:val="24"/>
          <w:highlight w:val="none"/>
        </w:rPr>
      </w:pPr>
      <w:bookmarkStart w:id="489" w:name="_Toc29070"/>
      <w:bookmarkStart w:id="490" w:name="_Toc9265"/>
      <w:r>
        <w:rPr>
          <w:rFonts w:hint="eastAsia" w:ascii="仿宋" w:hAnsi="仿宋" w:eastAsia="仿宋" w:cs="仿宋"/>
          <w:b/>
          <w:sz w:val="24"/>
          <w:highlight w:val="none"/>
        </w:rPr>
        <w:t>2.1 定义</w:t>
      </w:r>
      <w:bookmarkEnd w:id="489"/>
      <w:bookmarkEnd w:id="490"/>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 “合同”系指采购人和中标或成交供应商签订的载明双方当事人所达成的协议，并包括所有的附件、附录和构成合同的其他文件。</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2.1.2 “合同价”系指根据合同约定，中标或成交供应商在完全履行合同义务后，采购人应支付给中标或成交供应商的价格。</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2.1.4 “甲方”系指与中标或成交供应商签署合同的采购人；采购人委托采购代理机构代表其与乙方签订合同的，采购人的授权委托书作为合同附件。</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2.1.5 “乙方”系指根据合同约定交付货物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2.1.6 “现场”系指合同约定货物将要运至或者安装的地点。</w:t>
      </w:r>
    </w:p>
    <w:p>
      <w:pPr>
        <w:spacing w:line="420" w:lineRule="exact"/>
        <w:ind w:firstLine="482" w:firstLineChars="200"/>
        <w:rPr>
          <w:rFonts w:ascii="仿宋" w:hAnsi="仿宋" w:eastAsia="仿宋" w:cs="仿宋"/>
          <w:b/>
          <w:sz w:val="24"/>
          <w:highlight w:val="none"/>
        </w:rPr>
      </w:pPr>
      <w:bookmarkStart w:id="491" w:name="_Toc18441"/>
      <w:bookmarkStart w:id="492" w:name="_Toc25348"/>
      <w:r>
        <w:rPr>
          <w:rFonts w:hint="eastAsia" w:ascii="仿宋" w:hAnsi="仿宋" w:eastAsia="仿宋" w:cs="仿宋"/>
          <w:b/>
          <w:sz w:val="24"/>
          <w:highlight w:val="none"/>
        </w:rPr>
        <w:t>2.2 技术规范</w:t>
      </w:r>
      <w:bookmarkEnd w:id="491"/>
      <w:bookmarkEnd w:id="492"/>
    </w:p>
    <w:p>
      <w:pPr>
        <w:spacing w:line="420" w:lineRule="exact"/>
        <w:ind w:firstLine="480" w:firstLineChars="200"/>
        <w:rPr>
          <w:rFonts w:ascii="仿宋" w:hAnsi="仿宋" w:eastAsia="仿宋" w:cs="仿宋"/>
          <w:b/>
          <w:sz w:val="24"/>
          <w:highlight w:val="none"/>
        </w:rPr>
      </w:pPr>
      <w:r>
        <w:rPr>
          <w:rFonts w:hint="eastAsia" w:ascii="仿宋" w:hAnsi="仿宋" w:eastAsia="仿宋" w:cs="仿宋"/>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bookmarkStart w:id="493" w:name="_Toc31737"/>
      <w:bookmarkStart w:id="494" w:name="_Toc13042"/>
    </w:p>
    <w:p>
      <w:pPr>
        <w:spacing w:line="42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2.3 知识产权</w:t>
      </w:r>
      <w:bookmarkEnd w:id="493"/>
      <w:bookmarkEnd w:id="494"/>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2.3.2 具有知识产权的计算机软件等货物的知识产权归属，详见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42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2.4 包装和装运</w:t>
      </w:r>
    </w:p>
    <w:p>
      <w:pPr>
        <w:spacing w:line="42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2.4.1除</w:t>
      </w:r>
      <w:r>
        <w:rPr>
          <w:rFonts w:hint="eastAsia" w:ascii="仿宋" w:hAnsi="仿宋" w:eastAsia="仿宋" w:cs="仿宋"/>
          <w:b/>
          <w:i/>
          <w:sz w:val="24"/>
          <w:highlight w:val="none"/>
          <w:u w:val="single"/>
        </w:rPr>
        <w:t>合同专用条款</w:t>
      </w:r>
      <w:r>
        <w:rPr>
          <w:rFonts w:hint="eastAsia" w:ascii="仿宋" w:hAnsi="仿宋" w:eastAsia="仿宋" w:cs="仿宋"/>
          <w:bCs/>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2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420" w:lineRule="exact"/>
        <w:ind w:firstLine="480" w:firstLineChars="200"/>
        <w:rPr>
          <w:rFonts w:ascii="仿宋" w:hAnsi="仿宋" w:eastAsia="仿宋" w:cs="仿宋"/>
          <w:sz w:val="24"/>
          <w:highlight w:val="none"/>
        </w:rPr>
      </w:pPr>
      <w:r>
        <w:rPr>
          <w:rFonts w:hint="eastAsia" w:ascii="仿宋" w:hAnsi="仿宋" w:eastAsia="仿宋" w:cs="仿宋"/>
          <w:bCs/>
          <w:sz w:val="24"/>
          <w:highlight w:val="none"/>
        </w:rPr>
        <w:t>2.4.3 装运货物的要求和通知，详见</w:t>
      </w:r>
      <w:r>
        <w:rPr>
          <w:rFonts w:hint="eastAsia" w:ascii="仿宋" w:hAnsi="仿宋" w:eastAsia="仿宋" w:cs="仿宋"/>
          <w:b/>
          <w:i/>
          <w:sz w:val="24"/>
          <w:highlight w:val="none"/>
          <w:u w:val="single"/>
        </w:rPr>
        <w:t>合同专用条款</w:t>
      </w:r>
      <w:r>
        <w:rPr>
          <w:rFonts w:hint="eastAsia" w:ascii="仿宋" w:hAnsi="仿宋" w:eastAsia="仿宋" w:cs="仿宋"/>
          <w:bCs/>
          <w:sz w:val="24"/>
          <w:highlight w:val="none"/>
        </w:rPr>
        <w:t>。</w:t>
      </w:r>
    </w:p>
    <w:p>
      <w:pPr>
        <w:spacing w:line="420" w:lineRule="exact"/>
        <w:ind w:firstLine="482" w:firstLineChars="200"/>
        <w:rPr>
          <w:rFonts w:ascii="仿宋" w:hAnsi="仿宋" w:eastAsia="仿宋" w:cs="仿宋"/>
          <w:b/>
          <w:sz w:val="24"/>
          <w:highlight w:val="none"/>
        </w:rPr>
      </w:pPr>
      <w:bookmarkStart w:id="495" w:name="_Toc12391"/>
      <w:bookmarkStart w:id="496" w:name="_Toc8304"/>
      <w:r>
        <w:rPr>
          <w:rFonts w:hint="eastAsia" w:ascii="仿宋" w:hAnsi="仿宋" w:eastAsia="仿宋" w:cs="仿宋"/>
          <w:b/>
          <w:sz w:val="24"/>
          <w:highlight w:val="none"/>
        </w:rPr>
        <w:t>2.5 履约检查和问题反馈</w:t>
      </w:r>
    </w:p>
    <w:p>
      <w:pPr>
        <w:spacing w:line="42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20" w:lineRule="exact"/>
        <w:ind w:firstLine="480" w:firstLineChars="200"/>
        <w:rPr>
          <w:rFonts w:ascii="仿宋" w:hAnsi="仿宋" w:eastAsia="仿宋" w:cs="仿宋"/>
          <w:b/>
          <w:sz w:val="24"/>
          <w:highlight w:val="none"/>
        </w:rPr>
      </w:pPr>
      <w:r>
        <w:rPr>
          <w:rFonts w:hint="eastAsia" w:ascii="仿宋" w:hAnsi="仿宋" w:eastAsia="仿宋" w:cs="仿宋"/>
          <w:bCs/>
          <w:sz w:val="24"/>
          <w:highlight w:val="none"/>
        </w:rPr>
        <w:t>2.5.2 合同履行期间，甲方有权将履行过程中出现的问题反馈给乙方，双方当事人应以书面形式约定需要完善和改进的内容。</w:t>
      </w:r>
      <w:bookmarkEnd w:id="495"/>
      <w:bookmarkEnd w:id="496"/>
      <w:bookmarkStart w:id="497" w:name="_Toc22052"/>
      <w:bookmarkStart w:id="498" w:name="_Toc8639"/>
    </w:p>
    <w:p>
      <w:pPr>
        <w:spacing w:line="42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2.6 技术资料和保密义务</w:t>
      </w:r>
      <w:bookmarkEnd w:id="497"/>
      <w:bookmarkEnd w:id="498"/>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20" w:lineRule="exact"/>
        <w:ind w:firstLine="482" w:firstLineChars="200"/>
        <w:rPr>
          <w:rFonts w:ascii="仿宋" w:hAnsi="仿宋" w:eastAsia="仿宋" w:cs="仿宋"/>
          <w:b/>
          <w:sz w:val="24"/>
          <w:highlight w:val="none"/>
        </w:rPr>
      </w:pPr>
      <w:bookmarkStart w:id="499" w:name="_Toc24562"/>
      <w:bookmarkStart w:id="500" w:name="_Toc15424"/>
      <w:r>
        <w:rPr>
          <w:rFonts w:hint="eastAsia" w:ascii="仿宋" w:hAnsi="仿宋" w:eastAsia="仿宋" w:cs="仿宋"/>
          <w:b/>
          <w:sz w:val="24"/>
          <w:highlight w:val="none"/>
        </w:rPr>
        <w:t>2.7 质量保证</w:t>
      </w:r>
      <w:bookmarkEnd w:id="499"/>
      <w:bookmarkEnd w:id="500"/>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pPr>
        <w:spacing w:line="420" w:lineRule="exact"/>
        <w:ind w:firstLine="482" w:firstLineChars="200"/>
        <w:rPr>
          <w:rFonts w:ascii="仿宋" w:hAnsi="仿宋" w:eastAsia="仿宋" w:cs="仿宋"/>
          <w:b/>
          <w:sz w:val="24"/>
          <w:highlight w:val="none"/>
        </w:rPr>
      </w:pPr>
      <w:bookmarkStart w:id="501" w:name="_Toc17722"/>
      <w:bookmarkStart w:id="502" w:name="_Toc24080"/>
      <w:r>
        <w:rPr>
          <w:rFonts w:hint="eastAsia" w:ascii="仿宋" w:hAnsi="仿宋" w:eastAsia="仿宋" w:cs="仿宋"/>
          <w:b/>
          <w:sz w:val="24"/>
          <w:highlight w:val="none"/>
        </w:rPr>
        <w:t>2.8 货物的风险负担</w:t>
      </w:r>
      <w:bookmarkEnd w:id="501"/>
      <w:bookmarkEnd w:id="502"/>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货物或者在途货物或者交付给第一承运人后的货物毁损、灭失的风险负担详见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420" w:lineRule="exact"/>
        <w:ind w:firstLine="482" w:firstLineChars="200"/>
        <w:rPr>
          <w:rFonts w:ascii="仿宋" w:hAnsi="仿宋" w:eastAsia="仿宋" w:cs="仿宋"/>
          <w:b/>
          <w:sz w:val="24"/>
          <w:highlight w:val="none"/>
        </w:rPr>
      </w:pPr>
      <w:bookmarkStart w:id="503" w:name="_Toc11742"/>
      <w:bookmarkStart w:id="504" w:name="_Toc17148"/>
      <w:r>
        <w:rPr>
          <w:rFonts w:hint="eastAsia" w:ascii="仿宋" w:hAnsi="仿宋" w:eastAsia="仿宋" w:cs="仿宋"/>
          <w:b/>
          <w:sz w:val="24"/>
          <w:highlight w:val="none"/>
        </w:rPr>
        <w:t>2.9 延迟交货</w:t>
      </w:r>
    </w:p>
    <w:p>
      <w:pPr>
        <w:spacing w:line="42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2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2.10 合同变更</w:t>
      </w:r>
      <w:bookmarkEnd w:id="503"/>
      <w:bookmarkEnd w:id="504"/>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420" w:lineRule="exact"/>
        <w:ind w:firstLine="482" w:firstLineChars="200"/>
        <w:rPr>
          <w:rFonts w:ascii="仿宋" w:hAnsi="仿宋" w:eastAsia="仿宋" w:cs="仿宋"/>
          <w:b/>
          <w:sz w:val="24"/>
          <w:highlight w:val="none"/>
        </w:rPr>
      </w:pPr>
      <w:bookmarkStart w:id="505" w:name="_Toc17193"/>
      <w:bookmarkStart w:id="506" w:name="_Toc24533"/>
      <w:r>
        <w:rPr>
          <w:rFonts w:hint="eastAsia" w:ascii="仿宋" w:hAnsi="仿宋" w:eastAsia="仿宋" w:cs="仿宋"/>
          <w:b/>
          <w:sz w:val="24"/>
          <w:highlight w:val="none"/>
        </w:rPr>
        <w:t>2.11 合同转让和分包</w:t>
      </w:r>
      <w:bookmarkEnd w:id="505"/>
      <w:bookmarkEnd w:id="506"/>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2.11.2乙方采取分包方式履行合同的，甲方可直接向分包供应商支付款项。</w:t>
      </w:r>
    </w:p>
    <w:p>
      <w:pPr>
        <w:spacing w:line="420" w:lineRule="exact"/>
        <w:ind w:firstLine="482" w:firstLineChars="200"/>
        <w:rPr>
          <w:rFonts w:ascii="仿宋" w:hAnsi="仿宋" w:eastAsia="仿宋" w:cs="仿宋"/>
          <w:b/>
          <w:sz w:val="24"/>
          <w:highlight w:val="none"/>
        </w:rPr>
      </w:pPr>
      <w:bookmarkStart w:id="507" w:name="_Toc10781"/>
      <w:bookmarkStart w:id="508" w:name="_Toc18393"/>
      <w:r>
        <w:rPr>
          <w:rFonts w:hint="eastAsia" w:ascii="仿宋" w:hAnsi="仿宋" w:eastAsia="仿宋" w:cs="仿宋"/>
          <w:b/>
          <w:sz w:val="24"/>
          <w:highlight w:val="none"/>
        </w:rPr>
        <w:t>2.12 不可抗力</w:t>
      </w:r>
      <w:bookmarkEnd w:id="507"/>
      <w:bookmarkEnd w:id="508"/>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2.12.1如果任何一方遭遇法律规定的不可抗力，致使合同履行受阻时，履行合同的期限应予延长，延长的期限应相当于不可抗力所影响的时间；</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2.12.2 因不可抗力致使不能实现合同目的的，当事人可以解除合同；</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2.12.3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2.12.4受不可抗力影响的一方在不可抗力发生后，应在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pPr>
        <w:spacing w:line="420" w:lineRule="exact"/>
        <w:ind w:firstLine="482" w:firstLineChars="200"/>
        <w:rPr>
          <w:rFonts w:ascii="仿宋" w:hAnsi="仿宋" w:eastAsia="仿宋" w:cs="仿宋"/>
          <w:b/>
          <w:sz w:val="24"/>
          <w:highlight w:val="none"/>
        </w:rPr>
      </w:pPr>
      <w:bookmarkStart w:id="509" w:name="_Toc13317"/>
      <w:bookmarkStart w:id="510" w:name="_Toc32573"/>
      <w:r>
        <w:rPr>
          <w:rFonts w:hint="eastAsia" w:ascii="仿宋" w:hAnsi="仿宋" w:eastAsia="仿宋" w:cs="仿宋"/>
          <w:b/>
          <w:sz w:val="24"/>
          <w:highlight w:val="none"/>
        </w:rPr>
        <w:t>2.13 税费</w:t>
      </w:r>
      <w:bookmarkEnd w:id="509"/>
      <w:bookmarkEnd w:id="510"/>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pPr>
        <w:spacing w:line="420" w:lineRule="exact"/>
        <w:ind w:firstLine="482" w:firstLineChars="200"/>
        <w:rPr>
          <w:rFonts w:ascii="仿宋" w:hAnsi="仿宋" w:eastAsia="仿宋" w:cs="仿宋"/>
          <w:b/>
          <w:sz w:val="24"/>
          <w:highlight w:val="none"/>
        </w:rPr>
      </w:pPr>
      <w:bookmarkStart w:id="511" w:name="_Toc24743"/>
      <w:bookmarkStart w:id="512" w:name="_Toc26875"/>
      <w:r>
        <w:rPr>
          <w:rFonts w:hint="eastAsia" w:ascii="仿宋" w:hAnsi="仿宋" w:eastAsia="仿宋" w:cs="仿宋"/>
          <w:b/>
          <w:sz w:val="24"/>
          <w:highlight w:val="none"/>
        </w:rPr>
        <w:t>2.14 乙方破产</w:t>
      </w:r>
      <w:bookmarkEnd w:id="511"/>
      <w:bookmarkEnd w:id="512"/>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20" w:lineRule="exact"/>
        <w:ind w:firstLine="482" w:firstLineChars="200"/>
        <w:rPr>
          <w:rFonts w:ascii="仿宋" w:hAnsi="仿宋" w:eastAsia="仿宋" w:cs="仿宋"/>
          <w:b/>
          <w:sz w:val="24"/>
          <w:highlight w:val="none"/>
        </w:rPr>
      </w:pPr>
      <w:bookmarkStart w:id="513" w:name="_Toc25595"/>
      <w:bookmarkStart w:id="514" w:name="_Toc25881"/>
      <w:r>
        <w:rPr>
          <w:rFonts w:hint="eastAsia" w:ascii="仿宋" w:hAnsi="仿宋" w:eastAsia="仿宋" w:cs="仿宋"/>
          <w:b/>
          <w:sz w:val="24"/>
          <w:highlight w:val="none"/>
        </w:rPr>
        <w:t>2.15 合同中止、终止</w:t>
      </w:r>
      <w:bookmarkEnd w:id="513"/>
      <w:bookmarkEnd w:id="514"/>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2.15.1 双方当事人不得擅自中止或者终止合同；</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420" w:lineRule="exact"/>
        <w:ind w:firstLine="482" w:firstLineChars="200"/>
        <w:rPr>
          <w:rFonts w:ascii="仿宋" w:hAnsi="仿宋" w:eastAsia="仿宋" w:cs="仿宋"/>
          <w:b/>
          <w:sz w:val="24"/>
          <w:highlight w:val="none"/>
        </w:rPr>
      </w:pPr>
      <w:bookmarkStart w:id="515" w:name="_Toc18802"/>
      <w:bookmarkStart w:id="516" w:name="_Toc17783"/>
      <w:r>
        <w:rPr>
          <w:rFonts w:hint="eastAsia" w:ascii="仿宋" w:hAnsi="仿宋" w:eastAsia="仿宋" w:cs="仿宋"/>
          <w:b/>
          <w:sz w:val="24"/>
          <w:highlight w:val="none"/>
        </w:rPr>
        <w:t>2.16 检验和验收</w:t>
      </w:r>
      <w:bookmarkEnd w:id="515"/>
      <w:bookmarkEnd w:id="516"/>
    </w:p>
    <w:p>
      <w:pPr>
        <w:tabs>
          <w:tab w:val="left" w:pos="360"/>
          <w:tab w:val="left" w:pos="540"/>
          <w:tab w:val="left" w:pos="1080"/>
        </w:tabs>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2.16.1 货物交付前，乙方应对货物的质量、数量等方面进行详细、全面的检验，并向甲方出具证明货物符合合同约定的文件；货物交付时，甲方在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约定时间内组织验收，并可依法邀请相关方参加，验收应出具验收书。</w:t>
      </w:r>
    </w:p>
    <w:p>
      <w:pPr>
        <w:tabs>
          <w:tab w:val="left" w:pos="360"/>
          <w:tab w:val="left" w:pos="540"/>
          <w:tab w:val="left" w:pos="1080"/>
        </w:tabs>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2.16.2 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2.16.3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pPr>
        <w:spacing w:line="420" w:lineRule="exact"/>
        <w:ind w:firstLine="482" w:firstLineChars="200"/>
        <w:rPr>
          <w:rFonts w:ascii="仿宋" w:hAnsi="仿宋" w:eastAsia="仿宋" w:cs="仿宋"/>
          <w:b/>
          <w:sz w:val="24"/>
          <w:highlight w:val="none"/>
        </w:rPr>
      </w:pPr>
      <w:bookmarkStart w:id="517" w:name="_Toc21819"/>
      <w:bookmarkStart w:id="518" w:name="_Toc30732"/>
      <w:r>
        <w:rPr>
          <w:rFonts w:hint="eastAsia" w:ascii="仿宋" w:hAnsi="仿宋" w:eastAsia="仿宋" w:cs="仿宋"/>
          <w:b/>
          <w:sz w:val="24"/>
          <w:highlight w:val="none"/>
        </w:rPr>
        <w:t>2.17 通知和送达</w:t>
      </w:r>
      <w:bookmarkEnd w:id="517"/>
      <w:bookmarkEnd w:id="518"/>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2.17.1任何一方因履行合同而以合同第一部分尾部所列明的传真或电子邮件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420" w:lineRule="exact"/>
        <w:ind w:firstLine="482" w:firstLineChars="200"/>
        <w:rPr>
          <w:rFonts w:ascii="仿宋" w:hAnsi="仿宋" w:eastAsia="仿宋" w:cs="仿宋"/>
          <w:b/>
          <w:sz w:val="24"/>
          <w:highlight w:val="none"/>
        </w:rPr>
      </w:pPr>
      <w:bookmarkStart w:id="519" w:name="_Toc20193"/>
      <w:bookmarkStart w:id="520" w:name="_Toc32405"/>
      <w:r>
        <w:rPr>
          <w:rFonts w:hint="eastAsia" w:ascii="仿宋" w:hAnsi="仿宋" w:eastAsia="仿宋" w:cs="仿宋"/>
          <w:b/>
          <w:sz w:val="24"/>
          <w:highlight w:val="none"/>
        </w:rPr>
        <w:t>2.18 合同使用的文字和适用的法律</w:t>
      </w:r>
      <w:bookmarkEnd w:id="519"/>
      <w:bookmarkEnd w:id="520"/>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2.18.1 合同使用汉语书就、变更和解释；</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2.18.2 合同适用中华人民共和国法律。</w:t>
      </w:r>
    </w:p>
    <w:p>
      <w:pPr>
        <w:spacing w:line="420" w:lineRule="exact"/>
        <w:ind w:firstLine="482" w:firstLineChars="200"/>
        <w:rPr>
          <w:rFonts w:ascii="仿宋" w:hAnsi="仿宋" w:eastAsia="仿宋" w:cs="仿宋"/>
          <w:b/>
          <w:sz w:val="24"/>
          <w:highlight w:val="none"/>
        </w:rPr>
      </w:pPr>
      <w:bookmarkStart w:id="521" w:name="_Toc18540"/>
      <w:bookmarkStart w:id="522" w:name="_Toc25493"/>
      <w:bookmarkStart w:id="523" w:name="_Toc30599"/>
      <w:bookmarkStart w:id="524" w:name="_Toc4355"/>
      <w:bookmarkStart w:id="525" w:name="_Toc30426"/>
      <w:r>
        <w:rPr>
          <w:rFonts w:hint="eastAsia" w:ascii="仿宋" w:hAnsi="仿宋" w:eastAsia="仿宋" w:cs="仿宋"/>
          <w:b/>
          <w:sz w:val="24"/>
          <w:highlight w:val="none"/>
        </w:rPr>
        <w:t>2.19 计量单位</w:t>
      </w:r>
      <w:bookmarkEnd w:id="521"/>
      <w:bookmarkEnd w:id="522"/>
      <w:bookmarkEnd w:id="523"/>
      <w:bookmarkEnd w:id="524"/>
      <w:bookmarkEnd w:id="525"/>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pPr>
        <w:spacing w:line="42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2.20合同份数</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bookmarkEnd w:id="452"/>
    <w:bookmarkEnd w:id="453"/>
    <w:bookmarkEnd w:id="454"/>
    <w:bookmarkEnd w:id="455"/>
    <w:bookmarkEnd w:id="456"/>
    <w:p>
      <w:pPr>
        <w:spacing w:line="560" w:lineRule="exact"/>
        <w:ind w:firstLine="480" w:firstLineChars="200"/>
        <w:rPr>
          <w:rFonts w:ascii="仿宋" w:hAnsi="仿宋" w:eastAsia="仿宋" w:cs="仿宋"/>
          <w:sz w:val="24"/>
          <w:highlight w:val="none"/>
        </w:rPr>
      </w:pPr>
    </w:p>
    <w:p>
      <w:pPr>
        <w:pStyle w:val="703"/>
        <w:spacing w:line="560" w:lineRule="exact"/>
        <w:jc w:val="center"/>
        <w:outlineLvl w:val="1"/>
        <w:rPr>
          <w:rFonts w:ascii="仿宋" w:hAnsi="仿宋" w:eastAsia="仿宋" w:cs="仿宋"/>
          <w:b/>
          <w:sz w:val="36"/>
          <w:szCs w:val="36"/>
          <w:highlight w:val="none"/>
        </w:rPr>
      </w:pPr>
      <w:r>
        <w:rPr>
          <w:rFonts w:hint="eastAsia" w:ascii="仿宋" w:hAnsi="仿宋" w:eastAsia="仿宋" w:cs="仿宋"/>
          <w:kern w:val="0"/>
          <w:szCs w:val="24"/>
          <w:highlight w:val="none"/>
        </w:rPr>
        <w:br w:type="page"/>
      </w:r>
      <w:bookmarkStart w:id="526" w:name="_Toc25021"/>
      <w:bookmarkStart w:id="527" w:name="_Toc24383"/>
      <w:bookmarkStart w:id="528" w:name="_Toc27408"/>
      <w:bookmarkStart w:id="529" w:name="_Toc25969"/>
      <w:bookmarkStart w:id="530" w:name="_Toc2409"/>
      <w:bookmarkStart w:id="531" w:name="_Toc15098"/>
      <w:r>
        <w:rPr>
          <w:rFonts w:hint="eastAsia" w:ascii="仿宋" w:hAnsi="仿宋" w:eastAsia="仿宋" w:cs="仿宋"/>
          <w:b/>
          <w:sz w:val="32"/>
          <w:szCs w:val="32"/>
          <w:highlight w:val="none"/>
        </w:rPr>
        <w:t>第三部分合同专用条款</w:t>
      </w:r>
      <w:bookmarkEnd w:id="526"/>
      <w:bookmarkEnd w:id="527"/>
      <w:bookmarkEnd w:id="528"/>
      <w:bookmarkEnd w:id="529"/>
      <w:bookmarkEnd w:id="530"/>
      <w:bookmarkEnd w:id="531"/>
    </w:p>
    <w:p>
      <w:pPr>
        <w:spacing w:line="560" w:lineRule="exact"/>
        <w:ind w:left="-420" w:leftChars="-200" w:right="-420" w:rightChars="-200" w:firstLine="480" w:firstLineChars="200"/>
        <w:rPr>
          <w:rFonts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条款号</w:t>
            </w:r>
          </w:p>
        </w:tc>
        <w:tc>
          <w:tcPr>
            <w:tcW w:w="8089" w:type="dxa"/>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1.4.2</w:t>
            </w:r>
          </w:p>
        </w:tc>
        <w:tc>
          <w:tcPr>
            <w:tcW w:w="8089"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本项目无需缴纳履约保证金。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1.5.1 </w:t>
            </w:r>
          </w:p>
        </w:tc>
        <w:tc>
          <w:tcPr>
            <w:tcW w:w="8089" w:type="dxa"/>
            <w:vAlign w:val="center"/>
          </w:tcPr>
          <w:p>
            <w:pPr>
              <w:wordWrap w:val="0"/>
              <w:spacing w:line="360" w:lineRule="auto"/>
              <w:outlineLvl w:val="2"/>
              <w:rPr>
                <w:rFonts w:ascii="仿宋" w:hAnsi="仿宋" w:eastAsia="仿宋" w:cs="仿宋"/>
                <w:sz w:val="24"/>
                <w:highlight w:val="none"/>
              </w:rPr>
            </w:pPr>
            <w:r>
              <w:rPr>
                <w:rFonts w:hint="eastAsia" w:ascii="仿宋" w:hAnsi="仿宋" w:eastAsia="仿宋" w:cs="仿宋"/>
                <w:sz w:val="24"/>
                <w:highlight w:val="none"/>
              </w:rPr>
              <w:t>合同签订之日起7个工作日内，甲方支付合同价的【   %】作为预付款；同时乙方提交银行或保险公司出具的同等金额的预付款保函，保函的格式和内容须经甲方确认。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1.5.2</w:t>
            </w:r>
          </w:p>
        </w:tc>
        <w:tc>
          <w:tcPr>
            <w:tcW w:w="8089"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lang w:bidi="ar"/>
              </w:rPr>
              <w:t>预付款不扣回。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1.5.3 </w:t>
            </w:r>
          </w:p>
        </w:tc>
        <w:tc>
          <w:tcPr>
            <w:tcW w:w="8089"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甲方向乙方支付预付款的同时，乙方提交银行、保险公司出具的同等金额的预付款保函（若未按要求提交预付款保函，则视为乙方无需预付款）。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1.6.2</w:t>
            </w:r>
          </w:p>
        </w:tc>
        <w:tc>
          <w:tcPr>
            <w:tcW w:w="8089"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资金支付的方式、时间和条件：</w:t>
            </w:r>
          </w:p>
          <w:p>
            <w:pPr>
              <w:spacing w:line="360" w:lineRule="auto"/>
              <w:rPr>
                <w:rFonts w:ascii="仿宋" w:hAnsi="仿宋" w:eastAsia="仿宋" w:cs="仿宋"/>
                <w:sz w:val="24"/>
                <w:highlight w:val="none"/>
              </w:rPr>
            </w:pPr>
            <w:r>
              <w:rPr>
                <w:rFonts w:hint="eastAsia" w:ascii="仿宋" w:hAnsi="仿宋" w:eastAsia="仿宋" w:cs="仿宋"/>
                <w:sz w:val="24"/>
                <w:highlight w:val="none"/>
              </w:rPr>
              <w:t>（1）预付款见1.5.1条规定；</w:t>
            </w:r>
          </w:p>
          <w:p>
            <w:pPr>
              <w:spacing w:line="360" w:lineRule="auto"/>
              <w:rPr>
                <w:rFonts w:ascii="仿宋" w:hAnsi="仿宋" w:eastAsia="仿宋" w:cs="仿宋"/>
                <w:sz w:val="24"/>
                <w:highlight w:val="none"/>
              </w:rPr>
            </w:pPr>
            <w:r>
              <w:rPr>
                <w:rFonts w:hint="eastAsia" w:ascii="仿宋" w:hAnsi="仿宋" w:eastAsia="仿宋" w:cs="仿宋"/>
                <w:sz w:val="24"/>
                <w:highlight w:val="none"/>
              </w:rPr>
              <w:t>（2）第二期付款：项目通过履约验收后10个工作日内，甲方支付剩余款项款。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1.7.1</w:t>
            </w:r>
          </w:p>
        </w:tc>
        <w:tc>
          <w:tcPr>
            <w:tcW w:w="8089"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交付期限：</w:t>
            </w:r>
          </w:p>
          <w:p>
            <w:pPr>
              <w:spacing w:line="360" w:lineRule="auto"/>
              <w:rPr>
                <w:rFonts w:ascii="仿宋" w:hAnsi="仿宋" w:eastAsia="仿宋" w:cs="仿宋"/>
                <w:sz w:val="24"/>
                <w:highlight w:val="none"/>
              </w:rPr>
            </w:pPr>
            <w:r>
              <w:rPr>
                <w:rFonts w:hint="eastAsia" w:ascii="仿宋" w:hAnsi="仿宋" w:eastAsia="仿宋" w:cs="仿宋"/>
                <w:sz w:val="24"/>
                <w:highlight w:val="none"/>
              </w:rPr>
              <w:t>（1）交货时间：合同签订次日起60个日历日内完成生产、供货、安装，最晚不超出2024年6月30日。其中，合同签订次日起50个日历日内完成生产；接到甲方通知之日起10日历天完成供货及安装，具体安装根据总包单位建设进度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1.7.2</w:t>
            </w:r>
          </w:p>
        </w:tc>
        <w:tc>
          <w:tcPr>
            <w:tcW w:w="8089"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交付地点：杭州学军中学桐庐学校图书馆。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1.7.3</w:t>
            </w:r>
          </w:p>
        </w:tc>
        <w:tc>
          <w:tcPr>
            <w:tcW w:w="8089"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交付方式：安装现场交付。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1.8.6</w:t>
            </w:r>
          </w:p>
        </w:tc>
        <w:tc>
          <w:tcPr>
            <w:tcW w:w="8089"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其他违约责任：</w:t>
            </w:r>
          </w:p>
          <w:p>
            <w:pPr>
              <w:spacing w:line="360" w:lineRule="auto"/>
              <w:rPr>
                <w:rFonts w:ascii="仿宋" w:hAnsi="仿宋" w:eastAsia="仿宋" w:cs="仿宋"/>
                <w:sz w:val="24"/>
                <w:highlight w:val="none"/>
              </w:rPr>
            </w:pPr>
            <w:r>
              <w:rPr>
                <w:rFonts w:hint="eastAsia" w:ascii="仿宋" w:hAnsi="仿宋" w:eastAsia="仿宋" w:cs="仿宋"/>
                <w:sz w:val="24"/>
                <w:highlight w:val="none"/>
              </w:rPr>
              <w:t>1.乙方所交产品品种、型号、规格、质量或项目完成质量不符合合同规定的，由乙方在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日内负责包换或返工，并承担调换、退货或返工而支付的实际费用。乙方不能调换或不予返工的，按不能完成采购项目处理。</w:t>
            </w:r>
          </w:p>
          <w:p>
            <w:pPr>
              <w:spacing w:line="360" w:lineRule="auto"/>
              <w:rPr>
                <w:rFonts w:ascii="仿宋" w:hAnsi="仿宋" w:eastAsia="仿宋" w:cs="仿宋"/>
                <w:sz w:val="24"/>
                <w:highlight w:val="none"/>
              </w:rPr>
            </w:pPr>
            <w:r>
              <w:rPr>
                <w:rFonts w:hint="eastAsia" w:ascii="仿宋" w:hAnsi="仿宋" w:eastAsia="仿宋" w:cs="仿宋"/>
                <w:sz w:val="24"/>
                <w:highlight w:val="none"/>
              </w:rPr>
              <w:t>2.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spacing w:line="360" w:lineRule="auto"/>
              <w:rPr>
                <w:rFonts w:ascii="仿宋" w:hAnsi="仿宋" w:eastAsia="仿宋" w:cs="仿宋"/>
                <w:sz w:val="24"/>
                <w:highlight w:val="none"/>
              </w:rPr>
            </w:pPr>
            <w:r>
              <w:rPr>
                <w:rFonts w:hint="eastAsia" w:ascii="仿宋" w:hAnsi="仿宋" w:eastAsia="仿宋" w:cs="仿宋"/>
                <w:sz w:val="24"/>
                <w:highlight w:val="none"/>
              </w:rPr>
              <w:t>3.未按本专用合同约定提供质保及售后服务的，乙方应向甲方偿付采购项目总价款的5％的违约金。甲方无故退货的，应向乙方偿付退货部分货款5％的违约金。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1.9</w:t>
            </w:r>
          </w:p>
        </w:tc>
        <w:tc>
          <w:tcPr>
            <w:tcW w:w="8089" w:type="dxa"/>
            <w:vAlign w:val="center"/>
          </w:tcPr>
          <w:p>
            <w:pPr>
              <w:spacing w:line="360" w:lineRule="auto"/>
              <w:rPr>
                <w:rFonts w:ascii="仿宋" w:hAnsi="仿宋" w:eastAsia="仿宋" w:cs="仿宋"/>
                <w:sz w:val="24"/>
                <w:highlight w:val="none"/>
              </w:rPr>
            </w:pPr>
            <w:r>
              <w:rPr>
                <w:rFonts w:hint="eastAsia" w:ascii="仿宋" w:hAnsi="仿宋" w:eastAsia="仿宋" w:cs="仿宋"/>
                <w:bCs/>
                <w:sz w:val="24"/>
                <w:highlight w:val="none"/>
              </w:rPr>
              <w:t>本项目选择以下第1.9.2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1.9.1</w:t>
            </w:r>
          </w:p>
        </w:tc>
        <w:tc>
          <w:tcPr>
            <w:tcW w:w="8089" w:type="dxa"/>
            <w:vAlign w:val="center"/>
          </w:tcPr>
          <w:p>
            <w:pPr>
              <w:spacing w:line="360" w:lineRule="auto"/>
              <w:rPr>
                <w:rFonts w:ascii="仿宋" w:hAnsi="仿宋" w:eastAsia="仿宋" w:cs="仿宋"/>
                <w:sz w:val="24"/>
                <w:highlight w:val="none"/>
              </w:rPr>
            </w:pPr>
            <w:r>
              <w:rPr>
                <w:rFonts w:hint="eastAsia" w:ascii="仿宋" w:hAnsi="仿宋" w:eastAsia="仿宋" w:cs="仿宋"/>
                <w:bCs/>
                <w:sz w:val="24"/>
                <w:highlight w:val="none"/>
              </w:rPr>
              <w:t>将争议提交杭州市仲裁委员会依申请仲裁时其现行有效的仲裁规则裁决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1.9.2</w:t>
            </w:r>
          </w:p>
        </w:tc>
        <w:tc>
          <w:tcPr>
            <w:tcW w:w="8089" w:type="dxa"/>
            <w:vAlign w:val="center"/>
          </w:tcPr>
          <w:p>
            <w:pPr>
              <w:spacing w:line="360" w:lineRule="auto"/>
              <w:rPr>
                <w:rFonts w:ascii="仿宋" w:hAnsi="仿宋" w:eastAsia="仿宋" w:cs="仿宋"/>
                <w:sz w:val="24"/>
                <w:highlight w:val="none"/>
              </w:rPr>
            </w:pPr>
            <w:r>
              <w:rPr>
                <w:rFonts w:hint="eastAsia" w:ascii="仿宋" w:hAnsi="仿宋" w:eastAsia="仿宋" w:cs="仿宋"/>
                <w:bCs/>
                <w:sz w:val="24"/>
                <w:highlight w:val="none"/>
              </w:rPr>
              <w:t>向甲方所在地人民法院起诉。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2.3.2</w:t>
            </w:r>
          </w:p>
        </w:tc>
        <w:tc>
          <w:tcPr>
            <w:tcW w:w="8089" w:type="dxa"/>
            <w:vAlign w:val="center"/>
          </w:tcPr>
          <w:p>
            <w:pPr>
              <w:spacing w:line="360" w:lineRule="auto"/>
              <w:ind w:right="-420" w:rightChars="-200"/>
              <w:rPr>
                <w:rFonts w:ascii="仿宋" w:hAnsi="仿宋" w:eastAsia="仿宋" w:cs="仿宋"/>
                <w:sz w:val="24"/>
                <w:highlight w:val="none"/>
              </w:rPr>
            </w:pPr>
            <w:r>
              <w:rPr>
                <w:rFonts w:hint="eastAsia" w:ascii="仿宋" w:hAnsi="仿宋" w:eastAsia="仿宋" w:cs="仿宋"/>
                <w:sz w:val="24"/>
                <w:highlight w:val="none"/>
              </w:rPr>
              <w:t>具有知识产权的计算机软件等货物的知识产权归属制造商。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2.4.1</w:t>
            </w:r>
          </w:p>
        </w:tc>
        <w:tc>
          <w:tcPr>
            <w:tcW w:w="8089" w:type="dxa"/>
            <w:vAlign w:val="center"/>
          </w:tcPr>
          <w:p>
            <w:pPr>
              <w:spacing w:line="360" w:lineRule="auto"/>
              <w:rPr>
                <w:rFonts w:ascii="仿宋" w:hAnsi="仿宋" w:eastAsia="仿宋" w:cs="仿宋"/>
                <w:sz w:val="24"/>
                <w:highlight w:val="none"/>
              </w:rPr>
            </w:pPr>
            <w:r>
              <w:rPr>
                <w:rFonts w:hint="eastAsia" w:ascii="仿宋" w:hAnsi="仿宋" w:eastAsia="仿宋" w:cs="仿宋"/>
                <w:bCs/>
                <w:sz w:val="24"/>
                <w:highlight w:val="none"/>
              </w:rPr>
              <w:t>其他约定：使用说明书、质量检验证明书、随配附件和工具以及清单一并附于货物内。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2.4.3</w:t>
            </w:r>
          </w:p>
        </w:tc>
        <w:tc>
          <w:tcPr>
            <w:tcW w:w="8089" w:type="dxa"/>
            <w:vAlign w:val="center"/>
          </w:tcPr>
          <w:p>
            <w:pPr>
              <w:spacing w:line="360" w:lineRule="auto"/>
              <w:rPr>
                <w:rFonts w:ascii="仿宋" w:hAnsi="仿宋" w:eastAsia="仿宋" w:cs="仿宋"/>
                <w:sz w:val="24"/>
                <w:highlight w:val="none"/>
              </w:rPr>
            </w:pPr>
            <w:r>
              <w:rPr>
                <w:rFonts w:hint="eastAsia" w:ascii="仿宋" w:hAnsi="仿宋" w:eastAsia="仿宋" w:cs="仿宋"/>
                <w:bCs/>
                <w:sz w:val="24"/>
                <w:highlight w:val="none"/>
              </w:rPr>
              <w:t>装运货物的要求和通知：乙方在货物发运手续办理完毕后24小时内或货到甲方48小时前通知甲方，以准备接货。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2.8</w:t>
            </w:r>
          </w:p>
        </w:tc>
        <w:tc>
          <w:tcPr>
            <w:tcW w:w="8089" w:type="dxa"/>
            <w:vAlign w:val="center"/>
          </w:tcPr>
          <w:p>
            <w:pPr>
              <w:spacing w:line="360" w:lineRule="auto"/>
              <w:rPr>
                <w:rFonts w:ascii="仿宋" w:hAnsi="仿宋" w:eastAsia="仿宋" w:cs="仿宋"/>
                <w:highlight w:val="none"/>
              </w:rPr>
            </w:pPr>
            <w:r>
              <w:rPr>
                <w:rFonts w:hint="eastAsia" w:ascii="仿宋" w:hAnsi="仿宋" w:eastAsia="仿宋" w:cs="仿宋"/>
                <w:sz w:val="24"/>
                <w:highlight w:val="none"/>
              </w:rPr>
              <w:t>货物或者在途货物或者交付给第一承运人后的货物毁损、灭失的风险负担由乙方承担。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2.12.3</w:t>
            </w:r>
          </w:p>
        </w:tc>
        <w:tc>
          <w:tcPr>
            <w:tcW w:w="8089"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因不可抗力致使合同有变更必要的，双方当事人应在发生后6小时内以书面形式变更合同；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2.12.4 </w:t>
            </w:r>
          </w:p>
        </w:tc>
        <w:tc>
          <w:tcPr>
            <w:tcW w:w="8089"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受不可抗力影响的一方在不可抗力发生后，应在发生后6小时内以书面形式通知对方当事人，并在事故发生后14天内，将有关部门出具的证明文件送达对方当事人。如果不可抗力影响时间延续60天以上的，双方应通过友好协商在合理的时间内达成进一步履行合同的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2.16.1</w:t>
            </w:r>
          </w:p>
        </w:tc>
        <w:tc>
          <w:tcPr>
            <w:tcW w:w="8089"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甲方在接到乙方验收申请之日起10个工作日内组织验收，并可依法邀请相关方参加，验收应出具验收书。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2.16.3</w:t>
            </w:r>
          </w:p>
        </w:tc>
        <w:tc>
          <w:tcPr>
            <w:tcW w:w="8089" w:type="dxa"/>
            <w:vAlign w:val="center"/>
          </w:tcPr>
          <w:p>
            <w:pPr>
              <w:spacing w:line="360" w:lineRule="auto"/>
              <w:rPr>
                <w:rFonts w:ascii="仿宋" w:hAnsi="仿宋" w:eastAsia="仿宋" w:cs="仿宋"/>
                <w:kern w:val="0"/>
                <w:sz w:val="24"/>
                <w:highlight w:val="none"/>
              </w:rPr>
            </w:pPr>
            <w:r>
              <w:rPr>
                <w:rFonts w:hint="eastAsia" w:ascii="仿宋" w:hAnsi="仿宋" w:eastAsia="仿宋" w:cs="仿宋"/>
                <w:sz w:val="24"/>
                <w:highlight w:val="none"/>
              </w:rPr>
              <w:t>（1）检验和验收标准：①满足采购需求及技术文件的要求，达到国家及行业现行规范的合格标准；②资金支付及履约保证金返还条件、争议处理、验收费用支付、采购人及供应商各自权利义务等内容按国家，省，市现行规定和合同约定的内容。</w:t>
            </w:r>
            <w:r>
              <w:rPr>
                <w:rFonts w:hint="eastAsia" w:ascii="仿宋" w:hAnsi="仿宋" w:eastAsia="仿宋" w:cs="仿宋"/>
                <w:kern w:val="0"/>
                <w:sz w:val="24"/>
                <w:highlight w:val="none"/>
              </w:rPr>
              <w:t>③供应商提供成品家具环保检测报告合格证明和室内空气检测报告。</w:t>
            </w:r>
          </w:p>
          <w:p>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房间室内空气检测环保等级达E1级。乙方验收前提供成品家具类产品的环保检测报告和房间室内空气检测报告。安装前，若乙方对房间室内进行空气环保等级抽检的，检测费用自行承担。</w:t>
            </w:r>
          </w:p>
          <w:p>
            <w:pPr>
              <w:spacing w:line="360" w:lineRule="auto"/>
              <w:rPr>
                <w:rFonts w:ascii="仿宋" w:hAnsi="仿宋" w:eastAsia="仿宋" w:cs="仿宋"/>
                <w:sz w:val="24"/>
                <w:highlight w:val="none"/>
              </w:rPr>
            </w:pPr>
            <w:r>
              <w:rPr>
                <w:rFonts w:hint="eastAsia" w:ascii="仿宋" w:hAnsi="仿宋" w:eastAsia="仿宋" w:cs="仿宋"/>
                <w:sz w:val="24"/>
                <w:highlight w:val="none"/>
              </w:rPr>
              <w:t>（2）验收程序：根据《杭州市政府采购履约验收暂行办法》规定，一般程序进行验收。验收方法：</w:t>
            </w:r>
            <w:r>
              <w:rPr>
                <w:rFonts w:hint="eastAsia" w:ascii="仿宋" w:hAnsi="仿宋" w:eastAsia="仿宋" w:cs="仿宋"/>
                <w:kern w:val="0"/>
                <w:sz w:val="24"/>
                <w:highlight w:val="none"/>
              </w:rPr>
              <w:t>按《杭州市政府采购履约验收暂行办法》中的一次性验收方式进行履约验收。</w:t>
            </w:r>
          </w:p>
          <w:p>
            <w:pPr>
              <w:spacing w:line="360" w:lineRule="auto"/>
              <w:rPr>
                <w:rFonts w:ascii="仿宋" w:hAnsi="仿宋" w:eastAsia="仿宋" w:cs="仿宋"/>
                <w:sz w:val="24"/>
                <w:highlight w:val="none"/>
              </w:rPr>
            </w:pPr>
            <w:r>
              <w:rPr>
                <w:rFonts w:hint="eastAsia" w:ascii="仿宋" w:hAnsi="仿宋" w:eastAsia="仿宋" w:cs="仿宋"/>
                <w:sz w:val="24"/>
                <w:highlight w:val="none"/>
              </w:rPr>
              <w:t>（3）初次验收费用由甲方人承担；因乙方原因导致验收不通过的，限期整改，重新组织验收的费用由乙方承担。整改结束后，由乙方通知甲方重新验收。若整改后验收仍不合格的，则扣除合同价5%作为违约金，同时甲方有权终止合同，供应商承担甲方所有损失。</w:t>
            </w:r>
          </w:p>
          <w:p>
            <w:pPr>
              <w:spacing w:line="360" w:lineRule="auto"/>
              <w:rPr>
                <w:rFonts w:ascii="仿宋" w:hAnsi="仿宋" w:eastAsia="仿宋" w:cs="仿宋"/>
                <w:sz w:val="24"/>
                <w:highlight w:val="none"/>
              </w:rPr>
            </w:pPr>
            <w:r>
              <w:rPr>
                <w:rFonts w:hint="eastAsia" w:ascii="仿宋" w:hAnsi="仿宋" w:eastAsia="仿宋" w:cs="仿宋"/>
                <w:sz w:val="24"/>
                <w:highlight w:val="none"/>
              </w:rPr>
              <w:t>（4）甲方有权对到货的设备、家具进行随机抽样检测，乙方承担检测费用。检测不合格的由乙方负责更换，并承担相关费用。</w:t>
            </w:r>
          </w:p>
          <w:p>
            <w:pPr>
              <w:spacing w:line="360" w:lineRule="auto"/>
              <w:rPr>
                <w:rFonts w:ascii="仿宋" w:hAnsi="仿宋" w:eastAsia="仿宋" w:cs="仿宋"/>
                <w:sz w:val="24"/>
                <w:highlight w:val="none"/>
              </w:rPr>
            </w:pPr>
            <w:r>
              <w:rPr>
                <w:rFonts w:hint="eastAsia" w:ascii="仿宋" w:hAnsi="仿宋" w:eastAsia="仿宋" w:cs="仿宋"/>
                <w:sz w:val="24"/>
                <w:highlight w:val="none"/>
              </w:rPr>
              <w:t>以上内容以及验收书具有同等法律效力，以上内容有冲突时以较严格的要求为准。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pPr>
              <w:spacing w:line="360" w:lineRule="auto"/>
              <w:rPr>
                <w:rFonts w:ascii="仿宋" w:hAnsi="仿宋" w:eastAsia="仿宋" w:cs="仿宋"/>
                <w:sz w:val="24"/>
                <w:highlight w:val="none"/>
              </w:rPr>
            </w:pPr>
            <w:r>
              <w:rPr>
                <w:rFonts w:hint="eastAsia" w:ascii="仿宋" w:hAnsi="仿宋" w:eastAsia="仿宋" w:cs="仿宋"/>
                <w:sz w:val="24"/>
                <w:highlight w:val="none"/>
              </w:rPr>
              <w:t>2.20</w:t>
            </w:r>
          </w:p>
        </w:tc>
        <w:tc>
          <w:tcPr>
            <w:tcW w:w="8089" w:type="dxa"/>
          </w:tcPr>
          <w:p>
            <w:pPr>
              <w:spacing w:line="360" w:lineRule="auto"/>
              <w:rPr>
                <w:rFonts w:ascii="仿宋" w:hAnsi="仿宋" w:eastAsia="仿宋" w:cs="仿宋"/>
                <w:sz w:val="24"/>
                <w:highlight w:val="none"/>
              </w:rPr>
            </w:pPr>
            <w:r>
              <w:rPr>
                <w:rFonts w:hint="eastAsia" w:ascii="仿宋" w:hAnsi="仿宋" w:eastAsia="仿宋" w:cs="仿宋"/>
                <w:sz w:val="24"/>
                <w:highlight w:val="none"/>
              </w:rPr>
              <w:t>本合同一式六份，甲方三份，乙方三份。</w:t>
            </w:r>
          </w:p>
        </w:tc>
      </w:tr>
    </w:tbl>
    <w:p>
      <w:pPr>
        <w:rPr>
          <w:rFonts w:ascii="仿宋" w:hAnsi="仿宋" w:eastAsia="仿宋" w:cs="仿宋"/>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sz w:val="24"/>
          <w:highlight w:val="none"/>
        </w:rPr>
        <w:br w:type="page"/>
      </w:r>
    </w:p>
    <w:p>
      <w:pPr>
        <w:rPr>
          <w:rFonts w:ascii="仿宋" w:hAnsi="仿宋" w:eastAsia="仿宋" w:cs="仿宋"/>
          <w:highlight w:val="none"/>
        </w:rPr>
      </w:pPr>
    </w:p>
    <w:bookmarkEnd w:id="443"/>
    <w:bookmarkEnd w:id="444"/>
    <w:bookmarkEnd w:id="445"/>
    <w:p>
      <w:pPr>
        <w:wordWrap w:val="0"/>
        <w:spacing w:line="360" w:lineRule="auto"/>
        <w:ind w:left="720" w:firstLine="723" w:firstLineChars="200"/>
        <w:outlineLvl w:val="0"/>
        <w:rPr>
          <w:rFonts w:ascii="仿宋" w:hAnsi="仿宋" w:eastAsia="仿宋" w:cs="仿宋"/>
          <w:b/>
          <w:sz w:val="36"/>
          <w:szCs w:val="20"/>
          <w:highlight w:val="none"/>
        </w:rPr>
      </w:pPr>
      <w:bookmarkStart w:id="532" w:name="_Toc22489"/>
      <w:bookmarkStart w:id="533" w:name="_Toc23526"/>
      <w:bookmarkStart w:id="534" w:name="_Toc3441"/>
      <w:bookmarkStart w:id="535" w:name="_Toc25525"/>
      <w:bookmarkStart w:id="536" w:name="_Toc17376"/>
      <w:bookmarkStart w:id="537" w:name="_Toc9348"/>
      <w:bookmarkStart w:id="538" w:name="_Toc2144"/>
      <w:r>
        <w:rPr>
          <w:rFonts w:hint="eastAsia" w:ascii="仿宋" w:hAnsi="仿宋" w:eastAsia="仿宋" w:cs="仿宋"/>
          <w:b/>
          <w:sz w:val="36"/>
          <w:szCs w:val="20"/>
          <w:highlight w:val="none"/>
        </w:rPr>
        <w:t>第六部分</w:t>
      </w:r>
      <w:bookmarkEnd w:id="425"/>
      <w:r>
        <w:rPr>
          <w:rFonts w:hint="eastAsia" w:ascii="仿宋" w:hAnsi="仿宋" w:eastAsia="仿宋" w:cs="仿宋"/>
          <w:b/>
          <w:sz w:val="36"/>
          <w:szCs w:val="20"/>
          <w:highlight w:val="none"/>
        </w:rPr>
        <w:t xml:space="preserve"> </w:t>
      </w:r>
      <w:bookmarkEnd w:id="426"/>
      <w:r>
        <w:rPr>
          <w:rFonts w:hint="eastAsia" w:ascii="仿宋" w:hAnsi="仿宋" w:eastAsia="仿宋" w:cs="仿宋"/>
          <w:b/>
          <w:sz w:val="36"/>
          <w:szCs w:val="20"/>
          <w:highlight w:val="none"/>
        </w:rPr>
        <w:t>应提交的有关格式范例</w:t>
      </w:r>
      <w:bookmarkEnd w:id="532"/>
      <w:bookmarkEnd w:id="533"/>
      <w:bookmarkEnd w:id="534"/>
      <w:bookmarkEnd w:id="535"/>
      <w:bookmarkEnd w:id="536"/>
      <w:bookmarkEnd w:id="537"/>
      <w:bookmarkEnd w:id="538"/>
    </w:p>
    <w:p>
      <w:pPr>
        <w:wordWrap w:val="0"/>
        <w:spacing w:line="360" w:lineRule="auto"/>
        <w:jc w:val="center"/>
        <w:rPr>
          <w:rFonts w:ascii="仿宋" w:hAnsi="仿宋" w:eastAsia="仿宋" w:cs="仿宋"/>
          <w:b/>
          <w:kern w:val="0"/>
          <w:sz w:val="36"/>
          <w:szCs w:val="36"/>
          <w:highlight w:val="none"/>
        </w:rPr>
      </w:pPr>
    </w:p>
    <w:p>
      <w:pPr>
        <w:wordWrap w:val="0"/>
        <w:spacing w:line="360" w:lineRule="auto"/>
        <w:jc w:val="center"/>
        <w:outlineLvl w:val="1"/>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pPr>
        <w:wordWrap w:val="0"/>
        <w:spacing w:line="360" w:lineRule="auto"/>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wordWrap w:val="0"/>
        <w:spacing w:line="360" w:lineRule="auto"/>
        <w:jc w:val="center"/>
        <w:rPr>
          <w:rFonts w:ascii="仿宋" w:hAnsi="仿宋" w:eastAsia="仿宋" w:cs="仿宋"/>
          <w:b/>
          <w:kern w:val="0"/>
          <w:sz w:val="36"/>
          <w:szCs w:val="36"/>
          <w:highlight w:val="none"/>
        </w:rPr>
      </w:pPr>
    </w:p>
    <w:p>
      <w:pPr>
        <w:numPr>
          <w:ilvl w:val="0"/>
          <w:numId w:val="21"/>
        </w:numPr>
        <w:wordWrap w:val="0"/>
        <w:snapToGrid w:val="0"/>
        <w:spacing w:line="360" w:lineRule="auto"/>
        <w:outlineLvl w:val="1"/>
        <w:rPr>
          <w:rFonts w:ascii="仿宋" w:hAnsi="仿宋" w:eastAsia="仿宋" w:cs="仿宋"/>
          <w:sz w:val="24"/>
          <w:highlight w:val="none"/>
        </w:rPr>
      </w:pPr>
      <w:bookmarkStart w:id="539" w:name="_Toc30320"/>
      <w:r>
        <w:rPr>
          <w:rFonts w:hint="eastAsia" w:ascii="仿宋" w:hAnsi="仿宋" w:eastAsia="仿宋" w:cs="仿宋"/>
          <w:sz w:val="24"/>
          <w:highlight w:val="none"/>
        </w:rPr>
        <w:t>供应商（联合体参加的指联合体双方）的营业执照或者其他由国家相关部门出具的具有独立承担民事责任能力的证明文件（自然人参加的提供身份证复制件）………………………………………………………………………………（页码）</w:t>
      </w:r>
    </w:p>
    <w:p>
      <w:pPr>
        <w:numPr>
          <w:ilvl w:val="0"/>
          <w:numId w:val="21"/>
        </w:numPr>
        <w:wordWrap w:val="0"/>
        <w:snapToGrid w:val="0"/>
        <w:spacing w:line="360" w:lineRule="auto"/>
        <w:outlineLvl w:val="1"/>
        <w:rPr>
          <w:rFonts w:ascii="仿宋" w:hAnsi="仿宋" w:eastAsia="仿宋" w:cs="仿宋"/>
          <w:sz w:val="24"/>
          <w:highlight w:val="none"/>
        </w:rPr>
      </w:pPr>
      <w:r>
        <w:rPr>
          <w:rFonts w:hint="eastAsia" w:ascii="仿宋" w:hAnsi="仿宋" w:eastAsia="仿宋" w:cs="仿宋"/>
          <w:sz w:val="24"/>
          <w:highlight w:val="none"/>
        </w:rPr>
        <w:t>符合参加政府采购活动应当具备的一般条件、特殊资格条件的承诺函的承诺函……………………………………………………………………………………（页码）</w:t>
      </w:r>
    </w:p>
    <w:p>
      <w:pPr>
        <w:numPr>
          <w:ilvl w:val="0"/>
          <w:numId w:val="21"/>
        </w:numPr>
        <w:wordWrap w:val="0"/>
        <w:snapToGrid w:val="0"/>
        <w:spacing w:line="360" w:lineRule="auto"/>
        <w:outlineLvl w:val="1"/>
        <w:rPr>
          <w:rFonts w:ascii="仿宋" w:hAnsi="仿宋" w:eastAsia="仿宋" w:cs="仿宋"/>
          <w:sz w:val="24"/>
          <w:highlight w:val="none"/>
        </w:rPr>
      </w:pPr>
      <w:r>
        <w:rPr>
          <w:rFonts w:hint="eastAsia" w:ascii="仿宋" w:hAnsi="仿宋" w:eastAsia="仿宋" w:cs="仿宋"/>
          <w:sz w:val="24"/>
          <w:highlight w:val="none"/>
        </w:rPr>
        <w:t>联合协议（联合体参加的提供）…………………………………………（页码）</w:t>
      </w:r>
      <w:bookmarkEnd w:id="539"/>
    </w:p>
    <w:p>
      <w:pPr>
        <w:wordWrap w:val="0"/>
        <w:snapToGrid w:val="0"/>
        <w:spacing w:line="360" w:lineRule="auto"/>
        <w:outlineLvl w:val="1"/>
        <w:rPr>
          <w:rFonts w:ascii="仿宋" w:hAnsi="仿宋" w:eastAsia="仿宋" w:cs="仿宋"/>
          <w:sz w:val="24"/>
          <w:highlight w:val="none"/>
        </w:rPr>
      </w:pPr>
      <w:bookmarkStart w:id="540" w:name="_Toc7010"/>
      <w:r>
        <w:rPr>
          <w:rFonts w:hint="eastAsia" w:ascii="仿宋" w:hAnsi="仿宋" w:eastAsia="仿宋" w:cs="仿宋"/>
          <w:sz w:val="24"/>
          <w:highlight w:val="none"/>
        </w:rPr>
        <w:t>（4）满足政府采购政策资格要求证明材料……………………………………（页码）</w:t>
      </w:r>
      <w:bookmarkEnd w:id="540"/>
    </w:p>
    <w:p>
      <w:pPr>
        <w:wordWrap w:val="0"/>
        <w:snapToGrid w:val="0"/>
        <w:spacing w:line="360" w:lineRule="auto"/>
        <w:outlineLvl w:val="1"/>
        <w:rPr>
          <w:rFonts w:ascii="仿宋" w:hAnsi="仿宋" w:eastAsia="仿宋" w:cs="仿宋"/>
          <w:sz w:val="24"/>
          <w:highlight w:val="none"/>
        </w:rPr>
      </w:pPr>
      <w:bookmarkStart w:id="541" w:name="_Toc24971"/>
      <w:r>
        <w:rPr>
          <w:rFonts w:hint="eastAsia" w:ascii="仿宋" w:hAnsi="仿宋" w:eastAsia="仿宋" w:cs="仿宋"/>
          <w:sz w:val="24"/>
          <w:highlight w:val="none"/>
        </w:rPr>
        <w:t>（5）满足本项目特定资格要求证明材料………………………………………（页码）</w:t>
      </w:r>
      <w:bookmarkEnd w:id="541"/>
    </w:p>
    <w:p>
      <w:pPr>
        <w:wordWrap w:val="0"/>
        <w:snapToGrid w:val="0"/>
        <w:spacing w:line="360" w:lineRule="auto"/>
        <w:ind w:firstLine="480" w:firstLineChars="200"/>
        <w:rPr>
          <w:rFonts w:ascii="仿宋" w:hAnsi="仿宋" w:eastAsia="仿宋" w:cs="仿宋"/>
          <w:sz w:val="24"/>
          <w:highlight w:val="none"/>
        </w:rPr>
      </w:pPr>
    </w:p>
    <w:p>
      <w:pPr>
        <w:wordWrap w:val="0"/>
        <w:spacing w:line="360" w:lineRule="auto"/>
        <w:ind w:firstLine="480" w:firstLineChars="200"/>
        <w:rPr>
          <w:rFonts w:ascii="仿宋" w:hAnsi="仿宋" w:eastAsia="仿宋" w:cs="仿宋"/>
          <w:sz w:val="24"/>
          <w:highlight w:val="none"/>
        </w:rPr>
      </w:pPr>
    </w:p>
    <w:p>
      <w:pPr>
        <w:numPr>
          <w:ilvl w:val="0"/>
          <w:numId w:val="22"/>
        </w:numPr>
        <w:wordWrap w:val="0"/>
        <w:snapToGrid w:val="0"/>
        <w:spacing w:line="288" w:lineRule="auto"/>
        <w:ind w:right="482"/>
        <w:jc w:val="center"/>
        <w:outlineLvl w:val="2"/>
        <w:rPr>
          <w:rFonts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供应商（联合体参加的指联合体双方）的营业执照或者其他由国家相关部门出具的具有独立承担民事责任能力的证明文件（自然人参加的提供身份证复制件）</w:t>
      </w:r>
    </w:p>
    <w:p>
      <w:pPr>
        <w:numPr>
          <w:ilvl w:val="255"/>
          <w:numId w:val="0"/>
        </w:numPr>
        <w:wordWrap w:val="0"/>
        <w:snapToGrid w:val="0"/>
        <w:spacing w:line="288" w:lineRule="auto"/>
        <w:ind w:right="482"/>
        <w:rPr>
          <w:rFonts w:ascii="仿宋" w:hAnsi="仿宋" w:eastAsia="仿宋" w:cs="仿宋"/>
          <w:b/>
          <w:kern w:val="0"/>
          <w:sz w:val="32"/>
          <w:szCs w:val="32"/>
          <w:highlight w:val="none"/>
        </w:rPr>
      </w:pPr>
    </w:p>
    <w:p>
      <w:pPr>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numPr>
          <w:ilvl w:val="255"/>
          <w:numId w:val="0"/>
        </w:numPr>
        <w:wordWrap w:val="0"/>
        <w:snapToGrid w:val="0"/>
        <w:spacing w:line="288" w:lineRule="auto"/>
        <w:ind w:right="482"/>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二、符合参加政府采购活动应当具备的一般条件、特殊资格条件的承诺函</w:t>
      </w:r>
    </w:p>
    <w:p>
      <w:pPr>
        <w:wordWrap w:val="0"/>
        <w:snapToGrid w:val="0"/>
        <w:spacing w:line="360" w:lineRule="auto"/>
        <w:rPr>
          <w:rFonts w:ascii="仿宋" w:hAnsi="仿宋" w:eastAsia="仿宋" w:cs="仿宋"/>
          <w:sz w:val="48"/>
          <w:szCs w:val="48"/>
          <w:highlight w:val="none"/>
        </w:rPr>
      </w:pPr>
      <w:r>
        <w:rPr>
          <w:rFonts w:hint="eastAsia" w:ascii="仿宋" w:hAnsi="仿宋" w:eastAsia="仿宋" w:cs="仿宋"/>
          <w:sz w:val="24"/>
          <w:highlight w:val="none"/>
        </w:rPr>
        <w:t xml:space="preserve">                           </w:t>
      </w:r>
      <w:r>
        <w:rPr>
          <w:rFonts w:hint="eastAsia" w:ascii="仿宋" w:hAnsi="仿宋" w:eastAsia="仿宋" w:cs="仿宋"/>
          <w:sz w:val="48"/>
          <w:szCs w:val="48"/>
          <w:highlight w:val="none"/>
        </w:rPr>
        <w:t xml:space="preserve"> 承诺函</w:t>
      </w:r>
    </w:p>
    <w:p>
      <w:pPr>
        <w:wordWrap w:val="0"/>
        <w:snapToGrid w:val="0"/>
        <w:spacing w:line="312" w:lineRule="auto"/>
        <w:rPr>
          <w:rFonts w:ascii="仿宋" w:hAnsi="仿宋" w:eastAsia="仿宋" w:cs="仿宋"/>
          <w:sz w:val="24"/>
          <w:highlight w:val="none"/>
        </w:rPr>
      </w:pPr>
      <w:r>
        <w:rPr>
          <w:rFonts w:hint="eastAsia" w:ascii="仿宋" w:hAnsi="仿宋" w:eastAsia="仿宋" w:cs="仿宋"/>
          <w:sz w:val="24"/>
          <w:highlight w:val="none"/>
          <w:u w:val="single"/>
        </w:rPr>
        <w:t>杭州学军中学桐庐学校、杭州贯今工程咨询有限公司</w:t>
      </w:r>
      <w:r>
        <w:rPr>
          <w:rFonts w:hint="eastAsia" w:ascii="仿宋" w:hAnsi="仿宋" w:eastAsia="仿宋" w:cs="仿宋"/>
          <w:sz w:val="24"/>
          <w:highlight w:val="none"/>
        </w:rPr>
        <w:t>：</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u w:val="single"/>
        </w:rPr>
        <w:t>杭州学军中学桐庐学校竣工配套设施设备（图书馆）项目【项目编号：HZGJ-XJZX2024-04】</w:t>
      </w:r>
      <w:r>
        <w:rPr>
          <w:rFonts w:hint="eastAsia" w:ascii="仿宋" w:hAnsi="仿宋" w:eastAsia="仿宋" w:cs="仿宋"/>
          <w:sz w:val="24"/>
          <w:highlight w:val="none"/>
        </w:rPr>
        <w:t>政府采购活动，郑重承诺：</w:t>
      </w:r>
    </w:p>
    <w:p>
      <w:pPr>
        <w:wordWrap w:val="0"/>
        <w:snapToGrid w:val="0"/>
        <w:spacing w:line="312"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1、具有独立承担民事责任的能力；</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5、参加</w:t>
      </w:r>
      <w:r>
        <w:rPr>
          <w:rFonts w:hint="eastAsia" w:ascii="仿宋" w:hAnsi="仿宋" w:eastAsia="仿宋" w:cs="仿宋"/>
          <w:sz w:val="24"/>
          <w:highlight w:val="none"/>
          <w:u w:val="single"/>
        </w:rPr>
        <w:t>本项目</w:t>
      </w:r>
      <w:r>
        <w:rPr>
          <w:rFonts w:hint="eastAsia" w:ascii="仿宋" w:hAnsi="仿宋" w:eastAsia="仿宋" w:cs="仿宋"/>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6、具有法律、行政法规规定的其他条件。</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（三）不存在以下情况：</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pPr>
        <w:wordWrap w:val="0"/>
        <w:snapToGrid w:val="0"/>
        <w:spacing w:line="360" w:lineRule="auto"/>
        <w:ind w:firstLine="480" w:firstLineChars="200"/>
        <w:rPr>
          <w:rFonts w:ascii="仿宋" w:hAnsi="仿宋" w:eastAsia="仿宋" w:cs="仿宋"/>
          <w:kern w:val="0"/>
          <w:sz w:val="24"/>
          <w:highlight w:val="none"/>
          <w:lang w:val="zh-CN"/>
        </w:rPr>
      </w:pPr>
    </w:p>
    <w:p>
      <w:pPr>
        <w:wordWrap w:val="0"/>
        <w:snapToGrid w:val="0"/>
        <w:spacing w:line="360" w:lineRule="auto"/>
        <w:ind w:firstLine="5520" w:firstLineChars="23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p>
    <w:p>
      <w:pPr>
        <w:wordWrap w:val="0"/>
        <w:snapToGrid w:val="0"/>
        <w:spacing w:line="360" w:lineRule="auto"/>
        <w:ind w:firstLine="5520" w:firstLineChars="2300"/>
        <w:rPr>
          <w:rFonts w:ascii="仿宋" w:hAnsi="仿宋" w:eastAsia="仿宋" w:cs="仿宋"/>
          <w:kern w:val="0"/>
          <w:sz w:val="24"/>
          <w:highlight w:val="none"/>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w:t>
      </w:r>
    </w:p>
    <w:p>
      <w:pPr>
        <w:wordWrap w:val="0"/>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wordWrap w:val="0"/>
        <w:snapToGrid w:val="0"/>
        <w:spacing w:line="360" w:lineRule="auto"/>
        <w:ind w:right="480"/>
        <w:rPr>
          <w:rFonts w:ascii="仿宋" w:hAnsi="仿宋" w:eastAsia="仿宋" w:cs="仿宋"/>
          <w:b/>
          <w:kern w:val="0"/>
          <w:sz w:val="24"/>
          <w:highlight w:val="none"/>
        </w:rPr>
      </w:pPr>
    </w:p>
    <w:p>
      <w:pPr>
        <w:wordWrap w:val="0"/>
        <w:snapToGrid w:val="0"/>
        <w:spacing w:line="360" w:lineRule="auto"/>
        <w:ind w:right="480"/>
        <w:rPr>
          <w:rFonts w:ascii="仿宋" w:hAnsi="仿宋" w:eastAsia="仿宋" w:cs="仿宋"/>
          <w:b/>
          <w:kern w:val="0"/>
          <w:sz w:val="24"/>
          <w:highlight w:val="none"/>
        </w:rPr>
      </w:pPr>
      <w:r>
        <w:rPr>
          <w:rFonts w:hint="eastAsia" w:ascii="仿宋" w:hAnsi="仿宋" w:eastAsia="仿宋" w:cs="仿宋"/>
          <w:b/>
          <w:kern w:val="0"/>
          <w:sz w:val="24"/>
          <w:highlight w:val="none"/>
        </w:rPr>
        <w:t>备注：联合体投标的，联合体成员均应提供。非牵头人可提供加盖单位物理公章的原件扫描件。</w:t>
      </w: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rPr>
          <w:rFonts w:ascii="仿宋" w:hAnsi="仿宋" w:eastAsia="仿宋" w:cs="仿宋"/>
          <w:highlight w:val="none"/>
        </w:rPr>
      </w:pPr>
    </w:p>
    <w:p>
      <w:pPr>
        <w:wordWrap w:val="0"/>
        <w:rPr>
          <w:rFonts w:ascii="仿宋" w:hAnsi="仿宋" w:eastAsia="仿宋" w:cs="仿宋"/>
          <w:b/>
          <w:kern w:val="0"/>
          <w:sz w:val="32"/>
          <w:szCs w:val="32"/>
          <w:highlight w:val="none"/>
        </w:rPr>
      </w:pPr>
    </w:p>
    <w:p>
      <w:pPr>
        <w:widowControl/>
        <w:wordWrap w:val="0"/>
        <w:spacing w:line="360" w:lineRule="auto"/>
        <w:ind w:left="150"/>
        <w:jc w:val="center"/>
        <w:outlineLvl w:val="3"/>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三、联合协议（联合体参加的提供）</w:t>
      </w:r>
    </w:p>
    <w:p>
      <w:pPr>
        <w:widowControl/>
        <w:wordWrap w:val="0"/>
        <w:spacing w:line="360" w:lineRule="auto"/>
        <w:ind w:left="147" w:firstLine="482" w:firstLineChars="200"/>
        <w:rPr>
          <w:rFonts w:ascii="仿宋" w:hAnsi="仿宋" w:eastAsia="仿宋" w:cs="仿宋"/>
          <w:b/>
          <w:bCs/>
          <w:sz w:val="24"/>
          <w:highlight w:val="none"/>
        </w:rPr>
      </w:pPr>
    </w:p>
    <w:p>
      <w:pPr>
        <w:widowControl/>
        <w:wordWrap w:val="0"/>
        <w:spacing w:line="360" w:lineRule="auto"/>
        <w:ind w:left="147" w:firstLine="482" w:firstLineChars="200"/>
        <w:outlineLvl w:val="3"/>
        <w:rPr>
          <w:rFonts w:ascii="仿宋" w:hAnsi="仿宋" w:eastAsia="仿宋" w:cs="仿宋"/>
          <w:b/>
          <w:bCs/>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b/>
          <w:bCs/>
          <w:sz w:val="24"/>
          <w:highlight w:val="none"/>
        </w:rPr>
        <w:t>[以联合体形式投标的，提供联合协议（附件6）。]</w:t>
      </w:r>
    </w:p>
    <w:p>
      <w:pPr>
        <w:wordWrap w:val="0"/>
        <w:snapToGrid w:val="0"/>
        <w:spacing w:line="360" w:lineRule="auto"/>
        <w:ind w:right="48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四、满足政府采购政策资格要求证明材料</w:t>
      </w:r>
    </w:p>
    <w:p>
      <w:pPr>
        <w:pStyle w:val="61"/>
        <w:ind w:firstLine="420"/>
        <w:rPr>
          <w:rFonts w:ascii="仿宋" w:hAnsi="仿宋" w:eastAsia="仿宋" w:cs="仿宋"/>
          <w:highlight w:val="none"/>
        </w:rPr>
      </w:pPr>
    </w:p>
    <w:p>
      <w:pPr>
        <w:wordWrap w:val="0"/>
        <w:snapToGrid w:val="0"/>
        <w:spacing w:before="50" w:after="50" w:line="360" w:lineRule="auto"/>
        <w:ind w:firstLine="472" w:firstLineChars="196"/>
        <w:jc w:val="left"/>
        <w:rPr>
          <w:rFonts w:ascii="仿宋" w:hAnsi="仿宋" w:eastAsia="仿宋" w:cs="仿宋"/>
          <w:sz w:val="24"/>
          <w:highlight w:val="none"/>
        </w:rPr>
      </w:pPr>
      <w:r>
        <w:rPr>
          <w:rFonts w:hint="eastAsia" w:ascii="仿宋" w:hAnsi="仿宋" w:eastAsia="仿宋" w:cs="仿宋"/>
          <w:b/>
          <w:sz w:val="24"/>
          <w:highlight w:val="none"/>
        </w:rPr>
        <w:sym w:font="Wingdings" w:char="00FE"/>
      </w:r>
      <w:r>
        <w:rPr>
          <w:rFonts w:hint="eastAsia" w:ascii="仿宋" w:hAnsi="仿宋" w:eastAsia="仿宋" w:cs="仿宋"/>
          <w:b/>
          <w:sz w:val="24"/>
          <w:highlight w:val="none"/>
        </w:rPr>
        <w:t>A.</w:t>
      </w:r>
      <w:r>
        <w:rPr>
          <w:rFonts w:hint="eastAsia" w:ascii="仿宋" w:hAnsi="仿宋" w:eastAsia="仿宋" w:cs="仿宋"/>
          <w:bCs/>
          <w:sz w:val="24"/>
          <w:highlight w:val="none"/>
        </w:rPr>
        <w:t>本项目专门面向中小企业，</w:t>
      </w:r>
      <w:r>
        <w:rPr>
          <w:rFonts w:hint="eastAsia" w:ascii="仿宋" w:hAnsi="仿宋" w:eastAsia="仿宋" w:cs="仿宋"/>
          <w:bCs/>
          <w:sz w:val="24"/>
          <w:highlight w:val="none"/>
          <w:lang w:val="en-US" w:eastAsia="zh-CN"/>
        </w:rPr>
        <w:t>货物</w:t>
      </w:r>
      <w:r>
        <w:rPr>
          <w:rFonts w:hint="eastAsia" w:ascii="仿宋" w:hAnsi="仿宋" w:eastAsia="仿宋" w:cs="仿宋"/>
          <w:bCs/>
          <w:sz w:val="24"/>
          <w:highlight w:val="none"/>
        </w:rPr>
        <w:t>全部由符合政策要求的中小企业（或小微企业）</w:t>
      </w:r>
      <w:r>
        <w:rPr>
          <w:rFonts w:hint="eastAsia" w:ascii="仿宋" w:hAnsi="仿宋" w:eastAsia="仿宋" w:cs="仿宋"/>
          <w:bCs/>
          <w:sz w:val="24"/>
          <w:highlight w:val="none"/>
          <w:lang w:val="en-US" w:eastAsia="zh-CN"/>
        </w:rPr>
        <w:t>提供</w:t>
      </w:r>
      <w:r>
        <w:rPr>
          <w:rFonts w:hint="eastAsia" w:ascii="仿宋" w:hAnsi="仿宋" w:eastAsia="仿宋" w:cs="仿宋"/>
          <w:bCs/>
          <w:sz w:val="24"/>
          <w:highlight w:val="none"/>
        </w:rPr>
        <w:t xml:space="preserve">的，提供相应的中小企业声明函（附件5）。 </w:t>
      </w:r>
    </w:p>
    <w:p>
      <w:pPr>
        <w:widowControl/>
        <w:wordWrap w:val="0"/>
        <w:spacing w:line="360" w:lineRule="auto"/>
        <w:ind w:firstLine="472" w:firstLineChars="196"/>
        <w:jc w:val="left"/>
        <w:rPr>
          <w:rFonts w:ascii="仿宋" w:hAnsi="仿宋" w:eastAsia="仿宋" w:cs="仿宋"/>
          <w:sz w:val="24"/>
          <w:highlight w:val="none"/>
          <w:u w:val="single"/>
        </w:rPr>
      </w:pPr>
      <w:r>
        <w:rPr>
          <w:rFonts w:hint="eastAsia" w:ascii="仿宋" w:hAnsi="仿宋" w:eastAsia="仿宋" w:cs="仿宋"/>
          <w:b/>
          <w:sz w:val="24"/>
          <w:highlight w:val="none"/>
        </w:rPr>
        <w:sym w:font="Wingdings" w:char="00A8"/>
      </w: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6）和中小企业声明函（附件5），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wordWrap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sym w:font="Wingdings" w:char="00A8"/>
      </w: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pPr>
        <w:wordWrap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sym w:font="Wingdings" w:char="00A8"/>
      </w:r>
      <w:r>
        <w:rPr>
          <w:rFonts w:hint="eastAsia" w:ascii="仿宋" w:hAnsi="仿宋" w:eastAsia="仿宋" w:cs="仿宋"/>
          <w:b/>
          <w:sz w:val="24"/>
          <w:highlight w:val="none"/>
        </w:rPr>
        <w:t>D.本项目无。</w:t>
      </w:r>
    </w:p>
    <w:p>
      <w:pPr>
        <w:wordWrap w:val="0"/>
        <w:snapToGrid w:val="0"/>
        <w:spacing w:before="50" w:after="50" w:line="360" w:lineRule="auto"/>
        <w:jc w:val="center"/>
        <w:rPr>
          <w:rFonts w:ascii="仿宋" w:hAnsi="仿宋" w:eastAsia="仿宋" w:cs="仿宋"/>
          <w:b/>
          <w:sz w:val="24"/>
          <w:highlight w:val="none"/>
        </w:rPr>
      </w:pPr>
      <w:r>
        <w:rPr>
          <w:rFonts w:hint="eastAsia" w:ascii="仿宋" w:hAnsi="仿宋" w:eastAsia="仿宋" w:cs="仿宋"/>
          <w:b/>
          <w:sz w:val="24"/>
          <w:highlight w:val="none"/>
        </w:rPr>
        <w:t xml:space="preserve">    </w:t>
      </w:r>
    </w:p>
    <w:p>
      <w:pPr>
        <w:widowControl/>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widowControl/>
        <w:wordWrap w:val="0"/>
        <w:spacing w:line="360" w:lineRule="auto"/>
        <w:ind w:left="15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五、满足本项目特定资格要求的证明材料</w:t>
      </w:r>
    </w:p>
    <w:p>
      <w:pPr>
        <w:wordWrap w:val="0"/>
        <w:rPr>
          <w:rFonts w:ascii="仿宋" w:hAnsi="仿宋" w:eastAsia="仿宋" w:cs="仿宋"/>
          <w:highlight w:val="none"/>
        </w:rPr>
      </w:pPr>
    </w:p>
    <w:p>
      <w:pPr>
        <w:widowControl/>
        <w:numPr>
          <w:ilvl w:val="255"/>
          <w:numId w:val="0"/>
        </w:numPr>
        <w:wordWrap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1.承诺函(同符合参加政府采购活动应当具备的一般条件、特殊资格要求的承诺函，不用重复提供）。</w:t>
      </w:r>
    </w:p>
    <w:p>
      <w:pPr>
        <w:wordWrap w:val="0"/>
        <w:snapToGrid w:val="0"/>
        <w:spacing w:line="360" w:lineRule="auto"/>
        <w:ind w:right="480"/>
        <w:jc w:val="center"/>
        <w:rPr>
          <w:rFonts w:ascii="仿宋" w:hAnsi="仿宋" w:eastAsia="仿宋" w:cs="仿宋"/>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pacing w:line="360" w:lineRule="auto"/>
        <w:jc w:val="center"/>
        <w:rPr>
          <w:rFonts w:ascii="仿宋" w:hAnsi="仿宋" w:eastAsia="仿宋" w:cs="仿宋"/>
          <w:b/>
          <w:kern w:val="0"/>
          <w:sz w:val="36"/>
          <w:szCs w:val="36"/>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pacing w:line="360" w:lineRule="auto"/>
        <w:jc w:val="center"/>
        <w:rPr>
          <w:rFonts w:ascii="仿宋" w:hAnsi="仿宋" w:eastAsia="仿宋" w:cs="仿宋"/>
          <w:b/>
          <w:kern w:val="0"/>
          <w:sz w:val="36"/>
          <w:szCs w:val="36"/>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pacing w:line="360" w:lineRule="auto"/>
        <w:jc w:val="center"/>
        <w:rPr>
          <w:rFonts w:ascii="仿宋" w:hAnsi="仿宋" w:eastAsia="仿宋" w:cs="仿宋"/>
          <w:b/>
          <w:kern w:val="0"/>
          <w:sz w:val="36"/>
          <w:szCs w:val="36"/>
          <w:highlight w:val="none"/>
        </w:rPr>
      </w:pPr>
    </w:p>
    <w:p>
      <w:pPr>
        <w:wordWrap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pPr>
        <w:wordWrap w:val="0"/>
        <w:spacing w:line="360" w:lineRule="auto"/>
        <w:ind w:right="420" w:firstLine="3614" w:firstLineChars="1000"/>
        <w:outlineLvl w:val="1"/>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pPr>
        <w:wordWrap w:val="0"/>
        <w:spacing w:line="360" w:lineRule="auto"/>
        <w:jc w:val="center"/>
        <w:rPr>
          <w:rFonts w:ascii="仿宋" w:hAnsi="仿宋" w:eastAsia="仿宋" w:cs="仿宋"/>
          <w:b/>
          <w:kern w:val="0"/>
          <w:sz w:val="24"/>
          <w:highlight w:val="none"/>
        </w:rPr>
      </w:pPr>
    </w:p>
    <w:p>
      <w:pPr>
        <w:wordWrap w:val="0"/>
        <w:spacing w:line="360" w:lineRule="auto"/>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pPr>
        <w:wordWrap w:val="0"/>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pPr>
        <w:wordWrap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（3）分包意向协议（拟分包的提供）</w:t>
      </w:r>
      <w:r>
        <w:rPr>
          <w:rFonts w:hint="eastAsia" w:ascii="仿宋" w:hAnsi="仿宋" w:eastAsia="仿宋" w:cs="仿宋"/>
          <w:highlight w:val="none"/>
        </w:rPr>
        <w:t>…………………………………………………（页码）</w:t>
      </w:r>
    </w:p>
    <w:p>
      <w:pPr>
        <w:wordWrap w:val="0"/>
        <w:snapToGrid w:val="0"/>
        <w:spacing w:line="360" w:lineRule="auto"/>
        <w:ind w:firstLine="480" w:firstLineChars="200"/>
        <w:rPr>
          <w:rFonts w:ascii="仿宋" w:hAnsi="仿宋" w:eastAsia="仿宋" w:cs="仿宋"/>
          <w:highlight w:val="none"/>
        </w:rPr>
      </w:pPr>
      <w:r>
        <w:rPr>
          <w:rFonts w:hint="eastAsia" w:ascii="仿宋" w:hAnsi="仿宋" w:eastAsia="仿宋" w:cs="仿宋"/>
          <w:sz w:val="24"/>
          <w:highlight w:val="none"/>
        </w:rPr>
        <w:t>（4）符合性审查资料</w:t>
      </w:r>
      <w:r>
        <w:rPr>
          <w:rFonts w:hint="eastAsia" w:ascii="仿宋" w:hAnsi="仿宋" w:eastAsia="仿宋" w:cs="仿宋"/>
          <w:highlight w:val="none"/>
        </w:rPr>
        <w:t>………………………………………………………………………（页码）</w:t>
      </w:r>
    </w:p>
    <w:p>
      <w:pPr>
        <w:wordWrap w:val="0"/>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（5）评标标准相应的商务技术资料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pPr>
        <w:wordWrap w:val="0"/>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（6）</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pPr>
        <w:wordWrap w:val="0"/>
        <w:snapToGrid w:val="0"/>
        <w:spacing w:line="360" w:lineRule="auto"/>
        <w:jc w:val="center"/>
        <w:rPr>
          <w:rFonts w:ascii="仿宋" w:hAnsi="仿宋" w:eastAsia="仿宋" w:cs="仿宋"/>
          <w:b/>
          <w:kern w:val="0"/>
          <w:sz w:val="32"/>
          <w:szCs w:val="32"/>
          <w:highlight w:val="none"/>
          <w:lang w:val="zh-CN"/>
        </w:rPr>
      </w:pPr>
    </w:p>
    <w:p>
      <w:pPr>
        <w:wordWrap w:val="0"/>
        <w:snapToGrid w:val="0"/>
        <w:spacing w:line="360" w:lineRule="auto"/>
        <w:jc w:val="center"/>
        <w:rPr>
          <w:rFonts w:ascii="仿宋" w:hAnsi="仿宋" w:eastAsia="仿宋" w:cs="仿宋"/>
          <w:b/>
          <w:kern w:val="0"/>
          <w:sz w:val="32"/>
          <w:szCs w:val="32"/>
          <w:highlight w:val="none"/>
          <w:lang w:val="zh-CN"/>
        </w:rPr>
      </w:pPr>
    </w:p>
    <w:p>
      <w:pPr>
        <w:wordWrap w:val="0"/>
        <w:snapToGrid w:val="0"/>
        <w:spacing w:line="360" w:lineRule="auto"/>
        <w:jc w:val="center"/>
        <w:rPr>
          <w:rFonts w:ascii="仿宋" w:hAnsi="仿宋" w:eastAsia="仿宋" w:cs="仿宋"/>
          <w:b/>
          <w:kern w:val="0"/>
          <w:sz w:val="32"/>
          <w:szCs w:val="32"/>
          <w:highlight w:val="none"/>
          <w:lang w:val="zh-CN"/>
        </w:rPr>
      </w:pPr>
    </w:p>
    <w:p>
      <w:pPr>
        <w:wordWrap w:val="0"/>
        <w:snapToGrid w:val="0"/>
        <w:spacing w:line="360" w:lineRule="auto"/>
        <w:jc w:val="center"/>
        <w:rPr>
          <w:rFonts w:ascii="仿宋" w:hAnsi="仿宋" w:eastAsia="仿宋" w:cs="仿宋"/>
          <w:b/>
          <w:kern w:val="0"/>
          <w:sz w:val="32"/>
          <w:szCs w:val="32"/>
          <w:highlight w:val="none"/>
          <w:lang w:val="zh-CN"/>
        </w:rPr>
      </w:pPr>
    </w:p>
    <w:p>
      <w:pPr>
        <w:wordWrap w:val="0"/>
        <w:snapToGrid w:val="0"/>
        <w:spacing w:line="360" w:lineRule="auto"/>
        <w:jc w:val="center"/>
        <w:rPr>
          <w:rFonts w:ascii="仿宋" w:hAnsi="仿宋" w:eastAsia="仿宋" w:cs="仿宋"/>
          <w:b/>
          <w:kern w:val="0"/>
          <w:sz w:val="32"/>
          <w:szCs w:val="32"/>
          <w:highlight w:val="none"/>
        </w:rPr>
      </w:pPr>
    </w:p>
    <w:p>
      <w:pPr>
        <w:wordWrap w:val="0"/>
        <w:snapToGrid w:val="0"/>
        <w:spacing w:line="360" w:lineRule="auto"/>
        <w:jc w:val="center"/>
        <w:rPr>
          <w:rFonts w:ascii="仿宋" w:hAnsi="仿宋" w:eastAsia="仿宋" w:cs="仿宋"/>
          <w:b/>
          <w:kern w:val="0"/>
          <w:sz w:val="32"/>
          <w:szCs w:val="32"/>
          <w:highlight w:val="none"/>
        </w:rPr>
      </w:pPr>
    </w:p>
    <w:p>
      <w:pPr>
        <w:wordWrap w:val="0"/>
        <w:rPr>
          <w:rFonts w:ascii="仿宋" w:hAnsi="仿宋" w:eastAsia="仿宋" w:cs="仿宋"/>
          <w:highlight w:val="none"/>
        </w:rPr>
      </w:pPr>
    </w:p>
    <w:p>
      <w:pPr>
        <w:wordWrap w:val="0"/>
        <w:snapToGrid w:val="0"/>
        <w:spacing w:line="360" w:lineRule="auto"/>
        <w:jc w:val="center"/>
        <w:rPr>
          <w:rFonts w:ascii="仿宋" w:hAnsi="仿宋" w:eastAsia="仿宋" w:cs="仿宋"/>
          <w:b/>
          <w:kern w:val="0"/>
          <w:sz w:val="32"/>
          <w:szCs w:val="32"/>
          <w:highlight w:val="none"/>
        </w:rPr>
      </w:pPr>
    </w:p>
    <w:p>
      <w:pPr>
        <w:wordWrap w:val="0"/>
        <w:snapToGrid w:val="0"/>
        <w:spacing w:line="360" w:lineRule="auto"/>
        <w:jc w:val="center"/>
        <w:rPr>
          <w:rFonts w:ascii="仿宋" w:hAnsi="仿宋" w:eastAsia="仿宋" w:cs="仿宋"/>
          <w:b/>
          <w:kern w:val="0"/>
          <w:sz w:val="32"/>
          <w:szCs w:val="32"/>
          <w:highlight w:val="none"/>
        </w:rPr>
      </w:pPr>
    </w:p>
    <w:p>
      <w:pPr>
        <w:wordWrap w:val="0"/>
        <w:snapToGrid w:val="0"/>
        <w:spacing w:line="360" w:lineRule="auto"/>
        <w:jc w:val="center"/>
        <w:rPr>
          <w:rFonts w:ascii="仿宋" w:hAnsi="仿宋" w:eastAsia="仿宋" w:cs="仿宋"/>
          <w:b/>
          <w:kern w:val="0"/>
          <w:sz w:val="32"/>
          <w:szCs w:val="32"/>
          <w:highlight w:val="none"/>
        </w:rPr>
      </w:pPr>
    </w:p>
    <w:p>
      <w:pPr>
        <w:wordWrap w:val="0"/>
        <w:snapToGrid w:val="0"/>
        <w:spacing w:line="360" w:lineRule="auto"/>
        <w:jc w:val="center"/>
        <w:rPr>
          <w:rFonts w:ascii="仿宋" w:hAnsi="仿宋" w:eastAsia="仿宋" w:cs="仿宋"/>
          <w:b/>
          <w:kern w:val="0"/>
          <w:sz w:val="32"/>
          <w:szCs w:val="32"/>
          <w:highlight w:val="none"/>
        </w:rPr>
      </w:pPr>
    </w:p>
    <w:p>
      <w:pPr>
        <w:wordWrap w:val="0"/>
        <w:snapToGrid w:val="0"/>
        <w:spacing w:line="360" w:lineRule="auto"/>
        <w:jc w:val="center"/>
        <w:rPr>
          <w:rFonts w:ascii="仿宋" w:hAnsi="仿宋" w:eastAsia="仿宋" w:cs="仿宋"/>
          <w:b/>
          <w:kern w:val="0"/>
          <w:sz w:val="32"/>
          <w:szCs w:val="32"/>
          <w:highlight w:val="none"/>
        </w:rPr>
      </w:pPr>
    </w:p>
    <w:p>
      <w:pPr>
        <w:wordWrap w:val="0"/>
        <w:snapToGrid w:val="0"/>
        <w:spacing w:line="360" w:lineRule="auto"/>
        <w:jc w:val="center"/>
        <w:rPr>
          <w:rFonts w:ascii="仿宋" w:hAnsi="仿宋" w:eastAsia="仿宋" w:cs="仿宋"/>
          <w:b/>
          <w:kern w:val="0"/>
          <w:sz w:val="32"/>
          <w:szCs w:val="32"/>
          <w:highlight w:val="none"/>
        </w:rPr>
      </w:pPr>
    </w:p>
    <w:p>
      <w:pPr>
        <w:wordWrap w:val="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wordWrap w:val="0"/>
        <w:snapToGrid w:val="0"/>
        <w:spacing w:line="360" w:lineRule="auto"/>
        <w:jc w:val="center"/>
        <w:outlineLvl w:val="2"/>
        <w:rPr>
          <w:rFonts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pPr>
        <w:wordWrap w:val="0"/>
        <w:snapToGrid w:val="0"/>
        <w:spacing w:line="360" w:lineRule="exact"/>
        <w:rPr>
          <w:rFonts w:ascii="仿宋" w:hAnsi="仿宋" w:eastAsia="仿宋" w:cs="仿宋"/>
          <w:sz w:val="24"/>
          <w:highlight w:val="none"/>
        </w:rPr>
      </w:pPr>
      <w:r>
        <w:rPr>
          <w:rFonts w:hint="eastAsia" w:ascii="仿宋" w:hAnsi="仿宋" w:eastAsia="仿宋" w:cs="仿宋"/>
          <w:sz w:val="24"/>
          <w:highlight w:val="none"/>
          <w:u w:val="single"/>
        </w:rPr>
        <w:t>杭州学军中学桐庐学校、杭州贯今工程咨询有限公司</w:t>
      </w:r>
      <w:r>
        <w:rPr>
          <w:rFonts w:hint="eastAsia" w:ascii="仿宋" w:hAnsi="仿宋" w:eastAsia="仿宋" w:cs="仿宋"/>
          <w:sz w:val="24"/>
          <w:highlight w:val="none"/>
        </w:rPr>
        <w:t>：</w:t>
      </w:r>
    </w:p>
    <w:p>
      <w:pPr>
        <w:wordWrap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我方参加你方组织的</w:t>
      </w:r>
      <w:r>
        <w:rPr>
          <w:rFonts w:hint="eastAsia" w:ascii="仿宋" w:hAnsi="仿宋" w:eastAsia="仿宋" w:cs="仿宋"/>
          <w:sz w:val="24"/>
          <w:highlight w:val="none"/>
          <w:u w:val="single"/>
        </w:rPr>
        <w:t>杭州学军中学桐庐学校竣工配套设施设备（图书馆）项目【项目编号：HZGJ-XJZX2024-04】</w:t>
      </w:r>
      <w:r>
        <w:rPr>
          <w:rFonts w:hint="eastAsia" w:ascii="仿宋" w:hAnsi="仿宋" w:eastAsia="仿宋" w:cs="仿宋"/>
          <w:sz w:val="24"/>
          <w:highlight w:val="none"/>
        </w:rPr>
        <w:t>招标的有关活动，并对此项目进行投标。为此：</w:t>
      </w:r>
    </w:p>
    <w:p>
      <w:pPr>
        <w:wordWrap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pPr>
        <w:wordWrap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2、我方的投标文件包括以下内容：</w:t>
      </w:r>
    </w:p>
    <w:p>
      <w:pPr>
        <w:wordWrap w:val="0"/>
        <w:snapToGrid w:val="0"/>
        <w:spacing w:line="360" w:lineRule="exact"/>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2.1资格文件：</w:t>
      </w:r>
    </w:p>
    <w:p>
      <w:pPr>
        <w:wordWrap w:val="0"/>
        <w:snapToGrid w:val="0"/>
        <w:spacing w:line="360" w:lineRule="exact"/>
        <w:ind w:left="420" w:leftChars="200" w:firstLine="480" w:firstLineChars="200"/>
        <w:rPr>
          <w:rFonts w:ascii="仿宋" w:hAnsi="仿宋" w:eastAsia="仿宋" w:cs="仿宋"/>
          <w:sz w:val="24"/>
          <w:highlight w:val="none"/>
        </w:rPr>
      </w:pPr>
      <w:bookmarkStart w:id="542" w:name="_Hlk109322875"/>
      <w:r>
        <w:rPr>
          <w:rFonts w:hint="eastAsia" w:ascii="仿宋" w:hAnsi="仿宋" w:eastAsia="仿宋" w:cs="仿宋"/>
          <w:sz w:val="24"/>
          <w:highlight w:val="none"/>
        </w:rPr>
        <w:t>2.1.1供应商（联合体参加的指联合体双方）的营业执照或者其他由国家相关部门出具的具有独立承担民事责任能力的证明文件（自然人参加的提供身份证复制件）；</w:t>
      </w:r>
    </w:p>
    <w:p>
      <w:pPr>
        <w:wordWrap w:val="0"/>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2.1.2符合参加政府采购活动应当具备的一般条件、特殊资格条件的承诺函；</w:t>
      </w:r>
    </w:p>
    <w:p>
      <w:pPr>
        <w:wordWrap w:val="0"/>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2.1.3联合协议（联合体参加的提供)；</w:t>
      </w:r>
    </w:p>
    <w:p>
      <w:pPr>
        <w:wordWrap w:val="0"/>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2.1.4满足政府采购政策资格要求的证明材料；</w:t>
      </w:r>
    </w:p>
    <w:p>
      <w:pPr>
        <w:wordWrap w:val="0"/>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2.1.5满足本项目特定资格要求的证明材料。</w:t>
      </w:r>
    </w:p>
    <w:bookmarkEnd w:id="542"/>
    <w:p>
      <w:pPr>
        <w:wordWrap w:val="0"/>
        <w:snapToGrid w:val="0"/>
        <w:spacing w:line="360" w:lineRule="exact"/>
        <w:ind w:left="210" w:leftChars="100" w:firstLine="480" w:firstLineChars="200"/>
        <w:rPr>
          <w:rFonts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pPr>
        <w:wordWrap w:val="0"/>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pPr>
        <w:wordWrap w:val="0"/>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pPr>
        <w:wordWrap w:val="0"/>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2.2.3分包意向协议（拟分包的提供）；</w:t>
      </w:r>
    </w:p>
    <w:p>
      <w:pPr>
        <w:wordWrap w:val="0"/>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2.2.4符合性审查资料；</w:t>
      </w:r>
    </w:p>
    <w:p>
      <w:pPr>
        <w:wordWrap w:val="0"/>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2.2.5评标标准相应的商务技术资料；</w:t>
      </w:r>
    </w:p>
    <w:p>
      <w:pPr>
        <w:wordWrap w:val="0"/>
        <w:snapToGrid w:val="0"/>
        <w:spacing w:line="360" w:lineRule="exact"/>
        <w:ind w:left="420" w:leftChars="200" w:firstLine="480" w:firstLineChars="200"/>
        <w:rPr>
          <w:rFonts w:ascii="仿宋" w:hAnsi="仿宋" w:eastAsia="仿宋" w:cs="仿宋"/>
          <w:sz w:val="24"/>
          <w:highlight w:val="none"/>
          <w:lang w:val="zh-CN"/>
        </w:rPr>
      </w:pPr>
      <w:r>
        <w:rPr>
          <w:rFonts w:hint="eastAsia" w:ascii="仿宋" w:hAnsi="仿宋" w:eastAsia="仿宋" w:cs="仿宋"/>
          <w:sz w:val="24"/>
          <w:highlight w:val="none"/>
        </w:rPr>
        <w:t>2.2.6</w:t>
      </w:r>
      <w:r>
        <w:rPr>
          <w:rFonts w:hint="eastAsia" w:ascii="仿宋" w:hAnsi="仿宋" w:eastAsia="仿宋" w:cs="仿宋"/>
          <w:sz w:val="24"/>
          <w:highlight w:val="none"/>
          <w:lang w:val="zh-CN"/>
        </w:rPr>
        <w:t>政府采购供应商廉洁自律承诺书；</w:t>
      </w:r>
    </w:p>
    <w:p>
      <w:pPr>
        <w:wordWrap w:val="0"/>
        <w:snapToGrid w:val="0"/>
        <w:spacing w:line="360" w:lineRule="exact"/>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pPr>
        <w:wordWrap w:val="0"/>
        <w:adjustRightInd/>
        <w:snapToGrid w:val="0"/>
        <w:spacing w:line="360" w:lineRule="exact"/>
        <w:ind w:left="420" w:leftChars="200" w:firstLine="480" w:firstLineChars="200"/>
        <w:jc w:val="left"/>
        <w:rPr>
          <w:rFonts w:ascii="仿宋" w:hAnsi="仿宋" w:eastAsia="仿宋" w:cs="仿宋"/>
          <w:sz w:val="24"/>
          <w:highlight w:val="none"/>
        </w:rPr>
      </w:pPr>
      <w:r>
        <w:rPr>
          <w:rFonts w:hint="eastAsia" w:ascii="仿宋" w:hAnsi="仿宋" w:eastAsia="仿宋" w:cs="仿宋"/>
          <w:sz w:val="24"/>
          <w:highlight w:val="none"/>
        </w:rPr>
        <w:t>2.3.1开标一览表（报价表）；</w:t>
      </w:r>
    </w:p>
    <w:p>
      <w:pPr>
        <w:wordWrap w:val="0"/>
        <w:adjustRightInd/>
        <w:snapToGrid w:val="0"/>
        <w:spacing w:line="360" w:lineRule="exact"/>
        <w:ind w:left="420" w:leftChars="200" w:firstLine="480" w:firstLineChars="200"/>
        <w:jc w:val="left"/>
        <w:rPr>
          <w:rFonts w:ascii="仿宋" w:hAnsi="仿宋" w:eastAsia="仿宋" w:cs="仿宋"/>
          <w:sz w:val="24"/>
          <w:highlight w:val="none"/>
        </w:rPr>
      </w:pPr>
      <w:r>
        <w:rPr>
          <w:rFonts w:hint="eastAsia" w:ascii="仿宋" w:hAnsi="仿宋" w:eastAsia="仿宋" w:cs="仿宋"/>
          <w:sz w:val="24"/>
          <w:highlight w:val="none"/>
        </w:rPr>
        <w:t>2.3.2报价情况说明（如供应商报价低于最高限价50%的，应当提交本文档，详细阐述不影响服务质量或者诚信履约的具体原因）；</w:t>
      </w:r>
    </w:p>
    <w:p>
      <w:pPr>
        <w:wordWrap w:val="0"/>
        <w:adjustRightInd/>
        <w:snapToGrid w:val="0"/>
        <w:spacing w:line="360" w:lineRule="exact"/>
        <w:ind w:left="420" w:leftChars="200" w:firstLine="480" w:firstLineChars="200"/>
        <w:jc w:val="left"/>
        <w:rPr>
          <w:rFonts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2.3.3中小企业声明函（若供应商（含联合体中的中小企业、签订分包意向协议的中小企业）为小微企业，且提供了中小企业声明函的，则可享受价格享受价格扣除优惠政策）；</w:t>
      </w:r>
    </w:p>
    <w:p>
      <w:pPr>
        <w:wordWrap w:val="0"/>
        <w:adjustRightInd/>
        <w:snapToGrid w:val="0"/>
        <w:spacing w:line="360" w:lineRule="exact"/>
        <w:ind w:left="420" w:leftChars="200" w:firstLine="480" w:firstLineChars="200"/>
        <w:jc w:val="left"/>
        <w:rPr>
          <w:rFonts w:ascii="仿宋" w:hAnsi="仿宋" w:eastAsia="仿宋" w:cs="仿宋"/>
          <w:sz w:val="24"/>
          <w:highlight w:val="none"/>
        </w:rPr>
      </w:pPr>
      <w:r>
        <w:rPr>
          <w:rFonts w:hint="eastAsia" w:ascii="仿宋" w:hAnsi="仿宋" w:eastAsia="仿宋" w:cs="仿宋"/>
          <w:sz w:val="24"/>
          <w:highlight w:val="none"/>
        </w:rPr>
        <w:t>2.3.</w:t>
      </w:r>
      <w:r>
        <w:rPr>
          <w:rFonts w:ascii="仿宋" w:hAnsi="仿宋" w:eastAsia="仿宋" w:cs="仿宋"/>
          <w:sz w:val="24"/>
          <w:highlight w:val="none"/>
        </w:rPr>
        <w:t>4</w:t>
      </w:r>
      <w:r>
        <w:rPr>
          <w:rFonts w:hint="eastAsia" w:ascii="仿宋" w:hAnsi="仿宋" w:eastAsia="仿宋" w:cs="仿宋"/>
          <w:sz w:val="24"/>
          <w:highlight w:val="none"/>
        </w:rPr>
        <w:t>供应商针对报价需要说明的其他文件和说明（格式自拟）。</w:t>
      </w:r>
    </w:p>
    <w:p>
      <w:pPr>
        <w:wordWrap w:val="0"/>
        <w:snapToGrid w:val="0"/>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3、我方承诺除商务技术偏离表列出的偏离外，我方响应招标文件的全部要求。对投标文件中材料的真实性、合法性负责。</w:t>
      </w:r>
    </w:p>
    <w:p>
      <w:pPr>
        <w:wordWrap w:val="0"/>
        <w:snapToGrid w:val="0"/>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4、如我方中标，我方承诺：</w:t>
      </w:r>
    </w:p>
    <w:p>
      <w:pPr>
        <w:wordWrap w:val="0"/>
        <w:snapToGrid w:val="0"/>
        <w:spacing w:line="300" w:lineRule="exact"/>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pPr>
        <w:wordWrap w:val="0"/>
        <w:snapToGrid w:val="0"/>
        <w:spacing w:line="300" w:lineRule="exact"/>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pPr>
        <w:wordWrap w:val="0"/>
        <w:snapToGrid w:val="0"/>
        <w:spacing w:line="300" w:lineRule="exact"/>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pPr>
        <w:wordWrap w:val="0"/>
        <w:snapToGrid w:val="0"/>
        <w:spacing w:line="300" w:lineRule="exact"/>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pPr>
        <w:wordWrap w:val="0"/>
        <w:snapToGrid w:val="0"/>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wordWrap w:val="0"/>
        <w:spacing w:line="300" w:lineRule="exact"/>
        <w:ind w:firstLine="4320" w:firstLineChars="1800"/>
        <w:jc w:val="right"/>
        <w:rPr>
          <w:rFonts w:ascii="仿宋" w:hAnsi="仿宋" w:eastAsia="仿宋" w:cs="仿宋"/>
          <w:sz w:val="24"/>
          <w:highlight w:val="none"/>
        </w:rPr>
      </w:pPr>
      <w:r>
        <w:rPr>
          <w:rFonts w:hint="eastAsia" w:ascii="仿宋" w:hAnsi="仿宋" w:eastAsia="仿宋" w:cs="仿宋"/>
          <w:sz w:val="24"/>
          <w:highlight w:val="none"/>
        </w:rPr>
        <w:t xml:space="preserve">            </w:t>
      </w:r>
    </w:p>
    <w:p>
      <w:pPr>
        <w:wordWrap w:val="0"/>
        <w:spacing w:line="300" w:lineRule="exact"/>
        <w:ind w:firstLine="4320" w:firstLineChars="1800"/>
        <w:jc w:val="right"/>
        <w:rPr>
          <w:rFonts w:ascii="仿宋" w:hAnsi="仿宋" w:eastAsia="仿宋" w:cs="仿宋"/>
          <w:b/>
          <w:kern w:val="0"/>
          <w:sz w:val="32"/>
          <w:szCs w:val="32"/>
          <w:highlight w:val="none"/>
          <w:lang w:val="zh-CN"/>
        </w:rPr>
      </w:pPr>
      <w:r>
        <w:rPr>
          <w:rFonts w:hint="eastAsia" w:ascii="仿宋" w:hAnsi="仿宋" w:eastAsia="仿宋" w:cs="仿宋"/>
          <w:sz w:val="24"/>
          <w:highlight w:val="none"/>
        </w:rPr>
        <w:t xml:space="preserve">                  投标人名称（</w:t>
      </w:r>
      <w:r>
        <w:rPr>
          <w:rFonts w:hint="eastAsia" w:ascii="仿宋" w:hAnsi="仿宋" w:eastAsia="仿宋" w:cs="仿宋"/>
          <w:kern w:val="0"/>
          <w:sz w:val="24"/>
          <w:highlight w:val="none"/>
        </w:rPr>
        <w:t>电子签名</w:t>
      </w:r>
      <w:r>
        <w:rPr>
          <w:rFonts w:hint="eastAsia" w:ascii="仿宋" w:hAnsi="仿宋" w:eastAsia="仿宋" w:cs="仿宋"/>
          <w:sz w:val="24"/>
          <w:highlight w:val="none"/>
        </w:rPr>
        <w:t>）：                                          日期：  年   月   日</w:t>
      </w:r>
    </w:p>
    <w:p>
      <w:pPr>
        <w:wordWrap w:val="0"/>
        <w:jc w:val="left"/>
        <w:outlineLvl w:val="2"/>
        <w:rPr>
          <w:rFonts w:ascii="仿宋" w:hAnsi="仿宋" w:eastAsia="仿宋" w:cs="仿宋"/>
          <w:b/>
          <w:kern w:val="0"/>
          <w:sz w:val="32"/>
          <w:szCs w:val="32"/>
          <w:highlight w:val="none"/>
          <w:lang w:val="zh-CN"/>
        </w:rPr>
        <w:sectPr>
          <w:headerReference r:id="rId12" w:type="first"/>
          <w:footerReference r:id="rId14" w:type="first"/>
          <w:headerReference r:id="rId11" w:type="default"/>
          <w:footerReference r:id="rId13" w:type="default"/>
          <w:pgSz w:w="11905" w:h="16838"/>
          <w:pgMar w:top="652" w:right="1417" w:bottom="680" w:left="1417" w:header="539" w:footer="425" w:gutter="0"/>
          <w:cols w:space="0" w:num="1"/>
          <w:titlePg/>
          <w:docGrid w:linePitch="312" w:charSpace="0"/>
        </w:sectPr>
      </w:pPr>
    </w:p>
    <w:p>
      <w:pPr>
        <w:wordWrap w:val="0"/>
        <w:jc w:val="left"/>
        <w:outlineLvl w:val="2"/>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pPr>
        <w:wordWrap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                                </w:t>
      </w:r>
    </w:p>
    <w:p>
      <w:pPr>
        <w:wordWrap w:val="0"/>
        <w:snapToGrid w:val="0"/>
        <w:spacing w:line="360" w:lineRule="auto"/>
        <w:ind w:firstLine="2872" w:firstLineChars="894"/>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rPr>
        <w:t>非联合体投标</w:t>
      </w:r>
      <w:r>
        <w:rPr>
          <w:rFonts w:hint="eastAsia" w:ascii="仿宋" w:hAnsi="仿宋" w:eastAsia="仿宋" w:cs="仿宋"/>
          <w:b/>
          <w:kern w:val="0"/>
          <w:sz w:val="32"/>
          <w:szCs w:val="32"/>
          <w:highlight w:val="none"/>
          <w:lang w:val="zh-CN"/>
        </w:rPr>
        <w:t>授权委托书</w:t>
      </w:r>
    </w:p>
    <w:p>
      <w:pPr>
        <w:wordWrap w:val="0"/>
        <w:snapToGrid w:val="0"/>
        <w:spacing w:line="360" w:lineRule="auto"/>
        <w:jc w:val="center"/>
        <w:rPr>
          <w:rFonts w:ascii="仿宋" w:hAnsi="仿宋" w:eastAsia="仿宋" w:cs="仿宋"/>
          <w:sz w:val="24"/>
          <w:highlight w:val="none"/>
        </w:rPr>
      </w:pPr>
      <w:r>
        <w:rPr>
          <w:rFonts w:hint="eastAsia" w:ascii="仿宋" w:hAnsi="仿宋" w:eastAsia="仿宋" w:cs="仿宋"/>
          <w:b/>
          <w:kern w:val="0"/>
          <w:sz w:val="24"/>
          <w:highlight w:val="none"/>
          <w:lang w:val="zh-CN"/>
        </w:rPr>
        <w:t>（适用于非</w:t>
      </w:r>
      <w:r>
        <w:rPr>
          <w:rFonts w:hint="eastAsia" w:ascii="仿宋" w:hAnsi="仿宋" w:eastAsia="仿宋" w:cs="仿宋"/>
          <w:b/>
          <w:kern w:val="0"/>
          <w:sz w:val="24"/>
          <w:highlight w:val="none"/>
        </w:rPr>
        <w:t>法定代表人、单位负责人或自然人本人代表供应商参加投标</w:t>
      </w:r>
      <w:r>
        <w:rPr>
          <w:rFonts w:hint="eastAsia" w:ascii="仿宋" w:hAnsi="仿宋" w:eastAsia="仿宋" w:cs="仿宋"/>
          <w:b/>
          <w:kern w:val="0"/>
          <w:sz w:val="24"/>
          <w:highlight w:val="none"/>
          <w:lang w:val="zh-CN"/>
        </w:rPr>
        <w:t>）</w:t>
      </w:r>
    </w:p>
    <w:p>
      <w:pPr>
        <w:wordWrap w:val="0"/>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u w:val="single"/>
        </w:rPr>
        <w:t>杭州学军中学桐庐学校、杭州贯今工程咨询有限公司</w:t>
      </w:r>
      <w:r>
        <w:rPr>
          <w:rFonts w:hint="eastAsia" w:ascii="仿宋" w:hAnsi="仿宋" w:eastAsia="仿宋" w:cs="仿宋"/>
          <w:kern w:val="0"/>
          <w:sz w:val="24"/>
          <w:highlight w:val="none"/>
          <w:lang w:val="zh-CN"/>
        </w:rPr>
        <w:t>：</w:t>
      </w:r>
    </w:p>
    <w:p>
      <w:pPr>
        <w:wordWrap w:val="0"/>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我单位法定代表人为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rPr>
        <w:t>杭州学军中学桐庐学校竣工配套设施设备（图书馆）项目【项目编号：HZGJ-XJZX2024-04】</w:t>
      </w:r>
      <w:r>
        <w:rPr>
          <w:rFonts w:hint="eastAsia" w:ascii="仿宋" w:hAnsi="仿宋" w:eastAsia="仿宋" w:cs="仿宋"/>
          <w:kern w:val="0"/>
          <w:sz w:val="24"/>
          <w:highlight w:val="none"/>
          <w:lang w:val="zh-CN"/>
        </w:rPr>
        <w:t>政府采购投标的一切事项，其法律后果由我方自行承担。</w:t>
      </w:r>
    </w:p>
    <w:p>
      <w:pPr>
        <w:wordWrap w:val="0"/>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wordWrap w:val="0"/>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特此告知。</w:t>
      </w:r>
    </w:p>
    <w:p>
      <w:pPr>
        <w:wordWrap w:val="0"/>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w:t>
      </w:r>
    </w:p>
    <w:p>
      <w:pPr>
        <w:wordWrap w:val="0"/>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pPr>
        <w:wordWrap w:val="0"/>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 xml:space="preserve">     联合体投标授权委托书</w:t>
      </w:r>
    </w:p>
    <w:p>
      <w:pPr>
        <w:wordWrap w:val="0"/>
        <w:rPr>
          <w:rFonts w:ascii="仿宋" w:hAnsi="仿宋" w:eastAsia="仿宋" w:cs="仿宋"/>
          <w:sz w:val="22"/>
          <w:szCs w:val="22"/>
          <w:highlight w:val="none"/>
        </w:rPr>
      </w:pPr>
    </w:p>
    <w:p>
      <w:pPr>
        <w:wordWrap w:val="0"/>
        <w:snapToGrid w:val="0"/>
        <w:spacing w:line="360" w:lineRule="auto"/>
        <w:jc w:val="center"/>
        <w:rPr>
          <w:rFonts w:ascii="仿宋" w:hAnsi="仿宋" w:eastAsia="仿宋" w:cs="仿宋"/>
          <w:sz w:val="24"/>
          <w:highlight w:val="none"/>
        </w:rPr>
      </w:pPr>
      <w:r>
        <w:rPr>
          <w:rFonts w:hint="eastAsia" w:ascii="仿宋" w:hAnsi="仿宋" w:eastAsia="仿宋" w:cs="仿宋"/>
          <w:b/>
          <w:kern w:val="0"/>
          <w:sz w:val="24"/>
          <w:highlight w:val="none"/>
          <w:lang w:val="zh-CN"/>
        </w:rPr>
        <w:t>（适用于非</w:t>
      </w:r>
      <w:r>
        <w:rPr>
          <w:rFonts w:hint="eastAsia" w:ascii="仿宋" w:hAnsi="仿宋" w:eastAsia="仿宋" w:cs="仿宋"/>
          <w:b/>
          <w:kern w:val="0"/>
          <w:sz w:val="24"/>
          <w:highlight w:val="none"/>
        </w:rPr>
        <w:t>法定代表人、单位负责人或自然人本人代表供应商参加投标</w:t>
      </w:r>
      <w:r>
        <w:rPr>
          <w:rFonts w:hint="eastAsia" w:ascii="仿宋" w:hAnsi="仿宋" w:eastAsia="仿宋" w:cs="仿宋"/>
          <w:b/>
          <w:kern w:val="0"/>
          <w:sz w:val="24"/>
          <w:highlight w:val="none"/>
          <w:lang w:val="zh-CN"/>
        </w:rPr>
        <w:t>）</w:t>
      </w:r>
    </w:p>
    <w:p>
      <w:pPr>
        <w:wordWrap w:val="0"/>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杭州学军中学桐庐学校、杭州贯今工程咨询有限公司</w:t>
      </w:r>
      <w:r>
        <w:rPr>
          <w:rFonts w:hint="eastAsia" w:ascii="仿宋" w:hAnsi="仿宋" w:eastAsia="仿宋" w:cs="仿宋"/>
          <w:kern w:val="0"/>
          <w:sz w:val="24"/>
          <w:highlight w:val="none"/>
          <w:lang w:val="zh-CN"/>
        </w:rPr>
        <w:t>：</w:t>
      </w:r>
    </w:p>
    <w:p>
      <w:pPr>
        <w:wordWrap w:val="0"/>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我单位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作为牵头人，法定代表人为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，我单位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作为联合体成员，法定代表人为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rPr>
        <w:t>杭州学军中学桐庐学校竣工配套设施设备（图书馆）项目【项目编号：HZGJ-XJZX2024-04】</w:t>
      </w:r>
      <w:r>
        <w:rPr>
          <w:rFonts w:hint="eastAsia" w:ascii="仿宋" w:hAnsi="仿宋" w:eastAsia="仿宋" w:cs="仿宋"/>
          <w:kern w:val="0"/>
          <w:sz w:val="24"/>
          <w:highlight w:val="none"/>
          <w:lang w:val="zh-CN"/>
        </w:rPr>
        <w:t>政府采购投标的一切事项，其法律后果由我方自行承担。</w:t>
      </w:r>
    </w:p>
    <w:p>
      <w:pPr>
        <w:wordWrap w:val="0"/>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wordWrap w:val="0"/>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wordWrap w:val="0"/>
        <w:rPr>
          <w:rFonts w:ascii="仿宋" w:hAnsi="仿宋" w:eastAsia="仿宋" w:cs="仿宋"/>
          <w:highlight w:val="none"/>
        </w:rPr>
      </w:pPr>
    </w:p>
    <w:p>
      <w:pPr>
        <w:wordWrap w:val="0"/>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联合体牵头人名称</w:t>
      </w:r>
    </w:p>
    <w:p>
      <w:pPr>
        <w:wordWrap w:val="0"/>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w:t>
      </w:r>
    </w:p>
    <w:p>
      <w:pPr>
        <w:wordWrap w:val="0"/>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w:t>
      </w:r>
    </w:p>
    <w:p>
      <w:pPr>
        <w:wordWrap w:val="0"/>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物理公章</w:t>
      </w:r>
      <w:r>
        <w:rPr>
          <w:rFonts w:hint="eastAsia" w:ascii="仿宋" w:hAnsi="仿宋" w:eastAsia="仿宋" w:cs="仿宋"/>
          <w:kern w:val="0"/>
          <w:sz w:val="24"/>
          <w:highlight w:val="none"/>
          <w:lang w:val="zh-CN"/>
        </w:rPr>
        <w:t>)：</w:t>
      </w:r>
    </w:p>
    <w:p>
      <w:pPr>
        <w:wordWrap w:val="0"/>
        <w:rPr>
          <w:rFonts w:ascii="仿宋" w:hAnsi="仿宋" w:eastAsia="仿宋" w:cs="仿宋"/>
          <w:b/>
          <w:kern w:val="0"/>
          <w:sz w:val="32"/>
          <w:szCs w:val="32"/>
          <w:highlight w:val="none"/>
          <w:lang w:val="zh-CN"/>
        </w:rPr>
      </w:pPr>
      <w:r>
        <w:rPr>
          <w:rFonts w:hint="eastAsia" w:ascii="仿宋" w:hAnsi="仿宋" w:eastAsia="仿宋" w:cs="仿宋"/>
          <w:kern w:val="0"/>
          <w:sz w:val="24"/>
          <w:highlight w:val="none"/>
          <w:lang w:val="zh-CN"/>
        </w:rPr>
        <w:t xml:space="preserve">                                               日期：  年  月   日</w:t>
      </w:r>
      <w:r>
        <w:rPr>
          <w:rFonts w:hint="eastAsia" w:ascii="仿宋" w:hAnsi="仿宋" w:eastAsia="仿宋" w:cs="仿宋"/>
          <w:b/>
          <w:kern w:val="0"/>
          <w:sz w:val="32"/>
          <w:szCs w:val="32"/>
          <w:highlight w:val="none"/>
          <w:lang w:val="zh-CN"/>
        </w:rPr>
        <w:br w:type="page"/>
      </w:r>
    </w:p>
    <w:p>
      <w:pPr>
        <w:wordWrap w:val="0"/>
        <w:autoSpaceDE w:val="0"/>
        <w:autoSpaceDN w:val="0"/>
        <w:spacing w:line="360" w:lineRule="auto"/>
        <w:jc w:val="center"/>
        <w:rPr>
          <w:rFonts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pPr>
        <w:pStyle w:val="152"/>
        <w:wordWrap w:val="0"/>
        <w:spacing w:line="360" w:lineRule="auto"/>
        <w:rPr>
          <w:rFonts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wordWrap w:val="0"/>
              <w:adjustRightInd w:val="0"/>
              <w:spacing w:line="360" w:lineRule="auto"/>
              <w:rPr>
                <w:rFonts w:ascii="仿宋" w:hAnsi="仿宋" w:eastAsia="仿宋" w:cs="仿宋"/>
                <w:bCs/>
                <w:sz w:val="24"/>
                <w:highlight w:val="none"/>
              </w:rPr>
            </w:pPr>
            <w:r>
              <w:rPr>
                <w:rFonts w:hint="eastAsia" w:ascii="仿宋" w:hAnsi="仿宋" w:eastAsia="仿宋" w:cs="仿宋"/>
                <w:bCs/>
                <w:sz w:val="24"/>
                <w:highlight w:val="none"/>
              </w:rPr>
              <w:t>正面：                                 反面：</w:t>
            </w:r>
          </w:p>
          <w:p>
            <w:pPr>
              <w:pStyle w:val="152"/>
              <w:wordWrap w:val="0"/>
              <w:adjustRightInd w:val="0"/>
              <w:spacing w:line="360" w:lineRule="auto"/>
              <w:rPr>
                <w:rFonts w:ascii="仿宋" w:hAnsi="仿宋" w:eastAsia="仿宋" w:cs="仿宋"/>
                <w:bCs/>
                <w:sz w:val="24"/>
                <w:highlight w:val="none"/>
              </w:rPr>
            </w:pPr>
          </w:p>
        </w:tc>
      </w:tr>
    </w:tbl>
    <w:p>
      <w:pPr>
        <w:wordWrap w:val="0"/>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wordWrap w:val="0"/>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 xml:space="preserve">)：                              </w:t>
      </w:r>
    </w:p>
    <w:p>
      <w:pPr>
        <w:wordWrap w:val="0"/>
        <w:spacing w:line="360" w:lineRule="auto"/>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rPr>
          <w:rFonts w:ascii="仿宋" w:hAnsi="仿宋" w:eastAsia="仿宋" w:cs="仿宋"/>
          <w:b/>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kern w:val="0"/>
          <w:sz w:val="32"/>
          <w:szCs w:val="32"/>
          <w:highlight w:val="none"/>
        </w:rPr>
        <w:br w:type="page"/>
      </w:r>
    </w:p>
    <w:p>
      <w:pPr>
        <w:wordWrap w:val="0"/>
        <w:snapToGrid w:val="0"/>
        <w:spacing w:line="360" w:lineRule="auto"/>
        <w:ind w:firstLine="3534" w:firstLineChars="110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w:t>
      </w:r>
    </w:p>
    <w:p>
      <w:pPr>
        <w:widowControl/>
        <w:wordWrap w:val="0"/>
        <w:spacing w:line="360" w:lineRule="auto"/>
        <w:ind w:left="147" w:firstLine="482" w:firstLineChars="200"/>
        <w:rPr>
          <w:rFonts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sz w:val="24"/>
          <w:highlight w:val="none"/>
        </w:rPr>
        <w:sym w:font="Wingdings" w:char="00FE"/>
      </w:r>
      <w:r>
        <w:rPr>
          <w:rFonts w:hint="eastAsia" w:ascii="仿宋" w:hAnsi="仿宋" w:eastAsia="仿宋" w:cs="仿宋"/>
          <w:b/>
          <w:sz w:val="24"/>
          <w:highlight w:val="none"/>
        </w:rPr>
        <w:t>本项目同意将非主体、非关键性工作分包，</w:t>
      </w:r>
      <w:r>
        <w:rPr>
          <w:rFonts w:hint="eastAsia" w:ascii="仿宋" w:hAnsi="仿宋" w:eastAsia="仿宋" w:cs="仿宋"/>
          <w:b/>
          <w:bCs/>
          <w:sz w:val="24"/>
          <w:highlight w:val="none"/>
        </w:rPr>
        <w:t>若非主体、非关键性工作已由</w:t>
      </w:r>
      <w:r>
        <w:rPr>
          <w:rFonts w:hint="eastAsia" w:ascii="仿宋" w:hAnsi="仿宋" w:eastAsia="仿宋" w:cs="仿宋"/>
          <w:b/>
          <w:sz w:val="24"/>
          <w:highlight w:val="none"/>
        </w:rPr>
        <w:t>联合体成员承担的，则不允许分包。</w:t>
      </w:r>
      <w:r>
        <w:rPr>
          <w:rFonts w:hint="eastAsia" w:ascii="仿宋" w:hAnsi="仿宋" w:eastAsia="仿宋" w:cs="仿宋"/>
          <w:sz w:val="24"/>
          <w:highlight w:val="none"/>
        </w:rPr>
        <w:t>▲</w:t>
      </w:r>
      <w:r>
        <w:rPr>
          <w:rFonts w:hint="eastAsia" w:ascii="仿宋" w:hAnsi="仿宋" w:eastAsia="仿宋" w:cs="仿宋"/>
          <w:b/>
          <w:sz w:val="24"/>
          <w:highlight w:val="none"/>
        </w:rPr>
        <w:t>分包份额不得超过总包单位。</w:t>
      </w:r>
      <w:r>
        <w:rPr>
          <w:rFonts w:hint="eastAsia" w:ascii="仿宋" w:hAnsi="仿宋" w:eastAsia="仿宋" w:cs="仿宋"/>
          <w:sz w:val="24"/>
          <w:highlight w:val="none"/>
        </w:rPr>
        <w:t>▲</w:t>
      </w:r>
      <w:r>
        <w:rPr>
          <w:rFonts w:hint="eastAsia" w:ascii="仿宋" w:hAnsi="仿宋" w:eastAsia="仿宋" w:cs="仿宋"/>
          <w:b/>
          <w:sz w:val="24"/>
          <w:highlight w:val="none"/>
        </w:rPr>
        <w:t>投标人中标后以分包方式履行合同的，另行提供分包意向协议（附件7）；</w:t>
      </w:r>
      <w:r>
        <w:rPr>
          <w:rFonts w:hint="eastAsia" w:ascii="仿宋" w:hAnsi="仿宋" w:eastAsia="仿宋" w:cs="仿宋"/>
          <w:b/>
          <w:bCs/>
          <w:sz w:val="24"/>
          <w:highlight w:val="none"/>
        </w:rPr>
        <w:t>投标人中标后</w:t>
      </w:r>
      <w:r>
        <w:rPr>
          <w:rFonts w:hint="eastAsia" w:ascii="仿宋" w:hAnsi="仿宋" w:eastAsia="仿宋" w:cs="仿宋"/>
          <w:b/>
          <w:sz w:val="24"/>
          <w:highlight w:val="none"/>
        </w:rPr>
        <w:t>不以分包方式履行合同的，则不需要提供。</w:t>
      </w:r>
      <w:r>
        <w:rPr>
          <w:rFonts w:hint="eastAsia" w:ascii="仿宋" w:hAnsi="仿宋" w:eastAsia="仿宋" w:cs="仿宋"/>
          <w:b/>
          <w:bCs/>
          <w:sz w:val="24"/>
          <w:highlight w:val="none"/>
        </w:rPr>
        <w:t>]</w:t>
      </w:r>
    </w:p>
    <w:p>
      <w:pPr>
        <w:pStyle w:val="61"/>
        <w:spacing w:line="360" w:lineRule="auto"/>
        <w:ind w:firstLine="420"/>
        <w:rPr>
          <w:rFonts w:ascii="仿宋" w:hAnsi="仿宋" w:eastAsia="仿宋" w:cs="仿宋"/>
          <w:highlight w:val="none"/>
        </w:rPr>
      </w:pPr>
    </w:p>
    <w:p>
      <w:pPr>
        <w:wordWrap w:val="0"/>
        <w:spacing w:line="360" w:lineRule="auto"/>
        <w:jc w:val="left"/>
        <w:rPr>
          <w:rFonts w:ascii="仿宋" w:hAnsi="仿宋" w:eastAsia="仿宋" w:cs="仿宋"/>
          <w:b/>
          <w:bCs/>
          <w:kern w:val="0"/>
          <w:sz w:val="32"/>
          <w:szCs w:val="32"/>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sz w:val="24"/>
          <w:highlight w:val="none"/>
        </w:rPr>
        <w:t xml:space="preserve">   </w:t>
      </w:r>
      <w:r>
        <w:rPr>
          <w:rFonts w:hint="eastAsia" w:ascii="仿宋" w:hAnsi="仿宋" w:eastAsia="仿宋" w:cs="仿宋"/>
          <w:b/>
          <w:bCs/>
          <w:sz w:val="24"/>
          <w:highlight w:val="none"/>
        </w:rPr>
        <w:t xml:space="preserve"> </w:t>
      </w:r>
      <w:bookmarkStart w:id="543" w:name="_Toc22737"/>
      <w:bookmarkStart w:id="544" w:name="_Toc2615"/>
      <w:r>
        <w:rPr>
          <w:rFonts w:hint="eastAsia" w:ascii="仿宋" w:hAnsi="仿宋" w:eastAsia="仿宋" w:cs="仿宋"/>
          <w:b/>
          <w:bCs/>
          <w:sz w:val="24"/>
          <w:highlight w:val="none"/>
        </w:rPr>
        <w:t>[</w:t>
      </w:r>
      <w:r>
        <w:rPr>
          <w:rFonts w:hint="eastAsia" w:ascii="仿宋" w:hAnsi="仿宋" w:eastAsia="仿宋" w:cs="仿宋"/>
          <w:b/>
          <w:sz w:val="24"/>
          <w:highlight w:val="none"/>
        </w:rPr>
        <w:sym w:font="Wingdings" w:char="00A8"/>
      </w:r>
      <w:r>
        <w:rPr>
          <w:rFonts w:hint="eastAsia" w:ascii="仿宋" w:hAnsi="仿宋" w:eastAsia="仿宋" w:cs="仿宋"/>
          <w:sz w:val="24"/>
          <w:highlight w:val="none"/>
        </w:rPr>
        <w:t>▲</w:t>
      </w:r>
      <w:r>
        <w:rPr>
          <w:rFonts w:hint="eastAsia" w:ascii="仿宋" w:hAnsi="仿宋" w:eastAsia="仿宋" w:cs="仿宋"/>
          <w:b/>
          <w:bCs/>
          <w:sz w:val="24"/>
          <w:highlight w:val="none"/>
        </w:rPr>
        <w:t>本项目专门面向中小企业采购，若分包的分包单位必须为中小企业。]</w:t>
      </w:r>
      <w:bookmarkEnd w:id="543"/>
      <w:bookmarkEnd w:id="544"/>
    </w:p>
    <w:p>
      <w:pPr>
        <w:wordWrap w:val="0"/>
        <w:rPr>
          <w:rFonts w:ascii="仿宋" w:hAnsi="仿宋" w:eastAsia="仿宋" w:cs="仿宋"/>
          <w:b/>
          <w:kern w:val="0"/>
          <w:sz w:val="32"/>
          <w:szCs w:val="32"/>
          <w:highlight w:val="none"/>
        </w:rPr>
      </w:pPr>
    </w:p>
    <w:p>
      <w:pPr>
        <w:wordWrap w:val="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pPr>
        <w:wordWrap w:val="0"/>
        <w:jc w:val="center"/>
        <w:rPr>
          <w:rFonts w:ascii="仿宋" w:hAnsi="仿宋" w:eastAsia="仿宋" w:cs="仿宋"/>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wordWrap w:val="0"/>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3870" w:type="dxa"/>
            <w:vAlign w:val="center"/>
          </w:tcPr>
          <w:p>
            <w:pPr>
              <w:wordWrap w:val="0"/>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实质性要求</w:t>
            </w:r>
          </w:p>
        </w:tc>
        <w:tc>
          <w:tcPr>
            <w:tcW w:w="3329" w:type="dxa"/>
            <w:vAlign w:val="center"/>
          </w:tcPr>
          <w:p>
            <w:pPr>
              <w:wordWrap w:val="0"/>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761" w:type="dxa"/>
            <w:vAlign w:val="center"/>
          </w:tcPr>
          <w:p>
            <w:pPr>
              <w:wordWrap w:val="0"/>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投标文件中的</w:t>
            </w:r>
          </w:p>
          <w:p>
            <w:pPr>
              <w:wordWrap w:val="0"/>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rPr>
                <w:rFonts w:ascii="仿宋" w:hAnsi="仿宋" w:eastAsia="仿宋" w:cs="仿宋"/>
                <w:sz w:val="24"/>
                <w:highlight w:val="none"/>
              </w:rPr>
            </w:pPr>
            <w:r>
              <w:rPr>
                <w:rFonts w:hint="eastAsia" w:ascii="仿宋" w:hAnsi="仿宋" w:eastAsia="仿宋" w:cs="仿宋"/>
                <w:sz w:val="24"/>
                <w:highlight w:val="none"/>
              </w:rPr>
              <w:t>1</w:t>
            </w:r>
          </w:p>
        </w:tc>
        <w:tc>
          <w:tcPr>
            <w:tcW w:w="3870" w:type="dxa"/>
          </w:tcPr>
          <w:p>
            <w:pPr>
              <w:wordWrap w:val="0"/>
              <w:spacing w:line="360" w:lineRule="auto"/>
              <w:rPr>
                <w:rFonts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3329" w:type="dxa"/>
            <w:vAlign w:val="center"/>
          </w:tcPr>
          <w:p>
            <w:pPr>
              <w:wordWrap w:val="0"/>
              <w:rPr>
                <w:rFonts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761" w:type="dxa"/>
          </w:tcPr>
          <w:p>
            <w:pPr>
              <w:wordWrap w:val="0"/>
              <w:jc w:val="center"/>
              <w:rPr>
                <w:rFonts w:ascii="仿宋" w:hAnsi="仿宋" w:eastAsia="仿宋" w:cs="仿宋"/>
                <w:sz w:val="24"/>
                <w:highlight w:val="none"/>
              </w:rPr>
            </w:pPr>
          </w:p>
          <w:p>
            <w:pPr>
              <w:wordWrap w:val="0"/>
              <w:jc w:val="center"/>
              <w:rPr>
                <w:rFonts w:ascii="仿宋" w:hAnsi="仿宋" w:eastAsia="仿宋" w:cs="仿宋"/>
                <w:sz w:val="24"/>
                <w:highlight w:val="none"/>
              </w:rPr>
            </w:pPr>
            <w:r>
              <w:rPr>
                <w:rFonts w:hint="eastAsia" w:ascii="仿宋" w:hAnsi="仿宋" w:eastAsia="仿宋" w:cs="仿宋"/>
                <w:sz w:val="24"/>
                <w:highlight w:val="none"/>
              </w:rPr>
              <w:t>见投标文件</w:t>
            </w:r>
          </w:p>
          <w:p>
            <w:pPr>
              <w:wordWrap w:val="0"/>
              <w:jc w:val="center"/>
              <w:rPr>
                <w:rFonts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spacing w:line="360" w:lineRule="auto"/>
              <w:rPr>
                <w:rFonts w:ascii="仿宋" w:hAnsi="仿宋" w:eastAsia="仿宋" w:cs="仿宋"/>
                <w:sz w:val="24"/>
                <w:highlight w:val="none"/>
              </w:rPr>
            </w:pPr>
            <w:r>
              <w:rPr>
                <w:rFonts w:hint="eastAsia" w:ascii="仿宋" w:hAnsi="仿宋" w:eastAsia="仿宋" w:cs="仿宋"/>
                <w:sz w:val="24"/>
                <w:highlight w:val="none"/>
              </w:rPr>
              <w:t>2</w:t>
            </w:r>
          </w:p>
        </w:tc>
        <w:tc>
          <w:tcPr>
            <w:tcW w:w="3870" w:type="dxa"/>
          </w:tcPr>
          <w:p>
            <w:pPr>
              <w:wordWrap w:val="0"/>
              <w:spacing w:line="360" w:lineRule="auto"/>
              <w:rPr>
                <w:rFonts w:ascii="仿宋" w:hAnsi="仿宋" w:eastAsia="仿宋" w:cs="仿宋"/>
                <w:sz w:val="24"/>
                <w:highlight w:val="none"/>
              </w:rPr>
            </w:pPr>
            <w:r>
              <w:rPr>
                <w:rFonts w:hint="eastAsia" w:ascii="仿宋" w:hAnsi="仿宋" w:eastAsia="仿宋" w:cs="仿宋"/>
                <w:sz w:val="24"/>
                <w:highlight w:val="none"/>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pPr>
              <w:wordWrap w:val="0"/>
              <w:rPr>
                <w:rFonts w:ascii="仿宋" w:hAnsi="仿宋" w:eastAsia="仿宋" w:cs="仿宋"/>
                <w:sz w:val="24"/>
                <w:highlight w:val="none"/>
              </w:rPr>
            </w:pPr>
            <w:r>
              <w:rPr>
                <w:rFonts w:hint="eastAsia" w:ascii="仿宋" w:hAnsi="仿宋" w:eastAsia="仿宋" w:cs="仿宋"/>
                <w:sz w:val="24"/>
                <w:highlight w:val="none"/>
              </w:rPr>
              <w:t>节能产品认证证书</w:t>
            </w:r>
            <w:r>
              <w:rPr>
                <w:rFonts w:hint="eastAsia" w:ascii="仿宋" w:hAnsi="仿宋" w:eastAsia="仿宋" w:cs="仿宋"/>
                <w:sz w:val="24"/>
                <w:highlight w:val="none"/>
                <w:u w:val="single"/>
              </w:rPr>
              <w:t>（本项目拟采购的 / 属于政府强制采购的节能产品品目清单范围的，需提供认证证书）</w:t>
            </w:r>
          </w:p>
        </w:tc>
        <w:tc>
          <w:tcPr>
            <w:tcW w:w="1761" w:type="dxa"/>
          </w:tcPr>
          <w:p>
            <w:pPr>
              <w:wordWrap w:val="0"/>
              <w:jc w:val="center"/>
              <w:rPr>
                <w:rFonts w:ascii="仿宋" w:hAnsi="仿宋" w:eastAsia="仿宋" w:cs="仿宋"/>
                <w:sz w:val="24"/>
                <w:highlight w:val="none"/>
              </w:rPr>
            </w:pPr>
          </w:p>
          <w:p>
            <w:pPr>
              <w:wordWrap w:val="0"/>
              <w:jc w:val="center"/>
              <w:rPr>
                <w:rFonts w:ascii="仿宋" w:hAnsi="仿宋" w:eastAsia="仿宋" w:cs="仿宋"/>
                <w:sz w:val="24"/>
                <w:highlight w:val="none"/>
              </w:rPr>
            </w:pPr>
          </w:p>
          <w:p>
            <w:pPr>
              <w:wordWrap w:val="0"/>
              <w:jc w:val="center"/>
              <w:rPr>
                <w:rFonts w:ascii="仿宋" w:hAnsi="仿宋" w:eastAsia="仿宋" w:cs="仿宋"/>
                <w:sz w:val="24"/>
                <w:highlight w:val="none"/>
              </w:rPr>
            </w:pPr>
            <w:r>
              <w:rPr>
                <w:rFonts w:hint="eastAsia" w:ascii="仿宋" w:hAnsi="仿宋" w:eastAsia="仿宋" w:cs="仿宋"/>
                <w:sz w:val="24"/>
                <w:highlight w:val="none"/>
              </w:rPr>
              <w:t>见投标文件</w:t>
            </w:r>
          </w:p>
          <w:p>
            <w:pPr>
              <w:pStyle w:val="3"/>
              <w:keepNext w:val="0"/>
              <w:keepLines w:val="0"/>
              <w:wordWrap w:val="0"/>
              <w:jc w:val="center"/>
              <w:rPr>
                <w:rFonts w:ascii="仿宋" w:eastAsia="仿宋" w:cs="仿宋"/>
                <w:highlight w:val="none"/>
                <w:lang w:val="en-US"/>
              </w:rPr>
            </w:pPr>
            <w:r>
              <w:rPr>
                <w:rFonts w:hint="eastAsia" w:ascii="仿宋" w:eastAsia="仿宋" w:cs="仿宋"/>
                <w:b w:val="0"/>
                <w:bCs w:val="0"/>
                <w:sz w:val="24"/>
                <w:szCs w:val="24"/>
                <w:highlight w:val="none"/>
                <w:lang w:val="en-US"/>
              </w:rPr>
              <w:t>第</w:t>
            </w:r>
            <w:r>
              <w:rPr>
                <w:rFonts w:hint="eastAsia" w:asci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rPr>
                <w:rFonts w:ascii="仿宋" w:hAnsi="仿宋" w:eastAsia="仿宋" w:cs="仿宋"/>
                <w:sz w:val="24"/>
                <w:highlight w:val="none"/>
              </w:rPr>
            </w:pPr>
            <w:r>
              <w:rPr>
                <w:rFonts w:hint="eastAsia" w:ascii="仿宋" w:hAnsi="仿宋" w:eastAsia="仿宋" w:cs="仿宋"/>
                <w:sz w:val="24"/>
                <w:highlight w:val="none"/>
              </w:rPr>
              <w:t>3</w:t>
            </w:r>
          </w:p>
        </w:tc>
        <w:tc>
          <w:tcPr>
            <w:tcW w:w="3870" w:type="dxa"/>
          </w:tcPr>
          <w:p>
            <w:pPr>
              <w:wordWrap w:val="0"/>
              <w:spacing w:line="360" w:lineRule="auto"/>
              <w:rPr>
                <w:rFonts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3329" w:type="dxa"/>
            <w:vAlign w:val="center"/>
          </w:tcPr>
          <w:p>
            <w:pPr>
              <w:wordWrap w:val="0"/>
              <w:rPr>
                <w:rFonts w:ascii="仿宋" w:hAnsi="仿宋" w:eastAsia="仿宋" w:cs="仿宋"/>
                <w:sz w:val="24"/>
                <w:highlight w:val="none"/>
              </w:rPr>
            </w:pPr>
            <w:r>
              <w:rPr>
                <w:rFonts w:hint="eastAsia" w:ascii="仿宋" w:hAnsi="仿宋" w:eastAsia="仿宋" w:cs="仿宋"/>
                <w:sz w:val="24"/>
                <w:highlight w:val="none"/>
              </w:rPr>
              <w:t>投标函</w:t>
            </w:r>
          </w:p>
        </w:tc>
        <w:tc>
          <w:tcPr>
            <w:tcW w:w="1761" w:type="dxa"/>
          </w:tcPr>
          <w:p>
            <w:pPr>
              <w:wordWrap w:val="0"/>
              <w:jc w:val="center"/>
              <w:rPr>
                <w:rFonts w:ascii="仿宋" w:hAnsi="仿宋" w:eastAsia="仿宋" w:cs="仿宋"/>
                <w:sz w:val="24"/>
                <w:highlight w:val="none"/>
              </w:rPr>
            </w:pPr>
            <w:r>
              <w:rPr>
                <w:rFonts w:hint="eastAsia" w:ascii="仿宋" w:hAnsi="仿宋" w:eastAsia="仿宋" w:cs="仿宋"/>
                <w:sz w:val="24"/>
                <w:highlight w:val="none"/>
              </w:rPr>
              <w:t>见投标文件</w:t>
            </w:r>
          </w:p>
          <w:p>
            <w:pPr>
              <w:wordWrap w:val="0"/>
              <w:jc w:val="center"/>
              <w:rPr>
                <w:rFonts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rPr>
                <w:rFonts w:ascii="仿宋" w:hAnsi="仿宋" w:eastAsia="仿宋" w:cs="仿宋"/>
                <w:sz w:val="24"/>
                <w:highlight w:val="none"/>
              </w:rPr>
            </w:pPr>
            <w:r>
              <w:rPr>
                <w:rFonts w:hint="eastAsia" w:ascii="仿宋" w:hAnsi="仿宋" w:eastAsia="仿宋" w:cs="仿宋"/>
                <w:sz w:val="24"/>
                <w:highlight w:val="none"/>
              </w:rPr>
              <w:t>4</w:t>
            </w:r>
          </w:p>
        </w:tc>
        <w:tc>
          <w:tcPr>
            <w:tcW w:w="3870" w:type="dxa"/>
          </w:tcPr>
          <w:p>
            <w:pPr>
              <w:wordWrap w:val="0"/>
              <w:spacing w:line="360" w:lineRule="auto"/>
              <w:rPr>
                <w:rFonts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3329" w:type="dxa"/>
            <w:vAlign w:val="center"/>
          </w:tcPr>
          <w:p>
            <w:pPr>
              <w:wordWrap w:val="0"/>
              <w:rPr>
                <w:rFonts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系指实质性要求条款，在商务技术偏离表中逐条填写响应情况）</w:t>
            </w:r>
          </w:p>
        </w:tc>
        <w:tc>
          <w:tcPr>
            <w:tcW w:w="1761" w:type="dxa"/>
          </w:tcPr>
          <w:p>
            <w:pPr>
              <w:wordWrap w:val="0"/>
              <w:jc w:val="center"/>
              <w:rPr>
                <w:rFonts w:ascii="仿宋" w:hAnsi="仿宋" w:eastAsia="仿宋" w:cs="仿宋"/>
                <w:sz w:val="24"/>
                <w:highlight w:val="none"/>
              </w:rPr>
            </w:pPr>
            <w:r>
              <w:rPr>
                <w:rFonts w:hint="eastAsia" w:ascii="仿宋" w:hAnsi="仿宋" w:eastAsia="仿宋" w:cs="仿宋"/>
                <w:sz w:val="24"/>
                <w:highlight w:val="none"/>
              </w:rPr>
              <w:t>见投标文件</w:t>
            </w:r>
          </w:p>
          <w:p>
            <w:pPr>
              <w:wordWrap w:val="0"/>
              <w:jc w:val="center"/>
              <w:rPr>
                <w:rFonts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pPr>
        <w:wordWrap w:val="0"/>
        <w:jc w:val="center"/>
        <w:rPr>
          <w:rFonts w:ascii="仿宋" w:hAnsi="仿宋" w:eastAsia="仿宋" w:cs="仿宋"/>
          <w:b/>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kern w:val="0"/>
          <w:sz w:val="32"/>
          <w:szCs w:val="32"/>
          <w:highlight w:val="none"/>
        </w:rPr>
        <w:t xml:space="preserve"> </w:t>
      </w:r>
    </w:p>
    <w:p>
      <w:pPr>
        <w:wordWrap w:val="0"/>
        <w:jc w:val="center"/>
        <w:outlineLvl w:val="2"/>
        <w:rPr>
          <w:rFonts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pPr>
        <w:wordWrap w:val="0"/>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详细评审索引</w:t>
      </w:r>
    </w:p>
    <w:p>
      <w:pPr>
        <w:numPr>
          <w:ilvl w:val="255"/>
          <w:numId w:val="0"/>
        </w:numPr>
        <w:wordWrap w:val="0"/>
        <w:snapToGrid w:val="0"/>
        <w:spacing w:line="360" w:lineRule="auto"/>
        <w:ind w:firstLine="241" w:firstLineChars="100"/>
        <w:jc w:val="left"/>
        <w:rPr>
          <w:rFonts w:ascii="仿宋" w:hAnsi="仿宋" w:eastAsia="仿宋" w:cs="仿宋"/>
          <w:b/>
          <w:sz w:val="24"/>
          <w:highlight w:val="none"/>
        </w:rPr>
      </w:pPr>
      <w:r>
        <w:rPr>
          <w:rFonts w:hint="eastAsia" w:ascii="仿宋" w:hAnsi="仿宋" w:eastAsia="仿宋" w:cs="仿宋"/>
          <w:b/>
          <w:sz w:val="24"/>
          <w:highlight w:val="none"/>
        </w:rPr>
        <w:t>（一）资信部分</w:t>
      </w:r>
    </w:p>
    <w:p>
      <w:pPr>
        <w:numPr>
          <w:ilvl w:val="255"/>
          <w:numId w:val="0"/>
        </w:numPr>
        <w:wordWrap w:val="0"/>
        <w:snapToGrid w:val="0"/>
        <w:spacing w:line="360" w:lineRule="auto"/>
        <w:ind w:firstLine="481"/>
        <w:jc w:val="left"/>
        <w:rPr>
          <w:rFonts w:ascii="仿宋" w:hAnsi="仿宋" w:eastAsia="仿宋" w:cs="仿宋"/>
          <w:b/>
          <w:sz w:val="24"/>
          <w:highlight w:val="none"/>
        </w:rPr>
      </w:pPr>
      <w:r>
        <w:rPr>
          <w:rFonts w:hint="eastAsia" w:ascii="仿宋" w:hAnsi="仿宋" w:eastAsia="仿宋" w:cs="仿宋"/>
          <w:b/>
          <w:sz w:val="24"/>
          <w:highlight w:val="none"/>
        </w:rPr>
        <w:t>1.单位介绍；</w:t>
      </w:r>
    </w:p>
    <w:p>
      <w:pPr>
        <w:numPr>
          <w:ilvl w:val="255"/>
          <w:numId w:val="0"/>
        </w:numPr>
        <w:wordWrap w:val="0"/>
        <w:snapToGrid w:val="0"/>
        <w:spacing w:line="360" w:lineRule="auto"/>
        <w:ind w:firstLine="481"/>
        <w:jc w:val="left"/>
        <w:rPr>
          <w:rFonts w:ascii="仿宋" w:hAnsi="仿宋" w:eastAsia="仿宋" w:cs="仿宋"/>
          <w:b/>
          <w:sz w:val="24"/>
          <w:highlight w:val="none"/>
        </w:rPr>
      </w:pPr>
      <w:r>
        <w:rPr>
          <w:rFonts w:hint="eastAsia" w:ascii="仿宋" w:hAnsi="仿宋" w:eastAsia="仿宋" w:cs="仿宋"/>
          <w:b/>
          <w:sz w:val="24"/>
          <w:highlight w:val="none"/>
        </w:rPr>
        <w:t>2.资格、资质、获得的荣誉等证明文件（如有）；</w:t>
      </w:r>
    </w:p>
    <w:p>
      <w:pPr>
        <w:numPr>
          <w:ilvl w:val="255"/>
          <w:numId w:val="0"/>
        </w:numPr>
        <w:wordWrap w:val="0"/>
        <w:snapToGrid w:val="0"/>
        <w:spacing w:line="360" w:lineRule="auto"/>
        <w:ind w:firstLine="481"/>
        <w:jc w:val="left"/>
        <w:rPr>
          <w:rFonts w:ascii="仿宋" w:hAnsi="仿宋" w:eastAsia="仿宋" w:cs="仿宋"/>
          <w:b/>
          <w:sz w:val="24"/>
          <w:highlight w:val="none"/>
        </w:rPr>
      </w:pPr>
      <w:r>
        <w:rPr>
          <w:rFonts w:hint="eastAsia" w:ascii="仿宋" w:hAnsi="仿宋" w:eastAsia="仿宋" w:cs="仿宋"/>
          <w:b/>
          <w:sz w:val="24"/>
          <w:highlight w:val="none"/>
        </w:rPr>
        <w:t>3.商务偏离表；</w:t>
      </w:r>
    </w:p>
    <w:p>
      <w:pPr>
        <w:numPr>
          <w:ilvl w:val="255"/>
          <w:numId w:val="0"/>
        </w:numPr>
        <w:wordWrap w:val="0"/>
        <w:snapToGrid w:val="0"/>
        <w:spacing w:line="360" w:lineRule="auto"/>
        <w:ind w:firstLine="481"/>
        <w:jc w:val="left"/>
        <w:rPr>
          <w:rFonts w:ascii="仿宋" w:hAnsi="仿宋" w:eastAsia="仿宋" w:cs="仿宋"/>
          <w:b/>
          <w:sz w:val="24"/>
          <w:highlight w:val="none"/>
        </w:rPr>
      </w:pPr>
      <w:r>
        <w:rPr>
          <w:rFonts w:hint="eastAsia" w:ascii="仿宋" w:hAnsi="仿宋" w:eastAsia="仿宋" w:cs="仿宋"/>
          <w:b/>
          <w:sz w:val="24"/>
          <w:highlight w:val="none"/>
        </w:rPr>
        <w:t>4.首台套产品的相关证明材料（如有）；</w:t>
      </w:r>
    </w:p>
    <w:p>
      <w:pPr>
        <w:numPr>
          <w:ilvl w:val="255"/>
          <w:numId w:val="0"/>
        </w:numPr>
        <w:wordWrap w:val="0"/>
        <w:snapToGrid w:val="0"/>
        <w:spacing w:line="360" w:lineRule="auto"/>
        <w:ind w:firstLine="481"/>
        <w:jc w:val="left"/>
        <w:rPr>
          <w:rFonts w:ascii="仿宋" w:hAnsi="仿宋" w:eastAsia="仿宋" w:cs="仿宋"/>
          <w:b/>
          <w:sz w:val="24"/>
          <w:highlight w:val="none"/>
        </w:rPr>
      </w:pPr>
      <w:r>
        <w:rPr>
          <w:rFonts w:hint="eastAsia" w:ascii="仿宋" w:hAnsi="仿宋" w:eastAsia="仿宋" w:cs="仿宋"/>
          <w:b/>
          <w:sz w:val="24"/>
          <w:highlight w:val="none"/>
        </w:rPr>
        <w:t>5.投标人认为需要提供的其他资料。</w:t>
      </w:r>
    </w:p>
    <w:p>
      <w:pPr>
        <w:numPr>
          <w:ilvl w:val="255"/>
          <w:numId w:val="0"/>
        </w:numPr>
        <w:wordWrap w:val="0"/>
        <w:snapToGrid w:val="0"/>
        <w:spacing w:line="360" w:lineRule="auto"/>
        <w:ind w:firstLine="241" w:firstLineChars="100"/>
        <w:jc w:val="left"/>
        <w:rPr>
          <w:rFonts w:ascii="仿宋" w:hAnsi="仿宋" w:eastAsia="仿宋" w:cs="仿宋"/>
          <w:b/>
          <w:sz w:val="24"/>
          <w:highlight w:val="none"/>
        </w:rPr>
      </w:pPr>
      <w:r>
        <w:rPr>
          <w:rFonts w:hint="eastAsia" w:ascii="仿宋" w:hAnsi="仿宋" w:eastAsia="仿宋" w:cs="仿宋"/>
          <w:b/>
          <w:sz w:val="24"/>
          <w:highlight w:val="none"/>
        </w:rPr>
        <w:t>（二）技术部分</w:t>
      </w:r>
    </w:p>
    <w:p>
      <w:pPr>
        <w:wordWrap w:val="0"/>
        <w:snapToGrid w:val="0"/>
        <w:spacing w:line="360" w:lineRule="auto"/>
        <w:ind w:firstLine="482" w:firstLineChars="200"/>
        <w:jc w:val="left"/>
        <w:rPr>
          <w:rFonts w:ascii="仿宋" w:hAnsi="仿宋" w:eastAsia="仿宋" w:cs="仿宋"/>
          <w:b/>
          <w:sz w:val="24"/>
          <w:highlight w:val="none"/>
        </w:rPr>
      </w:pPr>
      <w:r>
        <w:rPr>
          <w:rFonts w:ascii="仿宋" w:hAnsi="仿宋" w:eastAsia="仿宋" w:cs="仿宋"/>
          <w:b/>
          <w:sz w:val="24"/>
          <w:highlight w:val="none"/>
        </w:rPr>
        <w:t>1．</w:t>
      </w:r>
      <w:r>
        <w:rPr>
          <w:rFonts w:hint="eastAsia" w:ascii="仿宋" w:hAnsi="仿宋" w:eastAsia="仿宋" w:cs="仿宋"/>
          <w:b/>
          <w:sz w:val="24"/>
          <w:highlight w:val="none"/>
        </w:rPr>
        <w:t>设备配备情况一览表及设备介绍；</w:t>
      </w:r>
    </w:p>
    <w:p>
      <w:pPr>
        <w:wordWrap w:val="0"/>
        <w:snapToGrid w:val="0"/>
        <w:spacing w:line="360" w:lineRule="auto"/>
        <w:ind w:firstLine="482" w:firstLineChars="200"/>
        <w:jc w:val="left"/>
        <w:rPr>
          <w:rFonts w:ascii="仿宋" w:hAnsi="仿宋" w:eastAsia="仿宋" w:cs="仿宋"/>
          <w:b/>
          <w:sz w:val="24"/>
          <w:highlight w:val="none"/>
        </w:rPr>
      </w:pPr>
      <w:r>
        <w:rPr>
          <w:rFonts w:ascii="仿宋" w:hAnsi="仿宋" w:eastAsia="仿宋" w:cs="仿宋"/>
          <w:b/>
          <w:sz w:val="24"/>
          <w:highlight w:val="none"/>
        </w:rPr>
        <w:t>2．</w:t>
      </w:r>
      <w:r>
        <w:rPr>
          <w:rFonts w:hint="eastAsia" w:ascii="仿宋" w:hAnsi="仿宋" w:eastAsia="仿宋" w:cs="仿宋"/>
          <w:b/>
          <w:sz w:val="24"/>
          <w:highlight w:val="none"/>
        </w:rPr>
        <w:t>技术偏离表；</w:t>
      </w:r>
    </w:p>
    <w:p>
      <w:pPr>
        <w:wordWrap w:val="0"/>
        <w:snapToGrid w:val="0"/>
        <w:spacing w:line="360" w:lineRule="auto"/>
        <w:ind w:firstLine="482" w:firstLineChars="200"/>
        <w:jc w:val="left"/>
        <w:rPr>
          <w:rFonts w:ascii="仿宋" w:hAnsi="仿宋" w:eastAsia="仿宋" w:cs="仿宋"/>
          <w:b/>
          <w:sz w:val="24"/>
          <w:highlight w:val="none"/>
        </w:rPr>
      </w:pPr>
      <w:r>
        <w:rPr>
          <w:rFonts w:ascii="仿宋" w:hAnsi="仿宋" w:eastAsia="仿宋" w:cs="仿宋"/>
          <w:b/>
          <w:sz w:val="24"/>
          <w:highlight w:val="none"/>
        </w:rPr>
        <w:t>3．</w:t>
      </w:r>
      <w:r>
        <w:rPr>
          <w:rFonts w:hint="eastAsia" w:ascii="仿宋" w:hAnsi="仿宋" w:eastAsia="仿宋" w:cs="仿宋"/>
          <w:b/>
          <w:sz w:val="24"/>
          <w:highlight w:val="none"/>
        </w:rPr>
        <w:t>节能产品、环境标志产品的相关证明材料（如有）；</w:t>
      </w:r>
    </w:p>
    <w:p>
      <w:pPr>
        <w:pStyle w:val="24"/>
        <w:ind w:firstLine="482" w:firstLineChars="200"/>
        <w:rPr>
          <w:highlight w:val="none"/>
          <w:lang w:val="en-US"/>
        </w:rPr>
      </w:pPr>
      <w:r>
        <w:rPr>
          <w:rFonts w:hint="eastAsia" w:ascii="仿宋" w:hAnsi="仿宋" w:eastAsia="仿宋" w:cs="仿宋"/>
          <w:b/>
          <w:highlight w:val="none"/>
          <w:lang w:val="en-US"/>
        </w:rPr>
        <w:t>4. 设计方案；</w:t>
      </w:r>
    </w:p>
    <w:p>
      <w:pPr>
        <w:wordWrap w:val="0"/>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5</w:t>
      </w:r>
      <w:r>
        <w:rPr>
          <w:rFonts w:ascii="仿宋" w:hAnsi="仿宋" w:eastAsia="仿宋" w:cs="仿宋"/>
          <w:b/>
          <w:sz w:val="24"/>
          <w:highlight w:val="none"/>
        </w:rPr>
        <w:t>．</w:t>
      </w:r>
      <w:r>
        <w:rPr>
          <w:rFonts w:hint="eastAsia" w:ascii="仿宋" w:hAnsi="仿宋" w:eastAsia="仿宋" w:cs="仿宋"/>
          <w:b/>
          <w:sz w:val="24"/>
          <w:highlight w:val="none"/>
        </w:rPr>
        <w:t>项目实施组织方案；</w:t>
      </w:r>
    </w:p>
    <w:p>
      <w:pPr>
        <w:wordWrap w:val="0"/>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6</w:t>
      </w:r>
      <w:r>
        <w:rPr>
          <w:rFonts w:ascii="仿宋" w:hAnsi="仿宋" w:eastAsia="仿宋" w:cs="仿宋"/>
          <w:b/>
          <w:sz w:val="24"/>
          <w:highlight w:val="none"/>
        </w:rPr>
        <w:t>．</w:t>
      </w:r>
      <w:r>
        <w:rPr>
          <w:rFonts w:hint="eastAsia" w:ascii="仿宋" w:hAnsi="仿宋" w:eastAsia="仿宋" w:cs="仿宋"/>
          <w:b/>
          <w:sz w:val="24"/>
          <w:highlight w:val="none"/>
        </w:rPr>
        <w:t>调试、培训、验收等服务方案；</w:t>
      </w:r>
    </w:p>
    <w:p>
      <w:pPr>
        <w:wordWrap w:val="0"/>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7</w:t>
      </w:r>
      <w:r>
        <w:rPr>
          <w:rFonts w:ascii="仿宋" w:hAnsi="仿宋" w:eastAsia="仿宋" w:cs="仿宋"/>
          <w:b/>
          <w:sz w:val="24"/>
          <w:highlight w:val="none"/>
        </w:rPr>
        <w:t>．</w:t>
      </w:r>
      <w:r>
        <w:rPr>
          <w:rFonts w:hint="eastAsia" w:ascii="仿宋" w:hAnsi="仿宋" w:eastAsia="仿宋" w:cs="仿宋"/>
          <w:b/>
          <w:sz w:val="24"/>
          <w:highlight w:val="none"/>
        </w:rPr>
        <w:t>投标人为完成本项目组建的项目组人员名单，每个专业人员的情况应该明确表示，在提交的标书中安排的人员，需提供项目组成员的实施能力证明材料及相关证书；</w:t>
      </w:r>
    </w:p>
    <w:p>
      <w:pPr>
        <w:wordWrap w:val="0"/>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8</w:t>
      </w:r>
      <w:r>
        <w:rPr>
          <w:rFonts w:ascii="仿宋" w:hAnsi="仿宋" w:eastAsia="仿宋" w:cs="仿宋"/>
          <w:b/>
          <w:sz w:val="24"/>
          <w:highlight w:val="none"/>
        </w:rPr>
        <w:t>．</w:t>
      </w:r>
      <w:r>
        <w:rPr>
          <w:rFonts w:hint="eastAsia" w:ascii="仿宋" w:hAnsi="仿宋" w:eastAsia="仿宋" w:cs="仿宋"/>
          <w:b/>
          <w:sz w:val="24"/>
          <w:highlight w:val="none"/>
        </w:rPr>
        <w:t>售后服务方案、售后服务承诺、备品备件情况；</w:t>
      </w:r>
    </w:p>
    <w:p>
      <w:pPr>
        <w:wordWrap w:val="0"/>
        <w:snapToGrid w:val="0"/>
        <w:spacing w:line="360" w:lineRule="auto"/>
        <w:ind w:firstLine="482" w:firstLineChars="200"/>
        <w:jc w:val="left"/>
        <w:rPr>
          <w:rFonts w:ascii="仿宋" w:hAnsi="仿宋" w:eastAsia="仿宋" w:cs="仿宋"/>
          <w:b/>
          <w:kern w:val="0"/>
          <w:sz w:val="24"/>
          <w:highlight w:val="none"/>
        </w:rPr>
      </w:pPr>
      <w:r>
        <w:rPr>
          <w:rFonts w:hint="eastAsia" w:ascii="仿宋" w:hAnsi="仿宋" w:eastAsia="仿宋" w:cs="仿宋"/>
          <w:b/>
          <w:kern w:val="0"/>
          <w:sz w:val="24"/>
          <w:highlight w:val="none"/>
        </w:rPr>
        <w:t>9</w:t>
      </w:r>
      <w:r>
        <w:rPr>
          <w:rFonts w:ascii="仿宋" w:hAnsi="仿宋" w:eastAsia="仿宋" w:cs="仿宋"/>
          <w:b/>
          <w:kern w:val="0"/>
          <w:sz w:val="24"/>
          <w:highlight w:val="none"/>
        </w:rPr>
        <w:t>．</w:t>
      </w:r>
      <w:r>
        <w:rPr>
          <w:rFonts w:hint="eastAsia" w:ascii="仿宋" w:hAnsi="仿宋" w:eastAsia="仿宋" w:cs="仿宋"/>
          <w:b/>
          <w:sz w:val="24"/>
          <w:highlight w:val="none"/>
        </w:rPr>
        <w:t>投标人认为需要提供的其他资料。</w:t>
      </w:r>
    </w:p>
    <w:p>
      <w:pPr>
        <w:numPr>
          <w:ilvl w:val="255"/>
          <w:numId w:val="0"/>
        </w:numPr>
        <w:wordWrap w:val="0"/>
        <w:snapToGrid w:val="0"/>
        <w:spacing w:line="360" w:lineRule="auto"/>
        <w:ind w:firstLine="481"/>
        <w:jc w:val="left"/>
        <w:rPr>
          <w:rFonts w:ascii="仿宋" w:hAnsi="仿宋" w:eastAsia="仿宋" w:cs="仿宋"/>
          <w:b/>
          <w:sz w:val="24"/>
          <w:highlight w:val="none"/>
        </w:rPr>
      </w:pPr>
      <w:r>
        <w:rPr>
          <w:rFonts w:hint="eastAsia" w:ascii="仿宋" w:hAnsi="仿宋" w:eastAsia="仿宋" w:cs="仿宋"/>
          <w:b/>
          <w:sz w:val="24"/>
          <w:highlight w:val="none"/>
        </w:rPr>
        <w:t xml:space="preserve">   </w:t>
      </w: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rPr>
          <w:rFonts w:ascii="仿宋" w:hAnsi="仿宋" w:eastAsia="仿宋" w:cs="仿宋"/>
          <w:b/>
          <w:kern w:val="0"/>
          <w:sz w:val="32"/>
          <w:szCs w:val="32"/>
          <w:highlight w:val="none"/>
        </w:rPr>
        <w:sectPr>
          <w:pgSz w:w="11905" w:h="16838"/>
          <w:pgMar w:top="652" w:right="1417" w:bottom="680" w:left="1417" w:header="539" w:footer="425" w:gutter="0"/>
          <w:cols w:space="0" w:num="1"/>
          <w:titlePg/>
          <w:docGrid w:linePitch="312" w:charSpace="0"/>
        </w:sectPr>
      </w:pPr>
    </w:p>
    <w:p>
      <w:pPr>
        <w:wordWrap w:val="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附：</w:t>
      </w:r>
    </w:p>
    <w:p>
      <w:pPr>
        <w:wordWrap w:val="0"/>
        <w:adjustRightInd/>
        <w:spacing w:line="360" w:lineRule="auto"/>
        <w:jc w:val="center"/>
        <w:outlineLvl w:val="4"/>
        <w:rPr>
          <w:rFonts w:ascii="仿宋" w:hAnsi="仿宋" w:eastAsia="仿宋" w:cs="仿宋"/>
          <w:b/>
          <w:bCs/>
          <w:sz w:val="32"/>
          <w:szCs w:val="32"/>
          <w:highlight w:val="none"/>
        </w:rPr>
      </w:pPr>
      <w:r>
        <w:rPr>
          <w:rFonts w:hint="eastAsia" w:ascii="仿宋" w:hAnsi="仿宋" w:eastAsia="仿宋" w:cs="仿宋"/>
          <w:b/>
          <w:bCs/>
          <w:sz w:val="32"/>
          <w:szCs w:val="32"/>
          <w:highlight w:val="none"/>
        </w:rPr>
        <w:t>详细评审索引</w:t>
      </w:r>
    </w:p>
    <w:tbl>
      <w:tblPr>
        <w:tblStyle w:val="62"/>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5356" w:type="dxa"/>
            <w:vAlign w:val="center"/>
          </w:tcPr>
          <w:p>
            <w:pPr>
              <w:wordWrap w:val="0"/>
              <w:snapToGrid w:val="0"/>
              <w:jc w:val="center"/>
              <w:rPr>
                <w:rFonts w:ascii="仿宋" w:hAnsi="仿宋" w:eastAsia="仿宋" w:cs="仿宋"/>
                <w:b/>
                <w:sz w:val="24"/>
                <w:highlight w:val="none"/>
              </w:rPr>
            </w:pPr>
            <w:r>
              <w:rPr>
                <w:rFonts w:hint="eastAsia" w:ascii="仿宋" w:hAnsi="仿宋" w:eastAsia="仿宋" w:cs="仿宋"/>
                <w:b/>
                <w:sz w:val="24"/>
                <w:highlight w:val="none"/>
              </w:rPr>
              <w:t>评分/评审细则</w:t>
            </w:r>
          </w:p>
        </w:tc>
        <w:tc>
          <w:tcPr>
            <w:tcW w:w="1276" w:type="dxa"/>
            <w:vAlign w:val="center"/>
          </w:tcPr>
          <w:p>
            <w:pPr>
              <w:wordWrap w:val="0"/>
              <w:snapToGrid w:val="0"/>
              <w:jc w:val="center"/>
              <w:rPr>
                <w:rFonts w:ascii="仿宋" w:hAnsi="仿宋" w:eastAsia="仿宋" w:cs="仿宋"/>
                <w:b/>
                <w:sz w:val="24"/>
                <w:highlight w:val="none"/>
              </w:rPr>
            </w:pPr>
            <w:r>
              <w:rPr>
                <w:rFonts w:hint="eastAsia" w:ascii="仿宋" w:hAnsi="仿宋" w:eastAsia="仿宋" w:cs="仿宋"/>
                <w:b/>
                <w:sz w:val="24"/>
                <w:highlight w:val="none"/>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sz w:val="24"/>
                <w:highlight w:val="none"/>
              </w:rPr>
            </w:pPr>
          </w:p>
        </w:tc>
        <w:tc>
          <w:tcPr>
            <w:tcW w:w="5356" w:type="dxa"/>
            <w:vAlign w:val="center"/>
          </w:tcPr>
          <w:p>
            <w:pPr>
              <w:wordWrap w:val="0"/>
              <w:snapToGrid w:val="0"/>
              <w:rPr>
                <w:rFonts w:ascii="仿宋" w:hAnsi="仿宋" w:eastAsia="仿宋" w:cs="仿宋"/>
                <w:sz w:val="24"/>
                <w:highlight w:val="none"/>
              </w:rPr>
            </w:pPr>
          </w:p>
        </w:tc>
        <w:tc>
          <w:tcPr>
            <w:tcW w:w="1276" w:type="dxa"/>
            <w:vAlign w:val="center"/>
          </w:tcPr>
          <w:p>
            <w:pPr>
              <w:wordWrap w:val="0"/>
              <w:snapToGrid w:val="0"/>
              <w:jc w:val="center"/>
              <w:rPr>
                <w:rFonts w:ascii="仿宋" w:hAnsi="仿宋" w:eastAsia="仿宋" w:cs="仿宋"/>
                <w:b/>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pPr>
              <w:wordWrap w:val="0"/>
              <w:snapToGrid w:val="0"/>
              <w:jc w:val="center"/>
              <w:rPr>
                <w:rFonts w:ascii="仿宋" w:hAnsi="仿宋" w:eastAsia="仿宋" w:cs="仿宋"/>
                <w:sz w:val="24"/>
                <w:highlight w:val="none"/>
              </w:rPr>
            </w:pPr>
          </w:p>
        </w:tc>
        <w:tc>
          <w:tcPr>
            <w:tcW w:w="5356" w:type="dxa"/>
            <w:vAlign w:val="center"/>
          </w:tcPr>
          <w:p>
            <w:pPr>
              <w:wordWrap w:val="0"/>
              <w:snapToGrid w:val="0"/>
              <w:rPr>
                <w:rFonts w:ascii="仿宋" w:hAnsi="仿宋" w:eastAsia="仿宋" w:cs="仿宋"/>
                <w:sz w:val="24"/>
                <w:highlight w:val="none"/>
              </w:rPr>
            </w:pPr>
          </w:p>
        </w:tc>
        <w:tc>
          <w:tcPr>
            <w:tcW w:w="1276" w:type="dxa"/>
            <w:vAlign w:val="center"/>
          </w:tcPr>
          <w:p>
            <w:pPr>
              <w:wordWrap w:val="0"/>
              <w:snapToGrid w:val="0"/>
              <w:jc w:val="center"/>
              <w:rPr>
                <w:rFonts w:ascii="仿宋" w:hAnsi="仿宋" w:eastAsia="仿宋" w:cs="仿宋"/>
                <w:b/>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sz w:val="24"/>
                <w:highlight w:val="none"/>
              </w:rPr>
            </w:pPr>
          </w:p>
        </w:tc>
        <w:tc>
          <w:tcPr>
            <w:tcW w:w="5356" w:type="dxa"/>
            <w:vAlign w:val="center"/>
          </w:tcPr>
          <w:p>
            <w:pPr>
              <w:wordWrap w:val="0"/>
              <w:snapToGrid w:val="0"/>
              <w:rPr>
                <w:rFonts w:ascii="仿宋" w:hAnsi="仿宋" w:eastAsia="仿宋" w:cs="仿宋"/>
                <w:sz w:val="24"/>
                <w:highlight w:val="none"/>
              </w:rPr>
            </w:pPr>
          </w:p>
        </w:tc>
        <w:tc>
          <w:tcPr>
            <w:tcW w:w="1276" w:type="dxa"/>
            <w:vAlign w:val="center"/>
          </w:tcPr>
          <w:p>
            <w:pPr>
              <w:wordWrap w:val="0"/>
              <w:snapToGrid w:val="0"/>
              <w:jc w:val="center"/>
              <w:rPr>
                <w:rFonts w:ascii="仿宋" w:hAnsi="仿宋" w:eastAsia="仿宋" w:cs="仿宋"/>
                <w:b/>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sz w:val="24"/>
                <w:highlight w:val="none"/>
              </w:rPr>
            </w:pPr>
          </w:p>
        </w:tc>
        <w:tc>
          <w:tcPr>
            <w:tcW w:w="5356" w:type="dxa"/>
            <w:vAlign w:val="center"/>
          </w:tcPr>
          <w:p>
            <w:pPr>
              <w:wordWrap w:val="0"/>
              <w:snapToGrid w:val="0"/>
              <w:rPr>
                <w:rFonts w:ascii="仿宋" w:hAnsi="仿宋" w:eastAsia="仿宋" w:cs="仿宋"/>
                <w:sz w:val="24"/>
                <w:highlight w:val="none"/>
              </w:rPr>
            </w:pPr>
          </w:p>
        </w:tc>
        <w:tc>
          <w:tcPr>
            <w:tcW w:w="1276" w:type="dxa"/>
            <w:vAlign w:val="center"/>
          </w:tcPr>
          <w:p>
            <w:pPr>
              <w:wordWrap w:val="0"/>
              <w:snapToGrid w:val="0"/>
              <w:jc w:val="center"/>
              <w:rPr>
                <w:rFonts w:ascii="仿宋" w:hAnsi="仿宋" w:eastAsia="仿宋" w:cs="仿宋"/>
                <w:b/>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sz w:val="24"/>
                <w:highlight w:val="none"/>
              </w:rPr>
            </w:pPr>
          </w:p>
        </w:tc>
        <w:tc>
          <w:tcPr>
            <w:tcW w:w="5356" w:type="dxa"/>
            <w:vAlign w:val="center"/>
          </w:tcPr>
          <w:p>
            <w:pPr>
              <w:wordWrap w:val="0"/>
              <w:snapToGrid w:val="0"/>
              <w:ind w:left="-2" w:leftChars="-1" w:firstLine="2"/>
              <w:rPr>
                <w:rFonts w:ascii="仿宋" w:hAnsi="仿宋" w:eastAsia="仿宋" w:cs="仿宋"/>
                <w:b/>
                <w:sz w:val="24"/>
                <w:highlight w:val="none"/>
              </w:rPr>
            </w:pPr>
          </w:p>
        </w:tc>
        <w:tc>
          <w:tcPr>
            <w:tcW w:w="1276" w:type="dxa"/>
            <w:vAlign w:val="center"/>
          </w:tcPr>
          <w:p>
            <w:pPr>
              <w:wordWrap w:val="0"/>
              <w:snapToGrid w:val="0"/>
              <w:jc w:val="center"/>
              <w:rPr>
                <w:rFonts w:ascii="仿宋" w:hAnsi="仿宋" w:eastAsia="仿宋" w:cs="仿宋"/>
                <w:b/>
                <w:sz w:val="24"/>
                <w:highlight w:val="none"/>
              </w:rPr>
            </w:pPr>
          </w:p>
        </w:tc>
      </w:tr>
    </w:tbl>
    <w:p>
      <w:pPr>
        <w:wordWrap w:val="0"/>
        <w:adjustRightInd/>
        <w:spacing w:line="440" w:lineRule="exact"/>
        <w:rPr>
          <w:rFonts w:ascii="仿宋" w:hAnsi="仿宋" w:eastAsia="仿宋" w:cs="仿宋"/>
          <w:highlight w:val="none"/>
        </w:rPr>
      </w:pPr>
      <w:r>
        <w:rPr>
          <w:rFonts w:hint="eastAsia" w:ascii="仿宋" w:hAnsi="仿宋" w:eastAsia="仿宋" w:cs="仿宋"/>
          <w:szCs w:val="21"/>
          <w:highlight w:val="none"/>
        </w:rPr>
        <w:t>注：供应商根据评审办法的“评审因素”条款一一对应填写本表。</w:t>
      </w:r>
    </w:p>
    <w:p>
      <w:pPr>
        <w:wordWrap w:val="0"/>
        <w:rPr>
          <w:rFonts w:ascii="仿宋" w:hAnsi="仿宋" w:eastAsia="仿宋" w:cs="仿宋"/>
          <w:b/>
          <w:kern w:val="0"/>
          <w:sz w:val="32"/>
          <w:szCs w:val="32"/>
          <w:highlight w:val="none"/>
        </w:rPr>
        <w:sectPr>
          <w:pgSz w:w="11905" w:h="16838"/>
          <w:pgMar w:top="652" w:right="1417" w:bottom="680" w:left="1417" w:header="539" w:footer="425" w:gutter="0"/>
          <w:cols w:space="0" w:num="1"/>
          <w:titlePg/>
          <w:docGrid w:linePitch="312" w:charSpace="0"/>
        </w:sectPr>
      </w:pPr>
    </w:p>
    <w:p>
      <w:pPr>
        <w:wordWrap w:val="0"/>
        <w:outlineLvl w:val="4"/>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rPr>
        <w:t>一</w:t>
      </w:r>
      <w:r>
        <w:rPr>
          <w:rFonts w:hint="eastAsia" w:ascii="仿宋" w:hAnsi="仿宋" w:eastAsia="仿宋" w:cs="仿宋"/>
          <w:b/>
          <w:kern w:val="0"/>
          <w:sz w:val="32"/>
          <w:szCs w:val="32"/>
          <w:highlight w:val="none"/>
          <w:lang w:val="zh-CN"/>
        </w:rPr>
        <w:t>）投标单位情况表</w:t>
      </w:r>
    </w:p>
    <w:p>
      <w:pPr>
        <w:wordWrap w:val="0"/>
        <w:rPr>
          <w:rFonts w:ascii="仿宋" w:hAnsi="仿宋" w:eastAsia="仿宋" w:cs="仿宋"/>
          <w:b/>
          <w:bCs/>
          <w:sz w:val="36"/>
          <w:szCs w:val="36"/>
          <w:highlight w:val="none"/>
        </w:rPr>
      </w:pPr>
    </w:p>
    <w:p>
      <w:pPr>
        <w:wordWrap w:val="0"/>
        <w:ind w:firstLine="3900" w:firstLineChars="1300"/>
        <w:rPr>
          <w:rFonts w:ascii="仿宋" w:hAnsi="仿宋" w:eastAsia="仿宋" w:cs="仿宋"/>
          <w:sz w:val="30"/>
          <w:szCs w:val="30"/>
          <w:highlight w:val="none"/>
        </w:rPr>
      </w:pPr>
      <w:r>
        <w:rPr>
          <w:rFonts w:hint="eastAsia" w:ascii="仿宋" w:hAnsi="仿宋" w:eastAsia="仿宋" w:cs="仿宋"/>
          <w:sz w:val="30"/>
          <w:szCs w:val="30"/>
          <w:highlight w:val="none"/>
        </w:rPr>
        <w:t>投标单位情况表</w:t>
      </w:r>
    </w:p>
    <w:tbl>
      <w:tblPr>
        <w:tblStyle w:val="62"/>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单位名称</w:t>
            </w:r>
          </w:p>
        </w:tc>
        <w:tc>
          <w:tcPr>
            <w:tcW w:w="3052" w:type="dxa"/>
            <w:vAlign w:val="center"/>
          </w:tcPr>
          <w:p>
            <w:pPr>
              <w:wordWrap w:val="0"/>
              <w:spacing w:line="360" w:lineRule="auto"/>
              <w:rPr>
                <w:rFonts w:ascii="仿宋" w:hAnsi="仿宋" w:eastAsia="仿宋" w:cs="仿宋"/>
                <w:szCs w:val="21"/>
                <w:highlight w:val="none"/>
              </w:rPr>
            </w:pPr>
          </w:p>
        </w:tc>
        <w:tc>
          <w:tcPr>
            <w:tcW w:w="1527" w:type="dxa"/>
            <w:gridSpan w:val="2"/>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注册资金</w:t>
            </w:r>
          </w:p>
        </w:tc>
        <w:tc>
          <w:tcPr>
            <w:tcW w:w="2104" w:type="dxa"/>
            <w:vAlign w:val="center"/>
          </w:tcPr>
          <w:p>
            <w:pPr>
              <w:wordWrap w:val="0"/>
              <w:spacing w:line="360" w:lineRule="auto"/>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单位详细地址</w:t>
            </w:r>
          </w:p>
        </w:tc>
        <w:tc>
          <w:tcPr>
            <w:tcW w:w="6683" w:type="dxa"/>
            <w:gridSpan w:val="4"/>
            <w:vAlign w:val="center"/>
          </w:tcPr>
          <w:p>
            <w:pPr>
              <w:wordWrap w:val="0"/>
              <w:spacing w:line="360" w:lineRule="auto"/>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营业执照注册号</w:t>
            </w:r>
          </w:p>
        </w:tc>
        <w:tc>
          <w:tcPr>
            <w:tcW w:w="6683" w:type="dxa"/>
            <w:gridSpan w:val="4"/>
            <w:vAlign w:val="center"/>
          </w:tcPr>
          <w:p>
            <w:pPr>
              <w:wordWrap w:val="0"/>
              <w:spacing w:line="360" w:lineRule="auto"/>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单位成立时间</w:t>
            </w:r>
          </w:p>
        </w:tc>
        <w:tc>
          <w:tcPr>
            <w:tcW w:w="3929" w:type="dxa"/>
            <w:gridSpan w:val="2"/>
            <w:vAlign w:val="center"/>
          </w:tcPr>
          <w:p>
            <w:pPr>
              <w:wordWrap w:val="0"/>
              <w:spacing w:line="360" w:lineRule="auto"/>
              <w:rPr>
                <w:rFonts w:ascii="仿宋" w:hAnsi="仿宋" w:eastAsia="仿宋" w:cs="仿宋"/>
                <w:szCs w:val="21"/>
                <w:highlight w:val="none"/>
              </w:rPr>
            </w:pPr>
          </w:p>
        </w:tc>
        <w:tc>
          <w:tcPr>
            <w:tcW w:w="2754" w:type="dxa"/>
            <w:gridSpan w:val="2"/>
            <w:vAlign w:val="center"/>
          </w:tcPr>
          <w:p>
            <w:pPr>
              <w:wordWrap w:val="0"/>
              <w:spacing w:line="360" w:lineRule="auto"/>
              <w:rPr>
                <w:rFonts w:ascii="仿宋" w:hAnsi="仿宋" w:eastAsia="仿宋" w:cs="仿宋"/>
                <w:b/>
                <w:szCs w:val="21"/>
                <w:highlight w:val="none"/>
              </w:rPr>
            </w:pPr>
            <w:r>
              <w:rPr>
                <w:rFonts w:hint="eastAsia" w:ascii="仿宋" w:hAnsi="仿宋" w:eastAsia="仿宋" w:cs="仿宋"/>
                <w:b/>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法定代表人</w:t>
            </w:r>
          </w:p>
        </w:tc>
        <w:tc>
          <w:tcPr>
            <w:tcW w:w="6683" w:type="dxa"/>
            <w:gridSpan w:val="4"/>
            <w:vAlign w:val="center"/>
          </w:tcPr>
          <w:p>
            <w:pPr>
              <w:wordWrap w:val="0"/>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主要负责人</w:t>
            </w:r>
          </w:p>
        </w:tc>
        <w:tc>
          <w:tcPr>
            <w:tcW w:w="6683" w:type="dxa"/>
            <w:gridSpan w:val="4"/>
            <w:vAlign w:val="center"/>
          </w:tcPr>
          <w:p>
            <w:pPr>
              <w:wordWrap w:val="0"/>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姓名：          职务：           职称：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职工人数</w:t>
            </w:r>
          </w:p>
        </w:tc>
        <w:tc>
          <w:tcPr>
            <w:tcW w:w="6683" w:type="dxa"/>
            <w:gridSpan w:val="4"/>
            <w:vAlign w:val="center"/>
          </w:tcPr>
          <w:p>
            <w:pPr>
              <w:wordWrap w:val="0"/>
              <w:spacing w:line="360" w:lineRule="auto"/>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具有中高级以上职称的人数</w:t>
            </w:r>
          </w:p>
        </w:tc>
        <w:tc>
          <w:tcPr>
            <w:tcW w:w="6683" w:type="dxa"/>
            <w:gridSpan w:val="4"/>
            <w:vAlign w:val="center"/>
          </w:tcPr>
          <w:p>
            <w:pPr>
              <w:wordWrap w:val="0"/>
              <w:spacing w:line="360" w:lineRule="auto"/>
              <w:rPr>
                <w:rFonts w:ascii="仿宋" w:hAnsi="仿宋" w:eastAsia="仿宋" w:cs="仿宋"/>
                <w:b/>
                <w:szCs w:val="21"/>
                <w:highlight w:val="none"/>
              </w:rPr>
            </w:pPr>
            <w:r>
              <w:rPr>
                <w:rFonts w:hint="eastAsia" w:ascii="仿宋" w:hAnsi="仿宋" w:eastAsia="仿宋" w:cs="仿宋"/>
                <w:b/>
                <w:szCs w:val="21"/>
                <w:highlight w:val="none"/>
              </w:rPr>
              <w:t>中级职称的人数:</w:t>
            </w:r>
          </w:p>
          <w:p>
            <w:pPr>
              <w:wordWrap w:val="0"/>
              <w:spacing w:line="360" w:lineRule="auto"/>
              <w:rPr>
                <w:rFonts w:ascii="仿宋" w:hAnsi="仿宋" w:eastAsia="仿宋" w:cs="仿宋"/>
                <w:szCs w:val="21"/>
                <w:highlight w:val="none"/>
              </w:rPr>
            </w:pPr>
            <w:r>
              <w:rPr>
                <w:rFonts w:hint="eastAsia" w:ascii="仿宋" w:hAnsi="仿宋" w:eastAsia="仿宋" w:cs="仿宋"/>
                <w:b/>
                <w:szCs w:val="21"/>
                <w:highlight w:val="none"/>
              </w:rPr>
              <w:t>高级及以上职称的人数：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2022年度、2023年度（若有）主营业务收入</w:t>
            </w:r>
          </w:p>
        </w:tc>
        <w:tc>
          <w:tcPr>
            <w:tcW w:w="6683" w:type="dxa"/>
            <w:gridSpan w:val="4"/>
            <w:vAlign w:val="center"/>
          </w:tcPr>
          <w:p>
            <w:pPr>
              <w:wordWrap w:val="0"/>
              <w:spacing w:line="360" w:lineRule="auto"/>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联系方式</w:t>
            </w:r>
          </w:p>
        </w:tc>
        <w:tc>
          <w:tcPr>
            <w:tcW w:w="6683" w:type="dxa"/>
            <w:gridSpan w:val="4"/>
            <w:vAlign w:val="center"/>
          </w:tcPr>
          <w:p>
            <w:pPr>
              <w:wordWrap w:val="0"/>
              <w:spacing w:line="360" w:lineRule="auto"/>
              <w:rPr>
                <w:rFonts w:ascii="仿宋" w:hAnsi="仿宋" w:eastAsia="仿宋" w:cs="仿宋"/>
                <w:szCs w:val="21"/>
                <w:highlight w:val="none"/>
              </w:rPr>
            </w:pPr>
            <w:r>
              <w:rPr>
                <w:rFonts w:hint="eastAsia" w:ascii="仿宋" w:hAnsi="仿宋" w:eastAsia="仿宋" w:cs="仿宋"/>
                <w:szCs w:val="21"/>
                <w:highlight w:val="none"/>
              </w:rPr>
              <w:t>地址：            邮编：           电话：</w:t>
            </w:r>
          </w:p>
          <w:p>
            <w:pPr>
              <w:wordWrap w:val="0"/>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开户银行</w:t>
            </w:r>
          </w:p>
        </w:tc>
        <w:tc>
          <w:tcPr>
            <w:tcW w:w="6683" w:type="dxa"/>
            <w:gridSpan w:val="4"/>
            <w:vAlign w:val="center"/>
          </w:tcPr>
          <w:p>
            <w:pPr>
              <w:wordWrap w:val="0"/>
              <w:spacing w:line="360" w:lineRule="auto"/>
              <w:rPr>
                <w:rFonts w:ascii="仿宋" w:hAnsi="仿宋" w:eastAsia="仿宋" w:cs="仿宋"/>
                <w:szCs w:val="21"/>
                <w:highlight w:val="none"/>
              </w:rPr>
            </w:pPr>
            <w:r>
              <w:rPr>
                <w:rFonts w:hint="eastAsia" w:ascii="仿宋" w:hAnsi="仿宋" w:eastAsia="仿宋" w:cs="仿宋"/>
                <w:szCs w:val="21"/>
                <w:highlight w:val="none"/>
              </w:rPr>
              <w:t>名称：</w:t>
            </w:r>
          </w:p>
          <w:p>
            <w:pPr>
              <w:wordWrap w:val="0"/>
              <w:spacing w:line="360" w:lineRule="auto"/>
              <w:rPr>
                <w:rFonts w:ascii="仿宋" w:hAnsi="仿宋" w:eastAsia="仿宋" w:cs="仿宋"/>
                <w:szCs w:val="21"/>
                <w:highlight w:val="none"/>
              </w:rPr>
            </w:pPr>
            <w:r>
              <w:rPr>
                <w:rFonts w:hint="eastAsia" w:ascii="仿宋" w:hAnsi="仿宋" w:eastAsia="仿宋" w:cs="仿宋"/>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单  位</w:t>
            </w:r>
          </w:p>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组  织</w:t>
            </w:r>
          </w:p>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机  构</w:t>
            </w:r>
          </w:p>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框  图</w:t>
            </w:r>
          </w:p>
        </w:tc>
        <w:tc>
          <w:tcPr>
            <w:tcW w:w="6683" w:type="dxa"/>
            <w:gridSpan w:val="4"/>
            <w:vAlign w:val="center"/>
          </w:tcPr>
          <w:p>
            <w:pPr>
              <w:wordWrap w:val="0"/>
              <w:spacing w:line="360" w:lineRule="auto"/>
              <w:jc w:val="center"/>
              <w:rPr>
                <w:rFonts w:ascii="仿宋" w:hAnsi="仿宋" w:eastAsia="仿宋" w:cs="仿宋"/>
                <w:szCs w:val="21"/>
                <w:highlight w:val="none"/>
              </w:rPr>
            </w:pPr>
          </w:p>
        </w:tc>
      </w:tr>
    </w:tbl>
    <w:p>
      <w:pPr>
        <w:wordWrap w:val="0"/>
        <w:spacing w:line="360" w:lineRule="auto"/>
        <w:rPr>
          <w:rFonts w:ascii="仿宋" w:hAnsi="仿宋" w:eastAsia="仿宋" w:cs="仿宋"/>
          <w:sz w:val="24"/>
          <w:highlight w:val="none"/>
        </w:rPr>
      </w:pPr>
      <w:r>
        <w:rPr>
          <w:rFonts w:hint="eastAsia" w:ascii="仿宋" w:hAnsi="仿宋" w:eastAsia="仿宋" w:cs="仿宋"/>
          <w:sz w:val="24"/>
          <w:highlight w:val="none"/>
        </w:rPr>
        <w:t>注：1、本表所述“职工”应为投标单位的正式员工。</w:t>
      </w:r>
    </w:p>
    <w:p>
      <w:pPr>
        <w:wordWrap w:val="0"/>
        <w:spacing w:line="360" w:lineRule="auto"/>
        <w:rPr>
          <w:rFonts w:ascii="仿宋" w:hAnsi="仿宋" w:eastAsia="仿宋" w:cs="仿宋"/>
          <w:sz w:val="24"/>
          <w:highlight w:val="none"/>
        </w:rPr>
      </w:pPr>
    </w:p>
    <w:p>
      <w:pPr>
        <w:wordWrap w:val="0"/>
        <w:rPr>
          <w:rFonts w:ascii="仿宋" w:hAnsi="仿宋" w:eastAsia="仿宋" w:cs="仿宋"/>
          <w:sz w:val="24"/>
          <w:highlight w:val="none"/>
          <w:lang w:val="zh-CN"/>
        </w:rPr>
      </w:pPr>
      <w:r>
        <w:rPr>
          <w:rFonts w:hint="eastAsia" w:ascii="仿宋" w:hAnsi="仿宋" w:eastAsia="仿宋" w:cs="仿宋"/>
          <w:sz w:val="24"/>
          <w:highlight w:val="none"/>
          <w:lang w:val="zh-CN"/>
        </w:rPr>
        <w:t>投标人名称（电子签名）：</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w:t>
      </w:r>
    </w:p>
    <w:p>
      <w:pPr>
        <w:wordWrap w:val="0"/>
        <w:rPr>
          <w:rFonts w:ascii="仿宋" w:hAnsi="仿宋" w:eastAsia="仿宋" w:cs="仿宋"/>
          <w:sz w:val="24"/>
          <w:highlight w:val="none"/>
        </w:rPr>
      </w:pPr>
    </w:p>
    <w:p>
      <w:pPr>
        <w:wordWrap w:val="0"/>
        <w:rPr>
          <w:rFonts w:ascii="仿宋" w:hAnsi="仿宋" w:eastAsia="仿宋" w:cs="仿宋"/>
          <w:b/>
          <w:kern w:val="0"/>
          <w:sz w:val="32"/>
          <w:szCs w:val="32"/>
          <w:highlight w:val="none"/>
        </w:rPr>
      </w:pPr>
      <w:r>
        <w:rPr>
          <w:rFonts w:hint="eastAsia" w:ascii="仿宋" w:hAnsi="仿宋" w:eastAsia="仿宋" w:cs="仿宋"/>
          <w:sz w:val="24"/>
          <w:highlight w:val="none"/>
        </w:rPr>
        <w:t>日期：</w:t>
      </w:r>
    </w:p>
    <w:p>
      <w:pPr>
        <w:wordWrap w:val="0"/>
        <w:jc w:val="center"/>
        <w:rPr>
          <w:rFonts w:ascii="仿宋" w:hAnsi="仿宋" w:eastAsia="仿宋" w:cs="仿宋"/>
          <w:b/>
          <w:kern w:val="0"/>
          <w:sz w:val="32"/>
          <w:szCs w:val="32"/>
          <w:highlight w:val="none"/>
        </w:rPr>
        <w:sectPr>
          <w:pgSz w:w="11905" w:h="16838"/>
          <w:pgMar w:top="652" w:right="1417" w:bottom="680" w:left="1417" w:header="539" w:footer="425" w:gutter="0"/>
          <w:cols w:space="0" w:num="1"/>
          <w:titlePg/>
          <w:docGrid w:linePitch="312" w:charSpace="0"/>
        </w:sectPr>
      </w:pPr>
    </w:p>
    <w:p>
      <w:pPr>
        <w:wordWrap w:val="0"/>
        <w:jc w:val="left"/>
        <w:outlineLvl w:val="4"/>
        <w:rPr>
          <w:rFonts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（二）设备配备情况一览表</w:t>
      </w:r>
    </w:p>
    <w:p>
      <w:pPr>
        <w:pStyle w:val="80"/>
        <w:wordWrap w:val="0"/>
        <w:jc w:val="center"/>
        <w:rPr>
          <w:rFonts w:ascii="仿宋" w:hAnsi="仿宋" w:eastAsia="仿宋" w:cs="仿宋"/>
          <w:b/>
          <w:sz w:val="32"/>
          <w:szCs w:val="32"/>
          <w:highlight w:val="none"/>
        </w:rPr>
      </w:pPr>
    </w:p>
    <w:p>
      <w:pPr>
        <w:pStyle w:val="80"/>
        <w:wordWrap w:val="0"/>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rPr>
        <w:t>供货设备清单</w:t>
      </w:r>
      <w:r>
        <w:rPr>
          <w:rFonts w:hint="eastAsia" w:ascii="仿宋" w:hAnsi="仿宋" w:eastAsia="仿宋" w:cs="仿宋"/>
          <w:b/>
          <w:sz w:val="32"/>
          <w:szCs w:val="32"/>
          <w:highlight w:val="none"/>
        </w:rPr>
        <w:t>情况一览表</w:t>
      </w:r>
    </w:p>
    <w:p>
      <w:pPr>
        <w:pStyle w:val="80"/>
        <w:wordWrap w:val="0"/>
        <w:jc w:val="center"/>
        <w:rPr>
          <w:rFonts w:ascii="仿宋" w:hAnsi="仿宋" w:eastAsia="仿宋" w:cs="仿宋"/>
          <w:b/>
          <w:sz w:val="32"/>
          <w:szCs w:val="32"/>
          <w:highlight w:val="none"/>
          <w:lang w:val="en-US"/>
        </w:rPr>
      </w:pPr>
    </w:p>
    <w:p>
      <w:pPr>
        <w:pStyle w:val="80"/>
        <w:wordWrap w:val="0"/>
        <w:spacing w:line="360" w:lineRule="auto"/>
        <w:rPr>
          <w:rFonts w:ascii="仿宋" w:hAnsi="仿宋" w:eastAsia="仿宋" w:cs="仿宋"/>
          <w:kern w:val="2"/>
          <w:szCs w:val="24"/>
          <w:highlight w:val="none"/>
          <w:lang w:val="en-US"/>
        </w:rPr>
      </w:pPr>
      <w:r>
        <w:rPr>
          <w:rFonts w:hint="eastAsia" w:ascii="仿宋" w:hAnsi="仿宋" w:eastAsia="仿宋" w:cs="仿宋"/>
          <w:kern w:val="2"/>
          <w:szCs w:val="24"/>
          <w:highlight w:val="none"/>
          <w:lang w:val="en-US"/>
        </w:rPr>
        <w:t xml:space="preserve">项目名称：杭州学军中学桐庐学校竣工配套设施设备（图书馆）项目 </w:t>
      </w:r>
    </w:p>
    <w:p>
      <w:pPr>
        <w:pStyle w:val="80"/>
        <w:wordWrap w:val="0"/>
        <w:spacing w:line="360" w:lineRule="auto"/>
        <w:rPr>
          <w:rFonts w:ascii="仿宋" w:hAnsi="仿宋" w:eastAsia="仿宋" w:cs="仿宋"/>
          <w:kern w:val="2"/>
          <w:szCs w:val="24"/>
          <w:highlight w:val="none"/>
          <w:lang w:val="en-US"/>
        </w:rPr>
      </w:pPr>
      <w:r>
        <w:rPr>
          <w:rFonts w:hint="eastAsia" w:ascii="仿宋" w:hAnsi="仿宋" w:eastAsia="仿宋" w:cs="仿宋"/>
          <w:kern w:val="2"/>
          <w:szCs w:val="24"/>
          <w:highlight w:val="none"/>
          <w:lang w:val="en-US"/>
        </w:rPr>
        <w:t xml:space="preserve">项目编号：HZGJ-XJZX2024-04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218"/>
        <w:gridCol w:w="698"/>
        <w:gridCol w:w="1244"/>
        <w:gridCol w:w="1011"/>
        <w:gridCol w:w="1773"/>
        <w:gridCol w:w="625"/>
        <w:gridCol w:w="731"/>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wordWrap w:val="0"/>
              <w:jc w:val="center"/>
              <w:outlineLvl w:val="2"/>
              <w:rPr>
                <w:rFonts w:ascii="仿宋" w:hAnsi="仿宋" w:eastAsia="仿宋" w:cs="仿宋"/>
                <w:b/>
                <w:kern w:val="0"/>
                <w:szCs w:val="21"/>
                <w:highlight w:val="none"/>
              </w:rPr>
            </w:pPr>
            <w:r>
              <w:rPr>
                <w:rFonts w:hint="eastAsia" w:ascii="仿宋" w:hAnsi="仿宋" w:eastAsia="仿宋" w:cs="仿宋"/>
                <w:b/>
                <w:kern w:val="0"/>
                <w:szCs w:val="21"/>
                <w:highlight w:val="none"/>
              </w:rPr>
              <w:t>序号</w:t>
            </w:r>
          </w:p>
        </w:tc>
        <w:tc>
          <w:tcPr>
            <w:tcW w:w="1218" w:type="dxa"/>
          </w:tcPr>
          <w:p>
            <w:pPr>
              <w:wordWrap w:val="0"/>
              <w:jc w:val="center"/>
              <w:outlineLvl w:val="2"/>
              <w:rPr>
                <w:rFonts w:ascii="仿宋" w:hAnsi="仿宋" w:eastAsia="仿宋" w:cs="仿宋"/>
                <w:b/>
                <w:kern w:val="0"/>
                <w:szCs w:val="21"/>
                <w:highlight w:val="none"/>
              </w:rPr>
            </w:pPr>
            <w:r>
              <w:rPr>
                <w:rFonts w:hint="eastAsia" w:ascii="仿宋" w:hAnsi="仿宋" w:eastAsia="仿宋" w:cs="仿宋"/>
                <w:b/>
                <w:kern w:val="0"/>
                <w:szCs w:val="21"/>
                <w:highlight w:val="none"/>
              </w:rPr>
              <w:t>设备名称</w:t>
            </w:r>
          </w:p>
        </w:tc>
        <w:tc>
          <w:tcPr>
            <w:tcW w:w="698" w:type="dxa"/>
          </w:tcPr>
          <w:p>
            <w:pPr>
              <w:wordWrap w:val="0"/>
              <w:jc w:val="center"/>
              <w:outlineLvl w:val="2"/>
              <w:rPr>
                <w:rFonts w:ascii="仿宋" w:hAnsi="仿宋" w:eastAsia="仿宋" w:cs="仿宋"/>
                <w:b/>
                <w:kern w:val="0"/>
                <w:szCs w:val="21"/>
                <w:highlight w:val="none"/>
              </w:rPr>
            </w:pPr>
            <w:r>
              <w:rPr>
                <w:rFonts w:hint="eastAsia" w:ascii="仿宋" w:hAnsi="仿宋" w:eastAsia="仿宋" w:cs="仿宋"/>
                <w:b/>
                <w:kern w:val="0"/>
                <w:szCs w:val="21"/>
                <w:highlight w:val="none"/>
              </w:rPr>
              <w:t>品牌</w:t>
            </w:r>
          </w:p>
        </w:tc>
        <w:tc>
          <w:tcPr>
            <w:tcW w:w="1244" w:type="dxa"/>
          </w:tcPr>
          <w:p>
            <w:pPr>
              <w:wordWrap w:val="0"/>
              <w:jc w:val="center"/>
              <w:outlineLvl w:val="2"/>
              <w:rPr>
                <w:rFonts w:ascii="仿宋" w:hAnsi="仿宋" w:eastAsia="仿宋" w:cs="仿宋"/>
                <w:b/>
                <w:kern w:val="0"/>
                <w:szCs w:val="21"/>
                <w:highlight w:val="none"/>
              </w:rPr>
            </w:pPr>
            <w:r>
              <w:rPr>
                <w:rFonts w:hint="eastAsia" w:ascii="仿宋" w:hAnsi="仿宋" w:eastAsia="仿宋" w:cs="仿宋"/>
                <w:b/>
                <w:kern w:val="0"/>
                <w:szCs w:val="21"/>
                <w:highlight w:val="none"/>
              </w:rPr>
              <w:t>规格型号</w:t>
            </w:r>
          </w:p>
        </w:tc>
        <w:tc>
          <w:tcPr>
            <w:tcW w:w="1011" w:type="dxa"/>
          </w:tcPr>
          <w:p>
            <w:pPr>
              <w:wordWrap w:val="0"/>
              <w:jc w:val="center"/>
              <w:outlineLvl w:val="2"/>
              <w:rPr>
                <w:rFonts w:ascii="仿宋" w:hAnsi="仿宋" w:eastAsia="仿宋" w:cs="仿宋"/>
                <w:b/>
                <w:kern w:val="0"/>
                <w:szCs w:val="21"/>
                <w:highlight w:val="none"/>
              </w:rPr>
            </w:pPr>
            <w:r>
              <w:rPr>
                <w:rFonts w:hint="eastAsia" w:ascii="仿宋" w:hAnsi="仿宋" w:eastAsia="仿宋" w:cs="仿宋"/>
                <w:b/>
                <w:kern w:val="0"/>
                <w:szCs w:val="21"/>
                <w:highlight w:val="none"/>
              </w:rPr>
              <w:t>制造商、产地</w:t>
            </w:r>
          </w:p>
        </w:tc>
        <w:tc>
          <w:tcPr>
            <w:tcW w:w="1773" w:type="dxa"/>
          </w:tcPr>
          <w:p>
            <w:pPr>
              <w:wordWrap w:val="0"/>
              <w:jc w:val="center"/>
              <w:outlineLvl w:val="2"/>
              <w:rPr>
                <w:rFonts w:ascii="仿宋" w:hAnsi="仿宋" w:eastAsia="仿宋" w:cs="仿宋"/>
                <w:b/>
                <w:kern w:val="0"/>
                <w:szCs w:val="21"/>
                <w:highlight w:val="none"/>
              </w:rPr>
            </w:pPr>
            <w:r>
              <w:rPr>
                <w:rFonts w:hint="eastAsia" w:ascii="仿宋" w:hAnsi="仿宋" w:eastAsia="仿宋" w:cs="仿宋"/>
                <w:b/>
                <w:szCs w:val="21"/>
                <w:highlight w:val="none"/>
              </w:rPr>
              <w:t>节能产品、环境标志产品证书编号（如有）</w:t>
            </w:r>
          </w:p>
        </w:tc>
        <w:tc>
          <w:tcPr>
            <w:tcW w:w="625" w:type="dxa"/>
          </w:tcPr>
          <w:p>
            <w:pPr>
              <w:wordWrap w:val="0"/>
              <w:jc w:val="center"/>
              <w:outlineLvl w:val="2"/>
              <w:rPr>
                <w:rFonts w:ascii="仿宋" w:hAnsi="仿宋" w:eastAsia="仿宋" w:cs="仿宋"/>
                <w:b/>
                <w:kern w:val="0"/>
                <w:szCs w:val="21"/>
                <w:highlight w:val="none"/>
              </w:rPr>
            </w:pPr>
            <w:r>
              <w:rPr>
                <w:rFonts w:hint="eastAsia" w:ascii="仿宋" w:hAnsi="仿宋" w:eastAsia="仿宋" w:cs="仿宋"/>
                <w:b/>
                <w:kern w:val="0"/>
                <w:szCs w:val="21"/>
                <w:highlight w:val="none"/>
              </w:rPr>
              <w:t>数量</w:t>
            </w:r>
          </w:p>
        </w:tc>
        <w:tc>
          <w:tcPr>
            <w:tcW w:w="731" w:type="dxa"/>
          </w:tcPr>
          <w:p>
            <w:pPr>
              <w:wordWrap w:val="0"/>
              <w:jc w:val="center"/>
              <w:outlineLvl w:val="2"/>
              <w:rPr>
                <w:rFonts w:ascii="仿宋" w:hAnsi="仿宋" w:eastAsia="仿宋" w:cs="仿宋"/>
                <w:b/>
                <w:kern w:val="0"/>
                <w:szCs w:val="21"/>
                <w:highlight w:val="none"/>
              </w:rPr>
            </w:pPr>
            <w:r>
              <w:rPr>
                <w:rFonts w:hint="eastAsia" w:ascii="仿宋" w:hAnsi="仿宋" w:eastAsia="仿宋" w:cs="仿宋"/>
                <w:b/>
                <w:kern w:val="0"/>
                <w:szCs w:val="21"/>
                <w:highlight w:val="none"/>
              </w:rPr>
              <w:t>单位</w:t>
            </w:r>
          </w:p>
        </w:tc>
        <w:tc>
          <w:tcPr>
            <w:tcW w:w="1067" w:type="dxa"/>
          </w:tcPr>
          <w:p>
            <w:pPr>
              <w:wordWrap w:val="0"/>
              <w:jc w:val="center"/>
              <w:outlineLvl w:val="2"/>
              <w:rPr>
                <w:rFonts w:ascii="仿宋" w:hAnsi="仿宋" w:eastAsia="仿宋" w:cs="仿宋"/>
                <w:b/>
                <w:kern w:val="0"/>
                <w:szCs w:val="21"/>
                <w:highlight w:val="none"/>
              </w:rPr>
            </w:pPr>
            <w:r>
              <w:rPr>
                <w:rFonts w:hint="eastAsia" w:ascii="仿宋" w:hAnsi="仿宋" w:eastAsia="仿宋" w:cs="仿宋"/>
                <w:b/>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wordWrap w:val="0"/>
              <w:jc w:val="center"/>
              <w:outlineLvl w:val="2"/>
              <w:rPr>
                <w:rFonts w:ascii="仿宋" w:hAnsi="仿宋" w:eastAsia="仿宋" w:cs="仿宋"/>
                <w:b/>
                <w:kern w:val="0"/>
                <w:sz w:val="32"/>
                <w:szCs w:val="32"/>
                <w:highlight w:val="none"/>
              </w:rPr>
            </w:pPr>
          </w:p>
        </w:tc>
        <w:tc>
          <w:tcPr>
            <w:tcW w:w="1218" w:type="dxa"/>
          </w:tcPr>
          <w:p>
            <w:pPr>
              <w:wordWrap w:val="0"/>
              <w:jc w:val="center"/>
              <w:outlineLvl w:val="2"/>
              <w:rPr>
                <w:rFonts w:ascii="仿宋" w:hAnsi="仿宋" w:eastAsia="仿宋" w:cs="仿宋"/>
                <w:b/>
                <w:kern w:val="0"/>
                <w:sz w:val="32"/>
                <w:szCs w:val="32"/>
                <w:highlight w:val="none"/>
              </w:rPr>
            </w:pPr>
          </w:p>
        </w:tc>
        <w:tc>
          <w:tcPr>
            <w:tcW w:w="698" w:type="dxa"/>
          </w:tcPr>
          <w:p>
            <w:pPr>
              <w:wordWrap w:val="0"/>
              <w:jc w:val="center"/>
              <w:outlineLvl w:val="2"/>
              <w:rPr>
                <w:rFonts w:ascii="仿宋" w:hAnsi="仿宋" w:eastAsia="仿宋" w:cs="仿宋"/>
                <w:b/>
                <w:kern w:val="0"/>
                <w:sz w:val="32"/>
                <w:szCs w:val="32"/>
                <w:highlight w:val="none"/>
              </w:rPr>
            </w:pPr>
          </w:p>
        </w:tc>
        <w:tc>
          <w:tcPr>
            <w:tcW w:w="1244" w:type="dxa"/>
          </w:tcPr>
          <w:p>
            <w:pPr>
              <w:wordWrap w:val="0"/>
              <w:jc w:val="center"/>
              <w:outlineLvl w:val="2"/>
              <w:rPr>
                <w:rFonts w:ascii="仿宋" w:hAnsi="仿宋" w:eastAsia="仿宋" w:cs="仿宋"/>
                <w:b/>
                <w:kern w:val="0"/>
                <w:sz w:val="32"/>
                <w:szCs w:val="32"/>
                <w:highlight w:val="none"/>
              </w:rPr>
            </w:pPr>
          </w:p>
        </w:tc>
        <w:tc>
          <w:tcPr>
            <w:tcW w:w="1011" w:type="dxa"/>
          </w:tcPr>
          <w:p>
            <w:pPr>
              <w:wordWrap w:val="0"/>
              <w:jc w:val="center"/>
              <w:outlineLvl w:val="2"/>
              <w:rPr>
                <w:rFonts w:ascii="仿宋" w:hAnsi="仿宋" w:eastAsia="仿宋" w:cs="仿宋"/>
                <w:b/>
                <w:kern w:val="0"/>
                <w:sz w:val="32"/>
                <w:szCs w:val="32"/>
                <w:highlight w:val="none"/>
              </w:rPr>
            </w:pPr>
          </w:p>
        </w:tc>
        <w:tc>
          <w:tcPr>
            <w:tcW w:w="1773" w:type="dxa"/>
          </w:tcPr>
          <w:p>
            <w:pPr>
              <w:wordWrap w:val="0"/>
              <w:jc w:val="center"/>
              <w:outlineLvl w:val="2"/>
              <w:rPr>
                <w:rFonts w:ascii="仿宋" w:hAnsi="仿宋" w:eastAsia="仿宋" w:cs="仿宋"/>
                <w:b/>
                <w:kern w:val="0"/>
                <w:sz w:val="32"/>
                <w:szCs w:val="32"/>
                <w:highlight w:val="none"/>
              </w:rPr>
            </w:pPr>
          </w:p>
        </w:tc>
        <w:tc>
          <w:tcPr>
            <w:tcW w:w="625" w:type="dxa"/>
          </w:tcPr>
          <w:p>
            <w:pPr>
              <w:wordWrap w:val="0"/>
              <w:jc w:val="center"/>
              <w:outlineLvl w:val="2"/>
              <w:rPr>
                <w:rFonts w:ascii="仿宋" w:hAnsi="仿宋" w:eastAsia="仿宋" w:cs="仿宋"/>
                <w:b/>
                <w:kern w:val="0"/>
                <w:sz w:val="32"/>
                <w:szCs w:val="32"/>
                <w:highlight w:val="none"/>
              </w:rPr>
            </w:pPr>
          </w:p>
        </w:tc>
        <w:tc>
          <w:tcPr>
            <w:tcW w:w="731" w:type="dxa"/>
          </w:tcPr>
          <w:p>
            <w:pPr>
              <w:wordWrap w:val="0"/>
              <w:jc w:val="center"/>
              <w:outlineLvl w:val="2"/>
              <w:rPr>
                <w:rFonts w:ascii="仿宋" w:hAnsi="仿宋" w:eastAsia="仿宋" w:cs="仿宋"/>
                <w:b/>
                <w:kern w:val="0"/>
                <w:sz w:val="32"/>
                <w:szCs w:val="32"/>
                <w:highlight w:val="none"/>
              </w:rPr>
            </w:pPr>
          </w:p>
        </w:tc>
        <w:tc>
          <w:tcPr>
            <w:tcW w:w="1067" w:type="dxa"/>
          </w:tcPr>
          <w:p>
            <w:pPr>
              <w:wordWrap w:val="0"/>
              <w:jc w:val="center"/>
              <w:outlineLvl w:val="2"/>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wordWrap w:val="0"/>
              <w:jc w:val="center"/>
              <w:outlineLvl w:val="2"/>
              <w:rPr>
                <w:rFonts w:ascii="仿宋" w:hAnsi="仿宋" w:eastAsia="仿宋" w:cs="仿宋"/>
                <w:b/>
                <w:kern w:val="0"/>
                <w:sz w:val="32"/>
                <w:szCs w:val="32"/>
                <w:highlight w:val="none"/>
              </w:rPr>
            </w:pPr>
          </w:p>
        </w:tc>
        <w:tc>
          <w:tcPr>
            <w:tcW w:w="1218" w:type="dxa"/>
          </w:tcPr>
          <w:p>
            <w:pPr>
              <w:wordWrap w:val="0"/>
              <w:jc w:val="center"/>
              <w:outlineLvl w:val="2"/>
              <w:rPr>
                <w:rFonts w:ascii="仿宋" w:hAnsi="仿宋" w:eastAsia="仿宋" w:cs="仿宋"/>
                <w:b/>
                <w:kern w:val="0"/>
                <w:sz w:val="32"/>
                <w:szCs w:val="32"/>
                <w:highlight w:val="none"/>
              </w:rPr>
            </w:pPr>
          </w:p>
        </w:tc>
        <w:tc>
          <w:tcPr>
            <w:tcW w:w="698" w:type="dxa"/>
          </w:tcPr>
          <w:p>
            <w:pPr>
              <w:wordWrap w:val="0"/>
              <w:jc w:val="center"/>
              <w:outlineLvl w:val="2"/>
              <w:rPr>
                <w:rFonts w:ascii="仿宋" w:hAnsi="仿宋" w:eastAsia="仿宋" w:cs="仿宋"/>
                <w:b/>
                <w:kern w:val="0"/>
                <w:sz w:val="32"/>
                <w:szCs w:val="32"/>
                <w:highlight w:val="none"/>
              </w:rPr>
            </w:pPr>
          </w:p>
        </w:tc>
        <w:tc>
          <w:tcPr>
            <w:tcW w:w="1244" w:type="dxa"/>
          </w:tcPr>
          <w:p>
            <w:pPr>
              <w:wordWrap w:val="0"/>
              <w:jc w:val="center"/>
              <w:outlineLvl w:val="2"/>
              <w:rPr>
                <w:rFonts w:ascii="仿宋" w:hAnsi="仿宋" w:eastAsia="仿宋" w:cs="仿宋"/>
                <w:b/>
                <w:kern w:val="0"/>
                <w:sz w:val="32"/>
                <w:szCs w:val="32"/>
                <w:highlight w:val="none"/>
              </w:rPr>
            </w:pPr>
          </w:p>
        </w:tc>
        <w:tc>
          <w:tcPr>
            <w:tcW w:w="1011" w:type="dxa"/>
          </w:tcPr>
          <w:p>
            <w:pPr>
              <w:wordWrap w:val="0"/>
              <w:jc w:val="center"/>
              <w:outlineLvl w:val="2"/>
              <w:rPr>
                <w:rFonts w:ascii="仿宋" w:hAnsi="仿宋" w:eastAsia="仿宋" w:cs="仿宋"/>
                <w:b/>
                <w:kern w:val="0"/>
                <w:sz w:val="32"/>
                <w:szCs w:val="32"/>
                <w:highlight w:val="none"/>
              </w:rPr>
            </w:pPr>
          </w:p>
        </w:tc>
        <w:tc>
          <w:tcPr>
            <w:tcW w:w="1773" w:type="dxa"/>
          </w:tcPr>
          <w:p>
            <w:pPr>
              <w:wordWrap w:val="0"/>
              <w:jc w:val="center"/>
              <w:outlineLvl w:val="2"/>
              <w:rPr>
                <w:rFonts w:ascii="仿宋" w:hAnsi="仿宋" w:eastAsia="仿宋" w:cs="仿宋"/>
                <w:b/>
                <w:kern w:val="0"/>
                <w:sz w:val="32"/>
                <w:szCs w:val="32"/>
                <w:highlight w:val="none"/>
              </w:rPr>
            </w:pPr>
          </w:p>
        </w:tc>
        <w:tc>
          <w:tcPr>
            <w:tcW w:w="625" w:type="dxa"/>
          </w:tcPr>
          <w:p>
            <w:pPr>
              <w:wordWrap w:val="0"/>
              <w:jc w:val="center"/>
              <w:outlineLvl w:val="2"/>
              <w:rPr>
                <w:rFonts w:ascii="仿宋" w:hAnsi="仿宋" w:eastAsia="仿宋" w:cs="仿宋"/>
                <w:b/>
                <w:kern w:val="0"/>
                <w:sz w:val="32"/>
                <w:szCs w:val="32"/>
                <w:highlight w:val="none"/>
              </w:rPr>
            </w:pPr>
          </w:p>
        </w:tc>
        <w:tc>
          <w:tcPr>
            <w:tcW w:w="731" w:type="dxa"/>
          </w:tcPr>
          <w:p>
            <w:pPr>
              <w:wordWrap w:val="0"/>
              <w:jc w:val="center"/>
              <w:outlineLvl w:val="2"/>
              <w:rPr>
                <w:rFonts w:ascii="仿宋" w:hAnsi="仿宋" w:eastAsia="仿宋" w:cs="仿宋"/>
                <w:b/>
                <w:kern w:val="0"/>
                <w:sz w:val="32"/>
                <w:szCs w:val="32"/>
                <w:highlight w:val="none"/>
              </w:rPr>
            </w:pPr>
          </w:p>
        </w:tc>
        <w:tc>
          <w:tcPr>
            <w:tcW w:w="1067" w:type="dxa"/>
          </w:tcPr>
          <w:p>
            <w:pPr>
              <w:wordWrap w:val="0"/>
              <w:jc w:val="center"/>
              <w:outlineLvl w:val="2"/>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wordWrap w:val="0"/>
              <w:jc w:val="center"/>
              <w:outlineLvl w:val="2"/>
              <w:rPr>
                <w:rFonts w:ascii="仿宋" w:hAnsi="仿宋" w:eastAsia="仿宋" w:cs="仿宋"/>
                <w:b/>
                <w:kern w:val="0"/>
                <w:sz w:val="32"/>
                <w:szCs w:val="32"/>
                <w:highlight w:val="none"/>
              </w:rPr>
            </w:pPr>
          </w:p>
        </w:tc>
        <w:tc>
          <w:tcPr>
            <w:tcW w:w="1218" w:type="dxa"/>
          </w:tcPr>
          <w:p>
            <w:pPr>
              <w:wordWrap w:val="0"/>
              <w:jc w:val="center"/>
              <w:outlineLvl w:val="2"/>
              <w:rPr>
                <w:rFonts w:ascii="仿宋" w:hAnsi="仿宋" w:eastAsia="仿宋" w:cs="仿宋"/>
                <w:b/>
                <w:kern w:val="0"/>
                <w:sz w:val="32"/>
                <w:szCs w:val="32"/>
                <w:highlight w:val="none"/>
              </w:rPr>
            </w:pPr>
          </w:p>
        </w:tc>
        <w:tc>
          <w:tcPr>
            <w:tcW w:w="698" w:type="dxa"/>
          </w:tcPr>
          <w:p>
            <w:pPr>
              <w:wordWrap w:val="0"/>
              <w:jc w:val="center"/>
              <w:outlineLvl w:val="2"/>
              <w:rPr>
                <w:rFonts w:ascii="仿宋" w:hAnsi="仿宋" w:eastAsia="仿宋" w:cs="仿宋"/>
                <w:b/>
                <w:kern w:val="0"/>
                <w:sz w:val="32"/>
                <w:szCs w:val="32"/>
                <w:highlight w:val="none"/>
              </w:rPr>
            </w:pPr>
          </w:p>
        </w:tc>
        <w:tc>
          <w:tcPr>
            <w:tcW w:w="1244" w:type="dxa"/>
          </w:tcPr>
          <w:p>
            <w:pPr>
              <w:wordWrap w:val="0"/>
              <w:jc w:val="center"/>
              <w:outlineLvl w:val="2"/>
              <w:rPr>
                <w:rFonts w:ascii="仿宋" w:hAnsi="仿宋" w:eastAsia="仿宋" w:cs="仿宋"/>
                <w:b/>
                <w:kern w:val="0"/>
                <w:sz w:val="32"/>
                <w:szCs w:val="32"/>
                <w:highlight w:val="none"/>
              </w:rPr>
            </w:pPr>
          </w:p>
        </w:tc>
        <w:tc>
          <w:tcPr>
            <w:tcW w:w="1011" w:type="dxa"/>
          </w:tcPr>
          <w:p>
            <w:pPr>
              <w:wordWrap w:val="0"/>
              <w:jc w:val="center"/>
              <w:outlineLvl w:val="2"/>
              <w:rPr>
                <w:rFonts w:ascii="仿宋" w:hAnsi="仿宋" w:eastAsia="仿宋" w:cs="仿宋"/>
                <w:b/>
                <w:kern w:val="0"/>
                <w:sz w:val="32"/>
                <w:szCs w:val="32"/>
                <w:highlight w:val="none"/>
              </w:rPr>
            </w:pPr>
          </w:p>
        </w:tc>
        <w:tc>
          <w:tcPr>
            <w:tcW w:w="1773" w:type="dxa"/>
          </w:tcPr>
          <w:p>
            <w:pPr>
              <w:wordWrap w:val="0"/>
              <w:jc w:val="center"/>
              <w:outlineLvl w:val="2"/>
              <w:rPr>
                <w:rFonts w:ascii="仿宋" w:hAnsi="仿宋" w:eastAsia="仿宋" w:cs="仿宋"/>
                <w:b/>
                <w:kern w:val="0"/>
                <w:sz w:val="32"/>
                <w:szCs w:val="32"/>
                <w:highlight w:val="none"/>
              </w:rPr>
            </w:pPr>
          </w:p>
        </w:tc>
        <w:tc>
          <w:tcPr>
            <w:tcW w:w="625" w:type="dxa"/>
          </w:tcPr>
          <w:p>
            <w:pPr>
              <w:wordWrap w:val="0"/>
              <w:jc w:val="center"/>
              <w:outlineLvl w:val="2"/>
              <w:rPr>
                <w:rFonts w:ascii="仿宋" w:hAnsi="仿宋" w:eastAsia="仿宋" w:cs="仿宋"/>
                <w:b/>
                <w:kern w:val="0"/>
                <w:sz w:val="32"/>
                <w:szCs w:val="32"/>
                <w:highlight w:val="none"/>
              </w:rPr>
            </w:pPr>
          </w:p>
        </w:tc>
        <w:tc>
          <w:tcPr>
            <w:tcW w:w="731" w:type="dxa"/>
          </w:tcPr>
          <w:p>
            <w:pPr>
              <w:wordWrap w:val="0"/>
              <w:jc w:val="center"/>
              <w:outlineLvl w:val="2"/>
              <w:rPr>
                <w:rFonts w:ascii="仿宋" w:hAnsi="仿宋" w:eastAsia="仿宋" w:cs="仿宋"/>
                <w:b/>
                <w:kern w:val="0"/>
                <w:sz w:val="32"/>
                <w:szCs w:val="32"/>
                <w:highlight w:val="none"/>
              </w:rPr>
            </w:pPr>
          </w:p>
        </w:tc>
        <w:tc>
          <w:tcPr>
            <w:tcW w:w="1067" w:type="dxa"/>
          </w:tcPr>
          <w:p>
            <w:pPr>
              <w:wordWrap w:val="0"/>
              <w:jc w:val="center"/>
              <w:outlineLvl w:val="2"/>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wordWrap w:val="0"/>
              <w:jc w:val="center"/>
              <w:outlineLvl w:val="2"/>
              <w:rPr>
                <w:rFonts w:ascii="仿宋" w:hAnsi="仿宋" w:eastAsia="仿宋" w:cs="仿宋"/>
                <w:b/>
                <w:kern w:val="0"/>
                <w:sz w:val="32"/>
                <w:szCs w:val="32"/>
                <w:highlight w:val="none"/>
              </w:rPr>
            </w:pPr>
          </w:p>
        </w:tc>
        <w:tc>
          <w:tcPr>
            <w:tcW w:w="1218" w:type="dxa"/>
          </w:tcPr>
          <w:p>
            <w:pPr>
              <w:wordWrap w:val="0"/>
              <w:jc w:val="center"/>
              <w:outlineLvl w:val="2"/>
              <w:rPr>
                <w:rFonts w:ascii="仿宋" w:hAnsi="仿宋" w:eastAsia="仿宋" w:cs="仿宋"/>
                <w:b/>
                <w:kern w:val="0"/>
                <w:sz w:val="32"/>
                <w:szCs w:val="32"/>
                <w:highlight w:val="none"/>
              </w:rPr>
            </w:pPr>
          </w:p>
        </w:tc>
        <w:tc>
          <w:tcPr>
            <w:tcW w:w="698" w:type="dxa"/>
          </w:tcPr>
          <w:p>
            <w:pPr>
              <w:wordWrap w:val="0"/>
              <w:jc w:val="center"/>
              <w:outlineLvl w:val="2"/>
              <w:rPr>
                <w:rFonts w:ascii="仿宋" w:hAnsi="仿宋" w:eastAsia="仿宋" w:cs="仿宋"/>
                <w:b/>
                <w:kern w:val="0"/>
                <w:sz w:val="32"/>
                <w:szCs w:val="32"/>
                <w:highlight w:val="none"/>
              </w:rPr>
            </w:pPr>
          </w:p>
        </w:tc>
        <w:tc>
          <w:tcPr>
            <w:tcW w:w="1244" w:type="dxa"/>
          </w:tcPr>
          <w:p>
            <w:pPr>
              <w:wordWrap w:val="0"/>
              <w:jc w:val="center"/>
              <w:outlineLvl w:val="2"/>
              <w:rPr>
                <w:rFonts w:ascii="仿宋" w:hAnsi="仿宋" w:eastAsia="仿宋" w:cs="仿宋"/>
                <w:b/>
                <w:kern w:val="0"/>
                <w:sz w:val="32"/>
                <w:szCs w:val="32"/>
                <w:highlight w:val="none"/>
              </w:rPr>
            </w:pPr>
          </w:p>
        </w:tc>
        <w:tc>
          <w:tcPr>
            <w:tcW w:w="1011" w:type="dxa"/>
          </w:tcPr>
          <w:p>
            <w:pPr>
              <w:wordWrap w:val="0"/>
              <w:jc w:val="center"/>
              <w:outlineLvl w:val="2"/>
              <w:rPr>
                <w:rFonts w:ascii="仿宋" w:hAnsi="仿宋" w:eastAsia="仿宋" w:cs="仿宋"/>
                <w:b/>
                <w:kern w:val="0"/>
                <w:sz w:val="32"/>
                <w:szCs w:val="32"/>
                <w:highlight w:val="none"/>
              </w:rPr>
            </w:pPr>
          </w:p>
        </w:tc>
        <w:tc>
          <w:tcPr>
            <w:tcW w:w="1773" w:type="dxa"/>
          </w:tcPr>
          <w:p>
            <w:pPr>
              <w:wordWrap w:val="0"/>
              <w:jc w:val="center"/>
              <w:outlineLvl w:val="2"/>
              <w:rPr>
                <w:rFonts w:ascii="仿宋" w:hAnsi="仿宋" w:eastAsia="仿宋" w:cs="仿宋"/>
                <w:b/>
                <w:kern w:val="0"/>
                <w:sz w:val="32"/>
                <w:szCs w:val="32"/>
                <w:highlight w:val="none"/>
              </w:rPr>
            </w:pPr>
          </w:p>
        </w:tc>
        <w:tc>
          <w:tcPr>
            <w:tcW w:w="625" w:type="dxa"/>
          </w:tcPr>
          <w:p>
            <w:pPr>
              <w:wordWrap w:val="0"/>
              <w:jc w:val="center"/>
              <w:outlineLvl w:val="2"/>
              <w:rPr>
                <w:rFonts w:ascii="仿宋" w:hAnsi="仿宋" w:eastAsia="仿宋" w:cs="仿宋"/>
                <w:b/>
                <w:kern w:val="0"/>
                <w:sz w:val="32"/>
                <w:szCs w:val="32"/>
                <w:highlight w:val="none"/>
              </w:rPr>
            </w:pPr>
          </w:p>
        </w:tc>
        <w:tc>
          <w:tcPr>
            <w:tcW w:w="731" w:type="dxa"/>
          </w:tcPr>
          <w:p>
            <w:pPr>
              <w:wordWrap w:val="0"/>
              <w:jc w:val="center"/>
              <w:outlineLvl w:val="2"/>
              <w:rPr>
                <w:rFonts w:ascii="仿宋" w:hAnsi="仿宋" w:eastAsia="仿宋" w:cs="仿宋"/>
                <w:b/>
                <w:kern w:val="0"/>
                <w:sz w:val="32"/>
                <w:szCs w:val="32"/>
                <w:highlight w:val="none"/>
              </w:rPr>
            </w:pPr>
          </w:p>
        </w:tc>
        <w:tc>
          <w:tcPr>
            <w:tcW w:w="1067" w:type="dxa"/>
          </w:tcPr>
          <w:p>
            <w:pPr>
              <w:wordWrap w:val="0"/>
              <w:jc w:val="center"/>
              <w:outlineLvl w:val="2"/>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wordWrap w:val="0"/>
              <w:jc w:val="center"/>
              <w:outlineLvl w:val="2"/>
              <w:rPr>
                <w:rFonts w:ascii="仿宋" w:hAnsi="仿宋" w:eastAsia="仿宋" w:cs="仿宋"/>
                <w:b/>
                <w:kern w:val="0"/>
                <w:sz w:val="32"/>
                <w:szCs w:val="32"/>
                <w:highlight w:val="none"/>
              </w:rPr>
            </w:pPr>
          </w:p>
        </w:tc>
        <w:tc>
          <w:tcPr>
            <w:tcW w:w="1218" w:type="dxa"/>
          </w:tcPr>
          <w:p>
            <w:pPr>
              <w:wordWrap w:val="0"/>
              <w:jc w:val="center"/>
              <w:outlineLvl w:val="2"/>
              <w:rPr>
                <w:rFonts w:ascii="仿宋" w:hAnsi="仿宋" w:eastAsia="仿宋" w:cs="仿宋"/>
                <w:b/>
                <w:kern w:val="0"/>
                <w:sz w:val="32"/>
                <w:szCs w:val="32"/>
                <w:highlight w:val="none"/>
              </w:rPr>
            </w:pPr>
          </w:p>
        </w:tc>
        <w:tc>
          <w:tcPr>
            <w:tcW w:w="698" w:type="dxa"/>
          </w:tcPr>
          <w:p>
            <w:pPr>
              <w:wordWrap w:val="0"/>
              <w:jc w:val="center"/>
              <w:outlineLvl w:val="2"/>
              <w:rPr>
                <w:rFonts w:ascii="仿宋" w:hAnsi="仿宋" w:eastAsia="仿宋" w:cs="仿宋"/>
                <w:b/>
                <w:kern w:val="0"/>
                <w:sz w:val="32"/>
                <w:szCs w:val="32"/>
                <w:highlight w:val="none"/>
              </w:rPr>
            </w:pPr>
          </w:p>
        </w:tc>
        <w:tc>
          <w:tcPr>
            <w:tcW w:w="1244" w:type="dxa"/>
          </w:tcPr>
          <w:p>
            <w:pPr>
              <w:wordWrap w:val="0"/>
              <w:jc w:val="center"/>
              <w:outlineLvl w:val="2"/>
              <w:rPr>
                <w:rFonts w:ascii="仿宋" w:hAnsi="仿宋" w:eastAsia="仿宋" w:cs="仿宋"/>
                <w:b/>
                <w:kern w:val="0"/>
                <w:sz w:val="32"/>
                <w:szCs w:val="32"/>
                <w:highlight w:val="none"/>
              </w:rPr>
            </w:pPr>
          </w:p>
        </w:tc>
        <w:tc>
          <w:tcPr>
            <w:tcW w:w="1011" w:type="dxa"/>
          </w:tcPr>
          <w:p>
            <w:pPr>
              <w:wordWrap w:val="0"/>
              <w:jc w:val="center"/>
              <w:outlineLvl w:val="2"/>
              <w:rPr>
                <w:rFonts w:ascii="仿宋" w:hAnsi="仿宋" w:eastAsia="仿宋" w:cs="仿宋"/>
                <w:b/>
                <w:kern w:val="0"/>
                <w:sz w:val="32"/>
                <w:szCs w:val="32"/>
                <w:highlight w:val="none"/>
              </w:rPr>
            </w:pPr>
          </w:p>
        </w:tc>
        <w:tc>
          <w:tcPr>
            <w:tcW w:w="1773" w:type="dxa"/>
          </w:tcPr>
          <w:p>
            <w:pPr>
              <w:wordWrap w:val="0"/>
              <w:jc w:val="center"/>
              <w:outlineLvl w:val="2"/>
              <w:rPr>
                <w:rFonts w:ascii="仿宋" w:hAnsi="仿宋" w:eastAsia="仿宋" w:cs="仿宋"/>
                <w:b/>
                <w:kern w:val="0"/>
                <w:sz w:val="32"/>
                <w:szCs w:val="32"/>
                <w:highlight w:val="none"/>
              </w:rPr>
            </w:pPr>
          </w:p>
        </w:tc>
        <w:tc>
          <w:tcPr>
            <w:tcW w:w="625" w:type="dxa"/>
          </w:tcPr>
          <w:p>
            <w:pPr>
              <w:wordWrap w:val="0"/>
              <w:jc w:val="center"/>
              <w:outlineLvl w:val="2"/>
              <w:rPr>
                <w:rFonts w:ascii="仿宋" w:hAnsi="仿宋" w:eastAsia="仿宋" w:cs="仿宋"/>
                <w:b/>
                <w:kern w:val="0"/>
                <w:sz w:val="32"/>
                <w:szCs w:val="32"/>
                <w:highlight w:val="none"/>
              </w:rPr>
            </w:pPr>
          </w:p>
        </w:tc>
        <w:tc>
          <w:tcPr>
            <w:tcW w:w="731" w:type="dxa"/>
          </w:tcPr>
          <w:p>
            <w:pPr>
              <w:wordWrap w:val="0"/>
              <w:jc w:val="center"/>
              <w:outlineLvl w:val="2"/>
              <w:rPr>
                <w:rFonts w:ascii="仿宋" w:hAnsi="仿宋" w:eastAsia="仿宋" w:cs="仿宋"/>
                <w:b/>
                <w:kern w:val="0"/>
                <w:sz w:val="32"/>
                <w:szCs w:val="32"/>
                <w:highlight w:val="none"/>
              </w:rPr>
            </w:pPr>
          </w:p>
        </w:tc>
        <w:tc>
          <w:tcPr>
            <w:tcW w:w="1067" w:type="dxa"/>
          </w:tcPr>
          <w:p>
            <w:pPr>
              <w:wordWrap w:val="0"/>
              <w:jc w:val="center"/>
              <w:outlineLvl w:val="2"/>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wordWrap w:val="0"/>
              <w:jc w:val="center"/>
              <w:outlineLvl w:val="2"/>
              <w:rPr>
                <w:rFonts w:ascii="仿宋" w:hAnsi="仿宋" w:eastAsia="仿宋" w:cs="仿宋"/>
                <w:b/>
                <w:kern w:val="0"/>
                <w:sz w:val="32"/>
                <w:szCs w:val="32"/>
                <w:highlight w:val="none"/>
              </w:rPr>
            </w:pPr>
          </w:p>
        </w:tc>
        <w:tc>
          <w:tcPr>
            <w:tcW w:w="1218" w:type="dxa"/>
          </w:tcPr>
          <w:p>
            <w:pPr>
              <w:wordWrap w:val="0"/>
              <w:jc w:val="center"/>
              <w:outlineLvl w:val="2"/>
              <w:rPr>
                <w:rFonts w:ascii="仿宋" w:hAnsi="仿宋" w:eastAsia="仿宋" w:cs="仿宋"/>
                <w:b/>
                <w:kern w:val="0"/>
                <w:sz w:val="32"/>
                <w:szCs w:val="32"/>
                <w:highlight w:val="none"/>
              </w:rPr>
            </w:pPr>
          </w:p>
        </w:tc>
        <w:tc>
          <w:tcPr>
            <w:tcW w:w="698" w:type="dxa"/>
          </w:tcPr>
          <w:p>
            <w:pPr>
              <w:wordWrap w:val="0"/>
              <w:jc w:val="center"/>
              <w:outlineLvl w:val="2"/>
              <w:rPr>
                <w:rFonts w:ascii="仿宋" w:hAnsi="仿宋" w:eastAsia="仿宋" w:cs="仿宋"/>
                <w:b/>
                <w:kern w:val="0"/>
                <w:sz w:val="32"/>
                <w:szCs w:val="32"/>
                <w:highlight w:val="none"/>
              </w:rPr>
            </w:pPr>
          </w:p>
        </w:tc>
        <w:tc>
          <w:tcPr>
            <w:tcW w:w="1244" w:type="dxa"/>
          </w:tcPr>
          <w:p>
            <w:pPr>
              <w:wordWrap w:val="0"/>
              <w:jc w:val="center"/>
              <w:outlineLvl w:val="2"/>
              <w:rPr>
                <w:rFonts w:ascii="仿宋" w:hAnsi="仿宋" w:eastAsia="仿宋" w:cs="仿宋"/>
                <w:b/>
                <w:kern w:val="0"/>
                <w:sz w:val="32"/>
                <w:szCs w:val="32"/>
                <w:highlight w:val="none"/>
              </w:rPr>
            </w:pPr>
          </w:p>
        </w:tc>
        <w:tc>
          <w:tcPr>
            <w:tcW w:w="1011" w:type="dxa"/>
          </w:tcPr>
          <w:p>
            <w:pPr>
              <w:wordWrap w:val="0"/>
              <w:jc w:val="center"/>
              <w:outlineLvl w:val="2"/>
              <w:rPr>
                <w:rFonts w:ascii="仿宋" w:hAnsi="仿宋" w:eastAsia="仿宋" w:cs="仿宋"/>
                <w:b/>
                <w:kern w:val="0"/>
                <w:sz w:val="32"/>
                <w:szCs w:val="32"/>
                <w:highlight w:val="none"/>
              </w:rPr>
            </w:pPr>
          </w:p>
        </w:tc>
        <w:tc>
          <w:tcPr>
            <w:tcW w:w="1773" w:type="dxa"/>
          </w:tcPr>
          <w:p>
            <w:pPr>
              <w:wordWrap w:val="0"/>
              <w:jc w:val="center"/>
              <w:outlineLvl w:val="2"/>
              <w:rPr>
                <w:rFonts w:ascii="仿宋" w:hAnsi="仿宋" w:eastAsia="仿宋" w:cs="仿宋"/>
                <w:b/>
                <w:kern w:val="0"/>
                <w:sz w:val="32"/>
                <w:szCs w:val="32"/>
                <w:highlight w:val="none"/>
              </w:rPr>
            </w:pPr>
          </w:p>
        </w:tc>
        <w:tc>
          <w:tcPr>
            <w:tcW w:w="625" w:type="dxa"/>
          </w:tcPr>
          <w:p>
            <w:pPr>
              <w:wordWrap w:val="0"/>
              <w:jc w:val="center"/>
              <w:outlineLvl w:val="2"/>
              <w:rPr>
                <w:rFonts w:ascii="仿宋" w:hAnsi="仿宋" w:eastAsia="仿宋" w:cs="仿宋"/>
                <w:b/>
                <w:kern w:val="0"/>
                <w:sz w:val="32"/>
                <w:szCs w:val="32"/>
                <w:highlight w:val="none"/>
              </w:rPr>
            </w:pPr>
          </w:p>
        </w:tc>
        <w:tc>
          <w:tcPr>
            <w:tcW w:w="731" w:type="dxa"/>
          </w:tcPr>
          <w:p>
            <w:pPr>
              <w:wordWrap w:val="0"/>
              <w:jc w:val="center"/>
              <w:outlineLvl w:val="2"/>
              <w:rPr>
                <w:rFonts w:ascii="仿宋" w:hAnsi="仿宋" w:eastAsia="仿宋" w:cs="仿宋"/>
                <w:b/>
                <w:kern w:val="0"/>
                <w:sz w:val="32"/>
                <w:szCs w:val="32"/>
                <w:highlight w:val="none"/>
              </w:rPr>
            </w:pPr>
          </w:p>
        </w:tc>
        <w:tc>
          <w:tcPr>
            <w:tcW w:w="1067" w:type="dxa"/>
          </w:tcPr>
          <w:p>
            <w:pPr>
              <w:wordWrap w:val="0"/>
              <w:jc w:val="center"/>
              <w:outlineLvl w:val="2"/>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wordWrap w:val="0"/>
              <w:jc w:val="center"/>
              <w:outlineLvl w:val="2"/>
              <w:rPr>
                <w:rFonts w:ascii="仿宋" w:hAnsi="仿宋" w:eastAsia="仿宋" w:cs="仿宋"/>
                <w:b/>
                <w:kern w:val="0"/>
                <w:sz w:val="32"/>
                <w:szCs w:val="32"/>
                <w:highlight w:val="none"/>
              </w:rPr>
            </w:pPr>
          </w:p>
        </w:tc>
        <w:tc>
          <w:tcPr>
            <w:tcW w:w="1218" w:type="dxa"/>
          </w:tcPr>
          <w:p>
            <w:pPr>
              <w:wordWrap w:val="0"/>
              <w:jc w:val="center"/>
              <w:outlineLvl w:val="2"/>
              <w:rPr>
                <w:rFonts w:ascii="仿宋" w:hAnsi="仿宋" w:eastAsia="仿宋" w:cs="仿宋"/>
                <w:b/>
                <w:kern w:val="0"/>
                <w:sz w:val="32"/>
                <w:szCs w:val="32"/>
                <w:highlight w:val="none"/>
              </w:rPr>
            </w:pPr>
          </w:p>
        </w:tc>
        <w:tc>
          <w:tcPr>
            <w:tcW w:w="698" w:type="dxa"/>
          </w:tcPr>
          <w:p>
            <w:pPr>
              <w:wordWrap w:val="0"/>
              <w:jc w:val="center"/>
              <w:outlineLvl w:val="2"/>
              <w:rPr>
                <w:rFonts w:ascii="仿宋" w:hAnsi="仿宋" w:eastAsia="仿宋" w:cs="仿宋"/>
                <w:b/>
                <w:kern w:val="0"/>
                <w:sz w:val="32"/>
                <w:szCs w:val="32"/>
                <w:highlight w:val="none"/>
              </w:rPr>
            </w:pPr>
          </w:p>
        </w:tc>
        <w:tc>
          <w:tcPr>
            <w:tcW w:w="1244" w:type="dxa"/>
          </w:tcPr>
          <w:p>
            <w:pPr>
              <w:wordWrap w:val="0"/>
              <w:jc w:val="center"/>
              <w:outlineLvl w:val="2"/>
              <w:rPr>
                <w:rFonts w:ascii="仿宋" w:hAnsi="仿宋" w:eastAsia="仿宋" w:cs="仿宋"/>
                <w:b/>
                <w:kern w:val="0"/>
                <w:sz w:val="32"/>
                <w:szCs w:val="32"/>
                <w:highlight w:val="none"/>
              </w:rPr>
            </w:pPr>
          </w:p>
        </w:tc>
        <w:tc>
          <w:tcPr>
            <w:tcW w:w="1011" w:type="dxa"/>
          </w:tcPr>
          <w:p>
            <w:pPr>
              <w:wordWrap w:val="0"/>
              <w:jc w:val="center"/>
              <w:outlineLvl w:val="2"/>
              <w:rPr>
                <w:rFonts w:ascii="仿宋" w:hAnsi="仿宋" w:eastAsia="仿宋" w:cs="仿宋"/>
                <w:b/>
                <w:kern w:val="0"/>
                <w:sz w:val="32"/>
                <w:szCs w:val="32"/>
                <w:highlight w:val="none"/>
              </w:rPr>
            </w:pPr>
          </w:p>
        </w:tc>
        <w:tc>
          <w:tcPr>
            <w:tcW w:w="1773" w:type="dxa"/>
          </w:tcPr>
          <w:p>
            <w:pPr>
              <w:wordWrap w:val="0"/>
              <w:jc w:val="center"/>
              <w:outlineLvl w:val="2"/>
              <w:rPr>
                <w:rFonts w:ascii="仿宋" w:hAnsi="仿宋" w:eastAsia="仿宋" w:cs="仿宋"/>
                <w:b/>
                <w:kern w:val="0"/>
                <w:sz w:val="32"/>
                <w:szCs w:val="32"/>
                <w:highlight w:val="none"/>
              </w:rPr>
            </w:pPr>
          </w:p>
        </w:tc>
        <w:tc>
          <w:tcPr>
            <w:tcW w:w="625" w:type="dxa"/>
          </w:tcPr>
          <w:p>
            <w:pPr>
              <w:wordWrap w:val="0"/>
              <w:jc w:val="center"/>
              <w:outlineLvl w:val="2"/>
              <w:rPr>
                <w:rFonts w:ascii="仿宋" w:hAnsi="仿宋" w:eastAsia="仿宋" w:cs="仿宋"/>
                <w:b/>
                <w:kern w:val="0"/>
                <w:sz w:val="32"/>
                <w:szCs w:val="32"/>
                <w:highlight w:val="none"/>
              </w:rPr>
            </w:pPr>
          </w:p>
        </w:tc>
        <w:tc>
          <w:tcPr>
            <w:tcW w:w="731" w:type="dxa"/>
          </w:tcPr>
          <w:p>
            <w:pPr>
              <w:wordWrap w:val="0"/>
              <w:jc w:val="center"/>
              <w:outlineLvl w:val="2"/>
              <w:rPr>
                <w:rFonts w:ascii="仿宋" w:hAnsi="仿宋" w:eastAsia="仿宋" w:cs="仿宋"/>
                <w:b/>
                <w:kern w:val="0"/>
                <w:sz w:val="32"/>
                <w:szCs w:val="32"/>
                <w:highlight w:val="none"/>
              </w:rPr>
            </w:pPr>
          </w:p>
        </w:tc>
        <w:tc>
          <w:tcPr>
            <w:tcW w:w="1067" w:type="dxa"/>
          </w:tcPr>
          <w:p>
            <w:pPr>
              <w:wordWrap w:val="0"/>
              <w:jc w:val="center"/>
              <w:outlineLvl w:val="2"/>
              <w:rPr>
                <w:rFonts w:ascii="仿宋" w:hAnsi="仿宋" w:eastAsia="仿宋" w:cs="仿宋"/>
                <w:b/>
                <w:kern w:val="0"/>
                <w:sz w:val="32"/>
                <w:szCs w:val="32"/>
                <w:highlight w:val="none"/>
              </w:rPr>
            </w:pPr>
          </w:p>
        </w:tc>
      </w:tr>
    </w:tbl>
    <w:p>
      <w:pPr>
        <w:wordWrap w:val="0"/>
        <w:autoSpaceDE w:val="0"/>
        <w:autoSpaceDN w:val="0"/>
        <w:spacing w:line="360" w:lineRule="auto"/>
        <w:rPr>
          <w:rFonts w:ascii="仿宋" w:hAnsi="仿宋" w:eastAsia="仿宋" w:cs="仿宋"/>
          <w:b/>
          <w:sz w:val="24"/>
          <w:highlight w:val="none"/>
        </w:rPr>
      </w:pPr>
      <w:r>
        <w:rPr>
          <w:rFonts w:hint="eastAsia" w:ascii="仿宋" w:hAnsi="仿宋" w:eastAsia="仿宋" w:cs="仿宋"/>
          <w:b/>
          <w:sz w:val="24"/>
          <w:highlight w:val="none"/>
        </w:rPr>
        <w:t>注：</w:t>
      </w:r>
      <w:r>
        <w:rPr>
          <w:rFonts w:hint="eastAsia" w:ascii="仿宋" w:hAnsi="仿宋" w:eastAsia="仿宋" w:cs="仿宋"/>
          <w:kern w:val="0"/>
          <w:sz w:val="24"/>
          <w:highlight w:val="none"/>
        </w:rPr>
        <w:t>本项目不允许采购进口产品。</w:t>
      </w:r>
    </w:p>
    <w:p>
      <w:pPr>
        <w:wordWrap w:val="0"/>
        <w:autoSpaceDE w:val="0"/>
        <w:autoSpaceDN w:val="0"/>
        <w:spacing w:line="360" w:lineRule="auto"/>
        <w:rPr>
          <w:rFonts w:ascii="仿宋" w:hAnsi="仿宋" w:eastAsia="仿宋" w:cs="仿宋"/>
          <w:b/>
          <w:sz w:val="24"/>
          <w:highlight w:val="none"/>
        </w:rPr>
      </w:pPr>
    </w:p>
    <w:p>
      <w:pPr>
        <w:wordWrap w:val="0"/>
        <w:autoSpaceDE w:val="0"/>
        <w:autoSpaceDN w:val="0"/>
        <w:spacing w:line="360" w:lineRule="auto"/>
        <w:rPr>
          <w:rFonts w:ascii="仿宋" w:hAnsi="仿宋" w:eastAsia="仿宋" w:cs="仿宋"/>
          <w:sz w:val="24"/>
          <w:highlight w:val="none"/>
        </w:rPr>
      </w:pPr>
    </w:p>
    <w:p>
      <w:pPr>
        <w:pStyle w:val="33"/>
        <w:wordWrap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投标人名称（电子签名）：</w:t>
      </w:r>
    </w:p>
    <w:p>
      <w:pPr>
        <w:pStyle w:val="33"/>
        <w:wordWrap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日  期：</w:t>
      </w:r>
    </w:p>
    <w:p>
      <w:pPr>
        <w:wordWrap w:val="0"/>
        <w:jc w:val="center"/>
        <w:rPr>
          <w:rFonts w:ascii="仿宋" w:hAnsi="仿宋" w:eastAsia="仿宋" w:cs="仿宋"/>
          <w:b/>
          <w:kern w:val="0"/>
          <w:sz w:val="32"/>
          <w:szCs w:val="32"/>
          <w:highlight w:val="none"/>
        </w:rPr>
      </w:pPr>
    </w:p>
    <w:p>
      <w:pPr>
        <w:wordWrap w:val="0"/>
        <w:jc w:val="center"/>
        <w:outlineLvl w:val="4"/>
        <w:rPr>
          <w:rFonts w:ascii="仿宋" w:hAnsi="仿宋" w:eastAsia="仿宋" w:cs="仿宋"/>
          <w:b/>
          <w:kern w:val="0"/>
          <w:sz w:val="32"/>
          <w:szCs w:val="32"/>
          <w:highlight w:val="none"/>
        </w:rPr>
        <w:sectPr>
          <w:pgSz w:w="11905" w:h="16838"/>
          <w:pgMar w:top="652" w:right="1417" w:bottom="680" w:left="1417" w:header="539" w:footer="425" w:gutter="0"/>
          <w:cols w:space="0" w:num="1"/>
          <w:titlePg/>
          <w:docGrid w:linePitch="312" w:charSpace="0"/>
        </w:sectPr>
      </w:pPr>
    </w:p>
    <w:p>
      <w:pPr>
        <w:wordWrap w:val="0"/>
        <w:outlineLvl w:val="4"/>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rPr>
        <w:t>三</w:t>
      </w:r>
      <w:r>
        <w:rPr>
          <w:rFonts w:hint="eastAsia" w:ascii="仿宋" w:hAnsi="仿宋" w:eastAsia="仿宋" w:cs="仿宋"/>
          <w:b/>
          <w:kern w:val="0"/>
          <w:sz w:val="32"/>
          <w:szCs w:val="32"/>
          <w:highlight w:val="none"/>
          <w:lang w:val="zh-CN"/>
        </w:rPr>
        <w:t>）投标人为完成本项目组建的项目组人员名单</w:t>
      </w:r>
    </w:p>
    <w:p>
      <w:pPr>
        <w:wordWrap w:val="0"/>
        <w:autoSpaceDE w:val="0"/>
        <w:autoSpaceDN w:val="0"/>
        <w:spacing w:line="360" w:lineRule="auto"/>
        <w:ind w:firstLine="477"/>
        <w:rPr>
          <w:rFonts w:ascii="仿宋" w:hAnsi="仿宋" w:eastAsia="仿宋" w:cs="仿宋"/>
          <w:b/>
          <w:sz w:val="24"/>
          <w:highlight w:val="none"/>
        </w:rPr>
      </w:pPr>
    </w:p>
    <w:p>
      <w:pPr>
        <w:wordWrap w:val="0"/>
        <w:autoSpaceDE w:val="0"/>
        <w:autoSpaceDN w:val="0"/>
        <w:spacing w:line="360" w:lineRule="auto"/>
        <w:ind w:firstLine="477"/>
        <w:rPr>
          <w:rFonts w:ascii="仿宋" w:hAnsi="仿宋" w:eastAsia="仿宋" w:cs="仿宋"/>
          <w:b/>
          <w:sz w:val="24"/>
          <w:highlight w:val="none"/>
        </w:rPr>
      </w:pPr>
      <w:r>
        <w:rPr>
          <w:rFonts w:hint="eastAsia" w:ascii="仿宋" w:hAnsi="仿宋" w:eastAsia="仿宋" w:cs="仿宋"/>
          <w:b/>
          <w:sz w:val="24"/>
          <w:highlight w:val="none"/>
        </w:rPr>
        <w:t>附表A:本项目的项目负责人情况表</w:t>
      </w:r>
    </w:p>
    <w:tbl>
      <w:tblPr>
        <w:tblStyle w:val="62"/>
        <w:tblW w:w="7793" w:type="dxa"/>
        <w:jc w:val="center"/>
        <w:tblLayout w:type="fixed"/>
        <w:tblCellMar>
          <w:top w:w="0" w:type="dxa"/>
          <w:left w:w="108" w:type="dxa"/>
          <w:bottom w:w="0" w:type="dxa"/>
          <w:right w:w="108" w:type="dxa"/>
        </w:tblCellMar>
      </w:tblPr>
      <w:tblGrid>
        <w:gridCol w:w="2160"/>
        <w:gridCol w:w="1486"/>
        <w:gridCol w:w="4147"/>
      </w:tblGrid>
      <w:tr>
        <w:tblPrEx>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姓名</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rPr>
                <w:rFonts w:ascii="仿宋" w:hAnsi="仿宋" w:eastAsia="仿宋" w:cs="仿宋"/>
                <w:sz w:val="24"/>
                <w:highlight w:val="none"/>
              </w:rPr>
            </w:pPr>
            <w:r>
              <w:rPr>
                <w:rFonts w:hint="eastAsia" w:ascii="仿宋" w:hAnsi="仿宋" w:eastAsia="仿宋" w:cs="仿宋"/>
                <w:sz w:val="24"/>
                <w:highlight w:val="none"/>
              </w:rPr>
              <w:t>近3年业绩及承担的主要工作情况，曾担任项目负责人的项目应列明细</w:t>
            </w: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性别</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p>
        </w:tc>
      </w:tr>
      <w:tr>
        <w:tblPrEx>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年龄</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职称</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毕业时间</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p>
        </w:tc>
      </w:tr>
      <w:tr>
        <w:tblPrEx>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所学专业</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p>
        </w:tc>
      </w:tr>
      <w:tr>
        <w:tblPrEx>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学历</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p>
        </w:tc>
      </w:tr>
      <w:tr>
        <w:tblPrEx>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资质证书编号</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p>
        </w:tc>
      </w:tr>
      <w:tr>
        <w:tblPrEx>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其他资质情况</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p>
        </w:tc>
      </w:tr>
      <w:tr>
        <w:tblPrEx>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联系电话</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p>
        </w:tc>
      </w:tr>
    </w:tbl>
    <w:p>
      <w:pPr>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注：须随表提交相应的证明材料（证明材料以资格要求和评标办法要求为准）并注明所在页码。</w:t>
      </w:r>
    </w:p>
    <w:p>
      <w:pPr>
        <w:wordWrap w:val="0"/>
        <w:autoSpaceDE w:val="0"/>
        <w:autoSpaceDN w:val="0"/>
        <w:spacing w:line="360" w:lineRule="auto"/>
        <w:rPr>
          <w:rFonts w:ascii="仿宋" w:hAnsi="仿宋" w:eastAsia="仿宋" w:cs="仿宋"/>
          <w:b/>
          <w:sz w:val="24"/>
          <w:highlight w:val="none"/>
        </w:rPr>
      </w:pPr>
      <w:r>
        <w:rPr>
          <w:rFonts w:hint="eastAsia" w:ascii="仿宋" w:hAnsi="仿宋" w:eastAsia="仿宋" w:cs="仿宋"/>
          <w:b/>
          <w:sz w:val="24"/>
          <w:highlight w:val="none"/>
        </w:rPr>
        <w:t>附表B:本项目的其它服务工作人员配备表</w:t>
      </w:r>
      <w:r>
        <w:rPr>
          <w:rFonts w:hint="eastAsia" w:ascii="仿宋" w:hAnsi="仿宋" w:eastAsia="仿宋" w:cs="仿宋"/>
          <w:sz w:val="24"/>
          <w:highlight w:val="none"/>
        </w:rPr>
        <w:t xml:space="preserve"> </w:t>
      </w:r>
    </w:p>
    <w:tbl>
      <w:tblPr>
        <w:tblStyle w:val="62"/>
        <w:tblW w:w="8519" w:type="dxa"/>
        <w:jc w:val="center"/>
        <w:tblLayout w:type="fixed"/>
        <w:tblCellMar>
          <w:top w:w="0" w:type="dxa"/>
          <w:left w:w="108" w:type="dxa"/>
          <w:bottom w:w="0" w:type="dxa"/>
          <w:right w:w="108" w:type="dxa"/>
        </w:tblCellMar>
      </w:tblPr>
      <w:tblGrid>
        <w:gridCol w:w="771"/>
        <w:gridCol w:w="1215"/>
        <w:gridCol w:w="787"/>
        <w:gridCol w:w="758"/>
        <w:gridCol w:w="817"/>
        <w:gridCol w:w="945"/>
        <w:gridCol w:w="990"/>
        <w:gridCol w:w="855"/>
        <w:gridCol w:w="1381"/>
      </w:tblGrid>
      <w:tr>
        <w:trPr>
          <w:jc w:val="center"/>
        </w:trPr>
        <w:tc>
          <w:tcPr>
            <w:tcW w:w="771"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left"/>
              <w:rPr>
                <w:rFonts w:ascii="仿宋" w:hAnsi="仿宋" w:eastAsia="仿宋" w:cs="仿宋"/>
                <w:sz w:val="24"/>
                <w:highlight w:val="none"/>
              </w:rPr>
            </w:pPr>
            <w:r>
              <w:rPr>
                <w:rFonts w:hint="eastAsia" w:ascii="仿宋" w:hAnsi="仿宋" w:eastAsia="仿宋" w:cs="仿宋"/>
                <w:sz w:val="24"/>
                <w:highlight w:val="none"/>
              </w:rPr>
              <w:t>序号</w:t>
            </w:r>
          </w:p>
        </w:tc>
        <w:tc>
          <w:tcPr>
            <w:tcW w:w="121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本项目中的职责</w:t>
            </w:r>
          </w:p>
        </w:tc>
        <w:tc>
          <w:tcPr>
            <w:tcW w:w="78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姓名</w:t>
            </w:r>
          </w:p>
        </w:tc>
        <w:tc>
          <w:tcPr>
            <w:tcW w:w="758"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性别</w:t>
            </w:r>
          </w:p>
        </w:tc>
        <w:tc>
          <w:tcPr>
            <w:tcW w:w="81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年龄</w:t>
            </w:r>
          </w:p>
        </w:tc>
        <w:tc>
          <w:tcPr>
            <w:tcW w:w="94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学历</w:t>
            </w:r>
          </w:p>
        </w:tc>
        <w:tc>
          <w:tcPr>
            <w:tcW w:w="99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专业</w:t>
            </w:r>
          </w:p>
        </w:tc>
        <w:tc>
          <w:tcPr>
            <w:tcW w:w="85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职称</w:t>
            </w:r>
          </w:p>
        </w:tc>
        <w:tc>
          <w:tcPr>
            <w:tcW w:w="1381"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工作经验</w:t>
            </w:r>
          </w:p>
        </w:tc>
      </w:tr>
      <w:tr>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r>
        <w:tblPrEx>
          <w:tblCellMar>
            <w:top w:w="0" w:type="dxa"/>
            <w:left w:w="108" w:type="dxa"/>
            <w:bottom w:w="0" w:type="dxa"/>
            <w:right w:w="108" w:type="dxa"/>
          </w:tblCellMar>
        </w:tblPrEx>
        <w:trPr>
          <w:trHeight w:val="29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center"/>
              <w:rPr>
                <w:rFonts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r>
        <w:tblPrEx>
          <w:tblCellMar>
            <w:top w:w="0" w:type="dxa"/>
            <w:left w:w="108" w:type="dxa"/>
            <w:bottom w:w="0" w:type="dxa"/>
            <w:right w:w="108" w:type="dxa"/>
          </w:tblCellMar>
        </w:tblPrEx>
        <w:trPr>
          <w:trHeight w:val="50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r>
        <w:tblPrEx>
          <w:tblCellMar>
            <w:top w:w="0" w:type="dxa"/>
            <w:left w:w="108" w:type="dxa"/>
            <w:bottom w:w="0" w:type="dxa"/>
            <w:right w:w="108" w:type="dxa"/>
          </w:tblCellMar>
        </w:tblPrEx>
        <w:trPr>
          <w:trHeight w:val="421"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r>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r>
        <w:tblPrEx>
          <w:tblCellMar>
            <w:top w:w="0" w:type="dxa"/>
            <w:left w:w="108" w:type="dxa"/>
            <w:bottom w:w="0" w:type="dxa"/>
            <w:right w:w="108" w:type="dxa"/>
          </w:tblCellMar>
        </w:tblPrEx>
        <w:trPr>
          <w:trHeight w:val="41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r>
        <w:tblPrEx>
          <w:tblCellMar>
            <w:top w:w="0" w:type="dxa"/>
            <w:left w:w="108" w:type="dxa"/>
            <w:bottom w:w="0" w:type="dxa"/>
            <w:right w:w="108" w:type="dxa"/>
          </w:tblCellMar>
        </w:tblPrEx>
        <w:trPr>
          <w:trHeight w:val="44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bl>
    <w:p>
      <w:pPr>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注：须随表提交相应的证明材料（证明材料以资格要求和评标办法要求为准）并注明所在页码。</w:t>
      </w:r>
    </w:p>
    <w:p>
      <w:pPr>
        <w:wordWrap w:val="0"/>
        <w:ind w:firstLine="480" w:firstLineChars="200"/>
        <w:rPr>
          <w:rFonts w:ascii="仿宋" w:hAnsi="仿宋" w:eastAsia="仿宋" w:cs="仿宋"/>
          <w:sz w:val="24"/>
          <w:highlight w:val="none"/>
        </w:rPr>
      </w:pPr>
    </w:p>
    <w:p>
      <w:pPr>
        <w:pStyle w:val="61"/>
        <w:wordWrap w:val="0"/>
        <w:ind w:left="0" w:leftChars="0" w:firstLine="48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w:t>
      </w:r>
    </w:p>
    <w:p>
      <w:pPr>
        <w:pStyle w:val="61"/>
        <w:wordWrap w:val="0"/>
        <w:ind w:left="0" w:leftChars="0" w:firstLine="480"/>
        <w:rPr>
          <w:rFonts w:ascii="仿宋" w:hAnsi="仿宋" w:eastAsia="仿宋" w:cs="仿宋"/>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p>
    <w:p>
      <w:pPr>
        <w:wordWrap w:val="0"/>
        <w:outlineLvl w:val="4"/>
        <w:rPr>
          <w:rFonts w:ascii="仿宋" w:hAnsi="仿宋" w:eastAsia="仿宋" w:cs="仿宋"/>
          <w:b/>
          <w:kern w:val="0"/>
          <w:sz w:val="32"/>
          <w:szCs w:val="32"/>
          <w:highlight w:val="none"/>
        </w:rPr>
      </w:pPr>
      <w:bookmarkStart w:id="545" w:name="_Toc14279"/>
      <w:bookmarkStart w:id="546" w:name="_Toc11318"/>
      <w:bookmarkStart w:id="547" w:name="_Toc9403"/>
      <w:bookmarkStart w:id="548" w:name="_Toc3004"/>
      <w:r>
        <w:rPr>
          <w:rFonts w:hint="eastAsia" w:ascii="仿宋" w:hAnsi="仿宋" w:eastAsia="仿宋" w:cs="仿宋"/>
          <w:b/>
          <w:kern w:val="0"/>
          <w:sz w:val="32"/>
          <w:szCs w:val="32"/>
          <w:highlight w:val="none"/>
        </w:rPr>
        <w:t>（四）商务技术偏离表</w:t>
      </w:r>
      <w:bookmarkEnd w:id="545"/>
      <w:bookmarkEnd w:id="546"/>
      <w:bookmarkEnd w:id="547"/>
      <w:bookmarkEnd w:id="548"/>
    </w:p>
    <w:p>
      <w:pPr>
        <w:numPr>
          <w:ilvl w:val="255"/>
          <w:numId w:val="0"/>
        </w:numPr>
        <w:wordWrap w:val="0"/>
        <w:jc w:val="left"/>
        <w:rPr>
          <w:rFonts w:ascii="仿宋" w:hAnsi="仿宋" w:eastAsia="仿宋" w:cs="仿宋"/>
          <w:b/>
          <w:kern w:val="0"/>
          <w:sz w:val="32"/>
          <w:szCs w:val="32"/>
          <w:highlight w:val="none"/>
        </w:rPr>
      </w:pPr>
    </w:p>
    <w:p>
      <w:pPr>
        <w:numPr>
          <w:ilvl w:val="255"/>
          <w:numId w:val="0"/>
        </w:numPr>
        <w:wordWrap w:val="0"/>
        <w:jc w:val="center"/>
        <w:outlineLvl w:val="4"/>
        <w:rPr>
          <w:rFonts w:ascii="仿宋" w:hAnsi="仿宋" w:eastAsia="仿宋" w:cs="仿宋"/>
          <w:b/>
          <w:kern w:val="0"/>
          <w:sz w:val="32"/>
          <w:szCs w:val="32"/>
          <w:highlight w:val="none"/>
        </w:rPr>
      </w:pPr>
      <w:bookmarkStart w:id="549" w:name="_Toc1061"/>
      <w:r>
        <w:rPr>
          <w:rFonts w:hint="eastAsia" w:ascii="仿宋" w:hAnsi="仿宋" w:eastAsia="仿宋" w:cs="仿宋"/>
          <w:b/>
          <w:kern w:val="0"/>
          <w:sz w:val="32"/>
          <w:szCs w:val="32"/>
          <w:highlight w:val="none"/>
        </w:rPr>
        <w:t>商务偏离表</w:t>
      </w:r>
      <w:bookmarkEnd w:id="549"/>
    </w:p>
    <w:p>
      <w:pPr>
        <w:numPr>
          <w:ilvl w:val="255"/>
          <w:numId w:val="0"/>
        </w:numPr>
        <w:wordWrap w:val="0"/>
        <w:rPr>
          <w:rFonts w:ascii="仿宋" w:hAnsi="仿宋" w:eastAsia="仿宋" w:cs="仿宋"/>
          <w:b/>
          <w:kern w:val="0"/>
          <w:sz w:val="32"/>
          <w:szCs w:val="32"/>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78"/>
        <w:gridCol w:w="499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65" w:type="dxa"/>
          </w:tcPr>
          <w:p>
            <w:pPr>
              <w:wordWrap w:val="0"/>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1678" w:type="dxa"/>
          </w:tcPr>
          <w:p>
            <w:pPr>
              <w:wordWrap w:val="0"/>
              <w:jc w:val="center"/>
              <w:rPr>
                <w:rFonts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4993" w:type="dxa"/>
          </w:tcPr>
          <w:p>
            <w:pPr>
              <w:wordWrap w:val="0"/>
              <w:jc w:val="center"/>
              <w:rPr>
                <w:rFonts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430" w:type="dxa"/>
          </w:tcPr>
          <w:p>
            <w:pPr>
              <w:wordWrap w:val="0"/>
              <w:jc w:val="center"/>
              <w:rPr>
                <w:rFonts w:ascii="仿宋" w:hAnsi="仿宋" w:eastAsia="仿宋" w:cs="仿宋"/>
                <w:b/>
                <w:bCs/>
                <w:sz w:val="24"/>
                <w:highlight w:val="none"/>
              </w:rPr>
            </w:pPr>
            <w:r>
              <w:rPr>
                <w:rFonts w:hint="eastAsia" w:ascii="仿宋" w:hAnsi="仿宋" w:eastAsia="仿宋" w:cs="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5" w:type="dxa"/>
            <w:vAlign w:val="center"/>
          </w:tcPr>
          <w:p>
            <w:pPr>
              <w:wordWrap w:val="0"/>
              <w:jc w:val="center"/>
              <w:rPr>
                <w:rFonts w:ascii="仿宋" w:hAnsi="仿宋" w:eastAsia="仿宋" w:cs="仿宋"/>
                <w:kern w:val="0"/>
                <w:sz w:val="24"/>
                <w:highlight w:val="none"/>
              </w:rPr>
            </w:pPr>
          </w:p>
        </w:tc>
        <w:tc>
          <w:tcPr>
            <w:tcW w:w="1678" w:type="dxa"/>
            <w:vAlign w:val="center"/>
          </w:tcPr>
          <w:p>
            <w:pPr>
              <w:wordWrap w:val="0"/>
              <w:jc w:val="center"/>
              <w:rPr>
                <w:rFonts w:ascii="仿宋" w:hAnsi="仿宋" w:eastAsia="仿宋" w:cs="仿宋"/>
                <w:b/>
                <w:kern w:val="0"/>
                <w:sz w:val="32"/>
                <w:szCs w:val="32"/>
                <w:highlight w:val="none"/>
              </w:rPr>
            </w:pPr>
          </w:p>
        </w:tc>
        <w:tc>
          <w:tcPr>
            <w:tcW w:w="4993" w:type="dxa"/>
          </w:tcPr>
          <w:p>
            <w:pPr>
              <w:wordWrap w:val="0"/>
              <w:spacing w:line="360" w:lineRule="auto"/>
              <w:outlineLvl w:val="1"/>
              <w:rPr>
                <w:rFonts w:ascii="仿宋" w:hAnsi="仿宋" w:eastAsia="仿宋" w:cs="仿宋"/>
                <w:b/>
                <w:kern w:val="0"/>
                <w:szCs w:val="21"/>
                <w:highlight w:val="none"/>
              </w:rPr>
            </w:pPr>
          </w:p>
        </w:tc>
        <w:tc>
          <w:tcPr>
            <w:tcW w:w="1430" w:type="dxa"/>
          </w:tcPr>
          <w:p>
            <w:pPr>
              <w:wordWrap w:val="0"/>
              <w:jc w:val="center"/>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5" w:type="dxa"/>
            <w:vAlign w:val="center"/>
          </w:tcPr>
          <w:p>
            <w:pPr>
              <w:wordWrap w:val="0"/>
              <w:jc w:val="center"/>
              <w:rPr>
                <w:rFonts w:ascii="仿宋" w:hAnsi="仿宋" w:eastAsia="仿宋" w:cs="仿宋"/>
                <w:kern w:val="0"/>
                <w:sz w:val="24"/>
                <w:highlight w:val="none"/>
              </w:rPr>
            </w:pPr>
          </w:p>
        </w:tc>
        <w:tc>
          <w:tcPr>
            <w:tcW w:w="1678" w:type="dxa"/>
            <w:vAlign w:val="center"/>
          </w:tcPr>
          <w:p>
            <w:pPr>
              <w:wordWrap w:val="0"/>
              <w:jc w:val="center"/>
              <w:rPr>
                <w:rFonts w:ascii="仿宋" w:hAnsi="仿宋" w:eastAsia="仿宋" w:cs="仿宋"/>
                <w:b/>
                <w:kern w:val="0"/>
                <w:sz w:val="32"/>
                <w:szCs w:val="32"/>
                <w:highlight w:val="none"/>
              </w:rPr>
            </w:pPr>
          </w:p>
        </w:tc>
        <w:tc>
          <w:tcPr>
            <w:tcW w:w="4993" w:type="dxa"/>
          </w:tcPr>
          <w:p>
            <w:pPr>
              <w:wordWrap w:val="0"/>
              <w:spacing w:line="360" w:lineRule="auto"/>
              <w:outlineLvl w:val="2"/>
              <w:rPr>
                <w:rFonts w:ascii="仿宋" w:hAnsi="仿宋" w:eastAsia="仿宋" w:cs="仿宋"/>
                <w:b/>
                <w:kern w:val="0"/>
                <w:szCs w:val="21"/>
                <w:highlight w:val="none"/>
              </w:rPr>
            </w:pPr>
          </w:p>
        </w:tc>
        <w:tc>
          <w:tcPr>
            <w:tcW w:w="1430" w:type="dxa"/>
          </w:tcPr>
          <w:p>
            <w:pPr>
              <w:wordWrap w:val="0"/>
              <w:jc w:val="center"/>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65" w:type="dxa"/>
            <w:vAlign w:val="center"/>
          </w:tcPr>
          <w:p>
            <w:pPr>
              <w:wordWrap w:val="0"/>
              <w:jc w:val="center"/>
              <w:rPr>
                <w:rFonts w:ascii="仿宋" w:hAnsi="仿宋" w:eastAsia="仿宋" w:cs="仿宋"/>
                <w:kern w:val="0"/>
                <w:sz w:val="24"/>
                <w:highlight w:val="none"/>
              </w:rPr>
            </w:pPr>
          </w:p>
        </w:tc>
        <w:tc>
          <w:tcPr>
            <w:tcW w:w="1678" w:type="dxa"/>
            <w:vAlign w:val="center"/>
          </w:tcPr>
          <w:p>
            <w:pPr>
              <w:wordWrap w:val="0"/>
              <w:jc w:val="center"/>
              <w:rPr>
                <w:rFonts w:ascii="仿宋" w:hAnsi="仿宋" w:eastAsia="仿宋" w:cs="仿宋"/>
                <w:b/>
                <w:kern w:val="0"/>
                <w:sz w:val="32"/>
                <w:szCs w:val="32"/>
                <w:highlight w:val="none"/>
              </w:rPr>
            </w:pPr>
          </w:p>
        </w:tc>
        <w:tc>
          <w:tcPr>
            <w:tcW w:w="4993" w:type="dxa"/>
          </w:tcPr>
          <w:p>
            <w:pPr>
              <w:wordWrap w:val="0"/>
              <w:spacing w:line="360" w:lineRule="auto"/>
              <w:rPr>
                <w:rFonts w:ascii="仿宋" w:hAnsi="仿宋" w:eastAsia="仿宋" w:cs="仿宋"/>
                <w:b/>
                <w:kern w:val="0"/>
                <w:szCs w:val="21"/>
                <w:highlight w:val="none"/>
              </w:rPr>
            </w:pPr>
          </w:p>
        </w:tc>
        <w:tc>
          <w:tcPr>
            <w:tcW w:w="1430" w:type="dxa"/>
          </w:tcPr>
          <w:p>
            <w:pPr>
              <w:wordWrap w:val="0"/>
              <w:jc w:val="center"/>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65" w:type="dxa"/>
            <w:vAlign w:val="center"/>
          </w:tcPr>
          <w:p>
            <w:pPr>
              <w:wordWrap w:val="0"/>
              <w:jc w:val="center"/>
              <w:rPr>
                <w:rFonts w:ascii="仿宋" w:hAnsi="仿宋" w:eastAsia="仿宋" w:cs="仿宋"/>
                <w:kern w:val="0"/>
                <w:sz w:val="24"/>
                <w:highlight w:val="none"/>
              </w:rPr>
            </w:pPr>
          </w:p>
        </w:tc>
        <w:tc>
          <w:tcPr>
            <w:tcW w:w="1678" w:type="dxa"/>
            <w:vAlign w:val="center"/>
          </w:tcPr>
          <w:p>
            <w:pPr>
              <w:wordWrap w:val="0"/>
              <w:jc w:val="center"/>
              <w:rPr>
                <w:rFonts w:ascii="仿宋" w:hAnsi="仿宋" w:eastAsia="仿宋" w:cs="仿宋"/>
                <w:b/>
                <w:kern w:val="0"/>
                <w:sz w:val="32"/>
                <w:szCs w:val="32"/>
                <w:highlight w:val="none"/>
              </w:rPr>
            </w:pPr>
          </w:p>
        </w:tc>
        <w:tc>
          <w:tcPr>
            <w:tcW w:w="4993" w:type="dxa"/>
          </w:tcPr>
          <w:p>
            <w:pPr>
              <w:wordWrap w:val="0"/>
              <w:snapToGrid w:val="0"/>
              <w:spacing w:line="360" w:lineRule="auto"/>
              <w:rPr>
                <w:rFonts w:ascii="仿宋" w:hAnsi="仿宋" w:eastAsia="仿宋" w:cs="仿宋"/>
                <w:b/>
                <w:kern w:val="0"/>
                <w:szCs w:val="21"/>
                <w:highlight w:val="none"/>
              </w:rPr>
            </w:pPr>
          </w:p>
        </w:tc>
        <w:tc>
          <w:tcPr>
            <w:tcW w:w="1430" w:type="dxa"/>
          </w:tcPr>
          <w:p>
            <w:pPr>
              <w:wordWrap w:val="0"/>
              <w:jc w:val="center"/>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65" w:type="dxa"/>
            <w:vAlign w:val="center"/>
          </w:tcPr>
          <w:p>
            <w:pPr>
              <w:wordWrap w:val="0"/>
              <w:jc w:val="center"/>
              <w:rPr>
                <w:rFonts w:ascii="仿宋" w:hAnsi="仿宋" w:eastAsia="仿宋" w:cs="仿宋"/>
                <w:kern w:val="0"/>
                <w:sz w:val="24"/>
                <w:highlight w:val="none"/>
              </w:rPr>
            </w:pPr>
            <w:r>
              <w:rPr>
                <w:rFonts w:hint="eastAsia" w:ascii="仿宋" w:hAnsi="仿宋" w:eastAsia="仿宋" w:cs="仿宋"/>
                <w:kern w:val="0"/>
                <w:sz w:val="24"/>
                <w:highlight w:val="none"/>
              </w:rPr>
              <w:t>…</w:t>
            </w:r>
          </w:p>
        </w:tc>
        <w:tc>
          <w:tcPr>
            <w:tcW w:w="1678" w:type="dxa"/>
            <w:vAlign w:val="center"/>
          </w:tcPr>
          <w:p>
            <w:pPr>
              <w:wordWrap w:val="0"/>
              <w:jc w:val="center"/>
              <w:rPr>
                <w:rFonts w:ascii="仿宋" w:hAnsi="仿宋" w:eastAsia="仿宋" w:cs="仿宋"/>
                <w:b/>
                <w:kern w:val="0"/>
                <w:sz w:val="32"/>
                <w:szCs w:val="32"/>
                <w:highlight w:val="none"/>
              </w:rPr>
            </w:pPr>
          </w:p>
        </w:tc>
        <w:tc>
          <w:tcPr>
            <w:tcW w:w="4993" w:type="dxa"/>
          </w:tcPr>
          <w:p>
            <w:pPr>
              <w:wordWrap w:val="0"/>
              <w:jc w:val="center"/>
              <w:rPr>
                <w:rFonts w:ascii="仿宋" w:hAnsi="仿宋" w:eastAsia="仿宋" w:cs="仿宋"/>
                <w:b/>
                <w:kern w:val="0"/>
                <w:sz w:val="32"/>
                <w:szCs w:val="32"/>
                <w:highlight w:val="none"/>
              </w:rPr>
            </w:pPr>
          </w:p>
        </w:tc>
        <w:tc>
          <w:tcPr>
            <w:tcW w:w="1430" w:type="dxa"/>
          </w:tcPr>
          <w:p>
            <w:pPr>
              <w:wordWrap w:val="0"/>
              <w:jc w:val="center"/>
              <w:rPr>
                <w:rFonts w:ascii="仿宋" w:hAnsi="仿宋" w:eastAsia="仿宋" w:cs="仿宋"/>
                <w:b/>
                <w:kern w:val="0"/>
                <w:sz w:val="32"/>
                <w:szCs w:val="32"/>
                <w:highlight w:val="none"/>
              </w:rPr>
            </w:pPr>
          </w:p>
        </w:tc>
      </w:tr>
    </w:tbl>
    <w:p>
      <w:pPr>
        <w:wordWrap w:val="0"/>
        <w:jc w:val="left"/>
        <w:rPr>
          <w:rFonts w:ascii="仿宋" w:hAnsi="仿宋" w:eastAsia="仿宋" w:cs="仿宋"/>
          <w:kern w:val="0"/>
          <w:sz w:val="24"/>
          <w:highlight w:val="none"/>
        </w:rPr>
      </w:pPr>
      <w:r>
        <w:rPr>
          <w:rFonts w:hint="eastAsia" w:ascii="仿宋" w:hAnsi="仿宋" w:eastAsia="仿宋" w:cs="仿宋"/>
          <w:kern w:val="0"/>
          <w:sz w:val="24"/>
          <w:highlight w:val="none"/>
        </w:rPr>
        <w:t>注：1.投标人保证：除商务偏离表列出的偏离外，投标人响应招标文件的全部要求。</w:t>
      </w:r>
    </w:p>
    <w:p>
      <w:pPr>
        <w:wordWrap w:val="0"/>
        <w:jc w:val="left"/>
        <w:rPr>
          <w:rFonts w:ascii="仿宋" w:hAnsi="仿宋" w:eastAsia="仿宋" w:cs="仿宋"/>
          <w:kern w:val="0"/>
          <w:sz w:val="24"/>
          <w:highlight w:val="none"/>
        </w:rPr>
      </w:pPr>
      <w:r>
        <w:rPr>
          <w:rFonts w:hint="eastAsia" w:ascii="仿宋" w:hAnsi="仿宋" w:eastAsia="仿宋" w:cs="仿宋"/>
          <w:kern w:val="0"/>
          <w:sz w:val="24"/>
          <w:highlight w:val="none"/>
        </w:rPr>
        <w:t>2.未填写的视为响应招标文件的全部要求。</w:t>
      </w:r>
    </w:p>
    <w:p>
      <w:pPr>
        <w:numPr>
          <w:ilvl w:val="255"/>
          <w:numId w:val="0"/>
        </w:numPr>
        <w:wordWrap w:val="0"/>
        <w:jc w:val="left"/>
        <w:rPr>
          <w:rFonts w:ascii="仿宋" w:hAnsi="仿宋" w:eastAsia="仿宋" w:cs="仿宋"/>
          <w:b/>
          <w:kern w:val="0"/>
          <w:sz w:val="32"/>
          <w:szCs w:val="32"/>
          <w:highlight w:val="none"/>
        </w:rPr>
      </w:pPr>
    </w:p>
    <w:p>
      <w:pPr>
        <w:numPr>
          <w:ilvl w:val="255"/>
          <w:numId w:val="0"/>
        </w:numPr>
        <w:wordWrap w:val="0"/>
        <w:jc w:val="left"/>
        <w:rPr>
          <w:rFonts w:ascii="仿宋" w:hAnsi="仿宋" w:eastAsia="仿宋" w:cs="仿宋"/>
          <w:b/>
          <w:kern w:val="0"/>
          <w:sz w:val="32"/>
          <w:szCs w:val="32"/>
          <w:highlight w:val="none"/>
        </w:rPr>
      </w:pPr>
    </w:p>
    <w:p>
      <w:pPr>
        <w:numPr>
          <w:ilvl w:val="255"/>
          <w:numId w:val="0"/>
        </w:numPr>
        <w:wordWrap w:val="0"/>
        <w:jc w:val="left"/>
        <w:rPr>
          <w:rFonts w:ascii="仿宋" w:hAnsi="仿宋" w:eastAsia="仿宋" w:cs="仿宋"/>
          <w:b/>
          <w:kern w:val="0"/>
          <w:sz w:val="32"/>
          <w:szCs w:val="32"/>
          <w:highlight w:val="none"/>
        </w:rPr>
      </w:pPr>
    </w:p>
    <w:p>
      <w:pPr>
        <w:numPr>
          <w:ilvl w:val="255"/>
          <w:numId w:val="0"/>
        </w:numPr>
        <w:wordWrap w:val="0"/>
        <w:jc w:val="left"/>
        <w:rPr>
          <w:rFonts w:ascii="仿宋" w:hAnsi="仿宋" w:eastAsia="仿宋" w:cs="仿宋"/>
          <w:b/>
          <w:kern w:val="0"/>
          <w:sz w:val="32"/>
          <w:szCs w:val="32"/>
          <w:highlight w:val="none"/>
        </w:rPr>
      </w:pPr>
    </w:p>
    <w:p>
      <w:pPr>
        <w:numPr>
          <w:ilvl w:val="255"/>
          <w:numId w:val="0"/>
        </w:numPr>
        <w:wordWrap w:val="0"/>
        <w:jc w:val="left"/>
        <w:rPr>
          <w:rFonts w:ascii="仿宋" w:hAnsi="仿宋" w:eastAsia="仿宋" w:cs="仿宋"/>
          <w:b/>
          <w:kern w:val="0"/>
          <w:sz w:val="32"/>
          <w:szCs w:val="32"/>
          <w:highlight w:val="none"/>
        </w:rPr>
      </w:pPr>
    </w:p>
    <w:p>
      <w:pPr>
        <w:numPr>
          <w:ilvl w:val="255"/>
          <w:numId w:val="0"/>
        </w:numPr>
        <w:wordWrap w:val="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技术偏离表</w:t>
      </w:r>
    </w:p>
    <w:p>
      <w:pPr>
        <w:pStyle w:val="61"/>
        <w:numPr>
          <w:ilvl w:val="255"/>
          <w:numId w:val="0"/>
        </w:numPr>
        <w:wordWrap w:val="0"/>
        <w:rPr>
          <w:rFonts w:ascii="仿宋" w:hAnsi="仿宋" w:eastAsia="仿宋" w:cs="仿宋"/>
          <w:highlight w:val="none"/>
        </w:rPr>
      </w:pPr>
    </w:p>
    <w:tbl>
      <w:tblPr>
        <w:tblStyle w:val="63"/>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67"/>
        <w:gridCol w:w="2147"/>
        <w:gridCol w:w="2000"/>
        <w:gridCol w:w="1288"/>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54" w:type="dxa"/>
          </w:tcPr>
          <w:p>
            <w:pPr>
              <w:wordWrap w:val="0"/>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1667" w:type="dxa"/>
          </w:tcPr>
          <w:p>
            <w:pPr>
              <w:wordWrap w:val="0"/>
              <w:jc w:val="center"/>
              <w:rPr>
                <w:rFonts w:ascii="仿宋" w:hAnsi="仿宋" w:eastAsia="仿宋" w:cs="仿宋"/>
                <w:b/>
                <w:bCs/>
                <w:sz w:val="24"/>
                <w:highlight w:val="none"/>
              </w:rPr>
            </w:pPr>
            <w:r>
              <w:rPr>
                <w:rFonts w:hint="eastAsia" w:ascii="仿宋" w:hAnsi="仿宋" w:eastAsia="仿宋" w:cs="仿宋"/>
                <w:b/>
                <w:bCs/>
                <w:sz w:val="24"/>
                <w:highlight w:val="none"/>
              </w:rPr>
              <w:t>招标文件具体章节</w:t>
            </w:r>
          </w:p>
        </w:tc>
        <w:tc>
          <w:tcPr>
            <w:tcW w:w="2147" w:type="dxa"/>
          </w:tcPr>
          <w:p>
            <w:pPr>
              <w:wordWrap w:val="0"/>
              <w:jc w:val="center"/>
              <w:rPr>
                <w:rFonts w:ascii="仿宋" w:hAnsi="仿宋" w:eastAsia="仿宋" w:cs="仿宋"/>
                <w:b/>
                <w:bCs/>
                <w:sz w:val="24"/>
                <w:highlight w:val="none"/>
              </w:rPr>
            </w:pPr>
            <w:r>
              <w:rPr>
                <w:rFonts w:hint="eastAsia" w:ascii="仿宋" w:hAnsi="仿宋" w:eastAsia="仿宋" w:cs="仿宋"/>
                <w:b/>
                <w:bCs/>
                <w:sz w:val="24"/>
                <w:highlight w:val="none"/>
              </w:rPr>
              <w:t>具体内容</w:t>
            </w:r>
          </w:p>
        </w:tc>
        <w:tc>
          <w:tcPr>
            <w:tcW w:w="2000" w:type="dxa"/>
          </w:tcPr>
          <w:p>
            <w:pPr>
              <w:wordWrap w:val="0"/>
              <w:jc w:val="center"/>
              <w:rPr>
                <w:rFonts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88" w:type="dxa"/>
          </w:tcPr>
          <w:p>
            <w:pPr>
              <w:wordWrap w:val="0"/>
              <w:jc w:val="center"/>
              <w:rPr>
                <w:rFonts w:ascii="仿宋" w:hAnsi="仿宋" w:eastAsia="仿宋" w:cs="仿宋"/>
                <w:b/>
                <w:bCs/>
                <w:sz w:val="24"/>
                <w:highlight w:val="none"/>
              </w:rPr>
            </w:pPr>
            <w:r>
              <w:rPr>
                <w:rFonts w:hint="eastAsia" w:ascii="仿宋" w:hAnsi="仿宋" w:eastAsia="仿宋" w:cs="仿宋"/>
                <w:b/>
                <w:bCs/>
                <w:sz w:val="24"/>
                <w:highlight w:val="none"/>
              </w:rPr>
              <w:t>偏离说明</w:t>
            </w:r>
          </w:p>
        </w:tc>
        <w:tc>
          <w:tcPr>
            <w:tcW w:w="1461" w:type="dxa"/>
          </w:tcPr>
          <w:p>
            <w:pPr>
              <w:wordWrap w:val="0"/>
              <w:jc w:val="center"/>
              <w:rPr>
                <w:rFonts w:ascii="仿宋" w:hAnsi="仿宋" w:eastAsia="仿宋" w:cs="仿宋"/>
                <w:b/>
                <w:bCs/>
                <w:sz w:val="24"/>
                <w:highlight w:val="none"/>
              </w:rPr>
            </w:pPr>
            <w:r>
              <w:rPr>
                <w:rFonts w:hint="eastAsia" w:ascii="仿宋" w:hAnsi="仿宋" w:eastAsia="仿宋" w:cs="仿宋"/>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4" w:type="dxa"/>
            <w:vAlign w:val="center"/>
          </w:tcPr>
          <w:p>
            <w:pPr>
              <w:wordWrap w:val="0"/>
              <w:jc w:val="center"/>
              <w:rPr>
                <w:rFonts w:ascii="仿宋" w:hAnsi="仿宋" w:eastAsia="仿宋" w:cs="仿宋"/>
                <w:b/>
                <w:bCs/>
                <w:sz w:val="15"/>
                <w:szCs w:val="15"/>
                <w:highlight w:val="none"/>
              </w:rPr>
            </w:pPr>
          </w:p>
        </w:tc>
        <w:tc>
          <w:tcPr>
            <w:tcW w:w="1667" w:type="dxa"/>
            <w:vAlign w:val="center"/>
          </w:tcPr>
          <w:p>
            <w:pPr>
              <w:jc w:val="center"/>
              <w:rPr>
                <w:rFonts w:ascii="仿宋" w:hAnsi="仿宋" w:eastAsia="仿宋" w:cs="仿宋"/>
                <w:b/>
                <w:bCs/>
                <w:sz w:val="15"/>
                <w:szCs w:val="15"/>
                <w:highlight w:val="none"/>
              </w:rPr>
            </w:pPr>
          </w:p>
        </w:tc>
        <w:tc>
          <w:tcPr>
            <w:tcW w:w="2147" w:type="dxa"/>
          </w:tcPr>
          <w:p>
            <w:pPr>
              <w:pStyle w:val="23"/>
              <w:wordWrap w:val="0"/>
              <w:rPr>
                <w:rFonts w:ascii="仿宋" w:hAnsi="仿宋" w:eastAsia="仿宋" w:cs="仿宋"/>
                <w:b/>
                <w:kern w:val="0"/>
                <w:sz w:val="21"/>
                <w:highlight w:val="none"/>
              </w:rPr>
            </w:pPr>
          </w:p>
        </w:tc>
        <w:tc>
          <w:tcPr>
            <w:tcW w:w="2000" w:type="dxa"/>
          </w:tcPr>
          <w:p>
            <w:pPr>
              <w:wordWrap w:val="0"/>
              <w:jc w:val="center"/>
              <w:rPr>
                <w:rFonts w:ascii="仿宋" w:hAnsi="仿宋" w:eastAsia="仿宋" w:cs="仿宋"/>
                <w:b/>
                <w:kern w:val="0"/>
                <w:sz w:val="32"/>
                <w:szCs w:val="32"/>
                <w:highlight w:val="none"/>
              </w:rPr>
            </w:pPr>
          </w:p>
        </w:tc>
        <w:tc>
          <w:tcPr>
            <w:tcW w:w="1288" w:type="dxa"/>
          </w:tcPr>
          <w:p>
            <w:pPr>
              <w:wordWrap w:val="0"/>
              <w:jc w:val="center"/>
              <w:rPr>
                <w:rFonts w:ascii="仿宋" w:hAnsi="仿宋" w:eastAsia="仿宋" w:cs="仿宋"/>
                <w:b/>
                <w:kern w:val="0"/>
                <w:sz w:val="32"/>
                <w:szCs w:val="32"/>
                <w:highlight w:val="none"/>
              </w:rPr>
            </w:pPr>
          </w:p>
        </w:tc>
        <w:tc>
          <w:tcPr>
            <w:tcW w:w="1461" w:type="dxa"/>
          </w:tcPr>
          <w:p>
            <w:pPr>
              <w:wordWrap w:val="0"/>
              <w:jc w:val="center"/>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4" w:type="dxa"/>
            <w:vAlign w:val="center"/>
          </w:tcPr>
          <w:p>
            <w:pPr>
              <w:wordWrap w:val="0"/>
              <w:jc w:val="center"/>
              <w:rPr>
                <w:rFonts w:ascii="仿宋" w:hAnsi="仿宋" w:eastAsia="仿宋" w:cs="仿宋"/>
                <w:kern w:val="0"/>
                <w:sz w:val="15"/>
                <w:szCs w:val="15"/>
                <w:highlight w:val="none"/>
              </w:rPr>
            </w:pPr>
          </w:p>
        </w:tc>
        <w:tc>
          <w:tcPr>
            <w:tcW w:w="1667" w:type="dxa"/>
            <w:vAlign w:val="center"/>
          </w:tcPr>
          <w:p>
            <w:pPr>
              <w:wordWrap w:val="0"/>
              <w:jc w:val="center"/>
              <w:rPr>
                <w:rFonts w:ascii="仿宋" w:hAnsi="仿宋" w:eastAsia="仿宋" w:cs="仿宋"/>
                <w:b/>
                <w:kern w:val="0"/>
                <w:sz w:val="15"/>
                <w:szCs w:val="15"/>
                <w:highlight w:val="none"/>
              </w:rPr>
            </w:pPr>
          </w:p>
        </w:tc>
        <w:tc>
          <w:tcPr>
            <w:tcW w:w="2147" w:type="dxa"/>
          </w:tcPr>
          <w:p>
            <w:pPr>
              <w:wordWrap w:val="0"/>
              <w:spacing w:line="360" w:lineRule="auto"/>
              <w:rPr>
                <w:rFonts w:ascii="仿宋" w:hAnsi="仿宋" w:eastAsia="仿宋" w:cs="仿宋"/>
                <w:b/>
                <w:kern w:val="0"/>
                <w:szCs w:val="21"/>
                <w:highlight w:val="none"/>
              </w:rPr>
            </w:pPr>
          </w:p>
        </w:tc>
        <w:tc>
          <w:tcPr>
            <w:tcW w:w="2000" w:type="dxa"/>
          </w:tcPr>
          <w:p>
            <w:pPr>
              <w:wordWrap w:val="0"/>
              <w:jc w:val="center"/>
              <w:rPr>
                <w:rFonts w:ascii="仿宋" w:hAnsi="仿宋" w:eastAsia="仿宋" w:cs="仿宋"/>
                <w:b/>
                <w:kern w:val="0"/>
                <w:sz w:val="32"/>
                <w:szCs w:val="32"/>
                <w:highlight w:val="none"/>
              </w:rPr>
            </w:pPr>
          </w:p>
        </w:tc>
        <w:tc>
          <w:tcPr>
            <w:tcW w:w="1288" w:type="dxa"/>
          </w:tcPr>
          <w:p>
            <w:pPr>
              <w:wordWrap w:val="0"/>
              <w:jc w:val="center"/>
              <w:rPr>
                <w:rFonts w:ascii="仿宋" w:hAnsi="仿宋" w:eastAsia="仿宋" w:cs="仿宋"/>
                <w:b/>
                <w:kern w:val="0"/>
                <w:sz w:val="32"/>
                <w:szCs w:val="32"/>
                <w:highlight w:val="none"/>
              </w:rPr>
            </w:pPr>
          </w:p>
        </w:tc>
        <w:tc>
          <w:tcPr>
            <w:tcW w:w="1461" w:type="dxa"/>
          </w:tcPr>
          <w:p>
            <w:pPr>
              <w:wordWrap w:val="0"/>
              <w:jc w:val="center"/>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4" w:type="dxa"/>
            <w:vAlign w:val="center"/>
          </w:tcPr>
          <w:p>
            <w:pPr>
              <w:wordWrap w:val="0"/>
              <w:jc w:val="center"/>
              <w:rPr>
                <w:rFonts w:ascii="仿宋" w:hAnsi="仿宋" w:eastAsia="仿宋" w:cs="仿宋"/>
                <w:kern w:val="0"/>
                <w:sz w:val="15"/>
                <w:szCs w:val="15"/>
                <w:highlight w:val="none"/>
              </w:rPr>
            </w:pPr>
          </w:p>
        </w:tc>
        <w:tc>
          <w:tcPr>
            <w:tcW w:w="1667" w:type="dxa"/>
            <w:vAlign w:val="center"/>
          </w:tcPr>
          <w:p>
            <w:pPr>
              <w:wordWrap w:val="0"/>
              <w:jc w:val="center"/>
              <w:rPr>
                <w:rFonts w:ascii="仿宋" w:hAnsi="仿宋" w:eastAsia="仿宋" w:cs="仿宋"/>
                <w:b/>
                <w:bCs/>
                <w:sz w:val="15"/>
                <w:szCs w:val="15"/>
                <w:highlight w:val="none"/>
              </w:rPr>
            </w:pPr>
          </w:p>
        </w:tc>
        <w:tc>
          <w:tcPr>
            <w:tcW w:w="2147" w:type="dxa"/>
          </w:tcPr>
          <w:p>
            <w:pPr>
              <w:wordWrap w:val="0"/>
              <w:spacing w:line="360" w:lineRule="auto"/>
              <w:rPr>
                <w:rFonts w:ascii="仿宋" w:hAnsi="仿宋" w:eastAsia="仿宋" w:cs="仿宋"/>
                <w:szCs w:val="21"/>
                <w:highlight w:val="none"/>
              </w:rPr>
            </w:pPr>
          </w:p>
        </w:tc>
        <w:tc>
          <w:tcPr>
            <w:tcW w:w="2000" w:type="dxa"/>
          </w:tcPr>
          <w:p>
            <w:pPr>
              <w:wordWrap w:val="0"/>
              <w:jc w:val="center"/>
              <w:rPr>
                <w:rFonts w:ascii="仿宋" w:hAnsi="仿宋" w:eastAsia="仿宋" w:cs="仿宋"/>
                <w:b/>
                <w:kern w:val="0"/>
                <w:sz w:val="32"/>
                <w:szCs w:val="32"/>
                <w:highlight w:val="none"/>
              </w:rPr>
            </w:pPr>
          </w:p>
        </w:tc>
        <w:tc>
          <w:tcPr>
            <w:tcW w:w="1288" w:type="dxa"/>
          </w:tcPr>
          <w:p>
            <w:pPr>
              <w:wordWrap w:val="0"/>
              <w:jc w:val="center"/>
              <w:rPr>
                <w:rFonts w:ascii="仿宋" w:hAnsi="仿宋" w:eastAsia="仿宋" w:cs="仿宋"/>
                <w:b/>
                <w:kern w:val="0"/>
                <w:sz w:val="32"/>
                <w:szCs w:val="32"/>
                <w:highlight w:val="none"/>
              </w:rPr>
            </w:pPr>
          </w:p>
        </w:tc>
        <w:tc>
          <w:tcPr>
            <w:tcW w:w="1461" w:type="dxa"/>
          </w:tcPr>
          <w:p>
            <w:pPr>
              <w:wordWrap w:val="0"/>
              <w:jc w:val="center"/>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4" w:type="dxa"/>
          </w:tcPr>
          <w:p>
            <w:pPr>
              <w:wordWrap w:val="0"/>
              <w:jc w:val="center"/>
              <w:rPr>
                <w:rFonts w:ascii="仿宋" w:hAnsi="仿宋" w:eastAsia="仿宋" w:cs="仿宋"/>
                <w:kern w:val="0"/>
                <w:sz w:val="15"/>
                <w:szCs w:val="15"/>
                <w:highlight w:val="none"/>
              </w:rPr>
            </w:pPr>
          </w:p>
        </w:tc>
        <w:tc>
          <w:tcPr>
            <w:tcW w:w="1667" w:type="dxa"/>
          </w:tcPr>
          <w:p>
            <w:pPr>
              <w:wordWrap w:val="0"/>
              <w:jc w:val="center"/>
              <w:rPr>
                <w:rFonts w:ascii="仿宋" w:hAnsi="仿宋" w:eastAsia="仿宋" w:cs="仿宋"/>
                <w:b/>
                <w:kern w:val="0"/>
                <w:sz w:val="15"/>
                <w:szCs w:val="15"/>
                <w:highlight w:val="none"/>
              </w:rPr>
            </w:pPr>
          </w:p>
        </w:tc>
        <w:tc>
          <w:tcPr>
            <w:tcW w:w="2147" w:type="dxa"/>
          </w:tcPr>
          <w:p>
            <w:pPr>
              <w:wordWrap w:val="0"/>
              <w:spacing w:line="360" w:lineRule="auto"/>
              <w:jc w:val="center"/>
              <w:rPr>
                <w:rFonts w:ascii="仿宋" w:hAnsi="仿宋" w:eastAsia="仿宋" w:cs="仿宋"/>
                <w:b/>
                <w:kern w:val="0"/>
                <w:sz w:val="32"/>
                <w:szCs w:val="32"/>
                <w:highlight w:val="none"/>
              </w:rPr>
            </w:pPr>
          </w:p>
        </w:tc>
        <w:tc>
          <w:tcPr>
            <w:tcW w:w="2000" w:type="dxa"/>
          </w:tcPr>
          <w:p>
            <w:pPr>
              <w:wordWrap w:val="0"/>
              <w:jc w:val="center"/>
              <w:rPr>
                <w:rFonts w:ascii="仿宋" w:hAnsi="仿宋" w:eastAsia="仿宋" w:cs="仿宋"/>
                <w:b/>
                <w:kern w:val="0"/>
                <w:sz w:val="32"/>
                <w:szCs w:val="32"/>
                <w:highlight w:val="none"/>
              </w:rPr>
            </w:pPr>
          </w:p>
        </w:tc>
        <w:tc>
          <w:tcPr>
            <w:tcW w:w="1288" w:type="dxa"/>
          </w:tcPr>
          <w:p>
            <w:pPr>
              <w:wordWrap w:val="0"/>
              <w:jc w:val="center"/>
              <w:rPr>
                <w:rFonts w:ascii="仿宋" w:hAnsi="仿宋" w:eastAsia="仿宋" w:cs="仿宋"/>
                <w:b/>
                <w:kern w:val="0"/>
                <w:sz w:val="32"/>
                <w:szCs w:val="32"/>
                <w:highlight w:val="none"/>
              </w:rPr>
            </w:pPr>
          </w:p>
        </w:tc>
        <w:tc>
          <w:tcPr>
            <w:tcW w:w="1461" w:type="dxa"/>
          </w:tcPr>
          <w:p>
            <w:pPr>
              <w:wordWrap w:val="0"/>
              <w:jc w:val="center"/>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4" w:type="dxa"/>
          </w:tcPr>
          <w:p>
            <w:pPr>
              <w:wordWrap w:val="0"/>
              <w:rPr>
                <w:rFonts w:ascii="仿宋" w:hAnsi="仿宋" w:eastAsia="仿宋" w:cs="仿宋"/>
                <w:kern w:val="0"/>
                <w:sz w:val="15"/>
                <w:szCs w:val="15"/>
                <w:highlight w:val="none"/>
              </w:rPr>
            </w:pPr>
          </w:p>
        </w:tc>
        <w:tc>
          <w:tcPr>
            <w:tcW w:w="1667" w:type="dxa"/>
          </w:tcPr>
          <w:p>
            <w:pPr>
              <w:wordWrap w:val="0"/>
              <w:jc w:val="center"/>
              <w:rPr>
                <w:rFonts w:ascii="仿宋" w:hAnsi="仿宋" w:eastAsia="仿宋" w:cs="仿宋"/>
                <w:b/>
                <w:kern w:val="0"/>
                <w:sz w:val="15"/>
                <w:szCs w:val="15"/>
                <w:highlight w:val="none"/>
              </w:rPr>
            </w:pPr>
          </w:p>
        </w:tc>
        <w:tc>
          <w:tcPr>
            <w:tcW w:w="2147" w:type="dxa"/>
          </w:tcPr>
          <w:p>
            <w:pPr>
              <w:wordWrap w:val="0"/>
              <w:spacing w:line="360" w:lineRule="auto"/>
              <w:jc w:val="center"/>
              <w:rPr>
                <w:rFonts w:ascii="仿宋" w:hAnsi="仿宋" w:eastAsia="仿宋" w:cs="仿宋"/>
                <w:b/>
                <w:kern w:val="0"/>
                <w:sz w:val="32"/>
                <w:szCs w:val="32"/>
                <w:highlight w:val="none"/>
              </w:rPr>
            </w:pPr>
          </w:p>
        </w:tc>
        <w:tc>
          <w:tcPr>
            <w:tcW w:w="2000" w:type="dxa"/>
          </w:tcPr>
          <w:p>
            <w:pPr>
              <w:wordWrap w:val="0"/>
              <w:jc w:val="center"/>
              <w:rPr>
                <w:rFonts w:ascii="仿宋" w:hAnsi="仿宋" w:eastAsia="仿宋" w:cs="仿宋"/>
                <w:b/>
                <w:kern w:val="0"/>
                <w:sz w:val="32"/>
                <w:szCs w:val="32"/>
                <w:highlight w:val="none"/>
              </w:rPr>
            </w:pPr>
          </w:p>
        </w:tc>
        <w:tc>
          <w:tcPr>
            <w:tcW w:w="1288" w:type="dxa"/>
          </w:tcPr>
          <w:p>
            <w:pPr>
              <w:wordWrap w:val="0"/>
              <w:jc w:val="center"/>
              <w:rPr>
                <w:rFonts w:ascii="仿宋" w:hAnsi="仿宋" w:eastAsia="仿宋" w:cs="仿宋"/>
                <w:b/>
                <w:kern w:val="0"/>
                <w:sz w:val="32"/>
                <w:szCs w:val="32"/>
                <w:highlight w:val="none"/>
              </w:rPr>
            </w:pPr>
          </w:p>
        </w:tc>
        <w:tc>
          <w:tcPr>
            <w:tcW w:w="1461" w:type="dxa"/>
          </w:tcPr>
          <w:p>
            <w:pPr>
              <w:wordWrap w:val="0"/>
              <w:jc w:val="center"/>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4" w:type="dxa"/>
          </w:tcPr>
          <w:p>
            <w:pPr>
              <w:wordWrap w:val="0"/>
              <w:jc w:val="center"/>
              <w:rPr>
                <w:rFonts w:ascii="仿宋" w:hAnsi="仿宋" w:eastAsia="仿宋" w:cs="仿宋"/>
                <w:kern w:val="0"/>
                <w:sz w:val="24"/>
                <w:highlight w:val="none"/>
              </w:rPr>
            </w:pPr>
          </w:p>
        </w:tc>
        <w:tc>
          <w:tcPr>
            <w:tcW w:w="1667" w:type="dxa"/>
          </w:tcPr>
          <w:p>
            <w:pPr>
              <w:wordWrap w:val="0"/>
              <w:jc w:val="center"/>
              <w:rPr>
                <w:rFonts w:ascii="仿宋" w:hAnsi="仿宋" w:eastAsia="仿宋" w:cs="仿宋"/>
                <w:b/>
                <w:kern w:val="0"/>
                <w:sz w:val="32"/>
                <w:szCs w:val="32"/>
                <w:highlight w:val="none"/>
              </w:rPr>
            </w:pPr>
          </w:p>
        </w:tc>
        <w:tc>
          <w:tcPr>
            <w:tcW w:w="2147" w:type="dxa"/>
          </w:tcPr>
          <w:p>
            <w:pPr>
              <w:wordWrap w:val="0"/>
              <w:spacing w:line="360" w:lineRule="auto"/>
              <w:jc w:val="center"/>
              <w:rPr>
                <w:rFonts w:ascii="仿宋" w:hAnsi="仿宋" w:eastAsia="仿宋" w:cs="仿宋"/>
                <w:b/>
                <w:kern w:val="0"/>
                <w:sz w:val="32"/>
                <w:szCs w:val="32"/>
                <w:highlight w:val="none"/>
              </w:rPr>
            </w:pPr>
          </w:p>
        </w:tc>
        <w:tc>
          <w:tcPr>
            <w:tcW w:w="2000" w:type="dxa"/>
          </w:tcPr>
          <w:p>
            <w:pPr>
              <w:wordWrap w:val="0"/>
              <w:jc w:val="center"/>
              <w:rPr>
                <w:rFonts w:ascii="仿宋" w:hAnsi="仿宋" w:eastAsia="仿宋" w:cs="仿宋"/>
                <w:b/>
                <w:kern w:val="0"/>
                <w:sz w:val="32"/>
                <w:szCs w:val="32"/>
                <w:highlight w:val="none"/>
              </w:rPr>
            </w:pPr>
          </w:p>
        </w:tc>
        <w:tc>
          <w:tcPr>
            <w:tcW w:w="1288" w:type="dxa"/>
          </w:tcPr>
          <w:p>
            <w:pPr>
              <w:wordWrap w:val="0"/>
              <w:jc w:val="center"/>
              <w:rPr>
                <w:rFonts w:ascii="仿宋" w:hAnsi="仿宋" w:eastAsia="仿宋" w:cs="仿宋"/>
                <w:b/>
                <w:kern w:val="0"/>
                <w:sz w:val="32"/>
                <w:szCs w:val="32"/>
                <w:highlight w:val="none"/>
              </w:rPr>
            </w:pPr>
          </w:p>
        </w:tc>
        <w:tc>
          <w:tcPr>
            <w:tcW w:w="1461" w:type="dxa"/>
          </w:tcPr>
          <w:p>
            <w:pPr>
              <w:wordWrap w:val="0"/>
              <w:jc w:val="center"/>
              <w:rPr>
                <w:rFonts w:ascii="仿宋" w:hAnsi="仿宋" w:eastAsia="仿宋" w:cs="仿宋"/>
                <w:b/>
                <w:kern w:val="0"/>
                <w:sz w:val="32"/>
                <w:szCs w:val="32"/>
                <w:highlight w:val="none"/>
              </w:rPr>
            </w:pPr>
          </w:p>
        </w:tc>
      </w:tr>
    </w:tbl>
    <w:p>
      <w:pPr>
        <w:wordWrap w:val="0"/>
        <w:jc w:val="left"/>
        <w:rPr>
          <w:rFonts w:ascii="仿宋" w:hAnsi="仿宋" w:eastAsia="仿宋" w:cs="仿宋"/>
          <w:kern w:val="0"/>
          <w:sz w:val="24"/>
          <w:highlight w:val="none"/>
        </w:rPr>
      </w:pPr>
      <w:r>
        <w:rPr>
          <w:rFonts w:hint="eastAsia" w:ascii="仿宋" w:hAnsi="仿宋" w:eastAsia="仿宋" w:cs="仿宋"/>
          <w:highlight w:val="none"/>
        </w:rPr>
        <w:t>注：</w:t>
      </w:r>
      <w:r>
        <w:rPr>
          <w:rFonts w:hint="eastAsia" w:ascii="仿宋" w:hAnsi="仿宋" w:eastAsia="仿宋" w:cs="仿宋"/>
          <w:kern w:val="0"/>
          <w:sz w:val="24"/>
          <w:highlight w:val="none"/>
        </w:rPr>
        <w:t>1.投标人保证：除技术偏离表列出的偏离外，投标人响应招标文件的全部要求。</w:t>
      </w:r>
    </w:p>
    <w:p>
      <w:pPr>
        <w:wordWrap w:val="0"/>
        <w:jc w:val="left"/>
        <w:rPr>
          <w:rFonts w:ascii="仿宋" w:hAnsi="仿宋" w:eastAsia="仿宋" w:cs="仿宋"/>
          <w:kern w:val="0"/>
          <w:sz w:val="24"/>
          <w:highlight w:val="none"/>
        </w:rPr>
      </w:pPr>
      <w:r>
        <w:rPr>
          <w:rFonts w:hint="eastAsia" w:ascii="仿宋" w:hAnsi="仿宋" w:eastAsia="仿宋" w:cs="仿宋"/>
          <w:kern w:val="0"/>
          <w:sz w:val="24"/>
          <w:highlight w:val="none"/>
        </w:rPr>
        <w:t>2.未填写本表的视为响应招标文件的全部要求，若“项目采购清单和参数要求”表要求</w:t>
      </w:r>
    </w:p>
    <w:p>
      <w:pPr>
        <w:rPr>
          <w:rFonts w:ascii="仿宋" w:hAnsi="仿宋" w:eastAsia="仿宋" w:cs="仿宋"/>
          <w:kern w:val="0"/>
          <w:sz w:val="24"/>
          <w:highlight w:val="none"/>
        </w:rPr>
      </w:pPr>
      <w:r>
        <w:rPr>
          <w:rFonts w:hint="eastAsia" w:ascii="仿宋" w:hAnsi="仿宋" w:eastAsia="仿宋" w:cs="仿宋"/>
          <w:kern w:val="0"/>
          <w:sz w:val="24"/>
          <w:highlight w:val="none"/>
        </w:rPr>
        <w:t>提供证明材料的，则应附表后，否则视为负偏离。</w:t>
      </w:r>
    </w:p>
    <w:p>
      <w:pPr>
        <w:rPr>
          <w:rFonts w:ascii="仿宋" w:hAnsi="仿宋" w:eastAsia="仿宋" w:cs="仿宋"/>
          <w:highlight w:val="none"/>
        </w:rPr>
      </w:pPr>
      <w:r>
        <w:rPr>
          <w:rFonts w:hint="eastAsia" w:ascii="仿宋" w:hAnsi="仿宋" w:eastAsia="仿宋" w:cs="仿宋"/>
          <w:highlight w:val="none"/>
        </w:rPr>
        <w:br w:type="page"/>
      </w:r>
    </w:p>
    <w:p>
      <w:pPr>
        <w:wordWrap w:val="0"/>
        <w:outlineLvl w:val="4"/>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（五）质保及售后服务承诺</w:t>
      </w:r>
    </w:p>
    <w:p>
      <w:pPr>
        <w:wordWrap w:val="0"/>
        <w:snapToGrid w:val="0"/>
        <w:spacing w:line="360" w:lineRule="auto"/>
        <w:jc w:val="center"/>
        <w:rPr>
          <w:rFonts w:ascii="仿宋" w:hAnsi="仿宋" w:eastAsia="仿宋" w:cs="仿宋"/>
          <w:b/>
          <w:kern w:val="0"/>
          <w:sz w:val="32"/>
          <w:szCs w:val="32"/>
          <w:highlight w:val="none"/>
        </w:rPr>
      </w:pPr>
    </w:p>
    <w:p>
      <w:pPr>
        <w:wordWrap w:val="0"/>
        <w:snapToGrid w:val="0"/>
        <w:spacing w:line="360" w:lineRule="auto"/>
        <w:jc w:val="center"/>
        <w:rPr>
          <w:rFonts w:ascii="仿宋" w:hAnsi="仿宋" w:eastAsia="仿宋" w:cs="仿宋"/>
          <w:sz w:val="24"/>
          <w:highlight w:val="none"/>
          <w:u w:val="single"/>
        </w:rPr>
      </w:pPr>
      <w:r>
        <w:rPr>
          <w:rFonts w:hint="eastAsia" w:ascii="仿宋" w:hAnsi="仿宋" w:eastAsia="仿宋" w:cs="仿宋"/>
          <w:b/>
          <w:kern w:val="0"/>
          <w:sz w:val="32"/>
          <w:szCs w:val="32"/>
          <w:highlight w:val="none"/>
        </w:rPr>
        <w:t>质保及售后服务承诺函</w:t>
      </w:r>
    </w:p>
    <w:p>
      <w:pPr>
        <w:wordWrap w:val="0"/>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u w:val="single"/>
        </w:rPr>
        <w:t>杭州学军中学桐庐学校、杭州贯今工程咨询有限公司</w:t>
      </w:r>
      <w:r>
        <w:rPr>
          <w:rFonts w:hint="eastAsia" w:ascii="仿宋" w:hAnsi="仿宋" w:eastAsia="仿宋" w:cs="仿宋"/>
          <w:kern w:val="0"/>
          <w:sz w:val="24"/>
          <w:highlight w:val="none"/>
          <w:lang w:val="zh-CN"/>
        </w:rPr>
        <w:t>：</w:t>
      </w:r>
    </w:p>
    <w:p>
      <w:pPr>
        <w:wordWrap w:val="0"/>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pPr>
        <w:wordWrap w:val="0"/>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本项目所有产品质保期从终验收合格之日起（</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）年，原厂质保大于（</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）年的按原厂质保。</w:t>
      </w:r>
    </w:p>
    <w:p>
      <w:pPr>
        <w:wordWrap w:val="0"/>
        <w:autoSpaceDE w:val="0"/>
        <w:autoSpaceDN w:val="0"/>
        <w:spacing w:line="360" w:lineRule="auto"/>
        <w:ind w:left="2" w:leftChars="1"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2.其他承诺：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p>
    <w:p>
      <w:pPr>
        <w:autoSpaceDE w:val="0"/>
        <w:autoSpaceDN w:val="0"/>
        <w:spacing w:line="360" w:lineRule="auto"/>
        <w:ind w:right="1120"/>
        <w:jc w:val="right"/>
        <w:rPr>
          <w:rFonts w:ascii="仿宋" w:hAnsi="仿宋" w:eastAsia="仿宋" w:cs="仿宋"/>
          <w:kern w:val="0"/>
          <w:sz w:val="24"/>
          <w:highlight w:val="none"/>
          <w:lang w:val="zh-CN"/>
        </w:rPr>
      </w:pPr>
    </w:p>
    <w:p>
      <w:pPr>
        <w:autoSpaceDE w:val="0"/>
        <w:autoSpaceDN w:val="0"/>
        <w:spacing w:line="360" w:lineRule="auto"/>
        <w:ind w:right="1120"/>
        <w:jc w:val="right"/>
        <w:rPr>
          <w:rFonts w:ascii="仿宋" w:hAnsi="仿宋" w:eastAsia="仿宋" w:cs="仿宋"/>
          <w:sz w:val="24"/>
          <w:highlight w:val="none"/>
        </w:rPr>
      </w:pPr>
      <w:r>
        <w:rPr>
          <w:rFonts w:hint="eastAsia" w:ascii="仿宋" w:hAnsi="仿宋" w:eastAsia="仿宋" w:cs="仿宋"/>
          <w:kern w:val="0"/>
          <w:sz w:val="24"/>
          <w:highlight w:val="none"/>
          <w:lang w:val="zh-CN"/>
        </w:rPr>
        <w:t>投标人名称（</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                                                         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wordWrap w:val="0"/>
        <w:ind w:firstLine="1911" w:firstLineChars="595"/>
        <w:outlineLvl w:val="4"/>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六、</w:t>
      </w:r>
      <w:r>
        <w:rPr>
          <w:rFonts w:hint="eastAsia" w:ascii="仿宋" w:hAnsi="仿宋" w:eastAsia="仿宋" w:cs="仿宋"/>
          <w:b/>
          <w:kern w:val="0"/>
          <w:sz w:val="32"/>
          <w:szCs w:val="32"/>
          <w:highlight w:val="none"/>
          <w:lang w:val="zh-CN"/>
        </w:rPr>
        <w:t>政府采购供应商廉洁自律承诺书</w:t>
      </w:r>
    </w:p>
    <w:p>
      <w:pPr>
        <w:wordWrap w:val="0"/>
        <w:snapToGrid w:val="0"/>
        <w:spacing w:line="360" w:lineRule="auto"/>
        <w:rPr>
          <w:rFonts w:ascii="仿宋" w:hAnsi="仿宋" w:eastAsia="仿宋" w:cs="仿宋"/>
          <w:sz w:val="24"/>
          <w:highlight w:val="none"/>
        </w:rPr>
      </w:pPr>
    </w:p>
    <w:p>
      <w:pPr>
        <w:wordWrap w:val="0"/>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u w:val="single"/>
        </w:rPr>
        <w:t>杭州学军中学桐庐学校、杭州贯今工程咨询有限公司</w:t>
      </w:r>
      <w:r>
        <w:rPr>
          <w:rFonts w:hint="eastAsia" w:ascii="仿宋" w:hAnsi="仿宋" w:eastAsia="仿宋" w:cs="仿宋"/>
          <w:kern w:val="0"/>
          <w:sz w:val="24"/>
          <w:highlight w:val="none"/>
          <w:lang w:val="zh-CN"/>
        </w:rPr>
        <w:t>：</w:t>
      </w:r>
    </w:p>
    <w:p>
      <w:pPr>
        <w:wordWrap w:val="0"/>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pPr>
        <w:wordWrap w:val="0"/>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pPr>
        <w:wordWrap w:val="0"/>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pPr>
        <w:wordWrap w:val="0"/>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pPr>
        <w:wordWrap w:val="0"/>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pPr>
        <w:wordWrap w:val="0"/>
        <w:autoSpaceDE w:val="0"/>
        <w:autoSpaceDN w:val="0"/>
        <w:spacing w:line="360" w:lineRule="auto"/>
        <w:ind w:left="481" w:leftChars="229"/>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pPr>
        <w:wordWrap w:val="0"/>
        <w:autoSpaceDE w:val="0"/>
        <w:autoSpaceDN w:val="0"/>
        <w:spacing w:line="360" w:lineRule="auto"/>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pPr>
        <w:numPr>
          <w:ilvl w:val="0"/>
          <w:numId w:val="23"/>
        </w:numPr>
        <w:wordWrap w:val="0"/>
        <w:autoSpaceDE w:val="0"/>
        <w:autoSpaceDN w:val="0"/>
        <w:spacing w:line="360" w:lineRule="auto"/>
        <w:ind w:left="481" w:leftChars="229"/>
        <w:jc w:val="left"/>
        <w:rPr>
          <w:rFonts w:ascii="仿宋" w:hAnsi="仿宋" w:eastAsia="仿宋" w:cs="仿宋"/>
          <w:sz w:val="24"/>
          <w:highlight w:val="none"/>
          <w:lang w:val="zh-CN"/>
        </w:rPr>
      </w:pPr>
      <w:r>
        <w:rPr>
          <w:rFonts w:hint="eastAsia" w:ascii="仿宋" w:hAnsi="仿宋" w:eastAsia="仿宋" w:cs="仿宋"/>
          <w:kern w:val="0"/>
          <w:sz w:val="24"/>
          <w:highlight w:val="none"/>
          <w:lang w:val="zh-CN"/>
        </w:rPr>
        <w:t>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招标投标法》</w:t>
      </w:r>
      <w:r>
        <w:rPr>
          <w:rFonts w:hint="eastAsia" w:ascii="仿宋" w:hAnsi="仿宋" w:eastAsia="仿宋" w:cs="仿宋"/>
          <w:sz w:val="24"/>
          <w:highlight w:val="none"/>
          <w:lang w:val="zh-CN"/>
        </w:rPr>
        <w:t>《中</w:t>
      </w:r>
    </w:p>
    <w:p>
      <w:pPr>
        <w:wordWrap w:val="0"/>
        <w:autoSpaceDE w:val="0"/>
        <w:autoSpaceDN w:val="0"/>
        <w:spacing w:line="360" w:lineRule="auto"/>
        <w:jc w:val="left"/>
        <w:rPr>
          <w:rFonts w:ascii="仿宋" w:hAnsi="仿宋" w:eastAsia="仿宋" w:cs="仿宋"/>
          <w:kern w:val="0"/>
          <w:sz w:val="24"/>
          <w:highlight w:val="none"/>
          <w:lang w:val="zh-CN"/>
        </w:rPr>
      </w:pPr>
      <w:r>
        <w:rPr>
          <w:rFonts w:hint="eastAsia" w:ascii="仿宋" w:hAnsi="仿宋" w:eastAsia="仿宋" w:cs="仿宋"/>
          <w:sz w:val="24"/>
          <w:highlight w:val="none"/>
          <w:lang w:val="zh-CN"/>
        </w:rPr>
        <w:t>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pPr>
        <w:wordWrap w:val="0"/>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进行项目建设或其他经营活动，并通报财政局。由此引起的相应损失均由我单位承担。</w:t>
      </w:r>
    </w:p>
    <w:p>
      <w:pPr>
        <w:wordWrap w:val="0"/>
        <w:autoSpaceDE w:val="0"/>
        <w:autoSpaceDN w:val="0"/>
        <w:spacing w:line="360" w:lineRule="auto"/>
        <w:ind w:left="2"/>
        <w:jc w:val="left"/>
        <w:rPr>
          <w:rFonts w:ascii="仿宋" w:hAnsi="仿宋" w:eastAsia="仿宋" w:cs="仿宋"/>
          <w:kern w:val="0"/>
          <w:sz w:val="24"/>
          <w:highlight w:val="none"/>
          <w:lang w:val="zh-CN"/>
        </w:rPr>
      </w:pPr>
    </w:p>
    <w:p>
      <w:pPr>
        <w:wordWrap w:val="0"/>
        <w:autoSpaceDE w:val="0"/>
        <w:autoSpaceDN w:val="0"/>
        <w:spacing w:line="360" w:lineRule="auto"/>
        <w:ind w:left="2"/>
        <w:jc w:val="left"/>
        <w:rPr>
          <w:rFonts w:ascii="仿宋" w:hAnsi="仿宋" w:eastAsia="仿宋" w:cs="仿宋"/>
          <w:kern w:val="0"/>
          <w:sz w:val="24"/>
          <w:highlight w:val="none"/>
          <w:lang w:val="zh-CN"/>
        </w:rPr>
      </w:pPr>
    </w:p>
    <w:p>
      <w:pPr>
        <w:wordWrap w:val="0"/>
        <w:autoSpaceDE w:val="0"/>
        <w:autoSpaceDN w:val="0"/>
        <w:spacing w:line="360" w:lineRule="auto"/>
        <w:ind w:left="2"/>
        <w:jc w:val="right"/>
        <w:rPr>
          <w:rFonts w:ascii="仿宋" w:hAnsi="仿宋" w:eastAsia="仿宋" w:cs="仿宋"/>
          <w:kern w:val="0"/>
          <w:sz w:val="24"/>
          <w:highlight w:val="none"/>
          <w:lang w:val="zh-CN"/>
        </w:rPr>
      </w:pPr>
    </w:p>
    <w:p>
      <w:pPr>
        <w:autoSpaceDE w:val="0"/>
        <w:autoSpaceDN w:val="0"/>
        <w:spacing w:line="360" w:lineRule="auto"/>
        <w:ind w:right="1120"/>
        <w:jc w:val="right"/>
        <w:rPr>
          <w:rFonts w:ascii="仿宋" w:hAnsi="仿宋" w:eastAsia="仿宋" w:cs="仿宋"/>
          <w:sz w:val="24"/>
          <w:highlight w:val="none"/>
        </w:rPr>
      </w:pPr>
      <w:r>
        <w:rPr>
          <w:rFonts w:hint="eastAsia" w:ascii="仿宋" w:hAnsi="仿宋" w:eastAsia="仿宋" w:cs="仿宋"/>
          <w:kern w:val="0"/>
          <w:sz w:val="24"/>
          <w:highlight w:val="none"/>
          <w:lang w:val="zh-CN"/>
        </w:rPr>
        <w:t>投标人名称（</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                                                         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wordWrap w:val="0"/>
        <w:spacing w:line="360" w:lineRule="auto"/>
        <w:jc w:val="center"/>
        <w:rPr>
          <w:rFonts w:ascii="仿宋" w:hAnsi="仿宋" w:eastAsia="仿宋" w:cs="仿宋"/>
          <w:b/>
          <w:bCs/>
          <w:sz w:val="24"/>
          <w:highlight w:val="none"/>
        </w:rPr>
      </w:pPr>
    </w:p>
    <w:p>
      <w:pPr>
        <w:wordWrap w:val="0"/>
        <w:spacing w:line="360" w:lineRule="auto"/>
        <w:jc w:val="center"/>
        <w:rPr>
          <w:rFonts w:ascii="仿宋" w:hAnsi="仿宋" w:eastAsia="仿宋" w:cs="仿宋"/>
          <w:b/>
          <w:bCs/>
          <w:sz w:val="24"/>
          <w:highlight w:val="none"/>
        </w:rPr>
        <w:sectPr>
          <w:pgSz w:w="11905" w:h="16838"/>
          <w:pgMar w:top="652" w:right="1417" w:bottom="680" w:left="1417" w:header="539" w:footer="425" w:gutter="0"/>
          <w:cols w:space="0" w:num="1"/>
          <w:titlePg/>
          <w:docGrid w:linePitch="312" w:charSpace="0"/>
        </w:sectPr>
      </w:pPr>
    </w:p>
    <w:p>
      <w:pPr>
        <w:wordWrap w:val="0"/>
        <w:spacing w:line="360" w:lineRule="auto"/>
        <w:jc w:val="center"/>
        <w:rPr>
          <w:rFonts w:ascii="仿宋" w:hAnsi="仿宋" w:eastAsia="仿宋" w:cs="仿宋"/>
          <w:b/>
          <w:kern w:val="0"/>
          <w:sz w:val="36"/>
          <w:szCs w:val="36"/>
          <w:highlight w:val="none"/>
        </w:rPr>
      </w:pPr>
    </w:p>
    <w:p>
      <w:pPr>
        <w:wordWrap w:val="0"/>
        <w:spacing w:line="360" w:lineRule="auto"/>
        <w:jc w:val="center"/>
        <w:outlineLvl w:val="4"/>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pPr>
        <w:wordWrap w:val="0"/>
        <w:spacing w:line="360" w:lineRule="auto"/>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wordWrap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（1）开标一览表（报价表）……………………………………………………（页码）</w:t>
      </w:r>
    </w:p>
    <w:p>
      <w:pPr>
        <w:numPr>
          <w:ilvl w:val="255"/>
          <w:numId w:val="0"/>
        </w:numPr>
        <w:adjustRightInd/>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（2）报价情况说明（如供应商报价低于最高限价50%的，应当提交本文档，详细阐述不影响服务质量或者诚信履约的具体原因）………………………………………（页码）</w:t>
      </w:r>
    </w:p>
    <w:p>
      <w:pPr>
        <w:numPr>
          <w:ilvl w:val="255"/>
          <w:numId w:val="0"/>
        </w:numPr>
        <w:adjustRightInd/>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（3）中小企业声明函（若有）……………………………………………………（页码）</w:t>
      </w:r>
    </w:p>
    <w:p>
      <w:pPr>
        <w:numPr>
          <w:ilvl w:val="255"/>
          <w:numId w:val="0"/>
        </w:numPr>
        <w:adjustRightInd/>
        <w:snapToGrid w:val="0"/>
        <w:spacing w:line="360" w:lineRule="auto"/>
        <w:jc w:val="left"/>
        <w:rPr>
          <w:rFonts w:ascii="仿宋" w:hAnsi="仿宋" w:eastAsia="仿宋" w:cs="仿宋"/>
          <w:highlight w:val="none"/>
        </w:rPr>
      </w:pPr>
      <w:r>
        <w:rPr>
          <w:rFonts w:hint="eastAsia" w:ascii="仿宋" w:hAnsi="仿宋" w:eastAsia="仿宋" w:cs="仿宋"/>
          <w:sz w:val="24"/>
          <w:highlight w:val="none"/>
        </w:rPr>
        <w:t>（4）供应商针对报价需要说明的其他文件和说明………………………………（页码）</w:t>
      </w: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pStyle w:val="694"/>
        <w:keepNext w:val="0"/>
        <w:pageBreakBefore w:val="0"/>
        <w:tabs>
          <w:tab w:val="clear" w:pos="720"/>
        </w:tabs>
        <w:wordWrap w:val="0"/>
        <w:snapToGrid w:val="0"/>
        <w:spacing w:before="120" w:after="120"/>
        <w:ind w:firstLine="643"/>
        <w:outlineLvl w:val="9"/>
        <w:rPr>
          <w:rFonts w:ascii="仿宋" w:hAnsi="仿宋" w:eastAsia="仿宋" w:cs="仿宋"/>
          <w:kern w:val="2"/>
          <w:sz w:val="32"/>
          <w:szCs w:val="32"/>
          <w:highlight w:val="none"/>
        </w:rPr>
        <w:sectPr>
          <w:headerReference r:id="rId16" w:type="first"/>
          <w:footerReference r:id="rId18" w:type="first"/>
          <w:headerReference r:id="rId15" w:type="default"/>
          <w:footerReference r:id="rId17" w:type="default"/>
          <w:pgSz w:w="11905" w:h="16838"/>
          <w:pgMar w:top="652" w:right="1417" w:bottom="680" w:left="1417" w:header="539" w:footer="425" w:gutter="0"/>
          <w:cols w:space="0" w:num="1"/>
          <w:titlePg/>
          <w:docGrid w:linePitch="312" w:charSpace="0"/>
        </w:sectPr>
      </w:pPr>
    </w:p>
    <w:p>
      <w:pPr>
        <w:pStyle w:val="694"/>
        <w:keepNext w:val="0"/>
        <w:tabs>
          <w:tab w:val="clear" w:pos="720"/>
        </w:tabs>
        <w:wordWrap w:val="0"/>
        <w:snapToGrid w:val="0"/>
        <w:spacing w:before="120" w:after="120"/>
        <w:ind w:firstLine="643"/>
        <w:outlineLvl w:val="4"/>
        <w:rPr>
          <w:rFonts w:ascii="仿宋" w:hAnsi="仿宋" w:eastAsia="仿宋" w:cs="仿宋"/>
          <w:kern w:val="2"/>
          <w:sz w:val="32"/>
          <w:szCs w:val="32"/>
          <w:highlight w:val="none"/>
        </w:rPr>
      </w:pPr>
      <w:bookmarkStart w:id="550" w:name="_Toc11634"/>
      <w:bookmarkStart w:id="551" w:name="_Toc4192"/>
      <w:bookmarkStart w:id="552" w:name="_Toc4763"/>
      <w:bookmarkStart w:id="553" w:name="_Toc23456"/>
      <w:bookmarkStart w:id="554" w:name="_Toc10436"/>
      <w:bookmarkStart w:id="555" w:name="_Toc22252"/>
      <w:bookmarkStart w:id="556" w:name="_Toc8787"/>
      <w:bookmarkStart w:id="557" w:name="_Toc14192"/>
      <w:bookmarkStart w:id="558" w:name="_Toc7330"/>
      <w:r>
        <w:rPr>
          <w:rFonts w:hint="eastAsia" w:ascii="仿宋" w:hAnsi="仿宋" w:eastAsia="仿宋" w:cs="仿宋"/>
          <w:kern w:val="2"/>
          <w:sz w:val="32"/>
          <w:szCs w:val="32"/>
          <w:highlight w:val="none"/>
        </w:rPr>
        <w:t>一、开标一览表（报价表）</w:t>
      </w:r>
      <w:bookmarkEnd w:id="550"/>
      <w:bookmarkEnd w:id="551"/>
      <w:bookmarkEnd w:id="552"/>
      <w:bookmarkEnd w:id="553"/>
      <w:bookmarkEnd w:id="554"/>
      <w:bookmarkEnd w:id="555"/>
      <w:bookmarkEnd w:id="556"/>
      <w:bookmarkEnd w:id="557"/>
      <w:bookmarkEnd w:id="558"/>
    </w:p>
    <w:p>
      <w:pPr>
        <w:wordWrap w:val="0"/>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杭州学军中学桐庐学校、杭州贯今工程咨询有限公司</w:t>
      </w:r>
      <w:r>
        <w:rPr>
          <w:rFonts w:hint="eastAsia" w:ascii="仿宋" w:hAnsi="仿宋" w:eastAsia="仿宋" w:cs="仿宋"/>
          <w:kern w:val="0"/>
          <w:sz w:val="24"/>
          <w:highlight w:val="none"/>
          <w:lang w:val="zh-CN"/>
        </w:rPr>
        <w:t>：</w:t>
      </w:r>
    </w:p>
    <w:p>
      <w:pPr>
        <w:wordWrap w:val="0"/>
        <w:snapToGrid w:val="0"/>
        <w:spacing w:line="360" w:lineRule="auto"/>
        <w:ind w:firstLine="482"/>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w:t>
      </w:r>
    </w:p>
    <w:p>
      <w:pPr>
        <w:wordWrap w:val="0"/>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如你方接受本投标，我方承诺按照如下开标一览表（报价表）的价格完成</w:t>
      </w:r>
      <w:r>
        <w:rPr>
          <w:rFonts w:hint="eastAsia" w:ascii="仿宋" w:hAnsi="仿宋" w:eastAsia="仿宋" w:cs="仿宋"/>
          <w:kern w:val="0"/>
          <w:sz w:val="24"/>
          <w:highlight w:val="none"/>
          <w:u w:val="single"/>
          <w:lang w:val="zh-CN"/>
        </w:rPr>
        <w:t>杭州学军中学桐庐学校竣工配套设施设备（图书馆）项目【</w:t>
      </w:r>
      <w:r>
        <w:rPr>
          <w:rFonts w:hint="eastAsia" w:ascii="仿宋" w:hAnsi="仿宋" w:eastAsia="仿宋" w:cs="仿宋"/>
          <w:kern w:val="0"/>
          <w:sz w:val="24"/>
          <w:highlight w:val="none"/>
          <w:u w:val="single"/>
        </w:rPr>
        <w:t>项目</w:t>
      </w:r>
      <w:r>
        <w:rPr>
          <w:rFonts w:hint="eastAsia" w:ascii="仿宋" w:hAnsi="仿宋" w:eastAsia="仿宋" w:cs="仿宋"/>
          <w:kern w:val="0"/>
          <w:sz w:val="24"/>
          <w:highlight w:val="none"/>
          <w:u w:val="single"/>
          <w:lang w:val="zh-CN"/>
        </w:rPr>
        <w:t>编号：HZGJ-XJZX2024-04</w:t>
      </w:r>
      <w:r>
        <w:rPr>
          <w:rFonts w:hint="eastAsia" w:ascii="仿宋" w:hAnsi="仿宋" w:eastAsia="仿宋" w:cs="仿宋"/>
          <w:sz w:val="24"/>
          <w:highlight w:val="none"/>
          <w:u w:val="single"/>
        </w:rPr>
        <w:t>】</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pPr>
        <w:wordWrap w:val="0"/>
        <w:spacing w:line="360" w:lineRule="auto"/>
        <w:jc w:val="center"/>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w:t>
      </w:r>
      <w:r>
        <w:rPr>
          <w:rFonts w:hint="eastAsia" w:ascii="仿宋" w:hAnsi="仿宋" w:eastAsia="仿宋" w:cs="仿宋"/>
          <w:b/>
          <w:kern w:val="0"/>
          <w:sz w:val="24"/>
          <w:highlight w:val="none"/>
        </w:rPr>
        <w:t xml:space="preserve">      </w:t>
      </w:r>
      <w:r>
        <w:rPr>
          <w:rFonts w:hint="eastAsia" w:ascii="仿宋" w:hAnsi="仿宋" w:eastAsia="仿宋" w:cs="仿宋"/>
          <w:b/>
          <w:kern w:val="0"/>
          <w:sz w:val="24"/>
          <w:highlight w:val="none"/>
          <w:lang w:val="zh-CN"/>
        </w:rPr>
        <w:t>(单位均为人民币元)</w:t>
      </w:r>
    </w:p>
    <w:tbl>
      <w:tblPr>
        <w:tblStyle w:val="62"/>
        <w:tblW w:w="5088" w:type="pct"/>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914"/>
        <w:gridCol w:w="582"/>
        <w:gridCol w:w="2089"/>
        <w:gridCol w:w="3179"/>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71" w:type="pct"/>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1012" w:type="pct"/>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名称</w:t>
            </w:r>
          </w:p>
        </w:tc>
        <w:tc>
          <w:tcPr>
            <w:tcW w:w="307" w:type="pct"/>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品牌</w:t>
            </w:r>
          </w:p>
        </w:tc>
        <w:tc>
          <w:tcPr>
            <w:tcW w:w="1105" w:type="pct"/>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规格型号</w:t>
            </w:r>
          </w:p>
        </w:tc>
        <w:tc>
          <w:tcPr>
            <w:tcW w:w="1682" w:type="pct"/>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投标报价</w:t>
            </w:r>
          </w:p>
        </w:tc>
        <w:tc>
          <w:tcPr>
            <w:tcW w:w="621" w:type="pct"/>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备注（如有）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71" w:type="pct"/>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012" w:type="pct"/>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杭州学军中学桐庐学校竣工配套设施设备（图书馆）项目</w:t>
            </w:r>
          </w:p>
        </w:tc>
        <w:tc>
          <w:tcPr>
            <w:tcW w:w="1412" w:type="pct"/>
            <w:gridSpan w:val="2"/>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分项报价详见附表-投标报价明细表</w:t>
            </w:r>
          </w:p>
        </w:tc>
        <w:tc>
          <w:tcPr>
            <w:tcW w:w="1682" w:type="pct"/>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小写：</w:t>
            </w:r>
          </w:p>
          <w:p>
            <w:pPr>
              <w:spacing w:line="360" w:lineRule="auto"/>
              <w:jc w:val="center"/>
              <w:rPr>
                <w:rFonts w:ascii="仿宋" w:hAnsi="仿宋" w:eastAsia="仿宋" w:cs="仿宋"/>
                <w:sz w:val="24"/>
                <w:highlight w:val="none"/>
              </w:rPr>
            </w:pPr>
            <w:r>
              <w:rPr>
                <w:rFonts w:hint="eastAsia" w:ascii="仿宋" w:hAnsi="仿宋" w:eastAsia="仿宋" w:cs="仿宋"/>
                <w:b/>
                <w:sz w:val="24"/>
                <w:highlight w:val="none"/>
              </w:rPr>
              <w:t>大写：</w:t>
            </w:r>
          </w:p>
        </w:tc>
        <w:tc>
          <w:tcPr>
            <w:tcW w:w="621" w:type="pct"/>
            <w:vAlign w:val="center"/>
          </w:tcPr>
          <w:p>
            <w:pPr>
              <w:spacing w:line="360" w:lineRule="auto"/>
              <w:jc w:val="center"/>
              <w:rPr>
                <w:rFonts w:ascii="仿宋" w:hAnsi="仿宋" w:eastAsia="仿宋" w:cs="仿宋"/>
                <w:sz w:val="24"/>
                <w:highlight w:val="none"/>
              </w:rPr>
            </w:pPr>
          </w:p>
        </w:tc>
      </w:tr>
    </w:tbl>
    <w:p>
      <w:pPr>
        <w:wordWrap w:val="0"/>
        <w:snapToGrid w:val="0"/>
        <w:spacing w:line="360" w:lineRule="auto"/>
        <w:ind w:left="480"/>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pPr>
        <w:wordWrap w:val="0"/>
        <w:spacing w:line="336"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1、投标人需按本表格式填写，格式、已列内容不得自行更改。</w:t>
      </w:r>
    </w:p>
    <w:p>
      <w:pPr>
        <w:wordWrap w:val="0"/>
        <w:spacing w:line="336" w:lineRule="auto"/>
        <w:ind w:left="-2" w:leftChars="-1"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Cs/>
          <w:kern w:val="0"/>
          <w:sz w:val="24"/>
          <w:highlight w:val="none"/>
          <w:lang w:val="zh-CN"/>
        </w:rPr>
        <w:t>。</w:t>
      </w:r>
    </w:p>
    <w:p>
      <w:pPr>
        <w:wordWrap w:val="0"/>
        <w:snapToGrid w:val="0"/>
        <w:spacing w:line="336"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3、以上表格要求细分项目及报价，在“规格型号（或具体服务）”一栏中，</w:t>
      </w:r>
      <w:r>
        <w:rPr>
          <w:rFonts w:hint="eastAsia" w:ascii="仿宋" w:hAnsi="仿宋" w:eastAsia="仿宋" w:cs="仿宋"/>
          <w:kern w:val="0"/>
          <w:sz w:val="24"/>
          <w:highlight w:val="none"/>
          <w:lang w:val="zh-CN"/>
        </w:rPr>
        <w:sym w:font="Wingdings" w:char="00FE"/>
      </w:r>
      <w:r>
        <w:rPr>
          <w:rFonts w:hint="eastAsia" w:ascii="仿宋" w:hAnsi="仿宋" w:eastAsia="仿宋" w:cs="仿宋"/>
          <w:kern w:val="0"/>
          <w:sz w:val="24"/>
          <w:highlight w:val="none"/>
          <w:lang w:val="zh-CN"/>
        </w:rPr>
        <w:t>货物类项目填写规格型号，</w:t>
      </w:r>
      <w:r>
        <w:rPr>
          <w:rFonts w:hint="eastAsia" w:ascii="仿宋" w:hAnsi="仿宋" w:eastAsia="仿宋" w:cs="仿宋"/>
          <w:kern w:val="0"/>
          <w:sz w:val="24"/>
          <w:highlight w:val="none"/>
          <w:lang w:val="zh-CN"/>
        </w:rPr>
        <w:sym w:font="Wingdings" w:char="00A8"/>
      </w:r>
      <w:r>
        <w:rPr>
          <w:rFonts w:hint="eastAsia" w:ascii="仿宋" w:hAnsi="仿宋" w:eastAsia="仿宋" w:cs="仿宋"/>
          <w:kern w:val="0"/>
          <w:sz w:val="24"/>
          <w:highlight w:val="none"/>
          <w:lang w:val="zh-CN"/>
        </w:rPr>
        <w:t>服务类项目填写具体服务。</w:t>
      </w:r>
    </w:p>
    <w:p>
      <w:pPr>
        <w:wordWrap w:val="0"/>
        <w:snapToGrid w:val="0"/>
        <w:spacing w:line="336"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4、特别提示：采购代理机构将对项目名称和项目编号，中标供应商名称、地址和中标金额，主要中标标的的名称、规格型号、数量、单价、服务要求等予以公示。</w:t>
      </w:r>
    </w:p>
    <w:p>
      <w:pPr>
        <w:pStyle w:val="61"/>
        <w:wordWrap w:val="0"/>
        <w:spacing w:after="0" w:line="336" w:lineRule="auto"/>
        <w:ind w:left="0" w:leftChars="0" w:firstLine="480"/>
        <w:rPr>
          <w:rFonts w:ascii="仿宋" w:hAnsi="仿宋" w:eastAsia="仿宋" w:cs="仿宋"/>
          <w:kern w:val="0"/>
          <w:sz w:val="24"/>
          <w:highlight w:val="none"/>
          <w:lang w:val="zh-CN"/>
        </w:rPr>
      </w:pPr>
      <w:r>
        <w:rPr>
          <w:rFonts w:hint="eastAsia" w:ascii="仿宋" w:hAnsi="仿宋" w:eastAsia="仿宋" w:cs="仿宋"/>
          <w:kern w:val="0"/>
          <w:sz w:val="24"/>
          <w:szCs w:val="22"/>
          <w:highlight w:val="none"/>
          <w:lang w:val="zh-CN"/>
        </w:rPr>
        <w:sym w:font="Wingdings" w:char="00A8"/>
      </w:r>
      <w:r>
        <w:rPr>
          <w:rFonts w:hint="eastAsia" w:ascii="仿宋" w:hAnsi="仿宋" w:eastAsia="仿宋" w:cs="仿宋"/>
          <w:kern w:val="0"/>
          <w:sz w:val="24"/>
          <w:szCs w:val="22"/>
          <w:highlight w:val="none"/>
          <w:lang w:val="zh-CN"/>
        </w:rPr>
        <w:t>5、</w:t>
      </w:r>
      <w:r>
        <w:rPr>
          <w:rFonts w:hint="eastAsia" w:ascii="仿宋" w:hAnsi="仿宋" w:eastAsia="仿宋" w:cs="仿宋"/>
          <w:b/>
          <w:bCs/>
          <w:kern w:val="0"/>
          <w:sz w:val="24"/>
          <w:szCs w:val="22"/>
          <w:highlight w:val="none"/>
          <w:lang w:val="zh-CN"/>
        </w:rPr>
        <w:t>本项目</w:t>
      </w:r>
      <w:r>
        <w:rPr>
          <w:rFonts w:hint="eastAsia" w:ascii="仿宋" w:hAnsi="仿宋" w:eastAsia="仿宋" w:cs="仿宋"/>
          <w:b/>
          <w:bCs/>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1"/>
        <w:wordWrap w:val="0"/>
        <w:spacing w:after="0" w:line="336" w:lineRule="auto"/>
        <w:ind w:left="0" w:leftChars="0" w:firstLine="480"/>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投标人名称（电子签名）：</w:t>
      </w:r>
    </w:p>
    <w:p>
      <w:pPr>
        <w:pStyle w:val="61"/>
        <w:wordWrap w:val="0"/>
        <w:spacing w:after="0" w:line="336" w:lineRule="auto"/>
        <w:ind w:left="0" w:leftChars="0" w:firstLine="480"/>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p>
    <w:p>
      <w:pPr>
        <w:rPr>
          <w:rFonts w:ascii="仿宋" w:hAnsi="仿宋" w:eastAsia="仿宋" w:cs="仿宋"/>
          <w:sz w:val="24"/>
          <w:highlight w:val="none"/>
        </w:rPr>
      </w:pPr>
      <w:r>
        <w:rPr>
          <w:rFonts w:hint="eastAsia" w:ascii="仿宋" w:hAnsi="仿宋" w:eastAsia="仿宋" w:cs="仿宋"/>
          <w:sz w:val="24"/>
          <w:highlight w:val="none"/>
        </w:rPr>
        <w:br w:type="page"/>
      </w:r>
    </w:p>
    <w:p>
      <w:pPr>
        <w:rPr>
          <w:rFonts w:ascii="仿宋" w:hAnsi="仿宋" w:eastAsia="仿宋" w:cs="仿宋"/>
          <w:sz w:val="24"/>
          <w:highlight w:val="none"/>
        </w:rPr>
      </w:pPr>
      <w:r>
        <w:rPr>
          <w:rFonts w:hint="eastAsia" w:ascii="仿宋" w:hAnsi="仿宋" w:eastAsia="仿宋" w:cs="仿宋"/>
          <w:sz w:val="24"/>
          <w:highlight w:val="none"/>
        </w:rPr>
        <w:t>附表-投标报价明细表</w:t>
      </w:r>
    </w:p>
    <w:tbl>
      <w:tblPr>
        <w:tblStyle w:val="62"/>
        <w:tblW w:w="9566" w:type="dxa"/>
        <w:tblInd w:w="-10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447"/>
        <w:gridCol w:w="982"/>
        <w:gridCol w:w="1800"/>
        <w:gridCol w:w="711"/>
        <w:gridCol w:w="678"/>
        <w:gridCol w:w="745"/>
        <w:gridCol w:w="833"/>
        <w:gridCol w:w="1133"/>
        <w:gridCol w:w="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71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jc w:val="center"/>
              <w:rPr>
                <w:rFonts w:ascii="仿宋" w:hAnsi="仿宋" w:eastAsia="仿宋" w:cs="仿宋"/>
                <w:spacing w:val="20"/>
                <w:szCs w:val="21"/>
                <w:highlight w:val="none"/>
              </w:rPr>
            </w:pPr>
            <w:r>
              <w:rPr>
                <w:rFonts w:hint="eastAsia" w:ascii="仿宋" w:hAnsi="仿宋" w:eastAsia="仿宋" w:cs="仿宋"/>
                <w:szCs w:val="21"/>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ind w:firstLine="174" w:firstLineChars="83"/>
              <w:jc w:val="center"/>
              <w:rPr>
                <w:rFonts w:ascii="仿宋" w:hAnsi="仿宋" w:eastAsia="仿宋" w:cs="仿宋"/>
                <w:spacing w:val="20"/>
                <w:szCs w:val="21"/>
                <w:highlight w:val="none"/>
              </w:rPr>
            </w:pPr>
            <w:r>
              <w:rPr>
                <w:rFonts w:hint="eastAsia" w:ascii="仿宋" w:hAnsi="仿宋" w:eastAsia="仿宋" w:cs="仿宋"/>
                <w:szCs w:val="21"/>
                <w:highlight w:val="none"/>
              </w:rPr>
              <w:t>名称</w:t>
            </w:r>
          </w:p>
        </w:tc>
        <w:tc>
          <w:tcPr>
            <w:tcW w:w="98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ind w:firstLine="105" w:firstLineChars="50"/>
              <w:rPr>
                <w:rFonts w:ascii="仿宋" w:hAnsi="仿宋" w:eastAsia="仿宋" w:cs="仿宋"/>
                <w:b/>
                <w:szCs w:val="21"/>
                <w:highlight w:val="none"/>
              </w:rPr>
            </w:pPr>
            <w:r>
              <w:rPr>
                <w:rFonts w:hint="eastAsia" w:ascii="仿宋" w:hAnsi="仿宋" w:eastAsia="仿宋" w:cs="仿宋"/>
                <w:b/>
                <w:szCs w:val="21"/>
                <w:highlight w:val="none"/>
              </w:rPr>
              <w:t>品牌（如有）</w:t>
            </w: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ind w:firstLine="316" w:firstLineChars="150"/>
              <w:rPr>
                <w:rFonts w:ascii="仿宋" w:hAnsi="仿宋" w:eastAsia="仿宋" w:cs="仿宋"/>
                <w:b/>
                <w:szCs w:val="21"/>
                <w:highlight w:val="none"/>
              </w:rPr>
            </w:pPr>
            <w:r>
              <w:rPr>
                <w:rFonts w:hint="eastAsia" w:ascii="仿宋" w:hAnsi="仿宋" w:eastAsia="仿宋" w:cs="仿宋"/>
                <w:b/>
                <w:szCs w:val="21"/>
                <w:highlight w:val="none"/>
              </w:rPr>
              <w:t>制造商规模</w:t>
            </w:r>
          </w:p>
          <w:p>
            <w:pPr>
              <w:tabs>
                <w:tab w:val="left" w:pos="1418"/>
              </w:tabs>
              <w:snapToGrid w:val="0"/>
              <w:spacing w:before="50" w:after="50" w:line="460" w:lineRule="exact"/>
              <w:ind w:firstLine="105" w:firstLineChars="50"/>
              <w:rPr>
                <w:rFonts w:ascii="仿宋" w:hAnsi="仿宋" w:eastAsia="仿宋" w:cs="仿宋"/>
                <w:b/>
                <w:szCs w:val="21"/>
                <w:highlight w:val="none"/>
              </w:rPr>
            </w:pPr>
            <w:r>
              <w:rPr>
                <w:rFonts w:hint="eastAsia" w:ascii="仿宋" w:hAnsi="仿宋" w:eastAsia="仿宋" w:cs="仿宋"/>
                <w:b/>
                <w:szCs w:val="21"/>
                <w:highlight w:val="none"/>
              </w:rPr>
              <w:t>（中、小、微）</w:t>
            </w:r>
          </w:p>
        </w:tc>
        <w:tc>
          <w:tcPr>
            <w:tcW w:w="71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rPr>
                <w:rFonts w:ascii="仿宋" w:hAnsi="仿宋" w:eastAsia="仿宋" w:cs="仿宋"/>
                <w:b/>
                <w:szCs w:val="21"/>
                <w:highlight w:val="none"/>
              </w:rPr>
            </w:pPr>
            <w:r>
              <w:rPr>
                <w:rFonts w:hint="eastAsia" w:ascii="仿宋" w:hAnsi="仿宋" w:eastAsia="仿宋" w:cs="仿宋"/>
                <w:b/>
                <w:szCs w:val="21"/>
                <w:highlight w:val="none"/>
              </w:rPr>
              <w:t>规格</w:t>
            </w:r>
          </w:p>
          <w:p>
            <w:pPr>
              <w:tabs>
                <w:tab w:val="left" w:pos="1418"/>
              </w:tabs>
              <w:snapToGrid w:val="0"/>
              <w:spacing w:before="50" w:after="50" w:line="460" w:lineRule="exact"/>
              <w:rPr>
                <w:rFonts w:ascii="仿宋" w:hAnsi="仿宋" w:eastAsia="仿宋" w:cs="仿宋"/>
                <w:spacing w:val="20"/>
                <w:szCs w:val="21"/>
                <w:highlight w:val="none"/>
              </w:rPr>
            </w:pPr>
            <w:r>
              <w:rPr>
                <w:rFonts w:hint="eastAsia" w:ascii="仿宋" w:hAnsi="仿宋" w:eastAsia="仿宋" w:cs="仿宋"/>
                <w:b/>
                <w:szCs w:val="21"/>
                <w:highlight w:val="none"/>
              </w:rPr>
              <w:t>型号</w:t>
            </w:r>
          </w:p>
        </w:tc>
        <w:tc>
          <w:tcPr>
            <w:tcW w:w="67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jc w:val="center"/>
              <w:rPr>
                <w:rFonts w:ascii="仿宋" w:hAnsi="仿宋" w:eastAsia="仿宋" w:cs="仿宋"/>
                <w:spacing w:val="20"/>
                <w:szCs w:val="21"/>
                <w:highlight w:val="none"/>
              </w:rPr>
            </w:pPr>
            <w:r>
              <w:rPr>
                <w:rFonts w:hint="eastAsia" w:ascii="仿宋" w:hAnsi="仿宋" w:eastAsia="仿宋" w:cs="仿宋"/>
                <w:b/>
                <w:szCs w:val="21"/>
                <w:highlight w:val="none"/>
              </w:rPr>
              <w:t>数量</w:t>
            </w:r>
          </w:p>
        </w:tc>
        <w:tc>
          <w:tcPr>
            <w:tcW w:w="74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rPr>
                <w:rFonts w:ascii="仿宋" w:hAnsi="仿宋" w:eastAsia="仿宋" w:cs="仿宋"/>
                <w:spacing w:val="20"/>
                <w:szCs w:val="21"/>
                <w:highlight w:val="none"/>
              </w:rPr>
            </w:pPr>
            <w:r>
              <w:rPr>
                <w:rFonts w:hint="eastAsia" w:ascii="仿宋" w:hAnsi="仿宋" w:eastAsia="仿宋" w:cs="仿宋"/>
                <w:b/>
                <w:szCs w:val="21"/>
                <w:highlight w:val="none"/>
              </w:rPr>
              <w:t>单位</w:t>
            </w:r>
          </w:p>
        </w:tc>
        <w:tc>
          <w:tcPr>
            <w:tcW w:w="83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ind w:firstLine="105" w:firstLineChars="50"/>
              <w:rPr>
                <w:rFonts w:ascii="仿宋" w:hAnsi="仿宋" w:eastAsia="仿宋" w:cs="仿宋"/>
                <w:b/>
                <w:bCs/>
                <w:spacing w:val="20"/>
                <w:szCs w:val="21"/>
                <w:highlight w:val="none"/>
              </w:rPr>
            </w:pPr>
            <w:r>
              <w:rPr>
                <w:rFonts w:hint="eastAsia" w:ascii="仿宋" w:hAnsi="仿宋" w:eastAsia="仿宋" w:cs="仿宋"/>
                <w:b/>
                <w:bCs/>
                <w:szCs w:val="21"/>
                <w:highlight w:val="none"/>
              </w:rPr>
              <w:t>单价（元）</w:t>
            </w: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jc w:val="center"/>
              <w:rPr>
                <w:rFonts w:ascii="仿宋" w:hAnsi="仿宋" w:eastAsia="仿宋" w:cs="仿宋"/>
                <w:b/>
                <w:bCs/>
                <w:spacing w:val="20"/>
                <w:szCs w:val="21"/>
                <w:highlight w:val="none"/>
              </w:rPr>
            </w:pPr>
            <w:r>
              <w:rPr>
                <w:rFonts w:hint="eastAsia" w:ascii="仿宋" w:hAnsi="仿宋" w:eastAsia="仿宋" w:cs="仿宋"/>
                <w:b/>
                <w:bCs/>
                <w:spacing w:val="20"/>
                <w:szCs w:val="21"/>
                <w:highlight w:val="none"/>
              </w:rPr>
              <w:t>合计（元)</w:t>
            </w:r>
          </w:p>
        </w:tc>
        <w:tc>
          <w:tcPr>
            <w:tcW w:w="52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60" w:lineRule="exact"/>
              <w:rPr>
                <w:rFonts w:ascii="仿宋" w:hAnsi="仿宋" w:eastAsia="仿宋" w:cs="仿宋"/>
                <w:spacing w:val="20"/>
                <w:szCs w:val="21"/>
                <w:highlight w:val="none"/>
              </w:rPr>
            </w:pPr>
            <w:r>
              <w:rPr>
                <w:rFonts w:hint="eastAsia" w:ascii="仿宋" w:hAnsi="仿宋" w:eastAsia="仿宋" w:cs="仿宋"/>
                <w:spacing w:val="2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b/>
                <w:bCs/>
                <w:sz w:val="18"/>
                <w:szCs w:val="18"/>
                <w:highlight w:val="none"/>
                <w:lang w:val="zh-CN"/>
              </w:rPr>
            </w:pPr>
            <w:r>
              <w:rPr>
                <w:rFonts w:hint="eastAsia" w:ascii="仿宋" w:hAnsi="仿宋" w:eastAsia="仿宋" w:cs="仿宋"/>
                <w:b/>
                <w:bCs/>
                <w:kern w:val="0"/>
                <w:sz w:val="18"/>
                <w:szCs w:val="18"/>
                <w:highlight w:val="none"/>
                <w:lang w:bidi="ar"/>
              </w:rPr>
              <w:t>一</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textAlignment w:val="center"/>
              <w:rPr>
                <w:rFonts w:ascii="仿宋" w:hAnsi="仿宋" w:eastAsia="仿宋" w:cs="仿宋"/>
                <w:szCs w:val="21"/>
                <w:highlight w:val="none"/>
                <w:lang w:bidi="ar"/>
              </w:rPr>
            </w:pPr>
            <w:r>
              <w:rPr>
                <w:rFonts w:hint="eastAsia" w:ascii="仿宋" w:hAnsi="仿宋" w:eastAsia="仿宋" w:cs="仿宋"/>
                <w:b/>
                <w:bCs/>
                <w:kern w:val="0"/>
                <w:szCs w:val="21"/>
                <w:highlight w:val="none"/>
              </w:rPr>
              <w:t>研讨区</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4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书写桌</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12</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张</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椅子1</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24</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张</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3</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书柜1</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组</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4</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书柜2</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组</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5</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矮书柜</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10</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组</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6</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阅览桌</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4</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张</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7</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椅子2</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32</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张</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8</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书柜3</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4</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组</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9</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书柜4</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2</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组</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highlight w:val="none"/>
                <w:lang w:bidi="ar"/>
              </w:rPr>
            </w:pPr>
            <w:r>
              <w:rPr>
                <w:rFonts w:hint="eastAsia" w:ascii="仿宋" w:hAnsi="仿宋" w:eastAsia="仿宋" w:cs="仿宋"/>
                <w:b/>
                <w:bCs/>
                <w:kern w:val="0"/>
                <w:sz w:val="18"/>
                <w:szCs w:val="18"/>
                <w:highlight w:val="none"/>
                <w:lang w:bidi="ar"/>
              </w:rPr>
              <w:t>二</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highlight w:val="none"/>
                <w:lang w:bidi="ar"/>
              </w:rPr>
            </w:pPr>
            <w:r>
              <w:rPr>
                <w:rFonts w:hint="eastAsia" w:ascii="仿宋" w:hAnsi="仿宋" w:eastAsia="仿宋" w:cs="仿宋"/>
                <w:b/>
                <w:bCs/>
                <w:kern w:val="0"/>
                <w:szCs w:val="21"/>
                <w:highlight w:val="none"/>
              </w:rPr>
              <w:t>服务区</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560" w:firstLineChars="0"/>
              <w:jc w:val="center"/>
              <w:rPr>
                <w:rFonts w:ascii="仿宋" w:hAnsi="仿宋" w:eastAsia="仿宋" w:cs="仿宋"/>
                <w:spacing w:val="20"/>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560" w:firstLineChars="0"/>
              <w:jc w:val="center"/>
              <w:rPr>
                <w:rFonts w:ascii="仿宋" w:hAnsi="仿宋" w:eastAsia="仿宋" w:cs="仿宋"/>
                <w:spacing w:val="20"/>
                <w:szCs w:val="21"/>
                <w:highlight w:val="none"/>
              </w:rPr>
            </w:pP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边柜</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2</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组</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查询索引台</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2</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组</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3</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造型服务台</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组</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4</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吧台柜</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组</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5</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管理椅</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个</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6</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咖啡机</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个</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7</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高脚椅子</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6</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张</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8</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书柜5</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2</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组</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9</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书柜6</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2</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组</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10</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★电子阅览桌1</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12</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张</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11</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电子阅览桌2</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12</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张</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12</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电子阅览桌3</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组</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13</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电子阅览桌4</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组</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14</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阅览椅</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49</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个</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highlight w:val="none"/>
                <w:lang w:bidi="ar"/>
              </w:rPr>
            </w:pPr>
            <w:r>
              <w:rPr>
                <w:rFonts w:hint="eastAsia" w:ascii="仿宋" w:hAnsi="仿宋" w:eastAsia="仿宋" w:cs="仿宋"/>
                <w:b/>
                <w:bCs/>
                <w:kern w:val="0"/>
                <w:sz w:val="18"/>
                <w:szCs w:val="18"/>
                <w:highlight w:val="none"/>
                <w:lang w:bidi="ar"/>
              </w:rPr>
              <w:t>三</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highlight w:val="none"/>
                <w:lang w:bidi="ar"/>
              </w:rPr>
            </w:pPr>
            <w:r>
              <w:rPr>
                <w:rFonts w:hint="eastAsia" w:ascii="仿宋" w:hAnsi="仿宋" w:eastAsia="仿宋" w:cs="仿宋"/>
                <w:b/>
                <w:bCs/>
                <w:kern w:val="0"/>
                <w:szCs w:val="21"/>
                <w:highlight w:val="none"/>
              </w:rPr>
              <w:t>书籍管理室</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560" w:firstLineChars="0"/>
              <w:jc w:val="center"/>
              <w:rPr>
                <w:rFonts w:ascii="仿宋" w:hAnsi="仿宋" w:eastAsia="仿宋" w:cs="仿宋"/>
                <w:spacing w:val="20"/>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560" w:firstLineChars="0"/>
              <w:jc w:val="center"/>
              <w:rPr>
                <w:rFonts w:ascii="仿宋" w:hAnsi="仿宋" w:eastAsia="仿宋" w:cs="仿宋"/>
                <w:spacing w:val="20"/>
                <w:szCs w:val="21"/>
                <w:highlight w:val="none"/>
              </w:rPr>
            </w:pP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单人工作台</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2</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组</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教师工作椅</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2</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个</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3</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储藏柜</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4</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个</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4</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书架</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hint="eastAsia"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2</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hint="eastAsia"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组</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highlight w:val="none"/>
                <w:lang w:bidi="ar"/>
              </w:rPr>
            </w:pPr>
            <w:r>
              <w:rPr>
                <w:rFonts w:hint="eastAsia" w:ascii="仿宋" w:hAnsi="仿宋" w:eastAsia="仿宋" w:cs="仿宋"/>
                <w:b/>
                <w:bCs/>
                <w:kern w:val="0"/>
                <w:sz w:val="18"/>
                <w:szCs w:val="18"/>
                <w:highlight w:val="none"/>
                <w:lang w:bidi="ar"/>
              </w:rPr>
              <w:t>四</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highlight w:val="none"/>
                <w:lang w:bidi="ar"/>
              </w:rPr>
            </w:pPr>
            <w:r>
              <w:rPr>
                <w:rFonts w:hint="eastAsia" w:ascii="仿宋" w:hAnsi="仿宋" w:eastAsia="仿宋" w:cs="仿宋"/>
                <w:b/>
                <w:bCs/>
                <w:kern w:val="0"/>
                <w:szCs w:val="21"/>
                <w:highlight w:val="none"/>
              </w:rPr>
              <w:t>主题门厅</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主题展示墙</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组</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馆情</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展示设备</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套</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3</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瀑布流</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条</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highlight w:val="none"/>
                <w:lang w:bidi="ar"/>
              </w:rPr>
            </w:pPr>
            <w:r>
              <w:rPr>
                <w:rFonts w:hint="eastAsia" w:ascii="仿宋" w:hAnsi="仿宋" w:eastAsia="仿宋" w:cs="仿宋"/>
                <w:b/>
                <w:bCs/>
                <w:kern w:val="0"/>
                <w:sz w:val="18"/>
                <w:szCs w:val="18"/>
                <w:highlight w:val="none"/>
                <w:lang w:bidi="ar"/>
              </w:rPr>
              <w:t>五</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highlight w:val="none"/>
                <w:lang w:bidi="ar"/>
              </w:rPr>
            </w:pPr>
            <w:r>
              <w:rPr>
                <w:rFonts w:hint="eastAsia" w:ascii="仿宋" w:hAnsi="仿宋" w:eastAsia="仿宋" w:cs="仿宋"/>
                <w:b/>
                <w:bCs/>
                <w:kern w:val="0"/>
                <w:szCs w:val="21"/>
                <w:highlight w:val="none"/>
              </w:rPr>
              <w:t>专业设备</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560" w:firstLineChars="0"/>
              <w:jc w:val="center"/>
              <w:rPr>
                <w:rFonts w:ascii="仿宋" w:hAnsi="仿宋" w:eastAsia="仿宋" w:cs="仿宋"/>
                <w:spacing w:val="20"/>
                <w:kern w:val="2"/>
                <w:sz w:val="21"/>
                <w:szCs w:val="21"/>
                <w:highlight w:val="none"/>
                <w:lang w:val="en-US" w:eastAsia="zh-CN" w:bidi="ar-SA"/>
              </w:rPr>
            </w:pP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RFID图书管理系统</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套</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RFID</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电子标签</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10000</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枚</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3</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馆员工作台</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2</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台</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4</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读卡器</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2</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台</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5</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扫码枪</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2</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台</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6</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RFID安全门禁</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3</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片</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7</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安全门底座</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2</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片</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8</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智慧云终端讲台</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组</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9</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自助借还书机（立式）</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台</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10</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升降式移动还书车（还书箱）</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辆</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11</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图书杀菌机</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个</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12</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OPAC</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查询机</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台</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13</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RFID</w:t>
            </w:r>
          </w:p>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层架标签</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250</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枚</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14</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三维导航图</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套</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15</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手持式盘点机</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台</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16</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智通人行通道闸</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1</w:t>
            </w:r>
          </w:p>
        </w:tc>
        <w:tc>
          <w:tcPr>
            <w:tcW w:w="745"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lang w:val="en-US" w:eastAsia="zh-CN"/>
              </w:rPr>
              <w:t>套</w:t>
            </w:r>
          </w:p>
        </w:tc>
        <w:tc>
          <w:tcPr>
            <w:tcW w:w="8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17</w:t>
            </w:r>
          </w:p>
        </w:tc>
        <w:tc>
          <w:tcPr>
            <w:tcW w:w="1447" w:type="dxa"/>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窗帘</w:t>
            </w:r>
          </w:p>
        </w:tc>
        <w:tc>
          <w:tcPr>
            <w:tcW w:w="982" w:type="dxa"/>
            <w:tcBorders>
              <w:top w:val="single" w:color="auto" w:sz="4" w:space="0"/>
              <w:left w:val="single" w:color="auto" w:sz="4" w:space="0"/>
              <w:bottom w:val="nil"/>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800" w:type="dxa"/>
            <w:tcBorders>
              <w:top w:val="single" w:color="auto" w:sz="4" w:space="0"/>
              <w:left w:val="single" w:color="auto" w:sz="4" w:space="0"/>
              <w:bottom w:val="nil"/>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711" w:type="dxa"/>
            <w:tcBorders>
              <w:top w:val="single" w:color="auto" w:sz="4" w:space="0"/>
              <w:left w:val="single" w:color="auto" w:sz="4" w:space="0"/>
              <w:bottom w:val="nil"/>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678" w:type="dxa"/>
            <w:tcBorders>
              <w:top w:val="single" w:color="auto" w:sz="4" w:space="0"/>
              <w:left w:val="single" w:color="auto" w:sz="4" w:space="0"/>
              <w:bottom w:val="nil"/>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145</w:t>
            </w:r>
          </w:p>
        </w:tc>
        <w:tc>
          <w:tcPr>
            <w:tcW w:w="745" w:type="dxa"/>
            <w:tcBorders>
              <w:top w:val="single" w:color="auto" w:sz="4" w:space="0"/>
              <w:left w:val="single" w:color="auto" w:sz="4" w:space="0"/>
              <w:bottom w:val="nil"/>
              <w:right w:val="single" w:color="auto" w:sz="4" w:space="0"/>
            </w:tcBorders>
            <w:vAlign w:val="top"/>
          </w:tcPr>
          <w:p>
            <w:pPr>
              <w:tabs>
                <w:tab w:val="left" w:pos="1418"/>
              </w:tabs>
              <w:snapToGrid w:val="0"/>
              <w:spacing w:before="50" w:after="50" w:line="460" w:lineRule="exact"/>
              <w:ind w:firstLine="0" w:firstLineChars="0"/>
              <w:jc w:val="center"/>
              <w:rPr>
                <w:rFonts w:ascii="仿宋" w:hAnsi="仿宋" w:eastAsia="仿宋" w:cs="仿宋"/>
                <w:spacing w:val="20"/>
                <w:szCs w:val="21"/>
                <w:highlight w:val="none"/>
              </w:rPr>
            </w:pPr>
            <w:r>
              <w:rPr>
                <w:rFonts w:hint="eastAsia" w:ascii="仿宋" w:hAnsi="仿宋" w:eastAsia="仿宋" w:cs="仿宋"/>
                <w:color w:val="auto"/>
                <w:spacing w:val="20"/>
                <w:sz w:val="21"/>
                <w:szCs w:val="21"/>
                <w:highlight w:val="none"/>
                <w:lang w:val="en-US" w:eastAsia="zh-CN"/>
              </w:rPr>
              <w:t>平方米</w:t>
            </w:r>
          </w:p>
        </w:tc>
        <w:tc>
          <w:tcPr>
            <w:tcW w:w="833" w:type="dxa"/>
            <w:tcBorders>
              <w:top w:val="single" w:color="auto" w:sz="4" w:space="0"/>
              <w:left w:val="single" w:color="auto" w:sz="4" w:space="0"/>
              <w:bottom w:val="nil"/>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1133" w:type="dxa"/>
            <w:tcBorders>
              <w:top w:val="single" w:color="auto" w:sz="4" w:space="0"/>
              <w:left w:val="single" w:color="auto" w:sz="4" w:space="0"/>
              <w:bottom w:val="nil"/>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522" w:type="dxa"/>
            <w:tcBorders>
              <w:top w:val="single" w:color="auto" w:sz="4" w:space="0"/>
              <w:left w:val="single" w:color="auto" w:sz="4" w:space="0"/>
              <w:bottom w:val="nil"/>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2162" w:type="dxa"/>
            <w:gridSpan w:val="2"/>
            <w:vMerge w:val="restart"/>
            <w:tcBorders>
              <w:top w:val="single" w:color="auto" w:sz="4" w:space="0"/>
              <w:left w:val="single" w:color="auto" w:sz="4" w:space="0"/>
              <w:right w:val="single" w:color="auto" w:sz="4" w:space="0"/>
            </w:tcBorders>
            <w:vAlign w:val="center"/>
          </w:tcPr>
          <w:p>
            <w:pPr>
              <w:tabs>
                <w:tab w:val="left" w:pos="1418"/>
              </w:tabs>
              <w:snapToGrid w:val="0"/>
              <w:spacing w:before="50" w:after="50" w:line="460" w:lineRule="exact"/>
              <w:jc w:val="center"/>
              <w:rPr>
                <w:rFonts w:ascii="仿宋" w:hAnsi="仿宋" w:eastAsia="仿宋" w:cs="仿宋"/>
                <w:spacing w:val="20"/>
                <w:szCs w:val="21"/>
                <w:highlight w:val="none"/>
              </w:rPr>
            </w:pPr>
            <w:r>
              <w:rPr>
                <w:rFonts w:hint="eastAsia" w:ascii="仿宋" w:hAnsi="仿宋" w:eastAsia="仿宋" w:cs="仿宋"/>
                <w:spacing w:val="20"/>
                <w:szCs w:val="21"/>
                <w:highlight w:val="none"/>
              </w:rPr>
              <w:t>总  价</w:t>
            </w: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rPr>
                <w:rFonts w:ascii="仿宋" w:hAnsi="仿宋" w:eastAsia="仿宋" w:cs="仿宋"/>
                <w:spacing w:val="20"/>
                <w:szCs w:val="21"/>
                <w:highlight w:val="none"/>
              </w:rPr>
            </w:pPr>
          </w:p>
        </w:tc>
        <w:tc>
          <w:tcPr>
            <w:tcW w:w="4622"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rPr>
                <w:rFonts w:ascii="仿宋" w:hAnsi="仿宋" w:eastAsia="仿宋" w:cs="仿宋"/>
                <w:spacing w:val="20"/>
                <w:szCs w:val="21"/>
                <w:highlight w:val="none"/>
              </w:rPr>
            </w:pPr>
            <w:r>
              <w:rPr>
                <w:rFonts w:hint="eastAsia" w:ascii="仿宋" w:hAnsi="仿宋" w:eastAsia="仿宋" w:cs="仿宋"/>
                <w:spacing w:val="20"/>
                <w:szCs w:val="21"/>
                <w:highlight w:val="none"/>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2162" w:type="dxa"/>
            <w:gridSpan w:val="2"/>
            <w:vMerge w:val="continue"/>
            <w:tcBorders>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ascii="仿宋" w:hAnsi="仿宋" w:eastAsia="仿宋" w:cs="仿宋"/>
                <w:spacing w:val="20"/>
                <w:szCs w:val="21"/>
                <w:highlight w:val="none"/>
              </w:rPr>
            </w:pPr>
          </w:p>
        </w:tc>
        <w:tc>
          <w:tcPr>
            <w:tcW w:w="98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rPr>
                <w:rFonts w:ascii="仿宋" w:hAnsi="仿宋" w:eastAsia="仿宋" w:cs="仿宋"/>
                <w:spacing w:val="20"/>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rPr>
                <w:rFonts w:ascii="仿宋" w:hAnsi="仿宋" w:eastAsia="仿宋" w:cs="仿宋"/>
                <w:spacing w:val="20"/>
                <w:szCs w:val="21"/>
                <w:highlight w:val="none"/>
              </w:rPr>
            </w:pPr>
          </w:p>
        </w:tc>
        <w:tc>
          <w:tcPr>
            <w:tcW w:w="4622"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rPr>
                <w:rFonts w:ascii="仿宋" w:hAnsi="仿宋" w:eastAsia="仿宋" w:cs="仿宋"/>
                <w:spacing w:val="20"/>
                <w:szCs w:val="21"/>
                <w:highlight w:val="none"/>
              </w:rPr>
            </w:pPr>
            <w:r>
              <w:rPr>
                <w:rFonts w:hint="eastAsia" w:ascii="仿宋" w:hAnsi="仿宋" w:eastAsia="仿宋" w:cs="仿宋"/>
                <w:spacing w:val="20"/>
                <w:szCs w:val="21"/>
                <w:highlight w:val="none"/>
              </w:rPr>
              <w:t>大写：</w:t>
            </w:r>
          </w:p>
        </w:tc>
      </w:tr>
    </w:tbl>
    <w:p>
      <w:pPr>
        <w:pStyle w:val="61"/>
        <w:wordWrap w:val="0"/>
        <w:spacing w:after="0" w:line="336" w:lineRule="auto"/>
        <w:ind w:left="0" w:leftChars="0" w:firstLine="0" w:firstLineChars="0"/>
        <w:rPr>
          <w:rFonts w:ascii="仿宋" w:hAnsi="仿宋" w:eastAsia="仿宋" w:cs="仿宋"/>
          <w:sz w:val="24"/>
          <w:highlight w:val="none"/>
        </w:rPr>
      </w:pPr>
      <w:r>
        <w:rPr>
          <w:rFonts w:hint="eastAsia" w:ascii="仿宋" w:hAnsi="仿宋" w:eastAsia="仿宋" w:cs="仿宋"/>
          <w:sz w:val="24"/>
          <w:highlight w:val="none"/>
        </w:rPr>
        <w:t>备注：1.货物全部由符合政策要求的中小企业制造，其中小微企业的合同份额须占到合同总金额90%及以上。制造商规模以中小企业声明函为准，小微企业合同份额累计额以本表金额计算为准。</w:t>
      </w:r>
    </w:p>
    <w:p>
      <w:pPr>
        <w:pStyle w:val="61"/>
        <w:wordWrap w:val="0"/>
        <w:spacing w:after="0" w:line="336" w:lineRule="auto"/>
        <w:ind w:left="0" w:leftChars="0" w:firstLine="0" w:firstLineChars="0"/>
        <w:rPr>
          <w:rFonts w:ascii="仿宋" w:hAnsi="仿宋" w:eastAsia="仿宋" w:cs="仿宋"/>
          <w:kern w:val="0"/>
          <w:sz w:val="24"/>
          <w:highlight w:val="none"/>
          <w:lang w:val="zh-CN"/>
        </w:rPr>
      </w:pPr>
    </w:p>
    <w:p>
      <w:pPr>
        <w:pStyle w:val="61"/>
        <w:wordWrap w:val="0"/>
        <w:spacing w:after="0" w:line="336" w:lineRule="auto"/>
        <w:ind w:left="0" w:leftChars="0" w:firstLine="0" w:firstLineChars="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投标人名称（电子签名）：</w:t>
      </w:r>
    </w:p>
    <w:p>
      <w:pPr>
        <w:pStyle w:val="83"/>
        <w:ind w:firstLine="0" w:firstLineChars="0"/>
        <w:rPr>
          <w:rFonts w:ascii="仿宋" w:hAnsi="仿宋" w:eastAsia="仿宋" w:cs="仿宋"/>
          <w:highlight w:val="none"/>
          <w:lang w:val="zh-CN"/>
        </w:rPr>
      </w:pPr>
      <w:r>
        <w:rPr>
          <w:rFonts w:hint="eastAsia" w:ascii="仿宋" w:hAnsi="仿宋" w:eastAsia="仿宋" w:cs="仿宋"/>
          <w:kern w:val="0"/>
          <w:sz w:val="24"/>
          <w:highlight w:val="none"/>
          <w:lang w:val="zh-CN"/>
        </w:rPr>
        <w:t>日期：</w:t>
      </w:r>
    </w:p>
    <w:p>
      <w:pPr>
        <w:pStyle w:val="694"/>
        <w:keepNext w:val="0"/>
        <w:tabs>
          <w:tab w:val="clear" w:pos="720"/>
        </w:tabs>
        <w:wordWrap w:val="0"/>
        <w:snapToGrid w:val="0"/>
        <w:spacing w:before="120" w:after="120"/>
        <w:ind w:firstLine="643"/>
        <w:outlineLvl w:val="4"/>
        <w:rPr>
          <w:rFonts w:ascii="仿宋" w:hAnsi="仿宋" w:eastAsia="仿宋" w:cs="仿宋"/>
          <w:sz w:val="32"/>
          <w:szCs w:val="32"/>
          <w:highlight w:val="none"/>
        </w:rPr>
      </w:pPr>
      <w:bookmarkStart w:id="559" w:name="_Toc19744"/>
      <w:bookmarkStart w:id="560" w:name="_Toc16528"/>
      <w:bookmarkStart w:id="561" w:name="_Toc26887"/>
      <w:bookmarkStart w:id="562" w:name="_Toc15901"/>
      <w:bookmarkStart w:id="563" w:name="_Toc10965"/>
      <w:bookmarkStart w:id="564" w:name="_Toc16525"/>
      <w:bookmarkStart w:id="565" w:name="_Toc24377"/>
      <w:bookmarkStart w:id="566" w:name="_Toc29327"/>
      <w:bookmarkStart w:id="567" w:name="_Toc16669"/>
      <w:r>
        <w:rPr>
          <w:rFonts w:hint="eastAsia" w:ascii="仿宋" w:hAnsi="仿宋" w:eastAsia="仿宋" w:cs="仿宋"/>
          <w:kern w:val="2"/>
          <w:sz w:val="32"/>
          <w:szCs w:val="32"/>
          <w:highlight w:val="none"/>
        </w:rPr>
        <w:sym w:font="Wingdings" w:char="00A8"/>
      </w:r>
      <w:r>
        <w:rPr>
          <w:rFonts w:hint="eastAsia" w:ascii="仿宋" w:hAnsi="仿宋" w:eastAsia="仿宋" w:cs="仿宋"/>
          <w:kern w:val="2"/>
          <w:sz w:val="32"/>
          <w:szCs w:val="32"/>
          <w:highlight w:val="none"/>
        </w:rPr>
        <w:t>二、</w:t>
      </w:r>
      <w:r>
        <w:rPr>
          <w:rFonts w:hint="eastAsia" w:ascii="仿宋" w:hAnsi="仿宋" w:eastAsia="仿宋" w:cs="仿宋"/>
          <w:sz w:val="32"/>
          <w:szCs w:val="32"/>
          <w:highlight w:val="none"/>
        </w:rPr>
        <w:t>中小企业声明函</w:t>
      </w:r>
      <w:bookmarkEnd w:id="559"/>
      <w:bookmarkEnd w:id="560"/>
      <w:bookmarkEnd w:id="561"/>
      <w:bookmarkEnd w:id="562"/>
      <w:bookmarkEnd w:id="563"/>
      <w:bookmarkEnd w:id="564"/>
      <w:bookmarkEnd w:id="565"/>
      <w:bookmarkEnd w:id="566"/>
      <w:bookmarkEnd w:id="567"/>
    </w:p>
    <w:p>
      <w:pPr>
        <w:widowControl/>
        <w:wordWrap w:val="0"/>
        <w:spacing w:line="360" w:lineRule="auto"/>
        <w:ind w:firstLine="120" w:firstLineChars="50"/>
        <w:jc w:val="left"/>
        <w:rPr>
          <w:rFonts w:ascii="仿宋" w:hAnsi="仿宋" w:eastAsia="仿宋" w:cs="仿宋"/>
          <w:b/>
          <w:sz w:val="24"/>
          <w:highlight w:val="none"/>
        </w:rPr>
      </w:pPr>
    </w:p>
    <w:p>
      <w:pPr>
        <w:widowControl/>
        <w:wordWrap w:val="0"/>
        <w:spacing w:line="360" w:lineRule="auto"/>
        <w:ind w:firstLine="120" w:firstLineChars="50"/>
        <w:jc w:val="left"/>
        <w:rPr>
          <w:rFonts w:ascii="仿宋" w:hAnsi="仿宋" w:eastAsia="仿宋" w:cs="仿宋"/>
          <w:b/>
          <w:sz w:val="24"/>
          <w:highlight w:val="none"/>
        </w:rPr>
      </w:pPr>
      <w:r>
        <w:rPr>
          <w:rFonts w:hint="eastAsia" w:ascii="仿宋" w:hAnsi="仿宋" w:eastAsia="仿宋" w:cs="仿宋"/>
          <w:b/>
          <w:sz w:val="24"/>
          <w:highlight w:val="none"/>
        </w:rPr>
        <w:sym w:font="Wingdings 2" w:char="00A3"/>
      </w:r>
      <w:r>
        <w:rPr>
          <w:rFonts w:hint="eastAsia" w:ascii="仿宋" w:hAnsi="仿宋" w:eastAsia="仿宋" w:cs="仿宋"/>
          <w:b/>
          <w:sz w:val="24"/>
          <w:highlight w:val="none"/>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pPr>
        <w:widowControl/>
        <w:wordWrap w:val="0"/>
        <w:spacing w:line="360" w:lineRule="auto"/>
        <w:ind w:firstLine="120" w:firstLineChars="50"/>
        <w:jc w:val="left"/>
        <w:rPr>
          <w:rFonts w:ascii="仿宋" w:hAnsi="仿宋" w:eastAsia="仿宋" w:cs="仿宋"/>
          <w:b/>
          <w:sz w:val="24"/>
          <w:highlight w:val="none"/>
        </w:rPr>
      </w:pPr>
    </w:p>
    <w:p>
      <w:pPr>
        <w:widowControl/>
        <w:wordWrap w:val="0"/>
        <w:spacing w:line="360" w:lineRule="auto"/>
        <w:ind w:firstLine="120" w:firstLineChars="50"/>
        <w:jc w:val="left"/>
        <w:rPr>
          <w:rFonts w:ascii="仿宋" w:hAnsi="仿宋" w:eastAsia="仿宋" w:cs="仿宋"/>
          <w:b/>
          <w:sz w:val="24"/>
          <w:highlight w:val="none"/>
        </w:rPr>
      </w:pPr>
      <w:r>
        <w:rPr>
          <w:rFonts w:hint="eastAsia" w:ascii="仿宋" w:hAnsi="仿宋" w:eastAsia="仿宋" w:cs="仿宋"/>
          <w:b/>
          <w:sz w:val="24"/>
          <w:highlight w:val="none"/>
        </w:rPr>
        <w:sym w:font="Wingdings 2" w:char="0052"/>
      </w:r>
      <w:r>
        <w:rPr>
          <w:rFonts w:hint="eastAsia" w:ascii="仿宋" w:hAnsi="仿宋" w:eastAsia="仿宋" w:cs="仿宋"/>
          <w:b/>
          <w:sz w:val="24"/>
          <w:highlight w:val="none"/>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p>
    <w:p>
      <w:pPr>
        <w:wordWrap w:val="0"/>
        <w:spacing w:line="360" w:lineRule="auto"/>
        <w:ind w:right="420" w:firstLine="2409" w:firstLineChars="1000"/>
        <w:rPr>
          <w:rFonts w:ascii="仿宋" w:hAnsi="仿宋" w:eastAsia="仿宋" w:cs="仿宋"/>
          <w:b/>
          <w:kern w:val="0"/>
          <w:sz w:val="24"/>
          <w:highlight w:val="none"/>
        </w:rPr>
      </w:pPr>
    </w:p>
    <w:p>
      <w:pPr>
        <w:widowControl/>
        <w:wordWrap w:val="0"/>
        <w:spacing w:line="360" w:lineRule="auto"/>
        <w:ind w:firstLine="120" w:firstLineChars="50"/>
        <w:rPr>
          <w:rFonts w:ascii="仿宋" w:hAnsi="仿宋" w:eastAsia="仿宋" w:cs="仿宋"/>
          <w:b/>
          <w:sz w:val="24"/>
          <w:highlight w:val="none"/>
        </w:rPr>
      </w:pPr>
      <w:r>
        <w:rPr>
          <w:rFonts w:hint="eastAsia" w:ascii="仿宋" w:hAnsi="仿宋" w:eastAsia="仿宋" w:cs="仿宋"/>
          <w:b/>
          <w:sz w:val="24"/>
          <w:highlight w:val="none"/>
        </w:rPr>
        <w:sym w:font="Wingdings 2" w:char="00A3"/>
      </w:r>
      <w:r>
        <w:rPr>
          <w:rFonts w:hint="eastAsia" w:ascii="仿宋" w:hAnsi="仿宋" w:eastAsia="仿宋" w:cs="仿宋"/>
          <w:b/>
          <w:sz w:val="24"/>
          <w:highlight w:val="none"/>
        </w:rPr>
        <w:t>[本项目落实政府采购政策需满足的资格要求以联合体形式参加的，提供联合协议（附件6）和中小企业声明函（附件5），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widowControl/>
        <w:wordWrap w:val="0"/>
        <w:spacing w:line="360" w:lineRule="auto"/>
        <w:ind w:firstLine="120" w:firstLineChars="50"/>
        <w:rPr>
          <w:rFonts w:ascii="仿宋" w:hAnsi="仿宋" w:eastAsia="仿宋" w:cs="仿宋"/>
          <w:b/>
          <w:sz w:val="24"/>
          <w:highlight w:val="none"/>
        </w:rPr>
      </w:pPr>
    </w:p>
    <w:p>
      <w:pPr>
        <w:widowControl/>
        <w:wordWrap w:val="0"/>
        <w:spacing w:line="360" w:lineRule="auto"/>
        <w:ind w:firstLine="120" w:firstLineChars="50"/>
        <w:rPr>
          <w:rFonts w:ascii="仿宋" w:hAnsi="仿宋" w:eastAsia="仿宋" w:cs="仿宋"/>
          <w:b/>
          <w:sz w:val="24"/>
          <w:highlight w:val="none"/>
        </w:rPr>
      </w:pPr>
      <w:r>
        <w:rPr>
          <w:rFonts w:hint="eastAsia" w:ascii="仿宋" w:hAnsi="仿宋" w:eastAsia="仿宋" w:cs="仿宋"/>
          <w:b/>
          <w:sz w:val="24"/>
          <w:highlight w:val="none"/>
        </w:rPr>
        <w:sym w:font="Wingdings 2" w:char="00A3"/>
      </w:r>
      <w:r>
        <w:rPr>
          <w:rFonts w:hint="eastAsia" w:ascii="仿宋" w:hAnsi="仿宋" w:eastAsia="仿宋" w:cs="仿宋"/>
          <w:b/>
          <w:sz w:val="24"/>
          <w:highlight w:val="none"/>
        </w:rPr>
        <w:t>[本项目落实政府采购政策需满足的资格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pPr>
        <w:wordWrap w:val="0"/>
        <w:spacing w:line="360" w:lineRule="auto"/>
        <w:ind w:right="420" w:firstLine="3614" w:firstLineChars="1000"/>
        <w:rPr>
          <w:rFonts w:ascii="仿宋" w:hAnsi="仿宋" w:eastAsia="仿宋" w:cs="仿宋"/>
          <w:b/>
          <w:kern w:val="0"/>
          <w:sz w:val="36"/>
          <w:szCs w:val="36"/>
          <w:highlight w:val="none"/>
        </w:rPr>
      </w:pPr>
    </w:p>
    <w:p>
      <w:pPr>
        <w:wordWrap w:val="0"/>
        <w:spacing w:line="360" w:lineRule="auto"/>
        <w:ind w:right="420" w:firstLine="3614" w:firstLineChars="1000"/>
        <w:rPr>
          <w:rFonts w:ascii="仿宋" w:hAnsi="仿宋" w:eastAsia="仿宋" w:cs="仿宋"/>
          <w:b/>
          <w:kern w:val="0"/>
          <w:sz w:val="36"/>
          <w:szCs w:val="36"/>
          <w:highlight w:val="none"/>
        </w:rPr>
      </w:pPr>
    </w:p>
    <w:p>
      <w:pPr>
        <w:wordWrap w:val="0"/>
        <w:spacing w:line="360" w:lineRule="auto"/>
        <w:ind w:right="420" w:firstLine="3614" w:firstLineChars="1000"/>
        <w:rPr>
          <w:rFonts w:ascii="仿宋" w:hAnsi="仿宋" w:eastAsia="仿宋" w:cs="仿宋"/>
          <w:b/>
          <w:kern w:val="0"/>
          <w:sz w:val="36"/>
          <w:szCs w:val="36"/>
          <w:highlight w:val="none"/>
        </w:rPr>
      </w:pPr>
    </w:p>
    <w:p>
      <w:pPr>
        <w:pStyle w:val="4"/>
        <w:rPr>
          <w:rFonts w:ascii="仿宋" w:hAnsi="仿宋" w:eastAsia="仿宋" w:cs="仿宋"/>
          <w:highlight w:val="none"/>
        </w:rPr>
        <w:sectPr>
          <w:footerReference r:id="rId22" w:type="first"/>
          <w:headerReference r:id="rId19" w:type="default"/>
          <w:footerReference r:id="rId20" w:type="default"/>
          <w:footerReference r:id="rId21" w:type="even"/>
          <w:pgSz w:w="11905" w:h="16838"/>
          <w:pgMar w:top="652" w:right="1417" w:bottom="680" w:left="1417" w:header="539" w:footer="425" w:gutter="0"/>
          <w:cols w:space="0" w:num="1"/>
          <w:titlePg/>
          <w:docGrid w:linePitch="312" w:charSpace="0"/>
        </w:sectPr>
      </w:pPr>
      <w:bookmarkStart w:id="568" w:name="_Toc11681"/>
      <w:bookmarkStart w:id="569" w:name="_Toc19385"/>
      <w:bookmarkStart w:id="570" w:name="_Toc465665161"/>
      <w:bookmarkStart w:id="571" w:name="_Toc29548"/>
      <w:bookmarkStart w:id="572" w:name="_Toc18247"/>
      <w:bookmarkStart w:id="573" w:name="_Toc21803"/>
    </w:p>
    <w:p>
      <w:pPr>
        <w:pStyle w:val="2"/>
        <w:keepNext w:val="0"/>
        <w:keepLines w:val="0"/>
        <w:widowControl/>
        <w:wordWrap w:val="0"/>
        <w:spacing w:before="100" w:beforeAutospacing="1" w:after="100" w:afterAutospacing="1" w:line="360" w:lineRule="auto"/>
        <w:rPr>
          <w:rFonts w:ascii="仿宋" w:hAnsi="仿宋" w:eastAsia="仿宋" w:cs="仿宋"/>
          <w:highlight w:val="none"/>
        </w:rPr>
      </w:pPr>
      <w:bookmarkStart w:id="574" w:name="_Toc1812"/>
      <w:bookmarkStart w:id="575" w:name="_Toc19751"/>
      <w:r>
        <w:rPr>
          <w:rFonts w:hint="eastAsia" w:ascii="仿宋" w:hAnsi="仿宋" w:eastAsia="仿宋" w:cs="仿宋"/>
          <w:highlight w:val="none"/>
        </w:rPr>
        <w:t>附件</w:t>
      </w:r>
      <w:bookmarkEnd w:id="568"/>
      <w:bookmarkEnd w:id="569"/>
      <w:bookmarkEnd w:id="570"/>
      <w:bookmarkEnd w:id="571"/>
      <w:bookmarkEnd w:id="572"/>
      <w:bookmarkEnd w:id="573"/>
      <w:bookmarkEnd w:id="574"/>
      <w:bookmarkEnd w:id="575"/>
    </w:p>
    <w:p>
      <w:pPr>
        <w:wordWrap w:val="0"/>
        <w:spacing w:line="360" w:lineRule="auto"/>
        <w:outlineLvl w:val="0"/>
        <w:rPr>
          <w:rFonts w:ascii="仿宋" w:hAnsi="仿宋" w:eastAsia="仿宋" w:cs="仿宋"/>
          <w:b/>
          <w:spacing w:val="6"/>
          <w:sz w:val="32"/>
          <w:szCs w:val="32"/>
          <w:highlight w:val="none"/>
        </w:rPr>
      </w:pPr>
      <w:bookmarkStart w:id="576" w:name="_Toc9886"/>
      <w:bookmarkStart w:id="577" w:name="_Toc19435"/>
      <w:bookmarkStart w:id="578" w:name="_Toc7995"/>
      <w:bookmarkStart w:id="579" w:name="_Toc24540"/>
      <w:bookmarkStart w:id="580" w:name="_Toc14817"/>
      <w:bookmarkStart w:id="581" w:name="_Toc7886"/>
      <w:bookmarkStart w:id="582" w:name="_Toc31021"/>
      <w:bookmarkStart w:id="583" w:name="_Toc4640"/>
      <w:bookmarkStart w:id="584" w:name="_Toc25826"/>
      <w:r>
        <w:rPr>
          <w:rFonts w:hint="eastAsia" w:ascii="仿宋" w:hAnsi="仿宋" w:eastAsia="仿宋" w:cs="仿宋"/>
          <w:b/>
          <w:spacing w:val="6"/>
          <w:sz w:val="32"/>
          <w:szCs w:val="32"/>
          <w:highlight w:val="none"/>
        </w:rPr>
        <w:t>附件1：</w:t>
      </w:r>
      <w:bookmarkEnd w:id="576"/>
      <w:bookmarkEnd w:id="577"/>
      <w:bookmarkEnd w:id="578"/>
      <w:bookmarkEnd w:id="579"/>
      <w:bookmarkEnd w:id="580"/>
      <w:bookmarkEnd w:id="581"/>
      <w:bookmarkEnd w:id="582"/>
      <w:bookmarkEnd w:id="583"/>
      <w:bookmarkEnd w:id="584"/>
    </w:p>
    <w:p>
      <w:pPr>
        <w:wordWrap w:val="0"/>
        <w:spacing w:line="360" w:lineRule="auto"/>
        <w:jc w:val="center"/>
        <w:rPr>
          <w:rFonts w:ascii="仿宋" w:hAnsi="仿宋" w:eastAsia="仿宋" w:cs="仿宋"/>
          <w:b/>
          <w:spacing w:val="6"/>
          <w:sz w:val="32"/>
          <w:szCs w:val="32"/>
          <w:highlight w:val="none"/>
        </w:rPr>
      </w:pPr>
      <w:bookmarkStart w:id="585" w:name="OLE_LINK14"/>
      <w:bookmarkStart w:id="586" w:name="OLE_LINK13"/>
      <w:r>
        <w:rPr>
          <w:rFonts w:hint="eastAsia" w:ascii="仿宋" w:hAnsi="仿宋" w:eastAsia="仿宋" w:cs="仿宋"/>
          <w:b/>
          <w:spacing w:val="6"/>
          <w:sz w:val="32"/>
          <w:szCs w:val="32"/>
          <w:highlight w:val="none"/>
        </w:rPr>
        <w:t>残疾人福利性单位声明函</w:t>
      </w:r>
    </w:p>
    <w:bookmarkEnd w:id="585"/>
    <w:bookmarkEnd w:id="586"/>
    <w:p>
      <w:pPr>
        <w:wordWrap w:val="0"/>
        <w:spacing w:line="360" w:lineRule="auto"/>
        <w:rPr>
          <w:rFonts w:ascii="仿宋" w:hAnsi="仿宋" w:eastAsia="仿宋" w:cs="仿宋"/>
          <w:b/>
          <w:spacing w:val="6"/>
          <w:sz w:val="30"/>
          <w:szCs w:val="30"/>
          <w:highlight w:val="none"/>
        </w:rPr>
      </w:pP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highlight w:val="none"/>
          <w:u w:val="single"/>
        </w:rPr>
        <w:t xml:space="preserve">  杭州学军中学桐庐学校  </w:t>
      </w:r>
      <w:r>
        <w:rPr>
          <w:rFonts w:hint="eastAsia" w:ascii="仿宋" w:hAnsi="仿宋" w:eastAsia="仿宋" w:cs="仿宋"/>
          <w:sz w:val="24"/>
          <w:highlight w:val="none"/>
        </w:rPr>
        <w:t>单位的</w:t>
      </w:r>
      <w:r>
        <w:rPr>
          <w:rFonts w:hint="eastAsia" w:ascii="仿宋" w:hAnsi="仿宋" w:eastAsia="仿宋" w:cs="仿宋"/>
          <w:sz w:val="24"/>
          <w:highlight w:val="none"/>
          <w:u w:val="single"/>
        </w:rPr>
        <w:t>杭州学军中学桐庐学校竣工配套设施设备（图书馆）项目【项目编号：HZGJ-XJZX2024-04】</w:t>
      </w:r>
      <w:r>
        <w:rPr>
          <w:rFonts w:hint="eastAsia" w:ascii="仿宋" w:hAnsi="仿宋" w:eastAsia="仿宋" w:cs="仿宋"/>
          <w:sz w:val="24"/>
          <w:highlight w:val="none"/>
        </w:rPr>
        <w:t>采购活动提供本单位</w:t>
      </w:r>
      <w:r>
        <w:rPr>
          <w:rFonts w:hint="eastAsia" w:ascii="仿宋" w:hAnsi="仿宋" w:eastAsia="仿宋" w:cs="仿宋"/>
          <w:sz w:val="24"/>
          <w:highlight w:val="none"/>
        </w:rPr>
        <w:sym w:font="Wingdings" w:char="00FE"/>
      </w:r>
      <w:r>
        <w:rPr>
          <w:rFonts w:hint="eastAsia" w:ascii="仿宋" w:hAnsi="仿宋" w:eastAsia="仿宋" w:cs="仿宋"/>
          <w:sz w:val="24"/>
          <w:highlight w:val="none"/>
        </w:rPr>
        <w:t>制造的货物</w:t>
      </w:r>
      <w:r>
        <w:rPr>
          <w:rFonts w:hint="eastAsia" w:ascii="仿宋" w:hAnsi="仿宋" w:eastAsia="仿宋" w:cs="仿宋"/>
          <w:sz w:val="24"/>
          <w:highlight w:val="none"/>
        </w:rPr>
        <w:sym w:font="Wingdings" w:char="00A8"/>
      </w:r>
      <w:r>
        <w:rPr>
          <w:rFonts w:hint="eastAsia" w:ascii="仿宋" w:hAnsi="仿宋" w:eastAsia="仿宋" w:cs="仿宋"/>
          <w:sz w:val="24"/>
          <w:highlight w:val="none"/>
        </w:rPr>
        <w:t>本单位承担工程</w:t>
      </w:r>
      <w:r>
        <w:rPr>
          <w:rFonts w:hint="eastAsia" w:ascii="仿宋" w:hAnsi="仿宋" w:eastAsia="仿宋" w:cs="仿宋"/>
          <w:sz w:val="24"/>
          <w:highlight w:val="none"/>
        </w:rPr>
        <w:sym w:font="Wingdings" w:char="00A8"/>
      </w:r>
      <w:r>
        <w:rPr>
          <w:rFonts w:hint="eastAsia" w:ascii="仿宋" w:hAnsi="仿宋" w:eastAsia="仿宋" w:cs="仿宋"/>
          <w:sz w:val="24"/>
          <w:highlight w:val="none"/>
        </w:rPr>
        <w:t>本单位提供服务），或者提供其他残疾人福利性单位制造的货物（不包括使用非残疾人福利性单位注册商标的货物）。</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wordWrap w:val="0"/>
        <w:spacing w:line="360" w:lineRule="auto"/>
        <w:ind w:firstLine="480" w:firstLineChars="200"/>
        <w:rPr>
          <w:rFonts w:ascii="仿宋" w:hAnsi="仿宋" w:eastAsia="仿宋" w:cs="仿宋"/>
          <w:sz w:val="24"/>
          <w:highlight w:val="none"/>
        </w:rPr>
      </w:pPr>
    </w:p>
    <w:p>
      <w:pPr>
        <w:wordWrap w:val="0"/>
        <w:spacing w:line="360" w:lineRule="auto"/>
        <w:ind w:firstLine="480" w:firstLineChars="200"/>
        <w:rPr>
          <w:rFonts w:ascii="仿宋" w:hAnsi="仿宋" w:eastAsia="仿宋" w:cs="仿宋"/>
          <w:sz w:val="24"/>
          <w:highlight w:val="none"/>
        </w:rPr>
      </w:pPr>
    </w:p>
    <w:p>
      <w:pPr>
        <w:tabs>
          <w:tab w:val="left" w:pos="4860"/>
        </w:tabs>
        <w:wordWrap w:val="0"/>
        <w:spacing w:line="360" w:lineRule="auto"/>
        <w:ind w:right="1560"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pPr>
        <w:tabs>
          <w:tab w:val="left" w:pos="4860"/>
        </w:tabs>
        <w:wordWrap w:val="0"/>
        <w:spacing w:line="360" w:lineRule="auto"/>
        <w:ind w:right="1560"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日  期：</w:t>
      </w:r>
    </w:p>
    <w:p>
      <w:pPr>
        <w:wordWrap w:val="0"/>
        <w:spacing w:line="360" w:lineRule="auto"/>
        <w:ind w:firstLine="480" w:firstLineChars="200"/>
        <w:rPr>
          <w:rFonts w:ascii="仿宋" w:hAnsi="仿宋" w:eastAsia="仿宋" w:cs="仿宋"/>
          <w:sz w:val="24"/>
          <w:highlight w:val="none"/>
        </w:rPr>
      </w:pPr>
    </w:p>
    <w:p>
      <w:pPr>
        <w:wordWrap w:val="0"/>
        <w:spacing w:line="360" w:lineRule="auto"/>
        <w:ind w:firstLine="420" w:firstLineChars="200"/>
        <w:rPr>
          <w:rFonts w:ascii="仿宋" w:hAnsi="仿宋" w:eastAsia="仿宋" w:cs="仿宋"/>
          <w:highlight w:val="none"/>
        </w:rPr>
      </w:pPr>
    </w:p>
    <w:p>
      <w:pPr>
        <w:wordWrap w:val="0"/>
        <w:spacing w:line="360" w:lineRule="auto"/>
        <w:ind w:firstLine="420" w:firstLineChars="200"/>
        <w:rPr>
          <w:rFonts w:ascii="仿宋" w:hAnsi="仿宋" w:eastAsia="仿宋" w:cs="仿宋"/>
          <w:highlight w:val="none"/>
        </w:rPr>
      </w:pPr>
    </w:p>
    <w:p>
      <w:pPr>
        <w:wordWrap w:val="0"/>
        <w:spacing w:line="360" w:lineRule="auto"/>
        <w:ind w:firstLine="420" w:firstLineChars="200"/>
        <w:rPr>
          <w:rFonts w:ascii="仿宋" w:hAnsi="仿宋" w:eastAsia="仿宋" w:cs="仿宋"/>
          <w:highlight w:val="none"/>
        </w:rPr>
      </w:pPr>
    </w:p>
    <w:p>
      <w:pPr>
        <w:wordWrap w:val="0"/>
        <w:spacing w:line="360" w:lineRule="auto"/>
        <w:ind w:firstLine="420" w:firstLineChars="200"/>
        <w:rPr>
          <w:rFonts w:ascii="仿宋" w:hAnsi="仿宋" w:eastAsia="仿宋" w:cs="仿宋"/>
          <w:highlight w:val="none"/>
        </w:rPr>
      </w:pPr>
    </w:p>
    <w:p>
      <w:pPr>
        <w:wordWrap w:val="0"/>
        <w:spacing w:line="360" w:lineRule="auto"/>
        <w:rPr>
          <w:rFonts w:ascii="仿宋" w:hAnsi="仿宋" w:eastAsia="仿宋" w:cs="仿宋"/>
          <w:b/>
          <w:sz w:val="24"/>
          <w:highlight w:val="none"/>
        </w:rPr>
      </w:pPr>
    </w:p>
    <w:p>
      <w:pPr>
        <w:wordWrap w:val="0"/>
        <w:spacing w:line="360" w:lineRule="auto"/>
        <w:rPr>
          <w:rFonts w:ascii="仿宋" w:hAnsi="仿宋" w:eastAsia="仿宋" w:cs="仿宋"/>
          <w:b/>
          <w:sz w:val="24"/>
          <w:highlight w:val="none"/>
        </w:rPr>
      </w:pPr>
    </w:p>
    <w:p>
      <w:pPr>
        <w:wordWrap w:val="0"/>
        <w:spacing w:line="360" w:lineRule="auto"/>
        <w:rPr>
          <w:rFonts w:ascii="仿宋" w:hAnsi="仿宋" w:eastAsia="仿宋" w:cs="仿宋"/>
          <w:b/>
          <w:sz w:val="24"/>
          <w:highlight w:val="none"/>
        </w:rPr>
      </w:pPr>
    </w:p>
    <w:p>
      <w:pPr>
        <w:wordWrap w:val="0"/>
        <w:spacing w:line="360" w:lineRule="auto"/>
        <w:rPr>
          <w:rFonts w:ascii="仿宋" w:hAnsi="仿宋" w:eastAsia="仿宋" w:cs="仿宋"/>
          <w:b/>
          <w:sz w:val="24"/>
          <w:highlight w:val="none"/>
        </w:rPr>
      </w:pPr>
    </w:p>
    <w:p>
      <w:pPr>
        <w:wordWrap w:val="0"/>
        <w:spacing w:line="360" w:lineRule="auto"/>
        <w:rPr>
          <w:rFonts w:ascii="仿宋" w:hAnsi="仿宋" w:eastAsia="仿宋" w:cs="仿宋"/>
          <w:b/>
          <w:sz w:val="24"/>
          <w:highlight w:val="none"/>
        </w:rPr>
      </w:pPr>
    </w:p>
    <w:p>
      <w:pPr>
        <w:wordWrap w:val="0"/>
        <w:spacing w:line="360" w:lineRule="auto"/>
        <w:rPr>
          <w:rFonts w:ascii="仿宋" w:hAnsi="仿宋" w:eastAsia="仿宋" w:cs="仿宋"/>
          <w:b/>
          <w:sz w:val="24"/>
          <w:highlight w:val="none"/>
        </w:rPr>
      </w:pPr>
    </w:p>
    <w:p>
      <w:pPr>
        <w:wordWrap w:val="0"/>
        <w:spacing w:line="360" w:lineRule="auto"/>
        <w:rPr>
          <w:rFonts w:ascii="仿宋" w:hAnsi="仿宋" w:eastAsia="仿宋" w:cs="仿宋"/>
          <w:b/>
          <w:sz w:val="24"/>
          <w:highlight w:val="none"/>
        </w:rPr>
      </w:pPr>
    </w:p>
    <w:p>
      <w:pPr>
        <w:wordWrap w:val="0"/>
        <w:spacing w:line="360" w:lineRule="auto"/>
        <w:rPr>
          <w:rFonts w:ascii="仿宋" w:hAnsi="仿宋" w:eastAsia="仿宋" w:cs="仿宋"/>
          <w:b/>
          <w:sz w:val="24"/>
          <w:highlight w:val="none"/>
        </w:rPr>
      </w:pPr>
    </w:p>
    <w:p>
      <w:pPr>
        <w:wordWrap w:val="0"/>
        <w:spacing w:line="360" w:lineRule="auto"/>
        <w:rPr>
          <w:rFonts w:ascii="仿宋" w:hAnsi="仿宋" w:eastAsia="仿宋" w:cs="仿宋"/>
          <w:b/>
          <w:sz w:val="24"/>
          <w:highlight w:val="none"/>
        </w:rPr>
      </w:pPr>
    </w:p>
    <w:p>
      <w:pPr>
        <w:wordWrap w:val="0"/>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pPr>
        <w:wordWrap w:val="0"/>
        <w:spacing w:line="360" w:lineRule="auto"/>
        <w:jc w:val="left"/>
        <w:outlineLvl w:val="0"/>
        <w:rPr>
          <w:rFonts w:ascii="仿宋" w:hAnsi="仿宋" w:eastAsia="仿宋" w:cs="仿宋"/>
          <w:b/>
          <w:spacing w:val="6"/>
          <w:sz w:val="32"/>
          <w:szCs w:val="32"/>
          <w:highlight w:val="none"/>
        </w:rPr>
      </w:pPr>
      <w:bookmarkStart w:id="587" w:name="_Toc3891"/>
      <w:bookmarkStart w:id="588" w:name="_Toc19664"/>
      <w:bookmarkStart w:id="589" w:name="_Toc16744"/>
      <w:bookmarkStart w:id="590" w:name="_Toc22640"/>
      <w:bookmarkStart w:id="591" w:name="_Toc21976"/>
      <w:bookmarkStart w:id="592" w:name="_Toc10405"/>
      <w:bookmarkStart w:id="593" w:name="_Toc16946"/>
      <w:bookmarkStart w:id="594" w:name="_Toc25285"/>
      <w:bookmarkStart w:id="595" w:name="_Toc10890"/>
      <w:r>
        <w:rPr>
          <w:rFonts w:hint="eastAsia" w:ascii="仿宋" w:hAnsi="仿宋" w:eastAsia="仿宋" w:cs="仿宋"/>
          <w:b/>
          <w:spacing w:val="6"/>
          <w:sz w:val="32"/>
          <w:szCs w:val="32"/>
          <w:highlight w:val="none"/>
        </w:rPr>
        <w:t>附件2：质疑函范本及制作说明</w:t>
      </w:r>
      <w:bookmarkEnd w:id="587"/>
      <w:bookmarkEnd w:id="588"/>
      <w:bookmarkEnd w:id="589"/>
      <w:bookmarkEnd w:id="590"/>
      <w:bookmarkEnd w:id="591"/>
      <w:bookmarkEnd w:id="592"/>
      <w:bookmarkEnd w:id="593"/>
      <w:bookmarkEnd w:id="594"/>
      <w:bookmarkEnd w:id="595"/>
    </w:p>
    <w:p>
      <w:pPr>
        <w:wordWrap w:val="0"/>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pPr>
        <w:wordWrap w:val="0"/>
        <w:snapToGrid w:val="0"/>
        <w:spacing w:before="240" w:beforeLines="100"/>
        <w:rPr>
          <w:rFonts w:ascii="仿宋" w:hAnsi="仿宋" w:eastAsia="仿宋" w:cs="仿宋"/>
          <w:bCs/>
          <w:sz w:val="24"/>
          <w:highlight w:val="none"/>
        </w:rPr>
      </w:pPr>
      <w:r>
        <w:rPr>
          <w:rFonts w:hint="eastAsia" w:ascii="仿宋" w:hAnsi="仿宋" w:eastAsia="仿宋" w:cs="仿宋"/>
          <w:bCs/>
          <w:sz w:val="24"/>
          <w:highlight w:val="none"/>
        </w:rPr>
        <w:t>一、质疑供应商基本信息</w:t>
      </w:r>
    </w:p>
    <w:p>
      <w:pPr>
        <w:wordWrap w:val="0"/>
        <w:snapToGrid w:val="0"/>
        <w:rPr>
          <w:rFonts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wordWrap w:val="0"/>
        <w:snapToGrid w:val="0"/>
        <w:rPr>
          <w:rFonts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wordWrap w:val="0"/>
        <w:snapToGrid w:val="0"/>
        <w:rPr>
          <w:rFonts w:ascii="仿宋" w:hAnsi="仿宋" w:eastAsia="仿宋" w:cs="仿宋"/>
          <w:bCs/>
          <w:sz w:val="24"/>
          <w:highlight w:val="none"/>
        </w:rPr>
      </w:pPr>
      <w:r>
        <w:rPr>
          <w:rFonts w:hint="eastAsia" w:ascii="仿宋" w:hAnsi="仿宋" w:eastAsia="仿宋" w:cs="仿宋"/>
          <w:bCs/>
          <w:sz w:val="24"/>
          <w:highlight w:val="none"/>
        </w:rPr>
        <w:t>二、质疑项目基本情况</w:t>
      </w:r>
    </w:p>
    <w:p>
      <w:pPr>
        <w:wordWrap w:val="0"/>
        <w:snapToGrid w:val="0"/>
        <w:rPr>
          <w:rFonts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pPr>
        <w:wordWrap w:val="0"/>
        <w:snapToGrid w:val="0"/>
        <w:rPr>
          <w:rFonts w:ascii="仿宋" w:hAnsi="仿宋" w:eastAsia="仿宋" w:cs="仿宋"/>
          <w:bCs/>
          <w:sz w:val="24"/>
          <w:highlight w:val="none"/>
        </w:rPr>
      </w:pPr>
      <w:r>
        <w:rPr>
          <w:rFonts w:hint="eastAsia" w:ascii="仿宋" w:hAnsi="仿宋" w:eastAsia="仿宋" w:cs="仿宋"/>
          <w:bCs/>
          <w:sz w:val="24"/>
          <w:highlight w:val="none"/>
        </w:rPr>
        <w:t>三、质疑事项具体内容</w:t>
      </w:r>
    </w:p>
    <w:p>
      <w:pPr>
        <w:wordWrap w:val="0"/>
        <w:snapToGrid w:val="0"/>
        <w:rPr>
          <w:rFonts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rPr>
      </w:pP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u w:val="dotted"/>
        </w:rPr>
      </w:pPr>
      <w:r>
        <w:rPr>
          <w:rFonts w:hint="eastAsia" w:ascii="仿宋" w:hAnsi="仿宋" w:eastAsia="仿宋" w:cs="仿宋"/>
          <w:sz w:val="24"/>
          <w:highlight w:val="none"/>
        </w:rPr>
        <w:t>质疑事项2</w:t>
      </w:r>
    </w:p>
    <w:p>
      <w:pPr>
        <w:wordWrap w:val="0"/>
        <w:snapToGrid w:val="0"/>
        <w:rPr>
          <w:rFonts w:ascii="仿宋" w:hAnsi="仿宋" w:eastAsia="仿宋" w:cs="仿宋"/>
          <w:sz w:val="24"/>
          <w:highlight w:val="none"/>
        </w:rPr>
      </w:pPr>
      <w:r>
        <w:rPr>
          <w:rFonts w:hint="eastAsia" w:ascii="仿宋" w:hAnsi="仿宋" w:eastAsia="仿宋" w:cs="仿宋"/>
          <w:sz w:val="24"/>
          <w:highlight w:val="none"/>
        </w:rPr>
        <w:t>……</w:t>
      </w:r>
    </w:p>
    <w:p>
      <w:pPr>
        <w:wordWrap w:val="0"/>
        <w:snapToGrid w:val="0"/>
        <w:rPr>
          <w:rFonts w:ascii="仿宋" w:hAnsi="仿宋" w:eastAsia="仿宋" w:cs="仿宋"/>
          <w:bCs/>
          <w:sz w:val="24"/>
          <w:highlight w:val="none"/>
        </w:rPr>
      </w:pPr>
      <w:r>
        <w:rPr>
          <w:rFonts w:hint="eastAsia" w:ascii="仿宋" w:hAnsi="仿宋" w:eastAsia="仿宋" w:cs="仿宋"/>
          <w:bCs/>
          <w:sz w:val="24"/>
          <w:highlight w:val="none"/>
        </w:rPr>
        <w:t>四、与质疑事项相关的质疑请求</w:t>
      </w:r>
    </w:p>
    <w:p>
      <w:pPr>
        <w:wordWrap w:val="0"/>
        <w:snapToGrid w:val="0"/>
        <w:rPr>
          <w:rFonts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rPr>
      </w:pPr>
      <w:r>
        <w:rPr>
          <w:rFonts w:hint="eastAsia" w:ascii="仿宋" w:hAnsi="仿宋" w:eastAsia="仿宋" w:cs="仿宋"/>
          <w:sz w:val="24"/>
          <w:highlight w:val="none"/>
        </w:rPr>
        <w:t xml:space="preserve">签字(签章)：                   公章：                      </w:t>
      </w:r>
    </w:p>
    <w:p>
      <w:pPr>
        <w:wordWrap w:val="0"/>
        <w:rPr>
          <w:rFonts w:ascii="仿宋" w:hAnsi="仿宋" w:eastAsia="仿宋" w:cs="仿宋"/>
          <w:sz w:val="24"/>
          <w:highlight w:val="none"/>
        </w:rPr>
      </w:pPr>
      <w:r>
        <w:rPr>
          <w:rFonts w:hint="eastAsia" w:ascii="仿宋" w:hAnsi="仿宋" w:eastAsia="仿宋" w:cs="仿宋"/>
          <w:sz w:val="24"/>
          <w:highlight w:val="none"/>
        </w:rPr>
        <w:t xml:space="preserve">日期：    </w:t>
      </w:r>
    </w:p>
    <w:p>
      <w:pPr>
        <w:wordWrap w:val="0"/>
        <w:rPr>
          <w:rFonts w:ascii="仿宋" w:hAnsi="仿宋" w:eastAsia="仿宋" w:cs="仿宋"/>
          <w:b/>
          <w:sz w:val="24"/>
          <w:highlight w:val="none"/>
        </w:rPr>
      </w:pPr>
      <w:r>
        <w:rPr>
          <w:rFonts w:hint="eastAsia" w:ascii="仿宋" w:hAnsi="仿宋" w:eastAsia="仿宋" w:cs="仿宋"/>
          <w:b/>
          <w:sz w:val="24"/>
          <w:highlight w:val="none"/>
        </w:rPr>
        <w:t>质疑函制作说明：</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5.质疑函的质疑请求应与质疑事项相关。</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pPr>
        <w:widowControl/>
        <w:wordWrap w:val="0"/>
        <w:spacing w:line="360" w:lineRule="auto"/>
        <w:ind w:firstLine="600" w:firstLineChars="200"/>
        <w:jc w:val="left"/>
        <w:rPr>
          <w:rFonts w:ascii="仿宋" w:hAnsi="仿宋" w:eastAsia="仿宋" w:cs="仿宋"/>
          <w:sz w:val="30"/>
          <w:szCs w:val="30"/>
          <w:highlight w:val="none"/>
        </w:rPr>
      </w:pPr>
    </w:p>
    <w:p>
      <w:pPr>
        <w:wordWrap w:val="0"/>
        <w:spacing w:line="360" w:lineRule="auto"/>
        <w:jc w:val="center"/>
        <w:rPr>
          <w:rFonts w:ascii="仿宋" w:hAnsi="仿宋" w:eastAsia="仿宋" w:cs="仿宋"/>
          <w:b/>
          <w:spacing w:val="6"/>
          <w:sz w:val="32"/>
          <w:szCs w:val="32"/>
          <w:highlight w:val="none"/>
        </w:rPr>
      </w:pPr>
    </w:p>
    <w:p>
      <w:pPr>
        <w:wordWrap w:val="0"/>
        <w:spacing w:line="360" w:lineRule="auto"/>
        <w:jc w:val="center"/>
        <w:rPr>
          <w:rFonts w:ascii="仿宋" w:hAnsi="仿宋" w:eastAsia="仿宋" w:cs="仿宋"/>
          <w:b/>
          <w:spacing w:val="6"/>
          <w:sz w:val="32"/>
          <w:szCs w:val="32"/>
          <w:highlight w:val="none"/>
        </w:rPr>
      </w:pPr>
    </w:p>
    <w:p>
      <w:pPr>
        <w:wordWrap w:val="0"/>
        <w:spacing w:line="360" w:lineRule="auto"/>
        <w:jc w:val="center"/>
        <w:rPr>
          <w:rFonts w:ascii="仿宋" w:hAnsi="仿宋" w:eastAsia="仿宋" w:cs="仿宋"/>
          <w:b/>
          <w:spacing w:val="6"/>
          <w:sz w:val="32"/>
          <w:szCs w:val="32"/>
          <w:highlight w:val="none"/>
        </w:rPr>
      </w:pPr>
    </w:p>
    <w:p>
      <w:pPr>
        <w:wordWrap w:val="0"/>
        <w:spacing w:line="360" w:lineRule="auto"/>
        <w:jc w:val="center"/>
        <w:rPr>
          <w:rFonts w:ascii="仿宋" w:hAnsi="仿宋" w:eastAsia="仿宋" w:cs="仿宋"/>
          <w:b/>
          <w:spacing w:val="6"/>
          <w:sz w:val="32"/>
          <w:szCs w:val="32"/>
          <w:highlight w:val="none"/>
        </w:rPr>
      </w:pPr>
    </w:p>
    <w:p>
      <w:pPr>
        <w:wordWrap w:val="0"/>
        <w:spacing w:line="360" w:lineRule="auto"/>
        <w:jc w:val="left"/>
        <w:outlineLvl w:val="0"/>
        <w:rPr>
          <w:rFonts w:ascii="仿宋" w:hAnsi="仿宋" w:eastAsia="仿宋" w:cs="仿宋"/>
          <w:b/>
          <w:spacing w:val="6"/>
          <w:sz w:val="32"/>
          <w:szCs w:val="32"/>
          <w:highlight w:val="none"/>
        </w:rPr>
      </w:pPr>
      <w:bookmarkStart w:id="596" w:name="_Toc1796"/>
      <w:bookmarkStart w:id="597" w:name="_Toc26395"/>
      <w:bookmarkStart w:id="598" w:name="_Toc14739"/>
      <w:bookmarkStart w:id="599" w:name="_Toc4759"/>
      <w:bookmarkStart w:id="600" w:name="_Toc23740"/>
      <w:bookmarkStart w:id="601" w:name="_Toc5259"/>
      <w:bookmarkStart w:id="602" w:name="_Toc19370"/>
      <w:bookmarkStart w:id="603" w:name="_Toc15183"/>
      <w:bookmarkStart w:id="604" w:name="_Toc13719"/>
      <w:r>
        <w:rPr>
          <w:rFonts w:hint="eastAsia" w:ascii="仿宋" w:hAnsi="仿宋" w:eastAsia="仿宋" w:cs="仿宋"/>
          <w:b/>
          <w:spacing w:val="6"/>
          <w:sz w:val="32"/>
          <w:szCs w:val="32"/>
          <w:highlight w:val="none"/>
        </w:rPr>
        <w:t>附件3：投诉书范本及制作说明</w:t>
      </w:r>
      <w:bookmarkEnd w:id="596"/>
      <w:bookmarkEnd w:id="597"/>
      <w:bookmarkEnd w:id="598"/>
      <w:bookmarkEnd w:id="599"/>
      <w:bookmarkEnd w:id="600"/>
      <w:bookmarkEnd w:id="601"/>
      <w:bookmarkEnd w:id="602"/>
      <w:bookmarkEnd w:id="603"/>
      <w:bookmarkEnd w:id="604"/>
    </w:p>
    <w:p>
      <w:pPr>
        <w:wordWrap w:val="0"/>
        <w:spacing w:line="360" w:lineRule="auto"/>
        <w:jc w:val="center"/>
        <w:rPr>
          <w:rFonts w:ascii="仿宋" w:hAnsi="仿宋" w:eastAsia="仿宋" w:cs="仿宋"/>
          <w:b/>
          <w:sz w:val="24"/>
          <w:highlight w:val="none"/>
        </w:rPr>
      </w:pPr>
    </w:p>
    <w:p>
      <w:pPr>
        <w:wordWrap w:val="0"/>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pPr>
        <w:wordWrap w:val="0"/>
        <w:rPr>
          <w:rFonts w:ascii="仿宋" w:hAnsi="仿宋" w:eastAsia="仿宋" w:cs="仿宋"/>
          <w:sz w:val="24"/>
          <w:highlight w:val="none"/>
        </w:rPr>
      </w:pPr>
      <w:r>
        <w:rPr>
          <w:rFonts w:hint="eastAsia" w:ascii="仿宋" w:hAnsi="仿宋" w:eastAsia="仿宋" w:cs="仿宋"/>
          <w:sz w:val="24"/>
          <w:highlight w:val="none"/>
        </w:rPr>
        <w:t>一、投诉相关主体基本情况</w:t>
      </w:r>
    </w:p>
    <w:p>
      <w:pPr>
        <w:wordWrap w:val="0"/>
        <w:rPr>
          <w:rFonts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tabs>
          <w:tab w:val="left" w:pos="6510"/>
        </w:tabs>
        <w:wordWrap w:val="0"/>
        <w:jc w:val="left"/>
        <w:rPr>
          <w:rFonts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tabs>
          <w:tab w:val="left" w:pos="6510"/>
        </w:tabs>
        <w:wordWrap w:val="0"/>
        <w:rPr>
          <w:rFonts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wordWrap w:val="0"/>
        <w:rPr>
          <w:rFonts w:ascii="仿宋" w:hAnsi="仿宋" w:eastAsia="仿宋" w:cs="仿宋"/>
          <w:sz w:val="24"/>
          <w:highlight w:val="none"/>
        </w:rPr>
      </w:pPr>
      <w:r>
        <w:rPr>
          <w:rFonts w:hint="eastAsia" w:ascii="仿宋" w:hAnsi="仿宋" w:eastAsia="仿宋" w:cs="仿宋"/>
          <w:sz w:val="24"/>
          <w:highlight w:val="none"/>
        </w:rPr>
        <w:t>被投诉人2</w:t>
      </w:r>
    </w:p>
    <w:p>
      <w:pPr>
        <w:wordWrap w:val="0"/>
        <w:rPr>
          <w:rFonts w:ascii="仿宋" w:hAnsi="仿宋" w:eastAsia="仿宋" w:cs="仿宋"/>
          <w:sz w:val="24"/>
          <w:highlight w:val="none"/>
          <w:u w:val="dotted"/>
        </w:rPr>
      </w:pPr>
      <w:r>
        <w:rPr>
          <w:rFonts w:hint="eastAsia" w:ascii="仿宋" w:hAnsi="仿宋" w:eastAsia="仿宋" w:cs="仿宋"/>
          <w:sz w:val="24"/>
          <w:highlight w:val="none"/>
        </w:rPr>
        <w:t>……</w:t>
      </w:r>
    </w:p>
    <w:p>
      <w:pPr>
        <w:wordWrap w:val="0"/>
        <w:rPr>
          <w:rFonts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wordWrap w:val="0"/>
        <w:rPr>
          <w:rFonts w:ascii="仿宋" w:hAnsi="仿宋" w:eastAsia="仿宋" w:cs="仿宋"/>
          <w:sz w:val="24"/>
          <w:highlight w:val="none"/>
        </w:rPr>
      </w:pPr>
      <w:r>
        <w:rPr>
          <w:rFonts w:hint="eastAsia" w:ascii="仿宋" w:hAnsi="仿宋" w:eastAsia="仿宋" w:cs="仿宋"/>
          <w:sz w:val="24"/>
          <w:highlight w:val="none"/>
        </w:rPr>
        <w:t>二、投诉项目基本情况</w:t>
      </w:r>
    </w:p>
    <w:p>
      <w:pPr>
        <w:wordWrap w:val="0"/>
        <w:rPr>
          <w:rFonts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rPr>
      </w:pPr>
      <w:r>
        <w:rPr>
          <w:rFonts w:hint="eastAsia" w:ascii="仿宋" w:hAnsi="仿宋" w:eastAsia="仿宋" w:cs="仿宋"/>
          <w:sz w:val="24"/>
          <w:highlight w:val="none"/>
        </w:rPr>
        <w:t>三、质疑基本情况</w:t>
      </w:r>
    </w:p>
    <w:p>
      <w:pPr>
        <w:wordWrap w:val="0"/>
        <w:ind w:firstLine="480" w:firstLineChars="200"/>
        <w:rPr>
          <w:rFonts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wordWrap w:val="0"/>
        <w:ind w:firstLine="360" w:firstLineChars="150"/>
        <w:rPr>
          <w:rFonts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pPr>
        <w:wordWrap w:val="0"/>
        <w:rPr>
          <w:rFonts w:ascii="仿宋" w:hAnsi="仿宋" w:eastAsia="仿宋" w:cs="仿宋"/>
          <w:sz w:val="24"/>
          <w:highlight w:val="none"/>
        </w:rPr>
      </w:pPr>
      <w:r>
        <w:rPr>
          <w:rFonts w:hint="eastAsia" w:ascii="仿宋" w:hAnsi="仿宋" w:eastAsia="仿宋" w:cs="仿宋"/>
          <w:sz w:val="24"/>
          <w:highlight w:val="none"/>
        </w:rPr>
        <w:t>四、投诉事项具体内容</w:t>
      </w:r>
    </w:p>
    <w:p>
      <w:pPr>
        <w:wordWrap w:val="0"/>
        <w:rPr>
          <w:rFonts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rPr>
      </w:pPr>
      <w:r>
        <w:rPr>
          <w:rFonts w:hint="eastAsia" w:ascii="仿宋" w:hAnsi="仿宋" w:eastAsia="仿宋" w:cs="仿宋"/>
          <w:sz w:val="24"/>
          <w:highlight w:val="none"/>
        </w:rPr>
        <w:t>投诉事项2</w:t>
      </w:r>
    </w:p>
    <w:p>
      <w:pPr>
        <w:wordWrap w:val="0"/>
        <w:rPr>
          <w:rFonts w:ascii="仿宋" w:hAnsi="仿宋" w:eastAsia="仿宋" w:cs="仿宋"/>
          <w:sz w:val="24"/>
          <w:highlight w:val="none"/>
          <w:u w:val="dotted"/>
        </w:rPr>
      </w:pPr>
      <w:r>
        <w:rPr>
          <w:rFonts w:hint="eastAsia" w:ascii="仿宋" w:hAnsi="仿宋" w:eastAsia="仿宋" w:cs="仿宋"/>
          <w:sz w:val="24"/>
          <w:highlight w:val="none"/>
        </w:rPr>
        <w:t>……</w:t>
      </w:r>
    </w:p>
    <w:p>
      <w:pPr>
        <w:wordWrap w:val="0"/>
        <w:rPr>
          <w:rFonts w:ascii="仿宋" w:hAnsi="仿宋" w:eastAsia="仿宋" w:cs="仿宋"/>
          <w:sz w:val="24"/>
          <w:highlight w:val="none"/>
        </w:rPr>
      </w:pPr>
      <w:r>
        <w:rPr>
          <w:rFonts w:hint="eastAsia" w:ascii="仿宋" w:hAnsi="仿宋" w:eastAsia="仿宋" w:cs="仿宋"/>
          <w:sz w:val="24"/>
          <w:highlight w:val="none"/>
        </w:rPr>
        <w:t>五、与投诉事项相关的投诉请求</w:t>
      </w:r>
    </w:p>
    <w:p>
      <w:pPr>
        <w:wordWrap w:val="0"/>
        <w:rPr>
          <w:rFonts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 xml:space="preserve">                                                                          </w:t>
      </w:r>
    </w:p>
    <w:p>
      <w:pPr>
        <w:wordWrap w:val="0"/>
        <w:rPr>
          <w:rFonts w:ascii="仿宋" w:hAnsi="仿宋" w:eastAsia="仿宋" w:cs="仿宋"/>
          <w:sz w:val="24"/>
          <w:highlight w:val="none"/>
        </w:rPr>
      </w:pPr>
      <w:r>
        <w:rPr>
          <w:rFonts w:hint="eastAsia" w:ascii="仿宋" w:hAnsi="仿宋" w:eastAsia="仿宋" w:cs="仿宋"/>
          <w:sz w:val="24"/>
          <w:highlight w:val="none"/>
        </w:rPr>
        <w:t xml:space="preserve">签字(签章)：                   公章：                      </w:t>
      </w:r>
    </w:p>
    <w:p>
      <w:pPr>
        <w:wordWrap w:val="0"/>
        <w:rPr>
          <w:rFonts w:ascii="仿宋" w:hAnsi="仿宋" w:eastAsia="仿宋" w:cs="仿宋"/>
          <w:b/>
          <w:sz w:val="24"/>
          <w:highlight w:val="none"/>
        </w:rPr>
      </w:pPr>
      <w:r>
        <w:rPr>
          <w:rFonts w:hint="eastAsia" w:ascii="仿宋" w:hAnsi="仿宋" w:eastAsia="仿宋" w:cs="仿宋"/>
          <w:sz w:val="24"/>
          <w:highlight w:val="none"/>
        </w:rPr>
        <w:t xml:space="preserve">日期：    </w:t>
      </w:r>
    </w:p>
    <w:p>
      <w:pPr>
        <w:wordWrap w:val="0"/>
        <w:rPr>
          <w:rFonts w:ascii="仿宋" w:hAnsi="仿宋" w:eastAsia="仿宋" w:cs="仿宋"/>
          <w:b/>
          <w:sz w:val="24"/>
          <w:highlight w:val="none"/>
        </w:rPr>
      </w:pPr>
      <w:r>
        <w:rPr>
          <w:rFonts w:hint="eastAsia" w:ascii="仿宋" w:hAnsi="仿宋" w:eastAsia="仿宋" w:cs="仿宋"/>
          <w:b/>
          <w:sz w:val="24"/>
          <w:highlight w:val="none"/>
        </w:rPr>
        <w:br w:type="page"/>
      </w:r>
    </w:p>
    <w:p>
      <w:pPr>
        <w:wordWrap w:val="0"/>
        <w:rPr>
          <w:rFonts w:ascii="仿宋" w:hAnsi="仿宋" w:eastAsia="仿宋" w:cs="仿宋"/>
          <w:b/>
          <w:sz w:val="24"/>
          <w:highlight w:val="none"/>
        </w:rPr>
      </w:pPr>
      <w:r>
        <w:rPr>
          <w:rFonts w:hint="eastAsia" w:ascii="仿宋" w:hAnsi="仿宋" w:eastAsia="仿宋" w:cs="仿宋"/>
          <w:b/>
          <w:sz w:val="24"/>
          <w:highlight w:val="none"/>
        </w:rPr>
        <w:t>投诉书制作说明：</w:t>
      </w:r>
    </w:p>
    <w:p>
      <w:pPr>
        <w:widowControl/>
        <w:wordWrap w:val="0"/>
        <w:ind w:firstLine="480" w:firstLineChars="200"/>
        <w:rPr>
          <w:rFonts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pPr>
        <w:widowControl/>
        <w:wordWrap w:val="0"/>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6.投诉书的投诉请求应与投诉事项相关。</w:t>
      </w:r>
    </w:p>
    <w:p>
      <w:pPr>
        <w:widowControl/>
        <w:wordWrap w:val="0"/>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pPr>
        <w:wordWrap w:val="0"/>
        <w:spacing w:line="360" w:lineRule="auto"/>
        <w:rPr>
          <w:rFonts w:ascii="仿宋" w:hAnsi="仿宋" w:eastAsia="仿宋" w:cs="仿宋"/>
          <w:b/>
          <w:sz w:val="24"/>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pPr>
        <w:wordWrap w:val="0"/>
        <w:autoSpaceDE w:val="0"/>
        <w:autoSpaceDN w:val="0"/>
        <w:jc w:val="left"/>
        <w:outlineLvl w:val="0"/>
        <w:rPr>
          <w:rFonts w:ascii="仿宋" w:hAnsi="仿宋" w:eastAsia="仿宋" w:cs="仿宋"/>
          <w:b/>
          <w:bCs/>
          <w:sz w:val="32"/>
          <w:szCs w:val="32"/>
          <w:highlight w:val="none"/>
        </w:rPr>
      </w:pPr>
      <w:bookmarkStart w:id="605" w:name="_Toc28414"/>
      <w:bookmarkStart w:id="606" w:name="_Toc31326"/>
      <w:bookmarkStart w:id="607" w:name="_Toc25068"/>
      <w:bookmarkStart w:id="608" w:name="_Toc30199"/>
      <w:bookmarkStart w:id="609" w:name="_Toc1784"/>
      <w:bookmarkStart w:id="610" w:name="_Toc14277"/>
      <w:bookmarkStart w:id="611" w:name="_Toc6620"/>
      <w:bookmarkStart w:id="612" w:name="_Toc19508"/>
      <w:bookmarkStart w:id="613" w:name="_Toc13943"/>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bookmarkEnd w:id="605"/>
      <w:bookmarkEnd w:id="606"/>
      <w:bookmarkEnd w:id="607"/>
      <w:bookmarkEnd w:id="608"/>
      <w:bookmarkEnd w:id="609"/>
      <w:bookmarkEnd w:id="610"/>
      <w:bookmarkEnd w:id="611"/>
      <w:bookmarkEnd w:id="612"/>
      <w:bookmarkEnd w:id="613"/>
    </w:p>
    <w:p>
      <w:pPr>
        <w:wordWrap w:val="0"/>
        <w:spacing w:line="360" w:lineRule="auto"/>
        <w:rPr>
          <w:rFonts w:ascii="仿宋" w:hAnsi="仿宋" w:eastAsia="仿宋" w:cs="仿宋"/>
          <w:sz w:val="24"/>
          <w:highlight w:val="none"/>
          <w:u w:val="single"/>
        </w:rPr>
      </w:pPr>
    </w:p>
    <w:p>
      <w:pPr>
        <w:wordWrap w:val="0"/>
        <w:spacing w:line="360" w:lineRule="auto"/>
        <w:rPr>
          <w:rFonts w:ascii="仿宋" w:hAnsi="仿宋" w:eastAsia="仿宋" w:cs="仿宋"/>
          <w:sz w:val="24"/>
          <w:highlight w:val="none"/>
          <w:u w:val="single"/>
        </w:rPr>
      </w:pPr>
    </w:p>
    <w:p>
      <w:pPr>
        <w:wordWrap w:val="0"/>
        <w:spacing w:line="360" w:lineRule="auto"/>
        <w:rPr>
          <w:rFonts w:ascii="仿宋" w:hAnsi="仿宋" w:eastAsia="仿宋" w:cs="仿宋"/>
          <w:sz w:val="24"/>
          <w:highlight w:val="none"/>
        </w:rPr>
      </w:pPr>
      <w:r>
        <w:rPr>
          <w:rFonts w:hint="eastAsia" w:ascii="仿宋" w:hAnsi="仿宋" w:eastAsia="仿宋" w:cs="仿宋"/>
          <w:sz w:val="24"/>
          <w:highlight w:val="none"/>
          <w:u w:val="single"/>
        </w:rPr>
        <w:t>杭州学军中学桐庐学校、杭州贯今工程咨询有限公司</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w:t>
      </w:r>
      <w:r>
        <w:rPr>
          <w:rFonts w:hint="eastAsia" w:ascii="仿宋" w:hAnsi="仿宋" w:eastAsia="仿宋" w:cs="仿宋"/>
          <w:sz w:val="24"/>
          <w:highlight w:val="none"/>
          <w:u w:val="single"/>
        </w:rPr>
        <w:t>杭州学军中学桐庐学校竣工配套设施设备（图书馆）项目【项目编号：HZGJ-XJZX2024-04】</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特此说明。</w:t>
      </w:r>
    </w:p>
    <w:p>
      <w:pPr>
        <w:wordWrap w:val="0"/>
        <w:spacing w:line="360" w:lineRule="auto"/>
        <w:ind w:firstLine="494"/>
        <w:rPr>
          <w:rFonts w:ascii="仿宋" w:hAnsi="仿宋" w:eastAsia="仿宋" w:cs="仿宋"/>
          <w:sz w:val="24"/>
          <w:highlight w:val="none"/>
        </w:rPr>
      </w:pPr>
    </w:p>
    <w:p>
      <w:pPr>
        <w:wordWrap w:val="0"/>
        <w:spacing w:line="360" w:lineRule="auto"/>
        <w:ind w:firstLine="494"/>
        <w:rPr>
          <w:rFonts w:ascii="仿宋" w:hAnsi="仿宋" w:eastAsia="仿宋" w:cs="仿宋"/>
          <w:sz w:val="24"/>
          <w:highlight w:val="none"/>
        </w:rPr>
      </w:pPr>
    </w:p>
    <w:p>
      <w:pPr>
        <w:wordWrap w:val="0"/>
        <w:spacing w:line="360" w:lineRule="auto"/>
        <w:ind w:firstLine="494"/>
        <w:rPr>
          <w:rFonts w:ascii="仿宋" w:hAnsi="仿宋" w:eastAsia="仿宋" w:cs="仿宋"/>
          <w:sz w:val="24"/>
          <w:highlight w:val="none"/>
        </w:rPr>
      </w:pPr>
    </w:p>
    <w:p>
      <w:pPr>
        <w:wordWrap w:val="0"/>
        <w:spacing w:line="360" w:lineRule="auto"/>
        <w:ind w:firstLine="494"/>
        <w:rPr>
          <w:rFonts w:ascii="仿宋" w:hAnsi="仿宋" w:eastAsia="仿宋" w:cs="仿宋"/>
          <w:sz w:val="24"/>
          <w:highlight w:val="none"/>
        </w:rPr>
      </w:pPr>
    </w:p>
    <w:p>
      <w:pPr>
        <w:wordWrap w:val="0"/>
        <w:spacing w:line="360" w:lineRule="auto"/>
        <w:ind w:right="480" w:firstLine="4080" w:firstLineChars="1700"/>
        <w:rPr>
          <w:rFonts w:ascii="仿宋" w:hAnsi="仿宋" w:eastAsia="仿宋" w:cs="仿宋"/>
          <w:sz w:val="24"/>
          <w:highlight w:val="none"/>
        </w:rPr>
      </w:pPr>
      <w:r>
        <w:rPr>
          <w:rFonts w:hint="eastAsia" w:ascii="仿宋" w:hAnsi="仿宋" w:eastAsia="仿宋" w:cs="仿宋"/>
          <w:sz w:val="24"/>
          <w:highlight w:val="none"/>
        </w:rPr>
        <w:t>投标单位（法定名称章）：</w:t>
      </w:r>
    </w:p>
    <w:p>
      <w:pPr>
        <w:wordWrap w:val="0"/>
        <w:ind w:right="1440" w:firstLine="494"/>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pPr>
        <w:wordWrap w:val="0"/>
        <w:rPr>
          <w:rFonts w:ascii="仿宋" w:hAnsi="仿宋" w:eastAsia="仿宋" w:cs="仿宋"/>
          <w:sz w:val="24"/>
          <w:highlight w:val="none"/>
        </w:rPr>
      </w:pPr>
      <w:r>
        <w:rPr>
          <w:rFonts w:hint="eastAsia" w:ascii="仿宋" w:hAnsi="仿宋" w:eastAsia="仿宋" w:cs="仿宋"/>
          <w:b/>
          <w:bCs/>
          <w:sz w:val="24"/>
          <w:highlight w:val="none"/>
        </w:rPr>
        <w:t>附：</w:t>
      </w:r>
    </w:p>
    <w:p>
      <w:pPr>
        <w:wordWrap w:val="0"/>
        <w:spacing w:line="360" w:lineRule="auto"/>
        <w:rPr>
          <w:rFonts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pPr>
        <w:wordWrap w:val="0"/>
        <w:autoSpaceDE w:val="0"/>
        <w:autoSpaceDN w:val="0"/>
        <w:outlineLvl w:val="0"/>
        <w:rPr>
          <w:rFonts w:ascii="仿宋" w:hAnsi="仿宋" w:eastAsia="仿宋" w:cs="仿宋"/>
          <w:b/>
          <w:bCs/>
          <w:sz w:val="32"/>
          <w:szCs w:val="32"/>
          <w:highlight w:val="none"/>
        </w:rPr>
      </w:pPr>
      <w:bookmarkStart w:id="614" w:name="_Toc23962"/>
      <w:bookmarkStart w:id="615" w:name="_Toc18469"/>
      <w:bookmarkStart w:id="616" w:name="_Toc13051"/>
      <w:bookmarkStart w:id="617" w:name="_Toc1904"/>
      <w:bookmarkStart w:id="618" w:name="_Toc10529"/>
      <w:bookmarkStart w:id="619" w:name="_Toc23867"/>
      <w:bookmarkStart w:id="620" w:name="_Toc29318"/>
      <w:bookmarkStart w:id="621" w:name="_Toc25308"/>
      <w:bookmarkStart w:id="622" w:name="_Toc31030"/>
      <w:r>
        <w:rPr>
          <w:rFonts w:hint="eastAsia" w:ascii="仿宋" w:hAnsi="仿宋" w:eastAsia="仿宋" w:cs="仿宋"/>
          <w:b/>
          <w:spacing w:val="6"/>
          <w:sz w:val="32"/>
          <w:szCs w:val="32"/>
          <w:highlight w:val="none"/>
        </w:rPr>
        <w:t>附件5：</w:t>
      </w:r>
      <w:r>
        <w:rPr>
          <w:rFonts w:hint="eastAsia" w:ascii="仿宋" w:hAnsi="仿宋" w:eastAsia="仿宋" w:cs="仿宋"/>
          <w:b/>
          <w:sz w:val="32"/>
          <w:szCs w:val="32"/>
          <w:highlight w:val="none"/>
        </w:rPr>
        <w:t>中小企业声明函</w:t>
      </w:r>
      <w:bookmarkEnd w:id="614"/>
      <w:bookmarkEnd w:id="615"/>
      <w:bookmarkEnd w:id="616"/>
      <w:bookmarkEnd w:id="617"/>
      <w:bookmarkEnd w:id="618"/>
      <w:bookmarkEnd w:id="619"/>
      <w:bookmarkEnd w:id="620"/>
      <w:bookmarkEnd w:id="621"/>
      <w:bookmarkEnd w:id="622"/>
    </w:p>
    <w:p>
      <w:pPr>
        <w:wordWrap w:val="0"/>
        <w:spacing w:line="360" w:lineRule="auto"/>
        <w:jc w:val="center"/>
        <w:rPr>
          <w:rFonts w:ascii="仿宋" w:hAnsi="仿宋" w:eastAsia="仿宋" w:cs="仿宋"/>
          <w:sz w:val="24"/>
          <w:highlight w:val="none"/>
          <w:u w:val="single"/>
        </w:rPr>
      </w:pPr>
    </w:p>
    <w:p>
      <w:pPr>
        <w:wordWrap w:val="0"/>
        <w:spacing w:line="360" w:lineRule="auto"/>
        <w:jc w:val="center"/>
        <w:rPr>
          <w:rFonts w:ascii="仿宋" w:hAnsi="仿宋" w:eastAsia="仿宋" w:cs="仿宋"/>
          <w:b/>
          <w:sz w:val="32"/>
          <w:szCs w:val="32"/>
          <w:highlight w:val="none"/>
        </w:rPr>
      </w:pPr>
      <w:r>
        <w:rPr>
          <w:rFonts w:hint="eastAsia" w:ascii="仿宋" w:hAnsi="仿宋" w:eastAsia="仿宋" w:cs="仿宋"/>
          <w:bCs/>
          <w:sz w:val="24"/>
          <w:highlight w:val="none"/>
        </w:rPr>
        <w:sym w:font="Wingdings" w:char="00FE"/>
      </w:r>
      <w:r>
        <w:rPr>
          <w:rFonts w:hint="eastAsia" w:ascii="仿宋" w:hAnsi="仿宋" w:eastAsia="仿宋" w:cs="仿宋"/>
          <w:b/>
          <w:sz w:val="32"/>
          <w:szCs w:val="32"/>
          <w:highlight w:val="none"/>
        </w:rPr>
        <w:t>中小企业声明函（货物）</w:t>
      </w:r>
    </w:p>
    <w:p>
      <w:pPr>
        <w:wordWrap w:val="0"/>
        <w:spacing w:line="360" w:lineRule="auto"/>
        <w:ind w:firstLine="600" w:firstLineChars="250"/>
        <w:jc w:val="left"/>
        <w:rPr>
          <w:rFonts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w:t>
      </w:r>
      <w:r>
        <w:rPr>
          <w:rFonts w:hint="eastAsia" w:ascii="仿宋" w:hAnsi="仿宋" w:eastAsia="仿宋" w:cs="仿宋"/>
          <w:sz w:val="24"/>
          <w:highlight w:val="none"/>
          <w:u w:val="single"/>
        </w:rPr>
        <w:t>（填写单位名称。联合体参加的，联合体所有成员名称）</w:t>
      </w:r>
      <w:r>
        <w:rPr>
          <w:rFonts w:hint="eastAsia" w:ascii="仿宋" w:hAnsi="仿宋" w:eastAsia="仿宋" w:cs="仿宋"/>
          <w:sz w:val="24"/>
          <w:highlight w:val="none"/>
        </w:rPr>
        <w:t xml:space="preserve">参加 </w:t>
      </w:r>
      <w:r>
        <w:rPr>
          <w:rFonts w:hint="eastAsia" w:ascii="仿宋" w:hAnsi="仿宋" w:eastAsia="仿宋" w:cs="仿宋"/>
          <w:sz w:val="24"/>
          <w:highlight w:val="none"/>
          <w:u w:val="single"/>
        </w:rPr>
        <w:t>杭州学军中学桐庐学校</w:t>
      </w:r>
      <w:r>
        <w:rPr>
          <w:rFonts w:hint="eastAsia" w:ascii="仿宋" w:hAnsi="仿宋" w:eastAsia="仿宋" w:cs="仿宋"/>
          <w:sz w:val="24"/>
          <w:highlight w:val="none"/>
        </w:rPr>
        <w:t xml:space="preserve"> 的 </w:t>
      </w:r>
      <w:r>
        <w:rPr>
          <w:rFonts w:hint="eastAsia" w:ascii="仿宋" w:hAnsi="仿宋" w:eastAsia="仿宋" w:cs="仿宋"/>
          <w:sz w:val="24"/>
          <w:highlight w:val="none"/>
          <w:u w:val="single"/>
        </w:rPr>
        <w:t>杭州学军中学桐庐学校竣工配套设施设备（图书馆）项目</w:t>
      </w:r>
      <w:r>
        <w:rPr>
          <w:rFonts w:hint="eastAsia" w:ascii="仿宋" w:hAnsi="仿宋" w:eastAsia="仿宋" w:cs="仿宋"/>
          <w:sz w:val="24"/>
          <w:highlight w:val="none"/>
        </w:rPr>
        <w:t>采购活动，提供的货物全部由符合政策要求的中小企业制造，其中小微企业的合同份额占到合同总金额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%。相关企业（</w:t>
      </w:r>
      <w:r>
        <w:rPr>
          <w:rFonts w:hint="eastAsia" w:ascii="仿宋" w:hAnsi="仿宋" w:eastAsia="仿宋" w:cs="仿宋"/>
          <w:b/>
          <w:bCs/>
          <w:sz w:val="24"/>
          <w:highlight w:val="none"/>
        </w:rPr>
        <w:t>含联合体中的中小企业、签订分包意向协议的中小企业</w:t>
      </w:r>
      <w:r>
        <w:rPr>
          <w:rFonts w:hint="eastAsia" w:ascii="仿宋" w:hAnsi="仿宋" w:eastAsia="仿宋" w:cs="仿宋"/>
          <w:sz w:val="24"/>
          <w:highlight w:val="none"/>
        </w:rPr>
        <w:t>）的具体情况如下：</w:t>
      </w:r>
    </w:p>
    <w:p>
      <w:pPr>
        <w:numPr>
          <w:ilvl w:val="0"/>
          <w:numId w:val="24"/>
        </w:numPr>
        <w:wordWrap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u w:val="single"/>
        </w:rPr>
        <w:t xml:space="preserve"> （标的/货物名称） </w:t>
      </w:r>
      <w:r>
        <w:rPr>
          <w:rFonts w:hint="eastAsia" w:ascii="仿宋" w:hAnsi="仿宋" w:eastAsia="仿宋" w:cs="仿宋"/>
          <w:sz w:val="24"/>
          <w:highlight w:val="none"/>
        </w:rPr>
        <w:t>，属于</w:t>
      </w:r>
      <w:r>
        <w:rPr>
          <w:rFonts w:hint="eastAsia" w:ascii="仿宋" w:hAnsi="仿宋" w:eastAsia="仿宋" w:cs="仿宋"/>
          <w:sz w:val="24"/>
          <w:highlight w:val="none"/>
          <w:u w:val="single"/>
        </w:rPr>
        <w:t>（填写采购标的对应的中小企业划分标准所属行业）</w:t>
      </w:r>
      <w:r>
        <w:rPr>
          <w:rFonts w:hint="eastAsia" w:ascii="仿宋" w:hAnsi="仿宋" w:eastAsia="仿宋" w:cs="仿宋"/>
          <w:sz w:val="24"/>
          <w:highlight w:val="none"/>
        </w:rPr>
        <w:t xml:space="preserve"> ；制造商为 </w:t>
      </w:r>
      <w:r>
        <w:rPr>
          <w:rFonts w:hint="eastAsia" w:ascii="仿宋" w:hAnsi="仿宋" w:eastAsia="仿宋" w:cs="仿宋"/>
          <w:sz w:val="24"/>
          <w:highlight w:val="none"/>
          <w:u w:val="single"/>
        </w:rPr>
        <w:t>（填写制造商单位名称）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pPr>
        <w:numPr>
          <w:ilvl w:val="0"/>
          <w:numId w:val="24"/>
        </w:numPr>
        <w:wordWrap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u w:val="single"/>
        </w:rPr>
        <w:t xml:space="preserve"> （标的/货物名称） </w:t>
      </w:r>
      <w:r>
        <w:rPr>
          <w:rFonts w:hint="eastAsia" w:ascii="仿宋" w:hAnsi="仿宋" w:eastAsia="仿宋" w:cs="仿宋"/>
          <w:sz w:val="24"/>
          <w:highlight w:val="none"/>
        </w:rPr>
        <w:t>，属于</w:t>
      </w:r>
      <w:r>
        <w:rPr>
          <w:rFonts w:hint="eastAsia" w:ascii="仿宋" w:hAnsi="仿宋" w:eastAsia="仿宋" w:cs="仿宋"/>
          <w:sz w:val="24"/>
          <w:highlight w:val="none"/>
          <w:u w:val="single"/>
        </w:rPr>
        <w:t>（填写采购标的对应的中小企业划分标准所属行业）</w:t>
      </w:r>
      <w:r>
        <w:rPr>
          <w:rFonts w:hint="eastAsia" w:ascii="仿宋" w:hAnsi="仿宋" w:eastAsia="仿宋" w:cs="仿宋"/>
          <w:sz w:val="24"/>
          <w:highlight w:val="none"/>
        </w:rPr>
        <w:t xml:space="preserve"> ；制造商为 </w:t>
      </w:r>
      <w:r>
        <w:rPr>
          <w:rFonts w:hint="eastAsia" w:ascii="仿宋" w:hAnsi="仿宋" w:eastAsia="仿宋" w:cs="仿宋"/>
          <w:sz w:val="24"/>
          <w:highlight w:val="none"/>
          <w:u w:val="single"/>
        </w:rPr>
        <w:t>（填写制造商单位名称）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pPr>
        <w:wordWrap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w:t>
      </w:r>
    </w:p>
    <w:p>
      <w:pPr>
        <w:wordWrap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wordWrap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wordWrap w:val="0"/>
        <w:spacing w:line="360" w:lineRule="auto"/>
        <w:ind w:right="1760"/>
        <w:jc w:val="right"/>
        <w:rPr>
          <w:rFonts w:ascii="仿宋" w:hAnsi="仿宋" w:eastAsia="仿宋" w:cs="仿宋"/>
          <w:sz w:val="24"/>
          <w:highlight w:val="none"/>
        </w:rPr>
      </w:pPr>
      <w:r>
        <w:rPr>
          <w:rFonts w:hint="eastAsia" w:ascii="仿宋" w:hAnsi="仿宋" w:eastAsia="仿宋" w:cs="仿宋"/>
          <w:sz w:val="24"/>
          <w:highlight w:val="none"/>
        </w:rPr>
        <w:t>投标人名称（电子签名）：</w:t>
      </w:r>
    </w:p>
    <w:p>
      <w:pPr>
        <w:wordWrap w:val="0"/>
        <w:spacing w:line="360" w:lineRule="auto"/>
        <w:ind w:right="1120" w:firstLine="4680" w:firstLineChars="1950"/>
        <w:rPr>
          <w:rFonts w:ascii="仿宋" w:hAnsi="仿宋" w:eastAsia="仿宋" w:cs="仿宋"/>
          <w:sz w:val="24"/>
          <w:highlight w:val="none"/>
        </w:rPr>
      </w:pPr>
      <w:r>
        <w:rPr>
          <w:rFonts w:hint="eastAsia" w:ascii="仿宋" w:hAnsi="仿宋" w:eastAsia="仿宋" w:cs="仿宋"/>
          <w:sz w:val="24"/>
          <w:highlight w:val="none"/>
        </w:rPr>
        <w:t>日 期：</w:t>
      </w:r>
    </w:p>
    <w:p>
      <w:pPr>
        <w:wordWrap w:val="0"/>
        <w:spacing w:line="360" w:lineRule="auto"/>
        <w:ind w:firstLine="310" w:firstLineChars="147"/>
        <w:jc w:val="left"/>
        <w:rPr>
          <w:rFonts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rPr>
          <w:rFonts w:hint="eastAsia" w:ascii="宋体" w:hAnsi="宋体" w:cs="宋体"/>
          <w:sz w:val="24"/>
          <w:highlight w:val="none"/>
        </w:rPr>
        <w:t>⑤</w:t>
      </w:r>
      <w:r>
        <w:rPr>
          <w:rFonts w:hint="eastAsia" w:ascii="仿宋" w:hAnsi="仿宋" w:eastAsia="仿宋" w:cs="仿宋"/>
          <w:sz w:val="24"/>
          <w:highlight w:val="none"/>
        </w:rPr>
        <w:t>同个制造商生产的，可合并填写。</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ordWrap w:val="0"/>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3.</w:t>
      </w:r>
      <w:r>
        <w:rPr>
          <w:rFonts w:hint="eastAsia" w:ascii="仿宋" w:hAnsi="仿宋" w:eastAsia="仿宋" w:cs="仿宋"/>
          <w:sz w:val="24"/>
          <w:highlight w:val="none"/>
        </w:rPr>
        <w:t>标的所属行业中小企业划分标准：</w:t>
      </w:r>
      <w:r>
        <w:rPr>
          <w:rFonts w:hint="eastAsia" w:ascii="仿宋" w:hAnsi="仿宋" w:eastAsia="仿宋" w:cs="仿宋"/>
          <w:b/>
          <w:bCs/>
          <w:sz w:val="24"/>
          <w:highlight w:val="none"/>
        </w:rPr>
        <w:t>工业（制造业）</w:t>
      </w:r>
      <w:r>
        <w:rPr>
          <w:rFonts w:hint="eastAsia" w:ascii="仿宋" w:hAnsi="仿宋" w:eastAsia="仿宋" w:cs="仿宋"/>
          <w:sz w:val="24"/>
          <w:highlight w:val="none"/>
        </w:rPr>
        <w:t>。从业人员1000人以下或营业收入40000万元以下的为中小微型企业。</w:t>
      </w:r>
      <w:r>
        <w:rPr>
          <w:rFonts w:hint="eastAsia" w:ascii="仿宋" w:hAnsi="仿宋" w:eastAsia="仿宋" w:cs="仿宋"/>
          <w:b/>
          <w:bCs/>
          <w:sz w:val="24"/>
          <w:highlight w:val="none"/>
        </w:rPr>
        <w:t>其中，从业人员300人及以上，且营业收入2000万元及以上的为中型企业；从业人员20人及以上，且营业收入300万元及以上的为小型企业；从业人员20人以下或营业收入300万元以下的为微型企业。</w:t>
      </w:r>
    </w:p>
    <w:p>
      <w:pPr>
        <w:wordWrap w:val="0"/>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4.招标文件提供的货物清单中每样货物（配件、辅料等材料除外）的制造商均要求为中小企业，即每样货物（配件、辅料等材料除外）的制造商均应在声明中分别填写。</w:t>
      </w:r>
    </w:p>
    <w:p>
      <w:pPr>
        <w:wordWrap w:val="0"/>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5.在货物采购项目中，货物由中小企业制造，即货物由中小企业生产且使用该中小企业商号或者注册商标；投标人提供的货物既有中小企业制造货物，也有大型企业制造货物的，不享受中小企业扶持政策。</w:t>
      </w:r>
    </w:p>
    <w:p>
      <w:pPr>
        <w:wordWrap w:val="0"/>
        <w:spacing w:line="360" w:lineRule="auto"/>
        <w:ind w:firstLine="482" w:firstLineChars="200"/>
        <w:rPr>
          <w:rFonts w:ascii="仿宋" w:hAnsi="仿宋" w:eastAsia="仿宋" w:cs="仿宋"/>
          <w:bCs/>
          <w:sz w:val="24"/>
          <w:highlight w:val="none"/>
        </w:rPr>
      </w:pPr>
      <w:r>
        <w:rPr>
          <w:rFonts w:hint="eastAsia" w:ascii="仿宋" w:hAnsi="仿宋" w:eastAsia="仿宋" w:cs="仿宋"/>
          <w:b/>
          <w:bCs/>
          <w:sz w:val="24"/>
          <w:highlight w:val="none"/>
        </w:rPr>
        <w:t>6.事业单位、社会组织等非企业单位提供的货物、工程、服务，暂不享受政府采购支持中小企业的相关政策。</w:t>
      </w:r>
    </w:p>
    <w:p>
      <w:pPr>
        <w:pStyle w:val="61"/>
        <w:wordWrap w:val="0"/>
        <w:ind w:firstLine="420"/>
        <w:rPr>
          <w:rFonts w:ascii="仿宋" w:hAnsi="仿宋" w:eastAsia="仿宋" w:cs="仿宋"/>
          <w:highlight w:val="none"/>
        </w:rPr>
      </w:pPr>
    </w:p>
    <w:p>
      <w:pPr>
        <w:wordWrap w:val="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wordWrap w:val="0"/>
        <w:snapToGrid w:val="0"/>
        <w:spacing w:before="50" w:after="50" w:line="360" w:lineRule="auto"/>
        <w:outlineLvl w:val="0"/>
        <w:rPr>
          <w:rFonts w:ascii="仿宋" w:hAnsi="仿宋" w:eastAsia="仿宋" w:cs="仿宋"/>
          <w:b/>
          <w:kern w:val="0"/>
          <w:sz w:val="32"/>
          <w:szCs w:val="32"/>
          <w:highlight w:val="none"/>
        </w:rPr>
      </w:pPr>
      <w:bookmarkStart w:id="623" w:name="_Toc8013"/>
      <w:bookmarkStart w:id="624" w:name="_Toc15498"/>
      <w:bookmarkStart w:id="625" w:name="_Toc16741"/>
      <w:bookmarkStart w:id="626" w:name="_Toc15843"/>
      <w:bookmarkStart w:id="627" w:name="_Toc13984"/>
      <w:bookmarkStart w:id="628" w:name="_Toc25620"/>
      <w:bookmarkStart w:id="629" w:name="_Toc19779"/>
      <w:bookmarkStart w:id="630" w:name="_Toc2500"/>
      <w:bookmarkStart w:id="631" w:name="_Toc28870"/>
      <w:r>
        <w:rPr>
          <w:rFonts w:hint="eastAsia" w:ascii="仿宋" w:hAnsi="仿宋" w:eastAsia="仿宋" w:cs="仿宋"/>
          <w:b/>
          <w:kern w:val="0"/>
          <w:sz w:val="32"/>
          <w:szCs w:val="32"/>
          <w:highlight w:val="none"/>
        </w:rPr>
        <w:t>附件6</w:t>
      </w:r>
      <w:bookmarkEnd w:id="623"/>
      <w:bookmarkEnd w:id="624"/>
      <w:bookmarkEnd w:id="625"/>
      <w:r>
        <w:rPr>
          <w:rFonts w:hint="eastAsia" w:ascii="仿宋" w:hAnsi="仿宋" w:eastAsia="仿宋" w:cs="仿宋"/>
          <w:b/>
          <w:kern w:val="0"/>
          <w:sz w:val="32"/>
          <w:szCs w:val="32"/>
          <w:highlight w:val="none"/>
        </w:rPr>
        <w:t xml:space="preserve"> </w:t>
      </w:r>
      <w:bookmarkEnd w:id="626"/>
      <w:bookmarkEnd w:id="627"/>
      <w:bookmarkEnd w:id="628"/>
      <w:r>
        <w:rPr>
          <w:rFonts w:hint="eastAsia" w:ascii="仿宋" w:hAnsi="仿宋" w:eastAsia="仿宋" w:cs="仿宋"/>
          <w:b/>
          <w:kern w:val="0"/>
          <w:sz w:val="32"/>
          <w:szCs w:val="32"/>
          <w:highlight w:val="none"/>
        </w:rPr>
        <w:t>联合协议</w:t>
      </w:r>
      <w:bookmarkEnd w:id="629"/>
      <w:bookmarkEnd w:id="630"/>
      <w:bookmarkEnd w:id="631"/>
    </w:p>
    <w:p>
      <w:pPr>
        <w:widowControl/>
        <w:wordWrap w:val="0"/>
        <w:spacing w:line="360" w:lineRule="auto"/>
        <w:ind w:firstLine="643" w:firstLineChars="200"/>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联合协议</w:t>
      </w:r>
    </w:p>
    <w:p>
      <w:pPr>
        <w:widowControl/>
        <w:wordWrap w:val="0"/>
        <w:spacing w:line="360" w:lineRule="auto"/>
        <w:ind w:firstLine="482" w:firstLineChars="200"/>
        <w:jc w:val="center"/>
        <w:rPr>
          <w:rFonts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pPr>
        <w:wordWrap w:val="0"/>
        <w:snapToGrid w:val="0"/>
        <w:ind w:firstLine="578"/>
        <w:rPr>
          <w:rFonts w:ascii="仿宋" w:hAnsi="仿宋" w:eastAsia="仿宋" w:cs="仿宋"/>
          <w:kern w:val="0"/>
          <w:sz w:val="24"/>
          <w:highlight w:val="none"/>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u w:val="single"/>
        </w:rPr>
        <w:t>杭州学军中学桐庐学校竣工配套设施设备（图书馆）项目【项目编号：HZGJ-XJZX2024-04】</w:t>
      </w:r>
      <w:r>
        <w:rPr>
          <w:rFonts w:hint="eastAsia" w:ascii="仿宋" w:hAnsi="仿宋" w:eastAsia="仿宋" w:cs="仿宋"/>
          <w:kern w:val="0"/>
          <w:sz w:val="24"/>
          <w:highlight w:val="none"/>
          <w:lang w:val="zh-CN"/>
        </w:rPr>
        <w:t xml:space="preserve">投标。 </w:t>
      </w:r>
      <w:r>
        <w:rPr>
          <w:rFonts w:hint="eastAsia" w:ascii="仿宋" w:hAnsi="仿宋" w:eastAsia="仿宋" w:cs="仿宋"/>
          <w:kern w:val="0"/>
          <w:sz w:val="24"/>
          <w:highlight w:val="none"/>
        </w:rPr>
        <w:t xml:space="preserve">    </w:t>
      </w:r>
    </w:p>
    <w:p>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（填写联合体成员单位名称）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三、本项目项目负责人</w:t>
      </w:r>
      <w:r>
        <w:rPr>
          <w:rFonts w:hint="eastAsia" w:ascii="仿宋" w:hAnsi="仿宋" w:eastAsia="仿宋" w:cs="仿宋"/>
          <w:kern w:val="0"/>
          <w:sz w:val="24"/>
          <w:highlight w:val="none"/>
          <w:u w:val="single"/>
          <w:lang w:val="zh-CN"/>
        </w:rPr>
        <w:t>（</w:t>
      </w:r>
      <w:r>
        <w:rPr>
          <w:rFonts w:hint="eastAsia" w:ascii="仿宋" w:hAnsi="仿宋" w:eastAsia="仿宋" w:cs="仿宋"/>
          <w:kern w:val="0"/>
          <w:sz w:val="24"/>
          <w:highlight w:val="none"/>
          <w:u w:val="single"/>
        </w:rPr>
        <w:t xml:space="preserve">   填写</w:t>
      </w:r>
      <w:r>
        <w:rPr>
          <w:rFonts w:hint="eastAsia" w:ascii="仿宋" w:hAnsi="仿宋" w:eastAsia="仿宋" w:cs="仿宋"/>
          <w:kern w:val="0"/>
          <w:sz w:val="24"/>
          <w:highlight w:val="none"/>
          <w:u w:val="single"/>
          <w:lang w:val="zh-CN"/>
        </w:rPr>
        <w:t>姓名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 xml:space="preserve">由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填写单位名称）</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方派遣。</w:t>
      </w:r>
    </w:p>
    <w:p>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rPr>
        <w:t>四、</w:t>
      </w:r>
      <w:r>
        <w:rPr>
          <w:rFonts w:hint="eastAsia" w:ascii="仿宋" w:hAnsi="仿宋" w:eastAsia="仿宋" w:cs="仿宋"/>
          <w:kern w:val="0"/>
          <w:sz w:val="24"/>
          <w:highlight w:val="none"/>
          <w:lang w:val="zh-CN"/>
        </w:rPr>
        <w:t>本次联合投标中，分工如下：</w:t>
      </w:r>
      <w:r>
        <w:rPr>
          <w:rFonts w:hint="eastAsia" w:ascii="仿宋" w:hAnsi="仿宋" w:eastAsia="仿宋" w:cs="仿宋"/>
          <w:kern w:val="0"/>
          <w:sz w:val="24"/>
          <w:highlight w:val="none"/>
          <w:u w:val="single"/>
        </w:rPr>
        <w:t>（填写联合体其中一方成员名称）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（填写联合体其中一方成员名称）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 xml:space="preserve"> ；……。</w:t>
      </w:r>
    </w:p>
    <w:p>
      <w:pPr>
        <w:ind w:firstLine="480" w:firstLineChars="200"/>
        <w:rPr>
          <w:rFonts w:ascii="仿宋" w:hAnsi="仿宋" w:eastAsia="仿宋" w:cs="仿宋"/>
          <w:b/>
          <w:bCs/>
          <w:kern w:val="0"/>
          <w:sz w:val="24"/>
          <w:highlight w:val="none"/>
          <w:lang w:val="zh-CN"/>
        </w:rPr>
      </w:pPr>
      <w:r>
        <w:rPr>
          <w:rFonts w:hint="eastAsia" w:ascii="仿宋" w:hAnsi="仿宋" w:eastAsia="仿宋" w:cs="仿宋"/>
          <w:kern w:val="0"/>
          <w:sz w:val="24"/>
          <w:highlight w:val="none"/>
        </w:rPr>
        <w:t>五</w:t>
      </w:r>
      <w:r>
        <w:rPr>
          <w:rFonts w:hint="eastAsia" w:ascii="仿宋" w:hAnsi="仿宋" w:eastAsia="仿宋" w:cs="仿宋"/>
          <w:kern w:val="0"/>
          <w:sz w:val="24"/>
          <w:highlight w:val="none"/>
          <w:lang w:val="zh-CN"/>
        </w:rPr>
        <w:t>、</w:t>
      </w: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牵头人</w:t>
      </w:r>
      <w:r>
        <w:rPr>
          <w:rFonts w:hint="eastAsia" w:ascii="仿宋" w:hAnsi="仿宋" w:eastAsia="仿宋" w:cs="仿宋"/>
          <w:sz w:val="24"/>
          <w:highlight w:val="none"/>
        </w:rPr>
        <w:t>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%（应超过50%）。</w:t>
      </w:r>
    </w:p>
    <w:p>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rPr>
        <w:t>六</w:t>
      </w:r>
      <w:r>
        <w:rPr>
          <w:rFonts w:hint="eastAsia" w:ascii="仿宋" w:hAnsi="仿宋" w:eastAsia="仿宋" w:cs="仿宋"/>
          <w:kern w:val="0"/>
          <w:sz w:val="24"/>
          <w:highlight w:val="none"/>
          <w:lang w:val="zh-CN"/>
        </w:rPr>
        <w:t>、如果中标，</w:t>
      </w:r>
      <w:r>
        <w:rPr>
          <w:rFonts w:hint="eastAsia" w:ascii="仿宋" w:hAnsi="仿宋" w:eastAsia="仿宋" w:cs="仿宋"/>
          <w:sz w:val="24"/>
          <w:highlight w:val="none"/>
        </w:rPr>
        <w:t>联合体各成员方共同与采购人签订合同，并就采购合同约定的事项对采购人承担连带责任。</w:t>
      </w:r>
    </w:p>
    <w:p>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rPr>
        <w:t>七</w:t>
      </w:r>
      <w:r>
        <w:rPr>
          <w:rFonts w:hint="eastAsia" w:ascii="仿宋" w:hAnsi="仿宋" w:eastAsia="仿宋" w:cs="仿宋"/>
          <w:kern w:val="0"/>
          <w:sz w:val="24"/>
          <w:highlight w:val="none"/>
          <w:lang w:val="zh-CN"/>
        </w:rPr>
        <w:t>、有关本次联合投标的其他事宜：</w:t>
      </w:r>
    </w:p>
    <w:p>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pPr>
        <w:snapToGrid w:val="0"/>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pPr>
        <w:snapToGrid w:val="0"/>
        <w:ind w:firstLine="576"/>
        <w:rPr>
          <w:rFonts w:ascii="仿宋" w:hAnsi="仿宋" w:eastAsia="仿宋" w:cs="仿宋"/>
          <w:kern w:val="0"/>
          <w:sz w:val="24"/>
          <w:highlight w:val="none"/>
        </w:rPr>
      </w:pPr>
      <w:r>
        <w:rPr>
          <w:rFonts w:hint="eastAsia" w:ascii="仿宋" w:hAnsi="仿宋" w:eastAsia="仿宋" w:cs="仿宋"/>
          <w:kern w:val="0"/>
          <w:sz w:val="24"/>
          <w:highlight w:val="none"/>
          <w:lang w:bidi="ar"/>
        </w:rPr>
        <w:t>4、其他联合体双方约定的事项：</w:t>
      </w:r>
      <w:r>
        <w:rPr>
          <w:rFonts w:hint="eastAsia" w:ascii="仿宋" w:hAnsi="仿宋" w:eastAsia="仿宋" w:cs="仿宋"/>
          <w:kern w:val="0"/>
          <w:sz w:val="24"/>
          <w:highlight w:val="none"/>
          <w:u w:val="single"/>
          <w:lang w:bidi="ar"/>
        </w:rPr>
        <w:t xml:space="preserve">                             </w:t>
      </w:r>
    </w:p>
    <w:p>
      <w:pPr>
        <w:wordWrap w:val="0"/>
        <w:snapToGrid w:val="0"/>
        <w:spacing w:line="276" w:lineRule="auto"/>
        <w:ind w:firstLine="578"/>
        <w:rPr>
          <w:rFonts w:ascii="仿宋" w:hAnsi="仿宋" w:eastAsia="仿宋" w:cs="仿宋"/>
          <w:kern w:val="0"/>
          <w:sz w:val="24"/>
          <w:highlight w:val="none"/>
          <w:lang w:val="zh-CN"/>
        </w:rPr>
      </w:pPr>
    </w:p>
    <w:p>
      <w:pPr>
        <w:wordWrap w:val="0"/>
        <w:spacing w:line="276" w:lineRule="auto"/>
        <w:ind w:right="420"/>
        <w:rPr>
          <w:rFonts w:ascii="仿宋" w:hAnsi="仿宋" w:eastAsia="仿宋" w:cs="仿宋"/>
          <w:sz w:val="24"/>
          <w:highlight w:val="none"/>
        </w:rPr>
      </w:pPr>
    </w:p>
    <w:p>
      <w:pPr>
        <w:wordWrap w:val="0"/>
        <w:spacing w:line="276" w:lineRule="auto"/>
        <w:ind w:right="420"/>
        <w:rPr>
          <w:rFonts w:ascii="仿宋" w:hAnsi="仿宋" w:eastAsia="仿宋" w:cs="仿宋"/>
          <w:sz w:val="24"/>
          <w:highlight w:val="none"/>
        </w:rPr>
      </w:pPr>
    </w:p>
    <w:p>
      <w:pPr>
        <w:wordWrap w:val="0"/>
        <w:spacing w:line="276" w:lineRule="auto"/>
        <w:ind w:right="420"/>
        <w:rPr>
          <w:rFonts w:ascii="仿宋" w:hAnsi="仿宋" w:eastAsia="仿宋" w:cs="仿宋"/>
          <w:sz w:val="24"/>
          <w:highlight w:val="none"/>
        </w:rPr>
      </w:pPr>
      <w:r>
        <w:rPr>
          <w:rFonts w:hint="eastAsia" w:ascii="仿宋" w:hAnsi="仿宋" w:eastAsia="仿宋" w:cs="仿宋"/>
          <w:sz w:val="24"/>
          <w:highlight w:val="none"/>
        </w:rPr>
        <w:t>注：1.按本格式和要求提供。</w:t>
      </w:r>
    </w:p>
    <w:p>
      <w:pPr>
        <w:wordWrap w:val="0"/>
        <w:snapToGrid w:val="0"/>
        <w:spacing w:line="276"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联合体牵头人名称</w:t>
      </w:r>
    </w:p>
    <w:p>
      <w:pPr>
        <w:wordWrap w:val="0"/>
        <w:snapToGrid w:val="0"/>
        <w:spacing w:line="276"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pPr>
        <w:wordWrap w:val="0"/>
        <w:snapToGrid w:val="0"/>
        <w:spacing w:line="276"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w:t>
      </w:r>
    </w:p>
    <w:p>
      <w:pPr>
        <w:wordWrap w:val="0"/>
        <w:snapToGrid w:val="0"/>
        <w:spacing w:line="276"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pPr>
        <w:wordWrap w:val="0"/>
        <w:snapToGrid w:val="0"/>
        <w:spacing w:line="276"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wordWrap w:val="0"/>
        <w:rPr>
          <w:rFonts w:ascii="仿宋" w:hAnsi="仿宋" w:eastAsia="仿宋" w:cs="仿宋"/>
          <w:b/>
          <w:sz w:val="24"/>
          <w:highlight w:val="none"/>
        </w:rPr>
      </w:pPr>
      <w:r>
        <w:rPr>
          <w:rFonts w:hint="eastAsia" w:ascii="仿宋" w:hAnsi="仿宋" w:eastAsia="仿宋" w:cs="仿宋"/>
          <w:b/>
          <w:sz w:val="24"/>
          <w:highlight w:val="none"/>
        </w:rPr>
        <w:br w:type="page"/>
      </w:r>
    </w:p>
    <w:p>
      <w:pPr>
        <w:wordWrap w:val="0"/>
        <w:snapToGrid w:val="0"/>
        <w:spacing w:line="360" w:lineRule="auto"/>
        <w:outlineLvl w:val="0"/>
        <w:rPr>
          <w:rFonts w:ascii="仿宋" w:hAnsi="仿宋" w:eastAsia="仿宋" w:cs="仿宋"/>
          <w:b/>
          <w:kern w:val="0"/>
          <w:sz w:val="32"/>
          <w:szCs w:val="32"/>
          <w:highlight w:val="none"/>
        </w:rPr>
      </w:pPr>
      <w:bookmarkStart w:id="632" w:name="_Toc30868"/>
      <w:bookmarkStart w:id="633" w:name="_Toc3992"/>
      <w:bookmarkStart w:id="634" w:name="_Toc32513"/>
      <w:bookmarkStart w:id="635" w:name="_Toc3962"/>
      <w:bookmarkStart w:id="636" w:name="_Toc29153"/>
      <w:bookmarkStart w:id="637" w:name="_Toc26897"/>
      <w:bookmarkStart w:id="638" w:name="_Toc2793"/>
      <w:bookmarkStart w:id="639" w:name="_Toc31060"/>
      <w:bookmarkStart w:id="640" w:name="_Toc7222"/>
      <w:r>
        <w:rPr>
          <w:rFonts w:hint="eastAsia" w:ascii="仿宋" w:hAnsi="仿宋" w:eastAsia="仿宋" w:cs="仿宋"/>
          <w:b/>
          <w:kern w:val="0"/>
          <w:sz w:val="32"/>
          <w:szCs w:val="32"/>
          <w:highlight w:val="none"/>
        </w:rPr>
        <w:t>附件7</w:t>
      </w:r>
      <w:bookmarkEnd w:id="632"/>
      <w:bookmarkEnd w:id="633"/>
      <w:bookmarkEnd w:id="634"/>
      <w:r>
        <w:rPr>
          <w:rFonts w:hint="eastAsia" w:ascii="仿宋" w:hAnsi="仿宋" w:eastAsia="仿宋" w:cs="仿宋"/>
          <w:b/>
          <w:kern w:val="0"/>
          <w:sz w:val="32"/>
          <w:szCs w:val="32"/>
          <w:highlight w:val="none"/>
        </w:rPr>
        <w:t xml:space="preserve"> 分包意向协议</w:t>
      </w:r>
      <w:bookmarkEnd w:id="635"/>
      <w:bookmarkEnd w:id="636"/>
      <w:bookmarkEnd w:id="637"/>
      <w:bookmarkEnd w:id="638"/>
      <w:bookmarkEnd w:id="639"/>
      <w:bookmarkEnd w:id="640"/>
    </w:p>
    <w:p>
      <w:pPr>
        <w:wordWrap w:val="0"/>
        <w:snapToGrid w:val="0"/>
        <w:spacing w:line="360" w:lineRule="auto"/>
        <w:ind w:firstLine="3534" w:firstLineChars="110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分包意向协议</w:t>
      </w:r>
    </w:p>
    <w:p>
      <w:pPr>
        <w:wordWrap w:val="0"/>
        <w:snapToGrid w:val="0"/>
        <w:spacing w:line="360" w:lineRule="auto"/>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（每个分包商单独提供）</w:t>
      </w:r>
    </w:p>
    <w:p>
      <w:pPr>
        <w:widowControl/>
        <w:wordWrap w:val="0"/>
        <w:spacing w:line="288" w:lineRule="auto"/>
        <w:jc w:val="left"/>
        <w:rPr>
          <w:rFonts w:ascii="仿宋" w:hAnsi="仿宋" w:eastAsia="仿宋" w:cs="仿宋"/>
          <w:sz w:val="24"/>
          <w:highlight w:val="none"/>
        </w:rPr>
      </w:pPr>
      <w:r>
        <w:rPr>
          <w:rFonts w:hint="eastAsia" w:ascii="仿宋" w:hAnsi="仿宋" w:eastAsia="仿宋" w:cs="仿宋"/>
          <w:sz w:val="24"/>
          <w:highlight w:val="none"/>
        </w:rPr>
        <w:t>（本项目同意将非主体、非关键性的资料制作工作分包。若非主体、非关键性工作已由联合体成员承担的，则不允许分包。分包份额不得超过总包单位。投标人中标后以分包方式履行合同的，提供分包意向协议；不以分包方式履行合同的，则无需提供。）</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u w:val="single"/>
        </w:rPr>
        <w:t>杭州学军中学桐庐学校竣工配套设施设备（图书馆）项目【项目编号：HZGJ-XJZX2024-04 】</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（填写投标人名称）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（填写投标人名称）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XX工作内容 </w:t>
      </w:r>
      <w:r>
        <w:rPr>
          <w:rFonts w:hint="eastAsia" w:ascii="仿宋" w:hAnsi="仿宋" w:eastAsia="仿宋" w:cs="仿宋"/>
          <w:highlight w:val="none"/>
          <w:u w:val="single"/>
        </w:rPr>
        <w:t xml:space="preserve">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pPr>
        <w:wordWrap w:val="0"/>
        <w:snapToGrid w:val="0"/>
        <w:spacing w:line="288" w:lineRule="auto"/>
        <w:ind w:firstLine="576"/>
        <w:rPr>
          <w:rFonts w:ascii="仿宋" w:hAnsi="仿宋" w:eastAsia="仿宋" w:cs="仿宋"/>
          <w:highlight w:val="none"/>
          <w:u w:val="single"/>
        </w:rPr>
      </w:pPr>
      <w:r>
        <w:rPr>
          <w:rFonts w:hint="eastAsia" w:ascii="仿宋" w:hAnsi="仿宋" w:eastAsia="仿宋" w:cs="仿宋"/>
          <w:highlight w:val="none"/>
          <w:u w:val="single"/>
        </w:rPr>
        <w:t xml:space="preserve">                                                                                </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pPr>
        <w:wordWrap w:val="0"/>
        <w:snapToGrid w:val="0"/>
        <w:spacing w:line="288" w:lineRule="auto"/>
        <w:ind w:left="573" w:leftChars="273"/>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wordWrap w:val="0"/>
        <w:snapToGrid w:val="0"/>
        <w:spacing w:line="288" w:lineRule="auto"/>
        <w:ind w:left="573" w:leftChars="273"/>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pPr>
        <w:wordWrap w:val="0"/>
        <w:snapToGrid w:val="0"/>
        <w:spacing w:line="360" w:lineRule="auto"/>
        <w:ind w:firstLine="720" w:firstLineChars="300"/>
        <w:jc w:val="left"/>
        <w:rPr>
          <w:rFonts w:ascii="仿宋" w:hAnsi="仿宋" w:eastAsia="仿宋" w:cs="仿宋"/>
          <w:kern w:val="0"/>
          <w:sz w:val="24"/>
          <w:highlight w:val="none"/>
          <w:lang w:val="zh-CN"/>
        </w:rPr>
      </w:pPr>
      <w:r>
        <w:rPr>
          <w:rFonts w:hint="eastAsia" w:ascii="仿宋" w:hAnsi="仿宋" w:eastAsia="仿宋" w:cs="仿宋"/>
          <w:sz w:val="24"/>
          <w:highlight w:val="none"/>
        </w:rPr>
        <w:t>1.中小企业合同金额达到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pPr>
        <w:wordWrap w:val="0"/>
        <w:snapToGrid w:val="0"/>
        <w:spacing w:line="288"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wordWrap w:val="0"/>
        <w:snapToGrid w:val="0"/>
        <w:spacing w:line="288" w:lineRule="auto"/>
        <w:ind w:left="5746" w:leftChars="2622" w:hanging="240" w:hangingChars="1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pPr>
        <w:wordWrap w:val="0"/>
        <w:snapToGrid w:val="0"/>
        <w:spacing w:line="288" w:lineRule="auto"/>
        <w:ind w:firstLine="4800" w:firstLineChars="20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pPr>
        <w:wordWrap w:val="0"/>
        <w:snapToGrid w:val="0"/>
        <w:spacing w:line="288"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pPr>
        <w:pStyle w:val="61"/>
        <w:wordWrap w:val="0"/>
        <w:spacing w:after="0" w:line="288" w:lineRule="auto"/>
        <w:ind w:firstLine="480"/>
        <w:rPr>
          <w:rFonts w:ascii="仿宋" w:hAnsi="仿宋" w:eastAsia="仿宋" w:cs="仿宋"/>
          <w:highlight w:val="none"/>
        </w:rPr>
      </w:pPr>
      <w:r>
        <w:rPr>
          <w:rFonts w:hint="eastAsia" w:ascii="仿宋" w:hAnsi="仿宋" w:eastAsia="仿宋" w:cs="仿宋"/>
          <w:kern w:val="0"/>
          <w:sz w:val="24"/>
          <w:highlight w:val="none"/>
          <w:lang w:val="zh-CN"/>
        </w:rPr>
        <w:t xml:space="preserve">                                        日期：  年  月   日</w:t>
      </w:r>
    </w:p>
    <w:p>
      <w:pPr>
        <w:wordWrap w:val="0"/>
        <w:spacing w:line="360" w:lineRule="auto"/>
        <w:rPr>
          <w:rFonts w:ascii="仿宋" w:hAnsi="仿宋" w:eastAsia="仿宋" w:cs="仿宋"/>
          <w:highlight w:val="none"/>
        </w:rPr>
      </w:pPr>
      <w:r>
        <w:rPr>
          <w:rFonts w:hint="eastAsia" w:ascii="仿宋" w:hAnsi="仿宋" w:eastAsia="仿宋" w:cs="仿宋"/>
          <w:sz w:val="24"/>
          <w:highlight w:val="none"/>
        </w:rPr>
        <w:t>注：按本格式和要求提供。</w:t>
      </w:r>
    </w:p>
    <w:p>
      <w:pPr>
        <w:rPr>
          <w:rFonts w:ascii="仿宋" w:hAnsi="仿宋" w:eastAsia="仿宋" w:cs="仿宋"/>
          <w:highlight w:val="none"/>
        </w:rPr>
      </w:pPr>
      <w:r>
        <w:rPr>
          <w:rFonts w:hint="eastAsia" w:ascii="仿宋" w:hAnsi="仿宋" w:eastAsia="仿宋" w:cs="仿宋"/>
          <w:highlight w:val="none"/>
        </w:rPr>
        <w:br w:type="page"/>
      </w:r>
    </w:p>
    <w:p>
      <w:pPr>
        <w:rPr>
          <w:sz w:val="28"/>
          <w:szCs w:val="28"/>
          <w:highlight w:val="none"/>
        </w:rPr>
      </w:pPr>
      <w:r>
        <w:rPr>
          <w:rFonts w:hint="eastAsia" w:ascii="仿宋" w:hAnsi="仿宋" w:eastAsia="仿宋" w:cs="仿宋"/>
          <w:sz w:val="28"/>
          <w:szCs w:val="28"/>
          <w:highlight w:val="none"/>
          <w:lang w:bidi="ar"/>
        </w:rPr>
        <w:t>附件八：建筑及装修图</w:t>
      </w:r>
    </w:p>
    <w:p>
      <w:pPr>
        <w:rPr>
          <w:rFonts w:ascii="仿宋" w:hAnsi="仿宋" w:eastAsia="仿宋" w:cs="仿宋"/>
          <w:highlight w:val="none"/>
        </w:rPr>
      </w:pPr>
    </w:p>
    <w:sectPr>
      <w:pgSz w:w="11905" w:h="16838"/>
      <w:pgMar w:top="652" w:right="1417" w:bottom="680" w:left="1417" w:header="539" w:footer="425"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decorative"/>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roman"/>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Arial"/>
    <w:panose1 w:val="00000000000000000000"/>
    <w:charset w:val="00"/>
    <w:family w:val="roma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roma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swiss"/>
    <w:pitch w:val="default"/>
    <w:sig w:usb0="00000000" w:usb1="00000000" w:usb2="00000000" w:usb3="00000000" w:csb0="00000011" w:csb1="00000000"/>
  </w:font>
  <w:font w:name=".PingFang SC">
    <w:altName w:val="宋体"/>
    <w:panose1 w:val="00000000000000000000"/>
    <w:charset w:val="86"/>
    <w:family w:val="decorative"/>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separate"/>
    </w:r>
    <w:r>
      <w:rPr>
        <w:rStyle w:val="72"/>
      </w:rPr>
      <w:t>35</w: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bookmarkStart w:id="641" w:name="_Toc36110187"/>
    <w:bookmarkStart w:id="642" w:name="_Toc91899912"/>
    <w:bookmarkStart w:id="643" w:name="_Toc131845147"/>
    <w:bookmarkStart w:id="644" w:name="_Toc164085800"/>
    <w:r>
      <w:rPr>
        <w:rFonts w:hint="eastAsia" w:ascii="仿宋_GB2312" w:eastAsia="仿宋_GB2312"/>
        <w:kern w:val="0"/>
        <w:szCs w:val="21"/>
      </w:rPr>
      <w:t xml:space="preserve"> 页</w:t>
    </w:r>
    <w:bookmarkEnd w:id="641"/>
    <w:bookmarkEnd w:id="642"/>
    <w:bookmarkEnd w:id="643"/>
    <w:bookmarkEnd w:id="64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ind w:firstLine="420"/>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70488"/>
    <w:multiLevelType w:val="singleLevel"/>
    <w:tmpl w:val="86D70488"/>
    <w:lvl w:ilvl="0" w:tentative="0">
      <w:start w:val="2"/>
      <w:numFmt w:val="decimal"/>
      <w:suff w:val="nothing"/>
      <w:lvlText w:val="（%1）"/>
      <w:lvlJc w:val="left"/>
    </w:lvl>
  </w:abstractNum>
  <w:abstractNum w:abstractNumId="1">
    <w:nsid w:val="87B24E00"/>
    <w:multiLevelType w:val="singleLevel"/>
    <w:tmpl w:val="87B24E00"/>
    <w:lvl w:ilvl="0" w:tentative="0">
      <w:start w:val="12"/>
      <w:numFmt w:val="decimal"/>
      <w:suff w:val="space"/>
      <w:lvlText w:val="%1."/>
      <w:lvlJc w:val="left"/>
    </w:lvl>
  </w:abstractNum>
  <w:abstractNum w:abstractNumId="2">
    <w:nsid w:val="99A842C6"/>
    <w:multiLevelType w:val="singleLevel"/>
    <w:tmpl w:val="99A842C6"/>
    <w:lvl w:ilvl="0" w:tentative="0">
      <w:start w:val="1"/>
      <w:numFmt w:val="decimal"/>
      <w:suff w:val="nothing"/>
      <w:lvlText w:val="%1、"/>
      <w:lvlJc w:val="left"/>
    </w:lvl>
  </w:abstractNum>
  <w:abstractNum w:abstractNumId="3">
    <w:nsid w:val="A89C2E80"/>
    <w:multiLevelType w:val="singleLevel"/>
    <w:tmpl w:val="A89C2E80"/>
    <w:lvl w:ilvl="0" w:tentative="0">
      <w:start w:val="1"/>
      <w:numFmt w:val="decimal"/>
      <w:suff w:val="nothing"/>
      <w:lvlText w:val="%1、"/>
      <w:lvlJc w:val="left"/>
    </w:lvl>
  </w:abstractNum>
  <w:abstractNum w:abstractNumId="4">
    <w:nsid w:val="AD2EE9C4"/>
    <w:multiLevelType w:val="singleLevel"/>
    <w:tmpl w:val="AD2EE9C4"/>
    <w:lvl w:ilvl="0" w:tentative="0">
      <w:start w:val="20"/>
      <w:numFmt w:val="decimal"/>
      <w:suff w:val="space"/>
      <w:lvlText w:val="%1."/>
      <w:lvlJc w:val="left"/>
    </w:lvl>
  </w:abstractNum>
  <w:abstractNum w:abstractNumId="5">
    <w:nsid w:val="BD07D205"/>
    <w:multiLevelType w:val="singleLevel"/>
    <w:tmpl w:val="BD07D205"/>
    <w:lvl w:ilvl="0" w:tentative="0">
      <w:start w:val="1"/>
      <w:numFmt w:val="decimal"/>
      <w:suff w:val="nothing"/>
      <w:lvlText w:val="%1、"/>
      <w:lvlJc w:val="left"/>
    </w:lvl>
  </w:abstractNum>
  <w:abstractNum w:abstractNumId="6">
    <w:nsid w:val="C1897A12"/>
    <w:multiLevelType w:val="singleLevel"/>
    <w:tmpl w:val="C1897A12"/>
    <w:lvl w:ilvl="0" w:tentative="0">
      <w:start w:val="1"/>
      <w:numFmt w:val="chineseCounting"/>
      <w:suff w:val="nothing"/>
      <w:lvlText w:val="%1、"/>
      <w:lvlJc w:val="left"/>
      <w:rPr>
        <w:rFonts w:hint="eastAsia"/>
      </w:rPr>
    </w:lvl>
  </w:abstractNum>
  <w:abstractNum w:abstractNumId="7">
    <w:nsid w:val="C6C902EB"/>
    <w:multiLevelType w:val="singleLevel"/>
    <w:tmpl w:val="C6C902EB"/>
    <w:lvl w:ilvl="0" w:tentative="0">
      <w:start w:val="16"/>
      <w:numFmt w:val="decimal"/>
      <w:suff w:val="space"/>
      <w:lvlText w:val="%1."/>
      <w:lvlJc w:val="left"/>
    </w:lvl>
  </w:abstractNum>
  <w:abstractNum w:abstractNumId="8">
    <w:nsid w:val="DCF2DC64"/>
    <w:multiLevelType w:val="singleLevel"/>
    <w:tmpl w:val="DCF2DC64"/>
    <w:lvl w:ilvl="0" w:tentative="0">
      <w:start w:val="4"/>
      <w:numFmt w:val="decimal"/>
      <w:suff w:val="nothing"/>
      <w:lvlText w:val="%1、"/>
      <w:lvlJc w:val="left"/>
    </w:lvl>
  </w:abstractNum>
  <w:abstractNum w:abstractNumId="9">
    <w:nsid w:val="E5D9C392"/>
    <w:multiLevelType w:val="singleLevel"/>
    <w:tmpl w:val="E5D9C392"/>
    <w:lvl w:ilvl="0" w:tentative="0">
      <w:start w:val="1"/>
      <w:numFmt w:val="decimal"/>
      <w:suff w:val="nothing"/>
      <w:lvlText w:val="（%1）"/>
      <w:lvlJc w:val="left"/>
    </w:lvl>
  </w:abstractNum>
  <w:abstractNum w:abstractNumId="10">
    <w:nsid w:val="E9D44DBF"/>
    <w:multiLevelType w:val="singleLevel"/>
    <w:tmpl w:val="E9D44DBF"/>
    <w:lvl w:ilvl="0" w:tentative="0">
      <w:start w:val="1"/>
      <w:numFmt w:val="decimal"/>
      <w:suff w:val="nothing"/>
      <w:lvlText w:val="%1、"/>
      <w:lvlJc w:val="left"/>
    </w:lvl>
  </w:abstractNum>
  <w:abstractNum w:abstractNumId="11">
    <w:nsid w:val="EBCC8E57"/>
    <w:multiLevelType w:val="singleLevel"/>
    <w:tmpl w:val="EBCC8E57"/>
    <w:lvl w:ilvl="0" w:tentative="0">
      <w:start w:val="1"/>
      <w:numFmt w:val="chineseCounting"/>
      <w:suff w:val="nothing"/>
      <w:lvlText w:val="%1、"/>
      <w:lvlJc w:val="left"/>
      <w:rPr>
        <w:rFonts w:hint="eastAsia"/>
      </w:rPr>
    </w:lvl>
  </w:abstractNum>
  <w:abstractNum w:abstractNumId="12">
    <w:nsid w:val="EEBCB84E"/>
    <w:multiLevelType w:val="singleLevel"/>
    <w:tmpl w:val="EEBCB84E"/>
    <w:lvl w:ilvl="0" w:tentative="0">
      <w:start w:val="1"/>
      <w:numFmt w:val="chineseCounting"/>
      <w:suff w:val="nothing"/>
      <w:lvlText w:val="%1、"/>
      <w:lvlJc w:val="left"/>
      <w:rPr>
        <w:rFonts w:hint="eastAsia"/>
      </w:rPr>
    </w:lvl>
  </w:abstractNum>
  <w:abstractNum w:abstractNumId="13">
    <w:nsid w:val="FE000763"/>
    <w:multiLevelType w:val="singleLevel"/>
    <w:tmpl w:val="FE000763"/>
    <w:lvl w:ilvl="0" w:tentative="0">
      <w:start w:val="8"/>
      <w:numFmt w:val="decimal"/>
      <w:suff w:val="space"/>
      <w:lvlText w:val="%1."/>
      <w:lvlJc w:val="left"/>
    </w:lvl>
  </w:abstractNum>
  <w:abstractNum w:abstractNumId="14">
    <w:nsid w:val="02082302"/>
    <w:multiLevelType w:val="singleLevel"/>
    <w:tmpl w:val="02082302"/>
    <w:lvl w:ilvl="0" w:tentative="0">
      <w:start w:val="1"/>
      <w:numFmt w:val="decimal"/>
      <w:suff w:val="space"/>
      <w:lvlText w:val="%1."/>
      <w:lvlJc w:val="left"/>
    </w:lvl>
  </w:abstractNum>
  <w:abstractNum w:abstractNumId="15">
    <w:nsid w:val="13736271"/>
    <w:multiLevelType w:val="singleLevel"/>
    <w:tmpl w:val="13736271"/>
    <w:lvl w:ilvl="0" w:tentative="0">
      <w:start w:val="1"/>
      <w:numFmt w:val="decimal"/>
      <w:lvlText w:val="%1."/>
      <w:lvlJc w:val="left"/>
      <w:pPr>
        <w:tabs>
          <w:tab w:val="left" w:pos="312"/>
        </w:tabs>
      </w:pPr>
    </w:lvl>
  </w:abstractNum>
  <w:abstractNum w:abstractNumId="16">
    <w:nsid w:val="1D275D71"/>
    <w:multiLevelType w:val="singleLevel"/>
    <w:tmpl w:val="1D275D71"/>
    <w:lvl w:ilvl="0" w:tentative="0">
      <w:start w:val="1"/>
      <w:numFmt w:val="decimal"/>
      <w:suff w:val="nothing"/>
      <w:lvlText w:val="%1、"/>
      <w:lvlJc w:val="left"/>
    </w:lvl>
  </w:abstractNum>
  <w:abstractNum w:abstractNumId="17">
    <w:nsid w:val="359E9864"/>
    <w:multiLevelType w:val="singleLevel"/>
    <w:tmpl w:val="359E9864"/>
    <w:lvl w:ilvl="0" w:tentative="0">
      <w:start w:val="1"/>
      <w:numFmt w:val="decimal"/>
      <w:suff w:val="nothing"/>
      <w:lvlText w:val="%1、"/>
      <w:lvlJc w:val="left"/>
    </w:lvl>
  </w:abstractNum>
  <w:abstractNum w:abstractNumId="18">
    <w:nsid w:val="5B215F71"/>
    <w:multiLevelType w:val="singleLevel"/>
    <w:tmpl w:val="5B215F71"/>
    <w:lvl w:ilvl="0" w:tentative="0">
      <w:start w:val="3"/>
      <w:numFmt w:val="chineseCounting"/>
      <w:suff w:val="nothing"/>
      <w:lvlText w:val="%1、"/>
      <w:lvlJc w:val="left"/>
      <w:rPr>
        <w:rFonts w:hint="eastAsia"/>
      </w:rPr>
    </w:lvl>
  </w:abstractNum>
  <w:abstractNum w:abstractNumId="19">
    <w:nsid w:val="6D6E101A"/>
    <w:multiLevelType w:val="singleLevel"/>
    <w:tmpl w:val="6D6E101A"/>
    <w:lvl w:ilvl="0" w:tentative="0">
      <w:start w:val="1"/>
      <w:numFmt w:val="decimal"/>
      <w:suff w:val="nothing"/>
      <w:lvlText w:val="%1、"/>
      <w:lvlJc w:val="left"/>
    </w:lvl>
  </w:abstractNum>
  <w:abstractNum w:abstractNumId="20">
    <w:nsid w:val="72644330"/>
    <w:multiLevelType w:val="singleLevel"/>
    <w:tmpl w:val="72644330"/>
    <w:lvl w:ilvl="0" w:tentative="0">
      <w:start w:val="1"/>
      <w:numFmt w:val="decimal"/>
      <w:suff w:val="nothing"/>
      <w:lvlText w:val="%1、"/>
      <w:lvlJc w:val="left"/>
    </w:lvl>
  </w:abstractNum>
  <w:abstractNum w:abstractNumId="21">
    <w:nsid w:val="75BB88C6"/>
    <w:multiLevelType w:val="singleLevel"/>
    <w:tmpl w:val="75BB88C6"/>
    <w:lvl w:ilvl="0" w:tentative="0">
      <w:start w:val="1"/>
      <w:numFmt w:val="decimal"/>
      <w:lvlText w:val="%1."/>
      <w:lvlJc w:val="left"/>
      <w:pPr>
        <w:tabs>
          <w:tab w:val="left" w:pos="312"/>
        </w:tabs>
      </w:pPr>
    </w:lvl>
  </w:abstractNum>
  <w:abstractNum w:abstractNumId="22">
    <w:nsid w:val="7625C79A"/>
    <w:multiLevelType w:val="singleLevel"/>
    <w:tmpl w:val="7625C79A"/>
    <w:lvl w:ilvl="0" w:tentative="0">
      <w:start w:val="2"/>
      <w:numFmt w:val="decimal"/>
      <w:suff w:val="space"/>
      <w:lvlText w:val="%1."/>
      <w:lvlJc w:val="left"/>
    </w:lvl>
  </w:abstractNum>
  <w:abstractNum w:abstractNumId="23">
    <w:nsid w:val="792045E3"/>
    <w:multiLevelType w:val="singleLevel"/>
    <w:tmpl w:val="792045E3"/>
    <w:lvl w:ilvl="0" w:tentative="0">
      <w:start w:val="6"/>
      <w:numFmt w:val="chineseCounting"/>
      <w:suff w:val="nothing"/>
      <w:lvlText w:val="%1、"/>
      <w:lvlJc w:val="left"/>
      <w:rPr>
        <w:rFonts w:hint="eastAsia"/>
      </w:rPr>
    </w:lvl>
  </w:abstractNum>
  <w:num w:numId="1">
    <w:abstractNumId w:val="22"/>
  </w:num>
  <w:num w:numId="2">
    <w:abstractNumId w:val="13"/>
  </w:num>
  <w:num w:numId="3">
    <w:abstractNumId w:val="1"/>
  </w:num>
  <w:num w:numId="4">
    <w:abstractNumId w:val="7"/>
  </w:num>
  <w:num w:numId="5">
    <w:abstractNumId w:val="4"/>
  </w:num>
  <w:num w:numId="6">
    <w:abstractNumId w:val="18"/>
  </w:num>
  <w:num w:numId="7">
    <w:abstractNumId w:val="15"/>
  </w:num>
  <w:num w:numId="8">
    <w:abstractNumId w:val="8"/>
  </w:num>
  <w:num w:numId="9">
    <w:abstractNumId w:val="19"/>
  </w:num>
  <w:num w:numId="10">
    <w:abstractNumId w:val="16"/>
  </w:num>
  <w:num w:numId="11">
    <w:abstractNumId w:val="20"/>
  </w:num>
  <w:num w:numId="12">
    <w:abstractNumId w:val="5"/>
  </w:num>
  <w:num w:numId="13">
    <w:abstractNumId w:val="3"/>
  </w:num>
  <w:num w:numId="14">
    <w:abstractNumId w:val="17"/>
  </w:num>
  <w:num w:numId="15">
    <w:abstractNumId w:val="2"/>
  </w:num>
  <w:num w:numId="16">
    <w:abstractNumId w:val="10"/>
  </w:num>
  <w:num w:numId="17">
    <w:abstractNumId w:val="11"/>
  </w:num>
  <w:num w:numId="18">
    <w:abstractNumId w:val="6"/>
  </w:num>
  <w:num w:numId="19">
    <w:abstractNumId w:val="0"/>
  </w:num>
  <w:num w:numId="20">
    <w:abstractNumId w:val="21"/>
  </w:num>
  <w:num w:numId="21">
    <w:abstractNumId w:val="9"/>
  </w:num>
  <w:num w:numId="22">
    <w:abstractNumId w:val="12"/>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hideSpellingErrors/>
  <w:documentProtection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YTk3MzZjNjY2ZjE5ZmQ0Nzc4NTRkNjk4Yjk1MTgifQ=="/>
    <w:docVar w:name="KSO_WPS_MARK_KEY" w:val="4162c88e-7a97-4f8a-914e-66eeeef13e7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8B"/>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1C3D"/>
    <w:rsid w:val="002527CC"/>
    <w:rsid w:val="00252F48"/>
    <w:rsid w:val="002530C0"/>
    <w:rsid w:val="002533AC"/>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A35"/>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EC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DA5"/>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54D"/>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1A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C5B"/>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2D1"/>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41"/>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E0B"/>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2D0"/>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9B2"/>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D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C72"/>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73D"/>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09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5EE"/>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CE"/>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ED"/>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72720"/>
    <w:rsid w:val="01121285"/>
    <w:rsid w:val="011F6449"/>
    <w:rsid w:val="01236AFB"/>
    <w:rsid w:val="019F7441"/>
    <w:rsid w:val="01B37585"/>
    <w:rsid w:val="01C240D6"/>
    <w:rsid w:val="01D55165"/>
    <w:rsid w:val="01DF6BF8"/>
    <w:rsid w:val="01EB4811"/>
    <w:rsid w:val="01EC2C57"/>
    <w:rsid w:val="02392050"/>
    <w:rsid w:val="02612DE7"/>
    <w:rsid w:val="026B2E25"/>
    <w:rsid w:val="02824D4D"/>
    <w:rsid w:val="02AF7B2D"/>
    <w:rsid w:val="02C7057E"/>
    <w:rsid w:val="02DA6776"/>
    <w:rsid w:val="02DC4B10"/>
    <w:rsid w:val="02DD76CE"/>
    <w:rsid w:val="02F36323"/>
    <w:rsid w:val="02F5619C"/>
    <w:rsid w:val="03193606"/>
    <w:rsid w:val="03222B47"/>
    <w:rsid w:val="0326446A"/>
    <w:rsid w:val="032D5555"/>
    <w:rsid w:val="033301DC"/>
    <w:rsid w:val="0336740B"/>
    <w:rsid w:val="036634D2"/>
    <w:rsid w:val="03885263"/>
    <w:rsid w:val="03B629A7"/>
    <w:rsid w:val="03C75283"/>
    <w:rsid w:val="03DA27A3"/>
    <w:rsid w:val="03DD35E4"/>
    <w:rsid w:val="03FC5F2A"/>
    <w:rsid w:val="04076900"/>
    <w:rsid w:val="041A5A3B"/>
    <w:rsid w:val="0421121E"/>
    <w:rsid w:val="042311BA"/>
    <w:rsid w:val="04267B2D"/>
    <w:rsid w:val="042B157A"/>
    <w:rsid w:val="043E286E"/>
    <w:rsid w:val="04596E97"/>
    <w:rsid w:val="046C5C2A"/>
    <w:rsid w:val="048F763B"/>
    <w:rsid w:val="049F330E"/>
    <w:rsid w:val="04AA775C"/>
    <w:rsid w:val="04AF1889"/>
    <w:rsid w:val="04EA0355"/>
    <w:rsid w:val="04F66F48"/>
    <w:rsid w:val="05065269"/>
    <w:rsid w:val="0522318E"/>
    <w:rsid w:val="05251E14"/>
    <w:rsid w:val="052845F3"/>
    <w:rsid w:val="05560C2A"/>
    <w:rsid w:val="0559183C"/>
    <w:rsid w:val="055D2919"/>
    <w:rsid w:val="05A16594"/>
    <w:rsid w:val="05A7762D"/>
    <w:rsid w:val="060E5941"/>
    <w:rsid w:val="06110FAF"/>
    <w:rsid w:val="062803FD"/>
    <w:rsid w:val="06493CA7"/>
    <w:rsid w:val="065110EC"/>
    <w:rsid w:val="065A6178"/>
    <w:rsid w:val="06623713"/>
    <w:rsid w:val="066F1CF3"/>
    <w:rsid w:val="06930BB8"/>
    <w:rsid w:val="069F3F4E"/>
    <w:rsid w:val="069F594B"/>
    <w:rsid w:val="06B75E22"/>
    <w:rsid w:val="06C748BA"/>
    <w:rsid w:val="06D620B4"/>
    <w:rsid w:val="07245D42"/>
    <w:rsid w:val="07264C62"/>
    <w:rsid w:val="0730481D"/>
    <w:rsid w:val="075D5082"/>
    <w:rsid w:val="0779354C"/>
    <w:rsid w:val="077A1300"/>
    <w:rsid w:val="07FE23B9"/>
    <w:rsid w:val="08061376"/>
    <w:rsid w:val="08163393"/>
    <w:rsid w:val="08452D77"/>
    <w:rsid w:val="084B690D"/>
    <w:rsid w:val="086401F8"/>
    <w:rsid w:val="08751CAA"/>
    <w:rsid w:val="087E4C40"/>
    <w:rsid w:val="08A2245D"/>
    <w:rsid w:val="08C16487"/>
    <w:rsid w:val="08D66AD6"/>
    <w:rsid w:val="08DA33A3"/>
    <w:rsid w:val="08E80F13"/>
    <w:rsid w:val="09265ED9"/>
    <w:rsid w:val="09335624"/>
    <w:rsid w:val="0944690F"/>
    <w:rsid w:val="09535675"/>
    <w:rsid w:val="095F057D"/>
    <w:rsid w:val="09642282"/>
    <w:rsid w:val="09733572"/>
    <w:rsid w:val="09772C16"/>
    <w:rsid w:val="097F75FA"/>
    <w:rsid w:val="098353B5"/>
    <w:rsid w:val="099C619C"/>
    <w:rsid w:val="09A92330"/>
    <w:rsid w:val="09B06B87"/>
    <w:rsid w:val="09BD5DBE"/>
    <w:rsid w:val="09C13146"/>
    <w:rsid w:val="09C851E3"/>
    <w:rsid w:val="09E04166"/>
    <w:rsid w:val="0A0E0E57"/>
    <w:rsid w:val="0A1C0718"/>
    <w:rsid w:val="0A3E7710"/>
    <w:rsid w:val="0A5B7E63"/>
    <w:rsid w:val="0A67494D"/>
    <w:rsid w:val="0A99714B"/>
    <w:rsid w:val="0AA374A5"/>
    <w:rsid w:val="0AAB7649"/>
    <w:rsid w:val="0ABC5606"/>
    <w:rsid w:val="0B30404E"/>
    <w:rsid w:val="0B4C6C14"/>
    <w:rsid w:val="0B5252C5"/>
    <w:rsid w:val="0B5E5DFE"/>
    <w:rsid w:val="0B631A88"/>
    <w:rsid w:val="0B683D45"/>
    <w:rsid w:val="0B7F3F11"/>
    <w:rsid w:val="0B884417"/>
    <w:rsid w:val="0B941820"/>
    <w:rsid w:val="0BA45310"/>
    <w:rsid w:val="0BEB5CB3"/>
    <w:rsid w:val="0BF6188C"/>
    <w:rsid w:val="0BF73C91"/>
    <w:rsid w:val="0C170175"/>
    <w:rsid w:val="0C571A41"/>
    <w:rsid w:val="0C5C1171"/>
    <w:rsid w:val="0C5E1CBC"/>
    <w:rsid w:val="0C615B50"/>
    <w:rsid w:val="0C812B51"/>
    <w:rsid w:val="0C8445DA"/>
    <w:rsid w:val="0C87121B"/>
    <w:rsid w:val="0CB007AA"/>
    <w:rsid w:val="0CC007F7"/>
    <w:rsid w:val="0CCE74AD"/>
    <w:rsid w:val="0CD53211"/>
    <w:rsid w:val="0CFE707A"/>
    <w:rsid w:val="0D063BDA"/>
    <w:rsid w:val="0D08375F"/>
    <w:rsid w:val="0D184CFB"/>
    <w:rsid w:val="0D4A7419"/>
    <w:rsid w:val="0D7875D9"/>
    <w:rsid w:val="0D7B7F6B"/>
    <w:rsid w:val="0D827401"/>
    <w:rsid w:val="0D84094E"/>
    <w:rsid w:val="0D8A00E9"/>
    <w:rsid w:val="0D8B48A5"/>
    <w:rsid w:val="0D8D589E"/>
    <w:rsid w:val="0D9C19CF"/>
    <w:rsid w:val="0DA01C73"/>
    <w:rsid w:val="0DAD2613"/>
    <w:rsid w:val="0DD63300"/>
    <w:rsid w:val="0DF50604"/>
    <w:rsid w:val="0DF702FE"/>
    <w:rsid w:val="0E060E51"/>
    <w:rsid w:val="0E5604B2"/>
    <w:rsid w:val="0E6D5D79"/>
    <w:rsid w:val="0E9D0089"/>
    <w:rsid w:val="0EB803EE"/>
    <w:rsid w:val="0EF94D4B"/>
    <w:rsid w:val="0F12144F"/>
    <w:rsid w:val="0F267E50"/>
    <w:rsid w:val="0F2928DC"/>
    <w:rsid w:val="0F4958DC"/>
    <w:rsid w:val="0F4E001C"/>
    <w:rsid w:val="0F515DF7"/>
    <w:rsid w:val="0F596BA8"/>
    <w:rsid w:val="0F6248D2"/>
    <w:rsid w:val="0F6600DC"/>
    <w:rsid w:val="0F693536"/>
    <w:rsid w:val="0F7B0511"/>
    <w:rsid w:val="0F7B76D9"/>
    <w:rsid w:val="0F816ACD"/>
    <w:rsid w:val="0F9832DB"/>
    <w:rsid w:val="0FBF3FD2"/>
    <w:rsid w:val="0FBF7FF3"/>
    <w:rsid w:val="0FF21D8D"/>
    <w:rsid w:val="10150A56"/>
    <w:rsid w:val="10646583"/>
    <w:rsid w:val="10770C3A"/>
    <w:rsid w:val="107D4B15"/>
    <w:rsid w:val="108A3C80"/>
    <w:rsid w:val="10A17219"/>
    <w:rsid w:val="10A673BF"/>
    <w:rsid w:val="10AF7152"/>
    <w:rsid w:val="10C26171"/>
    <w:rsid w:val="10F33360"/>
    <w:rsid w:val="10FC16EA"/>
    <w:rsid w:val="1107421C"/>
    <w:rsid w:val="110745F5"/>
    <w:rsid w:val="110F1D40"/>
    <w:rsid w:val="11266F33"/>
    <w:rsid w:val="115E6AF7"/>
    <w:rsid w:val="116374F7"/>
    <w:rsid w:val="118963A1"/>
    <w:rsid w:val="1190351D"/>
    <w:rsid w:val="11916802"/>
    <w:rsid w:val="11C6522A"/>
    <w:rsid w:val="11CC0423"/>
    <w:rsid w:val="11E104CC"/>
    <w:rsid w:val="11E20309"/>
    <w:rsid w:val="12255233"/>
    <w:rsid w:val="12530213"/>
    <w:rsid w:val="12594386"/>
    <w:rsid w:val="126A32DB"/>
    <w:rsid w:val="127723A9"/>
    <w:rsid w:val="12862074"/>
    <w:rsid w:val="1288040F"/>
    <w:rsid w:val="12883966"/>
    <w:rsid w:val="129E45B4"/>
    <w:rsid w:val="12A96255"/>
    <w:rsid w:val="12D22C2E"/>
    <w:rsid w:val="12D81596"/>
    <w:rsid w:val="12D9489C"/>
    <w:rsid w:val="12FB0490"/>
    <w:rsid w:val="13072A44"/>
    <w:rsid w:val="131E5E73"/>
    <w:rsid w:val="133B576B"/>
    <w:rsid w:val="135F4BE2"/>
    <w:rsid w:val="13785533"/>
    <w:rsid w:val="139B1A0A"/>
    <w:rsid w:val="139D25C7"/>
    <w:rsid w:val="13BF3CE4"/>
    <w:rsid w:val="141008D8"/>
    <w:rsid w:val="14125FE6"/>
    <w:rsid w:val="144E2788"/>
    <w:rsid w:val="14617675"/>
    <w:rsid w:val="146D271E"/>
    <w:rsid w:val="147B1ABD"/>
    <w:rsid w:val="14931BE5"/>
    <w:rsid w:val="14982588"/>
    <w:rsid w:val="149A5AD9"/>
    <w:rsid w:val="149A6BEA"/>
    <w:rsid w:val="14A7619D"/>
    <w:rsid w:val="14AA11A2"/>
    <w:rsid w:val="150536C3"/>
    <w:rsid w:val="150C1963"/>
    <w:rsid w:val="151447A0"/>
    <w:rsid w:val="154A6454"/>
    <w:rsid w:val="15611DD0"/>
    <w:rsid w:val="15620C93"/>
    <w:rsid w:val="156F6E5A"/>
    <w:rsid w:val="15762120"/>
    <w:rsid w:val="1592490D"/>
    <w:rsid w:val="15AB4DC5"/>
    <w:rsid w:val="15C50FB0"/>
    <w:rsid w:val="15C5115E"/>
    <w:rsid w:val="15D51305"/>
    <w:rsid w:val="16106893"/>
    <w:rsid w:val="16331AEA"/>
    <w:rsid w:val="163B6E92"/>
    <w:rsid w:val="1667132F"/>
    <w:rsid w:val="167B4954"/>
    <w:rsid w:val="16822B68"/>
    <w:rsid w:val="16A8729C"/>
    <w:rsid w:val="16B33193"/>
    <w:rsid w:val="16B33777"/>
    <w:rsid w:val="16B8356E"/>
    <w:rsid w:val="16BC70A7"/>
    <w:rsid w:val="16C6339E"/>
    <w:rsid w:val="17125209"/>
    <w:rsid w:val="172C16AC"/>
    <w:rsid w:val="172F2D79"/>
    <w:rsid w:val="17557BEF"/>
    <w:rsid w:val="179C00EE"/>
    <w:rsid w:val="17B337FE"/>
    <w:rsid w:val="17CB6794"/>
    <w:rsid w:val="17D349C1"/>
    <w:rsid w:val="17EA5838"/>
    <w:rsid w:val="17EF7DDE"/>
    <w:rsid w:val="17F24A21"/>
    <w:rsid w:val="1830729E"/>
    <w:rsid w:val="18651017"/>
    <w:rsid w:val="186E0562"/>
    <w:rsid w:val="1870062C"/>
    <w:rsid w:val="18817102"/>
    <w:rsid w:val="18830A15"/>
    <w:rsid w:val="18852B28"/>
    <w:rsid w:val="188B5321"/>
    <w:rsid w:val="18D55226"/>
    <w:rsid w:val="19786FBD"/>
    <w:rsid w:val="19932372"/>
    <w:rsid w:val="19A20DD5"/>
    <w:rsid w:val="19AE03F1"/>
    <w:rsid w:val="19B33B02"/>
    <w:rsid w:val="19B962C2"/>
    <w:rsid w:val="19C80964"/>
    <w:rsid w:val="19CA4296"/>
    <w:rsid w:val="19DA04BD"/>
    <w:rsid w:val="1A071A03"/>
    <w:rsid w:val="1A1F16AE"/>
    <w:rsid w:val="1A3B5C77"/>
    <w:rsid w:val="1A4735B7"/>
    <w:rsid w:val="1A80435A"/>
    <w:rsid w:val="1A984BAD"/>
    <w:rsid w:val="1AB772D9"/>
    <w:rsid w:val="1AB8220E"/>
    <w:rsid w:val="1ADE66E9"/>
    <w:rsid w:val="1AE4166C"/>
    <w:rsid w:val="1AE85900"/>
    <w:rsid w:val="1AE86A6B"/>
    <w:rsid w:val="1AF06CFB"/>
    <w:rsid w:val="1AF11B8D"/>
    <w:rsid w:val="1B11359C"/>
    <w:rsid w:val="1B2A271F"/>
    <w:rsid w:val="1B530544"/>
    <w:rsid w:val="1B5643DD"/>
    <w:rsid w:val="1B713184"/>
    <w:rsid w:val="1BA209CF"/>
    <w:rsid w:val="1BB4777D"/>
    <w:rsid w:val="1BD2431D"/>
    <w:rsid w:val="1BD75AB8"/>
    <w:rsid w:val="1C0459C2"/>
    <w:rsid w:val="1C0B5645"/>
    <w:rsid w:val="1C1B3B4A"/>
    <w:rsid w:val="1C88086E"/>
    <w:rsid w:val="1CD86393"/>
    <w:rsid w:val="1D266CE1"/>
    <w:rsid w:val="1D2A7003"/>
    <w:rsid w:val="1D3963AF"/>
    <w:rsid w:val="1D44232E"/>
    <w:rsid w:val="1D602818"/>
    <w:rsid w:val="1D632D08"/>
    <w:rsid w:val="1D660E3D"/>
    <w:rsid w:val="1D6A673C"/>
    <w:rsid w:val="1D716DB9"/>
    <w:rsid w:val="1D915479"/>
    <w:rsid w:val="1D9247AE"/>
    <w:rsid w:val="1D9C4A28"/>
    <w:rsid w:val="1DA653E3"/>
    <w:rsid w:val="1DB567EC"/>
    <w:rsid w:val="1DC026CA"/>
    <w:rsid w:val="1DCA7323"/>
    <w:rsid w:val="1DF51A98"/>
    <w:rsid w:val="1DFF1443"/>
    <w:rsid w:val="1DFF69C5"/>
    <w:rsid w:val="1E320C20"/>
    <w:rsid w:val="1E3D060F"/>
    <w:rsid w:val="1E3F7D2E"/>
    <w:rsid w:val="1E4134E4"/>
    <w:rsid w:val="1E4F2E30"/>
    <w:rsid w:val="1E5062B3"/>
    <w:rsid w:val="1E523514"/>
    <w:rsid w:val="1E714A66"/>
    <w:rsid w:val="1E802593"/>
    <w:rsid w:val="1E87091A"/>
    <w:rsid w:val="1EA703CC"/>
    <w:rsid w:val="1EAD3B2E"/>
    <w:rsid w:val="1EAF519E"/>
    <w:rsid w:val="1EB202A6"/>
    <w:rsid w:val="1EB7330C"/>
    <w:rsid w:val="1EE8744A"/>
    <w:rsid w:val="1EF503D0"/>
    <w:rsid w:val="1F0A0FF3"/>
    <w:rsid w:val="1F2B5C6B"/>
    <w:rsid w:val="1F5771FF"/>
    <w:rsid w:val="1F772AAB"/>
    <w:rsid w:val="1F986864"/>
    <w:rsid w:val="1FAC5F93"/>
    <w:rsid w:val="1FAF184C"/>
    <w:rsid w:val="1FB160A1"/>
    <w:rsid w:val="1FBB471C"/>
    <w:rsid w:val="1FC94A03"/>
    <w:rsid w:val="1FE868A9"/>
    <w:rsid w:val="20034907"/>
    <w:rsid w:val="20173E4B"/>
    <w:rsid w:val="204E48BC"/>
    <w:rsid w:val="207C5953"/>
    <w:rsid w:val="208921B3"/>
    <w:rsid w:val="20973DEB"/>
    <w:rsid w:val="209844B3"/>
    <w:rsid w:val="20A16773"/>
    <w:rsid w:val="20B26522"/>
    <w:rsid w:val="20B44310"/>
    <w:rsid w:val="20EA5C00"/>
    <w:rsid w:val="210229B5"/>
    <w:rsid w:val="21030097"/>
    <w:rsid w:val="210D7DE1"/>
    <w:rsid w:val="211116EB"/>
    <w:rsid w:val="211C715B"/>
    <w:rsid w:val="212239F9"/>
    <w:rsid w:val="21450F01"/>
    <w:rsid w:val="215356BC"/>
    <w:rsid w:val="21570452"/>
    <w:rsid w:val="216133FC"/>
    <w:rsid w:val="21746EB6"/>
    <w:rsid w:val="21A5330F"/>
    <w:rsid w:val="21B87027"/>
    <w:rsid w:val="21BE7C0F"/>
    <w:rsid w:val="21D56769"/>
    <w:rsid w:val="21E52EF3"/>
    <w:rsid w:val="21E855F1"/>
    <w:rsid w:val="21FB5D7B"/>
    <w:rsid w:val="220601CB"/>
    <w:rsid w:val="220B1C3D"/>
    <w:rsid w:val="221D1D20"/>
    <w:rsid w:val="22334A87"/>
    <w:rsid w:val="224A1D93"/>
    <w:rsid w:val="22565A1B"/>
    <w:rsid w:val="229A5E96"/>
    <w:rsid w:val="22BE6801"/>
    <w:rsid w:val="22D503AD"/>
    <w:rsid w:val="22E1605C"/>
    <w:rsid w:val="22E51E1F"/>
    <w:rsid w:val="233500BF"/>
    <w:rsid w:val="23377FF7"/>
    <w:rsid w:val="235B7AB5"/>
    <w:rsid w:val="236B425F"/>
    <w:rsid w:val="23836192"/>
    <w:rsid w:val="23901F29"/>
    <w:rsid w:val="239602ED"/>
    <w:rsid w:val="239C0061"/>
    <w:rsid w:val="23B908A4"/>
    <w:rsid w:val="23BA47E3"/>
    <w:rsid w:val="23CE5CC8"/>
    <w:rsid w:val="23D909ED"/>
    <w:rsid w:val="23E95BEF"/>
    <w:rsid w:val="23FD0064"/>
    <w:rsid w:val="23FD24E3"/>
    <w:rsid w:val="240E37A9"/>
    <w:rsid w:val="241966AF"/>
    <w:rsid w:val="245375B0"/>
    <w:rsid w:val="24547947"/>
    <w:rsid w:val="24642C0A"/>
    <w:rsid w:val="246F32AE"/>
    <w:rsid w:val="24B22173"/>
    <w:rsid w:val="24B95AD9"/>
    <w:rsid w:val="24BE24DA"/>
    <w:rsid w:val="24CF5825"/>
    <w:rsid w:val="24D663E6"/>
    <w:rsid w:val="24D77F2B"/>
    <w:rsid w:val="25415818"/>
    <w:rsid w:val="258B00E2"/>
    <w:rsid w:val="25A917A6"/>
    <w:rsid w:val="25AA7E15"/>
    <w:rsid w:val="25BE27CC"/>
    <w:rsid w:val="25C920A9"/>
    <w:rsid w:val="25F74A5C"/>
    <w:rsid w:val="2609679C"/>
    <w:rsid w:val="261C7718"/>
    <w:rsid w:val="26213859"/>
    <w:rsid w:val="2628662C"/>
    <w:rsid w:val="262D45DE"/>
    <w:rsid w:val="263B60F2"/>
    <w:rsid w:val="26421B0D"/>
    <w:rsid w:val="26747CA0"/>
    <w:rsid w:val="26871DAD"/>
    <w:rsid w:val="268D73B5"/>
    <w:rsid w:val="26A53EF9"/>
    <w:rsid w:val="26A94201"/>
    <w:rsid w:val="26AC274F"/>
    <w:rsid w:val="26B67F49"/>
    <w:rsid w:val="26F6447D"/>
    <w:rsid w:val="27044A29"/>
    <w:rsid w:val="27070A20"/>
    <w:rsid w:val="271816CB"/>
    <w:rsid w:val="271D34C8"/>
    <w:rsid w:val="272116A0"/>
    <w:rsid w:val="27466D3F"/>
    <w:rsid w:val="27476D19"/>
    <w:rsid w:val="27517D61"/>
    <w:rsid w:val="276142BF"/>
    <w:rsid w:val="27655C3D"/>
    <w:rsid w:val="27783712"/>
    <w:rsid w:val="27907362"/>
    <w:rsid w:val="27C44DE4"/>
    <w:rsid w:val="28020919"/>
    <w:rsid w:val="28333E1D"/>
    <w:rsid w:val="28454BD6"/>
    <w:rsid w:val="28455253"/>
    <w:rsid w:val="28551971"/>
    <w:rsid w:val="285B1C53"/>
    <w:rsid w:val="28632BF0"/>
    <w:rsid w:val="289F7086"/>
    <w:rsid w:val="28A31469"/>
    <w:rsid w:val="28B523C7"/>
    <w:rsid w:val="28C32028"/>
    <w:rsid w:val="28CC490F"/>
    <w:rsid w:val="28D24C7D"/>
    <w:rsid w:val="28DE40AA"/>
    <w:rsid w:val="28F45EEB"/>
    <w:rsid w:val="29345E77"/>
    <w:rsid w:val="294C65AD"/>
    <w:rsid w:val="294F28E5"/>
    <w:rsid w:val="295F74AB"/>
    <w:rsid w:val="29631B1C"/>
    <w:rsid w:val="29806583"/>
    <w:rsid w:val="298505A2"/>
    <w:rsid w:val="298B3C4C"/>
    <w:rsid w:val="29A141F3"/>
    <w:rsid w:val="29B84A64"/>
    <w:rsid w:val="29D67219"/>
    <w:rsid w:val="29F26D24"/>
    <w:rsid w:val="2A15033F"/>
    <w:rsid w:val="2A1662C1"/>
    <w:rsid w:val="2A1C7367"/>
    <w:rsid w:val="2A2815FA"/>
    <w:rsid w:val="2A287D69"/>
    <w:rsid w:val="2A4C572E"/>
    <w:rsid w:val="2A5610E8"/>
    <w:rsid w:val="2A6D6092"/>
    <w:rsid w:val="2A7D76B4"/>
    <w:rsid w:val="2ABF7205"/>
    <w:rsid w:val="2ACB77CC"/>
    <w:rsid w:val="2AD43590"/>
    <w:rsid w:val="2AE92DF1"/>
    <w:rsid w:val="2B261369"/>
    <w:rsid w:val="2B437463"/>
    <w:rsid w:val="2B7807EE"/>
    <w:rsid w:val="2BBF00EC"/>
    <w:rsid w:val="2BC04E47"/>
    <w:rsid w:val="2BC37CFD"/>
    <w:rsid w:val="2BD5237F"/>
    <w:rsid w:val="2BE31C98"/>
    <w:rsid w:val="2BE536CE"/>
    <w:rsid w:val="2BE758D9"/>
    <w:rsid w:val="2C09049E"/>
    <w:rsid w:val="2C0A653C"/>
    <w:rsid w:val="2C191F85"/>
    <w:rsid w:val="2C873291"/>
    <w:rsid w:val="2CB0513C"/>
    <w:rsid w:val="2CB34CDD"/>
    <w:rsid w:val="2CB66EF8"/>
    <w:rsid w:val="2CC0117A"/>
    <w:rsid w:val="2CE82D6F"/>
    <w:rsid w:val="2D1F486A"/>
    <w:rsid w:val="2D343236"/>
    <w:rsid w:val="2D3D3639"/>
    <w:rsid w:val="2D606C7D"/>
    <w:rsid w:val="2D676811"/>
    <w:rsid w:val="2D7C3A6A"/>
    <w:rsid w:val="2DD15014"/>
    <w:rsid w:val="2DE85F18"/>
    <w:rsid w:val="2DF72DE4"/>
    <w:rsid w:val="2E0220AF"/>
    <w:rsid w:val="2E372A37"/>
    <w:rsid w:val="2E4525DD"/>
    <w:rsid w:val="2E4B082A"/>
    <w:rsid w:val="2E5D4E86"/>
    <w:rsid w:val="2E5D790B"/>
    <w:rsid w:val="2E6D798E"/>
    <w:rsid w:val="2E9A3C18"/>
    <w:rsid w:val="2EBB0FEE"/>
    <w:rsid w:val="2EC63002"/>
    <w:rsid w:val="2ECD0C29"/>
    <w:rsid w:val="2EE03233"/>
    <w:rsid w:val="2F0A6B38"/>
    <w:rsid w:val="2F4851D0"/>
    <w:rsid w:val="2F647F8F"/>
    <w:rsid w:val="2F794269"/>
    <w:rsid w:val="2F946CCB"/>
    <w:rsid w:val="2FD25781"/>
    <w:rsid w:val="2FFD7934"/>
    <w:rsid w:val="2FFE2851"/>
    <w:rsid w:val="300967B6"/>
    <w:rsid w:val="30695D8C"/>
    <w:rsid w:val="30733ACD"/>
    <w:rsid w:val="308C3862"/>
    <w:rsid w:val="309379D8"/>
    <w:rsid w:val="30A270F7"/>
    <w:rsid w:val="30DF1478"/>
    <w:rsid w:val="30EB428D"/>
    <w:rsid w:val="30EC586F"/>
    <w:rsid w:val="31360D5D"/>
    <w:rsid w:val="3146752E"/>
    <w:rsid w:val="316B33A9"/>
    <w:rsid w:val="317362BD"/>
    <w:rsid w:val="319C6071"/>
    <w:rsid w:val="31AB5907"/>
    <w:rsid w:val="31AC3820"/>
    <w:rsid w:val="31AC537E"/>
    <w:rsid w:val="31C111F3"/>
    <w:rsid w:val="31E3679B"/>
    <w:rsid w:val="31E732FD"/>
    <w:rsid w:val="31FA3F13"/>
    <w:rsid w:val="323104BD"/>
    <w:rsid w:val="32517576"/>
    <w:rsid w:val="32725A95"/>
    <w:rsid w:val="328D434A"/>
    <w:rsid w:val="32BE5C2C"/>
    <w:rsid w:val="32FB6478"/>
    <w:rsid w:val="332054B8"/>
    <w:rsid w:val="33263B3F"/>
    <w:rsid w:val="335A2AA0"/>
    <w:rsid w:val="336963EB"/>
    <w:rsid w:val="33816EEB"/>
    <w:rsid w:val="339A5965"/>
    <w:rsid w:val="33AC51E6"/>
    <w:rsid w:val="33BE302F"/>
    <w:rsid w:val="33E06F7D"/>
    <w:rsid w:val="33EB55CD"/>
    <w:rsid w:val="33EC4C02"/>
    <w:rsid w:val="33FF3B9B"/>
    <w:rsid w:val="340D2360"/>
    <w:rsid w:val="3410665D"/>
    <w:rsid w:val="34211214"/>
    <w:rsid w:val="342E63AB"/>
    <w:rsid w:val="34401C96"/>
    <w:rsid w:val="34444A19"/>
    <w:rsid w:val="344D14A1"/>
    <w:rsid w:val="34950E68"/>
    <w:rsid w:val="34986E94"/>
    <w:rsid w:val="34A727F1"/>
    <w:rsid w:val="34AF62C9"/>
    <w:rsid w:val="34CB4388"/>
    <w:rsid w:val="34E04C25"/>
    <w:rsid w:val="34EF3AF5"/>
    <w:rsid w:val="34FA6E12"/>
    <w:rsid w:val="35177D3B"/>
    <w:rsid w:val="358C308A"/>
    <w:rsid w:val="358D5588"/>
    <w:rsid w:val="35A82B78"/>
    <w:rsid w:val="35AA049C"/>
    <w:rsid w:val="35B11087"/>
    <w:rsid w:val="35B97034"/>
    <w:rsid w:val="35CD6CF1"/>
    <w:rsid w:val="35DA2866"/>
    <w:rsid w:val="360A2C3B"/>
    <w:rsid w:val="363A3B40"/>
    <w:rsid w:val="365302AE"/>
    <w:rsid w:val="36590585"/>
    <w:rsid w:val="36607A0A"/>
    <w:rsid w:val="366E227C"/>
    <w:rsid w:val="366F2E0D"/>
    <w:rsid w:val="367B6A5C"/>
    <w:rsid w:val="36814A92"/>
    <w:rsid w:val="36827AAB"/>
    <w:rsid w:val="36970FAC"/>
    <w:rsid w:val="36A74ADA"/>
    <w:rsid w:val="36AD60D5"/>
    <w:rsid w:val="36B224F9"/>
    <w:rsid w:val="36EC0CC9"/>
    <w:rsid w:val="371E6696"/>
    <w:rsid w:val="373F410B"/>
    <w:rsid w:val="37B15B33"/>
    <w:rsid w:val="37BE68BC"/>
    <w:rsid w:val="37E33308"/>
    <w:rsid w:val="37EE7094"/>
    <w:rsid w:val="381E1201"/>
    <w:rsid w:val="38296B3F"/>
    <w:rsid w:val="38296C89"/>
    <w:rsid w:val="383002EB"/>
    <w:rsid w:val="38433B03"/>
    <w:rsid w:val="38463C1A"/>
    <w:rsid w:val="38586797"/>
    <w:rsid w:val="385C64C8"/>
    <w:rsid w:val="387951BA"/>
    <w:rsid w:val="38966328"/>
    <w:rsid w:val="389F5630"/>
    <w:rsid w:val="38AD2F51"/>
    <w:rsid w:val="38B87D9D"/>
    <w:rsid w:val="38BC0149"/>
    <w:rsid w:val="38D87D1C"/>
    <w:rsid w:val="38FA6453"/>
    <w:rsid w:val="391024DC"/>
    <w:rsid w:val="394E6C03"/>
    <w:rsid w:val="394F5D07"/>
    <w:rsid w:val="39636459"/>
    <w:rsid w:val="396B7F6C"/>
    <w:rsid w:val="397035D3"/>
    <w:rsid w:val="39B417A9"/>
    <w:rsid w:val="39FC5695"/>
    <w:rsid w:val="3A006D8E"/>
    <w:rsid w:val="3A053765"/>
    <w:rsid w:val="3A2B170B"/>
    <w:rsid w:val="3A3651E5"/>
    <w:rsid w:val="3A56271C"/>
    <w:rsid w:val="3A744481"/>
    <w:rsid w:val="3A8C7BEF"/>
    <w:rsid w:val="3A906246"/>
    <w:rsid w:val="3AC26D0D"/>
    <w:rsid w:val="3B00217F"/>
    <w:rsid w:val="3B046D3A"/>
    <w:rsid w:val="3B2349B7"/>
    <w:rsid w:val="3B616CFF"/>
    <w:rsid w:val="3B6259F6"/>
    <w:rsid w:val="3B683019"/>
    <w:rsid w:val="3B6B6A15"/>
    <w:rsid w:val="3B720250"/>
    <w:rsid w:val="3B870D7E"/>
    <w:rsid w:val="3B8F24B5"/>
    <w:rsid w:val="3B976654"/>
    <w:rsid w:val="3BA90120"/>
    <w:rsid w:val="3BC01789"/>
    <w:rsid w:val="3BC01EFC"/>
    <w:rsid w:val="3BCA786A"/>
    <w:rsid w:val="3BD31E2F"/>
    <w:rsid w:val="3BF15831"/>
    <w:rsid w:val="3C014684"/>
    <w:rsid w:val="3C105946"/>
    <w:rsid w:val="3C297A7F"/>
    <w:rsid w:val="3C34279E"/>
    <w:rsid w:val="3C464D77"/>
    <w:rsid w:val="3C471448"/>
    <w:rsid w:val="3C510DFF"/>
    <w:rsid w:val="3C5850B9"/>
    <w:rsid w:val="3C5F759A"/>
    <w:rsid w:val="3C6C525A"/>
    <w:rsid w:val="3C7637CB"/>
    <w:rsid w:val="3C8666B4"/>
    <w:rsid w:val="3C8F3836"/>
    <w:rsid w:val="3CA86DA1"/>
    <w:rsid w:val="3CB678A5"/>
    <w:rsid w:val="3CC1149A"/>
    <w:rsid w:val="3CCE23CB"/>
    <w:rsid w:val="3CD17D17"/>
    <w:rsid w:val="3CD23A6A"/>
    <w:rsid w:val="3D0512A8"/>
    <w:rsid w:val="3D0E6EBF"/>
    <w:rsid w:val="3D330CF2"/>
    <w:rsid w:val="3D3C7F39"/>
    <w:rsid w:val="3D440F09"/>
    <w:rsid w:val="3D4504A0"/>
    <w:rsid w:val="3D564C5E"/>
    <w:rsid w:val="3D8734BB"/>
    <w:rsid w:val="3D8A7C0D"/>
    <w:rsid w:val="3D9A11D4"/>
    <w:rsid w:val="3DA16D89"/>
    <w:rsid w:val="3DA364BE"/>
    <w:rsid w:val="3DB42C81"/>
    <w:rsid w:val="3DE041CB"/>
    <w:rsid w:val="3E0D48F6"/>
    <w:rsid w:val="3E1868B4"/>
    <w:rsid w:val="3E21649B"/>
    <w:rsid w:val="3E306F1E"/>
    <w:rsid w:val="3E377251"/>
    <w:rsid w:val="3E42664B"/>
    <w:rsid w:val="3E5A7334"/>
    <w:rsid w:val="3E7B5D6B"/>
    <w:rsid w:val="3E843E66"/>
    <w:rsid w:val="3E8F51FE"/>
    <w:rsid w:val="3E926F87"/>
    <w:rsid w:val="3E9A59DE"/>
    <w:rsid w:val="3EAF4836"/>
    <w:rsid w:val="3EC33DFA"/>
    <w:rsid w:val="3EC67C9B"/>
    <w:rsid w:val="3ED74DCE"/>
    <w:rsid w:val="3EE63F33"/>
    <w:rsid w:val="3F060E16"/>
    <w:rsid w:val="3F173D45"/>
    <w:rsid w:val="3F1D1096"/>
    <w:rsid w:val="3F2F0234"/>
    <w:rsid w:val="3F6363FE"/>
    <w:rsid w:val="3F756B8F"/>
    <w:rsid w:val="3F95482B"/>
    <w:rsid w:val="3FD3304A"/>
    <w:rsid w:val="4019356B"/>
    <w:rsid w:val="40592157"/>
    <w:rsid w:val="406D3E12"/>
    <w:rsid w:val="406E1CAE"/>
    <w:rsid w:val="40A0133A"/>
    <w:rsid w:val="40C31A53"/>
    <w:rsid w:val="40E750BB"/>
    <w:rsid w:val="40E83499"/>
    <w:rsid w:val="40FF545D"/>
    <w:rsid w:val="410067C8"/>
    <w:rsid w:val="412D5350"/>
    <w:rsid w:val="4137139D"/>
    <w:rsid w:val="414E562C"/>
    <w:rsid w:val="418F0D2A"/>
    <w:rsid w:val="41916141"/>
    <w:rsid w:val="41B810BD"/>
    <w:rsid w:val="41C007E7"/>
    <w:rsid w:val="41D01505"/>
    <w:rsid w:val="42095F6E"/>
    <w:rsid w:val="424172D1"/>
    <w:rsid w:val="42474939"/>
    <w:rsid w:val="424C3C57"/>
    <w:rsid w:val="42613FF3"/>
    <w:rsid w:val="42660D96"/>
    <w:rsid w:val="428667D2"/>
    <w:rsid w:val="42891389"/>
    <w:rsid w:val="42920521"/>
    <w:rsid w:val="42975168"/>
    <w:rsid w:val="42A12863"/>
    <w:rsid w:val="42CD1CE0"/>
    <w:rsid w:val="42E1381E"/>
    <w:rsid w:val="42ED6459"/>
    <w:rsid w:val="42FE58DD"/>
    <w:rsid w:val="43174B3D"/>
    <w:rsid w:val="434B790E"/>
    <w:rsid w:val="4360274F"/>
    <w:rsid w:val="43977AB6"/>
    <w:rsid w:val="43A3342B"/>
    <w:rsid w:val="43C77C27"/>
    <w:rsid w:val="43CB348D"/>
    <w:rsid w:val="43DE09EE"/>
    <w:rsid w:val="44002FAD"/>
    <w:rsid w:val="446905C0"/>
    <w:rsid w:val="44781916"/>
    <w:rsid w:val="449101DD"/>
    <w:rsid w:val="44B800F6"/>
    <w:rsid w:val="44C164DB"/>
    <w:rsid w:val="44DB5F60"/>
    <w:rsid w:val="44DE1391"/>
    <w:rsid w:val="451B225C"/>
    <w:rsid w:val="452410C9"/>
    <w:rsid w:val="45317DFB"/>
    <w:rsid w:val="454113CA"/>
    <w:rsid w:val="45436274"/>
    <w:rsid w:val="456D3CE4"/>
    <w:rsid w:val="4579042C"/>
    <w:rsid w:val="457F0571"/>
    <w:rsid w:val="45851176"/>
    <w:rsid w:val="45950612"/>
    <w:rsid w:val="45C63B94"/>
    <w:rsid w:val="45D249E5"/>
    <w:rsid w:val="45F538A0"/>
    <w:rsid w:val="460E7DA5"/>
    <w:rsid w:val="462907DC"/>
    <w:rsid w:val="463257DE"/>
    <w:rsid w:val="46422483"/>
    <w:rsid w:val="464500CB"/>
    <w:rsid w:val="4659254A"/>
    <w:rsid w:val="465B0637"/>
    <w:rsid w:val="465E3F0D"/>
    <w:rsid w:val="466A16E6"/>
    <w:rsid w:val="46841EB6"/>
    <w:rsid w:val="46893F2B"/>
    <w:rsid w:val="46BA4EE4"/>
    <w:rsid w:val="46C4686E"/>
    <w:rsid w:val="46DB2620"/>
    <w:rsid w:val="46E75F49"/>
    <w:rsid w:val="46EB42AF"/>
    <w:rsid w:val="46F21269"/>
    <w:rsid w:val="473723B0"/>
    <w:rsid w:val="47567C2A"/>
    <w:rsid w:val="477B778F"/>
    <w:rsid w:val="478203EC"/>
    <w:rsid w:val="47B025FA"/>
    <w:rsid w:val="47C73432"/>
    <w:rsid w:val="47D96F7B"/>
    <w:rsid w:val="4809698F"/>
    <w:rsid w:val="4811697D"/>
    <w:rsid w:val="48733940"/>
    <w:rsid w:val="487A3E25"/>
    <w:rsid w:val="488B5503"/>
    <w:rsid w:val="488B5E60"/>
    <w:rsid w:val="48937E21"/>
    <w:rsid w:val="489A0361"/>
    <w:rsid w:val="48B94FF3"/>
    <w:rsid w:val="48E37AAB"/>
    <w:rsid w:val="48FD4B4C"/>
    <w:rsid w:val="490A68E0"/>
    <w:rsid w:val="491055FE"/>
    <w:rsid w:val="495F358D"/>
    <w:rsid w:val="495F5B3E"/>
    <w:rsid w:val="496F3FF2"/>
    <w:rsid w:val="496F77D7"/>
    <w:rsid w:val="497654FD"/>
    <w:rsid w:val="499C4B8B"/>
    <w:rsid w:val="49B64211"/>
    <w:rsid w:val="49E459A1"/>
    <w:rsid w:val="49F6167F"/>
    <w:rsid w:val="49F64374"/>
    <w:rsid w:val="4A064FA0"/>
    <w:rsid w:val="4A0B01F8"/>
    <w:rsid w:val="4A16615C"/>
    <w:rsid w:val="4A2A05D0"/>
    <w:rsid w:val="4A3F0A96"/>
    <w:rsid w:val="4A4424D7"/>
    <w:rsid w:val="4A571ACA"/>
    <w:rsid w:val="4A8F0121"/>
    <w:rsid w:val="4AA85A47"/>
    <w:rsid w:val="4AAA236F"/>
    <w:rsid w:val="4AB77EE6"/>
    <w:rsid w:val="4AB82D0F"/>
    <w:rsid w:val="4AEB7664"/>
    <w:rsid w:val="4AF075E8"/>
    <w:rsid w:val="4AFD7C19"/>
    <w:rsid w:val="4B0567D1"/>
    <w:rsid w:val="4B195314"/>
    <w:rsid w:val="4B236AAE"/>
    <w:rsid w:val="4B4136B7"/>
    <w:rsid w:val="4B456459"/>
    <w:rsid w:val="4B5C6BE0"/>
    <w:rsid w:val="4B707271"/>
    <w:rsid w:val="4B721531"/>
    <w:rsid w:val="4B9739F7"/>
    <w:rsid w:val="4B9911E8"/>
    <w:rsid w:val="4BEE2503"/>
    <w:rsid w:val="4C134EA5"/>
    <w:rsid w:val="4C245A30"/>
    <w:rsid w:val="4C964049"/>
    <w:rsid w:val="4CB6685F"/>
    <w:rsid w:val="4CC367FE"/>
    <w:rsid w:val="4D077F3C"/>
    <w:rsid w:val="4D123355"/>
    <w:rsid w:val="4D2A3B31"/>
    <w:rsid w:val="4D312C52"/>
    <w:rsid w:val="4D363554"/>
    <w:rsid w:val="4D8F41D8"/>
    <w:rsid w:val="4D905305"/>
    <w:rsid w:val="4D964A72"/>
    <w:rsid w:val="4D9C1254"/>
    <w:rsid w:val="4DE54634"/>
    <w:rsid w:val="4DFE7535"/>
    <w:rsid w:val="4E6C5709"/>
    <w:rsid w:val="4E72304A"/>
    <w:rsid w:val="4E793892"/>
    <w:rsid w:val="4E800872"/>
    <w:rsid w:val="4E94015D"/>
    <w:rsid w:val="4EB370CB"/>
    <w:rsid w:val="4EC569ED"/>
    <w:rsid w:val="4ED50EA1"/>
    <w:rsid w:val="4EEC050C"/>
    <w:rsid w:val="4F104EC3"/>
    <w:rsid w:val="4F376B26"/>
    <w:rsid w:val="4F47354A"/>
    <w:rsid w:val="4F8B7ADC"/>
    <w:rsid w:val="4F911C54"/>
    <w:rsid w:val="4FCE4FD0"/>
    <w:rsid w:val="4FD53136"/>
    <w:rsid w:val="4FE625E0"/>
    <w:rsid w:val="50037267"/>
    <w:rsid w:val="501B67F5"/>
    <w:rsid w:val="5021480F"/>
    <w:rsid w:val="505205C4"/>
    <w:rsid w:val="50962ECB"/>
    <w:rsid w:val="50A42E38"/>
    <w:rsid w:val="50A4577F"/>
    <w:rsid w:val="50B73D1F"/>
    <w:rsid w:val="50BD5BC9"/>
    <w:rsid w:val="50C11EEE"/>
    <w:rsid w:val="50CB47D7"/>
    <w:rsid w:val="50D66C31"/>
    <w:rsid w:val="50E2040B"/>
    <w:rsid w:val="50E97CFC"/>
    <w:rsid w:val="50FA4028"/>
    <w:rsid w:val="510D65B7"/>
    <w:rsid w:val="511157AB"/>
    <w:rsid w:val="511C66F4"/>
    <w:rsid w:val="51333D03"/>
    <w:rsid w:val="5142540C"/>
    <w:rsid w:val="518832C8"/>
    <w:rsid w:val="519D31E6"/>
    <w:rsid w:val="51A0432A"/>
    <w:rsid w:val="51A86090"/>
    <w:rsid w:val="51B7396D"/>
    <w:rsid w:val="51B7477A"/>
    <w:rsid w:val="51F8550C"/>
    <w:rsid w:val="52010A9E"/>
    <w:rsid w:val="52070231"/>
    <w:rsid w:val="52170CBE"/>
    <w:rsid w:val="5220355B"/>
    <w:rsid w:val="522E4CC3"/>
    <w:rsid w:val="52320EAC"/>
    <w:rsid w:val="5244713B"/>
    <w:rsid w:val="52615633"/>
    <w:rsid w:val="52977FD4"/>
    <w:rsid w:val="529F1132"/>
    <w:rsid w:val="529F4A82"/>
    <w:rsid w:val="52A25790"/>
    <w:rsid w:val="52A96B6F"/>
    <w:rsid w:val="52B45975"/>
    <w:rsid w:val="52C00EF1"/>
    <w:rsid w:val="52D94AA4"/>
    <w:rsid w:val="52EA3A62"/>
    <w:rsid w:val="52F50BB8"/>
    <w:rsid w:val="53097272"/>
    <w:rsid w:val="535005D4"/>
    <w:rsid w:val="53544462"/>
    <w:rsid w:val="536A49D0"/>
    <w:rsid w:val="539262C5"/>
    <w:rsid w:val="5397158E"/>
    <w:rsid w:val="53A416DB"/>
    <w:rsid w:val="54013861"/>
    <w:rsid w:val="54487265"/>
    <w:rsid w:val="544D6070"/>
    <w:rsid w:val="54605E1E"/>
    <w:rsid w:val="5473672B"/>
    <w:rsid w:val="54B3506A"/>
    <w:rsid w:val="54B42E62"/>
    <w:rsid w:val="54CA0D16"/>
    <w:rsid w:val="54CB4559"/>
    <w:rsid w:val="54DD4057"/>
    <w:rsid w:val="54E7490F"/>
    <w:rsid w:val="550377CD"/>
    <w:rsid w:val="550764A4"/>
    <w:rsid w:val="550B2BF6"/>
    <w:rsid w:val="550F3998"/>
    <w:rsid w:val="55214EB5"/>
    <w:rsid w:val="552F69B4"/>
    <w:rsid w:val="55354CFB"/>
    <w:rsid w:val="55364EFD"/>
    <w:rsid w:val="555D4828"/>
    <w:rsid w:val="5562483A"/>
    <w:rsid w:val="55653950"/>
    <w:rsid w:val="557645ED"/>
    <w:rsid w:val="557A4C8B"/>
    <w:rsid w:val="558403B2"/>
    <w:rsid w:val="558931E1"/>
    <w:rsid w:val="55923347"/>
    <w:rsid w:val="55925180"/>
    <w:rsid w:val="55983B1B"/>
    <w:rsid w:val="55A014EF"/>
    <w:rsid w:val="55A01DB5"/>
    <w:rsid w:val="55A8376B"/>
    <w:rsid w:val="55DC29B6"/>
    <w:rsid w:val="55DD4241"/>
    <w:rsid w:val="5618423F"/>
    <w:rsid w:val="56677B2E"/>
    <w:rsid w:val="566B6D1E"/>
    <w:rsid w:val="56796849"/>
    <w:rsid w:val="567D7CFD"/>
    <w:rsid w:val="56A60C14"/>
    <w:rsid w:val="56E31D66"/>
    <w:rsid w:val="56FC60D5"/>
    <w:rsid w:val="57032A2C"/>
    <w:rsid w:val="570F5219"/>
    <w:rsid w:val="57150236"/>
    <w:rsid w:val="571F7486"/>
    <w:rsid w:val="5741255F"/>
    <w:rsid w:val="575D12B5"/>
    <w:rsid w:val="57610A87"/>
    <w:rsid w:val="577B1140"/>
    <w:rsid w:val="577B7F21"/>
    <w:rsid w:val="577F181B"/>
    <w:rsid w:val="57921984"/>
    <w:rsid w:val="579737F0"/>
    <w:rsid w:val="579F789B"/>
    <w:rsid w:val="57AB7B30"/>
    <w:rsid w:val="57AF5251"/>
    <w:rsid w:val="57B26373"/>
    <w:rsid w:val="57B63F04"/>
    <w:rsid w:val="57CD20C2"/>
    <w:rsid w:val="57D03845"/>
    <w:rsid w:val="57D573DB"/>
    <w:rsid w:val="57D675AB"/>
    <w:rsid w:val="57D95FDD"/>
    <w:rsid w:val="57E5652D"/>
    <w:rsid w:val="57F85B5E"/>
    <w:rsid w:val="585B44F2"/>
    <w:rsid w:val="58917D2F"/>
    <w:rsid w:val="5894085C"/>
    <w:rsid w:val="58AE4F0C"/>
    <w:rsid w:val="58B85899"/>
    <w:rsid w:val="58C36E39"/>
    <w:rsid w:val="58D91717"/>
    <w:rsid w:val="58E363A9"/>
    <w:rsid w:val="59254A57"/>
    <w:rsid w:val="592E25D7"/>
    <w:rsid w:val="595277EA"/>
    <w:rsid w:val="595E1678"/>
    <w:rsid w:val="596A4811"/>
    <w:rsid w:val="596D5BD4"/>
    <w:rsid w:val="597E0ADA"/>
    <w:rsid w:val="597E3DD8"/>
    <w:rsid w:val="59C141BA"/>
    <w:rsid w:val="59C52C01"/>
    <w:rsid w:val="59DC694C"/>
    <w:rsid w:val="59F80043"/>
    <w:rsid w:val="5A09252F"/>
    <w:rsid w:val="5A0B2778"/>
    <w:rsid w:val="5A170A2A"/>
    <w:rsid w:val="5A2606E9"/>
    <w:rsid w:val="5A2A7C7B"/>
    <w:rsid w:val="5A3E2560"/>
    <w:rsid w:val="5A5D3B6E"/>
    <w:rsid w:val="5A600155"/>
    <w:rsid w:val="5A637A76"/>
    <w:rsid w:val="5A6656E5"/>
    <w:rsid w:val="5A6A482A"/>
    <w:rsid w:val="5A6D33BA"/>
    <w:rsid w:val="5A753B98"/>
    <w:rsid w:val="5A792B1F"/>
    <w:rsid w:val="5A874767"/>
    <w:rsid w:val="5AAD6F28"/>
    <w:rsid w:val="5AD10710"/>
    <w:rsid w:val="5AD63A24"/>
    <w:rsid w:val="5B2E1A1D"/>
    <w:rsid w:val="5B413A7A"/>
    <w:rsid w:val="5B843A1C"/>
    <w:rsid w:val="5B873E3F"/>
    <w:rsid w:val="5BD164BB"/>
    <w:rsid w:val="5BD445A4"/>
    <w:rsid w:val="5C02690E"/>
    <w:rsid w:val="5C196DA7"/>
    <w:rsid w:val="5C220A3A"/>
    <w:rsid w:val="5C2A048C"/>
    <w:rsid w:val="5C6C4CCA"/>
    <w:rsid w:val="5C6E0D96"/>
    <w:rsid w:val="5C80234E"/>
    <w:rsid w:val="5C8A680C"/>
    <w:rsid w:val="5CA55DCD"/>
    <w:rsid w:val="5D0C4701"/>
    <w:rsid w:val="5D0F0395"/>
    <w:rsid w:val="5D221076"/>
    <w:rsid w:val="5D397964"/>
    <w:rsid w:val="5D491257"/>
    <w:rsid w:val="5D5A391C"/>
    <w:rsid w:val="5D5F10C0"/>
    <w:rsid w:val="5D891B7B"/>
    <w:rsid w:val="5D8B7162"/>
    <w:rsid w:val="5DA94ECA"/>
    <w:rsid w:val="5DAD38EE"/>
    <w:rsid w:val="5E006862"/>
    <w:rsid w:val="5E0207B9"/>
    <w:rsid w:val="5E13292D"/>
    <w:rsid w:val="5E1834A1"/>
    <w:rsid w:val="5E1E4087"/>
    <w:rsid w:val="5E261785"/>
    <w:rsid w:val="5E423E1E"/>
    <w:rsid w:val="5E4A7017"/>
    <w:rsid w:val="5E552BBA"/>
    <w:rsid w:val="5E611C10"/>
    <w:rsid w:val="5ED7545C"/>
    <w:rsid w:val="5EDD5EC9"/>
    <w:rsid w:val="5EFC7377"/>
    <w:rsid w:val="5F06174D"/>
    <w:rsid w:val="5F071B9D"/>
    <w:rsid w:val="5F13300F"/>
    <w:rsid w:val="5F3A3602"/>
    <w:rsid w:val="5F57701B"/>
    <w:rsid w:val="5F5F1052"/>
    <w:rsid w:val="5F6277C6"/>
    <w:rsid w:val="5F660ABA"/>
    <w:rsid w:val="5F6D0B1D"/>
    <w:rsid w:val="5F8D0B82"/>
    <w:rsid w:val="5FC3334C"/>
    <w:rsid w:val="5FCC5339"/>
    <w:rsid w:val="5FE078E0"/>
    <w:rsid w:val="5FE34A5B"/>
    <w:rsid w:val="5FFE1E36"/>
    <w:rsid w:val="60232584"/>
    <w:rsid w:val="60326087"/>
    <w:rsid w:val="603E64A5"/>
    <w:rsid w:val="60576DBD"/>
    <w:rsid w:val="60674F9A"/>
    <w:rsid w:val="607330CE"/>
    <w:rsid w:val="607A419E"/>
    <w:rsid w:val="608027CF"/>
    <w:rsid w:val="60825176"/>
    <w:rsid w:val="609C0BE0"/>
    <w:rsid w:val="609F2AC4"/>
    <w:rsid w:val="60B65B72"/>
    <w:rsid w:val="60FA2EE8"/>
    <w:rsid w:val="60FE42AA"/>
    <w:rsid w:val="61054A27"/>
    <w:rsid w:val="610A52BC"/>
    <w:rsid w:val="611D2366"/>
    <w:rsid w:val="61421856"/>
    <w:rsid w:val="614E5DAA"/>
    <w:rsid w:val="615227C4"/>
    <w:rsid w:val="61562109"/>
    <w:rsid w:val="61646F94"/>
    <w:rsid w:val="61654E3F"/>
    <w:rsid w:val="61663732"/>
    <w:rsid w:val="6174564F"/>
    <w:rsid w:val="6182292A"/>
    <w:rsid w:val="619117A1"/>
    <w:rsid w:val="61937B14"/>
    <w:rsid w:val="619F7F92"/>
    <w:rsid w:val="61A30FEA"/>
    <w:rsid w:val="61F94C26"/>
    <w:rsid w:val="62000E56"/>
    <w:rsid w:val="62054193"/>
    <w:rsid w:val="62227AC4"/>
    <w:rsid w:val="624F3E49"/>
    <w:rsid w:val="62632286"/>
    <w:rsid w:val="62716C4E"/>
    <w:rsid w:val="62851EC8"/>
    <w:rsid w:val="62885958"/>
    <w:rsid w:val="62D83031"/>
    <w:rsid w:val="62F40B65"/>
    <w:rsid w:val="62FC2CFE"/>
    <w:rsid w:val="63024505"/>
    <w:rsid w:val="63133CBC"/>
    <w:rsid w:val="633F0CD0"/>
    <w:rsid w:val="635B1DB5"/>
    <w:rsid w:val="63711FED"/>
    <w:rsid w:val="63880DDC"/>
    <w:rsid w:val="638D750D"/>
    <w:rsid w:val="63AC6CC0"/>
    <w:rsid w:val="63D45E62"/>
    <w:rsid w:val="64055776"/>
    <w:rsid w:val="64240056"/>
    <w:rsid w:val="643E143A"/>
    <w:rsid w:val="64523490"/>
    <w:rsid w:val="64525048"/>
    <w:rsid w:val="645A7CF9"/>
    <w:rsid w:val="648B6EEF"/>
    <w:rsid w:val="64C158BF"/>
    <w:rsid w:val="64CE2EAA"/>
    <w:rsid w:val="64CF06AB"/>
    <w:rsid w:val="64E61C88"/>
    <w:rsid w:val="653C3090"/>
    <w:rsid w:val="65421E67"/>
    <w:rsid w:val="654900FB"/>
    <w:rsid w:val="654B52DC"/>
    <w:rsid w:val="6583677A"/>
    <w:rsid w:val="65854376"/>
    <w:rsid w:val="658767BE"/>
    <w:rsid w:val="65892531"/>
    <w:rsid w:val="65D04673"/>
    <w:rsid w:val="65E25E59"/>
    <w:rsid w:val="65F8345E"/>
    <w:rsid w:val="6602511D"/>
    <w:rsid w:val="66195831"/>
    <w:rsid w:val="662E75B1"/>
    <w:rsid w:val="66342C2E"/>
    <w:rsid w:val="663E784C"/>
    <w:rsid w:val="665B62E7"/>
    <w:rsid w:val="668B6A45"/>
    <w:rsid w:val="669F7E18"/>
    <w:rsid w:val="66B01071"/>
    <w:rsid w:val="66BF7F84"/>
    <w:rsid w:val="66D95049"/>
    <w:rsid w:val="66DC49FB"/>
    <w:rsid w:val="67272539"/>
    <w:rsid w:val="672F3F24"/>
    <w:rsid w:val="673E055F"/>
    <w:rsid w:val="67551CE3"/>
    <w:rsid w:val="6772060E"/>
    <w:rsid w:val="67A22552"/>
    <w:rsid w:val="67B22DCC"/>
    <w:rsid w:val="67B67C39"/>
    <w:rsid w:val="67BE71AA"/>
    <w:rsid w:val="67D16BCF"/>
    <w:rsid w:val="67D40535"/>
    <w:rsid w:val="67D90273"/>
    <w:rsid w:val="67D96698"/>
    <w:rsid w:val="67DE5875"/>
    <w:rsid w:val="67E55852"/>
    <w:rsid w:val="67EB1AB4"/>
    <w:rsid w:val="67FA1285"/>
    <w:rsid w:val="68263E9E"/>
    <w:rsid w:val="68464DC5"/>
    <w:rsid w:val="68551F4F"/>
    <w:rsid w:val="687C10C9"/>
    <w:rsid w:val="68840C16"/>
    <w:rsid w:val="688549D0"/>
    <w:rsid w:val="68876EFB"/>
    <w:rsid w:val="68884654"/>
    <w:rsid w:val="68895855"/>
    <w:rsid w:val="689F444F"/>
    <w:rsid w:val="68A20B90"/>
    <w:rsid w:val="68B96DBB"/>
    <w:rsid w:val="68CA2805"/>
    <w:rsid w:val="68D321AA"/>
    <w:rsid w:val="68E937A3"/>
    <w:rsid w:val="691B0869"/>
    <w:rsid w:val="693E15D3"/>
    <w:rsid w:val="69627681"/>
    <w:rsid w:val="696F140C"/>
    <w:rsid w:val="6977531D"/>
    <w:rsid w:val="69CC2BFF"/>
    <w:rsid w:val="69D976BF"/>
    <w:rsid w:val="69ED641D"/>
    <w:rsid w:val="69FD55B8"/>
    <w:rsid w:val="6A0B1C62"/>
    <w:rsid w:val="6A206786"/>
    <w:rsid w:val="6A21712D"/>
    <w:rsid w:val="6A2406C8"/>
    <w:rsid w:val="6A42336B"/>
    <w:rsid w:val="6A4A0458"/>
    <w:rsid w:val="6A7D274A"/>
    <w:rsid w:val="6AB00311"/>
    <w:rsid w:val="6ADB183B"/>
    <w:rsid w:val="6ADC381B"/>
    <w:rsid w:val="6ADE0BD1"/>
    <w:rsid w:val="6AE96859"/>
    <w:rsid w:val="6B147746"/>
    <w:rsid w:val="6B1C0AB8"/>
    <w:rsid w:val="6B2460A8"/>
    <w:rsid w:val="6B24787C"/>
    <w:rsid w:val="6B573233"/>
    <w:rsid w:val="6B5B6274"/>
    <w:rsid w:val="6B6001CE"/>
    <w:rsid w:val="6B6E4E2E"/>
    <w:rsid w:val="6B935D53"/>
    <w:rsid w:val="6BAD2F42"/>
    <w:rsid w:val="6BBF5E5E"/>
    <w:rsid w:val="6BD86FC5"/>
    <w:rsid w:val="6BDD2706"/>
    <w:rsid w:val="6BFD39ED"/>
    <w:rsid w:val="6C07131A"/>
    <w:rsid w:val="6C196F71"/>
    <w:rsid w:val="6C226FCB"/>
    <w:rsid w:val="6C31226F"/>
    <w:rsid w:val="6C552F0B"/>
    <w:rsid w:val="6C7A3314"/>
    <w:rsid w:val="6C8C67B7"/>
    <w:rsid w:val="6C9D166B"/>
    <w:rsid w:val="6C9D744C"/>
    <w:rsid w:val="6CD91762"/>
    <w:rsid w:val="6CFA6D0C"/>
    <w:rsid w:val="6D167928"/>
    <w:rsid w:val="6D26299B"/>
    <w:rsid w:val="6D2F659C"/>
    <w:rsid w:val="6D4772EC"/>
    <w:rsid w:val="6D604233"/>
    <w:rsid w:val="6D8141C3"/>
    <w:rsid w:val="6D90672C"/>
    <w:rsid w:val="6D9078AF"/>
    <w:rsid w:val="6D9E2FAE"/>
    <w:rsid w:val="6DAA3FEF"/>
    <w:rsid w:val="6DC0172B"/>
    <w:rsid w:val="6DCB690C"/>
    <w:rsid w:val="6DD41A5B"/>
    <w:rsid w:val="6DF43C2E"/>
    <w:rsid w:val="6DF51CA3"/>
    <w:rsid w:val="6E24348E"/>
    <w:rsid w:val="6E25722B"/>
    <w:rsid w:val="6E6E43D9"/>
    <w:rsid w:val="6E8335BD"/>
    <w:rsid w:val="6E8E12EF"/>
    <w:rsid w:val="6E972936"/>
    <w:rsid w:val="6ED446C5"/>
    <w:rsid w:val="6F046601"/>
    <w:rsid w:val="6F09786A"/>
    <w:rsid w:val="6F2A7D94"/>
    <w:rsid w:val="6F4B2014"/>
    <w:rsid w:val="6F59792B"/>
    <w:rsid w:val="6F6963A5"/>
    <w:rsid w:val="6F8331F1"/>
    <w:rsid w:val="6FAE1A09"/>
    <w:rsid w:val="6FD75BF8"/>
    <w:rsid w:val="6FE72DDB"/>
    <w:rsid w:val="7015480C"/>
    <w:rsid w:val="701A2DBF"/>
    <w:rsid w:val="707723D0"/>
    <w:rsid w:val="70F5661B"/>
    <w:rsid w:val="70FA031E"/>
    <w:rsid w:val="71283699"/>
    <w:rsid w:val="71345422"/>
    <w:rsid w:val="71360107"/>
    <w:rsid w:val="713B688E"/>
    <w:rsid w:val="7170522D"/>
    <w:rsid w:val="71805602"/>
    <w:rsid w:val="71BD31F7"/>
    <w:rsid w:val="71D43752"/>
    <w:rsid w:val="71EE501B"/>
    <w:rsid w:val="71F1796A"/>
    <w:rsid w:val="72154626"/>
    <w:rsid w:val="72262B5D"/>
    <w:rsid w:val="72283FF7"/>
    <w:rsid w:val="722E7212"/>
    <w:rsid w:val="723A0474"/>
    <w:rsid w:val="723F6B0D"/>
    <w:rsid w:val="725923E4"/>
    <w:rsid w:val="72864BF7"/>
    <w:rsid w:val="729023FC"/>
    <w:rsid w:val="72A423C8"/>
    <w:rsid w:val="72AD22E1"/>
    <w:rsid w:val="72B372E1"/>
    <w:rsid w:val="731742D0"/>
    <w:rsid w:val="733A0FB4"/>
    <w:rsid w:val="73472C17"/>
    <w:rsid w:val="73C0646E"/>
    <w:rsid w:val="73E059CF"/>
    <w:rsid w:val="73F222E5"/>
    <w:rsid w:val="742222F5"/>
    <w:rsid w:val="74476126"/>
    <w:rsid w:val="746066F5"/>
    <w:rsid w:val="74706664"/>
    <w:rsid w:val="747F3682"/>
    <w:rsid w:val="749C4185"/>
    <w:rsid w:val="75067759"/>
    <w:rsid w:val="752E6DCD"/>
    <w:rsid w:val="75374EE7"/>
    <w:rsid w:val="7551380D"/>
    <w:rsid w:val="75600BE5"/>
    <w:rsid w:val="7564475C"/>
    <w:rsid w:val="756615CF"/>
    <w:rsid w:val="7583797F"/>
    <w:rsid w:val="758E3908"/>
    <w:rsid w:val="75976E42"/>
    <w:rsid w:val="75AF25A8"/>
    <w:rsid w:val="75CF75AB"/>
    <w:rsid w:val="75D20F1D"/>
    <w:rsid w:val="75DA2C18"/>
    <w:rsid w:val="75E713C0"/>
    <w:rsid w:val="75EE03DC"/>
    <w:rsid w:val="75F54412"/>
    <w:rsid w:val="761D08E0"/>
    <w:rsid w:val="76357D00"/>
    <w:rsid w:val="765D347C"/>
    <w:rsid w:val="76787555"/>
    <w:rsid w:val="76826699"/>
    <w:rsid w:val="76C87133"/>
    <w:rsid w:val="76CD08D5"/>
    <w:rsid w:val="76D127D4"/>
    <w:rsid w:val="76DB4B92"/>
    <w:rsid w:val="77017403"/>
    <w:rsid w:val="77052AA4"/>
    <w:rsid w:val="77136511"/>
    <w:rsid w:val="77340A39"/>
    <w:rsid w:val="77351FD0"/>
    <w:rsid w:val="77472422"/>
    <w:rsid w:val="77533854"/>
    <w:rsid w:val="777F31F2"/>
    <w:rsid w:val="77930DBD"/>
    <w:rsid w:val="77D1700D"/>
    <w:rsid w:val="77DB48EE"/>
    <w:rsid w:val="77EC04CC"/>
    <w:rsid w:val="77EF5AEB"/>
    <w:rsid w:val="77F83E94"/>
    <w:rsid w:val="78006D3F"/>
    <w:rsid w:val="781A1DFC"/>
    <w:rsid w:val="787521F4"/>
    <w:rsid w:val="78775729"/>
    <w:rsid w:val="78A42DB0"/>
    <w:rsid w:val="78A656AB"/>
    <w:rsid w:val="78B2245C"/>
    <w:rsid w:val="78E172CC"/>
    <w:rsid w:val="78EA1D1F"/>
    <w:rsid w:val="78F93394"/>
    <w:rsid w:val="78FD6DDA"/>
    <w:rsid w:val="7904172F"/>
    <w:rsid w:val="790F7E27"/>
    <w:rsid w:val="792A231A"/>
    <w:rsid w:val="79316829"/>
    <w:rsid w:val="793B0768"/>
    <w:rsid w:val="796717C9"/>
    <w:rsid w:val="79715C01"/>
    <w:rsid w:val="797E66A9"/>
    <w:rsid w:val="79A97383"/>
    <w:rsid w:val="79D21CD2"/>
    <w:rsid w:val="79D242B3"/>
    <w:rsid w:val="79DD2640"/>
    <w:rsid w:val="79E27E8B"/>
    <w:rsid w:val="79F850CE"/>
    <w:rsid w:val="79FD443C"/>
    <w:rsid w:val="7A0E370F"/>
    <w:rsid w:val="7A1D1975"/>
    <w:rsid w:val="7A3C6C9B"/>
    <w:rsid w:val="7A3E5150"/>
    <w:rsid w:val="7A4670D6"/>
    <w:rsid w:val="7A4C24CB"/>
    <w:rsid w:val="7A4F2AA8"/>
    <w:rsid w:val="7A534B63"/>
    <w:rsid w:val="7A615382"/>
    <w:rsid w:val="7A67303B"/>
    <w:rsid w:val="7AAB1D04"/>
    <w:rsid w:val="7ABA4368"/>
    <w:rsid w:val="7AD05746"/>
    <w:rsid w:val="7B113533"/>
    <w:rsid w:val="7B257FFD"/>
    <w:rsid w:val="7B343476"/>
    <w:rsid w:val="7B3A5073"/>
    <w:rsid w:val="7B3F7158"/>
    <w:rsid w:val="7B5A2978"/>
    <w:rsid w:val="7B5A7E4C"/>
    <w:rsid w:val="7B667AF9"/>
    <w:rsid w:val="7B7468F8"/>
    <w:rsid w:val="7BB3231A"/>
    <w:rsid w:val="7BB6739F"/>
    <w:rsid w:val="7BEE0103"/>
    <w:rsid w:val="7C0A0FE4"/>
    <w:rsid w:val="7C254906"/>
    <w:rsid w:val="7C424A12"/>
    <w:rsid w:val="7C590818"/>
    <w:rsid w:val="7C7037C2"/>
    <w:rsid w:val="7C764345"/>
    <w:rsid w:val="7C7C10F6"/>
    <w:rsid w:val="7C853BEA"/>
    <w:rsid w:val="7C881368"/>
    <w:rsid w:val="7CE27788"/>
    <w:rsid w:val="7CE56A95"/>
    <w:rsid w:val="7D0C32F1"/>
    <w:rsid w:val="7D0F408D"/>
    <w:rsid w:val="7D491C6C"/>
    <w:rsid w:val="7D5429C0"/>
    <w:rsid w:val="7D6E6D43"/>
    <w:rsid w:val="7D8B2C3C"/>
    <w:rsid w:val="7DAC3CA8"/>
    <w:rsid w:val="7DB57A34"/>
    <w:rsid w:val="7DD2306B"/>
    <w:rsid w:val="7DD77101"/>
    <w:rsid w:val="7DE60973"/>
    <w:rsid w:val="7DE75AA1"/>
    <w:rsid w:val="7DEE13E8"/>
    <w:rsid w:val="7DEE5506"/>
    <w:rsid w:val="7DEF0916"/>
    <w:rsid w:val="7E0368A3"/>
    <w:rsid w:val="7E1E5218"/>
    <w:rsid w:val="7E3E195D"/>
    <w:rsid w:val="7E6B60AA"/>
    <w:rsid w:val="7E9A4E1F"/>
    <w:rsid w:val="7EA7723A"/>
    <w:rsid w:val="7EF56FBB"/>
    <w:rsid w:val="7EFA002D"/>
    <w:rsid w:val="7F0768EB"/>
    <w:rsid w:val="7F143BEC"/>
    <w:rsid w:val="7F1A7159"/>
    <w:rsid w:val="7F715AF2"/>
    <w:rsid w:val="7F886E69"/>
    <w:rsid w:val="7F8F7E3F"/>
    <w:rsid w:val="7F977A1B"/>
    <w:rsid w:val="7FF87E3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3"/>
    <w:autoRedefine/>
    <w:qFormat/>
    <w:uiPriority w:val="0"/>
    <w:pPr>
      <w:ind w:firstLine="420"/>
    </w:pPr>
    <w:rPr>
      <w:rFonts w:hAnsi="Calibri"/>
      <w:szCs w:val="20"/>
    </w:rPr>
  </w:style>
  <w:style w:type="paragraph" w:styleId="25">
    <w:name w:val="Body Text Indent"/>
    <w:basedOn w:val="1"/>
    <w:next w:val="15"/>
    <w:link w:val="267"/>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 w:val="24"/>
      <w:szCs w:val="21"/>
      <w:lang w:val="zh-CN"/>
    </w:rPr>
  </w:style>
  <w:style w:type="paragraph" w:styleId="37">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5"/>
    <w:autoRedefine/>
    <w:qFormat/>
    <w:uiPriority w:val="99"/>
    <w:pPr>
      <w:tabs>
        <w:tab w:val="center" w:pos="4153"/>
        <w:tab w:val="right" w:pos="8306"/>
      </w:tabs>
      <w:snapToGrid w:val="0"/>
      <w:jc w:val="left"/>
    </w:pPr>
    <w:rPr>
      <w:sz w:val="18"/>
      <w:szCs w:val="18"/>
    </w:rPr>
  </w:style>
  <w:style w:type="paragraph" w:styleId="41">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39"/>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0"/>
    <w:autoRedefine/>
    <w:qFormat/>
    <w:uiPriority w:val="0"/>
    <w:rPr>
      <w:b/>
      <w:bCs/>
    </w:rPr>
  </w:style>
  <w:style w:type="paragraph" w:styleId="61">
    <w:name w:val="Body Text First Indent 2"/>
    <w:basedOn w:val="25"/>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basedOn w:val="69"/>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paragraph" w:customStyle="1" w:styleId="79">
    <w:name w:val="Char"/>
    <w:basedOn w:val="1"/>
    <w:autoRedefine/>
    <w:qFormat/>
    <w:uiPriority w:val="0"/>
    <w:rPr>
      <w:rFonts w:ascii="仿宋_GB2312" w:eastAsia="仿宋_GB2312"/>
      <w:b/>
      <w:sz w:val="32"/>
      <w:szCs w:val="32"/>
    </w:rPr>
  </w:style>
  <w:style w:type="paragraph" w:customStyle="1" w:styleId="80">
    <w:name w:val="[Normal]"/>
    <w:autoRedefine/>
    <w:qFormat/>
    <w:uiPriority w:val="0"/>
    <w:rPr>
      <w:rFonts w:ascii="宋体" w:hAnsi="宋体" w:eastAsia="宋体" w:cs="Times New Roman"/>
      <w:sz w:val="24"/>
      <w:szCs w:val="22"/>
      <w:lang w:val="zh-CN" w:eastAsia="zh-CN" w:bidi="ar-SA"/>
    </w:rPr>
  </w:style>
  <w:style w:type="character" w:customStyle="1" w:styleId="81">
    <w:name w:val="标题 2 Char"/>
    <w:autoRedefine/>
    <w:qFormat/>
    <w:uiPriority w:val="0"/>
    <w:rPr>
      <w:rFonts w:ascii="Arial" w:hAnsi="Arial" w:eastAsia="黑体"/>
      <w:b/>
      <w:kern w:val="2"/>
      <w:sz w:val="32"/>
      <w:lang w:val="en-US" w:eastAsia="zh-CN"/>
    </w:rPr>
  </w:style>
  <w:style w:type="character" w:customStyle="1" w:styleId="82">
    <w:name w:val="标题 4 Char"/>
    <w:autoRedefine/>
    <w:qFormat/>
    <w:uiPriority w:val="0"/>
    <w:rPr>
      <w:rFonts w:ascii="Arial" w:hAnsi="Arial" w:eastAsia="黑体"/>
      <w:b/>
      <w:kern w:val="2"/>
      <w:sz w:val="28"/>
    </w:rPr>
  </w:style>
  <w:style w:type="paragraph" w:customStyle="1" w:styleId="83">
    <w:name w:val="正文空2字"/>
    <w:basedOn w:val="84"/>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autoRedefine/>
    <w:qFormat/>
    <w:uiPriority w:val="99"/>
    <w:rPr>
      <w:rFonts w:ascii="Calibri" w:hAnsi="Calibri" w:eastAsia="仿宋_GB2312" w:cs="Calibri"/>
      <w:kern w:val="2"/>
      <w:sz w:val="32"/>
      <w:szCs w:val="32"/>
      <w:lang w:val="en-US" w:eastAsia="zh-CN" w:bidi="ar-SA"/>
    </w:rPr>
  </w:style>
  <w:style w:type="paragraph" w:customStyle="1" w:styleId="8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basedOn w:val="69"/>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7"/>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6"/>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2"/>
    <w:autoRedefine/>
    <w:qFormat/>
    <w:uiPriority w:val="0"/>
    <w:rPr>
      <w:rFonts w:ascii="仿宋_GB2312" w:hAnsi="仿宋" w:eastAsia="仿宋_GB2312" w:cs="仿宋_GB2312"/>
      <w:sz w:val="32"/>
      <w:szCs w:val="30"/>
      <w:lang w:val="zh-CN"/>
    </w:rPr>
  </w:style>
  <w:style w:type="character" w:customStyle="1" w:styleId="221">
    <w:name w:val="HTML 地址 Char"/>
    <w:link w:val="30"/>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9"/>
    <w:autoRedefine/>
    <w:qFormat/>
    <w:uiPriority w:val="10"/>
    <w:rPr>
      <w:b/>
      <w:sz w:val="24"/>
      <w:lang w:val="en-GB"/>
    </w:rPr>
  </w:style>
  <w:style w:type="character" w:customStyle="1" w:styleId="289">
    <w:name w:val="font81"/>
    <w:basedOn w:val="69"/>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7"/>
    <w:autoRedefine/>
    <w:qFormat/>
    <w:uiPriority w:val="0"/>
    <w:rPr>
      <w:rFonts w:ascii="黑体" w:hAnsi="Courier New" w:eastAsia="黑体"/>
    </w:rPr>
  </w:style>
  <w:style w:type="character" w:customStyle="1" w:styleId="304">
    <w:name w:val="正文文本 2 Char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4"/>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0"/>
    <w:rPr>
      <w:kern w:val="2"/>
      <w:sz w:val="21"/>
      <w:szCs w:val="24"/>
    </w:rPr>
  </w:style>
  <w:style w:type="character" w:customStyle="1" w:styleId="347">
    <w:name w:val="签名 Char"/>
    <w:link w:val="42"/>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basedOn w:val="69"/>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0"/>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1"/>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441"/>
    <w:next w:val="441"/>
    <w:autoRedefine/>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41">
    <w:name w:val="第一部分"/>
    <w:basedOn w:val="1"/>
    <w:autoRedefine/>
    <w:qFormat/>
    <w:uiPriority w:val="0"/>
    <w:pPr>
      <w:jc w:val="center"/>
    </w:pPr>
    <w:rPr>
      <w:b/>
      <w:sz w:val="36"/>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next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33"/>
    <w:next w:val="23"/>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7"/>
    <w:next w:val="237"/>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6"/>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1"/>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字符"/>
    <w:link w:val="486"/>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大标题"/>
    <w:basedOn w:val="440"/>
    <w:autoRedefine/>
    <w:qFormat/>
    <w:uiPriority w:val="0"/>
    <w:rPr>
      <w:szCs w:val="36"/>
    </w:rPr>
  </w:style>
  <w:style w:type="paragraph" w:customStyle="1" w:styleId="966">
    <w:name w:val="WPSOffice手动目录 1"/>
    <w:autoRedefine/>
    <w:qFormat/>
    <w:uiPriority w:val="0"/>
    <w:rPr>
      <w:rFonts w:ascii="Times New Roman" w:hAnsi="Times New Roman" w:eastAsia="宋体" w:cs="Times New Roman"/>
      <w:lang w:val="en-US" w:eastAsia="zh-CN" w:bidi="ar-SA"/>
    </w:rPr>
  </w:style>
  <w:style w:type="paragraph" w:customStyle="1" w:styleId="967">
    <w:name w:val="Style1"/>
    <w:autoRedefine/>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8">
    <w:name w:val="Body text|1"/>
    <w:basedOn w:val="1"/>
    <w:autoRedefine/>
    <w:qFormat/>
    <w:uiPriority w:val="0"/>
    <w:pPr>
      <w:spacing w:line="480" w:lineRule="auto"/>
      <w:ind w:firstLine="140"/>
    </w:pPr>
    <w:rPr>
      <w:rFonts w:ascii="宋体" w:hAnsi="宋体" w:cs="宋体"/>
      <w:sz w:val="22"/>
      <w:szCs w:val="22"/>
      <w:lang w:val="zh-TW" w:eastAsia="zh-TW" w:bidi="zh-TW"/>
    </w:rPr>
  </w:style>
  <w:style w:type="character" w:customStyle="1" w:styleId="969">
    <w:name w:val="标题 2 字符1"/>
    <w:autoRedefine/>
    <w:qFormat/>
    <w:uiPriority w:val="0"/>
    <w:rPr>
      <w:rFonts w:ascii="Arial" w:hAnsi="Arial" w:eastAsia="宋体"/>
      <w:b/>
      <w:bCs/>
      <w:kern w:val="2"/>
      <w:sz w:val="28"/>
      <w:szCs w:val="32"/>
      <w:lang w:val="en-US" w:eastAsia="zh-CN" w:bidi="ar-SA"/>
    </w:rPr>
  </w:style>
  <w:style w:type="character" w:customStyle="1" w:styleId="970">
    <w:name w:val="font161"/>
    <w:basedOn w:val="69"/>
    <w:autoRedefine/>
    <w:qFormat/>
    <w:uiPriority w:val="0"/>
    <w:rPr>
      <w:rFonts w:hint="eastAsia" w:ascii="宋体" w:hAnsi="宋体" w:eastAsia="宋体" w:cs="宋体"/>
      <w:color w:val="FF0000"/>
      <w:sz w:val="20"/>
      <w:szCs w:val="20"/>
      <w:u w:val="none"/>
    </w:rPr>
  </w:style>
  <w:style w:type="character" w:customStyle="1" w:styleId="971">
    <w:name w:val="style13"/>
    <w:autoRedefine/>
    <w:qFormat/>
    <w:uiPriority w:val="0"/>
  </w:style>
  <w:style w:type="paragraph" w:customStyle="1" w:styleId="972">
    <w:name w:val="一级标题"/>
    <w:basedOn w:val="1"/>
    <w:autoRedefine/>
    <w:qFormat/>
    <w:uiPriority w:val="0"/>
    <w:pPr>
      <w:spacing w:line="360" w:lineRule="auto"/>
      <w:outlineLvl w:val="0"/>
    </w:pPr>
    <w:rPr>
      <w:rFonts w:ascii="仿宋" w:hAnsi="仿宋" w:eastAsia="仿宋" w:cs="仿宋_GB2312"/>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customXml" Target="../customXml/item2.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27.png"/><Relationship Id="rId5" Type="http://schemas.openxmlformats.org/officeDocument/2006/relationships/footer" Target="footer1.xml"/><Relationship Id="rId49" Type="http://schemas.openxmlformats.org/officeDocument/2006/relationships/image" Target="media/image26.png"/><Relationship Id="rId48" Type="http://schemas.openxmlformats.org/officeDocument/2006/relationships/image" Target="media/image25.png"/><Relationship Id="rId47" Type="http://schemas.openxmlformats.org/officeDocument/2006/relationships/image" Target="media/image24.png"/><Relationship Id="rId46" Type="http://schemas.openxmlformats.org/officeDocument/2006/relationships/image" Target="media/image23.png"/><Relationship Id="rId45" Type="http://schemas.openxmlformats.org/officeDocument/2006/relationships/image" Target="media/image22.png"/><Relationship Id="rId44" Type="http://schemas.openxmlformats.org/officeDocument/2006/relationships/image" Target="media/image21.png"/><Relationship Id="rId43" Type="http://schemas.openxmlformats.org/officeDocument/2006/relationships/image" Target="media/image20.png"/><Relationship Id="rId42" Type="http://schemas.openxmlformats.org/officeDocument/2006/relationships/image" Target="media/image19.png"/><Relationship Id="rId41" Type="http://schemas.openxmlformats.org/officeDocument/2006/relationships/image" Target="media/image18.png"/><Relationship Id="rId40" Type="http://schemas.openxmlformats.org/officeDocument/2006/relationships/image" Target="media/image17.png"/><Relationship Id="rId4" Type="http://schemas.openxmlformats.org/officeDocument/2006/relationships/header" Target="header2.xml"/><Relationship Id="rId39" Type="http://schemas.openxmlformats.org/officeDocument/2006/relationships/image" Target="media/image16.jpeg"/><Relationship Id="rId38" Type="http://schemas.openxmlformats.org/officeDocument/2006/relationships/image" Target="media/image15.png"/><Relationship Id="rId37" Type="http://schemas.openxmlformats.org/officeDocument/2006/relationships/image" Target="media/image14.png"/><Relationship Id="rId36" Type="http://schemas.openxmlformats.org/officeDocument/2006/relationships/image" Target="media/image13.png"/><Relationship Id="rId35" Type="http://schemas.openxmlformats.org/officeDocument/2006/relationships/image" Target="media/image12.png"/><Relationship Id="rId34" Type="http://schemas.openxmlformats.org/officeDocument/2006/relationships/image" Target="media/image11.png"/><Relationship Id="rId33" Type="http://schemas.openxmlformats.org/officeDocument/2006/relationships/image" Target="media/image10.png"/><Relationship Id="rId32" Type="http://schemas.openxmlformats.org/officeDocument/2006/relationships/image" Target="media/image9.png"/><Relationship Id="rId31" Type="http://schemas.openxmlformats.org/officeDocument/2006/relationships/image" Target="media/image8.png"/><Relationship Id="rId30" Type="http://schemas.openxmlformats.org/officeDocument/2006/relationships/image" Target="media/image7.png"/><Relationship Id="rId3" Type="http://schemas.openxmlformats.org/officeDocument/2006/relationships/header" Target="header1.xml"/><Relationship Id="rId29"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3DCA0-073B-4297-8DDA-1FADA4E522E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105</Pages>
  <Words>11400</Words>
  <Characters>64985</Characters>
  <Lines>541</Lines>
  <Paragraphs>152</Paragraphs>
  <TotalTime>35</TotalTime>
  <ScaleCrop>false</ScaleCrop>
  <LinksUpToDate>false</LinksUpToDate>
  <CharactersWithSpaces>76233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2023-05-04T01:25:00Z</dcterms:created>
  <dc:creator>玥</dc:creator>
  <cp:lastModifiedBy>user</cp:lastModifiedBy>
  <cp:lastPrinted>2023-12-22T07:45:00Z</cp:lastPrinted>
  <dcterms:modified xsi:type="dcterms:W3CDTF">2024-03-29T14:56:46Z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ED0C44540D6C411F8F4031A6189DFCAD_13</vt:lpwstr>
  </property>
</Properties>
</file>