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hint="eastAsia" w:ascii="仿宋" w:hAnsi="仿宋" w:eastAsia="仿宋" w:cs="仿宋"/>
          <w:b/>
          <w:color w:val="auto"/>
          <w:sz w:val="24"/>
          <w:highlight w:val="none"/>
        </w:rPr>
      </w:pPr>
    </w:p>
    <w:p>
      <w:pPr>
        <w:wordWrap w:val="0"/>
        <w:spacing w:line="360" w:lineRule="auto"/>
        <w:jc w:val="center"/>
        <w:rPr>
          <w:rFonts w:hint="eastAsia" w:ascii="仿宋" w:hAnsi="仿宋" w:eastAsia="仿宋" w:cs="仿宋"/>
          <w:b/>
          <w:color w:val="auto"/>
          <w:sz w:val="24"/>
          <w:highlight w:val="none"/>
        </w:rPr>
      </w:pPr>
    </w:p>
    <w:p>
      <w:pPr>
        <w:wordWrap w:val="0"/>
        <w:adjustRightInd/>
        <w:spacing w:line="360" w:lineRule="auto"/>
        <w:jc w:val="center"/>
        <w:rPr>
          <w:rFonts w:hint="eastAsia" w:ascii="仿宋" w:hAnsi="仿宋" w:eastAsia="仿宋" w:cs="仿宋"/>
          <w:b/>
          <w:color w:val="auto"/>
          <w:sz w:val="44"/>
          <w:szCs w:val="44"/>
          <w:highlight w:val="none"/>
        </w:rPr>
      </w:pPr>
      <w:bookmarkStart w:id="645" w:name="_GoBack"/>
      <w:bookmarkEnd w:id="645"/>
    </w:p>
    <w:p>
      <w:pPr>
        <w:wordWrap w:val="0"/>
        <w:spacing w:line="360" w:lineRule="auto"/>
        <w:jc w:val="center"/>
        <w:rPr>
          <w:rFonts w:hint="eastAsia" w:ascii="仿宋" w:hAnsi="仿宋" w:eastAsia="仿宋" w:cs="仿宋"/>
          <w:b/>
          <w:color w:val="auto"/>
          <w:sz w:val="44"/>
          <w:szCs w:val="44"/>
          <w:highlight w:val="none"/>
        </w:rPr>
      </w:pPr>
    </w:p>
    <w:p>
      <w:pPr>
        <w:wordWrap w:val="0"/>
        <w:jc w:val="center"/>
        <w:rPr>
          <w:rFonts w:hint="eastAsia" w:ascii="仿宋" w:hAnsi="仿宋" w:eastAsia="仿宋" w:cs="仿宋"/>
          <w:b/>
          <w:color w:val="auto"/>
          <w:sz w:val="84"/>
          <w:szCs w:val="84"/>
          <w:highlight w:val="none"/>
        </w:rPr>
      </w:pPr>
      <w:r>
        <w:rPr>
          <w:rFonts w:hint="eastAsia" w:ascii="仿宋" w:hAnsi="仿宋" w:eastAsia="仿宋" w:cs="仿宋"/>
          <w:b/>
          <w:color w:val="auto"/>
          <w:sz w:val="36"/>
          <w:szCs w:val="36"/>
          <w:highlight w:val="none"/>
        </w:rPr>
        <w:t xml:space="preserve"> </w:t>
      </w:r>
      <w:r>
        <w:rPr>
          <w:rFonts w:hint="eastAsia" w:ascii="仿宋" w:hAnsi="仿宋" w:eastAsia="仿宋" w:cs="仿宋"/>
          <w:b/>
          <w:color w:val="auto"/>
          <w:sz w:val="72"/>
          <w:szCs w:val="72"/>
          <w:highlight w:val="none"/>
        </w:rPr>
        <w:t>政府采购公开招标文件</w:t>
      </w:r>
    </w:p>
    <w:p>
      <w:pPr>
        <w:widowControl/>
        <w:wordWrap w:val="0"/>
        <w:jc w:val="center"/>
        <w:rPr>
          <w:rFonts w:hint="eastAsia" w:ascii="仿宋" w:hAnsi="仿宋" w:eastAsia="仿宋" w:cs="仿宋"/>
          <w:b/>
          <w:color w:val="auto"/>
          <w:sz w:val="44"/>
          <w:szCs w:val="44"/>
          <w:highlight w:val="none"/>
        </w:rPr>
      </w:pPr>
    </w:p>
    <w:p>
      <w:pPr>
        <w:widowControl/>
        <w:wordWrap w:val="0"/>
        <w:jc w:val="center"/>
        <w:rPr>
          <w:rFonts w:hint="eastAsia" w:ascii="仿宋" w:hAnsi="仿宋" w:eastAsia="仿宋" w:cs="仿宋"/>
          <w:b/>
          <w:color w:val="auto"/>
          <w:sz w:val="44"/>
          <w:szCs w:val="44"/>
          <w:highlight w:val="none"/>
        </w:rPr>
      </w:pPr>
    </w:p>
    <w:p>
      <w:pPr>
        <w:widowControl/>
        <w:wordWrap w:val="0"/>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tbl>
      <w:tblPr>
        <w:tblStyle w:val="62"/>
        <w:tblpPr w:leftFromText="180" w:rightFromText="180" w:vertAnchor="text" w:horzAnchor="page" w:tblpX="2004" w:tblpY="441"/>
        <w:tblOverlap w:val="never"/>
        <w:tblW w:w="7607" w:type="dxa"/>
        <w:tblInd w:w="0" w:type="dxa"/>
        <w:tblLayout w:type="fixed"/>
        <w:tblCellMar>
          <w:top w:w="0" w:type="dxa"/>
          <w:left w:w="108" w:type="dxa"/>
          <w:bottom w:w="0" w:type="dxa"/>
          <w:right w:w="108" w:type="dxa"/>
        </w:tblCellMar>
      </w:tblPr>
      <w:tblGrid>
        <w:gridCol w:w="1926"/>
        <w:gridCol w:w="5681"/>
      </w:tblGrid>
      <w:tr>
        <w:tblPrEx>
          <w:tblCellMar>
            <w:top w:w="0" w:type="dxa"/>
            <w:left w:w="108" w:type="dxa"/>
            <w:bottom w:w="0" w:type="dxa"/>
            <w:right w:w="108" w:type="dxa"/>
          </w:tblCellMar>
        </w:tblPrEx>
        <w:trPr>
          <w:trHeight w:val="1213" w:hRule="atLeast"/>
        </w:trPr>
        <w:tc>
          <w:tcPr>
            <w:tcW w:w="1926" w:type="dxa"/>
            <w:vAlign w:val="center"/>
          </w:tcPr>
          <w:p>
            <w:pPr>
              <w:wordWrap w:val="0"/>
              <w:spacing w:line="440" w:lineRule="exact"/>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项目名称：</w:t>
            </w:r>
          </w:p>
        </w:tc>
        <w:tc>
          <w:tcPr>
            <w:tcW w:w="5681" w:type="dxa"/>
            <w:vAlign w:val="center"/>
          </w:tcPr>
          <w:p>
            <w:pPr>
              <w:pStyle w:val="33"/>
              <w:wordWrap w:val="0"/>
              <w:snapToGrid w:val="0"/>
              <w:spacing w:line="440" w:lineRule="exact"/>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杭州学军中学桐庐学校竣工配套设施设备（体育设施及器材）项目</w:t>
            </w:r>
          </w:p>
        </w:tc>
      </w:tr>
      <w:tr>
        <w:tblPrEx>
          <w:tblCellMar>
            <w:top w:w="0" w:type="dxa"/>
            <w:left w:w="108" w:type="dxa"/>
            <w:bottom w:w="0" w:type="dxa"/>
            <w:right w:w="108" w:type="dxa"/>
          </w:tblCellMar>
        </w:tblPrEx>
        <w:trPr>
          <w:trHeight w:val="1213" w:hRule="atLeast"/>
        </w:trPr>
        <w:tc>
          <w:tcPr>
            <w:tcW w:w="1926" w:type="dxa"/>
            <w:vAlign w:val="center"/>
          </w:tcPr>
          <w:p>
            <w:pPr>
              <w:wordWrap w:val="0"/>
              <w:spacing w:line="440" w:lineRule="exact"/>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项目编号：</w:t>
            </w:r>
          </w:p>
        </w:tc>
        <w:tc>
          <w:tcPr>
            <w:tcW w:w="5681" w:type="dxa"/>
            <w:vAlign w:val="center"/>
          </w:tcPr>
          <w:p>
            <w:pPr>
              <w:wordWrap w:val="0"/>
              <w:spacing w:line="440" w:lineRule="exact"/>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HZGJ-XJZX2024-05</w:t>
            </w:r>
          </w:p>
        </w:tc>
      </w:tr>
    </w:tbl>
    <w:p>
      <w:pPr>
        <w:wordWrap w:val="0"/>
        <w:spacing w:line="440" w:lineRule="exact"/>
        <w:jc w:val="center"/>
        <w:rPr>
          <w:rFonts w:hint="eastAsia" w:ascii="仿宋" w:hAnsi="仿宋" w:eastAsia="仿宋" w:cs="仿宋"/>
          <w:b/>
          <w:color w:val="auto"/>
          <w:sz w:val="24"/>
          <w:highlight w:val="none"/>
        </w:rPr>
      </w:pPr>
    </w:p>
    <w:p>
      <w:pPr>
        <w:wordWrap w:val="0"/>
        <w:spacing w:line="440" w:lineRule="exact"/>
        <w:jc w:val="center"/>
        <w:rPr>
          <w:rFonts w:hint="eastAsia" w:ascii="仿宋" w:hAnsi="仿宋" w:eastAsia="仿宋" w:cs="仿宋"/>
          <w:color w:val="auto"/>
          <w:kern w:val="0"/>
          <w:sz w:val="24"/>
          <w:highlight w:val="none"/>
        </w:rPr>
      </w:pPr>
    </w:p>
    <w:p>
      <w:pPr>
        <w:wordWrap w:val="0"/>
        <w:spacing w:line="440" w:lineRule="exact"/>
        <w:jc w:val="center"/>
        <w:rPr>
          <w:rFonts w:hint="eastAsia" w:ascii="仿宋" w:hAnsi="仿宋" w:eastAsia="仿宋" w:cs="仿宋"/>
          <w:color w:val="auto"/>
          <w:sz w:val="24"/>
          <w:highlight w:val="none"/>
        </w:rPr>
      </w:pPr>
    </w:p>
    <w:p>
      <w:pPr>
        <w:wordWrap w:val="0"/>
        <w:spacing w:line="440" w:lineRule="exact"/>
        <w:jc w:val="center"/>
        <w:rPr>
          <w:rFonts w:hint="eastAsia" w:ascii="仿宋" w:hAnsi="仿宋" w:eastAsia="仿宋" w:cs="仿宋"/>
          <w:color w:val="auto"/>
          <w:sz w:val="24"/>
          <w:highlight w:val="none"/>
        </w:rPr>
      </w:pPr>
    </w:p>
    <w:p>
      <w:pPr>
        <w:wordWrap w:val="0"/>
        <w:spacing w:line="440" w:lineRule="exact"/>
        <w:jc w:val="center"/>
        <w:rPr>
          <w:rFonts w:hint="eastAsia" w:ascii="仿宋" w:hAnsi="仿宋" w:eastAsia="仿宋" w:cs="仿宋"/>
          <w:color w:val="auto"/>
          <w:sz w:val="24"/>
          <w:highlight w:val="none"/>
        </w:rPr>
      </w:pPr>
    </w:p>
    <w:p>
      <w:pPr>
        <w:wordWrap w:val="0"/>
        <w:spacing w:line="440" w:lineRule="exact"/>
        <w:jc w:val="center"/>
        <w:rPr>
          <w:rFonts w:hint="eastAsia" w:ascii="仿宋" w:hAnsi="仿宋" w:eastAsia="仿宋" w:cs="仿宋"/>
          <w:color w:val="auto"/>
          <w:sz w:val="24"/>
          <w:highlight w:val="none"/>
        </w:rPr>
      </w:pPr>
    </w:p>
    <w:p>
      <w:pPr>
        <w:pStyle w:val="81"/>
        <w:wordWrap w:val="0"/>
        <w:spacing w:line="440" w:lineRule="exact"/>
        <w:rPr>
          <w:rFonts w:hint="eastAsia" w:ascii="仿宋" w:hAnsi="仿宋" w:eastAsia="仿宋" w:cs="仿宋"/>
          <w:color w:val="auto"/>
          <w:szCs w:val="24"/>
          <w:highlight w:val="none"/>
        </w:rPr>
      </w:pPr>
    </w:p>
    <w:p>
      <w:pPr>
        <w:pStyle w:val="81"/>
        <w:wordWrap w:val="0"/>
        <w:spacing w:line="440" w:lineRule="exact"/>
        <w:rPr>
          <w:rFonts w:hint="eastAsia" w:ascii="仿宋" w:hAnsi="仿宋" w:eastAsia="仿宋" w:cs="仿宋"/>
          <w:color w:val="auto"/>
          <w:szCs w:val="24"/>
          <w:highlight w:val="none"/>
        </w:rPr>
      </w:pPr>
    </w:p>
    <w:p>
      <w:pPr>
        <w:pStyle w:val="81"/>
        <w:wordWrap w:val="0"/>
        <w:spacing w:line="440" w:lineRule="exact"/>
        <w:rPr>
          <w:rFonts w:hint="eastAsia" w:ascii="仿宋" w:hAnsi="仿宋" w:eastAsia="仿宋" w:cs="仿宋"/>
          <w:color w:val="auto"/>
          <w:szCs w:val="24"/>
          <w:highlight w:val="none"/>
        </w:rPr>
      </w:pPr>
    </w:p>
    <w:p>
      <w:pPr>
        <w:pStyle w:val="81"/>
        <w:wordWrap w:val="0"/>
        <w:spacing w:line="440" w:lineRule="exact"/>
        <w:rPr>
          <w:rFonts w:hint="eastAsia" w:ascii="仿宋" w:hAnsi="仿宋" w:eastAsia="仿宋" w:cs="仿宋"/>
          <w:color w:val="auto"/>
          <w:szCs w:val="24"/>
          <w:highlight w:val="none"/>
        </w:rPr>
      </w:pPr>
    </w:p>
    <w:tbl>
      <w:tblPr>
        <w:tblStyle w:val="62"/>
        <w:tblW w:w="9399" w:type="dxa"/>
        <w:jc w:val="center"/>
        <w:tblLayout w:type="fixed"/>
        <w:tblCellMar>
          <w:top w:w="0" w:type="dxa"/>
          <w:left w:w="108" w:type="dxa"/>
          <w:bottom w:w="0" w:type="dxa"/>
          <w:right w:w="108" w:type="dxa"/>
        </w:tblCellMar>
      </w:tblPr>
      <w:tblGrid>
        <w:gridCol w:w="2750"/>
        <w:gridCol w:w="6649"/>
      </w:tblGrid>
      <w:tr>
        <w:tblPrEx>
          <w:tblCellMar>
            <w:top w:w="0" w:type="dxa"/>
            <w:left w:w="108" w:type="dxa"/>
            <w:bottom w:w="0" w:type="dxa"/>
            <w:right w:w="108" w:type="dxa"/>
          </w:tblCellMar>
        </w:tblPrEx>
        <w:trPr>
          <w:trHeight w:val="858" w:hRule="atLeast"/>
          <w:jc w:val="center"/>
        </w:trPr>
        <w:tc>
          <w:tcPr>
            <w:tcW w:w="2750" w:type="dxa"/>
            <w:vAlign w:val="center"/>
          </w:tcPr>
          <w:p>
            <w:pPr>
              <w:wordWrap w:val="0"/>
              <w:spacing w:line="440" w:lineRule="exact"/>
              <w:ind w:firstLine="723" w:firstLineChars="200"/>
              <w:jc w:val="both"/>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采购人</w:t>
            </w:r>
          </w:p>
          <w:p>
            <w:pPr>
              <w:wordWrap w:val="0"/>
              <w:spacing w:line="440" w:lineRule="exact"/>
              <w:jc w:val="center"/>
              <w:rPr>
                <w:rFonts w:hint="eastAsia" w:ascii="仿宋" w:hAnsi="仿宋" w:eastAsia="仿宋" w:cs="仿宋"/>
                <w:color w:val="auto"/>
                <w:sz w:val="36"/>
                <w:szCs w:val="36"/>
                <w:highlight w:val="none"/>
              </w:rPr>
            </w:pPr>
            <w:r>
              <w:rPr>
                <w:rFonts w:hint="eastAsia" w:ascii="仿宋" w:hAnsi="仿宋" w:eastAsia="仿宋" w:cs="仿宋"/>
                <w:b/>
                <w:bCs/>
                <w:color w:val="auto"/>
                <w:sz w:val="36"/>
                <w:szCs w:val="36"/>
                <w:highlight w:val="none"/>
              </w:rPr>
              <w:t>（招标人）：</w:t>
            </w:r>
          </w:p>
        </w:tc>
        <w:tc>
          <w:tcPr>
            <w:tcW w:w="6649" w:type="dxa"/>
            <w:vAlign w:val="center"/>
          </w:tcPr>
          <w:p>
            <w:pPr>
              <w:pStyle w:val="33"/>
              <w:wordWrap w:val="0"/>
              <w:snapToGrid w:val="0"/>
              <w:spacing w:line="440" w:lineRule="exact"/>
              <w:rPr>
                <w:rFonts w:hint="eastAsia" w:ascii="仿宋" w:hAnsi="仿宋" w:eastAsia="仿宋" w:cs="仿宋"/>
                <w:color w:val="auto"/>
                <w:sz w:val="36"/>
                <w:szCs w:val="36"/>
                <w:highlight w:val="none"/>
                <w:lang w:eastAsia="zh-CN"/>
              </w:rPr>
            </w:pPr>
            <w:r>
              <w:rPr>
                <w:rFonts w:hint="eastAsia" w:ascii="仿宋" w:hAnsi="仿宋" w:eastAsia="仿宋" w:cs="仿宋"/>
                <w:b/>
                <w:bCs/>
                <w:color w:val="auto"/>
                <w:sz w:val="36"/>
                <w:szCs w:val="36"/>
                <w:highlight w:val="none"/>
                <w:lang w:eastAsia="zh-CN"/>
              </w:rPr>
              <w:t>杭州学军中学桐庐学校</w:t>
            </w:r>
          </w:p>
        </w:tc>
      </w:tr>
      <w:tr>
        <w:tblPrEx>
          <w:tblCellMar>
            <w:top w:w="0" w:type="dxa"/>
            <w:left w:w="108" w:type="dxa"/>
            <w:bottom w:w="0" w:type="dxa"/>
            <w:right w:w="108" w:type="dxa"/>
          </w:tblCellMar>
        </w:tblPrEx>
        <w:trPr>
          <w:trHeight w:val="943" w:hRule="atLeast"/>
          <w:jc w:val="center"/>
        </w:trPr>
        <w:tc>
          <w:tcPr>
            <w:tcW w:w="2750" w:type="dxa"/>
            <w:vAlign w:val="center"/>
          </w:tcPr>
          <w:p>
            <w:pPr>
              <w:wordWrap w:val="0"/>
              <w:spacing w:line="440" w:lineRule="exact"/>
              <w:jc w:val="center"/>
              <w:rPr>
                <w:rFonts w:hint="eastAsia" w:ascii="仿宋" w:hAnsi="仿宋" w:eastAsia="仿宋" w:cs="仿宋"/>
                <w:color w:val="auto"/>
                <w:sz w:val="36"/>
                <w:szCs w:val="36"/>
                <w:highlight w:val="none"/>
              </w:rPr>
            </w:pPr>
            <w:r>
              <w:rPr>
                <w:rFonts w:hint="eastAsia" w:ascii="仿宋" w:hAnsi="仿宋" w:eastAsia="仿宋" w:cs="仿宋"/>
                <w:b/>
                <w:bCs/>
                <w:color w:val="auto"/>
                <w:sz w:val="36"/>
                <w:szCs w:val="36"/>
                <w:highlight w:val="none"/>
              </w:rPr>
              <w:t>代理机构：</w:t>
            </w:r>
          </w:p>
        </w:tc>
        <w:tc>
          <w:tcPr>
            <w:tcW w:w="6649" w:type="dxa"/>
            <w:vAlign w:val="center"/>
          </w:tcPr>
          <w:p>
            <w:pPr>
              <w:pStyle w:val="33"/>
              <w:wordWrap w:val="0"/>
              <w:snapToGrid w:val="0"/>
              <w:spacing w:line="440" w:lineRule="exact"/>
              <w:rPr>
                <w:rFonts w:hint="eastAsia" w:ascii="仿宋" w:hAnsi="仿宋" w:eastAsia="仿宋" w:cs="仿宋"/>
                <w:color w:val="auto"/>
                <w:sz w:val="36"/>
                <w:szCs w:val="36"/>
                <w:highlight w:val="none"/>
                <w:lang w:eastAsia="zh-CN"/>
              </w:rPr>
            </w:pPr>
            <w:r>
              <w:rPr>
                <w:rFonts w:hint="eastAsia" w:ascii="仿宋" w:hAnsi="仿宋" w:eastAsia="仿宋" w:cs="仿宋"/>
                <w:b/>
                <w:bCs/>
                <w:color w:val="auto"/>
                <w:sz w:val="36"/>
                <w:szCs w:val="36"/>
                <w:highlight w:val="none"/>
                <w:lang w:eastAsia="zh-CN"/>
              </w:rPr>
              <w:t>杭州贯今工程咨询有限公司</w:t>
            </w:r>
          </w:p>
        </w:tc>
      </w:tr>
      <w:tr>
        <w:tblPrEx>
          <w:tblCellMar>
            <w:top w:w="0" w:type="dxa"/>
            <w:left w:w="108" w:type="dxa"/>
            <w:bottom w:w="0" w:type="dxa"/>
            <w:right w:w="108" w:type="dxa"/>
          </w:tblCellMar>
        </w:tblPrEx>
        <w:trPr>
          <w:trHeight w:val="929" w:hRule="atLeast"/>
          <w:jc w:val="center"/>
        </w:trPr>
        <w:tc>
          <w:tcPr>
            <w:tcW w:w="2750" w:type="dxa"/>
            <w:vAlign w:val="center"/>
          </w:tcPr>
          <w:p>
            <w:pPr>
              <w:wordWrap w:val="0"/>
              <w:spacing w:line="440" w:lineRule="exact"/>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日    期：</w:t>
            </w:r>
          </w:p>
        </w:tc>
        <w:tc>
          <w:tcPr>
            <w:tcW w:w="6649" w:type="dxa"/>
            <w:vAlign w:val="center"/>
          </w:tcPr>
          <w:p>
            <w:pPr>
              <w:wordWrap w:val="0"/>
              <w:spacing w:line="440" w:lineRule="exact"/>
              <w:rPr>
                <w:rFonts w:hint="eastAsia" w:ascii="仿宋" w:hAnsi="仿宋" w:eastAsia="仿宋" w:cs="仿宋"/>
                <w:b/>
                <w:bCs/>
                <w:color w:val="auto"/>
                <w:sz w:val="36"/>
                <w:szCs w:val="36"/>
                <w:highlight w:val="none"/>
              </w:rPr>
            </w:pPr>
            <w:r>
              <w:rPr>
                <w:rFonts w:hint="eastAsia" w:ascii="仿宋" w:hAnsi="仿宋" w:eastAsia="仿宋" w:cs="仿宋"/>
                <w:b/>
                <w:bCs/>
                <w:color w:val="0000FF"/>
                <w:sz w:val="36"/>
                <w:szCs w:val="36"/>
                <w:highlight w:val="none"/>
              </w:rPr>
              <w:t>二〇二</w:t>
            </w:r>
            <w:r>
              <w:rPr>
                <w:rFonts w:hint="eastAsia" w:ascii="仿宋" w:hAnsi="仿宋" w:eastAsia="仿宋" w:cs="仿宋"/>
                <w:b/>
                <w:bCs/>
                <w:color w:val="0000FF"/>
                <w:sz w:val="36"/>
                <w:szCs w:val="36"/>
                <w:highlight w:val="none"/>
                <w:lang w:val="en-US" w:eastAsia="zh-CN"/>
              </w:rPr>
              <w:t>四</w:t>
            </w:r>
            <w:r>
              <w:rPr>
                <w:rFonts w:hint="eastAsia" w:ascii="仿宋" w:hAnsi="仿宋" w:eastAsia="仿宋" w:cs="仿宋"/>
                <w:b/>
                <w:bCs/>
                <w:color w:val="0000FF"/>
                <w:sz w:val="36"/>
                <w:szCs w:val="36"/>
                <w:highlight w:val="none"/>
              </w:rPr>
              <w:t>年</w:t>
            </w:r>
            <w:r>
              <w:rPr>
                <w:rFonts w:hint="eastAsia" w:ascii="仿宋" w:hAnsi="仿宋" w:eastAsia="仿宋" w:cs="仿宋"/>
                <w:b/>
                <w:bCs/>
                <w:color w:val="0000FF"/>
                <w:sz w:val="36"/>
                <w:szCs w:val="36"/>
                <w:highlight w:val="none"/>
                <w:lang w:val="en-US" w:eastAsia="zh-CN"/>
              </w:rPr>
              <w:t>三</w:t>
            </w:r>
            <w:r>
              <w:rPr>
                <w:rFonts w:hint="eastAsia" w:ascii="仿宋" w:hAnsi="仿宋" w:eastAsia="仿宋" w:cs="仿宋"/>
                <w:b/>
                <w:bCs/>
                <w:color w:val="0000FF"/>
                <w:sz w:val="36"/>
                <w:szCs w:val="36"/>
                <w:highlight w:val="none"/>
              </w:rPr>
              <w:t>月</w:t>
            </w:r>
            <w:r>
              <w:rPr>
                <w:rFonts w:hint="eastAsia" w:ascii="仿宋" w:hAnsi="仿宋" w:eastAsia="仿宋" w:cs="仿宋"/>
                <w:b/>
                <w:bCs/>
                <w:color w:val="0000FF"/>
                <w:sz w:val="36"/>
                <w:szCs w:val="36"/>
                <w:highlight w:val="none"/>
                <w:lang w:val="en-US" w:eastAsia="zh-CN"/>
              </w:rPr>
              <w:t>二十九</w:t>
            </w:r>
            <w:r>
              <w:rPr>
                <w:rFonts w:hint="eastAsia" w:ascii="仿宋" w:hAnsi="仿宋" w:eastAsia="仿宋" w:cs="仿宋"/>
                <w:b/>
                <w:bCs/>
                <w:color w:val="0000FF"/>
                <w:sz w:val="36"/>
                <w:szCs w:val="36"/>
                <w:highlight w:val="none"/>
              </w:rPr>
              <w:t>日</w:t>
            </w:r>
          </w:p>
        </w:tc>
      </w:tr>
    </w:tbl>
    <w:p>
      <w:pPr>
        <w:wordWrap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pPr>
        <w:wordWrap w:val="0"/>
        <w:spacing w:line="360" w:lineRule="auto"/>
        <w:jc w:val="center"/>
        <w:rPr>
          <w:rFonts w:hint="eastAsia" w:ascii="仿宋" w:hAnsi="仿宋" w:eastAsia="仿宋" w:cs="仿宋"/>
          <w:color w:val="auto"/>
          <w:sz w:val="24"/>
          <w:highlight w:val="none"/>
        </w:rPr>
      </w:pPr>
    </w:p>
    <w:p>
      <w:pPr>
        <w:wordWrap w:val="0"/>
        <w:spacing w:line="360" w:lineRule="auto"/>
        <w:ind w:firstLine="1103" w:firstLineChars="229"/>
        <w:rPr>
          <w:rFonts w:hint="eastAsia" w:ascii="仿宋" w:hAnsi="仿宋" w:eastAsia="仿宋" w:cs="仿宋"/>
          <w:b/>
          <w:color w:val="auto"/>
          <w:sz w:val="48"/>
          <w:szCs w:val="48"/>
          <w:highlight w:val="none"/>
        </w:rPr>
      </w:pPr>
      <w:bookmarkStart w:id="1" w:name="_Hlt91233176"/>
      <w:bookmarkEnd w:id="1"/>
      <w:bookmarkStart w:id="2" w:name="_Toc91899869"/>
      <w:r>
        <w:rPr>
          <w:rFonts w:hint="eastAsia" w:ascii="仿宋" w:hAnsi="仿宋" w:eastAsia="仿宋" w:cs="仿宋"/>
          <w:b/>
          <w:color w:val="auto"/>
          <w:sz w:val="48"/>
          <w:szCs w:val="48"/>
          <w:highlight w:val="none"/>
        </w:rPr>
        <w:t xml:space="preserve"> </w:t>
      </w:r>
    </w:p>
    <w:p>
      <w:pPr>
        <w:wordWrap w:val="0"/>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目录</w:t>
      </w:r>
    </w:p>
    <w:p>
      <w:pPr>
        <w:pStyle w:val="43"/>
        <w:tabs>
          <w:tab w:val="right" w:leader="dot" w:pos="9071"/>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"1-1" \h \u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_Toc12153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第一部分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_Toc12153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_Toc30254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第二部分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_Toc30254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_Toc8370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第三部分 采购需求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_Toc8370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_Toc27989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第四部分 评标办法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_Toc27989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51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_Toc30437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第五部分 拟签订的合同文本</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_Toc30437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_Toc9348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第六部分 应提交的有关格式范例</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_Toc9348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spacing w:line="48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_Toc19751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附件</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_Toc19751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99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43"/>
        <w:tabs>
          <w:tab w:val="right" w:leader="dot" w:pos="9071"/>
        </w:tabs>
        <w:rPr>
          <w:rFonts w:hint="eastAsia" w:ascii="仿宋" w:hAnsi="仿宋" w:eastAsia="仿宋" w:cs="仿宋"/>
          <w:color w:val="auto"/>
          <w:highlight w:val="none"/>
        </w:rPr>
      </w:pPr>
    </w:p>
    <w:p>
      <w:pPr>
        <w:pStyle w:val="61"/>
        <w:wordWrap w:val="0"/>
        <w:spacing w:line="360" w:lineRule="auto"/>
        <w:ind w:firstLine="56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end"/>
      </w: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ind w:firstLine="549" w:firstLineChars="229"/>
        <w:rPr>
          <w:rFonts w:hint="eastAsia" w:ascii="仿宋" w:hAnsi="仿宋" w:eastAsia="仿宋" w:cs="仿宋"/>
          <w:color w:val="auto"/>
          <w:sz w:val="24"/>
          <w:highlight w:val="none"/>
        </w:rPr>
      </w:pPr>
    </w:p>
    <w:p>
      <w:pPr>
        <w:wordWrap w:val="0"/>
        <w:spacing w:line="360" w:lineRule="auto"/>
        <w:rPr>
          <w:rFonts w:hint="eastAsia" w:ascii="仿宋" w:hAnsi="仿宋" w:eastAsia="仿宋" w:cs="仿宋"/>
          <w:color w:val="auto"/>
          <w:sz w:val="24"/>
          <w:highlight w:val="none"/>
        </w:rPr>
      </w:pPr>
    </w:p>
    <w:p>
      <w:pPr>
        <w:wordWrap w:val="0"/>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_Toc12153"/>
      <w:bookmarkStart w:id="9" w:name="_Toc22995"/>
      <w:bookmarkStart w:id="10" w:name="_Toc20857"/>
      <w:bookmarkStart w:id="11" w:name="_Toc31815"/>
      <w:bookmarkStart w:id="12" w:name="_Toc597"/>
      <w:bookmarkStart w:id="13" w:name="_Toc14735"/>
      <w:bookmarkStart w:id="14" w:name="_Toc18065"/>
      <w:bookmarkStart w:id="15" w:name="第二部分"/>
      <w:bookmarkStart w:id="16" w:name="_Toc91899870"/>
      <w:bookmarkStart w:id="17" w:name="_Toc91899871"/>
      <w:r>
        <w:rPr>
          <w:rFonts w:hint="eastAsia" w:ascii="仿宋" w:hAnsi="仿宋" w:eastAsia="仿宋" w:cs="仿宋"/>
          <w:b/>
          <w:color w:val="auto"/>
          <w:sz w:val="36"/>
          <w:szCs w:val="20"/>
          <w:highlight w:val="none"/>
        </w:rPr>
        <w:t>第一部分 招标公告</w:t>
      </w:r>
      <w:bookmarkEnd w:id="8"/>
      <w:bookmarkEnd w:id="9"/>
      <w:bookmarkEnd w:id="10"/>
      <w:bookmarkEnd w:id="11"/>
      <w:bookmarkEnd w:id="12"/>
      <w:bookmarkEnd w:id="13"/>
      <w:bookmarkEnd w:id="14"/>
    </w:p>
    <w:p>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0000FF"/>
          <w:kern w:val="2"/>
          <w:sz w:val="24"/>
          <w:szCs w:val="24"/>
          <w:highlight w:val="none"/>
        </w:rPr>
        <w:t>202</w:t>
      </w:r>
      <w:r>
        <w:rPr>
          <w:rStyle w:val="76"/>
          <w:rFonts w:hint="eastAsia" w:ascii="仿宋" w:hAnsi="仿宋" w:eastAsia="仿宋" w:cs="仿宋"/>
          <w:snapToGrid/>
          <w:color w:val="0000FF"/>
          <w:kern w:val="2"/>
          <w:sz w:val="24"/>
          <w:szCs w:val="24"/>
          <w:highlight w:val="none"/>
          <w:lang w:val="en-US" w:eastAsia="zh-CN"/>
        </w:rPr>
        <w:t>4</w:t>
      </w:r>
      <w:r>
        <w:rPr>
          <w:rStyle w:val="76"/>
          <w:rFonts w:hint="eastAsia" w:ascii="仿宋" w:hAnsi="仿宋" w:eastAsia="仿宋" w:cs="仿宋"/>
          <w:snapToGrid/>
          <w:color w:val="0000FF"/>
          <w:kern w:val="2"/>
          <w:sz w:val="24"/>
          <w:szCs w:val="24"/>
          <w:highlight w:val="none"/>
        </w:rPr>
        <w:t>年</w:t>
      </w:r>
      <w:r>
        <w:rPr>
          <w:rStyle w:val="76"/>
          <w:rFonts w:hint="eastAsia" w:ascii="仿宋" w:hAnsi="仿宋" w:eastAsia="仿宋" w:cs="仿宋"/>
          <w:snapToGrid/>
          <w:color w:val="0000FF"/>
          <w:kern w:val="2"/>
          <w:sz w:val="24"/>
          <w:szCs w:val="24"/>
          <w:highlight w:val="none"/>
          <w:lang w:val="en-US" w:eastAsia="zh-CN"/>
        </w:rPr>
        <w:t>4</w:t>
      </w:r>
      <w:r>
        <w:rPr>
          <w:rStyle w:val="76"/>
          <w:rFonts w:hint="eastAsia" w:ascii="仿宋" w:hAnsi="仿宋" w:eastAsia="仿宋" w:cs="仿宋"/>
          <w:snapToGrid/>
          <w:color w:val="0000FF"/>
          <w:kern w:val="2"/>
          <w:sz w:val="24"/>
          <w:szCs w:val="24"/>
          <w:highlight w:val="none"/>
        </w:rPr>
        <w:t>月</w:t>
      </w:r>
      <w:r>
        <w:rPr>
          <w:rStyle w:val="76"/>
          <w:rFonts w:hint="eastAsia" w:ascii="仿宋" w:hAnsi="仿宋" w:eastAsia="仿宋" w:cs="仿宋"/>
          <w:snapToGrid/>
          <w:color w:val="0000FF"/>
          <w:kern w:val="2"/>
          <w:sz w:val="24"/>
          <w:szCs w:val="24"/>
          <w:highlight w:val="none"/>
          <w:lang w:val="en-US" w:eastAsia="zh-CN"/>
        </w:rPr>
        <w:t>18</w:t>
      </w:r>
      <w:r>
        <w:rPr>
          <w:rStyle w:val="76"/>
          <w:rFonts w:hint="eastAsia" w:ascii="仿宋" w:hAnsi="仿宋" w:eastAsia="仿宋" w:cs="仿宋"/>
          <w:snapToGrid/>
          <w:color w:val="0000FF"/>
          <w:kern w:val="2"/>
          <w:sz w:val="24"/>
          <w:szCs w:val="24"/>
          <w:highlight w:val="none"/>
        </w:rPr>
        <w:t>日</w:t>
      </w:r>
      <w:r>
        <w:rPr>
          <w:rStyle w:val="76"/>
          <w:rFonts w:hint="eastAsia" w:ascii="仿宋" w:hAnsi="仿宋" w:eastAsia="仿宋" w:cs="仿宋"/>
          <w:snapToGrid/>
          <w:color w:val="0000FF"/>
          <w:kern w:val="2"/>
          <w:sz w:val="24"/>
          <w:szCs w:val="24"/>
          <w:highlight w:val="none"/>
          <w:lang w:val="en-US" w:eastAsia="zh-CN"/>
        </w:rPr>
        <w:t>10</w:t>
      </w:r>
      <w:r>
        <w:rPr>
          <w:rStyle w:val="76"/>
          <w:rFonts w:hint="eastAsia" w:ascii="仿宋" w:hAnsi="仿宋" w:eastAsia="仿宋" w:cs="仿宋"/>
          <w:snapToGrid/>
          <w:color w:val="0000FF"/>
          <w:kern w:val="2"/>
          <w:sz w:val="24"/>
          <w:szCs w:val="24"/>
          <w:highlight w:val="none"/>
        </w:rPr>
        <w:t>点</w:t>
      </w:r>
      <w:r>
        <w:rPr>
          <w:rStyle w:val="76"/>
          <w:rFonts w:hint="eastAsia" w:ascii="仿宋" w:hAnsi="仿宋" w:eastAsia="仿宋" w:cs="仿宋"/>
          <w:snapToGrid/>
          <w:color w:val="0000FF"/>
          <w:kern w:val="2"/>
          <w:sz w:val="24"/>
          <w:szCs w:val="24"/>
          <w:highlight w:val="none"/>
          <w:lang w:val="en-US" w:eastAsia="zh-CN"/>
        </w:rPr>
        <w:t>00</w:t>
      </w:r>
      <w:r>
        <w:rPr>
          <w:rStyle w:val="76"/>
          <w:rFonts w:hint="eastAsia" w:ascii="仿宋" w:hAnsi="仿宋" w:eastAsia="仿宋" w:cs="仿宋"/>
          <w:snapToGrid/>
          <w:color w:val="0000FF"/>
          <w:kern w:val="2"/>
          <w:sz w:val="24"/>
          <w:szCs w:val="24"/>
          <w:highlight w:val="none"/>
        </w:rPr>
        <w:t>分</w:t>
      </w:r>
      <w:r>
        <w:rPr>
          <w:rStyle w:val="76"/>
          <w:rFonts w:hint="eastAsia" w:ascii="仿宋" w:hAnsi="仿宋" w:eastAsia="仿宋" w:cs="仿宋"/>
          <w:bCs/>
          <w:snapToGrid/>
          <w:color w:val="0000FF"/>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wordWrap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HZGJ-XJZX2024-05</w:t>
      </w:r>
    </w:p>
    <w:p>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bookmarkStart w:id="18" w:name="_Hlk91669529"/>
      <w:r>
        <w:rPr>
          <w:rFonts w:hint="eastAsia" w:ascii="仿宋" w:hAnsi="仿宋" w:eastAsia="仿宋" w:cs="仿宋"/>
          <w:color w:val="auto"/>
          <w:sz w:val="24"/>
          <w:highlight w:val="none"/>
          <w:lang w:eastAsia="zh-CN"/>
        </w:rPr>
        <w:t>杭州学军中学桐庐学校竣工配套设施设备（体育设施及器材）项目</w:t>
      </w:r>
    </w:p>
    <w:bookmarkEnd w:id="18"/>
    <w:p>
      <w:pPr>
        <w:wordWrap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color w:val="auto"/>
          <w:sz w:val="24"/>
          <w:highlight w:val="none"/>
          <w:lang w:val="en-US" w:eastAsia="zh-CN"/>
        </w:rPr>
        <w:t xml:space="preserve">1210000   </w:t>
      </w:r>
    </w:p>
    <w:p>
      <w:pPr>
        <w:wordWrap w:val="0"/>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 xml:space="preserve">1210000  </w:t>
      </w:r>
    </w:p>
    <w:p>
      <w:pPr>
        <w:wordWrap w:val="0"/>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color w:val="auto"/>
          <w:sz w:val="24"/>
          <w:highlight w:val="none"/>
          <w:lang w:eastAsia="zh-CN"/>
        </w:rPr>
        <w:t>杭州学军中学桐庐学校竣工配套设施设备（体育设施及器材）</w:t>
      </w:r>
      <w:r>
        <w:rPr>
          <w:rFonts w:hint="eastAsia" w:ascii="仿宋" w:hAnsi="仿宋" w:eastAsia="仿宋" w:cs="仿宋"/>
          <w:color w:val="auto"/>
          <w:sz w:val="24"/>
          <w:szCs w:val="24"/>
          <w:highlight w:val="none"/>
          <w:lang w:eastAsia="zh-CN"/>
        </w:rPr>
        <w:t>供货、安装、调试、验收、培训、质保及售后服务</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具体以招标文件“第三部分 采购需求”为准，供应商可点击本公告下方“浏览采购文件”查看采购需求。</w:t>
      </w:r>
    </w:p>
    <w:p>
      <w:pPr>
        <w:wordWrap w:val="0"/>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合同履约期限：</w:t>
      </w:r>
      <w:r>
        <w:rPr>
          <w:rFonts w:hint="eastAsia" w:ascii="仿宋" w:hAnsi="仿宋" w:eastAsia="仿宋" w:cs="仿宋"/>
          <w:color w:val="auto"/>
          <w:sz w:val="24"/>
          <w:highlight w:val="none"/>
        </w:rPr>
        <w:t>合同签订生效之日起至履约验收通过之日。</w:t>
      </w:r>
    </w:p>
    <w:p>
      <w:pPr>
        <w:wordWrap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本项目（是）接受联合体投标。</w:t>
      </w:r>
    </w:p>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wordWrap w:val="0"/>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5"/>
        <w:keepNext w:val="0"/>
        <w:keepLines w:val="0"/>
        <w:ind w:left="0" w:firstLine="482"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sz w:val="24"/>
          <w:highlight w:val="none"/>
        </w:rPr>
        <w:t>若联合体参加投标的，联合体成员均应满足资格要求，联合体成员不多于2个，</w:t>
      </w:r>
      <w:r>
        <w:rPr>
          <w:rFonts w:hint="eastAsia" w:ascii="仿宋" w:hAnsi="仿宋" w:eastAsia="仿宋" w:cs="仿宋"/>
          <w:color w:val="auto"/>
          <w:sz w:val="24"/>
          <w:highlight w:val="none"/>
          <w:lang w:eastAsia="zh-CN"/>
        </w:rPr>
        <w:t>项目负责人</w:t>
      </w:r>
      <w:r>
        <w:rPr>
          <w:rFonts w:hint="eastAsia" w:ascii="仿宋" w:hAnsi="仿宋" w:eastAsia="仿宋" w:cs="仿宋"/>
          <w:color w:val="auto"/>
          <w:sz w:val="24"/>
          <w:highlight w:val="none"/>
        </w:rPr>
        <w:t>由牵头人派遣，并</w:t>
      </w:r>
      <w:r>
        <w:rPr>
          <w:rFonts w:hint="eastAsia" w:ascii="仿宋" w:hAnsi="仿宋" w:eastAsia="仿宋" w:cs="仿宋"/>
          <w:snapToGrid w:val="0"/>
          <w:color w:val="auto"/>
          <w:kern w:val="28"/>
          <w:sz w:val="24"/>
          <w:szCs w:val="20"/>
          <w:highlight w:val="none"/>
        </w:rPr>
        <w:t>提供联合协议。</w:t>
      </w:r>
    </w:p>
    <w:p>
      <w:pPr>
        <w:wordWrap w:val="0"/>
        <w:spacing w:line="360" w:lineRule="auto"/>
        <w:ind w:firstLine="480" w:firstLineChars="200"/>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r>
        <w:rPr>
          <w:rFonts w:hint="eastAsia" w:ascii="仿宋" w:hAnsi="仿宋" w:eastAsia="仿宋" w:cs="仿宋"/>
          <w:snapToGrid w:val="0"/>
          <w:color w:val="auto"/>
          <w:kern w:val="28"/>
          <w:sz w:val="24"/>
          <w:szCs w:val="20"/>
          <w:highlight w:val="none"/>
          <w:lang w:val="en-US" w:eastAsia="zh-CN"/>
        </w:rPr>
        <w:t xml:space="preserve"> </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wordWrap w:val="0"/>
        <w:spacing w:line="360" w:lineRule="auto"/>
        <w:ind w:firstLine="960" w:firstLineChars="400"/>
        <w:rPr>
          <w:rFonts w:hint="eastAsia" w:ascii="仿宋" w:hAnsi="仿宋" w:eastAsia="仿宋" w:cs="仿宋"/>
          <w:color w:val="auto"/>
          <w:sz w:val="24"/>
          <w:highlight w:val="none"/>
          <w:u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sz w:val="24"/>
          <w:highlight w:val="none"/>
        </w:rPr>
        <w:t>货物全部由符合政策要求的中小企业制造，其中小微企业</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rPr>
        <w:t>合同金额应达到</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0%及以上</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提供中小企业声明函；</w:t>
      </w:r>
    </w:p>
    <w:p>
      <w:pPr>
        <w:wordWrap w:val="0"/>
        <w:spacing w:line="360" w:lineRule="auto"/>
        <w:ind w:firstLine="960" w:firstLineChars="400"/>
        <w:rPr>
          <w:rFonts w:hint="eastAsia" w:ascii="仿宋" w:hAnsi="仿宋" w:eastAsia="仿宋" w:cs="仿宋"/>
          <w:color w:val="auto"/>
          <w:kern w:val="0"/>
          <w:sz w:val="24"/>
          <w:highlight w:val="none"/>
        </w:rPr>
      </w:pPr>
      <w:sdt>
        <w:sdtPr>
          <w:rPr>
            <w:rFonts w:hint="eastAsia" w:ascii="仿宋" w:hAnsi="仿宋" w:eastAsia="仿宋" w:cs="仿宋"/>
            <w:color w:val="auto"/>
            <w:kern w:val="2"/>
            <w:sz w:val="24"/>
            <w:highlight w:val="none"/>
          </w:rPr>
          <w:id w:val="-1152604937"/>
          <w14:checkbox>
            <w14:checked w14:val="0"/>
            <w14:checkedState w14:val="00FE" w14:font="Wingdings"/>
            <w14:uncheckedState w14:val="2610" w14:font="MS Gothic"/>
          </w14:checkbox>
        </w:sdtPr>
        <w:sdtEndPr>
          <w:rPr>
            <w:rFonts w:hint="eastAsia" w:ascii="仿宋" w:hAnsi="仿宋" w:eastAsia="仿宋" w:cs="仿宋"/>
            <w:color w:val="auto"/>
            <w:kern w:val="2"/>
            <w:sz w:val="24"/>
            <w:highlight w:val="none"/>
          </w:rPr>
        </w:sdtEndPr>
        <w:sdtContent>
          <w:r>
            <w:rPr>
              <w:rFonts w:hint="eastAsia" w:ascii="仿宋" w:hAnsi="仿宋" w:eastAsia="仿宋" w:cs="仿宋"/>
              <w:color w:val="auto"/>
              <w:kern w:val="2"/>
              <w:sz w:val="24"/>
              <w:highlight w:val="none"/>
            </w:rPr>
            <w:t>☐</w:t>
          </w:r>
        </w:sdtContent>
      </w:sdt>
      <w:r>
        <w:rPr>
          <w:rFonts w:hint="eastAsia" w:ascii="仿宋" w:hAnsi="仿宋" w:eastAsia="仿宋" w:cs="仿宋"/>
          <w:color w:val="auto"/>
          <w:sz w:val="24"/>
          <w:highlight w:val="none"/>
        </w:rPr>
        <w:t>货物全部由符合政策要求的小微企业制造，提供中小企业声明函；</w:t>
      </w:r>
    </w:p>
    <w:p>
      <w:pPr>
        <w:wordWrap w:val="0"/>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w:t>
      </w:r>
      <w:r>
        <w:rPr>
          <w:rFonts w:hint="eastAsia" w:ascii="仿宋" w:hAnsi="仿宋" w:eastAsia="仿宋" w:cs="仿宋"/>
          <w:color w:val="auto"/>
          <w:spacing w:val="8"/>
          <w:kern w:val="0"/>
          <w:sz w:val="24"/>
          <w:highlight w:val="none"/>
          <w:lang w:eastAsia="zh-CN"/>
        </w:rPr>
        <w:t>中小企业</w:t>
      </w:r>
      <w:r>
        <w:rPr>
          <w:rFonts w:hint="eastAsia" w:ascii="仿宋" w:hAnsi="仿宋" w:eastAsia="仿宋" w:cs="仿宋"/>
          <w:color w:val="auto"/>
          <w:spacing w:val="8"/>
          <w:kern w:val="0"/>
          <w:sz w:val="24"/>
          <w:highlight w:val="none"/>
        </w:rPr>
        <w:t>组成联合体参加政府采购活动，无需提供联合协议</w:t>
      </w:r>
      <w:r>
        <w:rPr>
          <w:rFonts w:hint="eastAsia" w:ascii="仿宋" w:hAnsi="仿宋" w:eastAsia="仿宋" w:cs="仿宋"/>
          <w:color w:val="auto"/>
          <w:sz w:val="24"/>
          <w:highlight w:val="none"/>
        </w:rPr>
        <w:t>；</w:t>
      </w:r>
    </w:p>
    <w:p>
      <w:pPr>
        <w:wordWrap w:val="0"/>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如果供应商本身提供所有标的均由中小企业承接，视同符合了资格条件，无需再向中小企业分包，无需提供分包意向协议。</w:t>
      </w:r>
    </w:p>
    <w:p>
      <w:pPr>
        <w:spacing w:line="360" w:lineRule="auto"/>
        <w:ind w:firstLine="480" w:firstLineChars="200"/>
        <w:outlineLvl w:val="1"/>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p>
    <w:p>
      <w:pPr>
        <w:numPr>
          <w:ilvl w:val="255"/>
          <w:numId w:val="0"/>
        </w:numPr>
        <w:wordWrap w:val="0"/>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idowControl/>
        <w:wordWrap w:val="0"/>
        <w:adjustRightInd/>
        <w:spacing w:line="360" w:lineRule="auto"/>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18</w:t>
      </w:r>
      <w:r>
        <w:rPr>
          <w:rStyle w:val="76"/>
          <w:rFonts w:hint="eastAsia" w:ascii="仿宋" w:hAnsi="仿宋" w:eastAsia="仿宋" w:cs="仿宋"/>
          <w:snapToGrid/>
          <w:color w:val="auto"/>
          <w:kern w:val="2"/>
          <w:sz w:val="24"/>
          <w:szCs w:val="24"/>
          <w:highlight w:val="non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pPr>
        <w:wordWrap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wordWrap w:val="0"/>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p>
    <w:p>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政采云平台（https://www.zcygov.cn/）；现场组织地点：</w:t>
      </w:r>
      <w:r>
        <w:rPr>
          <w:rFonts w:hint="eastAsia" w:ascii="仿宋" w:hAnsi="仿宋" w:eastAsia="仿宋" w:cs="仿宋"/>
          <w:color w:val="auto"/>
          <w:sz w:val="24"/>
          <w:highlight w:val="none"/>
          <w:lang w:eastAsia="zh-CN"/>
        </w:rPr>
        <w:t>杭州市滨江区滨安路1180号7幢2层楼212室</w:t>
      </w:r>
      <w:r>
        <w:rPr>
          <w:rFonts w:hint="eastAsia" w:ascii="仿宋" w:hAnsi="仿宋" w:eastAsia="仿宋" w:cs="仿宋"/>
          <w:color w:val="auto"/>
          <w:sz w:val="24"/>
          <w:highlight w:val="none"/>
        </w:rPr>
        <w:t>。</w:t>
      </w:r>
    </w:p>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五、采购意向公开链接</w:t>
      </w:r>
    </w:p>
    <w:p>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https://zfcg.czt.zj.gov.cn/luban/detail?parentId=600007&amp;articleId=GPMl7XIX1LnvoMnA3TIOvw==&amp;_app_=zcy.procurement&amp;utm=web-delegation-order-front.35340e9e.0.0.7ccf67f0eb5c11eeaa3831e953502812</w:t>
      </w:r>
    </w:p>
    <w:p>
      <w:pPr>
        <w:wordWrap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六、公告期限 </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公告期限为发布之日起至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日。</w:t>
      </w:r>
    </w:p>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八、对本次采购提出询问、质疑、投诉，请按以下方式联系</w:t>
      </w:r>
    </w:p>
    <w:p>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wordWrap w:val="0"/>
        <w:spacing w:line="440" w:lineRule="exact"/>
        <w:ind w:firstLine="480" w:firstLineChars="200"/>
        <w:jc w:val="left"/>
        <w:rPr>
          <w:rFonts w:hint="eastAsia" w:ascii="仿宋" w:hAnsi="仿宋" w:eastAsia="仿宋" w:cs="仿宋"/>
          <w:color w:val="auto"/>
          <w:sz w:val="24"/>
          <w:highlight w:val="none"/>
          <w:lang w:val="zh-TW" w:eastAsia="zh-CN"/>
        </w:rPr>
      </w:pPr>
      <w:r>
        <w:rPr>
          <w:rFonts w:hint="eastAsia" w:ascii="仿宋" w:hAnsi="仿宋" w:eastAsia="仿宋" w:cs="仿宋"/>
          <w:color w:val="auto"/>
          <w:sz w:val="24"/>
          <w:highlight w:val="none"/>
          <w:lang w:val="zh-TW" w:eastAsia="zh-TW"/>
        </w:rPr>
        <w:t>名</w:t>
      </w:r>
      <w:r>
        <w:rPr>
          <w:rFonts w:hint="eastAsia" w:ascii="仿宋" w:hAnsi="仿宋" w:eastAsia="仿宋" w:cs="仿宋"/>
          <w:color w:val="auto"/>
          <w:sz w:val="24"/>
          <w:highlight w:val="none"/>
          <w:lang w:val="zh-TW"/>
        </w:rPr>
        <w:t xml:space="preserve"> </w:t>
      </w:r>
      <w:r>
        <w:rPr>
          <w:rFonts w:hint="eastAsia" w:ascii="仿宋" w:hAnsi="仿宋" w:eastAsia="仿宋" w:cs="仿宋"/>
          <w:color w:val="auto"/>
          <w:sz w:val="24"/>
          <w:highlight w:val="none"/>
          <w:lang w:val="zh-TW" w:eastAsia="zh-TW"/>
        </w:rPr>
        <w:t xml:space="preserve">  称：</w:t>
      </w:r>
      <w:r>
        <w:rPr>
          <w:rFonts w:hint="eastAsia" w:ascii="仿宋" w:hAnsi="仿宋" w:eastAsia="仿宋" w:cs="仿宋"/>
          <w:color w:val="auto"/>
          <w:sz w:val="24"/>
          <w:highlight w:val="none"/>
          <w:lang w:val="zh-TW" w:eastAsia="zh-CN"/>
        </w:rPr>
        <w:t>杭州学军中学桐庐学校</w:t>
      </w:r>
    </w:p>
    <w:p>
      <w:pPr>
        <w:wordWrap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zh-TW"/>
        </w:rPr>
        <w:t xml:space="preserve">地 </w:t>
      </w:r>
      <w:r>
        <w:rPr>
          <w:rFonts w:hint="eastAsia" w:ascii="仿宋" w:hAnsi="仿宋" w:eastAsia="仿宋" w:cs="仿宋"/>
          <w:color w:val="auto"/>
          <w:sz w:val="24"/>
          <w:highlight w:val="none"/>
          <w:lang w:val="zh-TW" w:eastAsia="zh-TW"/>
        </w:rPr>
        <w:t xml:space="preserve">  </w:t>
      </w:r>
      <w:r>
        <w:rPr>
          <w:rFonts w:hint="eastAsia" w:ascii="仿宋" w:hAnsi="仿宋" w:eastAsia="仿宋" w:cs="仿宋"/>
          <w:color w:val="auto"/>
          <w:sz w:val="24"/>
          <w:highlight w:val="none"/>
          <w:lang w:val="zh-TW"/>
        </w:rPr>
        <w:t>址：</w:t>
      </w:r>
      <w:r>
        <w:rPr>
          <w:rFonts w:hint="eastAsia" w:ascii="仿宋" w:hAnsi="仿宋" w:eastAsia="仿宋" w:cs="仿宋"/>
          <w:color w:val="auto"/>
          <w:sz w:val="24"/>
          <w:highlight w:val="none"/>
          <w:lang w:val="en-US" w:eastAsia="zh-CN"/>
        </w:rPr>
        <w:t xml:space="preserve"> 桐庐县城南街道大奇山路与健康路交叉口</w:t>
      </w:r>
    </w:p>
    <w:p>
      <w:pPr>
        <w:wordWrap w:val="0"/>
        <w:spacing w:line="440" w:lineRule="exact"/>
        <w:ind w:firstLine="480" w:firstLineChars="200"/>
        <w:rPr>
          <w:rFonts w:hint="eastAsia"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项目联系人（询问）：</w:t>
      </w:r>
      <w:r>
        <w:rPr>
          <w:rFonts w:hint="eastAsia" w:ascii="仿宋" w:hAnsi="仿宋" w:eastAsia="仿宋" w:cs="仿宋"/>
          <w:color w:val="auto"/>
          <w:sz w:val="24"/>
          <w:highlight w:val="none"/>
          <w:lang w:val="en-US" w:eastAsia="zh-CN"/>
        </w:rPr>
        <w:t>黄老师</w:t>
      </w:r>
    </w:p>
    <w:p>
      <w:pPr>
        <w:wordWrap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zh-TW" w:eastAsia="zh-TW"/>
        </w:rPr>
        <w:t>项目联系方式（询问）：</w:t>
      </w:r>
      <w:r>
        <w:rPr>
          <w:rFonts w:hint="eastAsia" w:ascii="仿宋" w:hAnsi="仿宋" w:eastAsia="仿宋" w:cs="仿宋"/>
          <w:color w:val="auto"/>
          <w:sz w:val="24"/>
          <w:highlight w:val="none"/>
          <w:lang w:val="en-US" w:eastAsia="zh-CN"/>
        </w:rPr>
        <w:t>0571-88497600</w:t>
      </w:r>
    </w:p>
    <w:p>
      <w:pPr>
        <w:wordWrap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zh-TW" w:eastAsia="zh-TW"/>
        </w:rPr>
        <w:t>质疑联系人：</w:t>
      </w:r>
      <w:r>
        <w:rPr>
          <w:rFonts w:hint="eastAsia" w:ascii="仿宋" w:hAnsi="仿宋" w:eastAsia="仿宋" w:cs="仿宋"/>
          <w:color w:val="auto"/>
          <w:sz w:val="24"/>
          <w:highlight w:val="none"/>
          <w:lang w:val="en-US" w:eastAsia="zh-CN"/>
        </w:rPr>
        <w:t>张老师</w:t>
      </w:r>
    </w:p>
    <w:p>
      <w:pPr>
        <w:wordWrap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zh-TW" w:eastAsia="zh-TW"/>
        </w:rPr>
        <w:t>质疑联系方式：</w:t>
      </w:r>
      <w:r>
        <w:rPr>
          <w:rFonts w:hint="eastAsia" w:ascii="仿宋" w:hAnsi="仿宋" w:eastAsia="仿宋" w:cs="仿宋"/>
          <w:color w:val="auto"/>
          <w:sz w:val="24"/>
          <w:highlight w:val="none"/>
          <w:lang w:val="en-US" w:eastAsia="zh-CN"/>
        </w:rPr>
        <w:t>0571-88497605</w:t>
      </w:r>
    </w:p>
    <w:p>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pPr>
        <w:wordWrap w:val="0"/>
        <w:spacing w:line="440" w:lineRule="exact"/>
        <w:ind w:firstLine="480" w:firstLineChars="200"/>
        <w:rPr>
          <w:rFonts w:hint="eastAsia"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名 称：</w:t>
      </w:r>
      <w:r>
        <w:rPr>
          <w:rFonts w:hint="eastAsia" w:ascii="仿宋" w:hAnsi="仿宋" w:eastAsia="仿宋" w:cs="仿宋"/>
          <w:color w:val="auto"/>
          <w:sz w:val="24"/>
          <w:highlight w:val="none"/>
          <w:lang w:val="zh-TW" w:eastAsia="zh-CN"/>
        </w:rPr>
        <w:t>杭州贯今工程咨询有限公司</w:t>
      </w:r>
      <w:r>
        <w:rPr>
          <w:rFonts w:hint="eastAsia" w:ascii="仿宋" w:hAnsi="仿宋" w:eastAsia="仿宋" w:cs="仿宋"/>
          <w:color w:val="auto"/>
          <w:sz w:val="24"/>
          <w:highlight w:val="none"/>
          <w:lang w:val="zh-TW" w:eastAsia="zh-TW"/>
        </w:rPr>
        <w:t> 　　　　　　　　　　　</w:t>
      </w:r>
    </w:p>
    <w:p>
      <w:pPr>
        <w:wordWrap w:val="0"/>
        <w:spacing w:line="440" w:lineRule="exact"/>
        <w:ind w:firstLine="480" w:firstLineChars="200"/>
        <w:rPr>
          <w:rFonts w:hint="eastAsia" w:ascii="仿宋" w:hAnsi="仿宋" w:eastAsia="仿宋" w:cs="仿宋"/>
          <w:color w:val="auto"/>
          <w:sz w:val="24"/>
          <w:highlight w:val="none"/>
          <w:lang w:val="zh-TW" w:eastAsia="zh-TW"/>
        </w:rPr>
      </w:pPr>
      <w:r>
        <w:rPr>
          <w:rFonts w:hint="eastAsia" w:ascii="仿宋" w:hAnsi="仿宋" w:eastAsia="仿宋" w:cs="仿宋"/>
          <w:color w:val="auto"/>
          <w:sz w:val="24"/>
          <w:highlight w:val="none"/>
          <w:lang w:val="zh-TW" w:eastAsia="zh-TW"/>
        </w:rPr>
        <w:t>地 址：</w:t>
      </w:r>
      <w:r>
        <w:rPr>
          <w:rFonts w:hint="eastAsia" w:ascii="仿宋" w:hAnsi="仿宋" w:eastAsia="仿宋" w:cs="仿宋"/>
          <w:color w:val="auto"/>
          <w:sz w:val="24"/>
          <w:highlight w:val="none"/>
          <w:lang w:val="zh-TW" w:eastAsia="zh-CN"/>
        </w:rPr>
        <w:t>杭州市滨江区滨安路1180号7幢2层楼212室</w:t>
      </w:r>
      <w:r>
        <w:rPr>
          <w:rFonts w:hint="eastAsia" w:ascii="仿宋" w:hAnsi="仿宋" w:eastAsia="仿宋" w:cs="仿宋"/>
          <w:color w:val="auto"/>
          <w:sz w:val="24"/>
          <w:highlight w:val="none"/>
          <w:lang w:val="zh-TW" w:eastAsia="zh-TW"/>
        </w:rPr>
        <w:t xml:space="preserve">  　   　</w:t>
      </w: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TW" w:eastAsia="zh-TW"/>
        </w:rPr>
        <w:t>项目联系人（询问）：</w:t>
      </w:r>
      <w:r>
        <w:rPr>
          <w:rFonts w:hint="eastAsia" w:ascii="仿宋" w:hAnsi="仿宋" w:eastAsia="仿宋" w:cs="仿宋"/>
          <w:color w:val="auto"/>
          <w:sz w:val="24"/>
          <w:highlight w:val="none"/>
          <w:lang w:val="zh-TW" w:eastAsia="zh-CN"/>
        </w:rPr>
        <w:t>吕若楠 求丽芳 李君帆</w:t>
      </w:r>
      <w:r>
        <w:rPr>
          <w:rFonts w:hint="eastAsia" w:ascii="仿宋" w:hAnsi="仿宋" w:eastAsia="仿宋" w:cs="仿宋"/>
          <w:color w:val="auto"/>
          <w:sz w:val="24"/>
          <w:highlight w:val="none"/>
          <w:lang w:val="zh-TW" w:eastAsia="zh-TW"/>
        </w:rPr>
        <w:t xml:space="preserve"> </w:t>
      </w:r>
      <w:r>
        <w:rPr>
          <w:rFonts w:hint="eastAsia" w:ascii="仿宋" w:hAnsi="仿宋" w:eastAsia="仿宋" w:cs="仿宋"/>
          <w:color w:val="auto"/>
          <w:sz w:val="24"/>
          <w:highlight w:val="none"/>
        </w:rPr>
        <w:t xml:space="preserve"> </w:t>
      </w:r>
    </w:p>
    <w:p>
      <w:pPr>
        <w:wordWrap w:val="0"/>
        <w:spacing w:line="440" w:lineRule="exact"/>
        <w:ind w:firstLine="480" w:firstLineChars="200"/>
        <w:rPr>
          <w:rFonts w:hint="eastAsia" w:ascii="仿宋" w:hAnsi="仿宋" w:eastAsia="仿宋" w:cs="仿宋"/>
          <w:color w:val="auto"/>
          <w:sz w:val="24"/>
          <w:highlight w:val="none"/>
          <w:lang w:val="zh-TW" w:eastAsia="zh-CN"/>
        </w:rPr>
      </w:pPr>
      <w:r>
        <w:rPr>
          <w:rFonts w:hint="eastAsia" w:ascii="仿宋" w:hAnsi="仿宋" w:eastAsia="仿宋" w:cs="仿宋"/>
          <w:color w:val="auto"/>
          <w:sz w:val="24"/>
          <w:highlight w:val="none"/>
          <w:lang w:val="zh-TW" w:eastAsia="zh-TW"/>
        </w:rPr>
        <w:t>项目联系方式（询问）：</w:t>
      </w:r>
      <w:r>
        <w:rPr>
          <w:rFonts w:hint="eastAsia" w:ascii="仿宋" w:hAnsi="仿宋" w:eastAsia="仿宋" w:cs="仿宋"/>
          <w:color w:val="auto"/>
          <w:sz w:val="24"/>
          <w:highlight w:val="none"/>
          <w:lang w:eastAsia="zh-CN"/>
        </w:rPr>
        <w:t>17767198122</w:t>
      </w:r>
    </w:p>
    <w:p>
      <w:pPr>
        <w:wordWrap w:val="0"/>
        <w:spacing w:line="440" w:lineRule="exact"/>
        <w:ind w:firstLine="480" w:firstLineChars="200"/>
        <w:rPr>
          <w:rFonts w:hint="eastAsia" w:ascii="仿宋" w:hAnsi="仿宋" w:eastAsia="仿宋" w:cs="仿宋"/>
          <w:color w:val="auto"/>
          <w:sz w:val="24"/>
          <w:highlight w:val="none"/>
          <w:lang w:val="zh-TW" w:eastAsia="zh-CN"/>
        </w:rPr>
      </w:pPr>
      <w:r>
        <w:rPr>
          <w:rFonts w:hint="eastAsia" w:ascii="仿宋" w:hAnsi="仿宋" w:eastAsia="仿宋" w:cs="仿宋"/>
          <w:color w:val="auto"/>
          <w:sz w:val="24"/>
          <w:highlight w:val="none"/>
          <w:lang w:val="zh-TW" w:eastAsia="zh-TW"/>
        </w:rPr>
        <w:t>质疑联系人：</w:t>
      </w:r>
      <w:r>
        <w:rPr>
          <w:rFonts w:hint="eastAsia" w:ascii="仿宋" w:hAnsi="仿宋" w:eastAsia="仿宋" w:cs="仿宋"/>
          <w:color w:val="auto"/>
          <w:sz w:val="24"/>
          <w:highlight w:val="none"/>
          <w:lang w:val="en-US" w:eastAsia="zh-CN"/>
        </w:rPr>
        <w:t>程晨</w:t>
      </w:r>
    </w:p>
    <w:p>
      <w:pPr>
        <w:wordWrap w:val="0"/>
        <w:spacing w:line="440" w:lineRule="exact"/>
        <w:ind w:firstLine="480" w:firstLineChars="200"/>
        <w:rPr>
          <w:rFonts w:hint="eastAsia" w:ascii="仿宋" w:hAnsi="仿宋" w:eastAsia="仿宋" w:cs="仿宋"/>
          <w:color w:val="auto"/>
          <w:sz w:val="24"/>
          <w:highlight w:val="none"/>
          <w:lang w:val="zh-TW" w:eastAsia="zh-CN"/>
        </w:rPr>
      </w:pPr>
      <w:r>
        <w:rPr>
          <w:rFonts w:hint="eastAsia" w:ascii="仿宋" w:hAnsi="仿宋" w:eastAsia="仿宋" w:cs="仿宋"/>
          <w:color w:val="auto"/>
          <w:sz w:val="24"/>
          <w:highlight w:val="none"/>
          <w:lang w:val="zh-TW" w:eastAsia="zh-TW"/>
        </w:rPr>
        <w:t>质疑联系方式：</w:t>
      </w:r>
      <w:r>
        <w:rPr>
          <w:rFonts w:hint="eastAsia" w:ascii="仿宋" w:hAnsi="仿宋" w:eastAsia="仿宋" w:cs="仿宋"/>
          <w:color w:val="auto"/>
          <w:sz w:val="24"/>
          <w:highlight w:val="none"/>
          <w:lang w:eastAsia="zh-CN"/>
        </w:rPr>
        <w:t>13346150286</w:t>
      </w:r>
    </w:p>
    <w:p>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3.同级政府采购监督管理部门            </w:t>
      </w: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称：杭州市财政局政府采购监管处/浙江省政府采购行政裁决服务中心（杭州）　　地 址：杭州市上城区四季青街道新业路市民之家G03办公室 　　　　　　　　　　　传  真： /　   </w:t>
      </w: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：朱女士、王女士  　　　　　　　　　　　</w:t>
      </w: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监督投诉电话：0571-85252453</w:t>
      </w: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政策咨询：陈先生、厉先生，0571-89580460、89580456</w:t>
      </w: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wordWrap w:val="0"/>
        <w:spacing w:line="440" w:lineRule="exact"/>
        <w:ind w:firstLine="480" w:firstLineChars="200"/>
        <w:rPr>
          <w:rFonts w:hint="eastAsia" w:ascii="仿宋" w:hAnsi="仿宋" w:eastAsia="仿宋" w:cs="仿宋"/>
          <w:color w:val="auto"/>
          <w:sz w:val="24"/>
          <w:highlight w:val="none"/>
        </w:rPr>
        <w:sectPr>
          <w:headerReference r:id="rId4" w:type="first"/>
          <w:footerReference r:id="rId7" w:type="first"/>
          <w:headerReference r:id="rId3" w:type="default"/>
          <w:footerReference r:id="rId5" w:type="default"/>
          <w:footerReference r:id="rId6" w:type="even"/>
          <w:pgSz w:w="11905" w:h="16838"/>
          <w:pgMar w:top="652" w:right="1417" w:bottom="680" w:left="1417" w:header="539" w:footer="425" w:gutter="0"/>
          <w:cols w:space="0" w:num="1"/>
          <w:titlePg/>
          <w:docGrid w:linePitch="312" w:charSpace="0"/>
        </w:sectPr>
      </w:pPr>
      <w:r>
        <w:rPr>
          <w:rFonts w:hint="eastAsia" w:ascii="仿宋" w:hAnsi="仿宋" w:eastAsia="仿宋" w:cs="仿宋"/>
          <w:color w:val="auto"/>
          <w:sz w:val="24"/>
          <w:highlight w:val="none"/>
        </w:rPr>
        <w:t>CA问题联系电话（人工）：汇信CA 400-888-4636；天谷CA 400-087-8198。</w:t>
      </w:r>
    </w:p>
    <w:p>
      <w:pPr>
        <w:wordWrap w:val="0"/>
        <w:adjustRightInd/>
        <w:spacing w:line="360" w:lineRule="auto"/>
        <w:jc w:val="center"/>
        <w:outlineLvl w:val="0"/>
        <w:rPr>
          <w:rFonts w:hint="eastAsia" w:ascii="仿宋" w:hAnsi="仿宋" w:eastAsia="仿宋" w:cs="仿宋"/>
          <w:b/>
          <w:color w:val="auto"/>
          <w:sz w:val="36"/>
          <w:szCs w:val="20"/>
          <w:highlight w:val="none"/>
        </w:rPr>
      </w:pPr>
      <w:bookmarkStart w:id="19" w:name="_Toc24511"/>
      <w:bookmarkStart w:id="20" w:name="_Toc29805"/>
      <w:bookmarkStart w:id="21" w:name="_Toc26106"/>
      <w:bookmarkStart w:id="22" w:name="_Toc27972"/>
      <w:bookmarkStart w:id="23" w:name="_Toc25593"/>
      <w:bookmarkStart w:id="24" w:name="_Toc24964"/>
      <w:bookmarkStart w:id="25" w:name="_Toc30254"/>
      <w:r>
        <w:rPr>
          <w:rFonts w:hint="eastAsia" w:ascii="仿宋" w:hAnsi="仿宋" w:eastAsia="仿宋" w:cs="仿宋"/>
          <w:b/>
          <w:color w:val="auto"/>
          <w:sz w:val="36"/>
          <w:szCs w:val="20"/>
          <w:highlight w:val="none"/>
        </w:rPr>
        <w:t>第二部分</w:t>
      </w:r>
      <w:bookmarkEnd w:id="15"/>
      <w:r>
        <w:rPr>
          <w:rFonts w:hint="eastAsia" w:ascii="仿宋" w:hAnsi="仿宋" w:eastAsia="仿宋" w:cs="仿宋"/>
          <w:b/>
          <w:color w:val="auto"/>
          <w:sz w:val="36"/>
          <w:szCs w:val="20"/>
          <w:highlight w:val="none"/>
        </w:rPr>
        <w:t xml:space="preserve"> 投标人须知</w:t>
      </w:r>
      <w:bookmarkEnd w:id="16"/>
      <w:bookmarkEnd w:id="19"/>
      <w:bookmarkEnd w:id="20"/>
      <w:bookmarkEnd w:id="21"/>
      <w:bookmarkEnd w:id="22"/>
      <w:bookmarkEnd w:id="23"/>
      <w:bookmarkEnd w:id="24"/>
      <w:bookmarkEnd w:id="25"/>
    </w:p>
    <w:p>
      <w:pPr>
        <w:wordWrap w:val="0"/>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货物类，</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电动悬空篮球架</w:t>
            </w:r>
            <w:r>
              <w:rPr>
                <w:rFonts w:hint="eastAsia" w:ascii="仿宋" w:hAnsi="仿宋" w:eastAsia="仿宋" w:cs="仿宋"/>
                <w:b/>
                <w:color w:val="auto"/>
                <w:kern w:val="0"/>
                <w:sz w:val="24"/>
                <w:szCs w:val="24"/>
                <w:highlight w:val="none"/>
                <w:u w:val="single"/>
                <w:lang w:val="en-US" w:eastAsia="zh-CN"/>
              </w:rPr>
              <w:t xml:space="preserve"> </w:t>
            </w:r>
            <w:r>
              <w:rPr>
                <w:rFonts w:hint="eastAsia" w:ascii="仿宋" w:hAnsi="仿宋" w:eastAsia="仿宋" w:cs="仿宋"/>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eastAsia="zh-CN"/>
              </w:rPr>
              <w:t>杭州学军中学桐庐学校竣工配套设施设备（体育设施及器材）项目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工业（制造）</w:t>
            </w:r>
            <w:r>
              <w:rPr>
                <w:rFonts w:hint="eastAsia" w:ascii="仿宋" w:hAnsi="仿宋" w:eastAsia="仿宋" w:cs="仿宋"/>
                <w:color w:val="auto"/>
                <w:kern w:val="0"/>
                <w:sz w:val="24"/>
                <w:highlight w:val="none"/>
              </w:rPr>
              <w:t>行业；</w:t>
            </w:r>
          </w:p>
          <w:p>
            <w:pPr>
              <w:wordWrap w:val="0"/>
              <w:snapToGrid w:val="0"/>
              <w:rPr>
                <w:rFonts w:hint="eastAsia" w:ascii="仿宋" w:hAnsi="仿宋" w:eastAsia="仿宋" w:cs="仿宋"/>
                <w:color w:val="auto"/>
                <w:highlight w:val="none"/>
              </w:rPr>
            </w:pPr>
            <w:r>
              <w:rPr>
                <w:rFonts w:hint="eastAsia" w:ascii="仿宋" w:hAnsi="仿宋" w:eastAsia="仿宋" w:cs="仿宋"/>
                <w:b w:val="0"/>
                <w:bCs w:val="0"/>
                <w:color w:val="auto"/>
                <w:kern w:val="0"/>
                <w:sz w:val="24"/>
                <w:szCs w:val="24"/>
                <w:highlight w:val="none"/>
                <w:u w:val="single"/>
                <w:lang w:val="en-US"/>
              </w:rPr>
              <w:t>工业（制造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w:t>
            </w:r>
          </w:p>
          <w:p>
            <w:pPr>
              <w:wordWrap w:val="0"/>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24241932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本项目不允许采购进口产品。</w:t>
            </w:r>
          </w:p>
          <w:p>
            <w:pPr>
              <w:wordWrap w:val="0"/>
              <w:snapToGrid w:val="0"/>
              <w:spacing w:line="36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02119447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同</w:t>
            </w:r>
            <w:r>
              <w:rPr>
                <w:rFonts w:hint="eastAsia" w:ascii="仿宋" w:hAnsi="仿宋" w:eastAsia="仿宋" w:cs="仿宋"/>
                <w:color w:val="auto"/>
                <w:sz w:val="24"/>
                <w:highlight w:val="none"/>
              </w:rPr>
              <w:t>意分包，同意将非主体、非关键性工作分包。（若非主体、非关键性工作已由联合体成员承担的，则不允许分包。）</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☐非联合体参加的，同意将“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”分包。</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☐不同意分包。</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▲注：分包份额不得超过总包单位。投标人中标后以分包方式履行合同的，提供分包意向协议（附件7）；不以分包方式履行合同的，则无需提供。不得限制大中型企业向小微企业合理分包。</w:t>
            </w:r>
            <w:r>
              <w:rPr>
                <w:rFonts w:hint="eastAsia" w:ascii="仿宋" w:hAnsi="仿宋" w:eastAsia="仿宋" w:cs="仿宋"/>
                <w:color w:val="auto"/>
                <w:sz w:val="24"/>
                <w:highlight w:val="none"/>
                <w:lang w:bidi="ar"/>
              </w:rPr>
              <w:sym w:font="Wingdings" w:char="00FE"/>
            </w:r>
            <w:r>
              <w:rPr>
                <w:rFonts w:hint="eastAsia" w:ascii="仿宋" w:hAnsi="仿宋" w:eastAsia="仿宋" w:cs="仿宋"/>
                <w:color w:val="auto"/>
                <w:sz w:val="24"/>
                <w:highlight w:val="none"/>
                <w:lang w:bidi="ar"/>
              </w:rPr>
              <w:t>本项目专门面向</w:t>
            </w:r>
            <w:r>
              <w:rPr>
                <w:rFonts w:hint="eastAsia" w:ascii="仿宋" w:hAnsi="仿宋" w:eastAsia="仿宋" w:cs="仿宋"/>
                <w:color w:val="auto"/>
                <w:sz w:val="24"/>
                <w:highlight w:val="none"/>
                <w:u w:val="single"/>
                <w:lang w:bidi="ar"/>
              </w:rPr>
              <w:t xml:space="preserve"> </w:t>
            </w:r>
            <w:r>
              <w:rPr>
                <w:rFonts w:hint="eastAsia" w:ascii="仿宋" w:hAnsi="仿宋" w:eastAsia="仿宋" w:cs="仿宋"/>
                <w:color w:val="auto"/>
                <w:sz w:val="24"/>
                <w:highlight w:val="none"/>
                <w:u w:val="single"/>
                <w:lang w:val="en-US" w:eastAsia="zh-CN" w:bidi="ar"/>
              </w:rPr>
              <w:t>中小</w:t>
            </w:r>
            <w:r>
              <w:rPr>
                <w:rFonts w:hint="eastAsia" w:ascii="仿宋" w:hAnsi="仿宋" w:eastAsia="仿宋" w:cs="仿宋"/>
                <w:color w:val="auto"/>
                <w:sz w:val="24"/>
                <w:highlight w:val="none"/>
                <w:u w:val="single"/>
                <w:lang w:bidi="ar"/>
              </w:rPr>
              <w:t xml:space="preserve"> </w:t>
            </w:r>
            <w:r>
              <w:rPr>
                <w:rFonts w:hint="eastAsia" w:ascii="仿宋" w:hAnsi="仿宋" w:eastAsia="仿宋" w:cs="仿宋"/>
                <w:color w:val="auto"/>
                <w:sz w:val="24"/>
                <w:highlight w:val="none"/>
                <w:lang w:bidi="ar"/>
              </w:rPr>
              <w:t>企业采购，分包单位必须为</w:t>
            </w:r>
            <w:r>
              <w:rPr>
                <w:rFonts w:hint="eastAsia" w:ascii="仿宋" w:hAnsi="仿宋" w:eastAsia="仿宋" w:cs="仿宋"/>
                <w:color w:val="auto"/>
                <w:sz w:val="24"/>
                <w:highlight w:val="none"/>
                <w:u w:val="single"/>
                <w:lang w:bidi="ar"/>
              </w:rPr>
              <w:t xml:space="preserve"> </w:t>
            </w:r>
            <w:r>
              <w:rPr>
                <w:rFonts w:hint="eastAsia" w:ascii="仿宋" w:hAnsi="仿宋" w:eastAsia="仿宋" w:cs="仿宋"/>
                <w:color w:val="auto"/>
                <w:sz w:val="24"/>
                <w:highlight w:val="none"/>
                <w:u w:val="single"/>
                <w:lang w:val="en-US" w:eastAsia="zh-CN" w:bidi="ar"/>
              </w:rPr>
              <w:t>/</w:t>
            </w:r>
            <w:r>
              <w:rPr>
                <w:rFonts w:hint="eastAsia" w:ascii="仿宋" w:hAnsi="仿宋" w:eastAsia="仿宋" w:cs="仿宋"/>
                <w:color w:val="auto"/>
                <w:sz w:val="24"/>
                <w:highlight w:val="none"/>
                <w:u w:val="single"/>
                <w:lang w:bidi="ar"/>
              </w:rPr>
              <w:t xml:space="preserve">  </w:t>
            </w:r>
            <w:r>
              <w:rPr>
                <w:rFonts w:hint="eastAsia" w:ascii="仿宋" w:hAnsi="仿宋" w:eastAsia="仿宋" w:cs="仿宋"/>
                <w:color w:val="auto"/>
                <w:sz w:val="24"/>
                <w:highlight w:val="none"/>
                <w:lang w:bidi="ar"/>
              </w:rPr>
              <w:t>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1370038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投标截止前，投标人可自行到项目所在地予以踏勘，对项目实施现场及周边环境等进行勘察，以获取编制投标文件和签署合同所需的所有资料。无论投标人是否踏勘现场，均被视作对项目现场的了解已完全满足本采购项目投标报价的需要。有关踏勘现场需要发生的一切费用由投标人自理，投标人自行负责在踏勘现场中所发生的任何风险责任和财产损失。</w:t>
            </w:r>
          </w:p>
          <w:p>
            <w:pPr>
              <w:wordWrap w:val="0"/>
              <w:spacing w:line="36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639946486"/>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wordWrap w:val="0"/>
              <w:spacing w:line="36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B要求提供，</w:t>
            </w:r>
          </w:p>
          <w:p>
            <w:pPr>
              <w:wordWrap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szCs w:val="24"/>
                <w:highlight w:val="none"/>
                <w:u w:val="single"/>
                <w:lang w:val="en-US" w:eastAsia="zh-CN"/>
              </w:rPr>
              <w:t>《项目采购清单和参数要求》中第2项计时，二十四秒显示器、第4项篮球赛全队犯规器、第51项起跑器</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wordWrap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详见“第三部分 采购需求”</w:t>
            </w:r>
            <w:r>
              <w:rPr>
                <w:rFonts w:hint="eastAsia" w:ascii="仿宋" w:hAnsi="仿宋" w:eastAsia="仿宋" w:cs="仿宋"/>
                <w:color w:val="auto"/>
                <w:kern w:val="0"/>
                <w:sz w:val="24"/>
                <w:highlight w:val="none"/>
              </w:rPr>
              <w:t>；</w:t>
            </w:r>
          </w:p>
          <w:p>
            <w:pPr>
              <w:wordWrap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wordWrap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投标文件递交截止时间前递交，递交时间以送达接受时间为准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eastAsia="zh-CN"/>
              </w:rPr>
              <w:t>杭州市滨江区滨安路1180号7幢2层楼212室</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程工</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17767198122</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wordWrap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）未提供样品或提供样品明显不符合招标文件技术要求的，该项样品得分按0分计</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功能演示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wordWrap w:val="0"/>
              <w:spacing w:line="36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B组织。</w:t>
            </w:r>
          </w:p>
          <w:p>
            <w:pPr>
              <w:wordWrap w:val="0"/>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演示。每个投标人时间不超过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2</w:t>
            </w:r>
            <w:r>
              <w:rPr>
                <w:rFonts w:hint="eastAsia" w:ascii="仿宋" w:hAnsi="仿宋" w:eastAsia="仿宋" w:cs="仿宋"/>
                <w:color w:val="auto"/>
                <w:kern w:val="0"/>
                <w:sz w:val="24"/>
                <w:highlight w:val="none"/>
                <w:u w:val="single"/>
              </w:rPr>
              <w:t xml:space="preserve">0 </w:t>
            </w:r>
            <w:r>
              <w:rPr>
                <w:rFonts w:hint="eastAsia" w:ascii="仿宋" w:hAnsi="仿宋" w:eastAsia="仿宋" w:cs="仿宋"/>
                <w:color w:val="auto"/>
                <w:kern w:val="0"/>
                <w:sz w:val="24"/>
                <w:highlight w:val="none"/>
              </w:rPr>
              <w:t>分钟，讲解次序以投标文件解密时间先后次序为准，讲解演示人员不超过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rPr>
              <w:t>人。讲解演示结束后按要求解答评标委员会提问。</w:t>
            </w:r>
          </w:p>
          <w:p>
            <w:pPr>
              <w:wordWrap w:val="0"/>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（2）方案讲解演示按以下方式</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wordWrap w:val="0"/>
              <w:snapToGrid w:val="0"/>
              <w:spacing w:line="24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pPr>
              <w:spacing w:line="24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方式二：代理机构评标场所现场</w:t>
            </w:r>
            <w:r>
              <w:rPr>
                <w:rFonts w:hint="eastAsia" w:ascii="仿宋" w:hAnsi="仿宋" w:eastAsia="仿宋" w:cs="仿宋"/>
                <w:b/>
                <w:bCs/>
                <w:color w:val="auto"/>
                <w:kern w:val="0"/>
                <w:sz w:val="24"/>
                <w:highlight w:val="none"/>
                <w:lang w:eastAsia="zh-CN"/>
              </w:rPr>
              <w:t>操作</w:t>
            </w:r>
            <w:r>
              <w:rPr>
                <w:rFonts w:hint="eastAsia" w:ascii="仿宋" w:hAnsi="仿宋" w:eastAsia="仿宋" w:cs="仿宋"/>
                <w:b/>
                <w:bCs/>
                <w:color w:val="auto"/>
                <w:kern w:val="0"/>
                <w:sz w:val="24"/>
                <w:highlight w:val="none"/>
              </w:rPr>
              <w:t>演示。现场</w:t>
            </w:r>
            <w:r>
              <w:rPr>
                <w:rFonts w:hint="eastAsia" w:ascii="仿宋" w:hAnsi="仿宋" w:eastAsia="仿宋" w:cs="仿宋"/>
                <w:b/>
                <w:bCs/>
                <w:color w:val="auto"/>
                <w:kern w:val="0"/>
                <w:sz w:val="24"/>
                <w:highlight w:val="none"/>
                <w:lang w:eastAsia="zh-CN"/>
              </w:rPr>
              <w:t>演示</w:t>
            </w:r>
            <w:r>
              <w:rPr>
                <w:rFonts w:hint="eastAsia" w:ascii="仿宋" w:hAnsi="仿宋" w:eastAsia="仿宋" w:cs="仿宋"/>
                <w:b/>
                <w:bCs/>
                <w:color w:val="auto"/>
                <w:kern w:val="0"/>
                <w:sz w:val="24"/>
                <w:highlight w:val="none"/>
              </w:rPr>
              <w:t>地点为</w:t>
            </w:r>
            <w:r>
              <w:rPr>
                <w:rFonts w:hint="eastAsia" w:ascii="仿宋" w:hAnsi="仿宋" w:eastAsia="仿宋" w:cs="仿宋"/>
                <w:b/>
                <w:bCs/>
                <w:color w:val="auto"/>
                <w:kern w:val="0"/>
                <w:sz w:val="24"/>
                <w:highlight w:val="none"/>
                <w:u w:val="none"/>
                <w:lang w:eastAsia="zh-CN"/>
              </w:rPr>
              <w:t>杭州市滨江区滨安路1180号7幢2层楼212室</w:t>
            </w:r>
            <w:r>
              <w:rPr>
                <w:rFonts w:hint="eastAsia" w:ascii="仿宋" w:hAnsi="仿宋" w:eastAsia="仿宋" w:cs="仿宋"/>
                <w:b/>
                <w:bCs/>
                <w:color w:val="auto"/>
                <w:sz w:val="24"/>
                <w:highlight w:val="none"/>
                <w:u w:val="none"/>
                <w:lang w:eastAsia="zh-CN"/>
              </w:rPr>
              <w:t>评标室</w:t>
            </w:r>
            <w:r>
              <w:rPr>
                <w:rFonts w:hint="eastAsia" w:ascii="仿宋" w:hAnsi="仿宋" w:eastAsia="仿宋" w:cs="仿宋"/>
                <w:b/>
                <w:bCs/>
                <w:color w:val="auto"/>
                <w:kern w:val="0"/>
                <w:sz w:val="24"/>
                <w:highlight w:val="none"/>
              </w:rPr>
              <w:t>，演示所用电脑等设备由投标人自备。</w:t>
            </w:r>
            <w:r>
              <w:rPr>
                <w:rFonts w:hint="eastAsia" w:ascii="仿宋" w:hAnsi="仿宋" w:eastAsia="仿宋" w:cs="仿宋"/>
                <w:b/>
                <w:bCs/>
                <w:color w:val="auto"/>
                <w:sz w:val="24"/>
                <w:highlight w:val="none"/>
              </w:rPr>
              <w:t>现场演示人员(不超过三人)进场时提供讲解人员名单（加盖公章）、身份证明，否则不得进场讲解演示。</w:t>
            </w:r>
          </w:p>
          <w:p>
            <w:pPr>
              <w:spacing w:line="24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等候地点：</w:t>
            </w:r>
            <w:r>
              <w:rPr>
                <w:rFonts w:hint="eastAsia" w:ascii="仿宋" w:hAnsi="仿宋" w:eastAsia="仿宋" w:cs="仿宋"/>
                <w:b/>
                <w:bCs/>
                <w:color w:val="auto"/>
                <w:sz w:val="24"/>
                <w:szCs w:val="24"/>
                <w:highlight w:val="none"/>
                <w:lang w:val="zh-TW" w:eastAsia="zh-CN"/>
              </w:rPr>
              <w:t>杭州市滨江区滨安路1180号7幢2层楼212室</w:t>
            </w:r>
            <w:r>
              <w:rPr>
                <w:rFonts w:hint="eastAsia" w:ascii="仿宋" w:hAnsi="仿宋" w:eastAsia="仿宋" w:cs="仿宋"/>
                <w:b/>
                <w:bCs/>
                <w:color w:val="auto"/>
                <w:sz w:val="24"/>
                <w:szCs w:val="24"/>
                <w:highlight w:val="none"/>
              </w:rPr>
              <w:t>（建议开标时间前到达）。</w:t>
            </w:r>
          </w:p>
          <w:p>
            <w:pPr>
              <w:wordWrap w:val="0"/>
              <w:snapToGrid w:val="0"/>
              <w:spacing w:line="240" w:lineRule="auto"/>
              <w:rPr>
                <w:rFonts w:hint="eastAsia" w:ascii="仿宋" w:hAnsi="仿宋" w:eastAsia="仿宋" w:cs="仿宋"/>
                <w:b/>
                <w:bCs/>
                <w:color w:val="auto"/>
                <w:kern w:val="0"/>
                <w:sz w:val="24"/>
                <w:highlight w:val="none"/>
              </w:rPr>
            </w:pPr>
            <w:r>
              <w:rPr>
                <w:rFonts w:hint="eastAsia" w:ascii="仿宋" w:hAnsi="仿宋" w:eastAsia="仿宋" w:cs="仿宋"/>
                <w:b/>
                <w:bCs/>
                <w:color w:val="auto"/>
                <w:sz w:val="24"/>
                <w:szCs w:val="24"/>
                <w:highlight w:val="none"/>
                <w:lang w:eastAsia="zh-CN"/>
              </w:rPr>
              <w:t>演示</w:t>
            </w:r>
            <w:r>
              <w:rPr>
                <w:rFonts w:hint="eastAsia" w:ascii="仿宋" w:hAnsi="仿宋" w:eastAsia="仿宋" w:cs="仿宋"/>
                <w:b/>
                <w:bCs/>
                <w:color w:val="auto"/>
                <w:sz w:val="24"/>
                <w:szCs w:val="24"/>
                <w:highlight w:val="none"/>
              </w:rPr>
              <w:t>时间：评标期间（开标结束后进入评标），具体时间以现场口头通知为准。代理工作人员在</w:t>
            </w:r>
            <w:r>
              <w:rPr>
                <w:rFonts w:hint="eastAsia" w:ascii="仿宋" w:hAnsi="仿宋" w:eastAsia="仿宋" w:cs="仿宋"/>
                <w:b/>
                <w:bCs/>
                <w:color w:val="auto"/>
                <w:sz w:val="24"/>
                <w:szCs w:val="24"/>
                <w:highlight w:val="none"/>
                <w:lang w:val="zh-TW" w:eastAsia="zh-CN"/>
              </w:rPr>
              <w:t>杭州市滨江区滨安路1180号7幢2层楼212室</w:t>
            </w:r>
            <w:r>
              <w:rPr>
                <w:rFonts w:hint="eastAsia" w:ascii="仿宋" w:hAnsi="仿宋" w:eastAsia="仿宋" w:cs="仿宋"/>
                <w:b/>
                <w:bCs/>
                <w:color w:val="auto"/>
                <w:sz w:val="24"/>
                <w:szCs w:val="24"/>
                <w:highlight w:val="none"/>
              </w:rPr>
              <w:t>口头通知演示人员，并在工作人员的带领下进入演示地点，若口头通知后5分钟内未到达</w:t>
            </w:r>
            <w:r>
              <w:rPr>
                <w:rFonts w:hint="eastAsia" w:ascii="仿宋" w:hAnsi="仿宋" w:eastAsia="仿宋" w:cs="仿宋"/>
                <w:b/>
                <w:bCs/>
                <w:color w:val="auto"/>
                <w:sz w:val="24"/>
                <w:szCs w:val="24"/>
                <w:highlight w:val="none"/>
                <w:lang w:val="zh-TW" w:eastAsia="zh-CN"/>
              </w:rPr>
              <w:t>杭州市滨江区滨安路1180号7幢2层楼212室</w:t>
            </w:r>
            <w:r>
              <w:rPr>
                <w:rFonts w:hint="eastAsia" w:ascii="仿宋" w:hAnsi="仿宋" w:eastAsia="仿宋" w:cs="仿宋"/>
                <w:b/>
                <w:bCs/>
                <w:color w:val="auto"/>
                <w:sz w:val="24"/>
                <w:szCs w:val="24"/>
                <w:highlight w:val="none"/>
              </w:rPr>
              <w:t>的，视为放弃讲解。</w:t>
            </w:r>
          </w:p>
          <w:p>
            <w:pPr>
              <w:wordWrap w:val="0"/>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方式三：采用视频录制方式，用U盘介质储存快递或邮寄至代理机构（公告中列明的地址），视频中演示人应出示身份证。未派遣投标文件中的</w:t>
            </w:r>
            <w:r>
              <w:rPr>
                <w:rFonts w:hint="eastAsia" w:ascii="仿宋" w:hAnsi="仿宋" w:eastAsia="仿宋" w:cs="仿宋"/>
                <w:color w:val="auto"/>
                <w:kern w:val="0"/>
                <w:sz w:val="24"/>
                <w:highlight w:val="none"/>
                <w:u w:val="single"/>
              </w:rPr>
              <w:t>项目组人员</w:t>
            </w:r>
            <w:r>
              <w:rPr>
                <w:rFonts w:hint="eastAsia" w:ascii="仿宋" w:hAnsi="仿宋" w:eastAsia="仿宋" w:cs="仿宋"/>
                <w:color w:val="auto"/>
                <w:kern w:val="0"/>
                <w:sz w:val="24"/>
                <w:highlight w:val="none"/>
              </w:rPr>
              <w:t>进行演示讲解或未提供身份证明的，评分项不得分。若因U盘损坏或打不开则按视为未提交。</w:t>
            </w:r>
          </w:p>
          <w:p>
            <w:pPr>
              <w:wordWrap w:val="0"/>
              <w:snapToGrid w:val="0"/>
              <w:spacing w:line="36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方式四：采用现场钉钉直播演示的。开标后，演示人请加钉钉号</w:t>
            </w:r>
            <w:r>
              <w:rPr>
                <w:rFonts w:hint="eastAsia" w:ascii="仿宋" w:hAnsi="仿宋" w:eastAsia="仿宋" w:cs="仿宋"/>
                <w:color w:val="auto"/>
                <w:kern w:val="0"/>
                <w:sz w:val="24"/>
                <w:highlight w:val="none"/>
                <w:u w:val="single"/>
              </w:rPr>
              <w:t xml:space="preserve"> /  </w:t>
            </w:r>
            <w:r>
              <w:rPr>
                <w:rFonts w:hint="eastAsia" w:ascii="仿宋" w:hAnsi="仿宋" w:eastAsia="仿宋" w:cs="仿宋"/>
                <w:color w:val="auto"/>
                <w:kern w:val="0"/>
                <w:sz w:val="24"/>
                <w:highlight w:val="none"/>
              </w:rPr>
              <w:t>，请求发送后，代理工作人员将通过好友验证。直播演示前，首先演示人进行身份信息直播核对。未派遣投标文件中的项目组人员进行直播演示讲解或未提供身份证明的，评分项不得分。</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vMerge w:val="restart"/>
            <w:tcBorders>
              <w:top w:val="single" w:color="auto" w:sz="4" w:space="0"/>
              <w:left w:val="single" w:color="000000" w:sz="8" w:space="0"/>
              <w:right w:val="single" w:color="000000" w:sz="2"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000000" w:sz="2"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p>
            <w:pPr>
              <w:wordWrap w:val="0"/>
              <w:snapToGrid w:val="0"/>
              <w:spacing w:line="360" w:lineRule="exact"/>
              <w:jc w:val="center"/>
              <w:rPr>
                <w:rFonts w:hint="eastAsia" w:ascii="仿宋" w:hAnsi="仿宋" w:eastAsia="仿宋" w:cs="仿宋"/>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snapToGrid w:val="0"/>
                <w:color w:val="auto"/>
                <w:kern w:val="0"/>
                <w:sz w:val="24"/>
                <w:highlight w:val="none"/>
              </w:rPr>
            </w:pPr>
            <w:r>
              <w:rPr>
                <w:rFonts w:hint="eastAsia" w:ascii="仿宋" w:hAnsi="仿宋" w:eastAsia="仿宋" w:cs="仿宋"/>
                <w:color w:val="auto"/>
                <w:sz w:val="24"/>
                <w:highlight w:val="none"/>
              </w:rPr>
              <w:t>（1）资格证明文件：见招标文件第二部分11.1。</w:t>
            </w: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vMerge w:val="continue"/>
            <w:tcBorders>
              <w:left w:val="single" w:color="000000" w:sz="8" w:space="0"/>
              <w:bottom w:val="single" w:color="auto" w:sz="4" w:space="0"/>
              <w:right w:val="single" w:color="000000" w:sz="2" w:space="0"/>
            </w:tcBorders>
            <w:vAlign w:val="center"/>
          </w:tcPr>
          <w:p>
            <w:pPr>
              <w:wordWrap w:val="0"/>
              <w:snapToGrid w:val="0"/>
              <w:spacing w:line="360" w:lineRule="exact"/>
              <w:jc w:val="center"/>
              <w:rPr>
                <w:rFonts w:hint="eastAsia" w:ascii="仿宋" w:hAnsi="仿宋" w:eastAsia="仿宋" w:cs="仿宋"/>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采购人拟采购的产品属于品目清单范围，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napToGrid w:val="0"/>
                <w:color w:val="auto"/>
                <w:kern w:val="28"/>
                <w:sz w:val="24"/>
                <w:szCs w:val="24"/>
                <w:highlight w:val="none"/>
              </w:rPr>
              <w:t>▲</w:t>
            </w:r>
            <w:r>
              <w:rPr>
                <w:rFonts w:hint="eastAsia" w:ascii="仿宋" w:hAnsi="仿宋" w:eastAsia="仿宋" w:cs="仿宋"/>
                <w:snapToGrid w:val="0"/>
                <w:color w:val="auto"/>
                <w:kern w:val="28"/>
                <w:sz w:val="24"/>
                <w:highlight w:val="none"/>
              </w:rPr>
              <w:t>本项目强制采购的节能产品为</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snapToGrid w:val="0"/>
                <w:color w:val="auto"/>
                <w:kern w:val="28"/>
                <w:sz w:val="24"/>
                <w:highlight w:val="none"/>
                <w:u w:val="single"/>
                <w:lang w:val="en-US" w:eastAsia="zh-CN"/>
              </w:rPr>
              <w:t>/</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snapToGrid w:val="0"/>
                <w:color w:val="auto"/>
                <w:kern w:val="28"/>
                <w:sz w:val="24"/>
                <w:highlight w:val="none"/>
                <w:u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6"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jc w:val="left"/>
              <w:rPr>
                <w:rFonts w:hint="eastAsia" w:ascii="仿宋" w:hAnsi="仿宋" w:eastAsia="仿宋" w:cs="仿宋"/>
                <w:color w:val="auto"/>
                <w:kern w:val="0"/>
                <w:sz w:val="24"/>
                <w:highlight w:val="none"/>
                <w:lang w:val="zh-CN"/>
              </w:rPr>
            </w:pPr>
            <w:r>
              <w:rPr>
                <w:rFonts w:hint="eastAsia" w:ascii="仿宋" w:hAnsi="仿宋" w:eastAsia="仿宋" w:cs="仿宋"/>
                <w:b w:val="0"/>
                <w:bCs w:val="0"/>
                <w:color w:val="auto"/>
                <w:kern w:val="0"/>
                <w:sz w:val="24"/>
                <w:highlight w:val="none"/>
                <w:lang w:val="zh-CN"/>
              </w:rPr>
              <w:t>有关本项目实施所需的所有费用（含税费）均计入报价，包括但不限于</w:t>
            </w:r>
            <w:r>
              <w:rPr>
                <w:rFonts w:hint="eastAsia" w:ascii="仿宋" w:hAnsi="仿宋" w:eastAsia="仿宋" w:cs="仿宋"/>
                <w:b w:val="0"/>
                <w:bCs w:val="0"/>
                <w:color w:val="auto"/>
                <w:kern w:val="0"/>
                <w:sz w:val="24"/>
                <w:highlight w:val="none"/>
                <w:lang w:val="en-US" w:eastAsia="zh-CN"/>
              </w:rPr>
              <w:t>现场</w:t>
            </w:r>
            <w:r>
              <w:rPr>
                <w:rFonts w:hint="eastAsia" w:ascii="仿宋" w:hAnsi="仿宋" w:eastAsia="仿宋" w:cs="仿宋"/>
                <w:b w:val="0"/>
                <w:bCs w:val="0"/>
                <w:color w:val="auto"/>
                <w:kern w:val="0"/>
                <w:sz w:val="24"/>
                <w:highlight w:val="none"/>
                <w:lang w:val="zh-CN"/>
              </w:rPr>
              <w:t>踏勘费、</w:t>
            </w:r>
            <w:r>
              <w:rPr>
                <w:rFonts w:hint="eastAsia" w:ascii="仿宋" w:hAnsi="仿宋" w:eastAsia="仿宋" w:cs="仿宋"/>
                <w:b w:val="0"/>
                <w:bCs w:val="0"/>
                <w:color w:val="auto"/>
                <w:kern w:val="0"/>
                <w:sz w:val="24"/>
                <w:highlight w:val="none"/>
                <w:lang w:val="en-US" w:eastAsia="zh-CN"/>
              </w:rPr>
              <w:t>材料</w:t>
            </w:r>
            <w:r>
              <w:rPr>
                <w:rFonts w:hint="eastAsia" w:ascii="仿宋" w:hAnsi="仿宋" w:eastAsia="仿宋" w:cs="仿宋"/>
                <w:b w:val="0"/>
                <w:bCs w:val="0"/>
                <w:color w:val="auto"/>
                <w:kern w:val="0"/>
                <w:sz w:val="24"/>
                <w:highlight w:val="none"/>
                <w:lang w:val="zh-CN"/>
              </w:rPr>
              <w:t>设备费、</w:t>
            </w:r>
            <w:r>
              <w:rPr>
                <w:rFonts w:hint="eastAsia" w:ascii="仿宋" w:hAnsi="仿宋" w:eastAsia="仿宋" w:cs="仿宋"/>
                <w:b w:val="0"/>
                <w:bCs w:val="0"/>
                <w:color w:val="auto"/>
                <w:kern w:val="0"/>
                <w:sz w:val="24"/>
                <w:highlight w:val="none"/>
                <w:lang w:val="en-US" w:eastAsia="zh-CN"/>
              </w:rPr>
              <w:t>运杂</w:t>
            </w:r>
            <w:r>
              <w:rPr>
                <w:rFonts w:hint="eastAsia" w:ascii="仿宋" w:hAnsi="仿宋" w:eastAsia="仿宋" w:cs="仿宋"/>
                <w:b w:val="0"/>
                <w:bCs w:val="0"/>
                <w:color w:val="auto"/>
                <w:kern w:val="0"/>
                <w:sz w:val="24"/>
                <w:highlight w:val="none"/>
                <w:lang w:val="zh-CN"/>
              </w:rPr>
              <w:t>费、安装</w:t>
            </w:r>
            <w:r>
              <w:rPr>
                <w:rFonts w:hint="eastAsia" w:ascii="仿宋" w:hAnsi="仿宋" w:eastAsia="仿宋" w:cs="仿宋"/>
                <w:b w:val="0"/>
                <w:bCs w:val="0"/>
                <w:color w:val="auto"/>
                <w:kern w:val="0"/>
                <w:sz w:val="24"/>
                <w:highlight w:val="none"/>
                <w:lang w:val="en-US" w:eastAsia="zh-CN"/>
              </w:rPr>
              <w:t>费</w:t>
            </w:r>
            <w:r>
              <w:rPr>
                <w:rFonts w:hint="eastAsia" w:ascii="仿宋" w:hAnsi="仿宋" w:eastAsia="仿宋" w:cs="仿宋"/>
                <w:b w:val="0"/>
                <w:bCs w:val="0"/>
                <w:color w:val="auto"/>
                <w:kern w:val="0"/>
                <w:sz w:val="24"/>
                <w:highlight w:val="none"/>
                <w:lang w:val="zh-CN"/>
              </w:rPr>
              <w:t>、调试费、</w:t>
            </w:r>
            <w:r>
              <w:rPr>
                <w:rFonts w:hint="eastAsia" w:ascii="仿宋" w:hAnsi="仿宋" w:eastAsia="仿宋" w:cs="仿宋"/>
                <w:b w:val="0"/>
                <w:bCs w:val="0"/>
                <w:color w:val="auto"/>
                <w:kern w:val="0"/>
                <w:sz w:val="24"/>
                <w:highlight w:val="none"/>
                <w:lang w:val="en-US" w:eastAsia="zh-CN"/>
              </w:rPr>
              <w:t>检测费、验收</w:t>
            </w:r>
            <w:r>
              <w:rPr>
                <w:rFonts w:hint="eastAsia" w:ascii="仿宋" w:hAnsi="仿宋" w:eastAsia="仿宋" w:cs="仿宋"/>
                <w:b w:val="0"/>
                <w:bCs w:val="0"/>
                <w:color w:val="auto"/>
                <w:kern w:val="0"/>
                <w:sz w:val="24"/>
                <w:highlight w:val="none"/>
                <w:lang w:val="zh-CN"/>
              </w:rPr>
              <w:t>费、售后及质保服务费、总包配合费、管理费、利润、税金等。</w:t>
            </w:r>
            <w:r>
              <w:rPr>
                <w:rFonts w:hint="eastAsia" w:ascii="仿宋" w:hAnsi="仿宋" w:eastAsia="仿宋" w:cs="仿宋"/>
                <w:b w:val="0"/>
                <w:bCs w:val="0"/>
                <w:color w:val="auto"/>
                <w:kern w:val="0"/>
                <w:sz w:val="24"/>
                <w:highlight w:val="none"/>
                <w:u w:val="none"/>
              </w:rPr>
              <w:sym w:font="Wingdings" w:char="F0FE"/>
            </w:r>
            <w:r>
              <w:rPr>
                <w:rFonts w:hint="eastAsia" w:ascii="仿宋" w:hAnsi="仿宋" w:eastAsia="仿宋" w:cs="仿宋"/>
                <w:b w:val="0"/>
                <w:bCs w:val="0"/>
                <w:color w:val="auto"/>
                <w:kern w:val="0"/>
                <w:sz w:val="24"/>
                <w:highlight w:val="none"/>
                <w:lang w:val="zh-CN"/>
              </w:rPr>
              <w:t>本项目还应包括场地及原有设备的保护措施费、现场安装施工组织（含安全文明施工）措施费等。</w:t>
            </w:r>
          </w:p>
          <w:p>
            <w:pPr>
              <w:wordWrap w:val="0"/>
              <w:snapToGrid w:val="0"/>
              <w:spacing w:line="360" w:lineRule="exact"/>
              <w:jc w:val="left"/>
              <w:rPr>
                <w:rFonts w:hint="eastAsia" w:ascii="仿宋" w:hAnsi="仿宋" w:eastAsia="仿宋" w:cs="仿宋"/>
                <w:color w:val="auto"/>
                <w:kern w:val="0"/>
                <w:sz w:val="24"/>
                <w:highlight w:val="none"/>
                <w:lang w:val="zh-CN"/>
              </w:rPr>
            </w:pPr>
            <w:r>
              <w:rPr>
                <w:rFonts w:hint="eastAsia" w:ascii="仿宋" w:hAnsi="仿宋" w:eastAsia="仿宋" w:cs="仿宋"/>
                <w:b/>
                <w:bCs/>
                <w:color w:val="auto"/>
                <w:kern w:val="0"/>
                <w:sz w:val="24"/>
                <w:highlight w:val="none"/>
                <w:lang w:val="zh-CN"/>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p>
          <w:p>
            <w:pPr>
              <w:widowControl/>
              <w:wordWrap w:val="0"/>
              <w:snapToGrid w:val="0"/>
              <w:spacing w:line="360" w:lineRule="exact"/>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提醒：</w:t>
            </w:r>
            <w:r>
              <w:rPr>
                <w:rFonts w:hint="eastAsia" w:ascii="仿宋" w:hAnsi="仿宋" w:eastAsia="仿宋" w:cs="仿宋"/>
                <w:b/>
                <w:color w:val="auto"/>
                <w:kern w:val="0"/>
                <w:sz w:val="24"/>
                <w:highlight w:val="none"/>
                <w:lang w:val="zh-CN"/>
              </w:rPr>
              <w:sym w:font="Wingdings" w:char="00A8"/>
            </w:r>
            <w:r>
              <w:rPr>
                <w:rFonts w:hint="eastAsia" w:ascii="仿宋" w:hAnsi="仿宋" w:eastAsia="仿宋" w:cs="仿宋"/>
                <w:b/>
                <w:color w:val="auto"/>
                <w:kern w:val="0"/>
                <w:sz w:val="24"/>
                <w:highlight w:val="none"/>
                <w:lang w:val="zh-CN"/>
              </w:rPr>
              <w:t>本项目履约验收时委托第三方</w:t>
            </w:r>
            <w:r>
              <w:rPr>
                <w:rFonts w:hint="eastAsia" w:ascii="仿宋" w:hAnsi="仿宋" w:eastAsia="仿宋" w:cs="仿宋"/>
                <w:b/>
                <w:color w:val="auto"/>
                <w:kern w:val="0"/>
                <w:sz w:val="24"/>
                <w:highlight w:val="none"/>
              </w:rPr>
              <w:t>检测/测量</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首次</w:t>
            </w:r>
            <w:r>
              <w:rPr>
                <w:rFonts w:hint="eastAsia" w:ascii="仿宋" w:hAnsi="仿宋" w:eastAsia="仿宋" w:cs="仿宋"/>
                <w:b/>
                <w:color w:val="auto"/>
                <w:kern w:val="0"/>
                <w:sz w:val="24"/>
                <w:highlight w:val="none"/>
                <w:lang w:val="zh-CN"/>
              </w:rPr>
              <w:t>验收时</w:t>
            </w:r>
            <w:r>
              <w:rPr>
                <w:rFonts w:hint="eastAsia" w:ascii="仿宋" w:hAnsi="仿宋" w:eastAsia="仿宋" w:cs="仿宋"/>
                <w:b/>
                <w:color w:val="auto"/>
                <w:kern w:val="0"/>
                <w:sz w:val="24"/>
                <w:highlight w:val="none"/>
              </w:rPr>
              <w:t>检测/测量</w:t>
            </w:r>
            <w:r>
              <w:rPr>
                <w:rFonts w:hint="eastAsia" w:ascii="仿宋" w:hAnsi="仿宋" w:eastAsia="仿宋" w:cs="仿宋"/>
                <w:b/>
                <w:color w:val="auto"/>
                <w:kern w:val="0"/>
                <w:sz w:val="24"/>
                <w:highlight w:val="none"/>
                <w:lang w:val="zh-CN"/>
              </w:rPr>
              <w:t>费用由采购人承担，不包含在投标总价中。首次验收不合格，重新验收过程中产生的检测</w:t>
            </w:r>
            <w:r>
              <w:rPr>
                <w:rFonts w:hint="eastAsia" w:ascii="仿宋" w:hAnsi="仿宋" w:eastAsia="仿宋" w:cs="仿宋"/>
                <w:b/>
                <w:color w:val="auto"/>
                <w:kern w:val="0"/>
                <w:sz w:val="24"/>
                <w:highlight w:val="none"/>
              </w:rPr>
              <w:t>/测量</w:t>
            </w:r>
            <w:r>
              <w:rPr>
                <w:rFonts w:hint="eastAsia" w:ascii="仿宋" w:hAnsi="仿宋" w:eastAsia="仿宋" w:cs="仿宋"/>
                <w:b/>
                <w:color w:val="auto"/>
                <w:kern w:val="0"/>
                <w:sz w:val="24"/>
                <w:highlight w:val="none"/>
                <w:lang w:val="zh-CN"/>
              </w:rPr>
              <w:t>费用，由</w:t>
            </w:r>
            <w:r>
              <w:rPr>
                <w:rFonts w:hint="eastAsia" w:ascii="仿宋" w:hAnsi="仿宋" w:eastAsia="仿宋" w:cs="仿宋"/>
                <w:b/>
                <w:color w:val="auto"/>
                <w:kern w:val="0"/>
                <w:sz w:val="24"/>
                <w:highlight w:val="none"/>
              </w:rPr>
              <w:t>供应商</w:t>
            </w:r>
            <w:r>
              <w:rPr>
                <w:rFonts w:hint="eastAsia" w:ascii="仿宋" w:hAnsi="仿宋" w:eastAsia="仿宋" w:cs="仿宋"/>
                <w:b/>
                <w:color w:val="auto"/>
                <w:kern w:val="0"/>
                <w:sz w:val="24"/>
                <w:highlight w:val="none"/>
                <w:lang w:val="zh-CN"/>
              </w:rPr>
              <w:t>承担。</w:t>
            </w:r>
            <w:r>
              <w:rPr>
                <w:rFonts w:hint="eastAsia" w:ascii="仿宋" w:hAnsi="仿宋" w:eastAsia="仿宋" w:cs="仿宋"/>
                <w:b/>
                <w:color w:val="auto"/>
                <w:kern w:val="0"/>
                <w:sz w:val="24"/>
                <w:highlight w:val="none"/>
                <w:lang w:val="zh-CN"/>
              </w:rPr>
              <w:sym w:font="Wingdings" w:char="00FE"/>
            </w:r>
            <w:r>
              <w:rPr>
                <w:rFonts w:hint="eastAsia" w:ascii="仿宋" w:hAnsi="仿宋" w:eastAsia="仿宋" w:cs="仿宋"/>
                <w:b/>
                <w:color w:val="auto"/>
                <w:kern w:val="0"/>
                <w:sz w:val="24"/>
                <w:highlight w:val="none"/>
                <w:lang w:val="zh-CN"/>
              </w:rPr>
              <w:t>本项目履约验收时不委托第三方检测</w:t>
            </w:r>
            <w:r>
              <w:rPr>
                <w:rFonts w:hint="eastAsia" w:ascii="仿宋" w:hAnsi="仿宋" w:eastAsia="仿宋" w:cs="仿宋"/>
                <w:b/>
                <w:color w:val="auto"/>
                <w:kern w:val="0"/>
                <w:sz w:val="24"/>
                <w:highlight w:val="none"/>
              </w:rPr>
              <w:t>/测量</w:t>
            </w:r>
            <w:r>
              <w:rPr>
                <w:rFonts w:hint="eastAsia" w:ascii="仿宋" w:hAnsi="仿宋" w:eastAsia="仿宋" w:cs="仿宋"/>
                <w:b/>
                <w:color w:val="auto"/>
                <w:kern w:val="0"/>
                <w:sz w:val="24"/>
                <w:highlight w:val="none"/>
                <w:lang w:val="zh-CN"/>
              </w:rPr>
              <w:t>。</w:t>
            </w:r>
          </w:p>
          <w:p>
            <w:pPr>
              <w:wordWrap w:val="0"/>
              <w:snapToGrid w:val="0"/>
              <w:spacing w:line="360" w:lineRule="exact"/>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pPr>
              <w:wordWrap w:val="0"/>
              <w:snapToGrid w:val="0"/>
              <w:spacing w:line="360" w:lineRule="exact"/>
              <w:ind w:firstLine="482" w:firstLineChars="2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rPr>
              <w:t>1.</w:t>
            </w:r>
            <w:r>
              <w:rPr>
                <w:rFonts w:hint="eastAsia" w:ascii="仿宋" w:hAnsi="仿宋" w:eastAsia="仿宋" w:cs="仿宋"/>
                <w:b/>
                <w:color w:val="auto"/>
                <w:kern w:val="0"/>
                <w:sz w:val="24"/>
                <w:highlight w:val="none"/>
                <w:lang w:val="zh-CN"/>
              </w:rPr>
              <w:t>投标文件出现不是唯一的、有选择性投标报价的；</w:t>
            </w:r>
          </w:p>
          <w:p>
            <w:pPr>
              <w:wordWrap w:val="0"/>
              <w:snapToGrid w:val="0"/>
              <w:spacing w:line="360" w:lineRule="exact"/>
              <w:ind w:firstLine="482" w:firstLineChars="2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rPr>
              <w:t>2.</w:t>
            </w:r>
            <w:r>
              <w:rPr>
                <w:rFonts w:hint="eastAsia" w:ascii="仿宋" w:hAnsi="仿宋" w:eastAsia="仿宋" w:cs="仿宋"/>
                <w:b/>
                <w:color w:val="auto"/>
                <w:kern w:val="0"/>
                <w:sz w:val="24"/>
                <w:highlight w:val="none"/>
                <w:lang w:val="zh-CN"/>
              </w:rPr>
              <w:t>投标报价超过招标文件中规定的预算金额或者最高限价的;</w:t>
            </w:r>
          </w:p>
          <w:p>
            <w:pPr>
              <w:wordWrap w:val="0"/>
              <w:spacing w:line="3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3.报价明显低于其他通过符合性审查投标人的报价，有可能影响产品质量或者不能诚信履约的，未能按要求提供书面说明或者提交相关证明材料证明其报价合理性的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highlight w:val="none"/>
              </w:rPr>
              <w:t>;</w:t>
            </w:r>
          </w:p>
          <w:p>
            <w:pPr>
              <w:wordWrap w:val="0"/>
              <w:spacing w:line="36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4.投标人对根据修正原则修正后的报价不确认的</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w:t>
            </w:r>
          </w:p>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17" w:hRule="atLeast"/>
        </w:trPr>
        <w:tc>
          <w:tcPr>
            <w:tcW w:w="629" w:type="dxa"/>
            <w:tcBorders>
              <w:top w:val="single" w:color="auto" w:sz="4" w:space="0"/>
              <w:left w:val="single" w:color="000000" w:sz="8" w:space="0"/>
              <w:bottom w:val="single" w:color="auto" w:sz="4" w:space="0"/>
              <w:right w:val="single" w:color="000000" w:sz="2"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备份投标文件送达地点和签收</w:t>
            </w:r>
          </w:p>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wordWrap w:val="0"/>
              <w:spacing w:line="360" w:lineRule="exact"/>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投标人如提交备份投标文件的，请送至</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杭州市滨江区滨安路1180号7幢2层楼212室</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rPr>
              <w:t>；备份投标文件签收人员：</w:t>
            </w:r>
            <w:r>
              <w:rPr>
                <w:rFonts w:hint="eastAsia" w:ascii="仿宋" w:hAnsi="仿宋" w:eastAsia="仿宋" w:cs="仿宋"/>
                <w:color w:val="auto"/>
                <w:sz w:val="24"/>
                <w:szCs w:val="24"/>
                <w:highlight w:val="none"/>
                <w:u w:val="single"/>
                <w:lang w:eastAsia="zh-CN"/>
              </w:rPr>
              <w:t>程工</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17767198122</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4" w:hRule="atLeast"/>
        </w:trPr>
        <w:tc>
          <w:tcPr>
            <w:tcW w:w="629" w:type="dxa"/>
            <w:tcBorders>
              <w:top w:val="single" w:color="auto" w:sz="4" w:space="0"/>
              <w:left w:val="single" w:color="000000" w:sz="8" w:space="0"/>
              <w:right w:val="single" w:color="000000" w:sz="2" w:space="0"/>
            </w:tcBorders>
            <w:vAlign w:val="center"/>
          </w:tcPr>
          <w:p>
            <w:pPr>
              <w:wordWrap w:val="0"/>
              <w:snapToGri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tcBorders>
              <w:top w:val="single" w:color="000000" w:sz="8" w:space="0"/>
              <w:left w:val="single" w:color="000000" w:sz="2" w:space="0"/>
              <w:right w:val="single" w:color="000000" w:sz="8" w:space="0"/>
            </w:tcBorders>
            <w:vAlign w:val="center"/>
          </w:tcPr>
          <w:p>
            <w:pPr>
              <w:wordWrap w:val="0"/>
              <w:snapToGrid w:val="0"/>
              <w:spacing w:line="36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1.采购代理服务费：以原国家计委《招标代理服务收费管理暂行办法》（计价格〔2002〕1980号）的收费标准的80%计取，按单个标段中标（成交）价作为收费基数，若实际结算价低于6000元的，按6000元计取。</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供应商在代理机构发出</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通知书后7个工作日内一次性支付，开增值税普通发票。</w:t>
            </w:r>
            <w:r>
              <w:rPr>
                <w:rFonts w:hint="eastAsia" w:ascii="仿宋" w:hAnsi="仿宋" w:eastAsia="仿宋" w:cs="仿宋"/>
                <w:b/>
                <w:bCs/>
                <w:color w:val="auto"/>
                <w:sz w:val="24"/>
                <w:highlight w:val="none"/>
              </w:rPr>
              <w:t>由于</w:t>
            </w:r>
            <w:r>
              <w:rPr>
                <w:rFonts w:hint="eastAsia" w:ascii="仿宋" w:hAnsi="仿宋" w:eastAsia="仿宋" w:cs="仿宋"/>
                <w:b/>
                <w:bCs/>
                <w:color w:val="auto"/>
                <w:sz w:val="24"/>
                <w:highlight w:val="none"/>
                <w:lang w:eastAsia="zh-CN"/>
              </w:rPr>
              <w:t>中标</w:t>
            </w:r>
            <w:r>
              <w:rPr>
                <w:rFonts w:hint="eastAsia" w:ascii="仿宋" w:hAnsi="仿宋" w:eastAsia="仿宋" w:cs="仿宋"/>
                <w:b/>
                <w:bCs/>
                <w:color w:val="auto"/>
                <w:sz w:val="24"/>
                <w:highlight w:val="none"/>
              </w:rPr>
              <w:t>供应商原因导致重新采购的，应当承担支付代理费和专家评审费等费用在内的赔偿责任。</w:t>
            </w:r>
          </w:p>
          <w:p>
            <w:pPr>
              <w:pStyle w:val="33"/>
              <w:wordWrap w:val="0"/>
              <w:spacing w:line="36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2.本项目推荐中标候选人数量：1名。</w:t>
            </w:r>
          </w:p>
          <w:p>
            <w:pPr>
              <w:pStyle w:val="33"/>
              <w:wordWrap w:val="0"/>
              <w:spacing w:line="360" w:lineRule="exact"/>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color w:val="auto"/>
                <w:sz w:val="24"/>
                <w:szCs w:val="24"/>
                <w:highlight w:val="none"/>
              </w:rPr>
              <w:t>投标文件存在下列情况之一的，视为撤回：</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（1）电子投标文件（含备份文件）无法解密的；</w:t>
            </w:r>
          </w:p>
          <w:p>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（2）投标文件未按时解密或备份文件无法成功导入的；</w:t>
            </w:r>
          </w:p>
          <w:p>
            <w:pPr>
              <w:wordWrap w:val="0"/>
              <w:spacing w:line="36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（3）投标截止时间前，投标人仅递交了“备份投标文件”而未将“电子加密投标文件”成功上传至“政府采购云平台”的。</w:t>
            </w:r>
          </w:p>
          <w:p>
            <w:pPr>
              <w:pStyle w:val="33"/>
              <w:wordWrap w:val="0"/>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.政采云平台如对电子化开标及评审程序有调整的，按调整后的程序操作。</w:t>
            </w:r>
          </w:p>
          <w:p>
            <w:pPr>
              <w:pStyle w:val="33"/>
              <w:wordWrap w:val="0"/>
              <w:spacing w:line="360" w:lineRule="exact"/>
              <w:rPr>
                <w:rFonts w:hint="eastAsia" w:ascii="仿宋" w:hAnsi="仿宋" w:eastAsia="仿宋" w:cs="仿宋"/>
                <w:color w:val="auto"/>
                <w:sz w:val="24"/>
                <w:szCs w:val="24"/>
                <w:highlight w:val="none"/>
              </w:rPr>
            </w:pPr>
            <w:bookmarkStart w:id="26" w:name="_Hlk96025558"/>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bookmarkEnd w:id="26"/>
            <w:r>
              <w:rPr>
                <w:rFonts w:hint="eastAsia" w:ascii="仿宋" w:hAnsi="仿宋" w:eastAsia="仿宋" w:cs="仿宋"/>
                <w:color w:val="auto"/>
                <w:sz w:val="24"/>
                <w:highlight w:val="none"/>
                <w:lang w:bidi="ar"/>
              </w:rPr>
              <w:t>中标供应商在领取中标通知书时提供纸质投标文件三份（电子投标文件打印，装订成册，采用胶订或线订；封面再加盖单位公章（物理章）</w:t>
            </w:r>
            <w:r>
              <w:rPr>
                <w:rFonts w:hint="eastAsia" w:ascii="仿宋" w:hAnsi="仿宋" w:eastAsia="仿宋" w:cs="仿宋"/>
                <w:color w:val="auto"/>
                <w:sz w:val="24"/>
                <w:szCs w:val="24"/>
                <w:highlight w:val="none"/>
              </w:rPr>
              <w:t>。</w:t>
            </w:r>
          </w:p>
        </w:tc>
      </w:tr>
      <w:bookmarkEnd w:id="17"/>
    </w:tbl>
    <w:p>
      <w:pPr>
        <w:wordWrap w:val="0"/>
        <w:rPr>
          <w:rFonts w:hint="eastAsia" w:ascii="仿宋" w:hAnsi="仿宋" w:eastAsia="仿宋" w:cs="仿宋"/>
          <w:b/>
          <w:color w:val="auto"/>
          <w:sz w:val="32"/>
          <w:szCs w:val="20"/>
          <w:highlight w:val="none"/>
        </w:rPr>
      </w:pPr>
      <w:bookmarkStart w:id="27" w:name="_Toc164416483"/>
      <w:bookmarkStart w:id="28" w:name="第三部分"/>
      <w:r>
        <w:rPr>
          <w:rFonts w:hint="eastAsia" w:ascii="仿宋" w:hAnsi="仿宋" w:eastAsia="仿宋" w:cs="仿宋"/>
          <w:b/>
          <w:color w:val="auto"/>
          <w:sz w:val="32"/>
          <w:szCs w:val="20"/>
          <w:highlight w:val="none"/>
        </w:rPr>
        <w:br w:type="page"/>
      </w:r>
    </w:p>
    <w:p>
      <w:pPr>
        <w:wordWrap w:val="0"/>
        <w:adjustRightInd/>
        <w:spacing w:line="360" w:lineRule="auto"/>
        <w:ind w:firstLine="3845" w:firstLineChars="1197"/>
        <w:outlineLvl w:val="1"/>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pPr>
        <w:wordWrap w:val="0"/>
        <w:snapToGrid w:val="0"/>
        <w:spacing w:line="360" w:lineRule="auto"/>
        <w:jc w:val="left"/>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wordWrap w:val="0"/>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numPr>
          <w:ilvl w:val="0"/>
          <w:numId w:val="1"/>
        </w:numPr>
        <w:wordWrap w:val="0"/>
        <w:adjustRightInd/>
        <w:spacing w:line="360" w:lineRule="auto"/>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定义</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系指实质性要求条款，“★”系产品采购项目中单一产品或核心产品，“</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wordWrap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3.2.2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本项目为修缮、装修类项目，采购的建材绿色建筑和绿色建材性能、指标等实质性条件详见采购需求和合同。</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wordWrap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wordWrap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在货物采购项目中，货物由中小企业制造，即货物由中小企业生产且使用该中小企业商号或者注册商标；投标人提供的货物既有中小企业制造货物，也有大型企业制造货物的，不享受中小企业扶持政策。</w:t>
      </w:r>
    </w:p>
    <w:p>
      <w:pPr>
        <w:widowControl/>
        <w:wordWrap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本项目具体扣除比例详见“评审办法”）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%（本项目具体扣除比例详见“评审办法”）的扣除，用扣除后的价格参加评审。组成联合体或者接受分包的小微企业与联合体内其他企业、分包企业之间存在直接控股、管理关系的，不享受价格扣除优惠政策。</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3.4.3 采购人应当贯彻落实知识产权保护相关法律法规，应当采购使用正版软件。</w:t>
      </w:r>
    </w:p>
    <w:p>
      <w:pPr>
        <w:wordWrap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3.5平等对待内外资企业和符合条件的破产重整企业</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询问、质疑、投诉、补偿救济</w:t>
      </w:r>
    </w:p>
    <w:p>
      <w:pPr>
        <w:wordWrap w:val="0"/>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wordWrap w:val="0"/>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供应商询问</w:t>
      </w:r>
    </w:p>
    <w:p>
      <w:pPr>
        <w:wordWrap w:val="0"/>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供应商质疑</w:t>
      </w:r>
    </w:p>
    <w:p>
      <w:pPr>
        <w:pStyle w:val="33"/>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pPr>
        <w:pStyle w:val="33"/>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7"/>
        <w:wordWrap w:val="0"/>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pPr>
        <w:pStyle w:val="33"/>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w:t>
      </w:r>
    </w:p>
    <w:p>
      <w:pPr>
        <w:pStyle w:val="33"/>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4.3.2.3对采购结果提出质疑的，质疑期限自采购结果公告期限届满之日起计算。</w:t>
      </w:r>
    </w:p>
    <w:p>
      <w:pPr>
        <w:pStyle w:val="33"/>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供应商提出质疑应当提交质疑函和必要的证明材料。质疑函应当包括下列内容：</w:t>
      </w:r>
    </w:p>
    <w:p>
      <w:pPr>
        <w:pStyle w:val="33"/>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.3.1供应商的姓名或者名称、地址、邮编、联系人及联系电话；</w:t>
      </w:r>
    </w:p>
    <w:p>
      <w:pPr>
        <w:pStyle w:val="33"/>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.3.2质疑项目的名称、编号；</w:t>
      </w:r>
    </w:p>
    <w:p>
      <w:pPr>
        <w:pStyle w:val="33"/>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.3.3具体、明确的质疑事项和与质疑事项相关的请求；</w:t>
      </w:r>
    </w:p>
    <w:p>
      <w:pPr>
        <w:pStyle w:val="33"/>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.3.4事实依据；</w:t>
      </w:r>
    </w:p>
    <w:p>
      <w:pPr>
        <w:pStyle w:val="33"/>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.3.5必要的法律依据；</w:t>
      </w:r>
    </w:p>
    <w:p>
      <w:pPr>
        <w:pStyle w:val="33"/>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.3.6提出质疑的日期。</w:t>
      </w:r>
    </w:p>
    <w:p>
      <w:pPr>
        <w:pStyle w:val="890"/>
        <w:shd w:val="clear" w:color="auto" w:fill="FFFFFF"/>
        <w:wordWrap w:val="0"/>
        <w:snapToGrid w:val="0"/>
        <w:spacing w:before="0" w:beforeAutospacing="0" w:after="0" w:afterAutospacing="0" w:line="360" w:lineRule="auto"/>
        <w:ind w:firstLine="403"/>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90"/>
        <w:shd w:val="clear" w:color="auto" w:fill="FFFFFF"/>
        <w:wordWrap w:val="0"/>
        <w:snapToGrid w:val="0"/>
        <w:spacing w:after="24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pStyle w:val="890"/>
        <w:shd w:val="clear" w:color="auto" w:fill="FFFFFF"/>
        <w:wordWrap w:val="0"/>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3.4对同一采购程序环节的质疑，供应商须在法定质疑期内一次性提出。</w:t>
      </w:r>
    </w:p>
    <w:p>
      <w:pPr>
        <w:pStyle w:val="890"/>
        <w:shd w:val="clear" w:color="auto" w:fill="FFFFFF"/>
        <w:wordWrap w:val="0"/>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890"/>
        <w:shd w:val="clear" w:color="auto" w:fill="FFFFFF"/>
        <w:wordWrap w:val="0"/>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3.6询问或者质疑事项可能影响采购结果的，采购人应当暂停签订合同，已经签订合同的，应当中止履行合同。</w:t>
      </w:r>
    </w:p>
    <w:p>
      <w:pPr>
        <w:pStyle w:val="890"/>
        <w:shd w:val="clear" w:color="auto" w:fill="FFFFFF"/>
        <w:wordWrap w:val="0"/>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4</w:t>
      </w:r>
      <w:r>
        <w:rPr>
          <w:rFonts w:hint="eastAsia" w:ascii="仿宋" w:hAnsi="仿宋" w:eastAsia="仿宋" w:cs="仿宋"/>
          <w:color w:val="auto"/>
          <w:highlight w:val="none"/>
          <w:lang w:val="zh-CN"/>
        </w:rPr>
        <w:t>供应商投诉</w:t>
      </w:r>
    </w:p>
    <w:p>
      <w:pPr>
        <w:pStyle w:val="890"/>
        <w:shd w:val="clear" w:color="auto" w:fill="FFFFFF"/>
        <w:wordWrap w:val="0"/>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pStyle w:val="890"/>
        <w:shd w:val="clear" w:color="auto" w:fill="FFFFFF"/>
        <w:wordWrap w:val="0"/>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pPr>
        <w:pStyle w:val="890"/>
        <w:shd w:val="clear" w:color="auto" w:fill="FFFFFF"/>
        <w:wordWrap w:val="0"/>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pPr>
        <w:pStyle w:val="890"/>
        <w:shd w:val="clear" w:color="auto" w:fill="FFFFFF"/>
        <w:wordWrap w:val="0"/>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 以联合体形式参加政府采购活动的，其投诉应当由组成联合体的所有供应商共同提出。</w:t>
      </w:r>
    </w:p>
    <w:p>
      <w:pPr>
        <w:pStyle w:val="890"/>
        <w:widowControl w:val="0"/>
        <w:shd w:val="clear" w:color="auto" w:fill="FFFFFF"/>
        <w:wordWrap w:val="0"/>
        <w:snapToGrid w:val="0"/>
        <w:spacing w:after="24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90"/>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890"/>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4.5 补偿救济</w:t>
      </w:r>
    </w:p>
    <w:p>
      <w:pPr>
        <w:pStyle w:val="890"/>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采购人（行政机关）因政策变化、规划调整而不履行政府采购合同的，供应商可依据《杭州市涉企补偿救济实施办法（试行）》向采购人（行政机关）提起补偿申请。</w:t>
      </w:r>
    </w:p>
    <w:p>
      <w:pPr>
        <w:pStyle w:val="132"/>
        <w:wordWrap w:val="0"/>
        <w:snapToGrid w:val="0"/>
        <w:spacing w:before="0"/>
        <w:ind w:firstLine="360"/>
        <w:rPr>
          <w:rFonts w:hint="eastAsia" w:ascii="仿宋" w:hAnsi="仿宋" w:eastAsia="仿宋" w:cs="仿宋"/>
          <w:color w:val="auto"/>
          <w:sz w:val="18"/>
          <w:szCs w:val="18"/>
          <w:highlight w:val="none"/>
        </w:rPr>
      </w:pPr>
    </w:p>
    <w:p>
      <w:pPr>
        <w:wordWrap w:val="0"/>
        <w:adjustRightInd/>
        <w:spacing w:line="360" w:lineRule="auto"/>
        <w:jc w:val="center"/>
        <w:outlineLvl w:val="1"/>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二、招标文件的构成、澄清、修改</w:t>
      </w:r>
    </w:p>
    <w:p>
      <w:pPr>
        <w:pStyle w:val="33"/>
        <w:wordWrap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pPr>
        <w:pStyle w:val="33"/>
        <w:wordWrap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pPr>
        <w:pStyle w:val="33"/>
        <w:tabs>
          <w:tab w:val="left" w:pos="840"/>
        </w:tabs>
        <w:wordWrap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pPr>
        <w:pStyle w:val="33"/>
        <w:tabs>
          <w:tab w:val="left" w:pos="840"/>
        </w:tabs>
        <w:wordWrap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pPr>
        <w:pStyle w:val="33"/>
        <w:tabs>
          <w:tab w:val="left" w:pos="840"/>
        </w:tabs>
        <w:wordWrap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pPr>
        <w:pStyle w:val="33"/>
        <w:tabs>
          <w:tab w:val="left" w:pos="840"/>
        </w:tabs>
        <w:wordWrap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pPr>
        <w:pStyle w:val="33"/>
        <w:tabs>
          <w:tab w:val="left" w:pos="840"/>
        </w:tabs>
        <w:wordWrap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pPr>
        <w:pStyle w:val="33"/>
        <w:tabs>
          <w:tab w:val="left" w:pos="840"/>
        </w:tabs>
        <w:wordWrap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33"/>
        <w:wordWrap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pPr>
        <w:pStyle w:val="132"/>
        <w:wordWrap w:val="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6.1已获取招标文件的潜在投标人，若有问题需要澄清，应于投标截止时间前，以书面形式或政采云线上询问方式向采购代理机构提出。</w:t>
      </w:r>
    </w:p>
    <w:p>
      <w:pPr>
        <w:pStyle w:val="132"/>
        <w:wordWrap w:val="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wordWrap w:val="0"/>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wordWrap w:val="0"/>
        <w:adjustRightInd/>
        <w:spacing w:line="360" w:lineRule="auto"/>
        <w:jc w:val="center"/>
        <w:outlineLvl w:val="1"/>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pPr>
        <w:pStyle w:val="33"/>
        <w:wordWrap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pPr>
        <w:wordWrap w:val="0"/>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33"/>
        <w:numPr>
          <w:ilvl w:val="0"/>
          <w:numId w:val="2"/>
        </w:numPr>
        <w:wordWrap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开标前答疑会或现场考察</w:t>
      </w:r>
    </w:p>
    <w:p>
      <w:pPr>
        <w:pStyle w:val="33"/>
        <w:wordWrap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33"/>
        <w:numPr>
          <w:ilvl w:val="0"/>
          <w:numId w:val="2"/>
        </w:numPr>
        <w:wordWrap w:val="0"/>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投标保证金</w:t>
      </w:r>
    </w:p>
    <w:p>
      <w:pPr>
        <w:pStyle w:val="17"/>
        <w:wordWrap w:val="0"/>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3"/>
        <w:wordWrap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pPr>
        <w:wordWrap w:val="0"/>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33"/>
        <w:wordWrap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11.1.1供应商（联合体参加的指联合体双方）的营业执照或者其他由国家相关部门出具的具有独立承担民事责任能力的证明文件（自然人参加的提供身份证复制件）；        11.1.2符合参加政府采购活动应当具备的一般条件、特殊资格条件的承诺函；</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11.1.3联合协议（联合体参加的提供）；</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11.1.4满足政府采购政策的资格要求证明材料；</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11.1.5满足本项目特定资格要求的证明材料。</w:t>
      </w:r>
    </w:p>
    <w:p>
      <w:pPr>
        <w:wordWrap w:val="0"/>
        <w:snapToGrid w:val="0"/>
        <w:spacing w:line="360" w:lineRule="auto"/>
        <w:ind w:firstLine="482" w:firstLineChars="200"/>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11.</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zh-CN"/>
        </w:rPr>
        <w:t xml:space="preserve">  </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11.2.3分包意向协议（拟分包的提供)；</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pPr>
        <w:wordWrap w:val="0"/>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pPr>
        <w:wordWrap w:val="0"/>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11.2.6</w:t>
      </w:r>
      <w:r>
        <w:rPr>
          <w:rFonts w:hint="eastAsia" w:ascii="仿宋" w:hAnsi="仿宋" w:eastAsia="仿宋" w:cs="仿宋"/>
          <w:color w:val="auto"/>
          <w:sz w:val="24"/>
          <w:highlight w:val="none"/>
          <w:lang w:val="zh-CN"/>
        </w:rPr>
        <w:t>政府采购供应商廉洁自律承诺书。</w:t>
      </w:r>
    </w:p>
    <w:p>
      <w:pPr>
        <w:wordWrap w:val="0"/>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pPr>
        <w:wordWrap w:val="0"/>
        <w:adjustRightInd/>
        <w:snapToGrid w:val="0"/>
        <w:spacing w:line="360" w:lineRule="auto"/>
        <w:ind w:firstLine="960" w:firstLineChars="4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11.3.1开标一览表（报价表）</w:t>
      </w:r>
      <w:r>
        <w:rPr>
          <w:rFonts w:hint="eastAsia" w:ascii="仿宋" w:hAnsi="仿宋" w:eastAsia="仿宋" w:cs="仿宋"/>
          <w:color w:val="auto"/>
          <w:sz w:val="24"/>
          <w:highlight w:val="none"/>
          <w:lang w:eastAsia="zh-CN"/>
        </w:rPr>
        <w:t>；</w:t>
      </w:r>
    </w:p>
    <w:p>
      <w:pPr>
        <w:wordWrap w:val="0"/>
        <w:adjustRightInd/>
        <w:snapToGrid w:val="0"/>
        <w:spacing w:line="360" w:lineRule="auto"/>
        <w:ind w:firstLine="960" w:firstLineChars="4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11.3.2报价情况说明（如供应商报价低于最高限价50%的，应当提交本文档，详细阐述不影响服务质量或者诚信履约的具体原因）；</w:t>
      </w:r>
    </w:p>
    <w:p>
      <w:pPr>
        <w:wordWrap w:val="0"/>
        <w:adjustRightInd/>
        <w:snapToGrid w:val="0"/>
        <w:spacing w:line="360" w:lineRule="auto"/>
        <w:ind w:left="0" w:leftChars="0" w:firstLine="960" w:firstLineChars="4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11.3.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中小企业声明函（若供应商（含联合体中的中小企业、签订分包意向协议的中小企业）为小微企业，且提供了中小企业声明函的，则可享受价格享受价格扣除优惠政策）</w:t>
      </w:r>
      <w:r>
        <w:rPr>
          <w:rFonts w:hint="eastAsia" w:ascii="仿宋" w:hAnsi="仿宋" w:eastAsia="仿宋" w:cs="仿宋"/>
          <w:color w:val="auto"/>
          <w:sz w:val="24"/>
          <w:highlight w:val="none"/>
          <w:lang w:eastAsia="zh-CN"/>
        </w:rPr>
        <w:t>；</w:t>
      </w:r>
    </w:p>
    <w:p>
      <w:pPr>
        <w:wordWrap w:val="0"/>
        <w:spacing w:line="360" w:lineRule="auto"/>
        <w:ind w:firstLine="960" w:firstLineChars="400"/>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11.3.4</w:t>
      </w:r>
      <w:r>
        <w:rPr>
          <w:rFonts w:hint="eastAsia" w:ascii="仿宋" w:hAnsi="仿宋" w:eastAsia="仿宋" w:cs="仿宋"/>
          <w:color w:val="auto"/>
          <w:sz w:val="24"/>
          <w:highlight w:val="none"/>
        </w:rPr>
        <w:t>供应商针对报价需要说明的其他文件和说明（格式自拟）。</w:t>
      </w:r>
    </w:p>
    <w:p>
      <w:pPr>
        <w:wordWrap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pPr>
        <w:wordWrap w:val="0"/>
        <w:spacing w:line="360" w:lineRule="auto"/>
        <w:ind w:firstLine="482" w:firstLineChars="2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lang w:val="en-US" w:eastAsia="zh-CN"/>
        </w:rPr>
        <w:t>供应商</w:t>
      </w:r>
      <w:r>
        <w:rPr>
          <w:rFonts w:hint="eastAsia" w:ascii="仿宋" w:hAnsi="仿宋" w:eastAsia="仿宋" w:cs="仿宋"/>
          <w:b/>
          <w:color w:val="auto"/>
          <w:sz w:val="24"/>
          <w:highlight w:val="none"/>
        </w:rPr>
        <w:t>应对</w:t>
      </w:r>
      <w:r>
        <w:rPr>
          <w:rFonts w:hint="eastAsia" w:ascii="仿宋" w:hAnsi="仿宋" w:eastAsia="仿宋" w:cs="仿宋"/>
          <w:b/>
          <w:color w:val="auto"/>
          <w:sz w:val="24"/>
          <w:highlight w:val="none"/>
          <w:lang w:val="en-US" w:eastAsia="zh-CN"/>
        </w:rPr>
        <w:t>响应</w:t>
      </w:r>
      <w:r>
        <w:rPr>
          <w:rFonts w:hint="eastAsia" w:ascii="仿宋" w:hAnsi="仿宋" w:eastAsia="仿宋" w:cs="仿宋"/>
          <w:b/>
          <w:color w:val="auto"/>
          <w:sz w:val="24"/>
          <w:highlight w:val="none"/>
        </w:rPr>
        <w:t>文件中材料的真实性、合法性负责。投标人提供虚假材料投标的，投标无效。</w:t>
      </w:r>
    </w:p>
    <w:p>
      <w:pPr>
        <w:pStyle w:val="132"/>
        <w:numPr>
          <w:ilvl w:val="0"/>
          <w:numId w:val="3"/>
        </w:numPr>
        <w:wordWrap w:val="0"/>
        <w:snapToGrid w:val="0"/>
        <w:spacing w:before="0"/>
        <w:ind w:firstLine="0" w:firstLineChars="0"/>
        <w:outlineLvl w:val="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投标文件的编制</w:t>
      </w:r>
    </w:p>
    <w:p>
      <w:pPr>
        <w:wordWrap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wordWrap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numPr>
          <w:ilvl w:val="0"/>
          <w:numId w:val="3"/>
        </w:numPr>
        <w:wordWrap w:val="0"/>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投标文件的签署、盖章</w:t>
      </w:r>
    </w:p>
    <w:p>
      <w:pPr>
        <w:pStyle w:val="132"/>
        <w:wordWrap w:val="0"/>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pPr>
        <w:pStyle w:val="132"/>
        <w:wordWrap w:val="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2"/>
        <w:wordWrap w:val="0"/>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pPr>
        <w:pStyle w:val="132"/>
        <w:wordWrap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pPr>
        <w:pStyle w:val="132"/>
        <w:wordWrap w:val="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2"/>
        <w:wordWrap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2"/>
        <w:wordWrap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3"/>
        <w:wordWrap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 备份投标文件</w:t>
      </w:r>
    </w:p>
    <w:p>
      <w:pPr>
        <w:pStyle w:val="33"/>
        <w:wordWrap w:val="0"/>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15.1投标人在电子交易平台传输递交投标文件后，可以在投标截止时间前直接提交或者以快递方式递交备份投标文件1份（</w:t>
      </w:r>
      <w:r>
        <w:rPr>
          <w:rFonts w:hint="eastAsia" w:ascii="仿宋" w:hAnsi="仿宋" w:eastAsia="仿宋" w:cs="仿宋"/>
          <w:b/>
          <w:color w:val="auto"/>
          <w:sz w:val="24"/>
          <w:szCs w:val="24"/>
          <w:highlight w:val="none"/>
        </w:rPr>
        <w:t>非强制要求，投标人自行考虑，快递到付或包裹破损拒绝接受）。</w:t>
      </w:r>
    </w:p>
    <w:p>
      <w:pPr>
        <w:pStyle w:val="33"/>
        <w:wordWrap w:val="0"/>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DVD光盘或U盘</w:t>
      </w:r>
      <w:r>
        <w:rPr>
          <w:rFonts w:hint="eastAsia" w:ascii="仿宋" w:hAnsi="仿宋" w:eastAsia="仿宋" w:cs="仿宋"/>
          <w:color w:val="auto"/>
          <w:sz w:val="24"/>
          <w:szCs w:val="24"/>
          <w:highlight w:val="none"/>
        </w:rPr>
        <w:t>中。备份投标文件应当密封包装并在包装上加盖公章并注明投标项目名称，投标人名称(</w:t>
      </w:r>
      <w:r>
        <w:rPr>
          <w:rFonts w:hint="eastAsia" w:ascii="仿宋" w:hAnsi="仿宋" w:eastAsia="仿宋" w:cs="仿宋"/>
          <w:b/>
          <w:bCs/>
          <w:color w:val="auto"/>
          <w:sz w:val="24"/>
          <w:szCs w:val="24"/>
          <w:highlight w:val="none"/>
        </w:rPr>
        <w:t>联合体投标的，包装物封面需注明联合体投标，并注明联合体成员各方的名称和联合协议中约定的牵头人的名称</w:t>
      </w:r>
      <w:r>
        <w:rPr>
          <w:rFonts w:hint="eastAsia" w:ascii="仿宋" w:hAnsi="仿宋" w:eastAsia="仿宋" w:cs="仿宋"/>
          <w:color w:val="auto"/>
          <w:sz w:val="24"/>
          <w:szCs w:val="24"/>
          <w:highlight w:val="none"/>
        </w:rPr>
        <w:t>)。</w:t>
      </w:r>
      <w:r>
        <w:rPr>
          <w:rFonts w:hint="eastAsia" w:ascii="仿宋" w:hAnsi="仿宋" w:eastAsia="仿宋" w:cs="仿宋"/>
          <w:b/>
          <w:bCs/>
          <w:color w:val="auto"/>
          <w:sz w:val="24"/>
          <w:highlight w:val="none"/>
        </w:rPr>
        <w:t>不符合上述制作、</w:t>
      </w:r>
      <w:r>
        <w:rPr>
          <w:rFonts w:hint="eastAsia" w:ascii="仿宋" w:hAnsi="仿宋" w:eastAsia="仿宋" w:cs="仿宋"/>
          <w:b/>
          <w:bCs/>
          <w:color w:val="auto"/>
          <w:sz w:val="24"/>
          <w:szCs w:val="24"/>
          <w:highlight w:val="none"/>
        </w:rPr>
        <w:t>存储、密封规定的备份投标文件将被视为无效或者被拒绝接收。</w:t>
      </w:r>
    </w:p>
    <w:p>
      <w:pPr>
        <w:pStyle w:val="33"/>
        <w:wordWrap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3"/>
        <w:wordWrap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15.4以快递方式递交备份投标文件的，投标人应先将备份投标文件按要求密封和标记，再进行快递包装后邮寄。备份投标文件须在投标截止时间之前送达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3"/>
        <w:wordWrap w:val="0"/>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pPr>
        <w:pStyle w:val="132"/>
        <w:numPr>
          <w:ilvl w:val="0"/>
          <w:numId w:val="4"/>
        </w:numPr>
        <w:wordWrap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投标文件的无效处理</w:t>
      </w:r>
    </w:p>
    <w:p>
      <w:pPr>
        <w:pStyle w:val="25"/>
        <w:wordWrap w:val="0"/>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有招标文件第四部分第</w:t>
      </w:r>
      <w:r>
        <w:rPr>
          <w:rFonts w:hint="eastAsia" w:ascii="仿宋" w:hAnsi="仿宋" w:eastAsia="仿宋" w:cs="仿宋"/>
          <w:color w:val="auto"/>
          <w:highlight w:val="none"/>
        </w:rPr>
        <w:t>4.2项规定</w:t>
      </w:r>
      <w:r>
        <w:rPr>
          <w:rFonts w:hint="eastAsia" w:ascii="仿宋" w:hAnsi="仿宋" w:eastAsia="仿宋" w:cs="仿宋"/>
          <w:color w:val="auto"/>
          <w:szCs w:val="21"/>
          <w:highlight w:val="none"/>
        </w:rPr>
        <w:t>的情形之一的，投标无效。</w:t>
      </w:r>
    </w:p>
    <w:p>
      <w:pPr>
        <w:pStyle w:val="132"/>
        <w:numPr>
          <w:ilvl w:val="0"/>
          <w:numId w:val="4"/>
        </w:numPr>
        <w:wordWrap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投标有效期</w:t>
      </w:r>
    </w:p>
    <w:p>
      <w:pPr>
        <w:wordWrap w:val="0"/>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pPr>
        <w:pStyle w:val="132"/>
        <w:wordWrap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132"/>
        <w:wordWrap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2"/>
        <w:wordWrap w:val="0"/>
        <w:spacing w:before="0"/>
        <w:ind w:firstLine="643"/>
        <w:rPr>
          <w:rFonts w:hint="eastAsia" w:ascii="仿宋" w:hAnsi="仿宋" w:eastAsia="仿宋" w:cs="仿宋"/>
          <w:b/>
          <w:color w:val="auto"/>
          <w:sz w:val="32"/>
          <w:highlight w:val="none"/>
        </w:rPr>
      </w:pPr>
    </w:p>
    <w:p>
      <w:pPr>
        <w:pStyle w:val="132"/>
        <w:wordWrap w:val="0"/>
        <w:spacing w:before="0"/>
        <w:ind w:firstLine="1928" w:firstLineChars="600"/>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pPr>
        <w:pStyle w:val="559"/>
        <w:wordWrap w:val="0"/>
        <w:spacing w:before="0" w:line="360" w:lineRule="auto"/>
        <w:ind w:left="0" w:firstLine="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 开标</w:t>
      </w:r>
      <w:r>
        <w:rPr>
          <w:rFonts w:hint="eastAsia" w:ascii="仿宋" w:hAnsi="仿宋" w:eastAsia="仿宋" w:cs="仿宋"/>
          <w:color w:val="auto"/>
          <w:sz w:val="24"/>
          <w:highlight w:val="none"/>
        </w:rPr>
        <w:t xml:space="preserve"> </w:t>
      </w:r>
    </w:p>
    <w:p>
      <w:pPr>
        <w:pStyle w:val="559"/>
        <w:wordWrap w:val="0"/>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18.1采购代理机构按照招标文件规定的时间通过电子交易平台组织开标，所有投标人均应当准时在线参加。投标人不足3家的，不得开标。</w:t>
      </w:r>
    </w:p>
    <w:p>
      <w:pPr>
        <w:pStyle w:val="559"/>
        <w:wordWrap w:val="0"/>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559"/>
        <w:wordWrap w:val="0"/>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pPr>
        <w:pStyle w:val="559"/>
        <w:wordWrap w:val="0"/>
        <w:spacing w:before="0" w:line="360" w:lineRule="auto"/>
        <w:ind w:left="0" w:firstLine="480" w:firstLineChars="200"/>
        <w:contextualSpacing/>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18.4本项目唱标顺序：</w:t>
      </w:r>
      <w:r>
        <w:rPr>
          <w:rFonts w:hint="eastAsia" w:ascii="仿宋" w:hAnsi="仿宋" w:eastAsia="仿宋" w:cs="仿宋"/>
          <w:color w:val="auto"/>
          <w:sz w:val="24"/>
          <w:highlight w:val="none"/>
          <w:u w:val="single"/>
        </w:rPr>
        <w:sym w:font="Wingdings" w:char="00FE"/>
      </w:r>
      <w:r>
        <w:rPr>
          <w:rFonts w:hint="eastAsia" w:ascii="仿宋" w:hAnsi="仿宋" w:eastAsia="仿宋" w:cs="仿宋"/>
          <w:color w:val="auto"/>
          <w:sz w:val="24"/>
          <w:highlight w:val="none"/>
          <w:u w:val="single"/>
        </w:rPr>
        <w:t>先技术商务后报价（后唱标），</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报价技术商务同时开（先唱标）。</w:t>
      </w:r>
    </w:p>
    <w:p>
      <w:pPr>
        <w:pStyle w:val="559"/>
        <w:wordWrap w:val="0"/>
        <w:spacing w:before="0" w:line="360" w:lineRule="auto"/>
        <w:ind w:left="0" w:firstLine="0"/>
        <w:contextualSpacing/>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19. 资格审查</w:t>
      </w:r>
    </w:p>
    <w:p>
      <w:pPr>
        <w:pStyle w:val="132"/>
        <w:wordWrap w:val="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19.1开标后，采购人或采购代理机构将依法对投标人的资格进行审查。</w:t>
      </w:r>
    </w:p>
    <w:p>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采购人或采购代理机构依据法律法规和招标文件的规定，对投标人的基本资格条件、特定资格条件进行审查。</w:t>
      </w:r>
    </w:p>
    <w:p>
      <w:pPr>
        <w:pStyle w:val="132"/>
        <w:wordWrap w:val="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19.3投标人未按照招标文件要求提供与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pPr>
        <w:pStyle w:val="132"/>
        <w:wordWrap w:val="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4对未通过资格审查的投标人，采购人或采购代理机构告知其未通过的原因。</w:t>
      </w:r>
    </w:p>
    <w:p>
      <w:pPr>
        <w:pStyle w:val="132"/>
        <w:wordWrap w:val="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5合格投标人不足3家的，不再继续评标。</w:t>
      </w:r>
    </w:p>
    <w:p>
      <w:pPr>
        <w:pStyle w:val="132"/>
        <w:wordWrap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19.6</w:t>
      </w:r>
      <w:r>
        <w:rPr>
          <w:rFonts w:hint="eastAsia" w:ascii="仿宋" w:hAnsi="仿宋" w:eastAsia="仿宋" w:cs="仿宋"/>
          <w:color w:val="auto"/>
          <w:highlight w:val="none"/>
        </w:rPr>
        <w:t>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132"/>
        <w:numPr>
          <w:ilvl w:val="0"/>
          <w:numId w:val="5"/>
        </w:numPr>
        <w:wordWrap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信用信息查询</w:t>
      </w:r>
    </w:p>
    <w:p>
      <w:pPr>
        <w:pStyle w:val="132"/>
        <w:wordWrap w:val="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pPr>
        <w:pStyle w:val="132"/>
        <w:wordWrap w:val="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132"/>
        <w:wordWrap w:val="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2"/>
        <w:wordWrap w:val="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pPr>
        <w:pStyle w:val="132"/>
        <w:wordWrap w:val="0"/>
        <w:spacing w:before="0"/>
        <w:ind w:firstLine="0" w:firstLineChars="0"/>
        <w:rPr>
          <w:rFonts w:hint="eastAsia" w:ascii="仿宋" w:hAnsi="仿宋" w:eastAsia="仿宋" w:cs="仿宋"/>
          <w:color w:val="auto"/>
          <w:kern w:val="0"/>
          <w:szCs w:val="24"/>
          <w:highlight w:val="none"/>
        </w:rPr>
      </w:pPr>
    </w:p>
    <w:p>
      <w:pPr>
        <w:wordWrap w:val="0"/>
        <w:snapToGrid w:val="0"/>
        <w:spacing w:line="360" w:lineRule="auto"/>
        <w:jc w:val="center"/>
        <w:outlineLvl w:val="1"/>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pPr>
        <w:wordWrap w:val="0"/>
        <w:spacing w:line="360" w:lineRule="auto"/>
        <w:ind w:firstLine="241" w:firstLineChars="100"/>
        <w:rPr>
          <w:rFonts w:hint="eastAsia" w:ascii="仿宋" w:hAnsi="仿宋" w:eastAsia="仿宋" w:cs="仿宋"/>
          <w:b/>
          <w:color w:val="auto"/>
          <w:sz w:val="24"/>
          <w:highlight w:val="none"/>
        </w:rPr>
      </w:pPr>
      <w:bookmarkStart w:id="29"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pPr>
        <w:wordWrap w:val="0"/>
        <w:spacing w:line="360" w:lineRule="auto"/>
        <w:rPr>
          <w:rFonts w:hint="eastAsia" w:ascii="仿宋" w:hAnsi="仿宋" w:eastAsia="仿宋" w:cs="仿宋"/>
          <w:b/>
          <w:color w:val="auto"/>
          <w:sz w:val="24"/>
          <w:highlight w:val="none"/>
        </w:rPr>
      </w:pPr>
    </w:p>
    <w:p>
      <w:pPr>
        <w:wordWrap w:val="0"/>
        <w:snapToGrid w:val="0"/>
        <w:spacing w:line="360" w:lineRule="auto"/>
        <w:jc w:val="center"/>
        <w:outlineLvl w:val="1"/>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pPr>
        <w:pStyle w:val="25"/>
        <w:wordWrap w:val="0"/>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pPr>
        <w:pStyle w:val="132"/>
        <w:wordWrap w:val="0"/>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一般在收到评审报告当天确定</w:t>
      </w:r>
      <w:r>
        <w:rPr>
          <w:rFonts w:hint="eastAsia" w:ascii="仿宋" w:hAnsi="仿宋" w:eastAsia="仿宋" w:cs="仿宋"/>
          <w:color w:val="auto"/>
          <w:szCs w:val="24"/>
          <w:highlight w:val="none"/>
          <w:lang w:eastAsia="zh-CN"/>
        </w:rPr>
        <w:t>中标</w:t>
      </w:r>
      <w:r>
        <w:rPr>
          <w:rFonts w:hint="eastAsia" w:ascii="仿宋" w:hAnsi="仿宋" w:eastAsia="仿宋" w:cs="仿宋"/>
          <w:color w:val="auto"/>
          <w:szCs w:val="24"/>
          <w:highlight w:val="none"/>
        </w:rPr>
        <w:t>供应商。中标、成交通知书和中标、成交结果公告应当在规定时间内同时发出。</w:t>
      </w:r>
    </w:p>
    <w:p>
      <w:pPr>
        <w:pStyle w:val="132"/>
        <w:wordWrap w:val="0"/>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pPr>
        <w:widowControl/>
        <w:shd w:val="clear" w:color="auto" w:fill="FFFFFF"/>
        <w:wordWrap w:val="0"/>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wordWrap w:val="0"/>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wordWrap w:val="0"/>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widowControl/>
        <w:shd w:val="clear" w:color="auto" w:fill="FFFFFF"/>
        <w:spacing w:line="360" w:lineRule="auto"/>
        <w:ind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24.由于</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供应商原因导致重新采购的，应当承担支付代理费和专家评审费等费用在内的赔偿责任。</w:t>
      </w:r>
    </w:p>
    <w:p>
      <w:pPr>
        <w:wordWrap w:val="0"/>
        <w:snapToGrid w:val="0"/>
        <w:spacing w:line="360" w:lineRule="auto"/>
        <w:ind w:left="120" w:leftChars="57" w:firstLine="482" w:firstLineChars="150"/>
        <w:jc w:val="center"/>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pPr>
        <w:pStyle w:val="25"/>
        <w:wordWrap w:val="0"/>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w:t>
      </w:r>
      <w:r>
        <w:rPr>
          <w:rFonts w:hint="eastAsia" w:ascii="仿宋" w:hAnsi="仿宋" w:eastAsia="仿宋" w:cs="仿宋"/>
          <w:b/>
          <w:color w:val="auto"/>
          <w:highlight w:val="none"/>
          <w:lang w:val="en-US" w:eastAsia="zh-CN"/>
        </w:rPr>
        <w:t>5</w:t>
      </w:r>
      <w:r>
        <w:rPr>
          <w:rFonts w:hint="eastAsia" w:ascii="仿宋" w:hAnsi="仿宋" w:eastAsia="仿宋" w:cs="仿宋"/>
          <w:b/>
          <w:color w:val="auto"/>
          <w:highlight w:val="none"/>
        </w:rPr>
        <w:t xml:space="preserve">. </w:t>
      </w:r>
      <w:r>
        <w:rPr>
          <w:rFonts w:hint="eastAsia" w:ascii="仿宋" w:hAnsi="仿宋" w:eastAsia="仿宋" w:cs="仿宋"/>
          <w:color w:val="auto"/>
          <w:highlight w:val="none"/>
        </w:rPr>
        <w:t>合同主要条款详见第五部分拟签订的合同文本。</w:t>
      </w:r>
    </w:p>
    <w:p>
      <w:pPr>
        <w:pStyle w:val="25"/>
        <w:wordWrap w:val="0"/>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w:t>
      </w:r>
      <w:r>
        <w:rPr>
          <w:rFonts w:hint="eastAsia" w:ascii="仿宋" w:hAnsi="仿宋" w:eastAsia="仿宋" w:cs="仿宋"/>
          <w:b/>
          <w:color w:val="auto"/>
          <w:highlight w:val="none"/>
          <w:lang w:val="en-US" w:eastAsia="zh-CN"/>
        </w:rPr>
        <w:t>6</w:t>
      </w:r>
      <w:r>
        <w:rPr>
          <w:rFonts w:hint="eastAsia" w:ascii="仿宋" w:hAnsi="仿宋" w:eastAsia="仿宋" w:cs="仿宋"/>
          <w:b/>
          <w:color w:val="auto"/>
          <w:highlight w:val="none"/>
        </w:rPr>
        <w:t>. 合同的签订</w:t>
      </w:r>
    </w:p>
    <w:p>
      <w:pPr>
        <w:widowControl/>
        <w:shd w:val="clear" w:color="auto" w:fill="FFFFFF"/>
        <w:wordWrap w:val="0"/>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w:t>
      </w:r>
      <w:r>
        <w:rPr>
          <w:rFonts w:hint="eastAsia" w:ascii="仿宋" w:hAnsi="仿宋" w:eastAsia="仿宋" w:cs="仿宋"/>
          <w:color w:val="auto"/>
          <w:kern w:val="0"/>
          <w:sz w:val="24"/>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2"/>
        <w:wordWrap w:val="0"/>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w:t>
      </w:r>
      <w:r>
        <w:rPr>
          <w:rFonts w:hint="eastAsia" w:ascii="仿宋" w:hAnsi="仿宋" w:eastAsia="仿宋" w:cs="仿宋"/>
          <w:color w:val="auto"/>
          <w:kern w:val="0"/>
          <w:highlight w:val="none"/>
          <w:lang w:val="en-US" w:eastAsia="zh-CN"/>
        </w:rPr>
        <w:t>6</w:t>
      </w:r>
      <w:r>
        <w:rPr>
          <w:rFonts w:hint="eastAsia" w:ascii="仿宋" w:hAnsi="仿宋" w:eastAsia="仿宋" w:cs="仿宋"/>
          <w:color w:val="auto"/>
          <w:kern w:val="0"/>
          <w:highlight w:val="none"/>
          <w:lang w:val="zh-CN"/>
        </w:rPr>
        <w:t>.2中标人按规定的日期、时间、地点，由法定代表人或其授权代表与采购人代表签订合同。如中标人为联合体的，由联合体成员各方法定代表人或其授权代表与采购人代表签订合同。</w:t>
      </w:r>
    </w:p>
    <w:p>
      <w:pPr>
        <w:pStyle w:val="132"/>
        <w:wordWrap w:val="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.3如签订合同并生效后，供应商无故拒绝或延期，除按照合同条款处理外，列入不良行为记录一次，并给予通报。</w:t>
      </w:r>
    </w:p>
    <w:p>
      <w:pPr>
        <w:pStyle w:val="132"/>
        <w:wordWrap w:val="0"/>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.4中标供应商拒绝与采购人签订合同的，采购人可以按照评标报告推荐的中标候选人名单排序，确定下一候选人为中标供应商，也可以重新开展政府采购活动。</w:t>
      </w:r>
    </w:p>
    <w:p>
      <w:pPr>
        <w:pStyle w:val="132"/>
        <w:wordWrap w:val="0"/>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.5采购合同由采购人与中标供应商根据招标文件、投标文件等内容通过政府采购电子交易平台在线签订，自动备案。</w:t>
      </w:r>
    </w:p>
    <w:p>
      <w:pPr>
        <w:pStyle w:val="25"/>
        <w:wordWrap w:val="0"/>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w:t>
      </w:r>
      <w:r>
        <w:rPr>
          <w:rFonts w:hint="eastAsia" w:ascii="仿宋" w:hAnsi="仿宋" w:eastAsia="仿宋" w:cs="仿宋"/>
          <w:b/>
          <w:color w:val="auto"/>
          <w:highlight w:val="none"/>
          <w:lang w:val="en-US" w:eastAsia="zh-CN"/>
        </w:rPr>
        <w:t>7</w:t>
      </w:r>
      <w:r>
        <w:rPr>
          <w:rFonts w:hint="eastAsia" w:ascii="仿宋" w:hAnsi="仿宋" w:eastAsia="仿宋" w:cs="仿宋"/>
          <w:b/>
          <w:color w:val="auto"/>
          <w:highlight w:val="none"/>
        </w:rPr>
        <w:t>. 履约保证金</w:t>
      </w:r>
    </w:p>
    <w:p>
      <w:pPr>
        <w:tabs>
          <w:tab w:val="left" w:pos="0"/>
        </w:tabs>
        <w:wordWrap w:val="0"/>
        <w:spacing w:line="360" w:lineRule="auto"/>
        <w:ind w:firstLine="482"/>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wordWrap w:val="0"/>
        <w:spacing w:line="360" w:lineRule="auto"/>
        <w:ind w:firstLine="482"/>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.预付款</w:t>
      </w:r>
    </w:p>
    <w:p>
      <w:pPr>
        <w:tabs>
          <w:tab w:val="left" w:pos="0"/>
        </w:tabs>
        <w:wordWrap w:val="0"/>
        <w:spacing w:line="360" w:lineRule="auto"/>
        <w:ind w:firstLine="482"/>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wordWrap w:val="0"/>
        <w:snapToGrid w:val="0"/>
        <w:spacing w:line="360" w:lineRule="auto"/>
        <w:ind w:firstLine="3357" w:firstLineChars="1045"/>
        <w:rPr>
          <w:rFonts w:hint="eastAsia" w:ascii="仿宋" w:hAnsi="仿宋" w:eastAsia="仿宋" w:cs="仿宋"/>
          <w:b/>
          <w:color w:val="auto"/>
          <w:sz w:val="32"/>
          <w:highlight w:val="none"/>
        </w:rPr>
      </w:pPr>
    </w:p>
    <w:p>
      <w:pPr>
        <w:wordWrap w:val="0"/>
        <w:snapToGrid w:val="0"/>
        <w:spacing w:line="360" w:lineRule="auto"/>
        <w:ind w:firstLine="3357" w:firstLineChars="1045"/>
        <w:outlineLvl w:val="1"/>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pPr>
        <w:pStyle w:val="132"/>
        <w:wordWrap w:val="0"/>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highlight w:val="none"/>
        </w:rPr>
        <w:t>2</w:t>
      </w:r>
      <w:r>
        <w:rPr>
          <w:rFonts w:hint="eastAsia" w:ascii="仿宋" w:hAnsi="仿宋" w:eastAsia="仿宋" w:cs="仿宋"/>
          <w:b/>
          <w:bCs/>
          <w:color w:val="auto"/>
          <w:szCs w:val="24"/>
          <w:highlight w:val="none"/>
          <w:lang w:val="en-US" w:eastAsia="zh-CN"/>
        </w:rPr>
        <w:t>9</w:t>
      </w:r>
      <w:r>
        <w:rPr>
          <w:rFonts w:hint="eastAsia" w:ascii="仿宋" w:hAnsi="仿宋" w:eastAsia="仿宋" w:cs="仿宋"/>
          <w:b/>
          <w:bCs/>
          <w:color w:val="auto"/>
          <w:szCs w:val="24"/>
          <w:highlight w:val="none"/>
        </w:rPr>
        <w:t xml:space="preserve">. </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采购过程中出现以下情形，导致电子交易平台无法正常运行，或者无法保证电子交易的公平、公正和安全时，采购代理机构可中止电子交易活动：</w:t>
      </w:r>
    </w:p>
    <w:p>
      <w:pPr>
        <w:tabs>
          <w:tab w:val="left" w:pos="0"/>
        </w:tabs>
        <w:wordWrap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 xml:space="preserve">.1电子交易平台发生故障而无法登录访问的； </w:t>
      </w:r>
    </w:p>
    <w:p>
      <w:pPr>
        <w:tabs>
          <w:tab w:val="left" w:pos="0"/>
        </w:tabs>
        <w:wordWrap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.2电子交易平台应用或数据库出现错误，不能进行正常操作的；</w:t>
      </w:r>
    </w:p>
    <w:p>
      <w:pPr>
        <w:tabs>
          <w:tab w:val="left" w:pos="0"/>
        </w:tabs>
        <w:wordWrap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.3电子交易平台发现严重安全漏洞，有潜在泄密危险的；</w:t>
      </w:r>
    </w:p>
    <w:p>
      <w:pPr>
        <w:tabs>
          <w:tab w:val="left" w:pos="0"/>
        </w:tabs>
        <w:wordWrap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 xml:space="preserve">.4病毒发作导致不能进行正常操作的； </w:t>
      </w:r>
    </w:p>
    <w:p>
      <w:pPr>
        <w:tabs>
          <w:tab w:val="left" w:pos="0"/>
        </w:tabs>
        <w:wordWrap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.5其他无法保证电子交易的公平、公正和安全的情况。</w:t>
      </w:r>
    </w:p>
    <w:p>
      <w:pPr>
        <w:tabs>
          <w:tab w:val="left" w:pos="0"/>
        </w:tabs>
        <w:wordWrap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360" w:lineRule="auto"/>
        <w:ind w:left="120" w:leftChars="57" w:firstLine="482" w:firstLineChars="150"/>
        <w:jc w:val="center"/>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pPr>
        <w:pStyle w:val="25"/>
        <w:wordWrap w:val="0"/>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w:t>
      </w: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rPr>
        <w:t>. 验收</w:t>
      </w:r>
    </w:p>
    <w:p>
      <w:pPr>
        <w:tabs>
          <w:tab w:val="left" w:pos="0"/>
        </w:tabs>
        <w:wordWrap w:val="0"/>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wordWrap w:val="0"/>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.2采购人可以邀请参加本项目的其他投标人或者第三方机构参与验收。参与验收的投标人或者第三方机构的意见作为验收书的参考资料一并存档。</w:t>
      </w:r>
    </w:p>
    <w:p>
      <w:pPr>
        <w:tabs>
          <w:tab w:val="left" w:pos="0"/>
        </w:tabs>
        <w:wordWrap w:val="0"/>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wordWrap/>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0"/>
        </w:tabs>
        <w:wordWrap/>
        <w:spacing w:line="360" w:lineRule="auto"/>
        <w:ind w:firstLine="480" w:firstLineChars="200"/>
        <w:rPr>
          <w:rFonts w:hint="eastAsia" w:ascii="仿宋" w:hAnsi="仿宋" w:eastAsia="仿宋" w:cs="仿宋"/>
          <w:color w:val="auto"/>
          <w:sz w:val="18"/>
          <w:szCs w:val="18"/>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29"/>
    <w:p>
      <w:pPr>
        <w:tabs>
          <w:tab w:val="left" w:pos="0"/>
        </w:tabs>
        <w:wordWrap w:val="0"/>
        <w:spacing w:line="360" w:lineRule="auto"/>
        <w:ind w:firstLine="480"/>
        <w:rPr>
          <w:rFonts w:hint="eastAsia" w:ascii="仿宋" w:hAnsi="仿宋" w:eastAsia="仿宋" w:cs="仿宋"/>
          <w:color w:val="auto"/>
          <w:kern w:val="0"/>
          <w:sz w:val="24"/>
          <w:highlight w:val="none"/>
        </w:rPr>
        <w:sectPr>
          <w:pgSz w:w="11905" w:h="16838"/>
          <w:pgMar w:top="652" w:right="1417" w:bottom="680" w:left="1417" w:header="539" w:footer="425" w:gutter="0"/>
          <w:cols w:space="0" w:num="1"/>
          <w:titlePg/>
          <w:docGrid w:linePitch="312" w:charSpace="0"/>
        </w:sectPr>
      </w:pPr>
      <w:bookmarkStart w:id="30" w:name="_Hlt68072998"/>
      <w:bookmarkEnd w:id="30"/>
      <w:bookmarkStart w:id="31" w:name="_Hlt74729768"/>
      <w:bookmarkEnd w:id="31"/>
      <w:bookmarkStart w:id="32" w:name="_Hlt74730295"/>
      <w:bookmarkEnd w:id="32"/>
      <w:bookmarkStart w:id="33" w:name="_Hlt75236290"/>
      <w:bookmarkEnd w:id="33"/>
      <w:bookmarkStart w:id="34" w:name="_Hlt68403820"/>
      <w:bookmarkEnd w:id="34"/>
      <w:bookmarkStart w:id="35" w:name="_Hlt75236101"/>
      <w:bookmarkEnd w:id="35"/>
      <w:bookmarkStart w:id="36" w:name="_Hlt68072990"/>
      <w:bookmarkEnd w:id="36"/>
      <w:bookmarkStart w:id="37" w:name="_Hlt75236011"/>
      <w:bookmarkEnd w:id="37"/>
      <w:bookmarkStart w:id="38" w:name="_Hlt74707468"/>
      <w:bookmarkEnd w:id="38"/>
      <w:bookmarkStart w:id="39" w:name="_Hlt68057669"/>
      <w:bookmarkEnd w:id="39"/>
      <w:bookmarkStart w:id="40" w:name="_Hlt68073093"/>
      <w:bookmarkEnd w:id="40"/>
      <w:bookmarkStart w:id="41" w:name="_Hlt74714665"/>
      <w:bookmarkEnd w:id="41"/>
    </w:p>
    <w:bookmarkEnd w:id="27"/>
    <w:bookmarkEnd w:id="28"/>
    <w:p>
      <w:pPr>
        <w:wordWrap w:val="0"/>
        <w:spacing w:line="360" w:lineRule="auto"/>
        <w:jc w:val="center"/>
        <w:outlineLvl w:val="0"/>
        <w:rPr>
          <w:rFonts w:hint="eastAsia" w:ascii="仿宋" w:hAnsi="仿宋" w:eastAsia="仿宋" w:cs="仿宋"/>
          <w:b/>
          <w:color w:val="auto"/>
          <w:sz w:val="36"/>
          <w:szCs w:val="36"/>
          <w:highlight w:val="none"/>
        </w:rPr>
      </w:pPr>
      <w:bookmarkStart w:id="42" w:name="_Toc377"/>
      <w:bookmarkStart w:id="43" w:name="_Toc23290"/>
      <w:bookmarkStart w:id="44" w:name="_Toc17637"/>
      <w:bookmarkStart w:id="45" w:name="_Toc8370"/>
      <w:bookmarkStart w:id="46" w:name="_Toc135"/>
      <w:bookmarkStart w:id="47" w:name="_Toc10476"/>
      <w:bookmarkStart w:id="48" w:name="_Toc16672"/>
      <w:bookmarkStart w:id="49" w:name="第四部分"/>
      <w:r>
        <w:rPr>
          <w:rFonts w:hint="eastAsia" w:ascii="仿宋" w:hAnsi="仿宋" w:eastAsia="仿宋" w:cs="仿宋"/>
          <w:b/>
          <w:color w:val="auto"/>
          <w:sz w:val="36"/>
          <w:szCs w:val="36"/>
          <w:highlight w:val="none"/>
        </w:rPr>
        <w:t>第三部分 采购需求</w:t>
      </w:r>
      <w:bookmarkEnd w:id="42"/>
      <w:bookmarkEnd w:id="43"/>
      <w:bookmarkEnd w:id="44"/>
      <w:bookmarkEnd w:id="45"/>
      <w:bookmarkEnd w:id="46"/>
      <w:bookmarkEnd w:id="47"/>
      <w:bookmarkEnd w:id="48"/>
    </w:p>
    <w:p>
      <w:pPr>
        <w:spacing w:before="0" w:beforeLines="0" w:line="360" w:lineRule="auto"/>
        <w:ind w:firstLine="482" w:firstLineChars="200"/>
        <w:outlineLvl w:val="1"/>
        <w:rPr>
          <w:rFonts w:hint="eastAsia" w:ascii="仿宋" w:hAnsi="仿宋" w:eastAsia="仿宋" w:cs="仿宋"/>
          <w:b/>
          <w:bCs/>
          <w:color w:val="auto"/>
          <w:sz w:val="24"/>
          <w:szCs w:val="24"/>
          <w:highlight w:val="none"/>
        </w:rPr>
      </w:pPr>
      <w:bookmarkStart w:id="50" w:name="_Toc28895"/>
      <w:bookmarkStart w:id="51" w:name="_Toc6657"/>
      <w:bookmarkStart w:id="52" w:name="_Toc24799"/>
      <w:bookmarkStart w:id="53" w:name="_Toc12173"/>
      <w:bookmarkStart w:id="54" w:name="_Toc22598"/>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项目概况</w:t>
      </w:r>
    </w:p>
    <w:p>
      <w:pPr>
        <w:adjustRightInd w:val="0"/>
        <w:spacing w:line="360" w:lineRule="auto"/>
        <w:ind w:firstLine="480" w:firstLineChars="200"/>
        <w:rPr>
          <w:rFonts w:hint="eastAsia" w:ascii="仿宋" w:hAnsi="仿宋" w:eastAsia="仿宋" w:cs="仿宋"/>
          <w:color w:val="auto"/>
          <w:kern w:val="0"/>
          <w:sz w:val="24"/>
          <w:highlight w:val="none"/>
          <w:lang w:bidi="ar"/>
        </w:rPr>
      </w:pPr>
      <w:r>
        <w:rPr>
          <w:rFonts w:hint="eastAsia" w:ascii="仿宋" w:hAnsi="仿宋" w:eastAsia="仿宋" w:cs="仿宋"/>
          <w:b w:val="0"/>
          <w:bCs w:val="0"/>
          <w:color w:val="auto"/>
          <w:sz w:val="24"/>
          <w:szCs w:val="24"/>
          <w:highlight w:val="none"/>
          <w:lang w:eastAsia="zh-CN"/>
        </w:rPr>
        <w:t>本项目为杭州学军中学桐庐学校竣工配套设施设备（体育设施及器材）供货、安装、调试、验收、培训、质保及售后服务</w:t>
      </w:r>
      <w:r>
        <w:rPr>
          <w:rFonts w:hint="eastAsia" w:ascii="仿宋" w:hAnsi="仿宋" w:eastAsia="仿宋" w:cs="仿宋"/>
          <w:b w:val="0"/>
          <w:bCs w:val="0"/>
          <w:color w:val="auto"/>
          <w:sz w:val="24"/>
          <w:highlight w:val="none"/>
          <w:lang w:eastAsia="zh-CN"/>
        </w:rPr>
        <w:t>等</w:t>
      </w:r>
      <w:r>
        <w:rPr>
          <w:rFonts w:hint="eastAsia" w:ascii="仿宋" w:hAnsi="仿宋" w:eastAsia="仿宋" w:cs="仿宋"/>
          <w:color w:val="auto"/>
          <w:kern w:val="0"/>
          <w:sz w:val="24"/>
          <w:highlight w:val="none"/>
          <w:lang w:bidi="ar"/>
        </w:rPr>
        <w:t>。</w:t>
      </w:r>
    </w:p>
    <w:p>
      <w:pPr>
        <w:pageBreakBefore w:val="0"/>
        <w:kinsoku/>
        <w:wordWrap/>
        <w:overflowPunct/>
        <w:topLinePunct w:val="0"/>
        <w:bidi w:val="0"/>
        <w:snapToGrid/>
        <w:spacing w:beforeAutospacing="0" w:afterAutospacing="0" w:line="360" w:lineRule="auto"/>
        <w:ind w:left="0" w:leftChars="0" w:firstLine="480" w:firstLineChars="200"/>
        <w:jc w:val="both"/>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b/>
          <w:bCs/>
          <w:color w:val="auto"/>
          <w:sz w:val="24"/>
          <w:szCs w:val="24"/>
          <w:highlight w:val="none"/>
        </w:rPr>
        <w:t>项目采购清单和参数要求</w:t>
      </w:r>
    </w:p>
    <w:tbl>
      <w:tblPr>
        <w:tblStyle w:val="62"/>
        <w:tblpPr w:leftFromText="180" w:rightFromText="180" w:vertAnchor="text" w:horzAnchor="page" w:tblpX="1255" w:tblpY="458"/>
        <w:tblOverlap w:val="never"/>
        <w:tblW w:w="101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9"/>
        <w:gridCol w:w="943"/>
        <w:gridCol w:w="1657"/>
        <w:gridCol w:w="5318"/>
        <w:gridCol w:w="700"/>
        <w:gridCol w:w="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65"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产品名称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参考图片</w:t>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技术参数</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color w:val="auto"/>
                <w:sz w:val="21"/>
                <w:szCs w:val="21"/>
                <w:highlight w:val="none"/>
              </w:rPr>
              <w:t>★</w:t>
            </w:r>
            <w:r>
              <w:rPr>
                <w:rFonts w:hint="eastAsia" w:ascii="仿宋" w:hAnsi="仿宋" w:eastAsia="仿宋" w:cs="仿宋"/>
                <w:i w:val="0"/>
                <w:iCs w:val="0"/>
                <w:color w:val="000000"/>
                <w:kern w:val="0"/>
                <w:sz w:val="21"/>
                <w:szCs w:val="21"/>
                <w:highlight w:val="none"/>
                <w:u w:val="none"/>
                <w:lang w:val="en-US" w:eastAsia="zh-CN" w:bidi="ar"/>
              </w:rPr>
              <w:t>电动悬空篮球架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69850</wp:posOffset>
                  </wp:positionH>
                  <wp:positionV relativeFrom="paragraph">
                    <wp:posOffset>1200785</wp:posOffset>
                  </wp:positionV>
                  <wp:extent cx="603250" cy="1066165"/>
                  <wp:effectExtent l="0" t="0" r="6350" b="635"/>
                  <wp:wrapNone/>
                  <wp:docPr id="18" name="图片_3"/>
                  <wp:cNvGraphicFramePr/>
                  <a:graphic xmlns:a="http://schemas.openxmlformats.org/drawingml/2006/main">
                    <a:graphicData uri="http://schemas.openxmlformats.org/drawingml/2006/picture">
                      <pic:pic xmlns:pic="http://schemas.openxmlformats.org/drawingml/2006/picture">
                        <pic:nvPicPr>
                          <pic:cNvPr id="18" name="图片_3"/>
                          <pic:cNvPicPr/>
                        </pic:nvPicPr>
                        <pic:blipFill>
                          <a:blip r:embed="rId24"/>
                          <a:stretch>
                            <a:fillRect/>
                          </a:stretch>
                        </pic:blipFill>
                        <pic:spPr>
                          <a:xfrm>
                            <a:off x="0" y="0"/>
                            <a:ext cx="603250" cy="106616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电动悬空篮球架主要由减速电机、传动系统、主支架、保险带及篮板、篮圈组成。使用时，篮圈上沿距离地面3.05m。</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减速电机电压为220V，I=225：1，电机功率1.5KW ，减速机功率0.75KW。</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支撑管采用100×70×3方管、横梁采用φ140×3.5圆管，主支架采用φ140×3.5、φ60×3等焊管焊接而成。保险带为高强丝保险带。</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篮板规格：1800×1050（㎜），篮板配用国际通用的高强度安全玻璃篮板（13mm双层夹胶玻璃），具有透明度高、耐侯性好、抗老化、耐腐蚀、不易模糊等特点，并在篮板下沿侧面覆盖有保护圈，保护圈前后表面高度、厚度均≥20mm，底面厚度≥50mm。</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篮板弹性500N/1m，中心挠度≤6㎜，取消外力1min后篮板恢复原状。</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篮圈抗弯性能好，在篮圈最远点的圈顶上施加静载荷未到105㎏时，篮圈无转动，当静载荷≥105㎏时，篮圈向下转动，角度不超过30度，能有效解决投篮时篮圈的稳定性和运动员扣篮时的安全性问题。</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表面处理：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网架要求：篮球架自重约650kg ，冲击力250kg , 要求网架钢管直径在￠76以上。</w:t>
            </w:r>
          </w:p>
          <w:p>
            <w:pPr>
              <w:keepNext w:val="0"/>
              <w:keepLines w:val="0"/>
              <w:widowControl/>
              <w:suppressLineNumbers w:val="0"/>
              <w:jc w:val="left"/>
              <w:textAlignment w:val="auto"/>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☆产品符合GB23176-2008《篮球架标准》，证明材料提供具有国家认可或批准检测资质的第三方检测机构出具的检测报告复制件。</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计时，二十四秒显示器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52705</wp:posOffset>
                  </wp:positionH>
                  <wp:positionV relativeFrom="paragraph">
                    <wp:posOffset>324485</wp:posOffset>
                  </wp:positionV>
                  <wp:extent cx="807085" cy="434975"/>
                  <wp:effectExtent l="0" t="0" r="5715" b="9525"/>
                  <wp:wrapNone/>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25"/>
                          <a:stretch>
                            <a:fillRect/>
                          </a:stretch>
                        </pic:blipFill>
                        <pic:spPr>
                          <a:xfrm>
                            <a:off x="0" y="0"/>
                            <a:ext cx="807085" cy="4349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widowControl/>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1.主要材质：塑料；显示器外型尺寸：77×57×10cm；</w:t>
            </w:r>
          </w:p>
          <w:p>
            <w:pPr>
              <w:widowControl/>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2.发光管：Φ5mm高亮白发红、白发绿发光管；</w:t>
            </w:r>
          </w:p>
          <w:p>
            <w:pPr>
              <w:widowControl/>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3.电压：220Ｖ±10％；</w:t>
            </w:r>
          </w:p>
          <w:p>
            <w:pPr>
              <w:widowControl/>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4.功率：150W；</w:t>
            </w:r>
          </w:p>
          <w:p>
            <w:pPr>
              <w:widowControl/>
              <w:jc w:val="left"/>
              <w:textAlignment w:val="center"/>
              <w:rPr>
                <w:rFonts w:hint="eastAsia" w:ascii="仿宋" w:hAnsi="仿宋" w:eastAsia="仿宋" w:cs="仿宋"/>
                <w:szCs w:val="21"/>
                <w:highlight w:val="none"/>
              </w:rPr>
            </w:pPr>
            <w:r>
              <w:rPr>
                <w:rFonts w:hint="eastAsia" w:ascii="仿宋" w:hAnsi="仿宋" w:eastAsia="仿宋" w:cs="仿宋"/>
                <w:i w:val="0"/>
                <w:iCs w:val="0"/>
                <w:color w:val="000000"/>
                <w:kern w:val="0"/>
                <w:sz w:val="21"/>
                <w:szCs w:val="21"/>
                <w:highlight w:val="none"/>
                <w:u w:val="none"/>
                <w:lang w:val="en-US" w:eastAsia="zh-CN" w:bidi="ar"/>
              </w:rPr>
              <w:t>5.此设备必须安全接地。</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篮球发球权显示器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93980</wp:posOffset>
                  </wp:positionH>
                  <wp:positionV relativeFrom="paragraph">
                    <wp:posOffset>73025</wp:posOffset>
                  </wp:positionV>
                  <wp:extent cx="687070" cy="401955"/>
                  <wp:effectExtent l="0" t="0" r="11430" b="4445"/>
                  <wp:wrapNone/>
                  <wp:docPr id="1" name="图片_6"/>
                  <wp:cNvGraphicFramePr/>
                  <a:graphic xmlns:a="http://schemas.openxmlformats.org/drawingml/2006/main">
                    <a:graphicData uri="http://schemas.openxmlformats.org/drawingml/2006/picture">
                      <pic:pic xmlns:pic="http://schemas.openxmlformats.org/drawingml/2006/picture">
                        <pic:nvPicPr>
                          <pic:cNvPr id="1" name="图片_6"/>
                          <pic:cNvPicPr/>
                        </pic:nvPicPr>
                        <pic:blipFill>
                          <a:blip r:embed="rId26"/>
                          <a:stretch>
                            <a:fillRect/>
                          </a:stretch>
                        </pic:blipFill>
                        <pic:spPr>
                          <a:xfrm>
                            <a:off x="0" y="0"/>
                            <a:ext cx="687070" cy="40195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主要材质：塑料</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电缆线长：≥1.5m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电源线长：≥1.5m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控制器尺寸：174×134×50mm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显示器尺寸：340×160×40mm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     源：交流220V  50HZ</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     率：50W</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篮球赛全队犯规器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66675</wp:posOffset>
                  </wp:positionH>
                  <wp:positionV relativeFrom="paragraph">
                    <wp:posOffset>280670</wp:posOffset>
                  </wp:positionV>
                  <wp:extent cx="695325" cy="455295"/>
                  <wp:effectExtent l="0" t="0" r="3175" b="1905"/>
                  <wp:wrapNone/>
                  <wp:docPr id="20" name="图片 9"/>
                  <wp:cNvGraphicFramePr/>
                  <a:graphic xmlns:a="http://schemas.openxmlformats.org/drawingml/2006/main">
                    <a:graphicData uri="http://schemas.openxmlformats.org/drawingml/2006/picture">
                      <pic:pic xmlns:pic="http://schemas.openxmlformats.org/drawingml/2006/picture">
                        <pic:nvPicPr>
                          <pic:cNvPr id="20" name="图片 9"/>
                          <pic:cNvPicPr/>
                        </pic:nvPicPr>
                        <pic:blipFill>
                          <a:blip r:embed="rId27"/>
                          <a:stretch>
                            <a:fillRect/>
                          </a:stretch>
                        </pic:blipFill>
                        <pic:spPr>
                          <a:xfrm>
                            <a:off x="0" y="0"/>
                            <a:ext cx="695325" cy="45529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电缆线长：≥ 5m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电源线长：≥1.7m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控制器尺寸：330×330×105mm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显示器尺寸：220×220×330mm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     源：交流220V  50HZ</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功     率：150W </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篮球赛记录员讯响器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88265</wp:posOffset>
                  </wp:positionH>
                  <wp:positionV relativeFrom="paragraph">
                    <wp:posOffset>213995</wp:posOffset>
                  </wp:positionV>
                  <wp:extent cx="604520" cy="321310"/>
                  <wp:effectExtent l="0" t="0" r="5080" b="8890"/>
                  <wp:wrapNone/>
                  <wp:docPr id="22" name="图片_2"/>
                  <wp:cNvGraphicFramePr/>
                  <a:graphic xmlns:a="http://schemas.openxmlformats.org/drawingml/2006/main">
                    <a:graphicData uri="http://schemas.openxmlformats.org/drawingml/2006/picture">
                      <pic:pic xmlns:pic="http://schemas.openxmlformats.org/drawingml/2006/picture">
                        <pic:nvPicPr>
                          <pic:cNvPr id="22" name="图片_2"/>
                          <pic:cNvPicPr/>
                        </pic:nvPicPr>
                        <pic:blipFill>
                          <a:blip r:embed="rId28"/>
                          <a:stretch>
                            <a:fillRect/>
                          </a:stretch>
                        </pic:blipFill>
                        <pic:spPr>
                          <a:xfrm>
                            <a:off x="0" y="0"/>
                            <a:ext cx="604520" cy="32131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主要材质：塑料</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控制电缆长：≥5m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电源线长：≥1.7m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讯响器器尺寸：φ125×170mm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电源：交流220V　50HZ</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功率：50W                                                                                                                                                                                  </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篮球队员犯规次数牌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-5715</wp:posOffset>
                  </wp:positionH>
                  <wp:positionV relativeFrom="paragraph">
                    <wp:posOffset>46355</wp:posOffset>
                  </wp:positionV>
                  <wp:extent cx="856615" cy="390525"/>
                  <wp:effectExtent l="0" t="0" r="6985" b="3175"/>
                  <wp:wrapNone/>
                  <wp:docPr id="65" name="图片_98"/>
                  <wp:cNvGraphicFramePr/>
                  <a:graphic xmlns:a="http://schemas.openxmlformats.org/drawingml/2006/main">
                    <a:graphicData uri="http://schemas.openxmlformats.org/drawingml/2006/picture">
                      <pic:pic xmlns:pic="http://schemas.openxmlformats.org/drawingml/2006/picture">
                        <pic:nvPicPr>
                          <pic:cNvPr id="65" name="图片_98"/>
                          <pic:cNvPicPr/>
                        </pic:nvPicPr>
                        <pic:blipFill>
                          <a:blip r:embed="rId29"/>
                          <a:stretch>
                            <a:fillRect/>
                          </a:stretch>
                        </pic:blipFill>
                        <pic:spPr>
                          <a:xfrm>
                            <a:off x="0" y="0"/>
                            <a:ext cx="856615" cy="3905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EVA材质，共7块，数字标识1-6，其中黑色数字1-5，红色数字：5、6。</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篮球示教板</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221615</wp:posOffset>
                  </wp:positionH>
                  <wp:positionV relativeFrom="paragraph">
                    <wp:posOffset>108585</wp:posOffset>
                  </wp:positionV>
                  <wp:extent cx="272415" cy="469900"/>
                  <wp:effectExtent l="0" t="0" r="6985" b="0"/>
                  <wp:wrapNone/>
                  <wp:docPr id="38" name="图片_112"/>
                  <wp:cNvGraphicFramePr/>
                  <a:graphic xmlns:a="http://schemas.openxmlformats.org/drawingml/2006/main">
                    <a:graphicData uri="http://schemas.openxmlformats.org/drawingml/2006/picture">
                      <pic:pic xmlns:pic="http://schemas.openxmlformats.org/drawingml/2006/picture">
                        <pic:nvPicPr>
                          <pic:cNvPr id="38" name="图片_112"/>
                          <pic:cNvPicPr/>
                        </pic:nvPicPr>
                        <pic:blipFill>
                          <a:blip r:embed="rId30"/>
                          <a:stretch>
                            <a:fillRect/>
                          </a:stretch>
                        </pic:blipFill>
                        <pic:spPr>
                          <a:xfrm>
                            <a:off x="0" y="0"/>
                            <a:ext cx="272415" cy="4699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1.2*0.9m，复合玻璃钢板四周铝合金包边，配备磁性珠。配备5枚红色，5枚蓝色，2枚黑（黄）色</w:t>
            </w:r>
            <w:r>
              <w:rPr>
                <w:rFonts w:hint="eastAsia" w:ascii="仿宋" w:hAnsi="仿宋" w:eastAsia="仿宋" w:cs="仿宋"/>
                <w:color w:val="000000"/>
                <w:kern w:val="0"/>
                <w:szCs w:val="21"/>
                <w:highlight w:val="none"/>
                <w:u w:val="none"/>
                <w:lang w:val="en-US" w:eastAsia="zh-CN" w:bidi="ar"/>
              </w:rPr>
              <w:t>棋</w:t>
            </w:r>
            <w:r>
              <w:rPr>
                <w:rFonts w:hint="eastAsia" w:ascii="仿宋" w:hAnsi="仿宋" w:eastAsia="仿宋" w:cs="仿宋"/>
                <w:i w:val="0"/>
                <w:iCs w:val="0"/>
                <w:color w:val="000000"/>
                <w:kern w:val="0"/>
                <w:sz w:val="21"/>
                <w:szCs w:val="21"/>
                <w:highlight w:val="none"/>
                <w:u w:val="none"/>
                <w:lang w:val="en-US" w:eastAsia="zh-CN" w:bidi="ar"/>
              </w:rPr>
              <w:t>子</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篮球赛计分器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-48895</wp:posOffset>
                  </wp:positionH>
                  <wp:positionV relativeFrom="paragraph">
                    <wp:posOffset>603250</wp:posOffset>
                  </wp:positionV>
                  <wp:extent cx="896620" cy="452755"/>
                  <wp:effectExtent l="0" t="0" r="5080" b="4445"/>
                  <wp:wrapNone/>
                  <wp:docPr id="36" name="图片_10"/>
                  <wp:cNvGraphicFramePr/>
                  <a:graphic xmlns:a="http://schemas.openxmlformats.org/drawingml/2006/main">
                    <a:graphicData uri="http://schemas.openxmlformats.org/drawingml/2006/picture">
                      <pic:pic xmlns:pic="http://schemas.openxmlformats.org/drawingml/2006/picture">
                        <pic:nvPicPr>
                          <pic:cNvPr id="36" name="图片_10"/>
                          <pic:cNvPicPr/>
                        </pic:nvPicPr>
                        <pic:blipFill>
                          <a:blip r:embed="rId31"/>
                          <a:stretch>
                            <a:fillRect/>
                          </a:stretch>
                        </pic:blipFill>
                        <pic:spPr>
                          <a:xfrm>
                            <a:off x="0" y="0"/>
                            <a:ext cx="896620" cy="45275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1.篮球赛记分器为立式记分器，主要由支架、记分方框和记分牌组成，外形尺寸：长×宽×高=1380×540×1630（mm）。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2.记分器下支架主要由25×25的方管与φ32×2焊管拼焊而成，上支架主要由25×25的方管和40×25的方管拼焊而成，队名牌框采用铝合金型材制作，队名牌为白色雪覆板。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3．记分牌为手推式记分盒，采用PVC板制作。</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组合式球类推车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48895</wp:posOffset>
                  </wp:positionH>
                  <wp:positionV relativeFrom="paragraph">
                    <wp:posOffset>200025</wp:posOffset>
                  </wp:positionV>
                  <wp:extent cx="793750" cy="429260"/>
                  <wp:effectExtent l="0" t="0" r="6350" b="2540"/>
                  <wp:wrapNone/>
                  <wp:docPr id="23" name="图片_9"/>
                  <wp:cNvGraphicFramePr/>
                  <a:graphic xmlns:a="http://schemas.openxmlformats.org/drawingml/2006/main">
                    <a:graphicData uri="http://schemas.openxmlformats.org/drawingml/2006/picture">
                      <pic:pic xmlns:pic="http://schemas.openxmlformats.org/drawingml/2006/picture">
                        <pic:nvPicPr>
                          <pic:cNvPr id="23" name="图片_9"/>
                          <pic:cNvPicPr/>
                        </pic:nvPicPr>
                        <pic:blipFill>
                          <a:blip r:embed="rId32"/>
                          <a:stretch>
                            <a:fillRect/>
                          </a:stretch>
                        </pic:blipFill>
                        <pic:spPr>
                          <a:xfrm>
                            <a:off x="0" y="0"/>
                            <a:ext cx="793750" cy="42926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1.推车外形基本尺寸：长×宽×高=950×800×800(㎜)。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2.推车主要采用φ22x1.5圆管在弯曲成形后拼焊而成，推车整体可折叠，存放时可减少空间。</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3.推车支脚底部装有滚轮，移动方便。</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配重拆卸式排球柱（配小推车）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161290</wp:posOffset>
                  </wp:positionH>
                  <wp:positionV relativeFrom="paragraph">
                    <wp:posOffset>679450</wp:posOffset>
                  </wp:positionV>
                  <wp:extent cx="665480" cy="401320"/>
                  <wp:effectExtent l="0" t="0" r="7620" b="5080"/>
                  <wp:wrapNone/>
                  <wp:docPr id="42" name="图片_19"/>
                  <wp:cNvGraphicFramePr/>
                  <a:graphic xmlns:a="http://schemas.openxmlformats.org/drawingml/2006/main">
                    <a:graphicData uri="http://schemas.openxmlformats.org/drawingml/2006/picture">
                      <pic:pic xmlns:pic="http://schemas.openxmlformats.org/drawingml/2006/picture">
                        <pic:nvPicPr>
                          <pic:cNvPr id="42" name="图片_19"/>
                          <pic:cNvPicPr/>
                        </pic:nvPicPr>
                        <pic:blipFill>
                          <a:blip r:embed="rId33"/>
                          <a:stretch>
                            <a:fillRect/>
                          </a:stretch>
                        </pic:blipFill>
                        <pic:spPr>
                          <a:xfrm>
                            <a:off x="0" y="0"/>
                            <a:ext cx="665480" cy="40132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1.排球柱由内外立柱，紧线机构和底座组成。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2.排球柱外立柱选用φ76×5的优质无缝管，内立柱选用φ65×4光亮管制作，外立柱内置一对互成90度的斜齿轮，配合螺纹的螺杆升降机构，通过摇动升降手柄，使内立柱上下移动，实现网高调节高度：1920~2550mm。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外立柱中，一立柱外侧置有网钩，绳系在网钩上，另一立柱上外侧置有紧线锁紧机构，此机构是采用蜗轮蜗杆传动原理，具有结构紧凑，承载能里大，工作平稳，可以自锁（起到安全保护作用）等优点。通过调节锁紧手柄，可调节钢丝绳的松紧，确保钢丝绳牢固拉紧，并实现网的高度要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4.排球柱外立柱底部设有特制缓冲垫，与底座柱套相配时起缓冲作用，能有效延长底座柱套及立柱的使用寿命。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排球柱底座单只配置铁配重296kg，排球柱底座设有控制走轮，使用时，降下走轮，将排球柱移至指定地点，升起走轮，使底座平稳着地，将立柱插入底座柱套即可使用；不用时，将立柱横置于底座托架，降下走轮，即可移走排球柱至存放地点，拆装移动方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7.排球柱配备有裁判椅，裁判椅及立柱外表包裹特殊材料的防护套，能有效保护好运动员的安全。</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排球标志杆</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158750</wp:posOffset>
                  </wp:positionH>
                  <wp:positionV relativeFrom="paragraph">
                    <wp:posOffset>215900</wp:posOffset>
                  </wp:positionV>
                  <wp:extent cx="574040" cy="215900"/>
                  <wp:effectExtent l="0" t="0" r="10160" b="0"/>
                  <wp:wrapNone/>
                  <wp:docPr id="46" name="图片_19_SpCnt_1"/>
                  <wp:cNvGraphicFramePr/>
                  <a:graphic xmlns:a="http://schemas.openxmlformats.org/drawingml/2006/main">
                    <a:graphicData uri="http://schemas.openxmlformats.org/drawingml/2006/picture">
                      <pic:pic xmlns:pic="http://schemas.openxmlformats.org/drawingml/2006/picture">
                        <pic:nvPicPr>
                          <pic:cNvPr id="46" name="图片_19_SpCnt_1"/>
                          <pic:cNvPicPr/>
                        </pic:nvPicPr>
                        <pic:blipFill>
                          <a:blip r:embed="rId34"/>
                          <a:stretch>
                            <a:fillRect/>
                          </a:stretch>
                        </pic:blipFill>
                        <pic:spPr>
                          <a:xfrm>
                            <a:off x="0" y="0"/>
                            <a:ext cx="574040" cy="2159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1、排球标志杆规格：直径φ10mm，长1800mm；</w:t>
            </w:r>
          </w:p>
          <w:p>
            <w:pPr>
              <w:keepNext w:val="0"/>
              <w:keepLines w:val="0"/>
              <w:widowControl/>
              <w:suppressLineNumbers w:val="0"/>
              <w:jc w:val="left"/>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2、主要材质：塑料；</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3、标志杆上设有上下固定件，上部固定件处设有限位机构，方便挂于球网上沿包边处，下部固定件处设有锁紧机构和固定把手，便于将球网下沿包边卡紧锁牢。</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排球换人牌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120650</wp:posOffset>
                  </wp:positionH>
                  <wp:positionV relativeFrom="paragraph">
                    <wp:posOffset>346075</wp:posOffset>
                  </wp:positionV>
                  <wp:extent cx="653415" cy="244475"/>
                  <wp:effectExtent l="0" t="0" r="6985" b="9525"/>
                  <wp:wrapNone/>
                  <wp:docPr id="47" name="图片_22"/>
                  <wp:cNvGraphicFramePr/>
                  <a:graphic xmlns:a="http://schemas.openxmlformats.org/drawingml/2006/main">
                    <a:graphicData uri="http://schemas.openxmlformats.org/drawingml/2006/picture">
                      <pic:pic xmlns:pic="http://schemas.openxmlformats.org/drawingml/2006/picture">
                        <pic:nvPicPr>
                          <pic:cNvPr id="47" name="图片_22"/>
                          <pic:cNvPicPr/>
                        </pic:nvPicPr>
                        <pic:blipFill>
                          <a:blip r:embed="rId35"/>
                          <a:stretch>
                            <a:fillRect/>
                          </a:stretch>
                        </pic:blipFill>
                        <pic:spPr>
                          <a:xfrm>
                            <a:off x="0" y="0"/>
                            <a:ext cx="653415" cy="2444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1、排球换人牌由换人牌和箱体组成。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2、换人牌黄色，24块/组，2组/副，采用δ8mmPE材料模压成型。</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3、换人牌箱体为铝箱，带锁扣和提手，携带方便。</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排球讯响器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42545</wp:posOffset>
                  </wp:positionH>
                  <wp:positionV relativeFrom="paragraph">
                    <wp:posOffset>451485</wp:posOffset>
                  </wp:positionV>
                  <wp:extent cx="688975" cy="325120"/>
                  <wp:effectExtent l="0" t="0" r="9525" b="5080"/>
                  <wp:wrapNone/>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36"/>
                          <a:stretch>
                            <a:fillRect/>
                          </a:stretch>
                        </pic:blipFill>
                        <pic:spPr>
                          <a:xfrm>
                            <a:off x="0" y="0"/>
                            <a:ext cx="688975" cy="32512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一、系统的组成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1、裁判控制器，2、教练控制器（2只/套），3、音频信号线，4、警灯（2只/套）。</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二、技术参数：警灯电线长：4.5m、音频信号线长：0.55m、教练控制器电线长：5m、教练控制器高：410mm、裁判控制器尺寸：218×168mm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电源：交流220V  50HZ、功率：100W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三、使用说明</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将两个教练控制器和两个警灯的电线插头插到裁判控制器上（注意：插插头时要对准槽口，并注意二芯、四芯之分，然后再将插头插到插座上），再将电源插头插到交流220V的插头里，然后再打开裁判控制器上的电源开关，此时讯响器就能工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2、当某一队要求暂停时，该队只需按下教练控制器按钮，裁判控制器的该队灯就点亮，并发出声音（若不需声音，可将声音开关关掉）。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若裁判要求暂停，则裁判只需按控制器上的裁判控制按钮，此时控制器内将发出声音（声音开关对裁判按钮无效，即不论声音开关开或关，只要按下裁判按钮都会发出声音）；按下裁判按钮时，只有声音，灯不亮。</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4、控制器上，裁判按钮两侧，甲队和乙队按钮分别与甲、乙两队教练控制器同步。</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5、若想使整个赛场能听到声音，只需将音频信号线一端插到体育馆的调音台上，此时的声音就能通过体育馆的扩音设备放大，使全场都能听到。</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排球网高丈量尺</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219710</wp:posOffset>
                  </wp:positionH>
                  <wp:positionV relativeFrom="paragraph">
                    <wp:posOffset>395605</wp:posOffset>
                  </wp:positionV>
                  <wp:extent cx="598170" cy="425450"/>
                  <wp:effectExtent l="0" t="0" r="11430" b="6350"/>
                  <wp:wrapNone/>
                  <wp:docPr id="50" name="图片_49"/>
                  <wp:cNvGraphicFramePr/>
                  <a:graphic xmlns:a="http://schemas.openxmlformats.org/drawingml/2006/main">
                    <a:graphicData uri="http://schemas.openxmlformats.org/drawingml/2006/picture">
                      <pic:pic xmlns:pic="http://schemas.openxmlformats.org/drawingml/2006/picture">
                        <pic:nvPicPr>
                          <pic:cNvPr id="50" name="图片_49"/>
                          <pic:cNvPicPr/>
                        </pic:nvPicPr>
                        <pic:blipFill>
                          <a:blip r:embed="rId37"/>
                          <a:stretch>
                            <a:fillRect/>
                          </a:stretch>
                        </pic:blipFill>
                        <pic:spPr>
                          <a:xfrm>
                            <a:off x="0" y="0"/>
                            <a:ext cx="598170" cy="42545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1、丈量尺为铝合金塔尺，三级收缩；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2、丈量尺高度可调，调高范围：1280-3350mm；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3、丈量尺刻度值：180（小学生排球）、200（中学生排球）、224（女子排球）、243（男子排球）四个刻度线、刻度值为红色，其余刻度线、刻度值为黑色。</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4、丈量尺顶端固定有不锈钢封板，便于测量网高。</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排球计分器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74930</wp:posOffset>
                  </wp:positionH>
                  <wp:positionV relativeFrom="paragraph">
                    <wp:posOffset>812165</wp:posOffset>
                  </wp:positionV>
                  <wp:extent cx="720725" cy="516255"/>
                  <wp:effectExtent l="0" t="0" r="3175" b="4445"/>
                  <wp:wrapNone/>
                  <wp:docPr id="49"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38"/>
                          <a:stretch>
                            <a:fillRect/>
                          </a:stretch>
                        </pic:blipFill>
                        <pic:spPr>
                          <a:xfrm>
                            <a:off x="0" y="0"/>
                            <a:ext cx="720725" cy="51625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1、外形尺寸：长×宽×高=1385×575×1630（mm）。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2、记分器主要由下支架、上支架、队名牌框、队名牌和记分牌组成。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3、记分器下支架主要由25×25的方管与φ32×2焊管拼焊而成，上支架主要由25×25的方管和40×25的方管拼焊而成，队名牌框采用铝合金型材制作。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4、记分器队名牌采用雪覆板制作，记分牌为手推式记分盒，采用PVC板制作。</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移动式羽毛球柱</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238125</wp:posOffset>
                  </wp:positionH>
                  <wp:positionV relativeFrom="paragraph">
                    <wp:posOffset>1061720</wp:posOffset>
                  </wp:positionV>
                  <wp:extent cx="538480" cy="584200"/>
                  <wp:effectExtent l="0" t="0" r="7620" b="0"/>
                  <wp:wrapNone/>
                  <wp:docPr id="35" name="图片_270"/>
                  <wp:cNvGraphicFramePr/>
                  <a:graphic xmlns:a="http://schemas.openxmlformats.org/drawingml/2006/main">
                    <a:graphicData uri="http://schemas.openxmlformats.org/drawingml/2006/picture">
                      <pic:pic xmlns:pic="http://schemas.openxmlformats.org/drawingml/2006/picture">
                        <pic:nvPicPr>
                          <pic:cNvPr id="35" name="图片_270"/>
                          <pic:cNvPicPr/>
                        </pic:nvPicPr>
                        <pic:blipFill>
                          <a:blip r:embed="rId39"/>
                          <a:stretch>
                            <a:fillRect/>
                          </a:stretch>
                        </pic:blipFill>
                        <pic:spPr>
                          <a:xfrm>
                            <a:off x="0" y="0"/>
                            <a:ext cx="538480" cy="5842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1.产品结构：由底座、立柱、锁绳装置、高度微调装置和羽毛球网组成。</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2.适用场地：适合两片场地之间尺寸≥1500mm。</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3.底座：材料：高密度聚乙烯材料（HDPE）</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；工艺：中空吹塑制造一次加工成型；耐老化性能：老化试验≥3500h，外观颜色变色评级≥3；高低温性能：高温＋80℃、低温-55℃下72h，无局部粉化、龟裂、斑点、起泡及明显变形等外观变化； 环保性能：材料可回收，塑料产品中有毒有害物质限量满足GB28481《塑料家具中有害物质限量》中要求。</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4.底座铁板：材料：10mm钢板；材质：Q235B；工艺：激光切割一次成型。</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5.走轮 φ75低摩擦软性宽幅PU轮，适用地板和PVC地胶场地。</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6.防震垫：每只底座设5块防震垫,满足底座摩擦力要求。</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7.配重：单只≥85kg，满足产品稳定性要求。</w:t>
            </w:r>
          </w:p>
          <w:p>
            <w:pPr>
              <w:keepNext w:val="0"/>
              <w:keepLines w:val="0"/>
              <w:widowControl/>
              <w:suppressLineNumbers w:val="0"/>
              <w:wordWrap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w:t>
            </w:r>
            <w:r>
              <w:rPr>
                <w:rFonts w:hint="eastAsia" w:ascii="仿宋" w:hAnsi="仿宋" w:eastAsia="仿宋" w:cs="仿宋"/>
                <w:b/>
                <w:bCs/>
                <w:i w:val="0"/>
                <w:iCs w:val="0"/>
                <w:color w:val="000000"/>
                <w:kern w:val="0"/>
                <w:sz w:val="21"/>
                <w:szCs w:val="21"/>
                <w:highlight w:val="none"/>
                <w:u w:val="none"/>
                <w:lang w:val="en-US" w:eastAsia="zh-CN" w:bidi="ar"/>
              </w:rPr>
              <w:t>具有NSCC国体认证</w:t>
            </w:r>
            <w:r>
              <w:rPr>
                <w:rFonts w:hint="eastAsia" w:ascii="仿宋" w:hAnsi="仿宋" w:eastAsia="仿宋" w:cs="仿宋"/>
                <w:i w:val="0"/>
                <w:iCs w:val="0"/>
                <w:color w:val="000000"/>
                <w:kern w:val="0"/>
                <w:sz w:val="21"/>
                <w:szCs w:val="21"/>
                <w:highlight w:val="none"/>
                <w:u w:val="none"/>
                <w:lang w:val="en-US" w:eastAsia="zh-CN" w:bidi="ar"/>
              </w:rPr>
              <w:t>，</w:t>
            </w:r>
            <w:r>
              <w:rPr>
                <w:rFonts w:hint="eastAsia" w:ascii="仿宋" w:hAnsi="仿宋" w:eastAsia="仿宋" w:cs="仿宋"/>
                <w:b/>
                <w:bCs/>
                <w:color w:val="auto"/>
                <w:szCs w:val="21"/>
                <w:highlight w:val="none"/>
              </w:rPr>
              <w:t>证明材料提供认证证书复印件。</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羽毛球地胶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3810</wp:posOffset>
                  </wp:positionH>
                  <wp:positionV relativeFrom="paragraph">
                    <wp:posOffset>429260</wp:posOffset>
                  </wp:positionV>
                  <wp:extent cx="738505" cy="488315"/>
                  <wp:effectExtent l="0" t="0" r="10795" b="6985"/>
                  <wp:wrapNone/>
                  <wp:docPr id="55" name="图片_1"/>
                  <wp:cNvGraphicFramePr/>
                  <a:graphic xmlns:a="http://schemas.openxmlformats.org/drawingml/2006/main">
                    <a:graphicData uri="http://schemas.openxmlformats.org/drawingml/2006/picture">
                      <pic:pic xmlns:pic="http://schemas.openxmlformats.org/drawingml/2006/picture">
                        <pic:nvPicPr>
                          <pic:cNvPr id="55" name="图片_1"/>
                          <pic:cNvPicPr/>
                        </pic:nvPicPr>
                        <pic:blipFill>
                          <a:blip r:embed="rId40"/>
                          <a:stretch>
                            <a:fillRect/>
                          </a:stretch>
                        </pic:blipFill>
                        <pic:spPr>
                          <a:xfrm>
                            <a:off x="0" y="0"/>
                            <a:ext cx="738505" cy="48831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1.PVC运动地板总厚度≥5.0mm水晶沙纹，硬度（邵A）：55-90（度）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2.拉伸强度≥1.0Mpa</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3.拉断伸长率≥120%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4.可溶性重金属铅含量≤20mg/㎡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5.可溶性重金属镉含量≤20mg/㎡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6.挥发物含量≤50g/㎡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7.氯乙烯含量：未检出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8.防火燃烧性能B1级，20s内焰尖高度≤150mm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9.灰分含量≤0.2%</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10.焊接强度，平均值≥500N/50mm；最小值≥400N/50mm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11.加热尺寸变化率（纵向，横向）≤0.4%</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12.耐磨性T级，体积损失≤2.0mm³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13.防滑性(湿法)≥0.6</w:t>
            </w:r>
          </w:p>
          <w:p>
            <w:pPr>
              <w:keepNext w:val="0"/>
              <w:keepLines w:val="0"/>
              <w:widowControl/>
              <w:suppressLineNumbers w:val="0"/>
              <w:jc w:val="left"/>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r>
              <w:rPr>
                <w:rFonts w:hint="eastAsia" w:ascii="仿宋" w:hAnsi="仿宋" w:eastAsia="仿宋" w:cs="仿宋"/>
                <w:b/>
                <w:bCs/>
                <w:i w:val="0"/>
                <w:iCs w:val="0"/>
                <w:color w:val="000000"/>
                <w:kern w:val="0"/>
                <w:sz w:val="21"/>
                <w:szCs w:val="21"/>
                <w:highlight w:val="none"/>
                <w:u w:val="none"/>
                <w:lang w:val="en-US" w:eastAsia="zh-CN" w:bidi="ar"/>
              </w:rPr>
              <w:t>提供检测28天后甲苯、乙苯释放量≤50μg/m³，证明材料提供具有国家认可或批准检测资质的第三方检测机构出具的检测报告复制件</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☆抗菌性能检测（大肠杆菌、金黄色葡萄球菌等5种及以上细菌），抗菌率≥99.5%。</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☆耐酸耐碱老化≥4000h，耐磨性：磨耗量平均值≤0.5g，氯乙烯单体未检出。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☆耐环境应力开裂检测≥4000h，达到破裂率0%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☆耐人工气候（透过玻璃）老化≥3000h，外观不准许有裂纹，达到耐污染性0级。</w:t>
            </w:r>
          </w:p>
          <w:p>
            <w:pPr>
              <w:keepNext w:val="0"/>
              <w:keepLines w:val="0"/>
              <w:widowControl/>
              <w:suppressLineNumbers w:val="0"/>
              <w:jc w:val="left"/>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t>
            </w:r>
            <w:r>
              <w:rPr>
                <w:rFonts w:hint="eastAsia" w:ascii="仿宋" w:hAnsi="仿宋" w:eastAsia="仿宋" w:cs="仿宋"/>
                <w:b/>
                <w:bCs/>
                <w:i w:val="0"/>
                <w:iCs w:val="0"/>
                <w:color w:val="000000"/>
                <w:kern w:val="0"/>
                <w:sz w:val="21"/>
                <w:szCs w:val="21"/>
                <w:highlight w:val="none"/>
                <w:u w:val="none"/>
                <w:lang w:val="en-US" w:eastAsia="zh-CN" w:bidi="ar"/>
              </w:rPr>
              <w:t>和PVC地板同品牌的胶粘剂中苯，甲苯、二甲苯和可溶性铅全部未检出，证明材料提供具有国家认可或批准检测资质的第三方检测机构出具的检测报告复制件</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为保证使用寿命，需分别提供具有国家认可或批准检测资质的第三方检测机构出具的耐酸耐碱老化≥4000h、耐环境应力开裂检测≥4000h、耐人工气候（透过玻璃）老化≥3000h符合老化要求的检测报告复制件</w:t>
            </w:r>
            <w:r>
              <w:rPr>
                <w:rFonts w:hint="eastAsia" w:ascii="仿宋" w:hAnsi="仿宋" w:eastAsia="仿宋" w:cs="仿宋"/>
                <w:i w:val="0"/>
                <w:iCs w:val="0"/>
                <w:color w:val="000000"/>
                <w:kern w:val="0"/>
                <w:sz w:val="21"/>
                <w:szCs w:val="21"/>
                <w:highlight w:val="none"/>
                <w:u w:val="none"/>
                <w:lang w:val="en-US" w:eastAsia="zh-CN" w:bidi="ar"/>
              </w:rPr>
              <w:t>。</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乒乓球桌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-61595</wp:posOffset>
                  </wp:positionH>
                  <wp:positionV relativeFrom="paragraph">
                    <wp:posOffset>796925</wp:posOffset>
                  </wp:positionV>
                  <wp:extent cx="865505" cy="458470"/>
                  <wp:effectExtent l="0" t="0" r="10795" b="11430"/>
                  <wp:wrapNone/>
                  <wp:docPr id="51" name="image335"/>
                  <wp:cNvGraphicFramePr/>
                  <a:graphic xmlns:a="http://schemas.openxmlformats.org/drawingml/2006/main">
                    <a:graphicData uri="http://schemas.openxmlformats.org/drawingml/2006/picture">
                      <pic:pic xmlns:pic="http://schemas.openxmlformats.org/drawingml/2006/picture">
                        <pic:nvPicPr>
                          <pic:cNvPr id="51" name="image335"/>
                          <pic:cNvPicPr/>
                        </pic:nvPicPr>
                        <pic:blipFill>
                          <a:blip r:embed="rId41"/>
                          <a:stretch>
                            <a:fillRect/>
                          </a:stretch>
                        </pic:blipFill>
                        <pic:spPr>
                          <a:xfrm>
                            <a:off x="0" y="0"/>
                            <a:ext cx="865505" cy="4584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1、基本尺寸：长×宽×高=274×152.5×76(厘米)。台面厚2.0厘米，台面边沿四周画有白线，宽度2厘米，台面中间画有细白线，宽0.3厘米。</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2、球台采用中密度板在层压专用机经加温加压制作，保持球台在不同地域、气候差异较大情况下性能稳定，不易变形。台面弹性：230-260mm，弹性均匀度：≤5mm。</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3、球台表面以特殊配方的油漆喷涂，色彩柔和无反光。台面光泽度：≤4度，台面摩擦系数：≤0.6。</w:t>
            </w:r>
          </w:p>
          <w:p>
            <w:pPr>
              <w:keepNext w:val="0"/>
              <w:keepLines w:val="0"/>
              <w:widowControl/>
              <w:suppressLineNumbers w:val="0"/>
              <w:jc w:val="left"/>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球台为单折移动型，球台与台脚连接机构为冲压件，台脚可折叠，翻转灵活，台脚采用□50×50焊管，折叠后设有限位锁紧机构，可加强球台的稳定性，台脚底部装有高度微调机构，台面通过台脚微调支点使其达到高度要求。球台支撑脚配以带刹车功能的走轮，移动灵活，制动可靠。</w:t>
            </w:r>
          </w:p>
          <w:p>
            <w:pPr>
              <w:keepNext w:val="0"/>
              <w:keepLines w:val="0"/>
              <w:widowControl/>
              <w:suppressLineNumbers w:val="0"/>
              <w:jc w:val="left"/>
              <w:textAlignment w:val="auto"/>
              <w:rPr>
                <w:rFonts w:hint="eastAsia" w:ascii="仿宋" w:hAnsi="仿宋" w:eastAsia="仿宋" w:cs="仿宋"/>
                <w:b/>
                <w:bCs/>
                <w:color w:val="auto"/>
                <w:szCs w:val="21"/>
                <w:highlight w:val="none"/>
              </w:rPr>
            </w:pPr>
            <w:r>
              <w:rPr>
                <w:rFonts w:hint="eastAsia" w:ascii="仿宋" w:hAnsi="仿宋" w:eastAsia="仿宋" w:cs="仿宋"/>
                <w:i w:val="0"/>
                <w:iCs w:val="0"/>
                <w:color w:val="000000"/>
                <w:kern w:val="0"/>
                <w:sz w:val="21"/>
                <w:szCs w:val="21"/>
                <w:highlight w:val="none"/>
                <w:u w:val="none"/>
                <w:lang w:val="en-US" w:eastAsia="zh-CN" w:bidi="ar"/>
              </w:rPr>
              <w:t>☆</w:t>
            </w:r>
            <w:r>
              <w:rPr>
                <w:rFonts w:hint="eastAsia" w:ascii="仿宋" w:hAnsi="仿宋" w:eastAsia="仿宋" w:cs="仿宋"/>
                <w:b/>
                <w:bCs/>
                <w:i w:val="0"/>
                <w:iCs w:val="0"/>
                <w:color w:val="000000"/>
                <w:kern w:val="0"/>
                <w:sz w:val="21"/>
                <w:szCs w:val="21"/>
                <w:highlight w:val="none"/>
                <w:u w:val="none"/>
                <w:lang w:val="en-US" w:eastAsia="zh-CN" w:bidi="ar"/>
              </w:rPr>
              <w:t>具有NSCC国体认证</w:t>
            </w:r>
            <w:r>
              <w:rPr>
                <w:rFonts w:hint="eastAsia" w:ascii="仿宋" w:hAnsi="仿宋" w:eastAsia="仿宋" w:cs="仿宋"/>
                <w:i w:val="0"/>
                <w:iCs w:val="0"/>
                <w:color w:val="000000"/>
                <w:kern w:val="0"/>
                <w:sz w:val="21"/>
                <w:szCs w:val="21"/>
                <w:highlight w:val="none"/>
                <w:u w:val="none"/>
                <w:lang w:val="en-US" w:eastAsia="zh-CN" w:bidi="ar"/>
              </w:rPr>
              <w:t>，</w:t>
            </w:r>
            <w:r>
              <w:rPr>
                <w:rFonts w:hint="eastAsia" w:ascii="仿宋" w:hAnsi="仿宋" w:eastAsia="仿宋" w:cs="仿宋"/>
                <w:b/>
                <w:bCs/>
                <w:color w:val="auto"/>
                <w:szCs w:val="21"/>
                <w:highlight w:val="none"/>
              </w:rPr>
              <w:t>证明材料提供认证证书复印件。</w:t>
            </w:r>
          </w:p>
          <w:p>
            <w:pPr>
              <w:keepNext w:val="0"/>
              <w:keepLines w:val="0"/>
              <w:widowControl/>
              <w:suppressLineNumbers w:val="0"/>
              <w:jc w:val="left"/>
              <w:textAlignment w:val="auto"/>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依据GB/T16422.2-2022《塑料实验室光源暴露试验方法氙灯老化检测标准》对所投产（活动看台或室内乒乓球台脚轮）氙灯老化和压力测试进行检测，在标准检测条件下，氙灯老化在试验时间1000h下产品外观颜色变色按GB250评级不小于3级，压力测试极限载荷保持率不低于85%或符合（或类似表述）。证明材料提供具有国家认可或批准检测资质的第三方检测机构出具的检测报告复制件。</w:t>
            </w:r>
          </w:p>
          <w:p>
            <w:pPr>
              <w:keepNext w:val="0"/>
              <w:keepLines w:val="0"/>
              <w:widowControl/>
              <w:suppressLineNumbers w:val="0"/>
              <w:jc w:val="left"/>
              <w:textAlignment w:val="auto"/>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依据GB/T32597-2016《乒乓球台的安全、性能要求和试验方法》对所投产品（室内乒乓球台）台面反弹高度进行检测，40mm的乒乓球从300mm高度自由落体到预定的部位或特定的点位上，其反弹高度大于或小于平均反弹高度2mm的个数≤1个；在特定点上反弹高度与平均反弹高度之差为0mm；最大与最小反弹高度之差≤4mm的得5分；其反弹高度大于或小于平均反弹高度2mm的个数（＞1个，≤2个）；在特定点上反弹高度与平均反弹高度之差（＞0mm，≤3mm）；最大与最小反弹高度之差(＞4mm,≤5mm)的得3分；其反弹高度大于或小于平均反弹高度2mm的个数（3个）；在特定点上反弹高度与平均反弹高度之差（＞3mm，≤6mm）；最大与最小反弹高度之差(＞5mm,≤7mm)的得1分。</w:t>
            </w:r>
            <w:r>
              <w:rPr>
                <w:rFonts w:hint="eastAsia" w:ascii="仿宋" w:hAnsi="仿宋" w:eastAsia="仿宋" w:cs="仿宋"/>
                <w:b/>
                <w:bCs/>
                <w:color w:val="000000"/>
                <w:kern w:val="0"/>
                <w:sz w:val="21"/>
                <w:szCs w:val="21"/>
                <w:highlight w:val="none"/>
                <w:u w:val="none"/>
                <w:lang w:bidi="ar"/>
              </w:rPr>
              <w:t>证明材料提供具有国家认可或批准检测资质的第三方检测机构出具的带有“CMA</w:t>
            </w:r>
            <w:r>
              <w:rPr>
                <w:rFonts w:hint="eastAsia" w:ascii="仿宋" w:hAnsi="仿宋" w:eastAsia="仿宋" w:cs="仿宋"/>
                <w:b/>
                <w:bCs/>
                <w:color w:val="000000"/>
                <w:kern w:val="0"/>
                <w:sz w:val="21"/>
                <w:szCs w:val="21"/>
                <w:highlight w:val="none"/>
                <w:u w:val="none"/>
                <w:lang w:val="en-US" w:eastAsia="zh-CN" w:bidi="ar"/>
              </w:rPr>
              <w:t>或</w:t>
            </w:r>
            <w:r>
              <w:rPr>
                <w:rFonts w:hint="eastAsia" w:ascii="仿宋" w:hAnsi="仿宋" w:eastAsia="仿宋" w:cs="仿宋"/>
                <w:b/>
                <w:bCs/>
                <w:color w:val="000000"/>
                <w:kern w:val="0"/>
                <w:sz w:val="21"/>
                <w:szCs w:val="21"/>
                <w:highlight w:val="none"/>
                <w:u w:val="none"/>
                <w:lang w:bidi="ar"/>
              </w:rPr>
              <w:t>CNAS”标识的检测报告复制件</w:t>
            </w:r>
            <w:r>
              <w:rPr>
                <w:rFonts w:hint="eastAsia" w:ascii="仿宋" w:hAnsi="仿宋" w:eastAsia="仿宋" w:cs="仿宋"/>
                <w:b/>
                <w:bCs/>
                <w:i w:val="0"/>
                <w:iCs w:val="0"/>
                <w:color w:val="000000"/>
                <w:kern w:val="0"/>
                <w:sz w:val="21"/>
                <w:szCs w:val="21"/>
                <w:highlight w:val="none"/>
                <w:u w:val="none"/>
                <w:lang w:val="en-US" w:eastAsia="zh-CN" w:bidi="ar"/>
              </w:rPr>
              <w:t>。</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乒乓球翻分牌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-46355</wp:posOffset>
                  </wp:positionH>
                  <wp:positionV relativeFrom="paragraph">
                    <wp:posOffset>241300</wp:posOffset>
                  </wp:positionV>
                  <wp:extent cx="779145" cy="506095"/>
                  <wp:effectExtent l="0" t="0" r="8255" b="1905"/>
                  <wp:wrapNone/>
                  <wp:docPr id="37" name="图片_17"/>
                  <wp:cNvGraphicFramePr/>
                  <a:graphic xmlns:a="http://schemas.openxmlformats.org/drawingml/2006/main">
                    <a:graphicData uri="http://schemas.openxmlformats.org/drawingml/2006/picture">
                      <pic:pic xmlns:pic="http://schemas.openxmlformats.org/drawingml/2006/picture">
                        <pic:nvPicPr>
                          <pic:cNvPr id="37" name="图片_17"/>
                          <pic:cNvPicPr/>
                        </pic:nvPicPr>
                        <pic:blipFill>
                          <a:blip r:embed="rId42"/>
                          <a:stretch>
                            <a:fillRect/>
                          </a:stretch>
                        </pic:blipFill>
                        <pic:spPr>
                          <a:xfrm>
                            <a:off x="0" y="0"/>
                            <a:ext cx="779145" cy="50609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1.翻分牌为台式，主要由翻分牌框架和翻分牌组成。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2、翻分牌框架采用塑料件制成。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3、翻分牌记分牌采用深蓝色PVC板制作，共2组，每组共52张，号码0-50，为白色。</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bdr w:val="single" w:color="000000" w:sz="4" w:space="0"/>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4、翻分牌局分牌为深蓝色PVC板，共2组，每组9张，号码0-7号，为白色。</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乒乓球场地挡板</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78105</wp:posOffset>
                  </wp:positionH>
                  <wp:positionV relativeFrom="paragraph">
                    <wp:posOffset>959485</wp:posOffset>
                  </wp:positionV>
                  <wp:extent cx="833755" cy="408940"/>
                  <wp:effectExtent l="0" t="0" r="4445" b="10160"/>
                  <wp:wrapNone/>
                  <wp:docPr id="48"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43"/>
                          <a:stretch>
                            <a:fillRect/>
                          </a:stretch>
                        </pic:blipFill>
                        <pic:spPr>
                          <a:xfrm>
                            <a:off x="0" y="0"/>
                            <a:ext cx="833755" cy="40894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1、基本尺寸 ：单块尺寸 ：长×高=2.34×0.75（米）；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2、乒乓球场地挡板底部横杆采用□25×25×1.5优质方管制作，上部支架采用Φ22×2优质圆管成一次弯管成形制作，挡板两侧设有围布。</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3、挡板底部横杆两端设有防震垫及拨转机构，使用挡板时，拨转机构与挡板垂直，存放挡板时，拨转机与挡板底边重合。</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bdr w:val="single" w:color="000000" w:sz="4" w:space="0"/>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海绵垫</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102870</wp:posOffset>
                  </wp:positionH>
                  <wp:positionV relativeFrom="paragraph">
                    <wp:posOffset>171450</wp:posOffset>
                  </wp:positionV>
                  <wp:extent cx="674370" cy="306705"/>
                  <wp:effectExtent l="0" t="0" r="11430" b="10795"/>
                  <wp:wrapNone/>
                  <wp:docPr id="34" name="图片_45"/>
                  <wp:cNvGraphicFramePr/>
                  <a:graphic xmlns:a="http://schemas.openxmlformats.org/drawingml/2006/main">
                    <a:graphicData uri="http://schemas.openxmlformats.org/drawingml/2006/picture">
                      <pic:pic xmlns:pic="http://schemas.openxmlformats.org/drawingml/2006/picture">
                        <pic:nvPicPr>
                          <pic:cNvPr id="34" name="图片_45"/>
                          <pic:cNvPicPr/>
                        </pic:nvPicPr>
                        <pic:blipFill>
                          <a:blip r:embed="rId44"/>
                          <a:stretch>
                            <a:fillRect/>
                          </a:stretch>
                        </pic:blipFill>
                        <pic:spPr>
                          <a:xfrm>
                            <a:off x="0" y="0"/>
                            <a:ext cx="674370" cy="30670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1.海绵垫主体由压缩海绵组成，弹力均衡，柔软适中。</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2.海绵垫基本尺寸：长x宽x厚=2X1.5X0.1（米）。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bdr w:val="single" w:color="000000" w:sz="4" w:space="0"/>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3.海绵垫表面罩防水帆布套，套子侧面装有拉链及拉手攀，且四周设有排气孔。</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折叠海绵垫</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66040</wp:posOffset>
                  </wp:positionH>
                  <wp:positionV relativeFrom="paragraph">
                    <wp:posOffset>310515</wp:posOffset>
                  </wp:positionV>
                  <wp:extent cx="744855" cy="288925"/>
                  <wp:effectExtent l="0" t="0" r="4445" b="3175"/>
                  <wp:wrapNone/>
                  <wp:docPr id="52" name="图片_46"/>
                  <wp:cNvGraphicFramePr/>
                  <a:graphic xmlns:a="http://schemas.openxmlformats.org/drawingml/2006/main">
                    <a:graphicData uri="http://schemas.openxmlformats.org/drawingml/2006/picture">
                      <pic:pic xmlns:pic="http://schemas.openxmlformats.org/drawingml/2006/picture">
                        <pic:nvPicPr>
                          <pic:cNvPr id="52" name="图片_46"/>
                          <pic:cNvPicPr/>
                        </pic:nvPicPr>
                        <pic:blipFill>
                          <a:blip r:embed="rId45"/>
                          <a:stretch>
                            <a:fillRect/>
                          </a:stretch>
                        </pic:blipFill>
                        <pic:spPr>
                          <a:xfrm>
                            <a:off x="0" y="0"/>
                            <a:ext cx="744855" cy="2889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1.海绵垫主体由重泡海绵组成，弹力均衡，柔软适中。</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2.海绵垫基本尺寸：长x宽x厚=1×1×0.08（米），可折叠。</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bdr w:val="single" w:color="000000" w:sz="4" w:space="0"/>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3.海绵垫表面罩防水帆布套，军绿色，套子侧面装有拉链及拉手攀。</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立定跳远垫</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76200</wp:posOffset>
                  </wp:positionH>
                  <wp:positionV relativeFrom="paragraph">
                    <wp:posOffset>243205</wp:posOffset>
                  </wp:positionV>
                  <wp:extent cx="598805" cy="298450"/>
                  <wp:effectExtent l="0" t="0" r="10795" b="6350"/>
                  <wp:wrapNone/>
                  <wp:docPr id="53" name="图片_48"/>
                  <wp:cNvGraphicFramePr/>
                  <a:graphic xmlns:a="http://schemas.openxmlformats.org/drawingml/2006/main">
                    <a:graphicData uri="http://schemas.openxmlformats.org/drawingml/2006/picture">
                      <pic:pic xmlns:pic="http://schemas.openxmlformats.org/drawingml/2006/picture">
                        <pic:nvPicPr>
                          <pic:cNvPr id="53" name="图片_48"/>
                          <pic:cNvPicPr/>
                        </pic:nvPicPr>
                        <pic:blipFill>
                          <a:blip r:embed="rId46"/>
                          <a:stretch>
                            <a:fillRect/>
                          </a:stretch>
                        </pic:blipFill>
                        <pic:spPr>
                          <a:xfrm>
                            <a:off x="0" y="0"/>
                            <a:ext cx="598805" cy="29845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1.海绵垫主体由压缩海绵组成，弹力均衡，柔软适中。</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2.海绵垫基本尺寸：长x宽x厚=3×1×0.005（米）。</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3.海绵垫表面罩PVC套，可卷起存放，标有刻度，测量范围：0~3米。</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高级比赛跳高架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189230</wp:posOffset>
                  </wp:positionH>
                  <wp:positionV relativeFrom="paragraph">
                    <wp:posOffset>635000</wp:posOffset>
                  </wp:positionV>
                  <wp:extent cx="559435" cy="545465"/>
                  <wp:effectExtent l="0" t="0" r="12065" b="635"/>
                  <wp:wrapNone/>
                  <wp:docPr id="39" name="图片_51"/>
                  <wp:cNvGraphicFramePr/>
                  <a:graphic xmlns:a="http://schemas.openxmlformats.org/drawingml/2006/main">
                    <a:graphicData uri="http://schemas.openxmlformats.org/drawingml/2006/picture">
                      <pic:pic xmlns:pic="http://schemas.openxmlformats.org/drawingml/2006/picture">
                        <pic:nvPicPr>
                          <pic:cNvPr id="39" name="图片_51"/>
                          <pic:cNvPicPr/>
                        </pic:nvPicPr>
                        <pic:blipFill>
                          <a:blip r:embed="rId47"/>
                          <a:stretch>
                            <a:fillRect/>
                          </a:stretch>
                        </pic:blipFill>
                        <pic:spPr>
                          <a:xfrm>
                            <a:off x="0" y="0"/>
                            <a:ext cx="559435" cy="54546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1、高级比赛跳高架由底座、微调支脚、固定立柱、导杆、横杆托架、构成。可装拆，便于运输和包装。</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2、底座选用δ4铁板一次冲压成型，避免了焊接造成的接口腐蚀，底部设有PU滚轮，移动方便。</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3、跳高架底座底部设有微调机构，通过调节微调机构可满足场地不平整引起的跳高架的稳定性和横杆的高度要求，且底座上平面置有水准泡，能清楚显示底座的平稳性。</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4、跳高架固定立柱、导杆均选用铝合金型材，固定立杆内置互成90度的斜齿轮，配梯形螺纹的螺杆升降机构，通过摇动升降手柄，使导杆上下移动，实现高度调节范围：500-2600mm。</w:t>
            </w:r>
          </w:p>
          <w:p>
            <w:pPr>
              <w:keepNext w:val="0"/>
              <w:keepLines w:val="0"/>
              <w:widowControl/>
              <w:suppressLineNumbers w:val="0"/>
              <w:wordWrap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5、跳高架横杆托架采用铝压铸件，具有防腐蚀性、安全、牢固等优点且上下移动方便。</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比赛跳高架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269240</wp:posOffset>
                  </wp:positionH>
                  <wp:positionV relativeFrom="paragraph">
                    <wp:posOffset>523875</wp:posOffset>
                  </wp:positionV>
                  <wp:extent cx="388620" cy="666750"/>
                  <wp:effectExtent l="0" t="0" r="5080" b="6350"/>
                  <wp:wrapNone/>
                  <wp:docPr id="31" name="图片_52"/>
                  <wp:cNvGraphicFramePr/>
                  <a:graphic xmlns:a="http://schemas.openxmlformats.org/drawingml/2006/main">
                    <a:graphicData uri="http://schemas.openxmlformats.org/drawingml/2006/picture">
                      <pic:pic xmlns:pic="http://schemas.openxmlformats.org/drawingml/2006/picture">
                        <pic:nvPicPr>
                          <pic:cNvPr id="31" name="图片_52"/>
                          <pic:cNvPicPr/>
                        </pic:nvPicPr>
                        <pic:blipFill>
                          <a:blip r:embed="rId48"/>
                          <a:stretch>
                            <a:fillRect/>
                          </a:stretch>
                        </pic:blipFill>
                        <pic:spPr>
                          <a:xfrm>
                            <a:off x="0" y="0"/>
                            <a:ext cx="388620" cy="66675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1、跳高架由底座、固定立柱、移动立柱、横杆托架、微调支脚构成。可装拆，便于运输和包装。</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2、固定立柱与移动立柱选用铝合金型材，型材之间采用燕尾槽配合。表面氧化处理。固定立柱上贴有不锈钢标尺，刻度调节范围：600-2600mm。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3、底座选用δ4铁板一次冲压成型，避免了焊接造成的接口腐蚀，底部设有PU滚轮，移动方便。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4、跳高架横杆托架采用铝压铸件，具有防腐蚀性、安全、牢固等优点且上下移动方便。</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5、跳高架底座底部设有微调机构，通过调节微调机构可满足场地不平整引起的跳高架的稳定性和横杆的高度要求。</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跳高横杆</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67945</wp:posOffset>
                  </wp:positionH>
                  <wp:positionV relativeFrom="paragraph">
                    <wp:posOffset>408305</wp:posOffset>
                  </wp:positionV>
                  <wp:extent cx="640715" cy="342900"/>
                  <wp:effectExtent l="0" t="0" r="6985" b="0"/>
                  <wp:wrapNone/>
                  <wp:docPr id="40" name="图片 31"/>
                  <wp:cNvGraphicFramePr/>
                  <a:graphic xmlns:a="http://schemas.openxmlformats.org/drawingml/2006/main">
                    <a:graphicData uri="http://schemas.openxmlformats.org/drawingml/2006/picture">
                      <pic:pic xmlns:pic="http://schemas.openxmlformats.org/drawingml/2006/picture">
                        <pic:nvPicPr>
                          <pic:cNvPr id="40" name="图片 31"/>
                          <pic:cNvPicPr/>
                        </pic:nvPicPr>
                        <pic:blipFill>
                          <a:blip r:embed="rId49"/>
                          <a:stretch>
                            <a:fillRect/>
                          </a:stretch>
                        </pic:blipFill>
                        <pic:spPr>
                          <a:xfrm>
                            <a:off x="0" y="0"/>
                            <a:ext cx="640715" cy="3429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跳高横竿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1.跳高横杆由横杆和横杆接头组成。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2.横杆采用φ30的玻璃钢制作，横杆接头采用特殊的外形结构。</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3.跳高横杆总长为4000mm。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4.横杆表面喷黑、黄双色漆，中间段为黑色。</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横杆运输车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78105</wp:posOffset>
                  </wp:positionH>
                  <wp:positionV relativeFrom="paragraph">
                    <wp:posOffset>178435</wp:posOffset>
                  </wp:positionV>
                  <wp:extent cx="641350" cy="333375"/>
                  <wp:effectExtent l="0" t="0" r="6350" b="9525"/>
                  <wp:wrapNone/>
                  <wp:docPr id="43" name="图片 32"/>
                  <wp:cNvGraphicFramePr/>
                  <a:graphic xmlns:a="http://schemas.openxmlformats.org/drawingml/2006/main">
                    <a:graphicData uri="http://schemas.openxmlformats.org/drawingml/2006/picture">
                      <pic:pic xmlns:pic="http://schemas.openxmlformats.org/drawingml/2006/picture">
                        <pic:nvPicPr>
                          <pic:cNvPr id="43" name="图片 32"/>
                          <pic:cNvPicPr/>
                        </pic:nvPicPr>
                        <pic:blipFill>
                          <a:blip r:embed="rId50"/>
                          <a:stretch>
                            <a:fillRect/>
                          </a:stretch>
                        </pic:blipFill>
                        <pic:spPr>
                          <a:xfrm>
                            <a:off x="0" y="0"/>
                            <a:ext cx="641350" cy="3333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基本尺寸：长x宽x高=2000x700x810（mm）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主要材料：φ32*2焊管</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走    轮：φ75万向轮，移动方便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产品特性：可放置横杆10支</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工艺：产品具有耐酸碱、耐湿热、抗老化、外观美观等优点，能适合潮湿和酸雨环境，涂料均为绿色环保无毒产品，避免损害使用者的健康。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跳高丈量尺</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84455</wp:posOffset>
                  </wp:positionH>
                  <wp:positionV relativeFrom="paragraph">
                    <wp:posOffset>344805</wp:posOffset>
                  </wp:positionV>
                  <wp:extent cx="636905" cy="182880"/>
                  <wp:effectExtent l="0" t="0" r="10795" b="7620"/>
                  <wp:wrapNone/>
                  <wp:docPr id="62" name="图片_53"/>
                  <wp:cNvGraphicFramePr/>
                  <a:graphic xmlns:a="http://schemas.openxmlformats.org/drawingml/2006/main">
                    <a:graphicData uri="http://schemas.openxmlformats.org/drawingml/2006/picture">
                      <pic:pic xmlns:pic="http://schemas.openxmlformats.org/drawingml/2006/picture">
                        <pic:nvPicPr>
                          <pic:cNvPr id="62" name="图片_53"/>
                          <pic:cNvPicPr/>
                        </pic:nvPicPr>
                        <pic:blipFill>
                          <a:blip r:embed="rId51"/>
                          <a:stretch>
                            <a:fillRect/>
                          </a:stretch>
                        </pic:blipFill>
                        <pic:spPr>
                          <a:xfrm>
                            <a:off x="0" y="0"/>
                            <a:ext cx="636905" cy="18288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1、跳高丈量尺主要由立杆和测高器二部分组成。</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2、跳高丈量尺立杆采用铝合金型材制作，上面标有刻度，调高范围：600-2900㎜。</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跳高海绵垫</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67945</wp:posOffset>
                  </wp:positionH>
                  <wp:positionV relativeFrom="paragraph">
                    <wp:posOffset>295910</wp:posOffset>
                  </wp:positionV>
                  <wp:extent cx="645795" cy="316865"/>
                  <wp:effectExtent l="0" t="0" r="1905" b="635"/>
                  <wp:wrapNone/>
                  <wp:docPr id="54" name="图片 34"/>
                  <wp:cNvGraphicFramePr/>
                  <a:graphic xmlns:a="http://schemas.openxmlformats.org/drawingml/2006/main">
                    <a:graphicData uri="http://schemas.openxmlformats.org/drawingml/2006/picture">
                      <pic:pic xmlns:pic="http://schemas.openxmlformats.org/drawingml/2006/picture">
                        <pic:nvPicPr>
                          <pic:cNvPr id="54" name="图片 34"/>
                          <pic:cNvPicPr/>
                        </pic:nvPicPr>
                        <pic:blipFill>
                          <a:blip r:embed="rId52"/>
                          <a:stretch>
                            <a:fillRect/>
                          </a:stretch>
                        </pic:blipFill>
                        <pic:spPr>
                          <a:xfrm>
                            <a:off x="0" y="0"/>
                            <a:ext cx="645795" cy="31686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1.跳高海绵垫主体由三层重磅发泡海绵（20Kg/M3）组成，弹力均衡，柔软适中。</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2.海绵垫的形状为“凸”字形，基本尺寸：长×宽×厚=5000×3000×700（㎜）。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3.海绵垫中层人体落地区域配有“井”字形框架结构，用以满足落地时人体对弹性及缓冲的要求。</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4.海绵垫表面罩有防水帆布套，套子侧面装有拉链及拉手攀，且四周设有排气孔。</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跳高海绵垫底架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88265</wp:posOffset>
                  </wp:positionH>
                  <wp:positionV relativeFrom="paragraph">
                    <wp:posOffset>247650</wp:posOffset>
                  </wp:positionV>
                  <wp:extent cx="677545" cy="314325"/>
                  <wp:effectExtent l="0" t="0" r="8255" b="3175"/>
                  <wp:wrapNone/>
                  <wp:docPr id="58" name="图片_1_SpCnt_1"/>
                  <wp:cNvGraphicFramePr/>
                  <a:graphic xmlns:a="http://schemas.openxmlformats.org/drawingml/2006/main">
                    <a:graphicData uri="http://schemas.openxmlformats.org/drawingml/2006/picture">
                      <pic:pic xmlns:pic="http://schemas.openxmlformats.org/drawingml/2006/picture">
                        <pic:nvPicPr>
                          <pic:cNvPr id="58" name="图片_1_SpCnt_1"/>
                          <pic:cNvPicPr/>
                        </pic:nvPicPr>
                        <pic:blipFill>
                          <a:blip r:embed="rId53"/>
                          <a:stretch>
                            <a:fillRect/>
                          </a:stretch>
                        </pic:blipFill>
                        <pic:spPr>
                          <a:xfrm>
                            <a:off x="0" y="0"/>
                            <a:ext cx="677545" cy="3143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1、基本尺寸：5×3×0.1（m）；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2、跳高海绵垫底架由五小块底架通过连接片连接而成。防锈蚀性强，每块底架主要采用口30×20、口20×20方管拼焊组成，焊接牢固，焊缝表面均匀光滑，无虚焊。</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跳高海绵垫防护棚</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46355</wp:posOffset>
                  </wp:positionH>
                  <wp:positionV relativeFrom="paragraph">
                    <wp:posOffset>184785</wp:posOffset>
                  </wp:positionV>
                  <wp:extent cx="736600" cy="418465"/>
                  <wp:effectExtent l="0" t="0" r="0" b="635"/>
                  <wp:wrapNone/>
                  <wp:docPr id="56" name="图片_2_SpCnt_1"/>
                  <wp:cNvGraphicFramePr/>
                  <a:graphic xmlns:a="http://schemas.openxmlformats.org/drawingml/2006/main">
                    <a:graphicData uri="http://schemas.openxmlformats.org/drawingml/2006/picture">
                      <pic:pic xmlns:pic="http://schemas.openxmlformats.org/drawingml/2006/picture">
                        <pic:nvPicPr>
                          <pic:cNvPr id="56" name="图片_2_SpCnt_1"/>
                          <pic:cNvPicPr/>
                        </pic:nvPicPr>
                        <pic:blipFill>
                          <a:blip r:embed="rId54"/>
                          <a:stretch>
                            <a:fillRect/>
                          </a:stretch>
                        </pic:blipFill>
                        <pic:spPr>
                          <a:xfrm>
                            <a:off x="0" y="0"/>
                            <a:ext cx="736600" cy="41846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1、基本规格尺寸：5.4×3.4×1.1（m）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2、跳高海绵防护棚主要由顶棚和框架组成，框架采用□40×40和□40×20方管拼装焊接而成，顶棚采用□25×25和□21×14方管拼焊而成。顶棚上面覆盖有彩钢瓦，设有漏雨槽，能防止漏雨。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3、防护棚底部设有滚轮，移动方便。</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起跳板</w:t>
            </w:r>
          </w:p>
        </w:tc>
        <w:tc>
          <w:tcPr>
            <w:tcW w:w="16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41910</wp:posOffset>
                  </wp:positionH>
                  <wp:positionV relativeFrom="paragraph">
                    <wp:posOffset>1318895</wp:posOffset>
                  </wp:positionV>
                  <wp:extent cx="783590" cy="283210"/>
                  <wp:effectExtent l="0" t="0" r="3810" b="8890"/>
                  <wp:wrapNone/>
                  <wp:docPr id="44" name="图片 39"/>
                  <wp:cNvGraphicFramePr/>
                  <a:graphic xmlns:a="http://schemas.openxmlformats.org/drawingml/2006/main">
                    <a:graphicData uri="http://schemas.openxmlformats.org/drawingml/2006/picture">
                      <pic:pic xmlns:pic="http://schemas.openxmlformats.org/drawingml/2006/picture">
                        <pic:nvPicPr>
                          <pic:cNvPr id="44" name="图片 39"/>
                          <pic:cNvPicPr/>
                        </pic:nvPicPr>
                        <pic:blipFill>
                          <a:blip r:embed="rId55"/>
                          <a:stretch>
                            <a:fillRect/>
                          </a:stretch>
                        </pic:blipFill>
                        <pic:spPr>
                          <a:xfrm>
                            <a:off x="0" y="0"/>
                            <a:ext cx="783590" cy="2832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57150</wp:posOffset>
                  </wp:positionH>
                  <wp:positionV relativeFrom="paragraph">
                    <wp:posOffset>789940</wp:posOffset>
                  </wp:positionV>
                  <wp:extent cx="815975" cy="318135"/>
                  <wp:effectExtent l="0" t="0" r="9525" b="12065"/>
                  <wp:wrapNone/>
                  <wp:docPr id="60" name="图片 38"/>
                  <wp:cNvGraphicFramePr/>
                  <a:graphic xmlns:a="http://schemas.openxmlformats.org/drawingml/2006/main">
                    <a:graphicData uri="http://schemas.openxmlformats.org/drawingml/2006/picture">
                      <pic:pic xmlns:pic="http://schemas.openxmlformats.org/drawingml/2006/picture">
                        <pic:nvPicPr>
                          <pic:cNvPr id="60" name="图片 38"/>
                          <pic:cNvPicPr/>
                        </pic:nvPicPr>
                        <pic:blipFill>
                          <a:blip r:embed="rId56"/>
                          <a:stretch>
                            <a:fillRect/>
                          </a:stretch>
                        </pic:blipFill>
                        <pic:spPr>
                          <a:xfrm>
                            <a:off x="0" y="0"/>
                            <a:ext cx="815975" cy="3181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237490</wp:posOffset>
                  </wp:positionH>
                  <wp:positionV relativeFrom="paragraph">
                    <wp:posOffset>156210</wp:posOffset>
                  </wp:positionV>
                  <wp:extent cx="474345" cy="456565"/>
                  <wp:effectExtent l="0" t="0" r="8255" b="635"/>
                  <wp:wrapNone/>
                  <wp:docPr id="24"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57"/>
                          <a:stretch>
                            <a:fillRect/>
                          </a:stretch>
                        </pic:blipFill>
                        <pic:spPr>
                          <a:xfrm>
                            <a:off x="0" y="0"/>
                            <a:ext cx="474345" cy="456565"/>
                          </a:xfrm>
                          <a:prstGeom prst="rect">
                            <a:avLst/>
                          </a:prstGeom>
                          <a:noFill/>
                          <a:ln>
                            <a:noFill/>
                          </a:ln>
                        </pic:spPr>
                      </pic:pic>
                    </a:graphicData>
                  </a:graphic>
                </wp:anchor>
              </w:drawing>
            </w:r>
          </w:p>
        </w:tc>
        <w:tc>
          <w:tcPr>
            <w:tcW w:w="5318" w:type="dxa"/>
            <w:vMerge w:val="restar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numPr>
                <w:ilvl w:val="0"/>
                <w:numId w:val="6"/>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起跳板由起跳板底座、起跳板、橡皮泥板和起跳板盖板组成。</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2、起跳板底座基本尺寸：1.22×0.3（m），主要采用δ4.5钢板拼焊而成，表面经热镀锌处理。</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3、起跳板采用松木制作，为长方形，基本尺寸：1.22×0.3（m），厚10厘米，表面经批膏、打磨后漆成白色。</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4、橡皮泥显示板采用木料制作，质地坚硬，长1.22米，宽10厘米，表面经批膏、打磨后漆成暗红色。</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5、起跳板盖板基本尺寸：1.22×0.3（m），主要采用铁板制作，表面经热镀锌处理。</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起跳板底座</w:t>
            </w:r>
          </w:p>
        </w:tc>
        <w:tc>
          <w:tcPr>
            <w:tcW w:w="16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1"/>
                <w:szCs w:val="21"/>
                <w:highlight w:val="none"/>
                <w:u w:val="none"/>
              </w:rPr>
            </w:pPr>
          </w:p>
        </w:tc>
        <w:tc>
          <w:tcPr>
            <w:tcW w:w="5318"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仿宋" w:hAnsi="仿宋" w:eastAsia="仿宋" w:cs="仿宋"/>
                <w:i w:val="0"/>
                <w:iCs w:val="0"/>
                <w:color w:val="000000"/>
                <w:sz w:val="21"/>
                <w:szCs w:val="21"/>
                <w:highlight w:val="none"/>
                <w:u w:val="none"/>
              </w:rPr>
            </w:pP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起跳板盖板</w:t>
            </w:r>
          </w:p>
        </w:tc>
        <w:tc>
          <w:tcPr>
            <w:tcW w:w="16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1"/>
                <w:szCs w:val="21"/>
                <w:highlight w:val="none"/>
                <w:u w:val="none"/>
              </w:rPr>
            </w:pPr>
          </w:p>
        </w:tc>
        <w:tc>
          <w:tcPr>
            <w:tcW w:w="5318"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仿宋" w:hAnsi="仿宋" w:eastAsia="仿宋" w:cs="仿宋"/>
                <w:i w:val="0"/>
                <w:iCs w:val="0"/>
                <w:color w:val="000000"/>
                <w:sz w:val="21"/>
                <w:szCs w:val="21"/>
                <w:highlight w:val="none"/>
                <w:u w:val="none"/>
              </w:rPr>
            </w:pP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橡皮泥板</w:t>
            </w:r>
          </w:p>
        </w:tc>
        <w:tc>
          <w:tcPr>
            <w:tcW w:w="16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1"/>
                <w:szCs w:val="21"/>
                <w:highlight w:val="none"/>
                <w:u w:val="none"/>
              </w:rPr>
            </w:pPr>
          </w:p>
        </w:tc>
        <w:tc>
          <w:tcPr>
            <w:tcW w:w="5318" w:type="dxa"/>
            <w:vMerge w:val="continue"/>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仿宋" w:hAnsi="仿宋" w:eastAsia="仿宋" w:cs="仿宋"/>
                <w:i w:val="0"/>
                <w:iCs w:val="0"/>
                <w:color w:val="000000"/>
                <w:sz w:val="21"/>
                <w:szCs w:val="21"/>
                <w:highlight w:val="none"/>
                <w:u w:val="none"/>
              </w:rPr>
            </w:pP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铝合金平沙板</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103505</wp:posOffset>
                  </wp:positionH>
                  <wp:positionV relativeFrom="paragraph">
                    <wp:posOffset>255905</wp:posOffset>
                  </wp:positionV>
                  <wp:extent cx="666750" cy="379095"/>
                  <wp:effectExtent l="0" t="0" r="6350" b="1905"/>
                  <wp:wrapNone/>
                  <wp:docPr id="21" name="图片_7"/>
                  <wp:cNvGraphicFramePr/>
                  <a:graphic xmlns:a="http://schemas.openxmlformats.org/drawingml/2006/main">
                    <a:graphicData uri="http://schemas.openxmlformats.org/drawingml/2006/picture">
                      <pic:pic xmlns:pic="http://schemas.openxmlformats.org/drawingml/2006/picture">
                        <pic:nvPicPr>
                          <pic:cNvPr id="21" name="图片_7"/>
                          <pic:cNvPicPr/>
                        </pic:nvPicPr>
                        <pic:blipFill>
                          <a:blip r:embed="rId58"/>
                          <a:stretch>
                            <a:fillRect/>
                          </a:stretch>
                        </pic:blipFill>
                        <pic:spPr>
                          <a:xfrm>
                            <a:off x="0" y="0"/>
                            <a:ext cx="666750" cy="37909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1、铝合金平砂板主要由手柄、支撑杆与平砂板三部分拼装而成。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2、支撑杆与平砂板采用铝合金型材，表面氧化。手柄采用Φ30×2铝管，长度为1650mm。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3、手柄处装有巴套，手感舒适。</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跳板显示牌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48895</wp:posOffset>
                  </wp:positionH>
                  <wp:positionV relativeFrom="paragraph">
                    <wp:posOffset>152400</wp:posOffset>
                  </wp:positionV>
                  <wp:extent cx="776605" cy="327025"/>
                  <wp:effectExtent l="0" t="0" r="10795" b="3175"/>
                  <wp:wrapNone/>
                  <wp:docPr id="64" name="图片_8"/>
                  <wp:cNvGraphicFramePr/>
                  <a:graphic xmlns:a="http://schemas.openxmlformats.org/drawingml/2006/main">
                    <a:graphicData uri="http://schemas.openxmlformats.org/drawingml/2006/picture">
                      <pic:pic xmlns:pic="http://schemas.openxmlformats.org/drawingml/2006/picture">
                        <pic:nvPicPr>
                          <pic:cNvPr id="64" name="图片_8"/>
                          <pic:cNvPicPr/>
                        </pic:nvPicPr>
                        <pic:blipFill>
                          <a:blip r:embed="rId59"/>
                          <a:stretch>
                            <a:fillRect/>
                          </a:stretch>
                        </pic:blipFill>
                        <pic:spPr>
                          <a:xfrm>
                            <a:off x="0" y="0"/>
                            <a:ext cx="776605" cy="3270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1、跳板显示牌采用δ3mm玻璃钢材料制作,拉手采用圆钢制作，外表印有显示标志。</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2、显示牌表面喷白色油漆，显示标志为蓝色，色彩鲜明。</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跳远测量牌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78740</wp:posOffset>
                  </wp:positionH>
                  <wp:positionV relativeFrom="paragraph">
                    <wp:posOffset>1108075</wp:posOffset>
                  </wp:positionV>
                  <wp:extent cx="750570" cy="408940"/>
                  <wp:effectExtent l="0" t="0" r="11430" b="10160"/>
                  <wp:wrapNone/>
                  <wp:docPr id="57" name="图片 42"/>
                  <wp:cNvGraphicFramePr/>
                  <a:graphic xmlns:a="http://schemas.openxmlformats.org/drawingml/2006/main">
                    <a:graphicData uri="http://schemas.openxmlformats.org/drawingml/2006/picture">
                      <pic:pic xmlns:pic="http://schemas.openxmlformats.org/drawingml/2006/picture">
                        <pic:nvPicPr>
                          <pic:cNvPr id="57" name="图片 42"/>
                          <pic:cNvPicPr/>
                        </pic:nvPicPr>
                        <pic:blipFill>
                          <a:blip r:embed="rId60"/>
                          <a:stretch>
                            <a:fillRect/>
                          </a:stretch>
                        </pic:blipFill>
                        <pic:spPr>
                          <a:xfrm>
                            <a:off x="0" y="0"/>
                            <a:ext cx="750570" cy="40894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1、基本尺寸：长×高=4000×540（㎜），可显示跳远、三级跳远比赛。</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2、测量牌主要由底座、测量牌框架、号码牌和指示牌等组成。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3、底座主要采用δ3铁板经一次冲压成型。</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4、测量牌框架主要采用□30×20×1.5方管和δ1封板经折边拼焊而成，测量牌设有刻度线，采用φ6圆钢与框架连接后分别涂以红色、蓝色表示。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5、号码牌采用PVC制作，共16块，号码为3-18。</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6、指示牌共6块，采用δ1铁板折边制作，分别喷黑、桔黄、蓝三种颜色。</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高级男子铅球（7.26</w:t>
            </w: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691515</wp:posOffset>
                  </wp:positionH>
                  <wp:positionV relativeFrom="paragraph">
                    <wp:posOffset>457200</wp:posOffset>
                  </wp:positionV>
                  <wp:extent cx="744855" cy="634365"/>
                  <wp:effectExtent l="0" t="0" r="4445" b="635"/>
                  <wp:wrapNone/>
                  <wp:docPr id="9" name="图片_340"/>
                  <wp:cNvGraphicFramePr/>
                  <a:graphic xmlns:a="http://schemas.openxmlformats.org/drawingml/2006/main">
                    <a:graphicData uri="http://schemas.openxmlformats.org/drawingml/2006/picture">
                      <pic:pic xmlns:pic="http://schemas.openxmlformats.org/drawingml/2006/picture">
                        <pic:nvPicPr>
                          <pic:cNvPr id="9" name="图片_340"/>
                          <pic:cNvPicPr/>
                        </pic:nvPicPr>
                        <pic:blipFill>
                          <a:blip r:embed="rId61"/>
                          <a:stretch>
                            <a:fillRect/>
                          </a:stretch>
                        </pic:blipFill>
                        <pic:spPr>
                          <a:xfrm>
                            <a:off x="0" y="0"/>
                            <a:ext cx="744855" cy="63436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t>kg）</w:t>
            </w:r>
          </w:p>
        </w:tc>
        <w:tc>
          <w:tcPr>
            <w:tcW w:w="16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4937125</wp:posOffset>
                  </wp:positionH>
                  <wp:positionV relativeFrom="paragraph">
                    <wp:posOffset>5549265</wp:posOffset>
                  </wp:positionV>
                  <wp:extent cx="817880" cy="725170"/>
                  <wp:effectExtent l="0" t="0" r="7620" b="11430"/>
                  <wp:wrapNone/>
                  <wp:docPr id="6" name="图片_340"/>
                  <wp:cNvGraphicFramePr/>
                  <a:graphic xmlns:a="http://schemas.openxmlformats.org/drawingml/2006/main">
                    <a:graphicData uri="http://schemas.openxmlformats.org/drawingml/2006/picture">
                      <pic:pic xmlns:pic="http://schemas.openxmlformats.org/drawingml/2006/picture">
                        <pic:nvPicPr>
                          <pic:cNvPr id="6" name="图片_340"/>
                          <pic:cNvPicPr/>
                        </pic:nvPicPr>
                        <pic:blipFill>
                          <a:blip r:embed="rId61"/>
                          <a:stretch>
                            <a:fillRect/>
                          </a:stretch>
                        </pic:blipFill>
                        <pic:spPr>
                          <a:xfrm>
                            <a:off x="0" y="0"/>
                            <a:ext cx="817880" cy="7251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1、基本规格：重量7.26kgkg；直径105-125mm；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2、材料：铸铁。</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高级男子铅球（6kg）</w:t>
            </w:r>
          </w:p>
        </w:tc>
        <w:tc>
          <w:tcPr>
            <w:tcW w:w="16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1"/>
                <w:szCs w:val="21"/>
                <w:highlight w:val="none"/>
                <w:u w:val="none"/>
              </w:rPr>
            </w:pP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1、基本规格：重量6kg；直径100-120mm；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2、材料：铸铁。</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高级男少铅球（5kg）</w:t>
            </w:r>
          </w:p>
        </w:tc>
        <w:tc>
          <w:tcPr>
            <w:tcW w:w="16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1"/>
                <w:szCs w:val="21"/>
                <w:highlight w:val="none"/>
                <w:u w:val="none"/>
              </w:rPr>
            </w:pP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1、基本规格：重量5kg；直径100-120mm；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2、材料：铸铁。</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高级女子铅球（4kg）</w:t>
            </w:r>
          </w:p>
        </w:tc>
        <w:tc>
          <w:tcPr>
            <w:tcW w:w="16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1"/>
                <w:szCs w:val="21"/>
                <w:highlight w:val="none"/>
                <w:u w:val="none"/>
              </w:rPr>
            </w:pP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1、基本规格：重量4kg；直径100-120mm；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2、材料：铸铁。</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高级女少铅球（3kg）</w:t>
            </w:r>
          </w:p>
        </w:tc>
        <w:tc>
          <w:tcPr>
            <w:tcW w:w="16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1"/>
                <w:szCs w:val="21"/>
                <w:highlight w:val="none"/>
                <w:u w:val="none"/>
              </w:rPr>
            </w:pP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1、基本规格：重量3kg；直径100-120mm；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2、材料：铸铁。</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铅球架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143510</wp:posOffset>
                  </wp:positionH>
                  <wp:positionV relativeFrom="paragraph">
                    <wp:posOffset>747395</wp:posOffset>
                  </wp:positionV>
                  <wp:extent cx="663575" cy="466725"/>
                  <wp:effectExtent l="0" t="0" r="9525" b="3175"/>
                  <wp:wrapNone/>
                  <wp:docPr id="59" name="图片 44"/>
                  <wp:cNvGraphicFramePr/>
                  <a:graphic xmlns:a="http://schemas.openxmlformats.org/drawingml/2006/main">
                    <a:graphicData uri="http://schemas.openxmlformats.org/drawingml/2006/picture">
                      <pic:pic xmlns:pic="http://schemas.openxmlformats.org/drawingml/2006/picture">
                        <pic:nvPicPr>
                          <pic:cNvPr id="59" name="图片 44"/>
                          <pic:cNvPicPr/>
                        </pic:nvPicPr>
                        <pic:blipFill>
                          <a:blip r:embed="rId62"/>
                          <a:stretch>
                            <a:fillRect/>
                          </a:stretch>
                        </pic:blipFill>
                        <pic:spPr>
                          <a:xfrm>
                            <a:off x="0" y="0"/>
                            <a:ext cx="663575" cy="4667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1.铅球架基本尺寸：长x宽x高=1000x600x800（mm）。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2.铅球架采用圆管在弯曲成形后拼焊制作而成。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3.铅球架一次可置铅球30个，底部铁板配有滚轮，移动方便。</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铅球投掷远度牌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48260</wp:posOffset>
                  </wp:positionH>
                  <wp:positionV relativeFrom="paragraph">
                    <wp:posOffset>160655</wp:posOffset>
                  </wp:positionV>
                  <wp:extent cx="726440" cy="485140"/>
                  <wp:effectExtent l="0" t="0" r="10160" b="10160"/>
                  <wp:wrapNone/>
                  <wp:docPr id="61" name="图片 45"/>
                  <wp:cNvGraphicFramePr/>
                  <a:graphic xmlns:a="http://schemas.openxmlformats.org/drawingml/2006/main">
                    <a:graphicData uri="http://schemas.openxmlformats.org/drawingml/2006/picture">
                      <pic:pic xmlns:pic="http://schemas.openxmlformats.org/drawingml/2006/picture">
                        <pic:nvPicPr>
                          <pic:cNvPr id="61" name="图片 45"/>
                          <pic:cNvPicPr/>
                        </pic:nvPicPr>
                        <pic:blipFill>
                          <a:blip r:embed="rId63"/>
                          <a:stretch>
                            <a:fillRect/>
                          </a:stretch>
                        </pic:blipFill>
                        <pic:spPr>
                          <a:xfrm>
                            <a:off x="0" y="0"/>
                            <a:ext cx="726440" cy="48514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1、铅球投掷远度牌采用δ3mm玻璃钢材料制作，呈锥形，上下面均为正三角形，其基本尺寸：上平面边长x下平面边长x高度= 195x 340x 280(mm)。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2、铅球投掷远度牌每套共11只，每只三面印黑色号码，号码为10-20。</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铅球抵趾板</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78740</wp:posOffset>
                  </wp:positionH>
                  <wp:positionV relativeFrom="paragraph">
                    <wp:posOffset>349250</wp:posOffset>
                  </wp:positionV>
                  <wp:extent cx="740410" cy="338455"/>
                  <wp:effectExtent l="0" t="0" r="8890" b="4445"/>
                  <wp:wrapNone/>
                  <wp:docPr id="63" name="图片 46"/>
                  <wp:cNvGraphicFramePr/>
                  <a:graphic xmlns:a="http://schemas.openxmlformats.org/drawingml/2006/main">
                    <a:graphicData uri="http://schemas.openxmlformats.org/drawingml/2006/picture">
                      <pic:pic xmlns:pic="http://schemas.openxmlformats.org/drawingml/2006/picture">
                        <pic:nvPicPr>
                          <pic:cNvPr id="63" name="图片 46"/>
                          <pic:cNvPicPr/>
                        </pic:nvPicPr>
                        <pic:blipFill>
                          <a:blip r:embed="rId64"/>
                          <a:stretch>
                            <a:fillRect/>
                          </a:stretch>
                        </pic:blipFill>
                        <pic:spPr>
                          <a:xfrm>
                            <a:off x="0" y="0"/>
                            <a:ext cx="740410" cy="33845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铅球抵趾板为弧形，以便其内沿与铅球投掷圈重合。抵趾板采用松木制作，表面经批膏、打磨后漆成白色。抵趾板宽为11.2-30厘米，长1.21米，安装于两条落地区标志线之间的正中位置，并固定于地面，高出圈内地面10厘米。</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发令台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295910</wp:posOffset>
                  </wp:positionH>
                  <wp:positionV relativeFrom="paragraph">
                    <wp:posOffset>1190625</wp:posOffset>
                  </wp:positionV>
                  <wp:extent cx="414655" cy="495935"/>
                  <wp:effectExtent l="0" t="0" r="4445" b="12065"/>
                  <wp:wrapNone/>
                  <wp:docPr id="84" name="图片_13"/>
                  <wp:cNvGraphicFramePr/>
                  <a:graphic xmlns:a="http://schemas.openxmlformats.org/drawingml/2006/main">
                    <a:graphicData uri="http://schemas.openxmlformats.org/drawingml/2006/picture">
                      <pic:pic xmlns:pic="http://schemas.openxmlformats.org/drawingml/2006/picture">
                        <pic:nvPicPr>
                          <pic:cNvPr id="84" name="图片_13"/>
                          <pic:cNvPicPr/>
                        </pic:nvPicPr>
                        <pic:blipFill>
                          <a:blip r:embed="rId65"/>
                          <a:stretch>
                            <a:fillRect/>
                          </a:stretch>
                        </pic:blipFill>
                        <pic:spPr>
                          <a:xfrm>
                            <a:off x="0" y="0"/>
                            <a:ext cx="414655" cy="49593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1.发令台基本外形尺寸：长×宽×高=700×610×1500（㎜）。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2.发令台主要由底架和推手柄组成，底架主要采用方管拼焊而成，底架踏脚板采用花纹板制作，起防滑作用，便于站人；推手柄采用圆管制作。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3.发令台设置有插管，可放置配套设施（发令烟屏），其底架内部设有货物柜，配有钥匙，可放置发令枪等其它设备，作小推车用。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4.发令台底部设置有滚轮，移动方便。</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发令烟屏</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172720</wp:posOffset>
                  </wp:positionH>
                  <wp:positionV relativeFrom="paragraph">
                    <wp:posOffset>857885</wp:posOffset>
                  </wp:positionV>
                  <wp:extent cx="429895" cy="452755"/>
                  <wp:effectExtent l="0" t="0" r="1905" b="4445"/>
                  <wp:wrapNone/>
                  <wp:docPr id="87" name="图片_14"/>
                  <wp:cNvGraphicFramePr/>
                  <a:graphic xmlns:a="http://schemas.openxmlformats.org/drawingml/2006/main">
                    <a:graphicData uri="http://schemas.openxmlformats.org/drawingml/2006/picture">
                      <pic:pic xmlns:pic="http://schemas.openxmlformats.org/drawingml/2006/picture">
                        <pic:nvPicPr>
                          <pic:cNvPr id="87" name="图片_14"/>
                          <pic:cNvPicPr/>
                        </pic:nvPicPr>
                        <pic:blipFill>
                          <a:blip r:embed="rId66"/>
                          <a:stretch>
                            <a:fillRect/>
                          </a:stretch>
                        </pic:blipFill>
                        <pic:spPr>
                          <a:xfrm>
                            <a:off x="0" y="0"/>
                            <a:ext cx="429895" cy="45275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1.发令烟屏由烟屏支架和烟屏两部分组成。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2.烟屏支架采用□25×25×2方管制作，高度可调。</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3.烟屏规格尺寸：外径φ660㎜，采用δ1.2㎜铁板冲压成型，烟屏内设预埋螺母，通过螺栓与支架紧固。</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终点裁判台（伸缩型）</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100330</wp:posOffset>
                  </wp:positionH>
                  <wp:positionV relativeFrom="paragraph">
                    <wp:posOffset>1378585</wp:posOffset>
                  </wp:positionV>
                  <wp:extent cx="687070" cy="511175"/>
                  <wp:effectExtent l="0" t="0" r="11430" b="9525"/>
                  <wp:wrapNone/>
                  <wp:docPr id="67" name="图片_15"/>
                  <wp:cNvGraphicFramePr/>
                  <a:graphic xmlns:a="http://schemas.openxmlformats.org/drawingml/2006/main">
                    <a:graphicData uri="http://schemas.openxmlformats.org/drawingml/2006/picture">
                      <pic:pic xmlns:pic="http://schemas.openxmlformats.org/drawingml/2006/picture">
                        <pic:nvPicPr>
                          <pic:cNvPr id="67" name="图片_15"/>
                          <pic:cNvPicPr/>
                        </pic:nvPicPr>
                        <pic:blipFill>
                          <a:blip r:embed="rId67"/>
                          <a:stretch>
                            <a:fillRect/>
                          </a:stretch>
                        </pic:blipFill>
                        <pic:spPr>
                          <a:xfrm>
                            <a:off x="0" y="0"/>
                            <a:ext cx="687070" cy="5111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1.终点裁判台由三部分组成，可以自由伸缩。当不用时，裁判台收缩，此时，占地面积为长×宽×高=2600×1850×2900（㎜）；当采用时，裁判台拉伸， 此时占地面积为长×宽×高=5100×1850×2900（㎜）。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2.裁判台主要采用槽钢和方管拼焊而成，同时装有轨道槽与滚轮，使裁判台能无滞碍的伸缩。裁判台上设有扶手栏杆，扶手栏杆采用Φ32、Φ25圆管拼焊制作。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3.裁判台上10个踏步，踏步规格：长×宽×高=1600×500×250（㎜）。第一踏步采用方管与花纹铁板，能够防滑；其余踏步上装有长条椅，长条椅经过特殊的材料配方，可使座椅经常年风吹日晒后仍无褪色老化现象。</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4.裁判台上装有支撑脚与走轮，通过手柄控制，移动时，走轮接触地面，简单方便；固定时，由支撑脚接触地面，稳定性好。</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 终点裁判台需配置防紫外线顶棚</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6.所投产品终点裁判台座椅/塑料椅按照标准GB8624-2012《建筑材料及制品燃烧性能分级》B1级的要求进行试验，试验方法按GB/T27904-2011要求执行，测试结构：热释放速率峰值不小于200KW；5min内放出的总能量不小于30MJ；最大烟密度不小于75%。</w:t>
            </w:r>
            <w:r>
              <w:rPr>
                <w:rFonts w:hint="eastAsia" w:ascii="仿宋" w:hAnsi="仿宋" w:eastAsia="仿宋" w:cs="仿宋"/>
                <w:b/>
                <w:bCs/>
                <w:color w:val="000000"/>
                <w:kern w:val="0"/>
                <w:sz w:val="21"/>
                <w:szCs w:val="21"/>
                <w:highlight w:val="none"/>
                <w:u w:val="none"/>
                <w:lang w:bidi="ar"/>
              </w:rPr>
              <w:t>证明材料提供具有国家认可或批准检测资质的第三方检测机构出具的带有“CMA</w:t>
            </w:r>
            <w:r>
              <w:rPr>
                <w:rFonts w:hint="eastAsia" w:ascii="仿宋" w:hAnsi="仿宋" w:eastAsia="仿宋" w:cs="仿宋"/>
                <w:b/>
                <w:bCs/>
                <w:color w:val="000000"/>
                <w:kern w:val="0"/>
                <w:sz w:val="21"/>
                <w:szCs w:val="21"/>
                <w:highlight w:val="none"/>
                <w:u w:val="none"/>
                <w:lang w:val="en-US" w:eastAsia="zh-CN" w:bidi="ar"/>
              </w:rPr>
              <w:t>或</w:t>
            </w:r>
            <w:r>
              <w:rPr>
                <w:rFonts w:hint="eastAsia" w:ascii="仿宋" w:hAnsi="仿宋" w:eastAsia="仿宋" w:cs="仿宋"/>
                <w:b/>
                <w:bCs/>
                <w:color w:val="000000"/>
                <w:kern w:val="0"/>
                <w:sz w:val="21"/>
                <w:szCs w:val="21"/>
                <w:highlight w:val="none"/>
                <w:u w:val="none"/>
                <w:lang w:bidi="ar"/>
              </w:rPr>
              <w:t>CNAS”标识的检测报告复制件</w:t>
            </w:r>
            <w:r>
              <w:rPr>
                <w:rFonts w:hint="eastAsia" w:ascii="仿宋" w:hAnsi="仿宋" w:eastAsia="仿宋" w:cs="仿宋"/>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☆7.所投产品终点裁判台座椅/塑料椅依据ISO179-1:2010《塑料—摆式冲击性能测定 第1部分：非机械冲击试验》对其冲击强度进行进行检测，测试结果：冲击强度损失率不大于40%（或类似表述）。</w:t>
            </w:r>
            <w:r>
              <w:rPr>
                <w:rFonts w:hint="eastAsia" w:ascii="仿宋" w:hAnsi="仿宋" w:eastAsia="仿宋" w:cs="仿宋"/>
                <w:b/>
                <w:bCs/>
                <w:color w:val="000000"/>
                <w:kern w:val="0"/>
                <w:sz w:val="21"/>
                <w:szCs w:val="21"/>
                <w:highlight w:val="none"/>
                <w:u w:val="none"/>
                <w:lang w:bidi="ar"/>
              </w:rPr>
              <w:t>证明材料提供具有国家认可或批准检测资质的第三方检测机构出具的带有“CMA</w:t>
            </w:r>
            <w:r>
              <w:rPr>
                <w:rFonts w:hint="eastAsia" w:ascii="仿宋" w:hAnsi="仿宋" w:eastAsia="仿宋" w:cs="仿宋"/>
                <w:b/>
                <w:bCs/>
                <w:color w:val="000000"/>
                <w:kern w:val="0"/>
                <w:sz w:val="21"/>
                <w:szCs w:val="21"/>
                <w:highlight w:val="none"/>
                <w:u w:val="none"/>
                <w:lang w:val="en-US" w:eastAsia="zh-CN" w:bidi="ar"/>
              </w:rPr>
              <w:t>或</w:t>
            </w:r>
            <w:r>
              <w:rPr>
                <w:rFonts w:hint="eastAsia" w:ascii="仿宋" w:hAnsi="仿宋" w:eastAsia="仿宋" w:cs="仿宋"/>
                <w:b/>
                <w:bCs/>
                <w:color w:val="000000"/>
                <w:kern w:val="0"/>
                <w:sz w:val="21"/>
                <w:szCs w:val="21"/>
                <w:highlight w:val="none"/>
                <w:u w:val="none"/>
                <w:lang w:bidi="ar"/>
              </w:rPr>
              <w:t>CNAS”标识的检测报告复制件</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道次墩</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274320</wp:posOffset>
                  </wp:positionH>
                  <wp:positionV relativeFrom="paragraph">
                    <wp:posOffset>72390</wp:posOffset>
                  </wp:positionV>
                  <wp:extent cx="476250" cy="595630"/>
                  <wp:effectExtent l="0" t="0" r="6350" b="1270"/>
                  <wp:wrapNone/>
                  <wp:docPr id="80" name="图片_21"/>
                  <wp:cNvGraphicFramePr/>
                  <a:graphic xmlns:a="http://schemas.openxmlformats.org/drawingml/2006/main">
                    <a:graphicData uri="http://schemas.openxmlformats.org/drawingml/2006/picture">
                      <pic:pic xmlns:pic="http://schemas.openxmlformats.org/drawingml/2006/picture">
                        <pic:nvPicPr>
                          <pic:cNvPr id="80" name="图片_21"/>
                          <pic:cNvPicPr/>
                        </pic:nvPicPr>
                        <pic:blipFill>
                          <a:blip r:embed="rId68"/>
                          <a:stretch>
                            <a:fillRect/>
                          </a:stretch>
                        </pic:blipFill>
                        <pic:spPr>
                          <a:xfrm>
                            <a:off x="0" y="0"/>
                            <a:ext cx="476250" cy="59563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1、道次墩采用δ3mm玻璃钢材料制作，底座呈正三角形：其基本尺寸：底座x高度=边长470x435mm。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2、道次墩可坐人，每套共8只，号码为1-8号。其中两面为红色号码，另一面为黑色号码。</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3、道次墩3面显示。</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起跑器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109855</wp:posOffset>
                  </wp:positionH>
                  <wp:positionV relativeFrom="paragraph">
                    <wp:posOffset>262255</wp:posOffset>
                  </wp:positionV>
                  <wp:extent cx="642620" cy="589280"/>
                  <wp:effectExtent l="0" t="0" r="5080" b="7620"/>
                  <wp:wrapNone/>
                  <wp:docPr id="74" name="图片 51"/>
                  <wp:cNvGraphicFramePr/>
                  <a:graphic xmlns:a="http://schemas.openxmlformats.org/drawingml/2006/main">
                    <a:graphicData uri="http://schemas.openxmlformats.org/drawingml/2006/picture">
                      <pic:pic xmlns:pic="http://schemas.openxmlformats.org/drawingml/2006/picture">
                        <pic:nvPicPr>
                          <pic:cNvPr id="74" name="图片 51"/>
                          <pic:cNvPicPr/>
                        </pic:nvPicPr>
                        <pic:blipFill>
                          <a:blip r:embed="rId69"/>
                          <a:stretch>
                            <a:fillRect/>
                          </a:stretch>
                        </pic:blipFill>
                        <pic:spPr>
                          <a:xfrm>
                            <a:off x="0" y="0"/>
                            <a:ext cx="642620" cy="58928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1、起跑器主要由底座和踏脚座组成。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2、起跑器底座采用铝合金制作，通过定位销与地面接触，防止移位。</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3、起跑器踏脚座分固定座和活动座，均为铝铸件，活动座面板采用橡胶层，起防滑作用，活动座面板斜度可调。</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4、起跑器设置提手，移动方便。</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起跑器运送车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120650</wp:posOffset>
                  </wp:positionH>
                  <wp:positionV relativeFrom="paragraph">
                    <wp:posOffset>935355</wp:posOffset>
                  </wp:positionV>
                  <wp:extent cx="699135" cy="548640"/>
                  <wp:effectExtent l="0" t="0" r="12065" b="10160"/>
                  <wp:wrapNone/>
                  <wp:docPr id="79" name="图片_18"/>
                  <wp:cNvGraphicFramePr/>
                  <a:graphic xmlns:a="http://schemas.openxmlformats.org/drawingml/2006/main">
                    <a:graphicData uri="http://schemas.openxmlformats.org/drawingml/2006/picture">
                      <pic:pic xmlns:pic="http://schemas.openxmlformats.org/drawingml/2006/picture">
                        <pic:nvPicPr>
                          <pic:cNvPr id="79" name="图片_18"/>
                          <pic:cNvPicPr/>
                        </pic:nvPicPr>
                        <pic:blipFill>
                          <a:blip r:embed="rId70"/>
                          <a:stretch>
                            <a:fillRect/>
                          </a:stretch>
                        </pic:blipFill>
                        <pic:spPr>
                          <a:xfrm>
                            <a:off x="0" y="0"/>
                            <a:ext cx="699135" cy="54864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1.起跑器运输车外形基本尺寸：长×宽×高=1000×600×800（mm）。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2.起跑器运输车采用圆管在弯曲成形后拼焊而成。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3.起跑器运输车木板采用δ20mm层压板制作。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4.起跑器运输车共设8个挂钩，一次可置8个起跑器，运输车底部设有走轮，移动方便。</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5.底座所有钢制件表面均经酸洗、磷化等初级处理后在自动喷涂线上采用纯聚酯粉末喷涂完成最后表面处理，涂层厚度70—80um，铅笔硬度达3H+，试品经GB1771-91 36小时盐雾试验，涂膜无变化，划格处单面腐蚀＜2mm，产品具有耐酸碱、耐湿热、抗老化、外观美观等优点，能适合潮湿和酸雨环境，适用于室外使用，且产品涂料配方不含有毒元素，避免损害使用者的健康。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比赛跨栏架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238125</wp:posOffset>
                  </wp:positionH>
                  <wp:positionV relativeFrom="paragraph">
                    <wp:posOffset>453390</wp:posOffset>
                  </wp:positionV>
                  <wp:extent cx="589280" cy="495300"/>
                  <wp:effectExtent l="0" t="0" r="7620" b="0"/>
                  <wp:wrapNone/>
                  <wp:docPr id="68" name="图片 53"/>
                  <wp:cNvGraphicFramePr/>
                  <a:graphic xmlns:a="http://schemas.openxmlformats.org/drawingml/2006/main">
                    <a:graphicData uri="http://schemas.openxmlformats.org/drawingml/2006/picture">
                      <pic:pic xmlns:pic="http://schemas.openxmlformats.org/drawingml/2006/picture">
                        <pic:nvPicPr>
                          <pic:cNvPr id="68" name="图片 53"/>
                          <pic:cNvPicPr/>
                        </pic:nvPicPr>
                        <pic:blipFill>
                          <a:blip r:embed="rId71"/>
                          <a:stretch>
                            <a:fillRect/>
                          </a:stretch>
                        </pic:blipFill>
                        <pic:spPr>
                          <a:xfrm>
                            <a:off x="0" y="0"/>
                            <a:ext cx="589280" cy="4953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1.跨栏架由底部方管、竖向立管、伸缩管、调高定位销及上沿跨栏板等组成。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2.栏板为ABS成型材料，可回收，其规格为：1200x70x20（mm）。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3.栏板伸缩管采用φ38*1.5铝管制作，竖向立管采用φ34*2圆管制作，竖向立管内置调高定位销，伸缩管上配置有与其所需高度相对应的高度定位孔，使得调高灵活，定位准确，锁紧可靠。</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4.底部方管采用50*50*2方管制作，内置配重，可调至满足比赛规则的要求。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5.跨栏架可调高度为762、838、914、991、1067mm。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Style w:val="332"/>
                <w:b/>
                <w:bCs/>
                <w:sz w:val="21"/>
                <w:szCs w:val="21"/>
                <w:highlight w:val="none"/>
                <w:lang w:val="en-US" w:eastAsia="zh-CN" w:bidi="ar"/>
              </w:rPr>
              <w:t>☆提供有效期NSCC认证，</w:t>
            </w:r>
            <w:r>
              <w:rPr>
                <w:rFonts w:hint="eastAsia" w:ascii="仿宋" w:hAnsi="仿宋" w:eastAsia="仿宋" w:cs="仿宋"/>
                <w:b/>
                <w:bCs/>
                <w:color w:val="auto"/>
                <w:szCs w:val="21"/>
                <w:highlight w:val="none"/>
              </w:rPr>
              <w:t>证明材料提供认证证书复印件。</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栏高检验尺</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-16510</wp:posOffset>
                  </wp:positionH>
                  <wp:positionV relativeFrom="paragraph">
                    <wp:posOffset>184150</wp:posOffset>
                  </wp:positionV>
                  <wp:extent cx="902335" cy="190500"/>
                  <wp:effectExtent l="0" t="0" r="12065" b="0"/>
                  <wp:wrapNone/>
                  <wp:docPr id="25" name="图片_301"/>
                  <wp:cNvGraphicFramePr/>
                  <a:graphic xmlns:a="http://schemas.openxmlformats.org/drawingml/2006/main">
                    <a:graphicData uri="http://schemas.openxmlformats.org/drawingml/2006/picture">
                      <pic:pic xmlns:pic="http://schemas.openxmlformats.org/drawingml/2006/picture">
                        <pic:nvPicPr>
                          <pic:cNvPr id="25" name="图片_301"/>
                          <pic:cNvPicPr/>
                        </pic:nvPicPr>
                        <pic:blipFill>
                          <a:blip r:embed="rId72"/>
                          <a:stretch>
                            <a:fillRect/>
                          </a:stretch>
                        </pic:blipFill>
                        <pic:spPr>
                          <a:xfrm>
                            <a:off x="0" y="0"/>
                            <a:ext cx="902335" cy="1905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材质铝合金，长1.15m</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跨栏架搬运车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210820</wp:posOffset>
                  </wp:positionH>
                  <wp:positionV relativeFrom="paragraph">
                    <wp:posOffset>539750</wp:posOffset>
                  </wp:positionV>
                  <wp:extent cx="614045" cy="471170"/>
                  <wp:effectExtent l="0" t="0" r="8255" b="11430"/>
                  <wp:wrapNone/>
                  <wp:docPr id="70" name="图片_20"/>
                  <wp:cNvGraphicFramePr/>
                  <a:graphic xmlns:a="http://schemas.openxmlformats.org/drawingml/2006/main">
                    <a:graphicData uri="http://schemas.openxmlformats.org/drawingml/2006/picture">
                      <pic:pic xmlns:pic="http://schemas.openxmlformats.org/drawingml/2006/picture">
                        <pic:nvPicPr>
                          <pic:cNvPr id="70" name="图片_20"/>
                          <pic:cNvPicPr/>
                        </pic:nvPicPr>
                        <pic:blipFill>
                          <a:blip r:embed="rId73"/>
                          <a:stretch>
                            <a:fillRect/>
                          </a:stretch>
                        </pic:blipFill>
                        <pic:spPr>
                          <a:xfrm>
                            <a:off x="0" y="0"/>
                            <a:ext cx="614045" cy="4711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1、跨栏架搬运车主要有扶手、底架、侧栏拼焊而成。扶手采用Ф32×2圆管弯曲成形。</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2、跨栏架一次可置跨栏10个，且其底架设有4只PU走轮，其中2只为万向轮，移动方便。 </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接力棒</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-5715</wp:posOffset>
                  </wp:positionH>
                  <wp:positionV relativeFrom="paragraph">
                    <wp:posOffset>312420</wp:posOffset>
                  </wp:positionV>
                  <wp:extent cx="732155" cy="403860"/>
                  <wp:effectExtent l="0" t="0" r="4445" b="2540"/>
                  <wp:wrapNone/>
                  <wp:docPr id="85" name="图片_293"/>
                  <wp:cNvGraphicFramePr/>
                  <a:graphic xmlns:a="http://schemas.openxmlformats.org/drawingml/2006/main">
                    <a:graphicData uri="http://schemas.openxmlformats.org/drawingml/2006/picture">
                      <pic:pic xmlns:pic="http://schemas.openxmlformats.org/drawingml/2006/picture">
                        <pic:nvPicPr>
                          <pic:cNvPr id="85" name="图片_293"/>
                          <pic:cNvPicPr/>
                        </pic:nvPicPr>
                        <pic:blipFill>
                          <a:blip r:embed="rId74"/>
                          <a:stretch>
                            <a:fillRect/>
                          </a:stretch>
                        </pic:blipFill>
                        <pic:spPr>
                          <a:xfrm>
                            <a:off x="0" y="0"/>
                            <a:ext cx="732155" cy="40386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接力棒尺寸：φ40×285（mm）。</w:t>
            </w:r>
          </w:p>
          <w:p>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2、接力棒采用δ0.5的铝合金制作，棒的两端倒角卷边处理。</w:t>
            </w:r>
          </w:p>
          <w:p>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3、一套共有6根接力棒。</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4、接力棒的重量至少为50g/根。</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5、棒的表面经氧化处理，颜色分红、黄、蓝、青、降红、黑色等。</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发令器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187325</wp:posOffset>
                  </wp:positionH>
                  <wp:positionV relativeFrom="paragraph">
                    <wp:posOffset>269875</wp:posOffset>
                  </wp:positionV>
                  <wp:extent cx="518160" cy="475615"/>
                  <wp:effectExtent l="0" t="0" r="2540" b="6985"/>
                  <wp:wrapNone/>
                  <wp:docPr id="71" name="图片_90"/>
                  <wp:cNvGraphicFramePr/>
                  <a:graphic xmlns:a="http://schemas.openxmlformats.org/drawingml/2006/main">
                    <a:graphicData uri="http://schemas.openxmlformats.org/drawingml/2006/picture">
                      <pic:pic xmlns:pic="http://schemas.openxmlformats.org/drawingml/2006/picture">
                        <pic:nvPicPr>
                          <pic:cNvPr id="71" name="图片_90"/>
                          <pic:cNvPicPr/>
                        </pic:nvPicPr>
                        <pic:blipFill>
                          <a:blip r:embed="rId75"/>
                          <a:stretch>
                            <a:fillRect/>
                          </a:stretch>
                        </pic:blipFill>
                        <pic:spPr>
                          <a:xfrm>
                            <a:off x="0" y="0"/>
                            <a:ext cx="518160" cy="47561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1、可供竞赛类体育项目全天候比赛，训练发令使用还可以与电子记时器配套使用，也可配合发令纸使用。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2、发令器结构简单，操作方便，使用安全可靠，发令器主要由本体、压板、转轮、板击、击锤、蕊轴握把等零件部件组成。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3、转轮容弹量九发；</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4、射击方式为单发联动式击发；</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5、总重量为0.4公斤；</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6、声音：水平正前方100米处，声强值不少于70分；</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7、烟雾：在规定背景下，正前方150米处清晰可见。</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发令弹</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198755</wp:posOffset>
                  </wp:positionH>
                  <wp:positionV relativeFrom="paragraph">
                    <wp:posOffset>110490</wp:posOffset>
                  </wp:positionV>
                  <wp:extent cx="571500" cy="399415"/>
                  <wp:effectExtent l="0" t="0" r="0" b="6985"/>
                  <wp:wrapNone/>
                  <wp:docPr id="92" name="图片_91"/>
                  <wp:cNvGraphicFramePr/>
                  <a:graphic xmlns:a="http://schemas.openxmlformats.org/drawingml/2006/main">
                    <a:graphicData uri="http://schemas.openxmlformats.org/drawingml/2006/picture">
                      <pic:pic xmlns:pic="http://schemas.openxmlformats.org/drawingml/2006/picture">
                        <pic:nvPicPr>
                          <pic:cNvPr id="92" name="图片_91"/>
                          <pic:cNvPicPr/>
                        </pic:nvPicPr>
                        <pic:blipFill>
                          <a:blip r:embed="rId76"/>
                          <a:stretch>
                            <a:fillRect/>
                          </a:stretch>
                        </pic:blipFill>
                        <pic:spPr>
                          <a:xfrm>
                            <a:off x="0" y="0"/>
                            <a:ext cx="571500" cy="39941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100发/盒</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记圈牌</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227330</wp:posOffset>
                  </wp:positionH>
                  <wp:positionV relativeFrom="paragraph">
                    <wp:posOffset>908685</wp:posOffset>
                  </wp:positionV>
                  <wp:extent cx="450850" cy="645795"/>
                  <wp:effectExtent l="0" t="0" r="6350" b="1905"/>
                  <wp:wrapNone/>
                  <wp:docPr id="81" name="图片_23"/>
                  <wp:cNvGraphicFramePr/>
                  <a:graphic xmlns:a="http://schemas.openxmlformats.org/drawingml/2006/main">
                    <a:graphicData uri="http://schemas.openxmlformats.org/drawingml/2006/picture">
                      <pic:pic xmlns:pic="http://schemas.openxmlformats.org/drawingml/2006/picture">
                        <pic:nvPicPr>
                          <pic:cNvPr id="81" name="图片_23"/>
                          <pic:cNvPicPr/>
                        </pic:nvPicPr>
                        <pic:blipFill>
                          <a:blip r:embed="rId77"/>
                          <a:stretch>
                            <a:fillRect/>
                          </a:stretch>
                        </pic:blipFill>
                        <pic:spPr>
                          <a:xfrm>
                            <a:off x="0" y="0"/>
                            <a:ext cx="450850" cy="64579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1.记圈牌主要由记录板和支架组成。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2.记圈牌记录板采用复合玻璃钢板四周铝合金包边制成，外形基本尺寸：长×宽=1200×900（mm）。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3.记圈牌支架采用Φ32×2圆管和口25×25×2方管制作，整体可装拆，运输方便。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4.计圈牌支架底部配有万向轮，移动方便。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5.计圈牌配备兰色磁性珠16颗，珠子上印有黄色号码1-16号。</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6.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 </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移动式终点柱</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340360</wp:posOffset>
                  </wp:positionH>
                  <wp:positionV relativeFrom="paragraph">
                    <wp:posOffset>280670</wp:posOffset>
                  </wp:positionV>
                  <wp:extent cx="219075" cy="506095"/>
                  <wp:effectExtent l="0" t="0" r="9525" b="1905"/>
                  <wp:wrapNone/>
                  <wp:docPr id="88" name="图片_298"/>
                  <wp:cNvGraphicFramePr/>
                  <a:graphic xmlns:a="http://schemas.openxmlformats.org/drawingml/2006/main">
                    <a:graphicData uri="http://schemas.openxmlformats.org/drawingml/2006/picture">
                      <pic:pic xmlns:pic="http://schemas.openxmlformats.org/drawingml/2006/picture">
                        <pic:nvPicPr>
                          <pic:cNvPr id="88" name="图片_298"/>
                          <pic:cNvPicPr/>
                        </pic:nvPicPr>
                        <pic:blipFill>
                          <a:blip r:embed="rId78"/>
                          <a:stretch>
                            <a:fillRect/>
                          </a:stretch>
                        </pic:blipFill>
                        <pic:spPr>
                          <a:xfrm>
                            <a:off x="0" y="0"/>
                            <a:ext cx="219075" cy="50609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1.终点柱由立柱和底座组成.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2.立柱采用□80×20铝合金管制作，底座采用HT100制作。</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终点铜钟</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299720</wp:posOffset>
                  </wp:positionH>
                  <wp:positionV relativeFrom="paragraph">
                    <wp:posOffset>288925</wp:posOffset>
                  </wp:positionV>
                  <wp:extent cx="294640" cy="557530"/>
                  <wp:effectExtent l="0" t="0" r="10160" b="1270"/>
                  <wp:wrapNone/>
                  <wp:docPr id="66" name="图片 61"/>
                  <wp:cNvGraphicFramePr/>
                  <a:graphic xmlns:a="http://schemas.openxmlformats.org/drawingml/2006/main">
                    <a:graphicData uri="http://schemas.openxmlformats.org/drawingml/2006/picture">
                      <pic:pic xmlns:pic="http://schemas.openxmlformats.org/drawingml/2006/picture">
                        <pic:nvPicPr>
                          <pic:cNvPr id="66" name="图片 61"/>
                          <pic:cNvPicPr/>
                        </pic:nvPicPr>
                        <pic:blipFill>
                          <a:blip r:embed="rId79"/>
                          <a:stretch>
                            <a:fillRect/>
                          </a:stretch>
                        </pic:blipFill>
                        <pic:spPr>
                          <a:xfrm>
                            <a:off x="0" y="0"/>
                            <a:ext cx="294640" cy="55753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1、终点铜钟基本尺寸：长x高=555x1550（mm）。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2、终点铜钟主要由底座、立杆、翻分牌和铜钟组成；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3、终点铜钟底座采用δ4mm铁板一次冲压而成，美观大方，且底座底部设有走轮，移动方便。立杆采用Φ48×2.75圆管制作，翻分牌采用手推式PVC板翻分盒制作。</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发奖台</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42545</wp:posOffset>
                  </wp:positionH>
                  <wp:positionV relativeFrom="paragraph">
                    <wp:posOffset>111125</wp:posOffset>
                  </wp:positionV>
                  <wp:extent cx="764540" cy="324485"/>
                  <wp:effectExtent l="0" t="0" r="10160" b="5715"/>
                  <wp:wrapNone/>
                  <wp:docPr id="72" name="图片_29"/>
                  <wp:cNvGraphicFramePr/>
                  <a:graphic xmlns:a="http://schemas.openxmlformats.org/drawingml/2006/main">
                    <a:graphicData uri="http://schemas.openxmlformats.org/drawingml/2006/picture">
                      <pic:pic xmlns:pic="http://schemas.openxmlformats.org/drawingml/2006/picture">
                        <pic:nvPicPr>
                          <pic:cNvPr id="72" name="图片_29"/>
                          <pic:cNvPicPr/>
                        </pic:nvPicPr>
                        <pic:blipFill>
                          <a:blip r:embed="rId80"/>
                          <a:stretch>
                            <a:fillRect/>
                          </a:stretch>
                        </pic:blipFill>
                        <pic:spPr>
                          <a:xfrm>
                            <a:off x="0" y="0"/>
                            <a:ext cx="764540" cy="32448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1、发奖台采用δ18层压板拼装而成。四周用角铝封边。</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2、发奖台表面经批膏、打磨后漆成白色。</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3、发奖台分三踏，每踏长2100mm，宽600mm,三踏高度分别为：330mm、260mm、200mm。</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单道划线车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242570</wp:posOffset>
                  </wp:positionH>
                  <wp:positionV relativeFrom="paragraph">
                    <wp:posOffset>616585</wp:posOffset>
                  </wp:positionV>
                  <wp:extent cx="618490" cy="572770"/>
                  <wp:effectExtent l="0" t="0" r="3810" b="11430"/>
                  <wp:wrapNone/>
                  <wp:docPr id="96" name="图片_31"/>
                  <wp:cNvGraphicFramePr/>
                  <a:graphic xmlns:a="http://schemas.openxmlformats.org/drawingml/2006/main">
                    <a:graphicData uri="http://schemas.openxmlformats.org/drawingml/2006/picture">
                      <pic:pic xmlns:pic="http://schemas.openxmlformats.org/drawingml/2006/picture">
                        <pic:nvPicPr>
                          <pic:cNvPr id="96" name="图片_31"/>
                          <pic:cNvPicPr/>
                        </pic:nvPicPr>
                        <pic:blipFill>
                          <a:blip r:embed="rId81"/>
                          <a:stretch>
                            <a:fillRect/>
                          </a:stretch>
                        </pic:blipFill>
                        <pic:spPr>
                          <a:xfrm>
                            <a:off x="0" y="0"/>
                            <a:ext cx="618490" cy="5727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1、单道划线车划线宽度可调：5cm-12cm；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2、划线车主要由料斗、料斗架、走轮架、手柄和线宽调节结构组成。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3、料斗采用1mm冷轧板制作。料斗架与走轮架主要采用Ф25×2、Ф30×1.5、3mm铁板、□150×150×3管材拼焊而成。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4、手柄采用φ32x1.5圆管在弯管机上一次成型。手柄上装有巴套，手感舒适。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5、划线车走轮共3只，均为PU轮。能有效保护地面不受损伤。并且推行平稳。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6、划线车所有紧固件均采用达克锈处理或热镀锌处理，适用于户外，能保证长年不生锈。</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场地小推车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238125</wp:posOffset>
                  </wp:positionH>
                  <wp:positionV relativeFrom="paragraph">
                    <wp:posOffset>546735</wp:posOffset>
                  </wp:positionV>
                  <wp:extent cx="630555" cy="568325"/>
                  <wp:effectExtent l="0" t="0" r="4445" b="3175"/>
                  <wp:wrapNone/>
                  <wp:docPr id="86" name="图片_32"/>
                  <wp:cNvGraphicFramePr/>
                  <a:graphic xmlns:a="http://schemas.openxmlformats.org/drawingml/2006/main">
                    <a:graphicData uri="http://schemas.openxmlformats.org/drawingml/2006/picture">
                      <pic:pic xmlns:pic="http://schemas.openxmlformats.org/drawingml/2006/picture">
                        <pic:nvPicPr>
                          <pic:cNvPr id="86" name="图片_32"/>
                          <pic:cNvPicPr/>
                        </pic:nvPicPr>
                        <pic:blipFill>
                          <a:blip r:embed="rId82"/>
                          <a:stretch>
                            <a:fillRect/>
                          </a:stretch>
                        </pic:blipFill>
                        <pic:spPr>
                          <a:xfrm>
                            <a:off x="0" y="0"/>
                            <a:ext cx="630555" cy="5683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1.场地小推车可以折叠，主要由底架和推手柄组成。小推车基本尺寸：长×宽=900×610（㎜）。 </w:t>
            </w:r>
          </w:p>
          <w:p>
            <w:pPr>
              <w:keepNext w:val="0"/>
              <w:keepLines w:val="0"/>
              <w:widowControl/>
              <w:suppressLineNumbers w:val="0"/>
              <w:wordWrap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2.场地小推车设有两只万向轮和两只定向轮，移动方便。</w:t>
            </w:r>
          </w:p>
          <w:p>
            <w:pPr>
              <w:keepNext w:val="0"/>
              <w:keepLines w:val="0"/>
              <w:widowControl/>
              <w:suppressLineNumbers w:val="0"/>
              <w:wordWrap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海绵垫搬运车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65405</wp:posOffset>
                  </wp:positionH>
                  <wp:positionV relativeFrom="paragraph">
                    <wp:posOffset>344805</wp:posOffset>
                  </wp:positionV>
                  <wp:extent cx="756920" cy="371475"/>
                  <wp:effectExtent l="0" t="0" r="5080" b="9525"/>
                  <wp:wrapNone/>
                  <wp:docPr id="89" name="图片_33"/>
                  <wp:cNvGraphicFramePr/>
                  <a:graphic xmlns:a="http://schemas.openxmlformats.org/drawingml/2006/main">
                    <a:graphicData uri="http://schemas.openxmlformats.org/drawingml/2006/picture">
                      <pic:pic xmlns:pic="http://schemas.openxmlformats.org/drawingml/2006/picture">
                        <pic:nvPicPr>
                          <pic:cNvPr id="89" name="图片_33"/>
                          <pic:cNvPicPr/>
                        </pic:nvPicPr>
                        <pic:blipFill>
                          <a:blip r:embed="rId83"/>
                          <a:stretch>
                            <a:fillRect/>
                          </a:stretch>
                        </pic:blipFill>
                        <pic:spPr>
                          <a:xfrm>
                            <a:off x="0" y="0"/>
                            <a:ext cx="756920" cy="3714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1.海绵搬运车基本尺寸：长×宽×高=2000×1000×1000（㎜）。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2.海绵搬运车由底架和推手柄组成，底架采用方管拼焊而成，推手柄采用圆管在弯曲成形后拼焊而成。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3.海绵搬运车底架底部设有两只万向轮和两只定向轮，移动方便。</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场地道牙</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218440</wp:posOffset>
                  </wp:positionH>
                  <wp:positionV relativeFrom="paragraph">
                    <wp:posOffset>868045</wp:posOffset>
                  </wp:positionV>
                  <wp:extent cx="640080" cy="361950"/>
                  <wp:effectExtent l="0" t="0" r="7620" b="6350"/>
                  <wp:wrapNone/>
                  <wp:docPr id="90" name="图片_34"/>
                  <wp:cNvGraphicFramePr/>
                  <a:graphic xmlns:a="http://schemas.openxmlformats.org/drawingml/2006/main">
                    <a:graphicData uri="http://schemas.openxmlformats.org/drawingml/2006/picture">
                      <pic:pic xmlns:pic="http://schemas.openxmlformats.org/drawingml/2006/picture">
                        <pic:nvPicPr>
                          <pic:cNvPr id="90" name="图片_34"/>
                          <pic:cNvPicPr/>
                        </pic:nvPicPr>
                        <pic:blipFill>
                          <a:blip r:embed="rId84"/>
                          <a:stretch>
                            <a:fillRect/>
                          </a:stretch>
                        </pic:blipFill>
                        <pic:spPr>
                          <a:xfrm>
                            <a:off x="0" y="0"/>
                            <a:ext cx="640080" cy="36195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场地道牙采用圆形铝合金；表面采用环氧脂粉末喷涂，抗破坏耐腐蚀性能强，易保养和维修。</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一般标准400米田径场，弯道半径为36.5米跑道的道牙配置：</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1.长为100mm道牙固定件68段（φ8×50不锈钢铆钉68只）</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2.长为50mm道牙固定件324段（φ8×50不锈钢铆钉324只）</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3.φ12×1.5不锈钢管392段</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4.长度为6米直道牙26根</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5.长度为6米，弯道半径为36.5米的弯道牙38根</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6.特殊道牙4根，弯段长度为0.23米，直段长度为3.12米（每根总长为3.35米），其弯段半径为36.5米。</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固定单臂篮球架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170815</wp:posOffset>
                  </wp:positionH>
                  <wp:positionV relativeFrom="paragraph">
                    <wp:posOffset>1310640</wp:posOffset>
                  </wp:positionV>
                  <wp:extent cx="582295" cy="713105"/>
                  <wp:effectExtent l="0" t="0" r="1905" b="10795"/>
                  <wp:wrapNone/>
                  <wp:docPr id="82" name="图片_37"/>
                  <wp:cNvGraphicFramePr/>
                  <a:graphic xmlns:a="http://schemas.openxmlformats.org/drawingml/2006/main">
                    <a:graphicData uri="http://schemas.openxmlformats.org/drawingml/2006/picture">
                      <pic:pic xmlns:pic="http://schemas.openxmlformats.org/drawingml/2006/picture">
                        <pic:nvPicPr>
                          <pic:cNvPr id="82" name="图片_37"/>
                          <pic:cNvPicPr/>
                        </pic:nvPicPr>
                        <pic:blipFill>
                          <a:blip r:embed="rId85"/>
                          <a:stretch>
                            <a:fillRect/>
                          </a:stretch>
                        </pic:blipFill>
                        <pic:spPr>
                          <a:xfrm>
                            <a:off x="0" y="0"/>
                            <a:ext cx="582295" cy="71310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产品规格</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篮球架伸臂长2.25m，篮圈上沿离地面3.05m。</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2、产品用材</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 球架立柱采用定制□180×180×4优质大圆角方管制作，圆角R40mm，既美观又安全性能好；篮架伸臂采用δ3进口优质铁板一次冲压成型后在专用折边机上折边，伸臂上拉杆固定孔均采用冲压成型后焊接内置焊接螺母，篮架立柱法兰、伸臂头部组件和伸臂底板均采用一次冲压成型制作，且立柱底部配备防护装饰罩，采用冷扎钢板一次成型，造型美观大方，性能安全可靠，篮架上拉杆采用Φ48×2圆管在弯管机上一次成型，通过优质精密铸钢件接头与铝压铸篮板耳片连接，后拉杆采用□50×40×3优质方管在弯管机上一次而成，避免了电焊及焊渣易引起生锈的隐患，篮球架通过调节上拉杆可调节篮板的平面度和垂直度，通过调节下拉杆，可调节篮圈与地面的平行度。</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3、篮板</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规格：1800×1050（㎜），篮板配用国际通用的高强度安全玻璃篮板，具有安全性好、透明度高、耐候性好、抗老化、耐腐蚀、不易模糊等特点，并在篮板下沿及侧面覆盖有保护条，能保护运动员运动时不受伤害。</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4、篮圈</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 篮圈采用φ17实心圆钢制作，圈下焊有冲压成型的圆弧形网钩，十二段均匀分布留适当间隙，配篮网。篮圈抗弯性能好，水平固定在篮板上，与篮架连接的钢板和篮圈盖板均采用优质钢板一次冲压成型，造型美观。</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5、产品的结构原理</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产品采用专用铁制预埋件，在球架安装之前，预先埋好预埋件，待过了保养期后进行整体安装。</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篮架与预埋件通过法兰连接，法兰采用优质冲件，规格：350×350×27mm，四周呈大圆角，法兰上设计有5个孔。远离球场的一侧设计为3个孔，增强篮架整体的安全性。</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预埋件采用现场组装方式预埋，可节省运输和仓库贮存空间，预埋件总长不低于550mm，共由5根搓M18螺纹的圆钢和若干块铁板拼装组成，圆钢中间冲扁，可增强预埋强度。</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6、紧固件</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篮架所有紧固件均经热镀锌处理，能保证长年不生锈。</w:t>
            </w:r>
          </w:p>
          <w:p>
            <w:pPr>
              <w:keepNext w:val="0"/>
              <w:keepLines w:val="0"/>
              <w:widowControl/>
              <w:numPr>
                <w:ilvl w:val="-1"/>
                <w:numId w:val="0"/>
              </w:numPr>
              <w:suppressLineNumbers w:val="0"/>
              <w:jc w:val="left"/>
              <w:textAlignment w:val="center"/>
              <w:rPr>
                <w:rFonts w:hint="eastAsia" w:ascii="仿宋" w:hAnsi="仿宋" w:eastAsia="仿宋" w:cs="仿宋"/>
                <w:b/>
                <w:bCs/>
                <w:color w:val="000000"/>
                <w:kern w:val="0"/>
                <w:sz w:val="21"/>
                <w:szCs w:val="21"/>
                <w:highlight w:val="none"/>
                <w:lang w:bidi="ar"/>
              </w:rPr>
            </w:pPr>
            <w:r>
              <w:rPr>
                <w:rFonts w:hint="eastAsia" w:ascii="仿宋" w:hAnsi="仿宋" w:eastAsia="仿宋" w:cs="仿宋"/>
                <w:b/>
                <w:bCs/>
                <w:i w:val="0"/>
                <w:iCs w:val="0"/>
                <w:color w:val="000000"/>
                <w:kern w:val="0"/>
                <w:sz w:val="21"/>
                <w:szCs w:val="21"/>
                <w:highlight w:val="none"/>
                <w:u w:val="none"/>
                <w:lang w:val="en-US" w:eastAsia="zh-CN" w:bidi="ar"/>
              </w:rPr>
              <w:t>☆篮球架涂层（或涂层原材料）不具有有害物质（包含镉、铅、汞、铬、苯、邻苯等），</w:t>
            </w:r>
            <w:r>
              <w:rPr>
                <w:rFonts w:hint="eastAsia" w:ascii="仿宋" w:hAnsi="仿宋" w:eastAsia="仿宋" w:cs="仿宋"/>
                <w:b/>
                <w:bCs/>
                <w:color w:val="000000"/>
                <w:kern w:val="0"/>
                <w:sz w:val="21"/>
                <w:szCs w:val="21"/>
                <w:highlight w:val="none"/>
                <w:lang w:bidi="ar"/>
              </w:rPr>
              <w:t>证明材料提供具有国家认可或批准检测资质的第三方检测机构出具的检测报告复制件</w:t>
            </w:r>
          </w:p>
          <w:p>
            <w:pPr>
              <w:keepNext w:val="0"/>
              <w:keepLines w:val="0"/>
              <w:widowControl/>
              <w:numPr>
                <w:ilvl w:val="-1"/>
                <w:numId w:val="0"/>
              </w:numPr>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☆篮球架涂层具有光老化试验检测报告，且光老化试验—紫外辐射暴露时间不小于800小时，保光率不低于60%，外观无粉化、起泡、开裂或剥落等缺陷。</w:t>
            </w:r>
            <w:r>
              <w:rPr>
                <w:rFonts w:hint="eastAsia" w:ascii="仿宋" w:hAnsi="仿宋" w:eastAsia="仿宋" w:cs="仿宋"/>
                <w:b/>
                <w:bCs/>
                <w:color w:val="000000"/>
                <w:kern w:val="0"/>
                <w:sz w:val="21"/>
                <w:szCs w:val="21"/>
                <w:highlight w:val="none"/>
                <w:lang w:bidi="ar"/>
              </w:rPr>
              <w:t>证明材料提供具有国家认可或批准检测资质的第三方检测机构出具的检测报告复制件</w:t>
            </w:r>
            <w:r>
              <w:rPr>
                <w:rFonts w:hint="eastAsia" w:ascii="仿宋" w:hAnsi="仿宋" w:eastAsia="仿宋" w:cs="仿宋"/>
                <w:b/>
                <w:bCs/>
                <w:color w:val="000000"/>
                <w:kern w:val="0"/>
                <w:sz w:val="21"/>
                <w:szCs w:val="21"/>
                <w:highlight w:val="none"/>
                <w:lang w:eastAsia="zh-CN" w:bidi="ar"/>
              </w:rPr>
              <w:t>。</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钢管足球门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-19685</wp:posOffset>
                  </wp:positionH>
                  <wp:positionV relativeFrom="paragraph">
                    <wp:posOffset>1886585</wp:posOffset>
                  </wp:positionV>
                  <wp:extent cx="839470" cy="598805"/>
                  <wp:effectExtent l="0" t="0" r="11430" b="10795"/>
                  <wp:wrapNone/>
                  <wp:docPr id="26" name="图片 68"/>
                  <wp:cNvGraphicFramePr/>
                  <a:graphic xmlns:a="http://schemas.openxmlformats.org/drawingml/2006/main">
                    <a:graphicData uri="http://schemas.openxmlformats.org/drawingml/2006/picture">
                      <pic:pic xmlns:pic="http://schemas.openxmlformats.org/drawingml/2006/picture">
                        <pic:nvPicPr>
                          <pic:cNvPr id="26" name="图片 68"/>
                          <pic:cNvPicPr/>
                        </pic:nvPicPr>
                        <pic:blipFill>
                          <a:blip r:embed="rId86"/>
                          <a:stretch>
                            <a:fillRect/>
                          </a:stretch>
                        </pic:blipFill>
                        <pic:spPr>
                          <a:xfrm>
                            <a:off x="0" y="0"/>
                            <a:ext cx="839470" cy="59880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wordWrap w:val="0"/>
              <w:jc w:val="both"/>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1球门内净基本尺寸：长×高×深=7320×2440×2650（㎜）</w:t>
            </w:r>
          </w:p>
          <w:p>
            <w:pPr>
              <w:keepNext w:val="0"/>
              <w:keepLines w:val="0"/>
              <w:widowControl/>
              <w:suppressLineNumbers w:val="0"/>
              <w:wordWrap w:val="0"/>
              <w:jc w:val="both"/>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2、足球门由立杆、横梁、两侧撑杆、两侧横杆和后侧横杆组成。</w:t>
            </w:r>
          </w:p>
          <w:p>
            <w:pPr>
              <w:keepNext w:val="0"/>
              <w:keepLines w:val="0"/>
              <w:widowControl/>
              <w:suppressLineNumbers w:val="0"/>
              <w:wordWrap w:val="0"/>
              <w:jc w:val="both"/>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3、球门立杆和横梁均采用φ120×4优质钢管制成，上设网勾，置网方便，球网系线柱两侧撑杆采用φ48×2.75的钢管制成，两侧横杆和后侧横杆均采用□100×40×3方管制作。</w:t>
            </w:r>
          </w:p>
          <w:p>
            <w:pPr>
              <w:keepNext w:val="0"/>
              <w:keepLines w:val="0"/>
              <w:widowControl/>
              <w:suppressLineNumbers w:val="0"/>
              <w:wordWrap w:val="0"/>
              <w:jc w:val="both"/>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4、横梁和立杆上没有可能危害到运动员安全的连接物件露在外面。球门组装完成后，立杆与地面垂直，横梁与立杆的夹角为90°，连接件周边处理圆滑，无棱角。</w:t>
            </w:r>
          </w:p>
          <w:p>
            <w:pPr>
              <w:keepNext w:val="0"/>
              <w:keepLines w:val="0"/>
              <w:widowControl/>
              <w:suppressLineNumbers w:val="0"/>
              <w:wordWrap w:val="0"/>
              <w:jc w:val="both"/>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5、球门两侧撑杆采用钢丝绳连接紧固，既可增强球门整体稳定性，又可起到撑网的作用。</w:t>
            </w:r>
          </w:p>
          <w:p>
            <w:pPr>
              <w:keepNext w:val="0"/>
              <w:keepLines w:val="0"/>
              <w:widowControl/>
              <w:suppressLineNumbers w:val="0"/>
              <w:wordWrap w:val="0"/>
              <w:jc w:val="both"/>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6、为保证球门的整体稳定性，在球门后侧横杆位置配置了球门固定压板，保证球门的位置不因运动员的冲撞而移动位置。</w:t>
            </w:r>
          </w:p>
          <w:p>
            <w:pPr>
              <w:keepNext w:val="0"/>
              <w:keepLines w:val="0"/>
              <w:widowControl/>
              <w:suppressLineNumbers w:val="0"/>
              <w:wordWrap w:val="0"/>
              <w:jc w:val="both"/>
              <w:textAlignment w:val="auto"/>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7、球门整体可装拆，便于运输和安装。</w:t>
            </w:r>
          </w:p>
          <w:p>
            <w:pPr>
              <w:keepNext w:val="0"/>
              <w:keepLines w:val="0"/>
              <w:widowControl/>
              <w:suppressLineNumbers w:val="0"/>
              <w:wordWrap w:val="0"/>
              <w:jc w:val="both"/>
              <w:textAlignment w:val="auto"/>
              <w:rPr>
                <w:rFonts w:hint="eastAsia" w:ascii="仿宋" w:hAnsi="仿宋" w:eastAsia="仿宋" w:cs="仿宋"/>
                <w:b/>
                <w:bCs/>
                <w:color w:val="000000"/>
                <w:kern w:val="0"/>
                <w:sz w:val="21"/>
                <w:szCs w:val="21"/>
                <w:highlight w:val="none"/>
                <w:u w:val="none"/>
                <w:lang w:eastAsia="zh-CN" w:bidi="ar"/>
              </w:rPr>
            </w:pPr>
            <w:r>
              <w:rPr>
                <w:rFonts w:hint="eastAsia" w:ascii="仿宋" w:hAnsi="仿宋" w:eastAsia="仿宋" w:cs="仿宋"/>
                <w:b/>
                <w:bCs/>
                <w:i w:val="0"/>
                <w:iCs w:val="0"/>
                <w:color w:val="000000"/>
                <w:kern w:val="0"/>
                <w:sz w:val="21"/>
                <w:szCs w:val="21"/>
                <w:highlight w:val="none"/>
                <w:u w:val="none"/>
                <w:lang w:val="en-US" w:eastAsia="zh-CN" w:bidi="ar"/>
              </w:rPr>
              <w:t>☆8、依据HJ 2547-2016《环境标志产品技术要求 家具》对投标人所投产品塑料件进行检测，邻苯二甲酸脂（DBP、BBP、DEHP、DNOP的量不超过0.01‰、DINP、DIDP的量不超过0.05‰）。</w:t>
            </w:r>
            <w:r>
              <w:rPr>
                <w:rFonts w:hint="eastAsia" w:ascii="仿宋" w:hAnsi="仿宋" w:eastAsia="仿宋" w:cs="仿宋"/>
                <w:b/>
                <w:bCs/>
                <w:color w:val="000000"/>
                <w:kern w:val="0"/>
                <w:sz w:val="21"/>
                <w:szCs w:val="21"/>
                <w:highlight w:val="none"/>
                <w:u w:val="none"/>
                <w:lang w:bidi="ar"/>
              </w:rPr>
              <w:t>证明材料提供具有国家认可或批准检测资质的第三方检测机构出具的带有“CMA或CNAS”标识的检测报告复制件</w:t>
            </w:r>
            <w:r>
              <w:rPr>
                <w:rFonts w:hint="eastAsia" w:ascii="仿宋" w:hAnsi="仿宋" w:eastAsia="仿宋" w:cs="仿宋"/>
                <w:b/>
                <w:bCs/>
                <w:color w:val="000000"/>
                <w:kern w:val="0"/>
                <w:sz w:val="21"/>
                <w:szCs w:val="21"/>
                <w:highlight w:val="none"/>
                <w:u w:val="none"/>
                <w:lang w:eastAsia="zh-CN" w:bidi="ar"/>
              </w:rPr>
              <w:t>。</w:t>
            </w:r>
          </w:p>
          <w:p>
            <w:pPr>
              <w:keepNext w:val="0"/>
              <w:keepLines w:val="0"/>
              <w:widowControl/>
              <w:suppressLineNumbers w:val="0"/>
              <w:wordWrap w:val="0"/>
              <w:jc w:val="both"/>
              <w:textAlignment w:val="auto"/>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☆9、依据GB/T31402-2015《塑料表面抗菌性能试验方法》对投标产品所用的塑料(PE或PP)的抗菌性能进行检测，检测结果塑料对大肠杆菌、金黄色葡萄球菌的抗菌率≥99.9%，</w:t>
            </w:r>
            <w:r>
              <w:rPr>
                <w:rFonts w:hint="eastAsia" w:ascii="仿宋" w:hAnsi="仿宋" w:eastAsia="仿宋" w:cs="仿宋"/>
                <w:b/>
                <w:bCs/>
                <w:color w:val="000000"/>
                <w:kern w:val="0"/>
                <w:sz w:val="21"/>
                <w:szCs w:val="21"/>
                <w:highlight w:val="none"/>
                <w:u w:val="none"/>
                <w:lang w:bidi="ar"/>
              </w:rPr>
              <w:t>证明材料提供具有国家认可或批准检测资质的第三方检测机构出具的带有“CMA或CNAS”标识的检测报告复制件</w:t>
            </w:r>
            <w:r>
              <w:rPr>
                <w:rFonts w:hint="eastAsia" w:ascii="仿宋" w:hAnsi="仿宋" w:eastAsia="仿宋" w:cs="仿宋"/>
                <w:b/>
                <w:bCs/>
                <w:color w:val="000000"/>
                <w:kern w:val="0"/>
                <w:sz w:val="21"/>
                <w:szCs w:val="21"/>
                <w:highlight w:val="none"/>
                <w:u w:val="none"/>
                <w:lang w:eastAsia="zh-CN" w:bidi="ar"/>
              </w:rPr>
              <w:t>。</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五人制足球门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1、球门内净基本尺寸：长×高=3000×2000（mm）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bdr w:val="single" w:color="000000" w:sz="4" w:space="0"/>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2、足球门由立杆、横梁、两侧撑杆、两侧横杆和后侧横杆组成。</w:t>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-880745</wp:posOffset>
                  </wp:positionH>
                  <wp:positionV relativeFrom="paragraph">
                    <wp:posOffset>556895</wp:posOffset>
                  </wp:positionV>
                  <wp:extent cx="774700" cy="594995"/>
                  <wp:effectExtent l="0" t="0" r="0" b="1905"/>
                  <wp:wrapNone/>
                  <wp:docPr id="30" name="图片_41"/>
                  <wp:cNvGraphicFramePr/>
                  <a:graphic xmlns:a="http://schemas.openxmlformats.org/drawingml/2006/main">
                    <a:graphicData uri="http://schemas.openxmlformats.org/drawingml/2006/picture">
                      <pic:pic xmlns:pic="http://schemas.openxmlformats.org/drawingml/2006/picture">
                        <pic:nvPicPr>
                          <pic:cNvPr id="30" name="图片_41"/>
                          <pic:cNvPicPr/>
                        </pic:nvPicPr>
                        <pic:blipFill>
                          <a:blip r:embed="rId87"/>
                          <a:stretch>
                            <a:fillRect/>
                          </a:stretch>
                        </pic:blipFill>
                        <pic:spPr>
                          <a:xfrm>
                            <a:off x="0" y="0"/>
                            <a:ext cx="774700" cy="594995"/>
                          </a:xfrm>
                          <a:prstGeom prst="rect">
                            <a:avLst/>
                          </a:prstGeom>
                          <a:noFill/>
                          <a:ln>
                            <a:noFill/>
                          </a:ln>
                        </pic:spPr>
                      </pic:pic>
                    </a:graphicData>
                  </a:graphic>
                </wp:anchor>
              </w:drawing>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3、球门立杆和横梁均采用□80×80×2.75优质钢管制成，上设网勾，置网方便，球网两侧撑杆采用φ32×2.5的钢管制成，两侧横杆和后侧连杆采用□80×40×2.75方管制作。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横梁和立杆上没有可能危害到运动员安全的连接物件露在外面。球门组装完成后，立杆与地面垂直，横梁与立杆的夹角为90°，连接件周边处理圆滑，无棱角。球门两侧撑杆采用钢丝绳连接紧固，既可增强球门整体稳定性，又可起到撑网的作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5、为保证球门的整体稳定性，在球门后侧横杆位置配置了球门固定压板，保证球门的位置不因运动员的冲撞而移动位置。</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6、球门整体可装拆，便于运输和安装。</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☆依据HJ 2547-2016《环境标志产品技术要求 家具》对投标人所投产品钢部件喷塑涂层进行检测，可迁移元素（锑（Sb）、砷（As）钡（Ba）、镉（Cd）、铬（Cr）、铅（Pb）、汞（Hg）、硒（Se）都检测合格，</w:t>
            </w:r>
            <w:r>
              <w:rPr>
                <w:rFonts w:hint="eastAsia" w:ascii="仿宋" w:hAnsi="仿宋" w:eastAsia="仿宋" w:cs="仿宋"/>
                <w:b/>
                <w:bCs/>
                <w:color w:val="000000"/>
                <w:kern w:val="0"/>
                <w:sz w:val="21"/>
                <w:szCs w:val="21"/>
                <w:highlight w:val="none"/>
                <w:u w:val="none"/>
                <w:lang w:bidi="ar"/>
              </w:rPr>
              <w:t>证明材料提供具有国家认可或批准检测资质的第三方检测机构出具的带有“CMA</w:t>
            </w:r>
            <w:r>
              <w:rPr>
                <w:rFonts w:hint="eastAsia" w:ascii="仿宋" w:hAnsi="仿宋" w:eastAsia="仿宋" w:cs="仿宋"/>
                <w:b/>
                <w:bCs/>
                <w:color w:val="000000"/>
                <w:kern w:val="0"/>
                <w:sz w:val="21"/>
                <w:szCs w:val="21"/>
                <w:highlight w:val="none"/>
                <w:u w:val="none"/>
                <w:lang w:val="en-US" w:eastAsia="zh-CN" w:bidi="ar"/>
              </w:rPr>
              <w:t>或</w:t>
            </w:r>
            <w:r>
              <w:rPr>
                <w:rFonts w:hint="eastAsia" w:ascii="仿宋" w:hAnsi="仿宋" w:eastAsia="仿宋" w:cs="仿宋"/>
                <w:b/>
                <w:bCs/>
                <w:color w:val="000000"/>
                <w:kern w:val="0"/>
                <w:sz w:val="21"/>
                <w:szCs w:val="21"/>
                <w:highlight w:val="none"/>
                <w:u w:val="none"/>
                <w:lang w:bidi="ar"/>
              </w:rPr>
              <w:t>CNAS”标识的检测报告复制件</w:t>
            </w:r>
            <w:r>
              <w:rPr>
                <w:rFonts w:hint="eastAsia" w:ascii="仿宋" w:hAnsi="仿宋" w:eastAsia="仿宋" w:cs="仿宋"/>
                <w:b/>
                <w:bCs/>
                <w:color w:val="000000"/>
                <w:kern w:val="0"/>
                <w:sz w:val="21"/>
                <w:szCs w:val="21"/>
                <w:highlight w:val="none"/>
                <w:u w:val="none"/>
                <w:lang w:eastAsia="zh-CN" w:bidi="ar"/>
              </w:rPr>
              <w:t>。</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足球战术板</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97790</wp:posOffset>
                  </wp:positionH>
                  <wp:positionV relativeFrom="paragraph">
                    <wp:posOffset>86995</wp:posOffset>
                  </wp:positionV>
                  <wp:extent cx="692150" cy="468630"/>
                  <wp:effectExtent l="0" t="0" r="6350" b="1270"/>
                  <wp:wrapNone/>
                  <wp:docPr id="19" name="图片_271"/>
                  <wp:cNvGraphicFramePr/>
                  <a:graphic xmlns:a="http://schemas.openxmlformats.org/drawingml/2006/main">
                    <a:graphicData uri="http://schemas.openxmlformats.org/drawingml/2006/picture">
                      <pic:pic xmlns:pic="http://schemas.openxmlformats.org/drawingml/2006/picture">
                        <pic:nvPicPr>
                          <pic:cNvPr id="19" name="图片_271"/>
                          <pic:cNvPicPr/>
                        </pic:nvPicPr>
                        <pic:blipFill>
                          <a:blip r:embed="rId88"/>
                          <a:stretch>
                            <a:fillRect/>
                          </a:stretch>
                        </pic:blipFill>
                        <pic:spPr>
                          <a:xfrm>
                            <a:off x="0" y="0"/>
                            <a:ext cx="692150" cy="46863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2.0×1.2m复合玻璃钢板四周铝合金包边，带支架。</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插地式排球柱</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182880</wp:posOffset>
                  </wp:positionH>
                  <wp:positionV relativeFrom="paragraph">
                    <wp:posOffset>1329690</wp:posOffset>
                  </wp:positionV>
                  <wp:extent cx="524510" cy="716915"/>
                  <wp:effectExtent l="0" t="0" r="8890" b="6985"/>
                  <wp:wrapNone/>
                  <wp:docPr id="69" name="图片_77"/>
                  <wp:cNvGraphicFramePr/>
                  <a:graphic xmlns:a="http://schemas.openxmlformats.org/drawingml/2006/main">
                    <a:graphicData uri="http://schemas.openxmlformats.org/drawingml/2006/picture">
                      <pic:pic xmlns:pic="http://schemas.openxmlformats.org/drawingml/2006/picture">
                        <pic:nvPicPr>
                          <pic:cNvPr id="69" name="图片_77"/>
                          <pic:cNvPicPr/>
                        </pic:nvPicPr>
                        <pic:blipFill>
                          <a:blip r:embed="rId89"/>
                          <a:stretch>
                            <a:fillRect/>
                          </a:stretch>
                        </pic:blipFill>
                        <pic:spPr>
                          <a:xfrm>
                            <a:off x="0" y="0"/>
                            <a:ext cx="524510" cy="71691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1.排球柱由内外立柱，高度调节销和紧线机构组成。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2.排球柱外立柱选用φ89×8.5的铝合金型材，内立柱选用φ70异型铝型材制作，通过高度调节销使内立柱上下移动，实现网高调节高度：2.15m、2.24m、2.35m、2.43m。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3.二外立柱中，一立柱上置有网钩，另一立柱上置有棘爪紧线锁紧机构，通过调节锁紧手柄，调节钢丝绳的松紧，实现网的高度要求。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4.排球柱外立柱底部设有40mm厚特制缓冲垫，与预埋件相配时起缓冲作用，能有效延长预埋件及立柱的使用寿命，立柱上部设有特制封套，能防止高度调节时内立柱外管与外立柱内管摩擦而引起漆膜脱落。</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5.排球柱配备有专用的预埋件，采用φ108×2.75圆管制作，预埋件底部托底和顶部盖帽均采用ABS成形，使用时把立柱插入预埋孔即可，不用时，取出排球柱立柱，盖上预埋盖即可，使用方便。</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 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产品所有器材均经抛丸--脱脂--水洗--无磷转化--水洗--烘干--静电粉末--固化等过程。产品涂层厚度70-80um，铅笔硬度达3H+。产品应能适合潮湿和酸雨环境，且前处理过程以及产品涂料配方均不含有毒元素，避免损害使用者的健康。</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普通高单杠</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104775</wp:posOffset>
                  </wp:positionH>
                  <wp:positionV relativeFrom="paragraph">
                    <wp:posOffset>216535</wp:posOffset>
                  </wp:positionV>
                  <wp:extent cx="636270" cy="509270"/>
                  <wp:effectExtent l="0" t="0" r="11430" b="11430"/>
                  <wp:wrapNone/>
                  <wp:docPr id="32" name="图片_88"/>
                  <wp:cNvGraphicFramePr/>
                  <a:graphic xmlns:a="http://schemas.openxmlformats.org/drawingml/2006/main">
                    <a:graphicData uri="http://schemas.openxmlformats.org/drawingml/2006/picture">
                      <pic:pic xmlns:pic="http://schemas.openxmlformats.org/drawingml/2006/picture">
                        <pic:nvPicPr>
                          <pic:cNvPr id="32" name="图片_88"/>
                          <pic:cNvPicPr/>
                        </pic:nvPicPr>
                        <pic:blipFill>
                          <a:blip r:embed="rId90"/>
                          <a:stretch>
                            <a:fillRect/>
                          </a:stretch>
                        </pic:blipFill>
                        <pic:spPr>
                          <a:xfrm>
                            <a:off x="0" y="0"/>
                            <a:ext cx="636270" cy="5092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普通单杠,成套采购安装：</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埋地式高单杠;基本参数:镀锌钢管制，高度调节范围2.2--2.5m;立柱￠89mm,杠面2.0m;长*宽*高:220*89*260cm;施工标准:预埋C25,混凝土基础尺寸为600*600*800mm;含挖孔及修复所有钢制件经除锈、磷化等金属表面处理后在自动喷涂线上喷塑。</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普通单杠</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142875</wp:posOffset>
                  </wp:positionH>
                  <wp:positionV relativeFrom="paragraph">
                    <wp:posOffset>116840</wp:posOffset>
                  </wp:positionV>
                  <wp:extent cx="663575" cy="607060"/>
                  <wp:effectExtent l="0" t="0" r="9525" b="2540"/>
                  <wp:wrapNone/>
                  <wp:docPr id="33" name="图片 73"/>
                  <wp:cNvGraphicFramePr/>
                  <a:graphic xmlns:a="http://schemas.openxmlformats.org/drawingml/2006/main">
                    <a:graphicData uri="http://schemas.openxmlformats.org/drawingml/2006/picture">
                      <pic:pic xmlns:pic="http://schemas.openxmlformats.org/drawingml/2006/picture">
                        <pic:nvPicPr>
                          <pic:cNvPr id="33" name="图片 73"/>
                          <pic:cNvPicPr/>
                        </pic:nvPicPr>
                        <pic:blipFill>
                          <a:blip r:embed="rId91"/>
                          <a:stretch>
                            <a:fillRect/>
                          </a:stretch>
                        </pic:blipFill>
                        <pic:spPr>
                          <a:xfrm>
                            <a:off x="0" y="0"/>
                            <a:ext cx="663575" cy="60706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普通单杠,成套采购安装：</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埋地式高单杠;基本参数:镀锌钢管制，高度调节范围1.8--2.2m;立柱￠89mm,杠面2.0m;长*宽*高:220*89*260cm;施工标准:预埋C25,混凝土基础尺寸为600*600*800mm;含挖孔及修复所有钢制件经除锈、磷化等金属表面处理后在自动喷涂线上喷塑。</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普通双杠</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34290</wp:posOffset>
                  </wp:positionH>
                  <wp:positionV relativeFrom="paragraph">
                    <wp:posOffset>300355</wp:posOffset>
                  </wp:positionV>
                  <wp:extent cx="739775" cy="592455"/>
                  <wp:effectExtent l="0" t="0" r="9525" b="4445"/>
                  <wp:wrapNone/>
                  <wp:docPr id="83" name="图片_84"/>
                  <wp:cNvGraphicFramePr/>
                  <a:graphic xmlns:a="http://schemas.openxmlformats.org/drawingml/2006/main">
                    <a:graphicData uri="http://schemas.openxmlformats.org/drawingml/2006/picture">
                      <pic:pic xmlns:pic="http://schemas.openxmlformats.org/drawingml/2006/picture">
                        <pic:nvPicPr>
                          <pic:cNvPr id="83" name="图片_84"/>
                          <pic:cNvPicPr/>
                        </pic:nvPicPr>
                        <pic:blipFill>
                          <a:blip r:embed="rId92"/>
                          <a:stretch>
                            <a:fillRect/>
                          </a:stretch>
                        </pic:blipFill>
                        <pic:spPr>
                          <a:xfrm>
                            <a:off x="0" y="0"/>
                            <a:ext cx="739775" cy="59245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普通双杠,成套采购安装：</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1、埋地式双杠面基本尺寸:长*横截面=3000*42(mm).杠面高度为1600mm。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2、双杠立柱采用￠48*3毫米的镀锌钢管钢制作,长1860mm,埋入地下部分长500mm。所有钢制件经除锈、磷化等金属表面处理后在自动喷涂线上喷塑。</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室外云梯</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56515</wp:posOffset>
                  </wp:positionH>
                  <wp:positionV relativeFrom="paragraph">
                    <wp:posOffset>670560</wp:posOffset>
                  </wp:positionV>
                  <wp:extent cx="739775" cy="589915"/>
                  <wp:effectExtent l="0" t="0" r="9525" b="6985"/>
                  <wp:wrapNone/>
                  <wp:docPr id="91" name="图片_103"/>
                  <wp:cNvGraphicFramePr/>
                  <a:graphic xmlns:a="http://schemas.openxmlformats.org/drawingml/2006/main">
                    <a:graphicData uri="http://schemas.openxmlformats.org/drawingml/2006/picture">
                      <pic:pic xmlns:pic="http://schemas.openxmlformats.org/drawingml/2006/picture">
                        <pic:nvPicPr>
                          <pic:cNvPr id="91" name="图片_103"/>
                          <pic:cNvPicPr/>
                        </pic:nvPicPr>
                        <pic:blipFill>
                          <a:blip r:embed="rId93"/>
                          <a:stretch>
                            <a:fillRect/>
                          </a:stretch>
                        </pic:blipFill>
                        <pic:spPr>
                          <a:xfrm>
                            <a:off x="0" y="0"/>
                            <a:ext cx="739775" cy="58991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1.云梯埋入地下后基本尺寸：长x高x宽=4950x2500x800（mm）；埋入地下部分长500mm。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2.云梯由上部横梯和下部支架组成，主要材料采用Φ89x2.75、Φ32x2.75、Φ42x2.75镀锌钢管拼焊而成，焊接部位焊缝均匀，无虚焊；</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3.云梯上部为Φ32平档均分格子梯，使运动时更加合理；</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4.所有钢制件均经除锈、磷化等金属表面处理后在自动喷涂线上喷塑。</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双格肋木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236855</wp:posOffset>
                  </wp:positionH>
                  <wp:positionV relativeFrom="paragraph">
                    <wp:posOffset>250825</wp:posOffset>
                  </wp:positionV>
                  <wp:extent cx="591185" cy="670560"/>
                  <wp:effectExtent l="0" t="0" r="5715" b="2540"/>
                  <wp:wrapNone/>
                  <wp:docPr id="93" name="图片_139"/>
                  <wp:cNvGraphicFramePr/>
                  <a:graphic xmlns:a="http://schemas.openxmlformats.org/drawingml/2006/main">
                    <a:graphicData uri="http://schemas.openxmlformats.org/drawingml/2006/picture">
                      <pic:pic xmlns:pic="http://schemas.openxmlformats.org/drawingml/2006/picture">
                        <pic:nvPicPr>
                          <pic:cNvPr id="93" name="图片_139"/>
                          <pic:cNvPicPr/>
                        </pic:nvPicPr>
                        <pic:blipFill>
                          <a:blip r:embed="rId94"/>
                          <a:stretch>
                            <a:fillRect/>
                          </a:stretch>
                        </pic:blipFill>
                        <pic:spPr>
                          <a:xfrm>
                            <a:off x="0" y="0"/>
                            <a:ext cx="591185" cy="67056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双间肋木,成套采购安装：</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1、技术要求：肋木埋入地下后基本尺寸：长*宽*高=2000*80*2640(mm),埋入地下部分长505mm。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2、肋木由3根立柱，1根横梁和12根横杆组成，立柱和横梁采用方管80*40*3焊管，通过M10螺栓连接，横杆采用￠32焊管。</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3、所有钢管为镀锌钢管。                               4、所有钢制件经除锈、磷化等金属表面处理后在自动喷涂线上喷塑.</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排球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278130</wp:posOffset>
                  </wp:positionH>
                  <wp:positionV relativeFrom="paragraph">
                    <wp:posOffset>80645</wp:posOffset>
                  </wp:positionV>
                  <wp:extent cx="537845" cy="541020"/>
                  <wp:effectExtent l="0" t="0" r="8255" b="5080"/>
                  <wp:wrapNone/>
                  <wp:docPr id="73" name="图片_12"/>
                  <wp:cNvGraphicFramePr/>
                  <a:graphic xmlns:a="http://schemas.openxmlformats.org/drawingml/2006/main">
                    <a:graphicData uri="http://schemas.openxmlformats.org/drawingml/2006/picture">
                      <pic:pic xmlns:pic="http://schemas.openxmlformats.org/drawingml/2006/picture">
                        <pic:nvPicPr>
                          <pic:cNvPr id="73" name="图片_12"/>
                          <pic:cNvPicPr/>
                        </pic:nvPicPr>
                        <pic:blipFill>
                          <a:blip r:embed="rId95"/>
                          <a:stretch>
                            <a:fillRect/>
                          </a:stretch>
                        </pic:blipFill>
                        <pic:spPr>
                          <a:xfrm>
                            <a:off x="0" y="0"/>
                            <a:ext cx="537845" cy="54102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轻质柔软PU革，橡胶内胆，尼龙缠线，重量260-280g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7号篮球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287020</wp:posOffset>
                  </wp:positionH>
                  <wp:positionV relativeFrom="paragraph">
                    <wp:posOffset>113030</wp:posOffset>
                  </wp:positionV>
                  <wp:extent cx="448310" cy="469900"/>
                  <wp:effectExtent l="0" t="0" r="8890" b="0"/>
                  <wp:wrapNone/>
                  <wp:docPr id="75" name="图片 78"/>
                  <wp:cNvGraphicFramePr/>
                  <a:graphic xmlns:a="http://schemas.openxmlformats.org/drawingml/2006/main">
                    <a:graphicData uri="http://schemas.openxmlformats.org/drawingml/2006/picture">
                      <pic:pic xmlns:pic="http://schemas.openxmlformats.org/drawingml/2006/picture">
                        <pic:nvPicPr>
                          <pic:cNvPr id="75" name="图片 78"/>
                          <pic:cNvPicPr/>
                        </pic:nvPicPr>
                        <pic:blipFill>
                          <a:blip r:embed="rId96"/>
                          <a:stretch>
                            <a:fillRect/>
                          </a:stretch>
                        </pic:blipFill>
                        <pic:spPr>
                          <a:xfrm>
                            <a:off x="0" y="0"/>
                            <a:ext cx="448310" cy="4699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7号牛皮室内比赛篮球，严密丁基内胆。</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6号篮球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279400</wp:posOffset>
                  </wp:positionH>
                  <wp:positionV relativeFrom="paragraph">
                    <wp:posOffset>43815</wp:posOffset>
                  </wp:positionV>
                  <wp:extent cx="437515" cy="496570"/>
                  <wp:effectExtent l="0" t="0" r="6985" b="11430"/>
                  <wp:wrapNone/>
                  <wp:docPr id="94" name="图片 79"/>
                  <wp:cNvGraphicFramePr/>
                  <a:graphic xmlns:a="http://schemas.openxmlformats.org/drawingml/2006/main">
                    <a:graphicData uri="http://schemas.openxmlformats.org/drawingml/2006/picture">
                      <pic:pic xmlns:pic="http://schemas.openxmlformats.org/drawingml/2006/picture">
                        <pic:nvPicPr>
                          <pic:cNvPr id="94" name="图片 79"/>
                          <pic:cNvPicPr/>
                        </pic:nvPicPr>
                        <pic:blipFill>
                          <a:blip r:embed="rId96"/>
                          <a:stretch>
                            <a:fillRect/>
                          </a:stretch>
                        </pic:blipFill>
                        <pic:spPr>
                          <a:xfrm>
                            <a:off x="0" y="0"/>
                            <a:ext cx="437515" cy="4965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7号牛皮室内比赛篮球，严密丁基内胆。</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7号篮球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283210</wp:posOffset>
                  </wp:positionH>
                  <wp:positionV relativeFrom="paragraph">
                    <wp:posOffset>86995</wp:posOffset>
                  </wp:positionV>
                  <wp:extent cx="437515" cy="473075"/>
                  <wp:effectExtent l="0" t="0" r="6985" b="9525"/>
                  <wp:wrapNone/>
                  <wp:docPr id="95" name="图片 80"/>
                  <wp:cNvGraphicFramePr/>
                  <a:graphic xmlns:a="http://schemas.openxmlformats.org/drawingml/2006/main">
                    <a:graphicData uri="http://schemas.openxmlformats.org/drawingml/2006/picture">
                      <pic:pic xmlns:pic="http://schemas.openxmlformats.org/drawingml/2006/picture">
                        <pic:nvPicPr>
                          <pic:cNvPr id="95" name="图片 80"/>
                          <pic:cNvPicPr/>
                        </pic:nvPicPr>
                        <pic:blipFill>
                          <a:blip r:embed="rId97"/>
                          <a:stretch>
                            <a:fillRect/>
                          </a:stretch>
                        </pic:blipFill>
                        <pic:spPr>
                          <a:xfrm>
                            <a:off x="0" y="0"/>
                            <a:ext cx="437515" cy="4730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7号室内外通用，耐磨PU皮革，橡胶内胆。</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排球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313690</wp:posOffset>
                  </wp:positionH>
                  <wp:positionV relativeFrom="paragraph">
                    <wp:posOffset>104775</wp:posOffset>
                  </wp:positionV>
                  <wp:extent cx="394335" cy="427990"/>
                  <wp:effectExtent l="0" t="0" r="12065" b="3810"/>
                  <wp:wrapNone/>
                  <wp:docPr id="76" name="图片 81"/>
                  <wp:cNvGraphicFramePr/>
                  <a:graphic xmlns:a="http://schemas.openxmlformats.org/drawingml/2006/main">
                    <a:graphicData uri="http://schemas.openxmlformats.org/drawingml/2006/picture">
                      <pic:pic xmlns:pic="http://schemas.openxmlformats.org/drawingml/2006/picture">
                        <pic:nvPicPr>
                          <pic:cNvPr id="76" name="图片 81"/>
                          <pic:cNvPicPr/>
                        </pic:nvPicPr>
                        <pic:blipFill>
                          <a:blip r:embed="rId98"/>
                          <a:stretch>
                            <a:fillRect/>
                          </a:stretch>
                        </pic:blipFill>
                        <pic:spPr>
                          <a:xfrm>
                            <a:off x="0" y="0"/>
                            <a:ext cx="394335" cy="42799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PU革比赛排球，260-280g，橡胶内胆，尼龙缠线，轻质柔软PU</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5号足球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172720</wp:posOffset>
                  </wp:positionH>
                  <wp:positionV relativeFrom="paragraph">
                    <wp:posOffset>110490</wp:posOffset>
                  </wp:positionV>
                  <wp:extent cx="518160" cy="487680"/>
                  <wp:effectExtent l="0" t="0" r="2540" b="7620"/>
                  <wp:wrapNone/>
                  <wp:docPr id="97" name="图片 82"/>
                  <wp:cNvGraphicFramePr/>
                  <a:graphic xmlns:a="http://schemas.openxmlformats.org/drawingml/2006/main">
                    <a:graphicData uri="http://schemas.openxmlformats.org/drawingml/2006/picture">
                      <pic:pic xmlns:pic="http://schemas.openxmlformats.org/drawingml/2006/picture">
                        <pic:nvPicPr>
                          <pic:cNvPr id="97" name="图片 82"/>
                          <pic:cNvPicPr/>
                        </pic:nvPicPr>
                        <pic:blipFill>
                          <a:blip r:embed="rId99"/>
                          <a:stretch>
                            <a:fillRect/>
                          </a:stretch>
                        </pic:blipFill>
                        <pic:spPr>
                          <a:xfrm>
                            <a:off x="0" y="0"/>
                            <a:ext cx="518160" cy="48768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手工缝制，PU合成皮革，缠线纱胆，丁基内胆。</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羽毛球拍</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55880</wp:posOffset>
                  </wp:positionH>
                  <wp:positionV relativeFrom="paragraph">
                    <wp:posOffset>218440</wp:posOffset>
                  </wp:positionV>
                  <wp:extent cx="659765" cy="347345"/>
                  <wp:effectExtent l="0" t="0" r="635" b="8255"/>
                  <wp:wrapNone/>
                  <wp:docPr id="77" name="图片 83"/>
                  <wp:cNvGraphicFramePr/>
                  <a:graphic xmlns:a="http://schemas.openxmlformats.org/drawingml/2006/main">
                    <a:graphicData uri="http://schemas.openxmlformats.org/drawingml/2006/picture">
                      <pic:pic xmlns:pic="http://schemas.openxmlformats.org/drawingml/2006/picture">
                        <pic:nvPicPr>
                          <pic:cNvPr id="77" name="图片 83"/>
                          <pic:cNvPicPr/>
                        </pic:nvPicPr>
                        <pic:blipFill>
                          <a:blip r:embed="rId100"/>
                          <a:stretch>
                            <a:fillRect/>
                          </a:stretch>
                        </pic:blipFill>
                        <pic:spPr>
                          <a:xfrm>
                            <a:off x="0" y="0"/>
                            <a:ext cx="659765" cy="34734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材质: 铁合金，穿线类型: 成品拍，一体拍，拍头与拍杆连接处无分体连接头，每副2支。</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84</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羽毛球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274320</wp:posOffset>
                  </wp:positionH>
                  <wp:positionV relativeFrom="paragraph">
                    <wp:posOffset>106045</wp:posOffset>
                  </wp:positionV>
                  <wp:extent cx="489585" cy="622300"/>
                  <wp:effectExtent l="0" t="0" r="5715" b="0"/>
                  <wp:wrapNone/>
                  <wp:docPr id="78" name="图片_5_SpCnt_1"/>
                  <wp:cNvGraphicFramePr/>
                  <a:graphic xmlns:a="http://schemas.openxmlformats.org/drawingml/2006/main">
                    <a:graphicData uri="http://schemas.openxmlformats.org/drawingml/2006/picture">
                      <pic:pic xmlns:pic="http://schemas.openxmlformats.org/drawingml/2006/picture">
                        <pic:nvPicPr>
                          <pic:cNvPr id="78" name="图片_5_SpCnt_1"/>
                          <pic:cNvPicPr/>
                        </pic:nvPicPr>
                        <pic:blipFill>
                          <a:blip r:embed="rId101"/>
                          <a:stretch>
                            <a:fillRect/>
                          </a:stretch>
                        </pic:blipFill>
                        <pic:spPr>
                          <a:xfrm>
                            <a:off x="0" y="0"/>
                            <a:ext cx="489585" cy="6223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教学用，天然羽毛，复合软木球头，每桶12只，每箱50桶。</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85</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乒乓球拍(横/直）</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255905</wp:posOffset>
                  </wp:positionH>
                  <wp:positionV relativeFrom="paragraph">
                    <wp:posOffset>123190</wp:posOffset>
                  </wp:positionV>
                  <wp:extent cx="382905" cy="410210"/>
                  <wp:effectExtent l="0" t="0" r="10795" b="8890"/>
                  <wp:wrapNone/>
                  <wp:docPr id="108" name="图片 85"/>
                  <wp:cNvGraphicFramePr/>
                  <a:graphic xmlns:a="http://schemas.openxmlformats.org/drawingml/2006/main">
                    <a:graphicData uri="http://schemas.openxmlformats.org/drawingml/2006/picture">
                      <pic:pic xmlns:pic="http://schemas.openxmlformats.org/drawingml/2006/picture">
                        <pic:nvPicPr>
                          <pic:cNvPr id="108" name="图片 85"/>
                          <pic:cNvPicPr/>
                        </pic:nvPicPr>
                        <pic:blipFill>
                          <a:blip r:embed="rId102"/>
                          <a:stretch>
                            <a:fillRect/>
                          </a:stretch>
                        </pic:blipFill>
                        <pic:spPr>
                          <a:xfrm>
                            <a:off x="0" y="0"/>
                            <a:ext cx="382905" cy="41021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五层纯木底板，手柄控制力好，经典套胶</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乒乓球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133985</wp:posOffset>
                  </wp:positionH>
                  <wp:positionV relativeFrom="paragraph">
                    <wp:posOffset>135890</wp:posOffset>
                  </wp:positionV>
                  <wp:extent cx="630555" cy="354330"/>
                  <wp:effectExtent l="0" t="0" r="4445" b="1270"/>
                  <wp:wrapNone/>
                  <wp:docPr id="113" name="图片_16"/>
                  <wp:cNvGraphicFramePr/>
                  <a:graphic xmlns:a="http://schemas.openxmlformats.org/drawingml/2006/main">
                    <a:graphicData uri="http://schemas.openxmlformats.org/drawingml/2006/picture">
                      <pic:pic xmlns:pic="http://schemas.openxmlformats.org/drawingml/2006/picture">
                        <pic:nvPicPr>
                          <pic:cNvPr id="113" name="图片_16"/>
                          <pic:cNvPicPr/>
                        </pic:nvPicPr>
                        <pic:blipFill>
                          <a:blip r:embed="rId103"/>
                          <a:stretch>
                            <a:fillRect/>
                          </a:stretch>
                        </pic:blipFill>
                        <pic:spPr>
                          <a:xfrm>
                            <a:off x="0" y="0"/>
                            <a:ext cx="630555" cy="35433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D40+，有缝，有重心，更精准，圆度更圆，变形小，耐打，弹性足，每盒10只装</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中亚口哨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285115</wp:posOffset>
                  </wp:positionH>
                  <wp:positionV relativeFrom="paragraph">
                    <wp:posOffset>128905</wp:posOffset>
                  </wp:positionV>
                  <wp:extent cx="463550" cy="619125"/>
                  <wp:effectExtent l="0" t="0" r="6350" b="3175"/>
                  <wp:wrapNone/>
                  <wp:docPr id="114" name="图片_30"/>
                  <wp:cNvGraphicFramePr/>
                  <a:graphic xmlns:a="http://schemas.openxmlformats.org/drawingml/2006/main">
                    <a:graphicData uri="http://schemas.openxmlformats.org/drawingml/2006/picture">
                      <pic:pic xmlns:pic="http://schemas.openxmlformats.org/drawingml/2006/picture">
                        <pic:nvPicPr>
                          <pic:cNvPr id="114" name="图片_30"/>
                          <pic:cNvPicPr/>
                        </pic:nvPicPr>
                        <pic:blipFill>
                          <a:blip r:embed="rId104"/>
                          <a:stretch>
                            <a:fillRect/>
                          </a:stretch>
                        </pic:blipFill>
                        <pic:spPr>
                          <a:xfrm>
                            <a:off x="0" y="0"/>
                            <a:ext cx="463550" cy="6191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不锈钢双腔高频口哨，金属亮色，哨长7.9cm,尼龙绳48cm,净重18g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拔河绳</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-16510</wp:posOffset>
                  </wp:positionH>
                  <wp:positionV relativeFrom="paragraph">
                    <wp:posOffset>70485</wp:posOffset>
                  </wp:positionV>
                  <wp:extent cx="759460" cy="584200"/>
                  <wp:effectExtent l="0" t="0" r="2540" b="0"/>
                  <wp:wrapNone/>
                  <wp:docPr id="105" name="图片_76"/>
                  <wp:cNvGraphicFramePr/>
                  <a:graphic xmlns:a="http://schemas.openxmlformats.org/drawingml/2006/main">
                    <a:graphicData uri="http://schemas.openxmlformats.org/drawingml/2006/picture">
                      <pic:pic xmlns:pic="http://schemas.openxmlformats.org/drawingml/2006/picture">
                        <pic:nvPicPr>
                          <pic:cNvPr id="105" name="图片_76"/>
                          <pic:cNvPicPr/>
                        </pic:nvPicPr>
                        <pic:blipFill>
                          <a:blip r:embed="rId105"/>
                          <a:stretch>
                            <a:fillRect/>
                          </a:stretch>
                        </pic:blipFill>
                        <pic:spPr>
                          <a:xfrm>
                            <a:off x="0" y="0"/>
                            <a:ext cx="759460" cy="58420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麻绳，30米，直径4cm，材质黄麻</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7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2公斤实心球</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8255</wp:posOffset>
                  </wp:positionH>
                  <wp:positionV relativeFrom="paragraph">
                    <wp:posOffset>88265</wp:posOffset>
                  </wp:positionV>
                  <wp:extent cx="802005" cy="541655"/>
                  <wp:effectExtent l="0" t="0" r="10795" b="4445"/>
                  <wp:wrapNone/>
                  <wp:docPr id="118" name="图片 89"/>
                  <wp:cNvGraphicFramePr/>
                  <a:graphic xmlns:a="http://schemas.openxmlformats.org/drawingml/2006/main">
                    <a:graphicData uri="http://schemas.openxmlformats.org/drawingml/2006/picture">
                      <pic:pic xmlns:pic="http://schemas.openxmlformats.org/drawingml/2006/picture">
                        <pic:nvPicPr>
                          <pic:cNvPr id="118" name="图片 89"/>
                          <pic:cNvPicPr/>
                        </pic:nvPicPr>
                        <pic:blipFill>
                          <a:blip r:embed="rId106"/>
                          <a:stretch>
                            <a:fillRect/>
                          </a:stretch>
                        </pic:blipFill>
                        <pic:spPr>
                          <a:xfrm>
                            <a:off x="0" y="0"/>
                            <a:ext cx="802005" cy="54165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充气实心球防滑胶粒，柔软安全，内有充气，落地缓冲保护，延长球体使用寿命，2KG标准直径11cm</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90</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跑步机</w:t>
            </w:r>
          </w:p>
        </w:tc>
        <w:tc>
          <w:tcPr>
            <w:tcW w:w="165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p>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49530</wp:posOffset>
                  </wp:positionH>
                  <wp:positionV relativeFrom="paragraph">
                    <wp:posOffset>1414145</wp:posOffset>
                  </wp:positionV>
                  <wp:extent cx="861695" cy="798195"/>
                  <wp:effectExtent l="0" t="0" r="0" b="0"/>
                  <wp:wrapNone/>
                  <wp:docPr id="115" name="图片 90"/>
                  <wp:cNvGraphicFramePr/>
                  <a:graphic xmlns:a="http://schemas.openxmlformats.org/drawingml/2006/main">
                    <a:graphicData uri="http://schemas.openxmlformats.org/drawingml/2006/picture">
                      <pic:pic xmlns:pic="http://schemas.openxmlformats.org/drawingml/2006/picture">
                        <pic:nvPicPr>
                          <pic:cNvPr id="115" name="图片 90"/>
                          <pic:cNvPicPr/>
                        </pic:nvPicPr>
                        <pic:blipFill>
                          <a:blip r:embed="rId107"/>
                          <a:srcRect l="3345" t="7692" r="17019" b="9665"/>
                          <a:stretch>
                            <a:fillRect/>
                          </a:stretch>
                        </pic:blipFill>
                        <pic:spPr>
                          <a:xfrm>
                            <a:off x="0" y="0"/>
                            <a:ext cx="861695" cy="798195"/>
                          </a:xfrm>
                          <a:prstGeom prst="rect">
                            <a:avLst/>
                          </a:prstGeom>
                          <a:noFill/>
                          <a:ln>
                            <a:noFill/>
                          </a:ln>
                        </pic:spPr>
                      </pic:pic>
                    </a:graphicData>
                  </a:graphic>
                </wp:anchor>
              </w:drawing>
            </w:r>
          </w:p>
        </w:tc>
        <w:tc>
          <w:tcPr>
            <w:tcW w:w="5318" w:type="dxa"/>
            <w:tcBorders>
              <w:top w:val="nil"/>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1.显示器：32寸高清触控屏+LED视窗，分辨率：不小于1920*1080；双屏显示；Android 8.0 以上，搭载智能场馆SAAS系统。</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2.32寸高清触控屏具有运动排行榜功能、跑步课程选择、实景跑功能、马拉松跑、竞赛跑、手机投屏功能，可使用微信扫描二维码快速注册运动账户，储存、分享运动数据、定制运动课程。</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3.32寸高清触控屏具有控制速度、坡度及设置锻炼时长等功能,</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4.马达功率：3000W,AC8HP（峰值）</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5.扬升范围：0-20%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6.速度范围：0.5-25（km/h）</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7.跑步面积：1650*600（mm）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8.减震系统：弹性跑板+多点橡胶双重缓冲减震系统</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9.跑步带：3.2mm预润跑带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10.最大承重：200kg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11.器材重量：≥净重265kg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12.占地尺寸：2280*945*1500（mm)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13.5秒便捷开启马达盖，维护保养更便捷</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14.铝合金安全踏板，橡胶触点防滑设计</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15.360°全方位运行警示灯</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16.环保节能设计，无人使用的状态下自动停止。</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17.心率监测：手握心率及POLAR无线心率监测系统配备心率带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18.场景选择：跑道模式、地图模式及多种实景模式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19.润滑系统：便捷上油润滑系统</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20.环保节能：环保节能设计，无人使用的状态下自动停止</w:t>
            </w:r>
          </w:p>
        </w:tc>
        <w:tc>
          <w:tcPr>
            <w:tcW w:w="700" w:type="dxa"/>
            <w:tcBorders>
              <w:top w:val="nil"/>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757" w:type="dxa"/>
            <w:tcBorders>
              <w:top w:val="nil"/>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91</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椭圆机</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12700</wp:posOffset>
                  </wp:positionH>
                  <wp:positionV relativeFrom="paragraph">
                    <wp:posOffset>810260</wp:posOffset>
                  </wp:positionV>
                  <wp:extent cx="974090" cy="904240"/>
                  <wp:effectExtent l="0" t="0" r="3810" b="10160"/>
                  <wp:wrapNone/>
                  <wp:docPr id="106" name="图片 91"/>
                  <wp:cNvGraphicFramePr/>
                  <a:graphic xmlns:a="http://schemas.openxmlformats.org/drawingml/2006/main">
                    <a:graphicData uri="http://schemas.openxmlformats.org/drawingml/2006/picture">
                      <pic:pic xmlns:pic="http://schemas.openxmlformats.org/drawingml/2006/picture">
                        <pic:nvPicPr>
                          <pic:cNvPr id="106" name="图片 91"/>
                          <pic:cNvPicPr/>
                        </pic:nvPicPr>
                        <pic:blipFill>
                          <a:blip r:embed="rId108"/>
                          <a:stretch>
                            <a:fillRect/>
                          </a:stretch>
                        </pic:blipFill>
                        <pic:spPr>
                          <a:xfrm>
                            <a:off x="0" y="0"/>
                            <a:ext cx="974090" cy="90424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1、显示屏:15.6寸液晶触控屏，分辨率：不小于1920*1080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2、步幅长度:590mm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3、程序设定:系统内置时间倒计、距离倒计、热量倒计3个倒计程序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4、阻力系统:电磁阻力调节系统 1-20级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5、程序选择:系统内置固定程序6个，用户程序3个;用户可根据自身体质，设定专属程序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6、坡度范围：电动坡度 0-20级(15-32°)</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7、磁阻保护功能:无负载时180秒自动进入待机状态，保护磁阻电机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8、计步功能:系统自动统计运动步数，及步频数据显示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9、免维护系统:故障自检系统，机器发生故障时自动显示故障代码</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10、娱乐功能：蓝牙、USB、Wifi连接音视频播放功能</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11、标配功能：蓝牙音乐播放、无线充电、手握心率、USB充电</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12、飞轮重量：15kg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13、轨道调节：不锈钢四轨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14、占地面积：2212*726*1785mm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15、最大承重：180kg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16、净重：≥167kg 。</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92</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卧式健身车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33020</wp:posOffset>
                  </wp:positionH>
                  <wp:positionV relativeFrom="paragraph">
                    <wp:posOffset>1102995</wp:posOffset>
                  </wp:positionV>
                  <wp:extent cx="930275" cy="843280"/>
                  <wp:effectExtent l="0" t="0" r="9525" b="7620"/>
                  <wp:wrapNone/>
                  <wp:docPr id="116" name="图片 92"/>
                  <wp:cNvGraphicFramePr/>
                  <a:graphic xmlns:a="http://schemas.openxmlformats.org/drawingml/2006/main">
                    <a:graphicData uri="http://schemas.openxmlformats.org/drawingml/2006/picture">
                      <pic:pic xmlns:pic="http://schemas.openxmlformats.org/drawingml/2006/picture">
                        <pic:nvPicPr>
                          <pic:cNvPr id="116" name="图片 92"/>
                          <pic:cNvPicPr/>
                        </pic:nvPicPr>
                        <pic:blipFill>
                          <a:blip r:embed="rId109"/>
                          <a:stretch>
                            <a:fillRect/>
                          </a:stretch>
                        </pic:blipFill>
                        <pic:spPr>
                          <a:xfrm>
                            <a:off x="0" y="0"/>
                            <a:ext cx="930275" cy="84328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·屏幕：15.6寸触屏，分辨率：不小于1920*1080</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·仪表功能：3个手动程序、6个预设程序（登山、燃脂、心肺、力量、间歇）、3个用户程序；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·座椅：110度斜靠背座椅可调整前后位置；</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·机身特点：免跨越式设计；</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·阻力系统：自发电磁阻，1-20段；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·飞轮重量:15kg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·手握心率:有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·音响:有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·组装尺寸：1720*750*1420mm；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·净重：115kg。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·最大载重：150KG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产品特点：</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·免跨越式设计，方便上机，提升安全；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·可调式高椅背，给上半身完整支撑力；</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·可调式弹性坐垫，运动更舒适耐久；</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·高规格15公斤磁控飞轮，顺畅稳定；</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·1-20段阻力。</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93</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坐姿推胸训练器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202565</wp:posOffset>
                  </wp:positionH>
                  <wp:positionV relativeFrom="paragraph">
                    <wp:posOffset>467995</wp:posOffset>
                  </wp:positionV>
                  <wp:extent cx="603250" cy="819785"/>
                  <wp:effectExtent l="0" t="0" r="6350" b="5715"/>
                  <wp:wrapNone/>
                  <wp:docPr id="99" name="图片 93"/>
                  <wp:cNvGraphicFramePr/>
                  <a:graphic xmlns:a="http://schemas.openxmlformats.org/drawingml/2006/main">
                    <a:graphicData uri="http://schemas.openxmlformats.org/drawingml/2006/picture">
                      <pic:pic xmlns:pic="http://schemas.openxmlformats.org/drawingml/2006/picture">
                        <pic:nvPicPr>
                          <pic:cNvPr id="99" name="图片 93"/>
                          <pic:cNvPicPr/>
                        </pic:nvPicPr>
                        <pic:blipFill>
                          <a:blip r:embed="rId110"/>
                          <a:stretch>
                            <a:fillRect/>
                          </a:stretch>
                        </pic:blipFill>
                        <pic:spPr>
                          <a:xfrm>
                            <a:off x="0" y="0"/>
                            <a:ext cx="603250" cy="81978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产品描述：</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主要锻炼胸大肌群。锻炼者在选择合适重量后，通过推动把手，使胸部与手臂得到有效锻炼。</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产品参数：</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·管材规格：主体框架管材采用3mm厚度的50mm*100mm矩形钢管和50mm*100mm椭圆形钢管，门框立杆采用φ114*3mm和50*100*3mm型管；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·烤漆工艺：浸泡式前处理工艺，全表面磷化膜，静电粉末喷涂；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·座、靠垫：高密度PU发泡材料，1.2mm厚皮革，颜色可选；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·钢索：采用自润滑φ4.8mm钢索，钢索内为“7股19线”；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·环保材料：座靠垫、把手套等与人体接触部件制作原材料均无毒、无异味，通过PAHs检验，环保材料认证；</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·导杆：φ20mm钢制实心导杆，经过防腐蚀镀层和抛光处理，保证运行顺滑、防止锈蚀；</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·配重：采用优质配重片（25.4mm高品质钢材）及强磁自吸式配重插销；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·训练指南/警示贴：人物效果立体感强，产品上张贴功能说明和使用指南，注意事项和安全警示贴纸，内容详实；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·护罩：前后护罩均采用封闭式金属护罩，扣挂式设计，安装维护更加简易；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·把手：把手套采用高强度TPR材料，与基材结合紧密，无相对转动，把手套顶端采用铝合金件固定；</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·滑轮：采用高强度POM赛钢材质，并且配有安全护罩；</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·不锈钢件：所有螺栓、坐靠垫滑动部分使用不锈钢材料制作；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·转轴结构：φ25mm不锈钢实心轴配合密封轴承结构设计；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·置物架：门框顶端装有超大存放处，可放置水杯、手机、钥匙杂物等；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·调节部分：半自动及滑动式座垫和背垫调节，座垫7档可调，靠垫4档可调；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·运动轨迹：分动式运动轨迹，可做单臂，单动训练；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·占地面积：1555mm*985mm*1815mm；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·器材重量：≥182kg；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·配重重量：标准配重≥54kg。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94</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坐姿推肩训练器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87630</wp:posOffset>
                  </wp:positionH>
                  <wp:positionV relativeFrom="paragraph">
                    <wp:posOffset>334645</wp:posOffset>
                  </wp:positionV>
                  <wp:extent cx="860425" cy="859790"/>
                  <wp:effectExtent l="0" t="0" r="3175" b="3810"/>
                  <wp:wrapNone/>
                  <wp:docPr id="16" name="图片 94"/>
                  <wp:cNvGraphicFramePr/>
                  <a:graphic xmlns:a="http://schemas.openxmlformats.org/drawingml/2006/main">
                    <a:graphicData uri="http://schemas.openxmlformats.org/drawingml/2006/picture">
                      <pic:pic xmlns:pic="http://schemas.openxmlformats.org/drawingml/2006/picture">
                        <pic:nvPicPr>
                          <pic:cNvPr id="16" name="图片 94"/>
                          <pic:cNvPicPr/>
                        </pic:nvPicPr>
                        <pic:blipFill>
                          <a:blip r:embed="rId111"/>
                          <a:stretch>
                            <a:fillRect/>
                          </a:stretch>
                        </pic:blipFill>
                        <pic:spPr>
                          <a:xfrm>
                            <a:off x="0" y="0"/>
                            <a:ext cx="860425" cy="85979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·管材规格：主体框架管材采用3mm厚度的50mm*100mm矩形钢管和50mm*100mm椭圆形钢管，门框立杆采用φ114*3mm和50*100*3mm型管；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·烤漆工艺：浸泡式前处理工艺，全表面磷化膜，静电粉末喷涂；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·座、靠垫：高密度PU发泡材料，1.2mm厚优质皮革，颜色可选；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·钢索：采用自润滑φ4.8mm钢索，钢索内为“7股19线”；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·环保材料：座靠垫、把手套等与人体接触部件制作原材料均无毒、无异味；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·导杆：φ20mm钢制导杆，经过防腐蚀镀层和抛光处理，保证运行顺滑、防止锈蚀；</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·配重：采用优质配重片（25.4mm高品质钢材）及强磁自吸式配重插销；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·训练指南/警示贴：人物效果立体感强，产品上张贴功能说明和使用指南，注意事项和安全警示贴纸，内容详实；</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·护罩：前后护罩均采用封闭式金属护罩，扣挂式设计，安装维护更加简易；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·不锈钢件：所有标准件、调节贴片均使用不锈钢材料制作；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·滑轮：采用高强度POM赛钢材质，并且配有安全护罩；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·把手：把手套采用高强度TPR材料，与基材结合紧密，无相对转动，把手套顶端采用铝合金件固定；</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·转轴结构：高强度实心轴配合密封轴承结构设计；</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·置物架：门框顶端装有超大存放处，可放置水杯、手机、钥匙杂物等；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·调节部分：半自动及滑动式调节，座垫7档可调；</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·运动轨迹：分动式运动轨迹，双轴承设计，可单动训练；</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·占地面积：1707mm*1495mm*1470mm；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·器材重量：≥182kg；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·配重重量：标准配重≥54kg。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95</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大腿内外侧训练器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3810</wp:posOffset>
                  </wp:positionH>
                  <wp:positionV relativeFrom="paragraph">
                    <wp:posOffset>553720</wp:posOffset>
                  </wp:positionV>
                  <wp:extent cx="855980" cy="892175"/>
                  <wp:effectExtent l="0" t="0" r="7620" b="9525"/>
                  <wp:wrapNone/>
                  <wp:docPr id="29" name="图片 95"/>
                  <wp:cNvGraphicFramePr/>
                  <a:graphic xmlns:a="http://schemas.openxmlformats.org/drawingml/2006/main">
                    <a:graphicData uri="http://schemas.openxmlformats.org/drawingml/2006/picture">
                      <pic:pic xmlns:pic="http://schemas.openxmlformats.org/drawingml/2006/picture">
                        <pic:nvPicPr>
                          <pic:cNvPr id="29" name="图片 95"/>
                          <pic:cNvPicPr/>
                        </pic:nvPicPr>
                        <pic:blipFill>
                          <a:blip r:embed="rId112"/>
                          <a:stretch>
                            <a:fillRect/>
                          </a:stretch>
                        </pic:blipFill>
                        <pic:spPr>
                          <a:xfrm>
                            <a:off x="0" y="0"/>
                            <a:ext cx="855980" cy="8921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·管材规格：主体框架管材采用3mm厚度的50mm*100mm矩形钢管和50mm*100mm椭圆形钢管，门框立杆采用φ114*3mm和50*100*3mm型管；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·烤漆工艺：浸泡式前处理工艺，全表面磷化膜，静电粉末喷涂；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·座、靠、腿垫：高密度PU发泡材料，1.2mm厚优质皮革，颜色可选；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·钢索：采用自润滑φ4.8mm钢索，钢索内为“7股19线”；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·环保材料：座靠垫、把手套等与人体接触部件制作原材料均无毒、无异味；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·导杆：φ20mm钢制导杆，经过防腐蚀镀层和抛光处理，保证运行顺滑、防止锈蚀；</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·配重：采用优质配重片（25.4mm高品质钢材）及强磁自吸式配重插销；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·训练指南/警示贴：人物效果立体感强，产品上张贴功能说明和使用指南，注意事项和安全警示贴纸，内容详实；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·护罩：前后护罩均采用封闭式金属护罩，扣挂式设计，安装维护更加简易；</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·不锈钢件：所有标准件、调节贴片均使用不锈钢材料制作；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·滑轮：采用高强度POM赛钢材质，并且配有安全护罩；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·把手：把手套采用高强度TPR材料，与基材结合紧密，无相对转动，把手套顶端采用铝合金件固定；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·转轴结构：高强度实心轴配合密封轴承结构设计；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·置物架：门框顶端装有超大存放处，可放置水杯、手机、钥匙杂物等；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·调节方式：腿垫可6档调节，合理的调节结构使功能转换更加方便；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·占地面积：1617mm*677mm*1470mm；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·器材重量：≥190kg；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·配重重量：标准配重≥68kg。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96</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坐姿踢腿训练器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149860</wp:posOffset>
                  </wp:positionH>
                  <wp:positionV relativeFrom="paragraph">
                    <wp:posOffset>1678305</wp:posOffset>
                  </wp:positionV>
                  <wp:extent cx="721995" cy="923925"/>
                  <wp:effectExtent l="0" t="0" r="0" b="0"/>
                  <wp:wrapNone/>
                  <wp:docPr id="111" name="图片 96"/>
                  <wp:cNvGraphicFramePr/>
                  <a:graphic xmlns:a="http://schemas.openxmlformats.org/drawingml/2006/main">
                    <a:graphicData uri="http://schemas.openxmlformats.org/drawingml/2006/picture">
                      <pic:pic xmlns:pic="http://schemas.openxmlformats.org/drawingml/2006/picture">
                        <pic:nvPicPr>
                          <pic:cNvPr id="111" name="图片 96"/>
                          <pic:cNvPicPr/>
                        </pic:nvPicPr>
                        <pic:blipFill>
                          <a:blip r:embed="rId113"/>
                          <a:stretch>
                            <a:fillRect/>
                          </a:stretch>
                        </pic:blipFill>
                        <pic:spPr>
                          <a:xfrm>
                            <a:off x="0" y="0"/>
                            <a:ext cx="721995" cy="92392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·管材规格：主体框架管材采用3mm厚度的50mm*100mm矩形钢管和50mm*100mm椭圆形钢管，门框立杆采用φ114*3mm和50*100*3mm型管；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·烤漆工艺：浸泡式前处理工艺，全表面磷化膜，静电粉末喷涂；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·座、靠、圆垫：高密度PU发泡材料，1.2mm厚优质皮革，颜色可选；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·钢索：采用自润滑φ4.8mm钢索，钢索内为“7股19线”；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·环保材料：座靠垫、把手套等与人体接触部件制作原材料均无毒、无异味；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·导杆：φ20mm钢制导杆，经过防腐蚀镀层和抛光处理，保证运行顺滑、防止锈蚀；</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·配重：采用优质配重片（25.4mm高品质钢材）及强磁自吸式配重插销；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·训练指南/警示贴：人物效果立体感强，产品上张贴功能说明和使用指南，注意事项和安全警示贴纸，内容详实；</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·护罩：前后护罩均采用封闭式金属护罩，扣挂式设计，安装维护更加简易；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·不锈钢件：所有标准件、调节贴片均使用不锈钢材料制作；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·滑轮：采用高强度POM赛钢材质，并且配有安全护罩；</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·把手：把手套采用高强度TPR材料，与基材结合紧密，无相对转动，把手套顶端采用铝合金件固定；</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·转轴结构：高强度实心轴配合密封轴承结构设计；</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·置物架：门框顶端装有超大存放处，可放置水杯、手机、钥匙杂物等；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·调节部分：半自动及滑动式调节，腿垫4档可调，靠垫7档可调，自由腿垫设计；</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·运动轨迹：凸轮盘结构设计，使钢索受力更均匀；</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·占地面积：1475mm*1260mm*1470mm；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·器材重量：≥214kg；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·配重重量：标准配重≥86kg。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97</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夹胸、提肩训练器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38100</wp:posOffset>
                  </wp:positionH>
                  <wp:positionV relativeFrom="paragraph">
                    <wp:posOffset>259080</wp:posOffset>
                  </wp:positionV>
                  <wp:extent cx="720725" cy="899795"/>
                  <wp:effectExtent l="0" t="0" r="3175" b="1905"/>
                  <wp:wrapNone/>
                  <wp:docPr id="112" name="图片 97"/>
                  <wp:cNvGraphicFramePr/>
                  <a:graphic xmlns:a="http://schemas.openxmlformats.org/drawingml/2006/main">
                    <a:graphicData uri="http://schemas.openxmlformats.org/drawingml/2006/picture">
                      <pic:pic xmlns:pic="http://schemas.openxmlformats.org/drawingml/2006/picture">
                        <pic:nvPicPr>
                          <pic:cNvPr id="112" name="图片 97"/>
                          <pic:cNvPicPr/>
                        </pic:nvPicPr>
                        <pic:blipFill>
                          <a:blip r:embed="rId114"/>
                          <a:stretch>
                            <a:fillRect/>
                          </a:stretch>
                        </pic:blipFill>
                        <pic:spPr>
                          <a:xfrm>
                            <a:off x="0" y="0"/>
                            <a:ext cx="720725" cy="89979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·管材规格：主体框架管材采用3mm厚度的50mm*100mm矩形钢管和50mm*100mm椭圆形钢管，门框立杆采用φ114*3mm和50*100*3mm型管；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·烤漆工艺：浸泡式前处理工艺，全表面磷化膜，静电粉末喷涂；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·座、胸垫：高密度PU发泡材料，1.2mm厚优质皮革，颜色可选；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·钢索：采用自润滑φ4.8mm钢索，钢索内为“7股19线”；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·环保材料：座靠垫、把手套等与人体接触部件制作原材料均无毒、无异味；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·导杆：φ20mm钢制实心导杆，经过防腐蚀镀层和抛光处理，保证运行顺滑、防止锈蚀；</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·配重：采用优质配重片（25.4mm高品质钢材）及强磁自吸式配重插销；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·训练指南/警示贴：人物效果立体感强，产品上张贴功能说明和使用指南，注意事项和安全警示贴纸，内容详实；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·护罩：前后护罩均采用封闭式金属护罩，扣挂式设计，安装维护更加简易；</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·把手：把手套采用高强度TPR材料，与基材结合紧密，无相对转动，把手套顶端采用铝合金件固定；</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·不锈钢件：所有螺栓、调节片使用不锈钢材料制作；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·滑轮：采用高强度POM赛钢材质，并且配有安全护罩；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·转轴结构：φ25mm不锈钢实心轴配合密封轴承结构设计；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·置物架：门框顶端装有超大存放处，可放置水杯、手机、钥匙杂物等；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·调节部分：半自动及滑动式座垫和背垫调节，座垫上下9档调节；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·运动轨迹：分动式运动轨迹，可做单臂，单动训练；</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·占地面积：1530mm*710mm*1567mm；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·器材重量：≥179kg；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·配重重量：标准配重≥54kg。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98</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坐姿二头肌弯举训练器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125730</wp:posOffset>
                  </wp:positionH>
                  <wp:positionV relativeFrom="paragraph">
                    <wp:posOffset>1267460</wp:posOffset>
                  </wp:positionV>
                  <wp:extent cx="737235" cy="944245"/>
                  <wp:effectExtent l="0" t="0" r="12065" b="8255"/>
                  <wp:wrapNone/>
                  <wp:docPr id="27" name="图片_11"/>
                  <wp:cNvGraphicFramePr/>
                  <a:graphic xmlns:a="http://schemas.openxmlformats.org/drawingml/2006/main">
                    <a:graphicData uri="http://schemas.openxmlformats.org/drawingml/2006/picture">
                      <pic:pic xmlns:pic="http://schemas.openxmlformats.org/drawingml/2006/picture">
                        <pic:nvPicPr>
                          <pic:cNvPr id="27" name="图片_11"/>
                          <pic:cNvPicPr/>
                        </pic:nvPicPr>
                        <pic:blipFill>
                          <a:blip r:embed="rId115"/>
                          <a:stretch>
                            <a:fillRect/>
                          </a:stretch>
                        </pic:blipFill>
                        <pic:spPr>
                          <a:xfrm>
                            <a:off x="0" y="0"/>
                            <a:ext cx="737235" cy="94424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·管材规格：主体框架管材采用3mm厚度的50mm*100mm矩形钢管和50mm*100mm椭圆形钢管，门框立杆采用φ114*3mm和50*100*3mm型管；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·烤漆工艺：浸泡式前处理工艺，全表面磷化膜，静电粉末喷涂；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·座、肘垫：高密度PU发泡材料，1.2mm厚优质皮革，颜色可选；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·钢索：采用自润滑φ4.8mm钢索，钢索内为“7股19线”；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·环保材料：座靠垫、把手套等与人体接触部件制作原材料均无毒、无异味；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·导杆：φ20mm钢制导杆，经过防腐蚀镀层和抛光处理，保证运行顺滑、防止锈蚀；</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·配重：采用优质配重片（25.4mm高品质钢材）及强磁自吸式配重插销；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·训练指南/警示贴：人物效果立体感强，产品上张贴功能说明和使用指南，注意事项和安全警示贴纸，内容详实；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·护罩：前后护罩均采用封闭式金属护罩，扣挂式设计，安装维护更加简易；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·不锈钢件：所有标准件、调节贴片均使用不锈钢材料制作；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·滑轮：采用高强度POM赛钢材质，并且配有安全护罩；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·把手：把手套采用高强度TPR材料，与基材结合紧密，无相对转动，把手套顶端采用铝合金件固定；</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·转轴结构：高强度实心轴配合密封轴承结构设计；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·置物架：门框顶端装有超大存放处，可放置水杯、手机、钥匙杂物等；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·调节部分：半自动及滑动式调节,座垫7档可调；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·运动轨迹：凸轮盘结构设计，使钢索受力更均匀；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·占地面积：1255mm*1085mm*1470mm；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·器材重量：≥150kg；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·配重重量：标准配重≥54kg。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99</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商用综合训练器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41275</wp:posOffset>
                  </wp:positionH>
                  <wp:positionV relativeFrom="paragraph">
                    <wp:posOffset>551815</wp:posOffset>
                  </wp:positionV>
                  <wp:extent cx="837565" cy="699135"/>
                  <wp:effectExtent l="0" t="0" r="635" b="12065"/>
                  <wp:wrapNone/>
                  <wp:docPr id="102" name="图片 99"/>
                  <wp:cNvGraphicFramePr/>
                  <a:graphic xmlns:a="http://schemas.openxmlformats.org/drawingml/2006/main">
                    <a:graphicData uri="http://schemas.openxmlformats.org/drawingml/2006/picture">
                      <pic:pic xmlns:pic="http://schemas.openxmlformats.org/drawingml/2006/picture">
                        <pic:nvPicPr>
                          <pic:cNvPr id="102" name="图片 99"/>
                          <pic:cNvPicPr/>
                        </pic:nvPicPr>
                        <pic:blipFill>
                          <a:blip r:embed="rId116"/>
                          <a:stretch>
                            <a:fillRect/>
                          </a:stretch>
                        </pic:blipFill>
                        <pic:spPr>
                          <a:xfrm>
                            <a:off x="0" y="0"/>
                            <a:ext cx="837565" cy="69913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1.产品尺寸≥2610*2500*2220mm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2.主支架：φ95*2.5mm高强度高频焊圆钢管管材与φ75**3mm厚壁高强度高频焊矩阵钢管管材组合。</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3.所有螺栓采用不锈钢螺栓，保证连接稳固性以及整机的高强度。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4.按照运动学及人体力学进行设计和生产</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5.保护罩：配重块前后设有钢板安全保护罩</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6.配重块：150LB*2组，钢片配重</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7.产品净重≥420kg.                                           </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8.主要锻炼功能：哈克深蹲、推胸、蝴蝶夹胸、双杠、高拉、勾脚、俯身双臂上拉、悬垂举腿。                                       9.符合 GB17498-2008国家标准。</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100</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拉筋训练器</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38100</wp:posOffset>
                  </wp:positionH>
                  <wp:positionV relativeFrom="paragraph">
                    <wp:posOffset>481965</wp:posOffset>
                  </wp:positionV>
                  <wp:extent cx="835660" cy="739775"/>
                  <wp:effectExtent l="0" t="0" r="2540" b="9525"/>
                  <wp:wrapNone/>
                  <wp:docPr id="103" name="图片 100"/>
                  <wp:cNvGraphicFramePr/>
                  <a:graphic xmlns:a="http://schemas.openxmlformats.org/drawingml/2006/main">
                    <a:graphicData uri="http://schemas.openxmlformats.org/drawingml/2006/picture">
                      <pic:pic xmlns:pic="http://schemas.openxmlformats.org/drawingml/2006/picture">
                        <pic:nvPicPr>
                          <pic:cNvPr id="103" name="图片 100"/>
                          <pic:cNvPicPr/>
                        </pic:nvPicPr>
                        <pic:blipFill>
                          <a:blip r:embed="rId117"/>
                          <a:stretch>
                            <a:fillRect/>
                          </a:stretch>
                        </pic:blipFill>
                        <pic:spPr>
                          <a:xfrm>
                            <a:off x="0" y="0"/>
                            <a:ext cx="835660" cy="73977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1.外形尺寸：≥1505*790*1095mm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2.器材重量≥35kg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3.烤漆颜色;主架：银砂纹</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4.按照运动学及人体力学进行设计和生产</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5.主要训练功能：全身性骨骼肌肉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6.主架采用≥φ95*2.5mm高强度高频焊圆钢管管材与100*50*3mm厚壁高强度高频焊矩阵钢管管材组合。</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7.所有螺栓采用不锈钢螺栓，保证连接稳固性以及整机的高强度。                </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 符合 GB17498-2008国家标准。</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101</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动感单车</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22225</wp:posOffset>
                  </wp:positionH>
                  <wp:positionV relativeFrom="paragraph">
                    <wp:posOffset>404495</wp:posOffset>
                  </wp:positionV>
                  <wp:extent cx="835660" cy="944245"/>
                  <wp:effectExtent l="0" t="0" r="2540" b="8255"/>
                  <wp:wrapNone/>
                  <wp:docPr id="98" name="图片 101"/>
                  <wp:cNvGraphicFramePr/>
                  <a:graphic xmlns:a="http://schemas.openxmlformats.org/drawingml/2006/main">
                    <a:graphicData uri="http://schemas.openxmlformats.org/drawingml/2006/picture">
                      <pic:pic xmlns:pic="http://schemas.openxmlformats.org/drawingml/2006/picture">
                        <pic:nvPicPr>
                          <pic:cNvPr id="98" name="图片 101"/>
                          <pic:cNvPicPr/>
                        </pic:nvPicPr>
                        <pic:blipFill>
                          <a:blip r:embed="rId118"/>
                          <a:stretch>
                            <a:fillRect/>
                          </a:stretch>
                        </pic:blipFill>
                        <pic:spPr>
                          <a:xfrm>
                            <a:off x="0" y="0"/>
                            <a:ext cx="835660" cy="94424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1.车手：大弯把手，高档粗面料浸塑；</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2.前插管：铝合金，上下可调；</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3.阻力系统：超强磁控阻力，下压急停；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4.坐垫管：铝合金，上下前后可调节；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5.坐垫：高弹性黑坐垫；</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6.脚踏：商用台湾军典307轴承脚踏；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7.中轴直径≥30mm；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8.飞轮轴心：≥17mm；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9.飞轮：22kg磁控惯性飞轮；</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10.传动：工业等级用6KP弹性皮带；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11.水壶架：有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12.使用者最大承载：150KG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13.整机尺寸：≥1440*615*1330mm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14.净重/毛重：≥66.5KG/73KG  </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102</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腹肌板</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74295</wp:posOffset>
                  </wp:positionH>
                  <wp:positionV relativeFrom="paragraph">
                    <wp:posOffset>492125</wp:posOffset>
                  </wp:positionV>
                  <wp:extent cx="835660" cy="610870"/>
                  <wp:effectExtent l="0" t="0" r="2540" b="11430"/>
                  <wp:wrapNone/>
                  <wp:docPr id="104" name="图片 102"/>
                  <wp:cNvGraphicFramePr/>
                  <a:graphic xmlns:a="http://schemas.openxmlformats.org/drawingml/2006/main">
                    <a:graphicData uri="http://schemas.openxmlformats.org/drawingml/2006/picture">
                      <pic:pic xmlns:pic="http://schemas.openxmlformats.org/drawingml/2006/picture">
                        <pic:nvPicPr>
                          <pic:cNvPr id="104" name="图片 102"/>
                          <pic:cNvPicPr/>
                        </pic:nvPicPr>
                        <pic:blipFill>
                          <a:blip r:embed="rId119"/>
                          <a:stretch>
                            <a:fillRect/>
                          </a:stretch>
                        </pic:blipFill>
                        <pic:spPr>
                          <a:xfrm>
                            <a:off x="0" y="0"/>
                            <a:ext cx="835660" cy="6108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1、符合GB 17498-2008国家标准</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2、按照运动学及人体力学进行设计和生产</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3、主架使用φ76*2.5mm高强度高频焊圆钢管管材与50mm*100mm*3mm厚壁高强度高频焊矩形钢管管材组合</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4、热固性粉末静电喷涂工艺,器材表面色泽鲜艳, 光泽度高,具有很强的视觉冲击力, 耐潮湿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5、坐靠垫、把手套等通过ROSH、REACH等化学危险品检测认证</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6、多座垫及运动者接触部位使用多层PU皮革，磨损后可快速更换</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7、所有螺栓均采用不锈钢螺栓，保证连接的稳固性以及整机的高强度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8、调节滑动管经过镀铬工艺处理，滑动顺畅，美观大方</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9、软PVC脚套确保了器材的稳定性并有效的防止磨损地板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10、座靠垫角度可调节，可进行不同角度的训练</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11、配有辅助把手，方便使用者上下器材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12、外形尺寸(L*W*H)：≥ 1565*717*983mm</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13、净重：≥51kg。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103</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史密斯机</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100965</wp:posOffset>
                  </wp:positionH>
                  <wp:positionV relativeFrom="paragraph">
                    <wp:posOffset>879475</wp:posOffset>
                  </wp:positionV>
                  <wp:extent cx="840740" cy="895985"/>
                  <wp:effectExtent l="0" t="0" r="10160" b="5715"/>
                  <wp:wrapNone/>
                  <wp:docPr id="109" name="图片_100"/>
                  <wp:cNvGraphicFramePr/>
                  <a:graphic xmlns:a="http://schemas.openxmlformats.org/drawingml/2006/main">
                    <a:graphicData uri="http://schemas.openxmlformats.org/drawingml/2006/picture">
                      <pic:pic xmlns:pic="http://schemas.openxmlformats.org/drawingml/2006/picture">
                        <pic:nvPicPr>
                          <pic:cNvPr id="109" name="图片_100"/>
                          <pic:cNvPicPr/>
                        </pic:nvPicPr>
                        <pic:blipFill>
                          <a:blip r:embed="rId120"/>
                          <a:stretch>
                            <a:fillRect/>
                          </a:stretch>
                        </pic:blipFill>
                        <pic:spPr>
                          <a:xfrm>
                            <a:off x="0" y="0"/>
                            <a:ext cx="840740" cy="89598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1、符合GB17498-2008国家标准</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2、按照运动学及人体力学进行设计和生产</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3、主架使用φ95*2.5mm高强度高频焊圆钢管管材与140mm*70mm*4mm厚壁高强度高频焊矩形钢管管材组合</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4、热固性粉末静电喷涂工艺,器材表面色泽鲜艳, 光泽度高,具有很强的视觉冲击力, 耐潮湿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5、所有螺栓均采用不锈钢螺栓，保证连接的稳固性以及整机的高强度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6、软PVC脚套确保了器材的稳定性并有效的防止磨损地板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7、使用45#钢硬质镀铬Φ30实心导杆，部件滑动更加顺畅，减少摩擦系数，低噪音、无偏移</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8、标准件、轴类件均使用不锈钢材料制作</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9、放置杠铃片均采用高强度PP耐磨圆筒材质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10、直线运动部位采用原装进口超级静音直线轴承，以保证强度，降低噪声</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11、杠铃杆配有平衡装置，初始负载为2KG</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12、带有限位装置，防止意外伤害，可以做深蹲、抓举等诸多动作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13、外形尺寸(L*W*H)： 2165*1575*2390mm </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14、净重： 198kg。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104</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奥杆</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140970</wp:posOffset>
                  </wp:positionH>
                  <wp:positionV relativeFrom="paragraph">
                    <wp:posOffset>238760</wp:posOffset>
                  </wp:positionV>
                  <wp:extent cx="838835" cy="614680"/>
                  <wp:effectExtent l="0" t="0" r="12065" b="7620"/>
                  <wp:wrapNone/>
                  <wp:docPr id="100" name="图片 104"/>
                  <wp:cNvGraphicFramePr/>
                  <a:graphic xmlns:a="http://schemas.openxmlformats.org/drawingml/2006/main">
                    <a:graphicData uri="http://schemas.openxmlformats.org/drawingml/2006/picture">
                      <pic:pic xmlns:pic="http://schemas.openxmlformats.org/drawingml/2006/picture">
                        <pic:nvPicPr>
                          <pic:cNvPr id="100" name="图片 104"/>
                          <pic:cNvPicPr/>
                        </pic:nvPicPr>
                        <pic:blipFill>
                          <a:blip r:embed="rId121"/>
                          <a:stretch>
                            <a:fillRect/>
                          </a:stretch>
                        </pic:blipFill>
                        <pic:spPr>
                          <a:xfrm>
                            <a:off x="0" y="0"/>
                            <a:ext cx="838835" cy="61468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材质：优质A3钢，黄铜衬套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长度：2.2米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中间握杆直径：30mm                          </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两端套筒直径：50mm，配套大孔铃片</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105</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双层哑铃架</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22860</wp:posOffset>
                  </wp:positionH>
                  <wp:positionV relativeFrom="paragraph">
                    <wp:posOffset>502920</wp:posOffset>
                  </wp:positionV>
                  <wp:extent cx="934720" cy="550545"/>
                  <wp:effectExtent l="0" t="0" r="5080" b="8255"/>
                  <wp:wrapNone/>
                  <wp:docPr id="101" name="图片 105"/>
                  <wp:cNvGraphicFramePr/>
                  <a:graphic xmlns:a="http://schemas.openxmlformats.org/drawingml/2006/main">
                    <a:graphicData uri="http://schemas.openxmlformats.org/drawingml/2006/picture">
                      <pic:pic xmlns:pic="http://schemas.openxmlformats.org/drawingml/2006/picture">
                        <pic:nvPicPr>
                          <pic:cNvPr id="101" name="图片 105"/>
                          <pic:cNvPicPr/>
                        </pic:nvPicPr>
                        <pic:blipFill>
                          <a:blip r:embed="rId122"/>
                          <a:stretch>
                            <a:fillRect/>
                          </a:stretch>
                        </pic:blipFill>
                        <pic:spPr>
                          <a:xfrm>
                            <a:off x="0" y="0"/>
                            <a:ext cx="934720" cy="55054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1.按照运动学及人体力学进行设计和生产；</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2.强度高频焊矩形钢管管材组合；</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3.热固性粉末静电喷涂工艺,器材表面色泽鲜艳, 光泽度高,具有很强的视觉冲击力, 耐潮湿；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4.塑料件、脚套等通过ROSH、REACH等化学危险品检测认证；</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5.所有螺栓均采用不锈钢螺栓，保证连接的稳固性以及整机的高强度；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6.软PVC脚套确保了器材的稳定性并有效的防止磨损地板；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7.可存放10副哑铃；</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8.哑铃放置托盘为塑料材质，有效保护哑铃并降低放置哑铃的噪声</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106</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哑铃</w:t>
            </w:r>
          </w:p>
          <w:p>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2.5-25KG,间隔2.5KG</w:t>
            </w:r>
          </w:p>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（10副，共计：275kg）</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43815</wp:posOffset>
                  </wp:positionH>
                  <wp:positionV relativeFrom="paragraph">
                    <wp:posOffset>57150</wp:posOffset>
                  </wp:positionV>
                  <wp:extent cx="870585" cy="811530"/>
                  <wp:effectExtent l="0" t="0" r="5715" b="1270"/>
                  <wp:wrapNone/>
                  <wp:docPr id="117" name="Picture_1719"/>
                  <wp:cNvGraphicFramePr/>
                  <a:graphic xmlns:a="http://schemas.openxmlformats.org/drawingml/2006/main">
                    <a:graphicData uri="http://schemas.openxmlformats.org/drawingml/2006/picture">
                      <pic:pic xmlns:pic="http://schemas.openxmlformats.org/drawingml/2006/picture">
                        <pic:nvPicPr>
                          <pic:cNvPr id="117" name="Picture_1719"/>
                          <pic:cNvPicPr/>
                        </pic:nvPicPr>
                        <pic:blipFill>
                          <a:blip r:embed="rId123"/>
                          <a:stretch>
                            <a:fillRect/>
                          </a:stretch>
                        </pic:blipFill>
                        <pic:spPr>
                          <a:xfrm>
                            <a:off x="0" y="0"/>
                            <a:ext cx="870585" cy="81153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新型环保哑铃容易护理与保养不易生锈；</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材质钢铁；</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防滑耐磨手感舒适；</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做工精细，轮廓分明，有质感；</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锻炼部位：肱三头肌，肱二头肌，斜方肌，三角肌腹肌，背肌，胸大肌，腰部，腿部，臀部肌肉等；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材质：橡胶；钢手柄 重量规格：2.5-25KG,间隔2.5KG</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（10副，共计：275kg）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275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107</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杠铃片</w:t>
            </w:r>
          </w:p>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（2.5\5\10\15\20KG，各2片，共计：105kg)</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89535</wp:posOffset>
                  </wp:positionH>
                  <wp:positionV relativeFrom="paragraph">
                    <wp:posOffset>258445</wp:posOffset>
                  </wp:positionV>
                  <wp:extent cx="764540" cy="767715"/>
                  <wp:effectExtent l="0" t="0" r="10160" b="6985"/>
                  <wp:wrapNone/>
                  <wp:docPr id="110" name="图片 107"/>
                  <wp:cNvGraphicFramePr/>
                  <a:graphic xmlns:a="http://schemas.openxmlformats.org/drawingml/2006/main">
                    <a:graphicData uri="http://schemas.openxmlformats.org/drawingml/2006/picture">
                      <pic:pic xmlns:pic="http://schemas.openxmlformats.org/drawingml/2006/picture">
                        <pic:nvPicPr>
                          <pic:cNvPr id="110" name="图片 107"/>
                          <pic:cNvPicPr/>
                        </pic:nvPicPr>
                        <pic:blipFill>
                          <a:blip r:embed="rId124"/>
                          <a:stretch>
                            <a:fillRect/>
                          </a:stretch>
                        </pic:blipFill>
                        <pic:spPr>
                          <a:xfrm>
                            <a:off x="0" y="0"/>
                            <a:ext cx="764540" cy="767715"/>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杠铃片</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（2.5\5\10\15\20KG，各2片，共计：105kg)</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105</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729"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108</w:t>
            </w:r>
          </w:p>
        </w:tc>
        <w:tc>
          <w:tcPr>
            <w:tcW w:w="943"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按摩椅</w:t>
            </w:r>
          </w:p>
        </w:tc>
        <w:tc>
          <w:tcPr>
            <w:tcW w:w="1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18415</wp:posOffset>
                  </wp:positionH>
                  <wp:positionV relativeFrom="paragraph">
                    <wp:posOffset>612775</wp:posOffset>
                  </wp:positionV>
                  <wp:extent cx="916305" cy="674370"/>
                  <wp:effectExtent l="0" t="0" r="10795" b="11430"/>
                  <wp:wrapNone/>
                  <wp:docPr id="107" name="图片 108"/>
                  <wp:cNvGraphicFramePr/>
                  <a:graphic xmlns:a="http://schemas.openxmlformats.org/drawingml/2006/main">
                    <a:graphicData uri="http://schemas.openxmlformats.org/drawingml/2006/picture">
                      <pic:pic xmlns:pic="http://schemas.openxmlformats.org/drawingml/2006/picture">
                        <pic:nvPicPr>
                          <pic:cNvPr id="107" name="图片 108"/>
                          <pic:cNvPicPr/>
                        </pic:nvPicPr>
                        <pic:blipFill>
                          <a:blip r:embed="rId125"/>
                          <a:stretch>
                            <a:fillRect/>
                          </a:stretch>
                        </pic:blipFill>
                        <pic:spPr>
                          <a:xfrm>
                            <a:off x="0" y="0"/>
                            <a:ext cx="916305" cy="674370"/>
                          </a:xfrm>
                          <a:prstGeom prst="rect">
                            <a:avLst/>
                          </a:prstGeom>
                          <a:noFill/>
                          <a:ln>
                            <a:noFill/>
                          </a:ln>
                        </pic:spPr>
                      </pic:pic>
                    </a:graphicData>
                  </a:graphic>
                </wp:anchor>
              </w:drawing>
            </w:r>
          </w:p>
        </w:tc>
        <w:tc>
          <w:tcPr>
            <w:tcW w:w="53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智能肩位检测机芯4轮机芯，肩颈按摩舒适度高</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长145cm*宽75cm*高118cm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电压100-240V</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功率220w</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超长＂L＂导轨;行程长度超过137cm;机械手从颈部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直接按摩到大腿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靠背24V炭纤维加热功能</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圈数检测电动缸实现零空间、零重力功能靠背架采用轨实现躺卧，有效延长电动缸寿命</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小腿部分采用无极双向伸缩;有效按摩小腿各个部位</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小腿采用两侧气压、中间操搓按摩</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足底封口，适合46码以内的足部，足部配置3组滚轮按摩</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肩部位置采用气压按摩，配置环绕音蓝牙音箱</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智能语音声控功能，可识别英语、中文、粤语、韩语、日语等</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24V安全电压;安全性，10A超大安全开关电源</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FT导航式手控器配置;12种自动按摩手法</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手控器、手机收纳设计，按摩时更方便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USB充电口设计，方便使用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LED意境灯设计，更能体验家的温馨</w:t>
            </w:r>
          </w:p>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10年耐水解PU、整体打包设计</w:t>
            </w:r>
          </w:p>
        </w:tc>
        <w:tc>
          <w:tcPr>
            <w:tcW w:w="7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75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r>
    </w:tbl>
    <w:p>
      <w:pPr>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注：</w:t>
      </w:r>
    </w:p>
    <w:p>
      <w:pPr>
        <w:spacing w:line="360" w:lineRule="auto"/>
        <w:ind w:firstLine="480" w:firstLineChars="200"/>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投</w:t>
      </w:r>
      <w:r>
        <w:rPr>
          <w:rFonts w:hint="eastAsia" w:ascii="仿宋" w:hAnsi="仿宋" w:eastAsia="仿宋" w:cs="仿宋"/>
          <w:color w:val="auto"/>
          <w:sz w:val="24"/>
          <w:szCs w:val="24"/>
          <w:highlight w:val="none"/>
          <w:u w:val="none"/>
        </w:rPr>
        <w:t>标人承担及负责招标文件对中标人要求的一切事宜及责任。包括货物的供货、安装、系统集成、调试、验收、培训、质保及售后服务等。</w:t>
      </w:r>
      <w:r>
        <w:rPr>
          <w:rFonts w:hint="eastAsia" w:ascii="仿宋" w:hAnsi="仿宋" w:eastAsia="仿宋" w:cs="仿宋"/>
          <w:bCs/>
          <w:color w:val="auto"/>
          <w:sz w:val="24"/>
          <w:szCs w:val="24"/>
          <w:highlight w:val="none"/>
          <w:lang w:eastAsia="zh-CN"/>
        </w:rPr>
        <w:t>投标文件中提供</w:t>
      </w:r>
      <w:r>
        <w:rPr>
          <w:rFonts w:hint="eastAsia" w:ascii="仿宋" w:hAnsi="仿宋" w:eastAsia="仿宋" w:cs="仿宋"/>
          <w:bCs/>
          <w:color w:val="auto"/>
          <w:sz w:val="24"/>
          <w:szCs w:val="24"/>
          <w:highlight w:val="none"/>
          <w:lang w:val="en-US" w:eastAsia="zh-CN"/>
        </w:rPr>
        <w:t>项目实施</w:t>
      </w:r>
      <w:r>
        <w:rPr>
          <w:rFonts w:hint="eastAsia" w:ascii="仿宋" w:hAnsi="仿宋" w:eastAsia="仿宋" w:cs="仿宋"/>
          <w:bCs/>
          <w:color w:val="auto"/>
          <w:sz w:val="24"/>
          <w:szCs w:val="24"/>
          <w:highlight w:val="none"/>
          <w:lang w:val="en-US"/>
        </w:rPr>
        <w:t>方案</w:t>
      </w:r>
      <w:r>
        <w:rPr>
          <w:rFonts w:hint="eastAsia" w:ascii="仿宋" w:hAnsi="仿宋" w:eastAsia="仿宋" w:cs="仿宋"/>
          <w:bCs/>
          <w:color w:val="auto"/>
          <w:sz w:val="24"/>
          <w:szCs w:val="24"/>
          <w:highlight w:val="none"/>
          <w:lang w:eastAsia="zh-CN"/>
        </w:rPr>
        <w:t>，方案内容</w:t>
      </w:r>
      <w:r>
        <w:rPr>
          <w:rFonts w:hint="eastAsia" w:ascii="仿宋" w:hAnsi="仿宋" w:eastAsia="仿宋" w:cs="仿宋"/>
          <w:bCs/>
          <w:color w:val="auto"/>
          <w:sz w:val="24"/>
          <w:szCs w:val="24"/>
          <w:highlight w:val="none"/>
          <w:lang w:val="en-US"/>
        </w:rPr>
        <w:t>包括供货组织方案、安装方案、计划安排和进度保证措施、验收方案等。</w:t>
      </w:r>
    </w:p>
    <w:p>
      <w:pPr>
        <w:spacing w:line="360" w:lineRule="auto"/>
        <w:ind w:firstLine="480" w:firstLineChars="200"/>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2</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本</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项目采购清单和参数要求</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提出的是基本技术要求，供应商应提供符合本技术要求和国家标准、行业标准的原厂商生产或授权生产的原装正品</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软件均要求为正版</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highlight w:val="none"/>
          <w:u w:val="none"/>
        </w:rPr>
        <w:t>所投产品若按国家规定必须具有3C认证的，厂家必须进行3C认证，供货时提供，否则视为不合格产品，招标人可以无条件退货，所造成的损失由中标单位承担。</w:t>
      </w:r>
    </w:p>
    <w:p>
      <w:pPr>
        <w:spacing w:line="360" w:lineRule="auto"/>
        <w:ind w:firstLine="480" w:firstLineChars="200"/>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3</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项目采购清单和参数要求</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中所列的产品尺寸规格是由学校根据自身场地条件测算，</w:t>
      </w:r>
      <w:r>
        <w:rPr>
          <w:rFonts w:hint="eastAsia" w:ascii="仿宋" w:hAnsi="仿宋" w:eastAsia="仿宋" w:cs="仿宋"/>
          <w:color w:val="auto"/>
          <w:sz w:val="24"/>
          <w:szCs w:val="24"/>
          <w:highlight w:val="none"/>
          <w:u w:val="none"/>
          <w:lang w:val="en-US" w:eastAsia="zh-CN"/>
        </w:rPr>
        <w:t>供应商</w:t>
      </w:r>
      <w:r>
        <w:rPr>
          <w:rFonts w:hint="eastAsia" w:ascii="仿宋" w:hAnsi="仿宋" w:eastAsia="仿宋" w:cs="仿宋"/>
          <w:color w:val="auto"/>
          <w:sz w:val="24"/>
          <w:szCs w:val="24"/>
          <w:highlight w:val="none"/>
          <w:u w:val="none"/>
        </w:rPr>
        <w:t>应尽可能的选择符合需求学校要求的尺寸的产品参加投标，在不影响安装、整体美观度以及实际使用功能的前提下，允许存在合理的尺寸偏差。同时，供应商应无条件接受，采购人提出的因场地原因造成的部分产品尺寸的细微调整，产生的费用计入</w:t>
      </w:r>
      <w:r>
        <w:rPr>
          <w:rFonts w:hint="eastAsia" w:ascii="仿宋" w:hAnsi="仿宋" w:eastAsia="仿宋" w:cs="仿宋"/>
          <w:color w:val="auto"/>
          <w:sz w:val="24"/>
          <w:szCs w:val="24"/>
          <w:highlight w:val="none"/>
          <w:u w:val="none"/>
          <w:lang w:val="en-US" w:eastAsia="zh-CN"/>
        </w:rPr>
        <w:t>本次</w:t>
      </w:r>
      <w:r>
        <w:rPr>
          <w:rFonts w:hint="eastAsia" w:ascii="仿宋" w:hAnsi="仿宋" w:eastAsia="仿宋" w:cs="仿宋"/>
          <w:color w:val="auto"/>
          <w:sz w:val="24"/>
          <w:szCs w:val="24"/>
          <w:highlight w:val="none"/>
          <w:u w:val="none"/>
        </w:rPr>
        <w:t>投标</w:t>
      </w:r>
      <w:r>
        <w:rPr>
          <w:rFonts w:hint="eastAsia" w:ascii="仿宋" w:hAnsi="仿宋" w:eastAsia="仿宋" w:cs="仿宋"/>
          <w:color w:val="auto"/>
          <w:sz w:val="24"/>
          <w:szCs w:val="24"/>
          <w:highlight w:val="none"/>
          <w:u w:val="none"/>
          <w:lang w:val="en-US" w:eastAsia="zh-CN"/>
        </w:rPr>
        <w:t>报</w:t>
      </w:r>
      <w:r>
        <w:rPr>
          <w:rFonts w:hint="eastAsia" w:ascii="仿宋" w:hAnsi="仿宋" w:eastAsia="仿宋" w:cs="仿宋"/>
          <w:color w:val="auto"/>
          <w:sz w:val="24"/>
          <w:szCs w:val="24"/>
          <w:highlight w:val="none"/>
          <w:u w:val="none"/>
        </w:rPr>
        <w:t>价。</w:t>
      </w:r>
    </w:p>
    <w:p>
      <w:pPr>
        <w:spacing w:line="360" w:lineRule="auto"/>
        <w:ind w:firstLine="480" w:firstLineChars="200"/>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4</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所投产品需为原厂全新产品，未曾开箱使用，所投产品及主要部件均须非停产设备，并提供备件、附件和耗材的供应</w:t>
      </w:r>
      <w:r>
        <w:rPr>
          <w:rFonts w:hint="eastAsia" w:ascii="仿宋" w:hAnsi="仿宋" w:eastAsia="仿宋" w:cs="仿宋"/>
          <w:color w:val="auto"/>
          <w:sz w:val="24"/>
          <w:szCs w:val="24"/>
          <w:highlight w:val="none"/>
          <w:u w:val="none"/>
          <w:lang w:eastAsia="zh-CN"/>
        </w:rPr>
        <w:t>。</w:t>
      </w:r>
    </w:p>
    <w:p>
      <w:pPr>
        <w:spacing w:line="360" w:lineRule="auto"/>
        <w:ind w:firstLine="480" w:firstLineChars="200"/>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5</w:t>
      </w:r>
      <w:r>
        <w:rPr>
          <w:rFonts w:hint="eastAsia" w:ascii="仿宋" w:hAnsi="仿宋" w:eastAsia="仿宋" w:cs="仿宋"/>
          <w:color w:val="auto"/>
          <w:sz w:val="24"/>
          <w:szCs w:val="24"/>
          <w:highlight w:val="none"/>
          <w:u w:val="none"/>
          <w:lang w:eastAsia="zh-CN"/>
        </w:rPr>
        <w:t>）</w:t>
      </w:r>
      <w:r>
        <w:rPr>
          <w:rFonts w:hint="eastAsia" w:ascii="仿宋" w:hAnsi="仿宋" w:eastAsia="仿宋" w:cs="仿宋"/>
          <w:b w:val="0"/>
          <w:bCs/>
          <w:color w:val="auto"/>
          <w:kern w:val="0"/>
          <w:sz w:val="24"/>
          <w:highlight w:val="none"/>
          <w:em w:val="dot"/>
          <w:lang w:val="zh-CN"/>
        </w:rPr>
        <w:t>供应商须逐条逐项做出响应，明确所投产品的品牌，并提供</w:t>
      </w:r>
      <w:r>
        <w:rPr>
          <w:rFonts w:hint="eastAsia" w:ascii="仿宋" w:hAnsi="仿宋" w:eastAsia="仿宋" w:cs="仿宋"/>
          <w:b w:val="0"/>
          <w:bCs/>
          <w:color w:val="auto"/>
          <w:kern w:val="0"/>
          <w:sz w:val="24"/>
          <w:highlight w:val="none"/>
          <w:em w:val="dot"/>
        </w:rPr>
        <w:t>技术</w:t>
      </w:r>
      <w:r>
        <w:rPr>
          <w:rFonts w:hint="eastAsia" w:ascii="仿宋" w:hAnsi="仿宋" w:eastAsia="仿宋" w:cs="仿宋"/>
          <w:b w:val="0"/>
          <w:bCs/>
          <w:color w:val="auto"/>
          <w:kern w:val="0"/>
          <w:sz w:val="24"/>
          <w:highlight w:val="none"/>
          <w:em w:val="dot"/>
          <w:lang w:val="zh-CN"/>
        </w:rPr>
        <w:t>偏离表</w:t>
      </w:r>
      <w:r>
        <w:rPr>
          <w:rFonts w:hint="eastAsia" w:ascii="仿宋" w:hAnsi="仿宋" w:eastAsia="仿宋" w:cs="仿宋"/>
          <w:b w:val="0"/>
          <w:bCs/>
          <w:color w:val="auto"/>
          <w:kern w:val="0"/>
          <w:sz w:val="24"/>
          <w:highlight w:val="none"/>
          <w:lang w:val="zh-CN"/>
        </w:rPr>
        <w:t>。</w:t>
      </w:r>
      <w:r>
        <w:rPr>
          <w:rFonts w:hint="eastAsia" w:ascii="仿宋" w:hAnsi="仿宋" w:eastAsia="仿宋" w:cs="仿宋"/>
          <w:color w:val="auto"/>
          <w:sz w:val="24"/>
          <w:szCs w:val="24"/>
          <w:highlight w:val="none"/>
          <w:u w:val="none"/>
        </w:rPr>
        <w:t>供应商</w:t>
      </w:r>
      <w:r>
        <w:rPr>
          <w:rFonts w:hint="eastAsia" w:ascii="仿宋" w:hAnsi="仿宋" w:eastAsia="仿宋" w:cs="仿宋"/>
          <w:color w:val="auto"/>
          <w:sz w:val="24"/>
          <w:szCs w:val="24"/>
          <w:highlight w:val="none"/>
          <w:u w:val="none"/>
          <w:lang w:eastAsia="zh-CN"/>
        </w:rPr>
        <w:t>投标</w:t>
      </w:r>
      <w:r>
        <w:rPr>
          <w:rFonts w:hint="eastAsia" w:ascii="仿宋" w:hAnsi="仿宋" w:eastAsia="仿宋" w:cs="仿宋"/>
          <w:color w:val="auto"/>
          <w:sz w:val="24"/>
          <w:szCs w:val="24"/>
          <w:highlight w:val="none"/>
          <w:u w:val="none"/>
        </w:rPr>
        <w:t>产品与</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项目采购清单和参数要求</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不一致时，供应商应在投标文件中予以说明。如供应商没有在投标文件中提出</w:t>
      </w:r>
      <w:r>
        <w:rPr>
          <w:rFonts w:hint="eastAsia" w:ascii="仿宋" w:hAnsi="仿宋" w:eastAsia="仿宋" w:cs="仿宋"/>
          <w:color w:val="auto"/>
          <w:sz w:val="24"/>
          <w:szCs w:val="24"/>
          <w:highlight w:val="none"/>
          <w:u w:val="none"/>
          <w:lang w:eastAsia="zh-CN"/>
        </w:rPr>
        <w:t>负偏离</w:t>
      </w:r>
      <w:r>
        <w:rPr>
          <w:rFonts w:hint="eastAsia" w:ascii="仿宋" w:hAnsi="仿宋" w:eastAsia="仿宋" w:cs="仿宋"/>
          <w:color w:val="auto"/>
          <w:sz w:val="24"/>
          <w:szCs w:val="24"/>
          <w:highlight w:val="none"/>
          <w:u w:val="none"/>
        </w:rPr>
        <w:t>，则视为供应商提供的产品完全按照本招标文件要求。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6</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highlight w:val="none"/>
          <w:u w:val="none"/>
        </w:rPr>
        <w:t>供应商须对招标文件中涉及到的专利负责，并保证不伤害招标人的利益。在法律范围内，所有文字、商标和技术侵权造成的相关费用，招标人概不负责。</w:t>
      </w:r>
    </w:p>
    <w:p>
      <w:pPr>
        <w:spacing w:line="360" w:lineRule="auto"/>
        <w:ind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项目采购清单和参数要求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中</w:t>
      </w:r>
      <w:r>
        <w:rPr>
          <w:rFonts w:hint="eastAsia" w:ascii="仿宋" w:hAnsi="仿宋" w:eastAsia="仿宋" w:cs="仿宋"/>
          <w:color w:val="auto"/>
          <w:sz w:val="24"/>
          <w:szCs w:val="24"/>
          <w:highlight w:val="none"/>
          <w:lang w:val="en-US"/>
        </w:rPr>
        <w:t>未要求提供证明材料的以技术响应偏离表为准。若</w:t>
      </w:r>
      <w:r>
        <w:rPr>
          <w:rFonts w:hint="eastAsia" w:ascii="仿宋" w:hAnsi="仿宋" w:eastAsia="仿宋" w:cs="仿宋"/>
          <w:color w:val="auto"/>
          <w:sz w:val="24"/>
          <w:szCs w:val="24"/>
          <w:highlight w:val="none"/>
          <w:lang w:val="en-US" w:eastAsia="zh-CN"/>
        </w:rPr>
        <w:t>证明</w:t>
      </w:r>
      <w:r>
        <w:rPr>
          <w:rFonts w:hint="eastAsia" w:ascii="仿宋" w:hAnsi="仿宋" w:eastAsia="仿宋" w:cs="仿宋"/>
          <w:color w:val="auto"/>
          <w:sz w:val="24"/>
          <w:szCs w:val="24"/>
          <w:highlight w:val="none"/>
          <w:lang w:val="en-US"/>
        </w:rPr>
        <w:t>材料有矛盾或者前后不一致，优先按照产品检测报告、产品使用说明书、用户手册、技术指标彩页或制造商（厂家）官网截图先后</w:t>
      </w:r>
      <w:r>
        <w:rPr>
          <w:rFonts w:hint="eastAsia" w:ascii="仿宋" w:hAnsi="仿宋" w:eastAsia="仿宋" w:cs="仿宋"/>
          <w:color w:val="auto"/>
          <w:sz w:val="24"/>
          <w:szCs w:val="24"/>
          <w:highlight w:val="none"/>
          <w:lang w:val="en-US" w:eastAsia="zh-CN"/>
        </w:rPr>
        <w:t>顺序</w:t>
      </w:r>
      <w:r>
        <w:rPr>
          <w:rFonts w:hint="eastAsia" w:ascii="仿宋" w:hAnsi="仿宋" w:eastAsia="仿宋" w:cs="仿宋"/>
          <w:color w:val="auto"/>
          <w:sz w:val="24"/>
          <w:szCs w:val="24"/>
          <w:highlight w:val="none"/>
          <w:lang w:val="en-US"/>
        </w:rPr>
        <w:t>为准。</w:t>
      </w:r>
    </w:p>
    <w:p>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b/>
          <w:bCs/>
          <w:color w:val="auto"/>
          <w:sz w:val="24"/>
          <w:szCs w:val="24"/>
          <w:highlight w:val="none"/>
          <w:lang w:val="en-US" w:eastAsia="zh-CN"/>
        </w:rPr>
        <w:t>样品：提供《项目采购清单和参数要求》中第2项计时，二十四秒显示器、第4项篮球赛全队犯规器、第51项起跑器。</w:t>
      </w:r>
    </w:p>
    <w:p>
      <w:pPr>
        <w:spacing w:line="360" w:lineRule="auto"/>
        <w:ind w:firstLine="482" w:firstLineChars="200"/>
        <w:outlineLvl w:val="1"/>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四、</w:t>
      </w:r>
      <w:r>
        <w:rPr>
          <w:rFonts w:hint="eastAsia" w:ascii="仿宋" w:hAnsi="仿宋" w:eastAsia="仿宋" w:cs="仿宋"/>
          <w:b/>
          <w:bCs/>
          <w:color w:val="auto"/>
          <w:sz w:val="24"/>
          <w:highlight w:val="none"/>
          <w:lang w:eastAsia="zh-CN"/>
        </w:rPr>
        <w:t>其他要求</w:t>
      </w:r>
    </w:p>
    <w:p>
      <w:pPr>
        <w:spacing w:line="360" w:lineRule="auto"/>
        <w:ind w:firstLine="480" w:firstLineChars="200"/>
        <w:rPr>
          <w:rFonts w:hint="eastAsia" w:ascii="仿宋" w:hAnsi="仿宋" w:eastAsia="仿宋" w:cs="仿宋"/>
          <w:color w:val="auto"/>
          <w:sz w:val="24"/>
          <w:highlight w:val="none"/>
          <w:lang w:eastAsia="zh-CN" w:bidi="ar"/>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eastAsia="zh-CN" w:bidi="ar"/>
        </w:rPr>
        <w:t>交货要求</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（1）交货时间：合同签订次日起</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个日历日内完成生产、供货，接到甲方通知之日起10天完成安装</w:t>
      </w:r>
      <w:r>
        <w:rPr>
          <w:rFonts w:hint="eastAsia" w:ascii="仿宋" w:hAnsi="仿宋" w:eastAsia="仿宋" w:cs="仿宋"/>
          <w:color w:val="auto"/>
          <w:sz w:val="24"/>
          <w:highlight w:val="none"/>
          <w:lang w:val="en-US" w:eastAsia="zh-CN"/>
        </w:rPr>
        <w:t>及调试</w:t>
      </w:r>
      <w:r>
        <w:rPr>
          <w:rFonts w:hint="eastAsia" w:ascii="仿宋" w:hAnsi="仿宋" w:eastAsia="仿宋" w:cs="仿宋"/>
          <w:color w:val="auto"/>
          <w:sz w:val="24"/>
          <w:highlight w:val="none"/>
        </w:rPr>
        <w:t>，具体安装根据总包单位建设进度需求。</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根据建设进度需求，配合总包单位做好预埋件施工。</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（2）交货地点：采购人指定地址。</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2.技术资料</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2.1供应商</w:t>
      </w:r>
      <w:r>
        <w:rPr>
          <w:rFonts w:hint="eastAsia" w:ascii="仿宋" w:hAnsi="仿宋" w:eastAsia="仿宋" w:cs="仿宋"/>
          <w:color w:val="auto"/>
          <w:sz w:val="24"/>
          <w:highlight w:val="none"/>
        </w:rPr>
        <w:t>将所供货物的产品序列号、保修卡、合格证、测验报告等信息逐一进行登记，经</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人核对无误后加盖</w:t>
      </w:r>
      <w:r>
        <w:rPr>
          <w:rFonts w:hint="eastAsia" w:ascii="仿宋" w:hAnsi="仿宋" w:eastAsia="仿宋" w:cs="仿宋"/>
          <w:color w:val="auto"/>
          <w:sz w:val="24"/>
          <w:highlight w:val="none"/>
          <w:lang w:val="en-US" w:eastAsia="zh-CN"/>
        </w:rPr>
        <w:t>供应商单位公</w:t>
      </w:r>
      <w:r>
        <w:rPr>
          <w:rFonts w:hint="eastAsia" w:ascii="仿宋" w:hAnsi="仿宋" w:eastAsia="仿宋" w:cs="仿宋"/>
          <w:color w:val="auto"/>
          <w:sz w:val="24"/>
          <w:highlight w:val="none"/>
        </w:rPr>
        <w:t>章，交</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人保管备查。</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2.2供应商</w:t>
      </w:r>
      <w:r>
        <w:rPr>
          <w:rFonts w:hint="eastAsia" w:ascii="仿宋" w:hAnsi="仿宋" w:eastAsia="仿宋" w:cs="仿宋"/>
          <w:color w:val="auto"/>
          <w:sz w:val="24"/>
          <w:highlight w:val="none"/>
        </w:rPr>
        <w:t>提供的技术文件应是能满足所需的安装调试、操作使用及维护管理等所有设备的详细技术资料。</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rPr>
        <w:t>投标人提供的技术文件应该真实、全面、完整、详细，应以中文书写。</w:t>
      </w:r>
    </w:p>
    <w:p>
      <w:pPr>
        <w:spacing w:line="360" w:lineRule="auto"/>
        <w:ind w:firstLine="480" w:firstLineChars="200"/>
        <w:rPr>
          <w:rFonts w:hint="eastAsia" w:ascii="仿宋" w:hAnsi="仿宋" w:eastAsia="仿宋" w:cs="仿宋"/>
          <w:color w:val="auto"/>
          <w:sz w:val="24"/>
          <w:highlight w:val="none"/>
          <w:lang w:eastAsia="zh-CN" w:bidi="ar"/>
        </w:rPr>
      </w:pPr>
      <w:r>
        <w:rPr>
          <w:rFonts w:hint="eastAsia" w:ascii="仿宋" w:hAnsi="仿宋" w:eastAsia="仿宋" w:cs="仿宋"/>
          <w:color w:val="auto"/>
          <w:sz w:val="24"/>
          <w:highlight w:val="none"/>
          <w:lang w:val="en-US" w:eastAsia="zh-CN" w:bidi="ar"/>
        </w:rPr>
        <w:t>3.</w:t>
      </w:r>
      <w:r>
        <w:rPr>
          <w:rFonts w:hint="eastAsia" w:ascii="仿宋" w:hAnsi="仿宋" w:eastAsia="仿宋" w:cs="仿宋"/>
          <w:color w:val="auto"/>
          <w:sz w:val="24"/>
          <w:highlight w:val="none"/>
          <w:lang w:bidi="ar"/>
        </w:rPr>
        <w:t>安装、调试</w:t>
      </w:r>
      <w:r>
        <w:rPr>
          <w:rFonts w:hint="eastAsia" w:ascii="仿宋" w:hAnsi="仿宋" w:eastAsia="仿宋" w:cs="仿宋"/>
          <w:color w:val="auto"/>
          <w:sz w:val="24"/>
          <w:highlight w:val="none"/>
          <w:lang w:eastAsia="zh-CN" w:bidi="ar"/>
        </w:rPr>
        <w:t>、验收要求</w:t>
      </w:r>
    </w:p>
    <w:p>
      <w:pPr>
        <w:spacing w:line="360" w:lineRule="auto"/>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3.1供应商</w:t>
      </w:r>
      <w:r>
        <w:rPr>
          <w:rFonts w:hint="eastAsia" w:ascii="仿宋" w:hAnsi="仿宋" w:eastAsia="仿宋" w:cs="仿宋"/>
          <w:color w:val="auto"/>
          <w:sz w:val="24"/>
          <w:highlight w:val="none"/>
          <w:lang w:bidi="ar"/>
        </w:rPr>
        <w:t>负责所提供的设备的安装、调试，设备安装、调试所需的工具、仪表及安装材料等应由</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lang w:bidi="ar"/>
        </w:rPr>
        <w:t>自行解决。</w:t>
      </w:r>
    </w:p>
    <w:p>
      <w:pPr>
        <w:spacing w:line="360" w:lineRule="auto"/>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3.2</w:t>
      </w:r>
      <w:r>
        <w:rPr>
          <w:rFonts w:hint="eastAsia" w:ascii="仿宋" w:hAnsi="仿宋" w:eastAsia="仿宋" w:cs="仿宋"/>
          <w:color w:val="auto"/>
          <w:sz w:val="24"/>
          <w:highlight w:val="none"/>
          <w:lang w:eastAsia="zh-CN" w:bidi="ar"/>
        </w:rPr>
        <w:t>安装</w:t>
      </w:r>
      <w:r>
        <w:rPr>
          <w:rFonts w:hint="eastAsia" w:ascii="仿宋" w:hAnsi="仿宋" w:eastAsia="仿宋" w:cs="仿宋"/>
          <w:color w:val="auto"/>
          <w:sz w:val="24"/>
          <w:highlight w:val="none"/>
          <w:lang w:bidi="ar"/>
        </w:rPr>
        <w:t>过程中应科学、合理地掌握与其他工程界面的协调、交叉。为保证项目安全顺利完工，</w:t>
      </w:r>
      <w:r>
        <w:rPr>
          <w:rFonts w:hint="eastAsia" w:ascii="仿宋" w:hAnsi="仿宋" w:eastAsia="仿宋" w:cs="仿宋"/>
          <w:color w:val="auto"/>
          <w:sz w:val="24"/>
          <w:highlight w:val="none"/>
          <w:lang w:eastAsia="zh-CN" w:bidi="ar"/>
        </w:rPr>
        <w:t>招标人有权</w:t>
      </w:r>
      <w:r>
        <w:rPr>
          <w:rFonts w:hint="eastAsia" w:ascii="仿宋" w:hAnsi="仿宋" w:eastAsia="仿宋" w:cs="仿宋"/>
          <w:color w:val="auto"/>
          <w:sz w:val="24"/>
          <w:highlight w:val="none"/>
          <w:lang w:bidi="ar"/>
        </w:rPr>
        <w:t>将对所有投标设备及材料的材质、规格、安装等方面进行严格的监督审查，并加强现场管理，严格把好安全关、质量关、进度关，并且要求</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lang w:bidi="ar"/>
        </w:rPr>
        <w:t>必须派驻经验丰富的技术人员进行全面保障和全程管理，确保项目的顺利实施。</w:t>
      </w:r>
    </w:p>
    <w:p>
      <w:pPr>
        <w:spacing w:line="360" w:lineRule="auto"/>
        <w:ind w:firstLine="480" w:firstLineChars="200"/>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szCs w:val="24"/>
          <w:highlight w:val="none"/>
          <w:u w:val="none"/>
          <w:lang w:val="en-US" w:eastAsia="zh-CN"/>
        </w:rPr>
        <w:t>3.3</w:t>
      </w:r>
      <w:r>
        <w:rPr>
          <w:rFonts w:hint="eastAsia" w:ascii="仿宋" w:hAnsi="仿宋" w:eastAsia="仿宋" w:cs="仿宋"/>
          <w:color w:val="auto"/>
          <w:sz w:val="24"/>
          <w:highlight w:val="none"/>
          <w:u w:val="none"/>
        </w:rPr>
        <w:t>项目施工保证安全文明，施工中一切安全责任均由</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u w:val="none"/>
        </w:rPr>
        <w:t>负责。设备验收过程中，由于质量不合格或运输等原因所造成的一切费用均由</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u w:val="none"/>
        </w:rPr>
        <w:t>负责。</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eastAsia="zh-CN" w:bidi="ar"/>
        </w:rPr>
        <w:t>项目组</w:t>
      </w:r>
      <w:r>
        <w:rPr>
          <w:rFonts w:hint="eastAsia" w:ascii="仿宋" w:hAnsi="仿宋" w:eastAsia="仿宋" w:cs="仿宋"/>
          <w:color w:val="auto"/>
          <w:sz w:val="24"/>
          <w:szCs w:val="24"/>
          <w:highlight w:val="none"/>
          <w:lang w:bidi="ar"/>
        </w:rPr>
        <w:t>人员要求</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项目组人员</w:t>
      </w:r>
      <w:r>
        <w:rPr>
          <w:rFonts w:hint="eastAsia" w:ascii="仿宋" w:hAnsi="仿宋" w:eastAsia="仿宋" w:cs="仿宋"/>
          <w:color w:val="auto"/>
          <w:sz w:val="24"/>
          <w:szCs w:val="24"/>
          <w:highlight w:val="none"/>
          <w:lang w:val="en-US" w:eastAsia="zh-CN" w:bidi="ar"/>
        </w:rPr>
        <w:t>要求</w:t>
      </w:r>
      <w:r>
        <w:rPr>
          <w:rFonts w:hint="eastAsia" w:ascii="仿宋" w:hAnsi="仿宋" w:eastAsia="仿宋" w:cs="仿宋"/>
          <w:color w:val="auto"/>
          <w:sz w:val="24"/>
          <w:szCs w:val="24"/>
          <w:highlight w:val="none"/>
          <w:lang w:bidi="ar"/>
        </w:rPr>
        <w:t>配置合理、专业素质高、数量充足；项目</w:t>
      </w:r>
      <w:r>
        <w:rPr>
          <w:rFonts w:hint="eastAsia" w:ascii="仿宋" w:hAnsi="仿宋" w:eastAsia="仿宋" w:cs="仿宋"/>
          <w:color w:val="auto"/>
          <w:sz w:val="24"/>
          <w:szCs w:val="24"/>
          <w:highlight w:val="none"/>
          <w:lang w:val="en-US" w:eastAsia="zh-CN" w:bidi="ar"/>
        </w:rPr>
        <w:t>负责人</w:t>
      </w:r>
      <w:r>
        <w:rPr>
          <w:rFonts w:hint="eastAsia" w:ascii="仿宋" w:hAnsi="仿宋" w:eastAsia="仿宋" w:cs="仿宋"/>
          <w:color w:val="auto"/>
          <w:sz w:val="24"/>
          <w:szCs w:val="24"/>
          <w:highlight w:val="none"/>
          <w:lang w:bidi="ar"/>
        </w:rPr>
        <w:t>应拥有较强的项目管理能力和同类项目建设经验，项目成员也应具备一定的资质和能力，能够</w:t>
      </w:r>
      <w:r>
        <w:rPr>
          <w:rFonts w:hint="eastAsia" w:ascii="仿宋" w:hAnsi="仿宋" w:eastAsia="仿宋" w:cs="仿宋"/>
          <w:color w:val="auto"/>
          <w:sz w:val="24"/>
          <w:szCs w:val="24"/>
          <w:highlight w:val="none"/>
          <w:lang w:val="en-US" w:eastAsia="zh-CN" w:bidi="ar"/>
        </w:rPr>
        <w:t>保证</w:t>
      </w:r>
      <w:r>
        <w:rPr>
          <w:rFonts w:hint="eastAsia" w:ascii="仿宋" w:hAnsi="仿宋" w:eastAsia="仿宋" w:cs="仿宋"/>
          <w:color w:val="auto"/>
          <w:sz w:val="24"/>
          <w:szCs w:val="24"/>
          <w:highlight w:val="none"/>
          <w:lang w:bidi="ar"/>
        </w:rPr>
        <w:t>项目实施到位。</w:t>
      </w:r>
    </w:p>
    <w:p>
      <w:pPr>
        <w:spacing w:line="360" w:lineRule="auto"/>
        <w:ind w:firstLine="480" w:firstLineChars="200"/>
        <w:rPr>
          <w:rFonts w:hint="default"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5.采购人可组织专家组进行到货验收，依据招标文件、采购合同要求及投标文件的承诺对器材进行随机抽样检测，</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szCs w:val="24"/>
          <w:highlight w:val="none"/>
          <w:lang w:bidi="ar"/>
        </w:rPr>
        <w:t>承担检测费用</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检验合格后方可安装。</w:t>
      </w:r>
      <w:r>
        <w:rPr>
          <w:rFonts w:hint="eastAsia" w:ascii="仿宋" w:hAnsi="仿宋" w:eastAsia="仿宋" w:cs="仿宋"/>
          <w:color w:val="auto"/>
          <w:sz w:val="24"/>
          <w:szCs w:val="24"/>
          <w:highlight w:val="none"/>
          <w:lang w:val="en-US" w:eastAsia="zh-CN" w:bidi="ar"/>
        </w:rPr>
        <w:t>检测不合格的由</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szCs w:val="24"/>
          <w:highlight w:val="none"/>
          <w:lang w:val="en-US" w:eastAsia="zh-CN" w:bidi="ar"/>
        </w:rPr>
        <w:t>负责更换，</w:t>
      </w:r>
      <w:r>
        <w:rPr>
          <w:rFonts w:hint="eastAsia" w:ascii="仿宋" w:hAnsi="仿宋" w:eastAsia="仿宋" w:cs="仿宋"/>
          <w:color w:val="auto"/>
          <w:sz w:val="24"/>
          <w:szCs w:val="24"/>
          <w:highlight w:val="none"/>
          <w:lang w:bidi="ar"/>
        </w:rPr>
        <w:t>并承担相关费用</w:t>
      </w:r>
      <w:r>
        <w:rPr>
          <w:rFonts w:hint="eastAsia" w:ascii="仿宋" w:hAnsi="仿宋" w:eastAsia="仿宋" w:cs="仿宋"/>
          <w:color w:val="auto"/>
          <w:sz w:val="24"/>
          <w:szCs w:val="24"/>
          <w:highlight w:val="none"/>
          <w:lang w:val="en-US" w:eastAsia="zh-CN" w:bidi="ar"/>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培训要求</w:t>
      </w:r>
    </w:p>
    <w:p>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供应商应</w:t>
      </w:r>
      <w:r>
        <w:rPr>
          <w:rFonts w:hint="eastAsia" w:ascii="仿宋" w:hAnsi="仿宋" w:eastAsia="仿宋" w:cs="仿宋"/>
          <w:color w:val="auto"/>
          <w:sz w:val="24"/>
          <w:highlight w:val="none"/>
        </w:rPr>
        <w:t>提供至少</w:t>
      </w:r>
      <w:r>
        <w:rPr>
          <w:rFonts w:hint="eastAsia" w:ascii="仿宋" w:hAnsi="仿宋" w:eastAsia="仿宋" w:cs="仿宋"/>
          <w:color w:val="auto"/>
          <w:sz w:val="24"/>
          <w:highlight w:val="none"/>
          <w:lang w:val="en-US" w:eastAsia="zh-CN"/>
        </w:rPr>
        <w:t>对招标人</w:t>
      </w:r>
      <w:r>
        <w:rPr>
          <w:rFonts w:hint="eastAsia" w:ascii="仿宋" w:hAnsi="仿宋" w:eastAsia="仿宋" w:cs="仿宋"/>
          <w:color w:val="auto"/>
          <w:sz w:val="24"/>
          <w:highlight w:val="none"/>
        </w:rPr>
        <w:t>2名</w:t>
      </w:r>
      <w:r>
        <w:rPr>
          <w:rFonts w:hint="eastAsia" w:ascii="仿宋" w:hAnsi="仿宋" w:eastAsia="仿宋" w:cs="仿宋"/>
          <w:color w:val="auto"/>
          <w:sz w:val="24"/>
          <w:highlight w:val="none"/>
          <w:lang w:val="en-US" w:eastAsia="zh-CN"/>
        </w:rPr>
        <w:t>管理</w:t>
      </w:r>
      <w:r>
        <w:rPr>
          <w:rFonts w:hint="eastAsia" w:ascii="仿宋" w:hAnsi="仿宋" w:eastAsia="仿宋" w:cs="仿宋"/>
          <w:color w:val="auto"/>
          <w:sz w:val="24"/>
          <w:highlight w:val="none"/>
        </w:rPr>
        <w:t>人员</w:t>
      </w:r>
      <w:r>
        <w:rPr>
          <w:rFonts w:hint="eastAsia" w:ascii="仿宋" w:hAnsi="仿宋" w:eastAsia="仿宋" w:cs="仿宋"/>
          <w:color w:val="auto"/>
          <w:sz w:val="24"/>
          <w:highlight w:val="none"/>
          <w:lang w:val="en-US" w:eastAsia="zh-CN"/>
        </w:rPr>
        <w:t>进行</w:t>
      </w:r>
      <w:r>
        <w:rPr>
          <w:rFonts w:hint="eastAsia" w:ascii="仿宋" w:hAnsi="仿宋" w:eastAsia="仿宋" w:cs="仿宋"/>
          <w:color w:val="auto"/>
          <w:sz w:val="24"/>
          <w:highlight w:val="none"/>
        </w:rPr>
        <w:t>管理培训，相关费用包含在</w:t>
      </w:r>
      <w:r>
        <w:rPr>
          <w:rFonts w:hint="eastAsia" w:ascii="仿宋" w:hAnsi="仿宋" w:eastAsia="仿宋" w:cs="仿宋"/>
          <w:color w:val="auto"/>
          <w:sz w:val="24"/>
          <w:highlight w:val="none"/>
          <w:lang w:val="en-US" w:eastAsia="zh-CN"/>
        </w:rPr>
        <w:t>投标报</w:t>
      </w:r>
      <w:r>
        <w:rPr>
          <w:rFonts w:hint="eastAsia" w:ascii="仿宋" w:hAnsi="仿宋" w:eastAsia="仿宋" w:cs="仿宋"/>
          <w:color w:val="auto"/>
          <w:sz w:val="24"/>
          <w:highlight w:val="none"/>
        </w:rPr>
        <w:t>价中。投标人应</w:t>
      </w:r>
      <w:r>
        <w:rPr>
          <w:rFonts w:hint="eastAsia" w:ascii="仿宋" w:hAnsi="仿宋" w:eastAsia="仿宋" w:cs="仿宋"/>
          <w:color w:val="auto"/>
          <w:sz w:val="24"/>
          <w:highlight w:val="none"/>
          <w:lang w:val="en-US" w:eastAsia="zh-CN"/>
        </w:rPr>
        <w:t>在投标文件中</w:t>
      </w:r>
      <w:r>
        <w:rPr>
          <w:rFonts w:hint="eastAsia" w:ascii="仿宋" w:hAnsi="仿宋" w:eastAsia="仿宋" w:cs="仿宋"/>
          <w:color w:val="auto"/>
          <w:sz w:val="24"/>
          <w:highlight w:val="none"/>
        </w:rPr>
        <w:t>提供相应的培训计划，详细说明培训的方式、地点、人数、时间等实质性内容。</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质保及</w:t>
      </w:r>
      <w:r>
        <w:rPr>
          <w:rFonts w:hint="eastAsia" w:ascii="仿宋" w:hAnsi="仿宋" w:eastAsia="仿宋" w:cs="仿宋"/>
          <w:color w:val="auto"/>
          <w:sz w:val="24"/>
          <w:highlight w:val="none"/>
        </w:rPr>
        <w:t>售后服务要求</w:t>
      </w:r>
    </w:p>
    <w:p>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7.1</w:t>
      </w:r>
      <w:r>
        <w:rPr>
          <w:rFonts w:hint="eastAsia" w:ascii="仿宋" w:hAnsi="仿宋" w:eastAsia="仿宋" w:cs="仿宋"/>
          <w:color w:val="auto"/>
          <w:sz w:val="24"/>
          <w:highlight w:val="none"/>
        </w:rPr>
        <w:t>质保期：本项目所有产品质保期从</w:t>
      </w:r>
      <w:r>
        <w:rPr>
          <w:rFonts w:hint="eastAsia" w:ascii="仿宋" w:hAnsi="仿宋" w:eastAsia="仿宋" w:cs="仿宋"/>
          <w:color w:val="auto"/>
          <w:sz w:val="24"/>
          <w:highlight w:val="none"/>
          <w:lang w:eastAsia="zh-CN"/>
        </w:rPr>
        <w:t>终</w:t>
      </w:r>
      <w:r>
        <w:rPr>
          <w:rFonts w:hint="eastAsia" w:ascii="仿宋" w:hAnsi="仿宋" w:eastAsia="仿宋" w:cs="仿宋"/>
          <w:color w:val="auto"/>
          <w:sz w:val="24"/>
          <w:highlight w:val="none"/>
        </w:rPr>
        <w:t>验收合格之日起均需不少于</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rPr>
        <w:t>若原厂质保大于</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年的，以原厂质保期为准</w:t>
      </w:r>
      <w:r>
        <w:rPr>
          <w:rFonts w:hint="eastAsia" w:ascii="仿宋" w:hAnsi="仿宋" w:eastAsia="仿宋" w:cs="仿宋"/>
          <w:color w:val="auto"/>
          <w:sz w:val="24"/>
          <w:szCs w:val="24"/>
          <w:highlight w:val="none"/>
          <w:lang w:eastAsia="zh-CN"/>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szCs w:val="24"/>
          <w:highlight w:val="none"/>
          <w:lang w:eastAsia="zh-CN"/>
        </w:rPr>
        <w:t>在质保期内的工作应包括对所有设备常规检查、调整等。</w:t>
      </w:r>
      <w:r>
        <w:rPr>
          <w:rFonts w:hint="eastAsia" w:ascii="仿宋" w:hAnsi="仿宋" w:eastAsia="仿宋" w:cs="仿宋"/>
          <w:color w:val="auto"/>
          <w:sz w:val="24"/>
          <w:highlight w:val="none"/>
        </w:rPr>
        <w:t>质保期内的维修费用 (包括配件) 全部由</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负责，维修点需提供足够的</w:t>
      </w:r>
      <w:r>
        <w:rPr>
          <w:rFonts w:hint="eastAsia" w:ascii="仿宋" w:hAnsi="仿宋" w:eastAsia="仿宋" w:cs="仿宋"/>
          <w:color w:val="auto"/>
          <w:sz w:val="24"/>
          <w:highlight w:val="none"/>
          <w:lang w:val="en-US" w:eastAsia="zh-CN"/>
        </w:rPr>
        <w:t>备品</w:t>
      </w:r>
      <w:r>
        <w:rPr>
          <w:rFonts w:hint="eastAsia" w:ascii="仿宋" w:hAnsi="仿宋" w:eastAsia="仿宋" w:cs="仿宋"/>
          <w:color w:val="auto"/>
          <w:sz w:val="24"/>
          <w:highlight w:val="none"/>
        </w:rPr>
        <w:t>备件以适应维修需求。超过质保期的，</w:t>
      </w:r>
      <w:r>
        <w:rPr>
          <w:rFonts w:hint="eastAsia" w:ascii="仿宋" w:hAnsi="仿宋" w:eastAsia="仿宋" w:cs="仿宋"/>
          <w:color w:val="auto"/>
          <w:sz w:val="24"/>
          <w:highlight w:val="none"/>
          <w:lang w:eastAsia="zh-CN"/>
        </w:rPr>
        <w:t>须承诺</w:t>
      </w:r>
      <w:r>
        <w:rPr>
          <w:rFonts w:hint="eastAsia" w:ascii="仿宋" w:hAnsi="仿宋" w:eastAsia="仿宋" w:cs="仿宋"/>
          <w:color w:val="auto"/>
          <w:sz w:val="24"/>
          <w:highlight w:val="none"/>
        </w:rPr>
        <w:t>维修时只收部件成本费。</w:t>
      </w:r>
    </w:p>
    <w:p>
      <w:pPr>
        <w:spacing w:beforeLines="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7.3供应商应具提供网上报修平台和报修电话。</w:t>
      </w:r>
      <w:r>
        <w:rPr>
          <w:rFonts w:hint="eastAsia" w:ascii="仿宋" w:hAnsi="仿宋" w:eastAsia="仿宋" w:cs="仿宋"/>
          <w:color w:val="auto"/>
          <w:sz w:val="24"/>
          <w:highlight w:val="none"/>
        </w:rPr>
        <w:t>质保期内出现问题，2小时</w:t>
      </w:r>
      <w:r>
        <w:rPr>
          <w:rFonts w:hint="eastAsia" w:ascii="仿宋" w:hAnsi="仿宋" w:eastAsia="仿宋" w:cs="仿宋"/>
          <w:color w:val="auto"/>
          <w:sz w:val="24"/>
          <w:highlight w:val="none"/>
          <w:lang w:eastAsia="zh-CN"/>
        </w:rPr>
        <w:t>内</w:t>
      </w:r>
      <w:r>
        <w:rPr>
          <w:rFonts w:hint="eastAsia" w:ascii="仿宋" w:hAnsi="仿宋" w:eastAsia="仿宋" w:cs="仿宋"/>
          <w:color w:val="auto"/>
          <w:sz w:val="24"/>
          <w:highlight w:val="none"/>
        </w:rPr>
        <w:t>电话服务响应，4小时</w:t>
      </w:r>
      <w:r>
        <w:rPr>
          <w:rFonts w:hint="eastAsia" w:ascii="仿宋" w:hAnsi="仿宋" w:eastAsia="仿宋" w:cs="仿宋"/>
          <w:color w:val="auto"/>
          <w:sz w:val="24"/>
          <w:highlight w:val="none"/>
          <w:lang w:eastAsia="zh-CN"/>
        </w:rPr>
        <w:t>内</w:t>
      </w:r>
      <w:r>
        <w:rPr>
          <w:rFonts w:hint="eastAsia" w:ascii="仿宋" w:hAnsi="仿宋" w:eastAsia="仿宋" w:cs="仿宋"/>
          <w:color w:val="auto"/>
          <w:sz w:val="24"/>
          <w:highlight w:val="none"/>
        </w:rPr>
        <w:t>上门</w:t>
      </w:r>
      <w:r>
        <w:rPr>
          <w:rFonts w:hint="eastAsia" w:ascii="仿宋" w:hAnsi="仿宋" w:eastAsia="仿宋" w:cs="仿宋"/>
          <w:color w:val="auto"/>
          <w:sz w:val="24"/>
          <w:highlight w:val="none"/>
          <w:lang w:eastAsia="zh-CN"/>
        </w:rPr>
        <w:t>提供</w:t>
      </w:r>
      <w:r>
        <w:rPr>
          <w:rFonts w:hint="eastAsia" w:ascii="仿宋" w:hAnsi="仿宋" w:eastAsia="仿宋" w:cs="仿宋"/>
          <w:color w:val="auto"/>
          <w:sz w:val="24"/>
          <w:highlight w:val="none"/>
        </w:rPr>
        <w:t>技术服务，</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小时内恢复正常使用。若不能按期完成维修，需提供备品备件，确保设备设施正</w:t>
      </w:r>
      <w:r>
        <w:rPr>
          <w:rFonts w:hint="eastAsia" w:ascii="仿宋" w:hAnsi="仿宋" w:eastAsia="仿宋" w:cs="仿宋"/>
          <w:color w:val="auto"/>
          <w:sz w:val="24"/>
          <w:highlight w:val="none"/>
          <w:u w:val="none"/>
        </w:rPr>
        <w:t>常使用</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u w:val="none"/>
        </w:rPr>
        <w:t>相关费用由供应商承担。</w:t>
      </w:r>
      <w:r>
        <w:rPr>
          <w:rFonts w:hint="eastAsia" w:ascii="仿宋" w:hAnsi="仿宋" w:eastAsia="仿宋" w:cs="仿宋"/>
          <w:color w:val="auto"/>
          <w:sz w:val="24"/>
          <w:highlight w:val="none"/>
          <w:u w:val="none"/>
          <w:lang w:val="en-US" w:eastAsia="zh-CN"/>
        </w:rPr>
        <w:t>供应商应提供7*24小时电话技术支持。</w:t>
      </w:r>
    </w:p>
    <w:p>
      <w:pPr>
        <w:spacing w:beforeLines="0" w:line="360" w:lineRule="auto"/>
        <w:ind w:firstLine="480" w:firstLineChars="200"/>
        <w:rPr>
          <w:rFonts w:hint="eastAsia" w:ascii="仿宋" w:hAnsi="仿宋" w:eastAsia="仿宋" w:cs="仿宋"/>
          <w:b/>
          <w:bCs/>
          <w:color w:val="auto"/>
          <w:sz w:val="24"/>
          <w:highlight w:val="none"/>
          <w:lang w:eastAsia="zh-CN"/>
        </w:rPr>
      </w:pPr>
      <w:r>
        <w:rPr>
          <w:rFonts w:hint="eastAsia" w:ascii="仿宋" w:hAnsi="仿宋" w:eastAsia="仿宋" w:cs="仿宋"/>
          <w:color w:val="auto"/>
          <w:sz w:val="24"/>
          <w:highlight w:val="none"/>
          <w:lang w:val="en-US" w:eastAsia="zh-CN"/>
        </w:rPr>
        <w:t>7.4</w:t>
      </w:r>
      <w:r>
        <w:rPr>
          <w:rFonts w:hint="eastAsia" w:ascii="仿宋" w:hAnsi="仿宋" w:eastAsia="仿宋" w:cs="仿宋"/>
          <w:color w:val="auto"/>
          <w:sz w:val="24"/>
          <w:highlight w:val="none"/>
        </w:rPr>
        <w:t>为保证售后</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质量，</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szCs w:val="24"/>
          <w:highlight w:val="none"/>
          <w:lang w:val="en-US" w:eastAsia="zh-CN"/>
        </w:rPr>
        <w:t>交货时需</w:t>
      </w:r>
      <w:r>
        <w:rPr>
          <w:rFonts w:hint="eastAsia" w:ascii="仿宋" w:hAnsi="仿宋" w:eastAsia="仿宋" w:cs="仿宋"/>
          <w:color w:val="auto"/>
          <w:kern w:val="2"/>
          <w:sz w:val="24"/>
          <w:szCs w:val="24"/>
          <w:highlight w:val="none"/>
        </w:rPr>
        <w:t>提供原厂质保和售后服务保证承诺书</w:t>
      </w:r>
      <w:r>
        <w:rPr>
          <w:rFonts w:hint="eastAsia" w:ascii="仿宋" w:hAnsi="仿宋" w:eastAsia="仿宋" w:cs="仿宋"/>
          <w:color w:val="auto"/>
          <w:sz w:val="24"/>
          <w:highlight w:val="none"/>
        </w:rPr>
        <w:t>。</w:t>
      </w:r>
    </w:p>
    <w:p>
      <w:pPr>
        <w:spacing w:beforeLines="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五、</w:t>
      </w:r>
      <w:r>
        <w:rPr>
          <w:rFonts w:hint="eastAsia" w:ascii="仿宋" w:hAnsi="仿宋" w:eastAsia="仿宋" w:cs="仿宋"/>
          <w:b/>
          <w:bCs/>
          <w:color w:val="auto"/>
          <w:sz w:val="24"/>
          <w:highlight w:val="none"/>
        </w:rPr>
        <w:t>商务条款：</w:t>
      </w:r>
    </w:p>
    <w:p>
      <w:pPr>
        <w:spacing w:line="360" w:lineRule="auto"/>
        <w:ind w:firstLine="419" w:firstLineChars="174"/>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投标报价说明</w:t>
      </w:r>
    </w:p>
    <w:p>
      <w:pPr>
        <w:pStyle w:val="81"/>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本项目投标总价包含</w:t>
      </w:r>
      <w:r>
        <w:rPr>
          <w:rFonts w:hint="eastAsia" w:ascii="仿宋" w:hAnsi="仿宋" w:eastAsia="仿宋" w:cs="仿宋"/>
          <w:color w:val="auto"/>
          <w:sz w:val="24"/>
          <w:highlight w:val="none"/>
          <w:lang w:val="en-US" w:eastAsia="zh-CN"/>
        </w:rPr>
        <w:t>现场</w:t>
      </w:r>
      <w:r>
        <w:rPr>
          <w:rFonts w:hint="eastAsia" w:ascii="仿宋" w:hAnsi="仿宋" w:eastAsia="仿宋" w:cs="仿宋"/>
          <w:color w:val="auto"/>
          <w:sz w:val="24"/>
          <w:highlight w:val="none"/>
        </w:rPr>
        <w:t>踏勘费、</w:t>
      </w:r>
      <w:r>
        <w:rPr>
          <w:rFonts w:hint="eastAsia" w:ascii="仿宋" w:hAnsi="仿宋" w:eastAsia="仿宋" w:cs="仿宋"/>
          <w:b w:val="0"/>
          <w:bCs w:val="0"/>
          <w:color w:val="auto"/>
          <w:kern w:val="0"/>
          <w:sz w:val="24"/>
          <w:highlight w:val="none"/>
          <w:lang w:val="en-US" w:eastAsia="zh-CN"/>
        </w:rPr>
        <w:t>材料</w:t>
      </w:r>
      <w:r>
        <w:rPr>
          <w:rFonts w:hint="eastAsia" w:ascii="仿宋" w:hAnsi="仿宋" w:eastAsia="仿宋" w:cs="仿宋"/>
          <w:b w:val="0"/>
          <w:bCs w:val="0"/>
          <w:color w:val="auto"/>
          <w:kern w:val="0"/>
          <w:sz w:val="24"/>
          <w:highlight w:val="none"/>
          <w:lang w:val="zh-CN"/>
        </w:rPr>
        <w:t>设备费、</w:t>
      </w:r>
      <w:r>
        <w:rPr>
          <w:rFonts w:hint="eastAsia" w:ascii="仿宋" w:hAnsi="仿宋" w:eastAsia="仿宋" w:cs="仿宋"/>
          <w:b w:val="0"/>
          <w:bCs w:val="0"/>
          <w:color w:val="auto"/>
          <w:kern w:val="0"/>
          <w:sz w:val="24"/>
          <w:highlight w:val="none"/>
          <w:lang w:val="en-US" w:eastAsia="zh-CN"/>
        </w:rPr>
        <w:t>运杂</w:t>
      </w:r>
      <w:r>
        <w:rPr>
          <w:rFonts w:hint="eastAsia" w:ascii="仿宋" w:hAnsi="仿宋" w:eastAsia="仿宋" w:cs="仿宋"/>
          <w:b w:val="0"/>
          <w:bCs w:val="0"/>
          <w:color w:val="auto"/>
          <w:kern w:val="0"/>
          <w:sz w:val="24"/>
          <w:highlight w:val="none"/>
          <w:lang w:val="zh-CN"/>
        </w:rPr>
        <w:t>费、安装</w:t>
      </w:r>
      <w:r>
        <w:rPr>
          <w:rFonts w:hint="eastAsia" w:ascii="仿宋" w:hAnsi="仿宋" w:eastAsia="仿宋" w:cs="仿宋"/>
          <w:b w:val="0"/>
          <w:bCs w:val="0"/>
          <w:color w:val="auto"/>
          <w:kern w:val="0"/>
          <w:sz w:val="24"/>
          <w:highlight w:val="none"/>
          <w:lang w:val="en-US" w:eastAsia="zh-CN"/>
        </w:rPr>
        <w:t>费</w:t>
      </w:r>
      <w:r>
        <w:rPr>
          <w:rFonts w:hint="eastAsia" w:ascii="仿宋" w:hAnsi="仿宋" w:eastAsia="仿宋" w:cs="仿宋"/>
          <w:b w:val="0"/>
          <w:bCs w:val="0"/>
          <w:color w:val="auto"/>
          <w:kern w:val="0"/>
          <w:sz w:val="24"/>
          <w:highlight w:val="none"/>
          <w:lang w:val="zh-CN"/>
        </w:rPr>
        <w:t>、调试费、</w:t>
      </w:r>
      <w:r>
        <w:rPr>
          <w:rFonts w:hint="eastAsia" w:ascii="仿宋" w:hAnsi="仿宋" w:eastAsia="仿宋" w:cs="仿宋"/>
          <w:b w:val="0"/>
          <w:bCs w:val="0"/>
          <w:color w:val="auto"/>
          <w:kern w:val="0"/>
          <w:sz w:val="24"/>
          <w:highlight w:val="none"/>
          <w:lang w:val="en-US" w:eastAsia="zh-CN"/>
        </w:rPr>
        <w:t>检测费、验收</w:t>
      </w:r>
      <w:r>
        <w:rPr>
          <w:rFonts w:hint="eastAsia" w:ascii="仿宋" w:hAnsi="仿宋" w:eastAsia="仿宋" w:cs="仿宋"/>
          <w:b w:val="0"/>
          <w:bCs w:val="0"/>
          <w:color w:val="auto"/>
          <w:kern w:val="0"/>
          <w:sz w:val="24"/>
          <w:highlight w:val="none"/>
          <w:lang w:val="zh-CN"/>
        </w:rPr>
        <w:t>费、</w:t>
      </w:r>
      <w:r>
        <w:rPr>
          <w:rFonts w:hint="eastAsia" w:ascii="仿宋" w:hAnsi="仿宋" w:eastAsia="仿宋" w:cs="仿宋"/>
          <w:color w:val="auto"/>
          <w:sz w:val="24"/>
          <w:highlight w:val="none"/>
        </w:rPr>
        <w:t>售后及质保服务费、</w:t>
      </w:r>
      <w:r>
        <w:rPr>
          <w:rFonts w:hint="eastAsia" w:ascii="仿宋" w:hAnsi="仿宋" w:eastAsia="仿宋" w:cs="仿宋"/>
          <w:color w:val="auto"/>
          <w:sz w:val="24"/>
          <w:highlight w:val="none"/>
          <w:lang w:eastAsia="zh-CN"/>
        </w:rPr>
        <w:t>总包配合费、管理费、</w:t>
      </w:r>
      <w:r>
        <w:rPr>
          <w:rFonts w:hint="eastAsia" w:ascii="仿宋" w:hAnsi="仿宋" w:eastAsia="仿宋" w:cs="仿宋"/>
          <w:color w:val="auto"/>
          <w:sz w:val="24"/>
          <w:highlight w:val="none"/>
        </w:rPr>
        <w:t>利润、税金等一切费用。本项目还应包括场地及原有设备的保护措施费、现场安装施工组织（含安全文明施工）措施费等。除产品外若未明确相应报价的，视为已综合考虑在产品综合单价内，中标后不做调整与补偿。</w:t>
      </w:r>
    </w:p>
    <w:p>
      <w:pPr>
        <w:pStyle w:val="81"/>
        <w:spacing w:line="360" w:lineRule="auto"/>
        <w:ind w:firstLine="482" w:firstLineChars="200"/>
        <w:rPr>
          <w:rFonts w:hint="eastAsia" w:ascii="仿宋" w:hAnsi="仿宋" w:eastAsia="仿宋" w:cs="仿宋"/>
          <w:b/>
          <w:bCs/>
          <w:color w:val="auto"/>
          <w:sz w:val="24"/>
          <w:szCs w:val="24"/>
          <w:highlight w:val="none"/>
          <w:lang w:val="zh-CN"/>
        </w:rPr>
      </w:pPr>
      <w:r>
        <w:rPr>
          <w:rFonts w:hint="eastAsia" w:ascii="仿宋" w:hAnsi="仿宋" w:eastAsia="仿宋" w:cs="仿宋"/>
          <w:b/>
          <w:bCs w:val="0"/>
          <w:color w:val="auto"/>
          <w:sz w:val="24"/>
          <w:szCs w:val="24"/>
          <w:highlight w:val="none"/>
          <w:lang w:val="en-US" w:eastAsia="zh-CN"/>
        </w:rPr>
        <w:t>（2）</w:t>
      </w:r>
      <w:r>
        <w:rPr>
          <w:rFonts w:hint="eastAsia" w:ascii="仿宋" w:hAnsi="仿宋" w:eastAsia="仿宋" w:cs="仿宋"/>
          <w:b/>
          <w:bCs/>
          <w:color w:val="auto"/>
          <w:sz w:val="24"/>
          <w:szCs w:val="24"/>
          <w:highlight w:val="none"/>
          <w:lang w:val="zh-CN"/>
        </w:rPr>
        <w:t>供应商在投标报价时，应充分考虑辅材等安装材料的实际需求量，同时充分考虑安装过程中产生的原样修补费、打洞费、安全措施等所发生的费用，费用全部计入投标报价中。在合同执行过程中，合同价不予调整。</w:t>
      </w:r>
    </w:p>
    <w:p>
      <w:pPr>
        <w:spacing w:line="360" w:lineRule="auto"/>
        <w:ind w:firstLine="419" w:firstLineChars="174"/>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szCs w:val="24"/>
          <w:highlight w:val="none"/>
          <w:lang w:val="zh-CN"/>
        </w:rPr>
        <w:t>除产品功能变化外，不因产品尺寸大小、形状等改变调整合同价。</w:t>
      </w:r>
    </w:p>
    <w:p>
      <w:pPr>
        <w:spacing w:line="360" w:lineRule="auto"/>
        <w:ind w:firstLine="419" w:firstLineChars="174"/>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2.合同价及</w:t>
      </w:r>
      <w:r>
        <w:rPr>
          <w:rFonts w:hint="eastAsia" w:ascii="仿宋" w:hAnsi="仿宋" w:eastAsia="仿宋" w:cs="仿宋"/>
          <w:b/>
          <w:bCs/>
          <w:color w:val="auto"/>
          <w:sz w:val="24"/>
          <w:highlight w:val="none"/>
        </w:rPr>
        <w:t>支付方式</w:t>
      </w:r>
    </w:p>
    <w:p>
      <w:pPr>
        <w:pStyle w:val="61"/>
        <w:spacing w:after="0" w:line="360" w:lineRule="auto"/>
        <w:ind w:left="0" w:leftChars="0"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lang w:eastAsia="zh-CN"/>
        </w:rPr>
        <w:t>本项目固定合同总价。</w:t>
      </w:r>
    </w:p>
    <w:p>
      <w:pPr>
        <w:pStyle w:val="61"/>
        <w:spacing w:after="0" w:line="360" w:lineRule="auto"/>
        <w:ind w:left="0" w:leftChars="0" w:firstLine="480" w:firstLineChars="2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2.2支付方式</w:t>
      </w:r>
    </w:p>
    <w:p>
      <w:pPr>
        <w:pStyle w:val="61"/>
        <w:spacing w:after="0" w:line="360" w:lineRule="auto"/>
        <w:ind w:left="0" w:leftChars="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（1）第一期付款：合同签订之日起10个工作日内，招标人支付合同价的40%作为预付款；同时供应商提交</w:t>
      </w:r>
      <w:r>
        <w:rPr>
          <w:rFonts w:hint="eastAsia" w:ascii="仿宋" w:hAnsi="仿宋" w:eastAsia="仿宋" w:cs="仿宋"/>
          <w:color w:val="auto"/>
          <w:sz w:val="24"/>
          <w:highlight w:val="none"/>
        </w:rPr>
        <w:t>银行或保险公司出具的</w:t>
      </w:r>
      <w:r>
        <w:rPr>
          <w:rFonts w:hint="eastAsia" w:ascii="仿宋" w:hAnsi="仿宋" w:eastAsia="仿宋" w:cs="仿宋"/>
          <w:b w:val="0"/>
          <w:bCs w:val="0"/>
          <w:color w:val="auto"/>
          <w:sz w:val="24"/>
          <w:highlight w:val="none"/>
        </w:rPr>
        <w:t>同等金额的预付款保函，保函的格式和内容须经招标人确认；</w:t>
      </w:r>
    </w:p>
    <w:p>
      <w:pPr>
        <w:pStyle w:val="61"/>
        <w:spacing w:after="0" w:line="360" w:lineRule="auto"/>
        <w:ind w:left="0" w:leftChars="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（2）第二期付款：项目通过履约验收后10个工作日内，招标人支付剩余款项款。</w:t>
      </w:r>
    </w:p>
    <w:p>
      <w:pPr>
        <w:pageBreakBefore w:val="0"/>
        <w:kinsoku/>
        <w:wordWrap w:val="0"/>
        <w:overflowPunct/>
        <w:topLinePunct w:val="0"/>
        <w:autoSpaceDE w:val="0"/>
        <w:autoSpaceDN w:val="0"/>
        <w:bidi w:val="0"/>
        <w:adjustRightInd w:val="0"/>
        <w:snapToGrid w:val="0"/>
        <w:spacing w:line="360" w:lineRule="auto"/>
        <w:ind w:left="0" w:right="0" w:firstLine="482" w:firstLineChars="20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szCs w:val="24"/>
          <w:highlight w:val="none"/>
          <w:lang w:val="zh-CN"/>
        </w:rPr>
        <w:t>履约保证金</w:t>
      </w:r>
    </w:p>
    <w:p>
      <w:pPr>
        <w:wordWrap w:val="0"/>
        <w:autoSpaceDE w:val="0"/>
        <w:autoSpaceDN w:val="0"/>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szCs w:val="24"/>
          <w:highlight w:val="none"/>
          <w:lang w:eastAsia="zh-CN"/>
        </w:rPr>
        <w:t>本项目免收履约保证金</w:t>
      </w:r>
      <w:r>
        <w:rPr>
          <w:rFonts w:hint="eastAsia" w:ascii="仿宋" w:hAnsi="仿宋" w:eastAsia="仿宋" w:cs="仿宋"/>
          <w:color w:val="auto"/>
          <w:kern w:val="0"/>
          <w:sz w:val="24"/>
          <w:szCs w:val="24"/>
          <w:highlight w:val="none"/>
        </w:rPr>
        <w:t>。</w:t>
      </w:r>
    </w:p>
    <w:p>
      <w:pPr>
        <w:pageBreakBefore w:val="0"/>
        <w:widowControl w:val="0"/>
        <w:kinsoku/>
        <w:overflowPunct/>
        <w:topLinePunct w:val="0"/>
        <w:bidi w:val="0"/>
        <w:adjustRightInd w:val="0"/>
        <w:snapToGrid w:val="0"/>
        <w:spacing w:line="360" w:lineRule="auto"/>
        <w:ind w:left="0" w:right="0" w:firstLine="482" w:firstLineChars="200"/>
        <w:jc w:val="both"/>
        <w:textAlignment w:val="auto"/>
        <w:outlineLvl w:val="2"/>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4.联合体投标</w:t>
      </w:r>
    </w:p>
    <w:p>
      <w:pPr>
        <w:pageBreakBefore w:val="0"/>
        <w:widowControl/>
        <w:kinsoku/>
        <w:wordWrap w:val="0"/>
        <w:overflowPunct/>
        <w:topLinePunct w:val="0"/>
        <w:bidi w:val="0"/>
        <w:adjustRightInd w:val="0"/>
        <w:snapToGrid w:val="0"/>
        <w:spacing w:line="360" w:lineRule="auto"/>
        <w:ind w:left="0" w:right="0" w:firstLine="480" w:firstLineChars="200"/>
        <w:jc w:val="left"/>
        <w:textAlignment w:val="auto"/>
        <w:rPr>
          <w:rFonts w:hint="eastAsia" w:ascii="仿宋" w:hAnsi="仿宋" w:eastAsia="仿宋" w:cs="仿宋"/>
          <w:bCs/>
          <w:snapToGrid w:val="0"/>
          <w:color w:val="auto"/>
          <w:sz w:val="24"/>
          <w:szCs w:val="24"/>
          <w:highlight w:val="none"/>
        </w:rPr>
      </w:pPr>
      <w:r>
        <w:rPr>
          <w:rFonts w:hint="eastAsia" w:ascii="仿宋" w:hAnsi="仿宋" w:eastAsia="仿宋" w:cs="仿宋"/>
          <w:color w:val="auto"/>
          <w:kern w:val="0"/>
          <w:sz w:val="24"/>
          <w:szCs w:val="24"/>
          <w:highlight w:val="none"/>
        </w:rPr>
        <w:t>联合体投标的，联合体成员应根据联合体协议书中相应承担的工作内容、合同份额进行各自提供相应设施设备并配备相应人员</w:t>
      </w:r>
      <w:r>
        <w:rPr>
          <w:rFonts w:hint="eastAsia" w:ascii="仿宋" w:hAnsi="仿宋" w:eastAsia="仿宋" w:cs="仿宋"/>
          <w:bCs/>
          <w:snapToGrid w:val="0"/>
          <w:color w:val="auto"/>
          <w:sz w:val="24"/>
          <w:szCs w:val="24"/>
          <w:highlight w:val="none"/>
        </w:rPr>
        <w:t>，</w:t>
      </w:r>
      <w:r>
        <w:rPr>
          <w:rFonts w:hint="eastAsia" w:ascii="仿宋" w:hAnsi="仿宋" w:eastAsia="仿宋" w:cs="仿宋"/>
          <w:bCs/>
          <w:snapToGrid w:val="0"/>
          <w:color w:val="auto"/>
          <w:sz w:val="24"/>
          <w:szCs w:val="24"/>
          <w:highlight w:val="none"/>
          <w:lang w:eastAsia="zh-CN"/>
        </w:rPr>
        <w:t>项目负责人</w:t>
      </w:r>
      <w:r>
        <w:rPr>
          <w:rFonts w:hint="eastAsia" w:ascii="仿宋" w:hAnsi="仿宋" w:eastAsia="仿宋" w:cs="仿宋"/>
          <w:bCs/>
          <w:snapToGrid w:val="0"/>
          <w:color w:val="auto"/>
          <w:sz w:val="24"/>
          <w:szCs w:val="24"/>
          <w:highlight w:val="none"/>
        </w:rPr>
        <w:t>由牵头人派遣。</w:t>
      </w:r>
    </w:p>
    <w:p>
      <w:pPr>
        <w:pageBreakBefore w:val="0"/>
        <w:widowControl/>
        <w:kinsoku/>
        <w:wordWrap w:val="0"/>
        <w:overflowPunct/>
        <w:topLinePunct w:val="0"/>
        <w:bidi w:val="0"/>
        <w:adjustRightInd w:val="0"/>
        <w:snapToGrid w:val="0"/>
        <w:spacing w:line="360" w:lineRule="auto"/>
        <w:ind w:left="0" w:right="0" w:firstLine="480" w:firstLineChars="200"/>
        <w:jc w:val="left"/>
        <w:textAlignment w:val="auto"/>
        <w:rPr>
          <w:rFonts w:hint="eastAsia" w:ascii="仿宋" w:hAnsi="仿宋" w:eastAsia="仿宋" w:cs="仿宋"/>
          <w:bCs/>
          <w:snapToGrid w:val="0"/>
          <w:color w:val="auto"/>
          <w:sz w:val="24"/>
          <w:szCs w:val="24"/>
          <w:highlight w:val="none"/>
        </w:rPr>
      </w:pPr>
      <w:r>
        <w:rPr>
          <w:rFonts w:hint="eastAsia" w:ascii="仿宋" w:hAnsi="仿宋" w:eastAsia="仿宋" w:cs="仿宋"/>
          <w:bCs/>
          <w:snapToGrid w:val="0"/>
          <w:color w:val="auto"/>
          <w:sz w:val="24"/>
          <w:szCs w:val="24"/>
          <w:highlight w:val="none"/>
        </w:rPr>
        <w:t>联合体各成员的分工、费用收取、发票开具等事项：联合体各成员分工承担的工作内容以联合协议书为准，若联合协议书分工存在不明确事项的，则签订本项目合同前予以明确。合同款项采购人直接支付给联合体牵头人，即发票由牵头人开具。</w:t>
      </w:r>
    </w:p>
    <w:p>
      <w:pPr>
        <w:pageBreakBefore w:val="0"/>
        <w:widowControl w:val="0"/>
        <w:kinsoku/>
        <w:overflowPunct/>
        <w:topLinePunct w:val="0"/>
        <w:bidi w:val="0"/>
        <w:adjustRightInd w:val="0"/>
        <w:snapToGrid w:val="0"/>
        <w:spacing w:line="360" w:lineRule="auto"/>
        <w:ind w:left="0" w:right="0" w:firstLine="482" w:firstLineChars="200"/>
        <w:jc w:val="both"/>
        <w:textAlignment w:val="auto"/>
        <w:outlineLvl w:val="2"/>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5.分包要求</w:t>
      </w:r>
    </w:p>
    <w:p>
      <w:pPr>
        <w:pageBreakBefore w:val="0"/>
        <w:kinsoku/>
        <w:wordWrap w:val="0"/>
        <w:overflowPunct/>
        <w:topLinePunct w:val="0"/>
        <w:bidi w:val="0"/>
        <w:adjustRightInd w:val="0"/>
        <w:snapToGrid w:val="0"/>
        <w:spacing w:line="360" w:lineRule="auto"/>
        <w:ind w:left="0" w:right="0"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若</w:t>
      </w:r>
      <w:r>
        <w:rPr>
          <w:rFonts w:hint="eastAsia" w:ascii="仿宋" w:hAnsi="仿宋" w:eastAsia="仿宋" w:cs="仿宋"/>
          <w:color w:val="auto"/>
          <w:sz w:val="24"/>
          <w:szCs w:val="24"/>
          <w:highlight w:val="none"/>
        </w:rPr>
        <w:t>非主体、非关键性的</w:t>
      </w:r>
      <w:r>
        <w:rPr>
          <w:rFonts w:hint="eastAsia" w:ascii="仿宋" w:hAnsi="仿宋" w:eastAsia="仿宋" w:cs="仿宋"/>
          <w:color w:val="auto"/>
          <w:sz w:val="24"/>
          <w:szCs w:val="24"/>
          <w:highlight w:val="none"/>
          <w:lang w:val="zh-CN"/>
        </w:rPr>
        <w:t>工作采用分包的，分包单位应具有相应能力，</w:t>
      </w:r>
      <w:r>
        <w:rPr>
          <w:rFonts w:hint="eastAsia" w:ascii="仿宋" w:hAnsi="仿宋" w:eastAsia="仿宋" w:cs="仿宋"/>
          <w:color w:val="auto"/>
          <w:sz w:val="24"/>
          <w:szCs w:val="24"/>
          <w:highlight w:val="none"/>
        </w:rPr>
        <w:t>分包份额不得超过总包单位</w:t>
      </w:r>
      <w:r>
        <w:rPr>
          <w:rFonts w:hint="eastAsia" w:ascii="仿宋" w:hAnsi="仿宋" w:eastAsia="仿宋" w:cs="仿宋"/>
          <w:color w:val="auto"/>
          <w:sz w:val="24"/>
          <w:szCs w:val="24"/>
          <w:highlight w:val="none"/>
          <w:lang w:val="zh-CN"/>
        </w:rPr>
        <w:t>。</w:t>
      </w:r>
    </w:p>
    <w:p>
      <w:pPr>
        <w:spacing w:line="360" w:lineRule="auto"/>
        <w:ind w:firstLine="419" w:firstLineChars="174"/>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lang w:eastAsia="zh-CN"/>
        </w:rPr>
        <w:t>履约验收</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（1）履约验收主体：招标人</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（2）履约验收时间：安装调试完毕后10个工作日内。</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（3）履约验收方式：一般程序</w:t>
      </w:r>
    </w:p>
    <w:p>
      <w:pPr>
        <w:pageBreakBefore w:val="0"/>
        <w:kinsoku/>
        <w:overflowPunct/>
        <w:topLinePunct w:val="0"/>
        <w:bidi w:val="0"/>
        <w:adjustRightInd w:val="0"/>
        <w:snapToGrid w:val="0"/>
        <w:spacing w:line="360" w:lineRule="auto"/>
        <w:ind w:left="0" w:right="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）履约验收程序：</w:t>
      </w:r>
      <w:r>
        <w:rPr>
          <w:rFonts w:hint="eastAsia" w:ascii="仿宋" w:hAnsi="仿宋" w:eastAsia="仿宋" w:cs="仿宋"/>
          <w:color w:val="auto"/>
          <w:kern w:val="0"/>
          <w:sz w:val="24"/>
          <w:szCs w:val="24"/>
          <w:highlight w:val="none"/>
          <w:lang w:val="en-US" w:eastAsia="zh-CN"/>
        </w:rPr>
        <w:t>一次性</w:t>
      </w:r>
      <w:r>
        <w:rPr>
          <w:rFonts w:hint="eastAsia" w:ascii="仿宋" w:hAnsi="仿宋" w:eastAsia="仿宋" w:cs="仿宋"/>
          <w:color w:val="auto"/>
          <w:kern w:val="0"/>
          <w:sz w:val="24"/>
          <w:szCs w:val="24"/>
          <w:highlight w:val="none"/>
        </w:rPr>
        <w:t>验收</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（5）履约验收内容</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技术履约内容：乙方应按招标文件规定的货物性能、技术要求、质量标准向甲方提供产品；本项目要求达到的建设目标、系统功能、系统性能；按招标文件要求时间交货。</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商务履约内容：费用按招标文件要求结算、支付。</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（6）履约验收标准</w:t>
      </w:r>
    </w:p>
    <w:p>
      <w:pPr>
        <w:pageBreakBefore w:val="0"/>
        <w:widowControl w:val="0"/>
        <w:kinsoku/>
        <w:overflowPunct/>
        <w:topLinePunct w:val="0"/>
        <w:bidi w:val="0"/>
        <w:adjustRightInd w:val="0"/>
        <w:snapToGrid w:val="0"/>
        <w:spacing w:line="360" w:lineRule="auto"/>
        <w:ind w:left="0" w:right="0"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①满足采购需求及技术文件的要求，达到国家及行业现行规范的合格标准；②资金支付及履约保证金返还条件、争议处理、验收费用支付、采购人及供应商各自权利义务等内容按国家，省，市现行规定和合同约定的内容。</w:t>
      </w:r>
    </w:p>
    <w:p>
      <w:pPr>
        <w:numPr>
          <w:ilvl w:val="-1"/>
          <w:numId w:val="0"/>
        </w:numPr>
        <w:wordWrap/>
        <w:snapToGrid w:val="0"/>
        <w:spacing w:line="360" w:lineRule="auto"/>
        <w:ind w:firstLine="480" w:firstLineChars="200"/>
        <w:jc w:val="both"/>
        <w:outlineLvl w:val="9"/>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初次验收费用由采购人承担；因供应商原因导致验收不通过的，限期整改，重新组织验收的费用由供应商承担。</w:t>
      </w:r>
      <w:bookmarkStart w:id="55" w:name="_Toc14411"/>
      <w:bookmarkStart w:id="56" w:name="_Toc27989"/>
      <w:r>
        <w:rPr>
          <w:rFonts w:hint="eastAsia" w:ascii="仿宋" w:hAnsi="仿宋" w:eastAsia="仿宋" w:cs="仿宋"/>
          <w:color w:val="auto"/>
          <w:kern w:val="0"/>
          <w:sz w:val="24"/>
          <w:szCs w:val="24"/>
          <w:highlight w:val="none"/>
          <w:lang w:val="en-US" w:eastAsia="zh-CN" w:bidi="ar-SA"/>
        </w:rPr>
        <w:t>整改结束后，由供应商通知采购人重新验收。若整改后验收仍不合格的，则扣除合同价5%作为违约金，同时采购人有权终止合同，供应商承担采购人所有损失。</w:t>
      </w:r>
      <w:r>
        <w:rPr>
          <w:rFonts w:hint="eastAsia" w:ascii="仿宋" w:hAnsi="仿宋" w:eastAsia="仿宋" w:cs="仿宋"/>
          <w:b/>
          <w:color w:val="auto"/>
          <w:sz w:val="36"/>
          <w:szCs w:val="36"/>
          <w:highlight w:val="none"/>
        </w:rPr>
        <w:br w:type="page"/>
      </w:r>
    </w:p>
    <w:p>
      <w:pPr>
        <w:wordWrap w:val="0"/>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57" w:name="_Toc184314416"/>
      <w:bookmarkEnd w:id="57"/>
      <w:bookmarkStart w:id="58" w:name="_Toc184314431"/>
      <w:bookmarkEnd w:id="58"/>
      <w:bookmarkStart w:id="59" w:name="_Toc184313276"/>
      <w:bookmarkEnd w:id="59"/>
      <w:bookmarkStart w:id="60" w:name="_Toc184313305"/>
      <w:bookmarkEnd w:id="60"/>
      <w:bookmarkStart w:id="61" w:name="_Toc184308040"/>
      <w:bookmarkEnd w:id="61"/>
      <w:bookmarkStart w:id="62" w:name="_Toc184314419"/>
      <w:bookmarkEnd w:id="62"/>
      <w:bookmarkStart w:id="63" w:name="_Toc184313296"/>
      <w:bookmarkEnd w:id="63"/>
      <w:bookmarkStart w:id="64" w:name="_Toc184314441"/>
      <w:bookmarkEnd w:id="64"/>
      <w:bookmarkStart w:id="65" w:name="_Toc184308066"/>
      <w:bookmarkEnd w:id="65"/>
      <w:bookmarkStart w:id="66" w:name="_Toc184313256"/>
      <w:bookmarkEnd w:id="66"/>
      <w:bookmarkStart w:id="67" w:name="_Toc184314413"/>
      <w:bookmarkEnd w:id="67"/>
      <w:bookmarkStart w:id="68" w:name="_Toc184314428"/>
      <w:bookmarkEnd w:id="68"/>
      <w:bookmarkStart w:id="69" w:name="_Toc184312084"/>
      <w:bookmarkEnd w:id="69"/>
      <w:bookmarkStart w:id="70" w:name="_Toc184314427"/>
      <w:bookmarkEnd w:id="70"/>
      <w:bookmarkStart w:id="71" w:name="_Toc184308086"/>
      <w:bookmarkEnd w:id="71"/>
      <w:bookmarkStart w:id="72" w:name="_Toc184308048"/>
      <w:bookmarkEnd w:id="72"/>
      <w:bookmarkStart w:id="73" w:name="_Toc184308100"/>
      <w:bookmarkEnd w:id="73"/>
      <w:bookmarkStart w:id="74" w:name="_Toc184312117"/>
      <w:bookmarkEnd w:id="74"/>
      <w:bookmarkStart w:id="75" w:name="_Toc184313258"/>
      <w:bookmarkEnd w:id="75"/>
      <w:bookmarkStart w:id="76" w:name="_Toc184310326"/>
      <w:bookmarkEnd w:id="76"/>
      <w:bookmarkStart w:id="77" w:name="_Toc184313281"/>
      <w:bookmarkEnd w:id="77"/>
      <w:bookmarkStart w:id="78" w:name="_Toc184312079"/>
      <w:bookmarkEnd w:id="78"/>
      <w:bookmarkStart w:id="79" w:name="_Toc184308047"/>
      <w:bookmarkEnd w:id="79"/>
      <w:bookmarkStart w:id="80" w:name="_Toc184310309"/>
      <w:bookmarkEnd w:id="80"/>
      <w:bookmarkStart w:id="81" w:name="_Toc184312068"/>
      <w:bookmarkEnd w:id="81"/>
      <w:bookmarkStart w:id="82" w:name="_Toc184312138"/>
      <w:bookmarkEnd w:id="82"/>
      <w:bookmarkStart w:id="83" w:name="_Toc184308055"/>
      <w:bookmarkEnd w:id="83"/>
      <w:bookmarkStart w:id="84" w:name="_Toc184312094"/>
      <w:bookmarkEnd w:id="84"/>
      <w:bookmarkStart w:id="85" w:name="_Toc184310317"/>
      <w:bookmarkEnd w:id="85"/>
      <w:bookmarkStart w:id="86" w:name="_Toc184308037"/>
      <w:bookmarkEnd w:id="86"/>
      <w:bookmarkStart w:id="87" w:name="_Toc184308042"/>
      <w:bookmarkEnd w:id="87"/>
      <w:bookmarkStart w:id="88" w:name="_Toc184310291"/>
      <w:bookmarkEnd w:id="88"/>
      <w:bookmarkStart w:id="89" w:name="_Toc184310341"/>
      <w:bookmarkEnd w:id="89"/>
      <w:bookmarkStart w:id="90" w:name="_Toc184312073"/>
      <w:bookmarkEnd w:id="90"/>
      <w:bookmarkStart w:id="91" w:name="_Toc184314424"/>
      <w:bookmarkEnd w:id="91"/>
      <w:bookmarkStart w:id="92" w:name="_Toc184312085"/>
      <w:bookmarkEnd w:id="92"/>
      <w:bookmarkStart w:id="93" w:name="_Toc184314457"/>
      <w:bookmarkEnd w:id="93"/>
      <w:bookmarkStart w:id="94" w:name="_Toc184308051"/>
      <w:bookmarkEnd w:id="94"/>
      <w:bookmarkStart w:id="95" w:name="_Toc184313294"/>
      <w:bookmarkEnd w:id="95"/>
      <w:bookmarkStart w:id="96" w:name="_Toc184308043"/>
      <w:bookmarkEnd w:id="96"/>
      <w:bookmarkStart w:id="97" w:name="_Toc184314473"/>
      <w:bookmarkEnd w:id="97"/>
      <w:bookmarkStart w:id="98" w:name="_Toc184314443"/>
      <w:bookmarkEnd w:id="98"/>
      <w:bookmarkStart w:id="99" w:name="_Toc184308045"/>
      <w:bookmarkEnd w:id="99"/>
      <w:bookmarkStart w:id="100" w:name="_Toc184312132"/>
      <w:bookmarkEnd w:id="100"/>
      <w:bookmarkStart w:id="101" w:name="_Toc184313274"/>
      <w:bookmarkEnd w:id="101"/>
      <w:bookmarkStart w:id="102" w:name="_Toc184312120"/>
      <w:bookmarkEnd w:id="102"/>
      <w:bookmarkStart w:id="103" w:name="_Toc184310318"/>
      <w:bookmarkEnd w:id="103"/>
      <w:bookmarkStart w:id="104" w:name="_Toc184312110"/>
      <w:bookmarkEnd w:id="104"/>
      <w:bookmarkStart w:id="105" w:name="_Toc184312082"/>
      <w:bookmarkEnd w:id="105"/>
      <w:bookmarkStart w:id="106" w:name="_Toc184314460"/>
      <w:bookmarkEnd w:id="106"/>
      <w:bookmarkStart w:id="107" w:name="_Toc184308081"/>
      <w:bookmarkEnd w:id="107"/>
      <w:bookmarkStart w:id="108" w:name="_Toc184314420"/>
      <w:bookmarkEnd w:id="108"/>
      <w:bookmarkStart w:id="109" w:name="_Toc184313306"/>
      <w:bookmarkEnd w:id="109"/>
      <w:bookmarkStart w:id="110" w:name="_Toc184312099"/>
      <w:bookmarkEnd w:id="110"/>
      <w:bookmarkStart w:id="111" w:name="_Toc184313253"/>
      <w:bookmarkEnd w:id="111"/>
      <w:bookmarkStart w:id="112" w:name="_Toc184310295"/>
      <w:bookmarkEnd w:id="112"/>
      <w:bookmarkStart w:id="113" w:name="_Toc184314449"/>
      <w:bookmarkEnd w:id="113"/>
      <w:bookmarkStart w:id="114" w:name="_Toc184310289"/>
      <w:bookmarkEnd w:id="114"/>
      <w:bookmarkStart w:id="115" w:name="_Toc184314418"/>
      <w:bookmarkEnd w:id="115"/>
      <w:bookmarkStart w:id="116" w:name="_Toc184308099"/>
      <w:bookmarkEnd w:id="116"/>
      <w:bookmarkStart w:id="117" w:name="_Toc184313250"/>
      <w:bookmarkEnd w:id="117"/>
      <w:bookmarkStart w:id="118" w:name="_Toc184313289"/>
      <w:bookmarkEnd w:id="118"/>
      <w:bookmarkStart w:id="119" w:name="_Toc184312095"/>
      <w:bookmarkEnd w:id="119"/>
      <w:bookmarkStart w:id="120" w:name="_Toc184313255"/>
      <w:bookmarkEnd w:id="120"/>
      <w:bookmarkStart w:id="121" w:name="_Toc184313263"/>
      <w:bookmarkEnd w:id="121"/>
      <w:bookmarkStart w:id="122" w:name="_Toc184312119"/>
      <w:bookmarkEnd w:id="122"/>
      <w:bookmarkStart w:id="123" w:name="_Toc184312070"/>
      <w:bookmarkEnd w:id="123"/>
      <w:bookmarkStart w:id="124" w:name="_Toc184310334"/>
      <w:bookmarkEnd w:id="124"/>
      <w:bookmarkStart w:id="125" w:name="_Toc184310299"/>
      <w:bookmarkEnd w:id="125"/>
      <w:bookmarkStart w:id="126" w:name="_Toc184313287"/>
      <w:bookmarkEnd w:id="126"/>
      <w:bookmarkStart w:id="127" w:name="_Toc184312075"/>
      <w:bookmarkEnd w:id="127"/>
      <w:bookmarkStart w:id="128" w:name="_Toc184310301"/>
      <w:bookmarkEnd w:id="128"/>
      <w:bookmarkStart w:id="129" w:name="_Toc184314417"/>
      <w:bookmarkEnd w:id="129"/>
      <w:bookmarkStart w:id="130" w:name="_Toc184308060"/>
      <w:bookmarkEnd w:id="130"/>
      <w:bookmarkStart w:id="131" w:name="_Toc184313277"/>
      <w:bookmarkEnd w:id="131"/>
      <w:bookmarkStart w:id="132" w:name="_Toc184310278"/>
      <w:bookmarkEnd w:id="132"/>
      <w:bookmarkStart w:id="133" w:name="_Toc184308061"/>
      <w:bookmarkEnd w:id="133"/>
      <w:bookmarkStart w:id="134" w:name="_Toc184310284"/>
      <w:bookmarkEnd w:id="134"/>
      <w:bookmarkStart w:id="135" w:name="_Toc184313297"/>
      <w:bookmarkEnd w:id="135"/>
      <w:bookmarkStart w:id="136" w:name="_Toc184310286"/>
      <w:bookmarkEnd w:id="136"/>
      <w:bookmarkStart w:id="137" w:name="_Toc184313242"/>
      <w:bookmarkEnd w:id="137"/>
      <w:bookmarkStart w:id="138" w:name="_Toc184313283"/>
      <w:bookmarkEnd w:id="138"/>
      <w:bookmarkStart w:id="139" w:name="_Toc184313307"/>
      <w:bookmarkEnd w:id="139"/>
      <w:bookmarkStart w:id="140" w:name="_Toc184310300"/>
      <w:bookmarkEnd w:id="140"/>
      <w:bookmarkStart w:id="141" w:name="_Toc184312090"/>
      <w:bookmarkEnd w:id="141"/>
      <w:bookmarkStart w:id="142" w:name="_Toc184313246"/>
      <w:bookmarkEnd w:id="142"/>
      <w:bookmarkStart w:id="143" w:name="_Toc184314442"/>
      <w:bookmarkEnd w:id="143"/>
      <w:bookmarkStart w:id="144" w:name="_Toc184310304"/>
      <w:bookmarkEnd w:id="144"/>
      <w:bookmarkStart w:id="145" w:name="_Toc184310285"/>
      <w:bookmarkEnd w:id="145"/>
      <w:bookmarkStart w:id="146" w:name="_Toc184310294"/>
      <w:bookmarkEnd w:id="146"/>
      <w:bookmarkStart w:id="147" w:name="_Toc184310292"/>
      <w:bookmarkEnd w:id="147"/>
      <w:bookmarkStart w:id="148" w:name="_Toc184310298"/>
      <w:bookmarkEnd w:id="148"/>
      <w:bookmarkStart w:id="149" w:name="_Toc184308049"/>
      <w:bookmarkEnd w:id="149"/>
      <w:bookmarkStart w:id="150" w:name="_Toc184313298"/>
      <w:bookmarkEnd w:id="150"/>
      <w:bookmarkStart w:id="151" w:name="_Toc184314456"/>
      <w:bookmarkEnd w:id="151"/>
      <w:bookmarkStart w:id="152" w:name="_Toc184314452"/>
      <w:bookmarkEnd w:id="152"/>
      <w:bookmarkStart w:id="153" w:name="_Toc184314471"/>
      <w:bookmarkEnd w:id="153"/>
      <w:bookmarkStart w:id="154" w:name="_Toc184308044"/>
      <w:bookmarkEnd w:id="154"/>
      <w:bookmarkStart w:id="155" w:name="_Toc184312092"/>
      <w:bookmarkEnd w:id="155"/>
      <w:bookmarkStart w:id="156" w:name="_Toc184310273"/>
      <w:bookmarkEnd w:id="156"/>
      <w:bookmarkStart w:id="157" w:name="_Toc184313301"/>
      <w:bookmarkEnd w:id="157"/>
      <w:bookmarkStart w:id="158" w:name="_Toc184308073"/>
      <w:bookmarkEnd w:id="158"/>
      <w:bookmarkStart w:id="159" w:name="_Toc184314412"/>
      <w:bookmarkEnd w:id="159"/>
      <w:bookmarkStart w:id="160" w:name="_Toc184310290"/>
      <w:bookmarkEnd w:id="160"/>
      <w:bookmarkStart w:id="161" w:name="_Toc184312096"/>
      <w:bookmarkEnd w:id="161"/>
      <w:bookmarkStart w:id="162" w:name="_Toc184310315"/>
      <w:bookmarkEnd w:id="162"/>
      <w:bookmarkStart w:id="163" w:name="_Toc184308105"/>
      <w:bookmarkEnd w:id="163"/>
      <w:bookmarkStart w:id="164" w:name="_Toc184313273"/>
      <w:bookmarkEnd w:id="164"/>
      <w:bookmarkStart w:id="165" w:name="_Toc184310276"/>
      <w:bookmarkEnd w:id="165"/>
      <w:bookmarkStart w:id="166" w:name="_Toc184314459"/>
      <w:bookmarkEnd w:id="166"/>
      <w:bookmarkStart w:id="167" w:name="_Toc184310321"/>
      <w:bookmarkEnd w:id="167"/>
      <w:bookmarkStart w:id="168" w:name="_Toc184314434"/>
      <w:bookmarkEnd w:id="168"/>
      <w:bookmarkStart w:id="169" w:name="_Toc184313249"/>
      <w:bookmarkEnd w:id="169"/>
      <w:bookmarkStart w:id="170" w:name="_Toc184308094"/>
      <w:bookmarkEnd w:id="170"/>
      <w:bookmarkStart w:id="171" w:name="_Toc184313302"/>
      <w:bookmarkEnd w:id="171"/>
      <w:bookmarkStart w:id="172" w:name="_Toc184310312"/>
      <w:bookmarkEnd w:id="172"/>
      <w:bookmarkStart w:id="173" w:name="_Toc184312071"/>
      <w:bookmarkEnd w:id="173"/>
      <w:bookmarkStart w:id="174" w:name="_Toc184314425"/>
      <w:bookmarkEnd w:id="174"/>
      <w:bookmarkStart w:id="175" w:name="_Toc184308069"/>
      <w:bookmarkEnd w:id="175"/>
      <w:bookmarkStart w:id="176" w:name="_Toc184308096"/>
      <w:bookmarkEnd w:id="176"/>
      <w:bookmarkStart w:id="177" w:name="_Toc184314476"/>
      <w:bookmarkEnd w:id="177"/>
      <w:bookmarkStart w:id="178" w:name="_Toc184313280"/>
      <w:bookmarkEnd w:id="178"/>
      <w:bookmarkStart w:id="179" w:name="_Toc184313259"/>
      <w:bookmarkEnd w:id="179"/>
      <w:bookmarkStart w:id="180" w:name="_Toc184313262"/>
      <w:bookmarkEnd w:id="180"/>
      <w:bookmarkStart w:id="181" w:name="_Toc184312127"/>
      <w:bookmarkEnd w:id="181"/>
      <w:bookmarkStart w:id="182" w:name="_Toc184310293"/>
      <w:bookmarkEnd w:id="182"/>
      <w:bookmarkStart w:id="183" w:name="_Toc184313257"/>
      <w:bookmarkEnd w:id="183"/>
      <w:bookmarkStart w:id="184" w:name="_Toc184313239"/>
      <w:bookmarkEnd w:id="184"/>
      <w:bookmarkStart w:id="185" w:name="_Toc184310338"/>
      <w:bookmarkEnd w:id="185"/>
      <w:bookmarkStart w:id="186" w:name="_Toc184312083"/>
      <w:bookmarkEnd w:id="186"/>
      <w:bookmarkStart w:id="187" w:name="_Toc184314453"/>
      <w:bookmarkEnd w:id="187"/>
      <w:bookmarkStart w:id="188" w:name="_Toc184310322"/>
      <w:bookmarkEnd w:id="188"/>
      <w:bookmarkStart w:id="189" w:name="_Toc184313286"/>
      <w:bookmarkEnd w:id="189"/>
      <w:bookmarkStart w:id="190" w:name="_Toc184312125"/>
      <w:bookmarkEnd w:id="190"/>
      <w:bookmarkStart w:id="191" w:name="_Toc184312111"/>
      <w:bookmarkEnd w:id="191"/>
      <w:bookmarkStart w:id="192" w:name="_Toc184310320"/>
      <w:bookmarkEnd w:id="192"/>
      <w:bookmarkStart w:id="193" w:name="_Toc184308098"/>
      <w:bookmarkEnd w:id="193"/>
      <w:bookmarkStart w:id="194" w:name="_Toc184314465"/>
      <w:bookmarkEnd w:id="194"/>
      <w:bookmarkStart w:id="195" w:name="_Toc184310288"/>
      <w:bookmarkEnd w:id="195"/>
      <w:bookmarkStart w:id="196" w:name="_Toc184308065"/>
      <w:bookmarkEnd w:id="196"/>
      <w:bookmarkStart w:id="197" w:name="_Toc184313278"/>
      <w:bookmarkEnd w:id="197"/>
      <w:bookmarkStart w:id="198" w:name="_Toc184312121"/>
      <w:bookmarkEnd w:id="198"/>
      <w:bookmarkStart w:id="199" w:name="_Toc184308074"/>
      <w:bookmarkEnd w:id="199"/>
      <w:bookmarkStart w:id="200" w:name="_Toc184314438"/>
      <w:bookmarkEnd w:id="200"/>
      <w:bookmarkStart w:id="201" w:name="_Toc184312108"/>
      <w:bookmarkEnd w:id="201"/>
      <w:bookmarkStart w:id="202" w:name="_Toc184312102"/>
      <w:bookmarkEnd w:id="202"/>
      <w:bookmarkStart w:id="203" w:name="_Toc184310311"/>
      <w:bookmarkEnd w:id="203"/>
      <w:bookmarkStart w:id="204" w:name="_Toc184308092"/>
      <w:bookmarkEnd w:id="204"/>
      <w:bookmarkStart w:id="205" w:name="_Toc184312129"/>
      <w:bookmarkEnd w:id="205"/>
      <w:bookmarkStart w:id="206" w:name="_Toc184313251"/>
      <w:bookmarkEnd w:id="206"/>
      <w:bookmarkStart w:id="207" w:name="_Toc184308039"/>
      <w:bookmarkEnd w:id="207"/>
      <w:bookmarkStart w:id="208" w:name="_Toc184312109"/>
      <w:bookmarkEnd w:id="208"/>
      <w:bookmarkStart w:id="209" w:name="_Toc184314481"/>
      <w:bookmarkEnd w:id="209"/>
      <w:bookmarkStart w:id="210" w:name="_Toc184308078"/>
      <w:bookmarkEnd w:id="210"/>
      <w:bookmarkStart w:id="211" w:name="_Toc184313267"/>
      <w:bookmarkEnd w:id="211"/>
      <w:bookmarkStart w:id="212" w:name="_Toc184313260"/>
      <w:bookmarkEnd w:id="212"/>
      <w:bookmarkStart w:id="213" w:name="_Toc184308036"/>
      <w:bookmarkEnd w:id="213"/>
      <w:bookmarkStart w:id="214" w:name="_Toc184312093"/>
      <w:bookmarkEnd w:id="214"/>
      <w:bookmarkStart w:id="215" w:name="_Toc184308089"/>
      <w:bookmarkEnd w:id="215"/>
      <w:bookmarkStart w:id="216" w:name="_Toc184310316"/>
      <w:bookmarkEnd w:id="216"/>
      <w:bookmarkStart w:id="217" w:name="_Toc184313264"/>
      <w:bookmarkEnd w:id="217"/>
      <w:bookmarkStart w:id="218" w:name="_Toc184310336"/>
      <w:bookmarkEnd w:id="218"/>
      <w:bookmarkStart w:id="219" w:name="_Toc184314447"/>
      <w:bookmarkEnd w:id="219"/>
      <w:bookmarkStart w:id="220" w:name="_Toc184314475"/>
      <w:bookmarkEnd w:id="220"/>
      <w:bookmarkStart w:id="221" w:name="_Toc184313243"/>
      <w:bookmarkEnd w:id="221"/>
      <w:bookmarkStart w:id="222" w:name="_Toc184310337"/>
      <w:bookmarkEnd w:id="222"/>
      <w:bookmarkStart w:id="223" w:name="_Toc184314437"/>
      <w:bookmarkEnd w:id="223"/>
      <w:bookmarkStart w:id="224" w:name="_Toc184308097"/>
      <w:bookmarkEnd w:id="224"/>
      <w:bookmarkStart w:id="225" w:name="_Toc184313308"/>
      <w:bookmarkEnd w:id="225"/>
      <w:bookmarkStart w:id="226" w:name="_Toc184308059"/>
      <w:bookmarkEnd w:id="226"/>
      <w:bookmarkStart w:id="227" w:name="_Toc184313275"/>
      <w:bookmarkEnd w:id="227"/>
      <w:bookmarkStart w:id="228" w:name="_Toc184310282"/>
      <w:bookmarkEnd w:id="228"/>
      <w:bookmarkStart w:id="229" w:name="_Toc184308038"/>
      <w:bookmarkEnd w:id="229"/>
      <w:bookmarkStart w:id="230" w:name="_Toc184314477"/>
      <w:bookmarkEnd w:id="230"/>
      <w:bookmarkStart w:id="231" w:name="_Toc184310305"/>
      <w:bookmarkEnd w:id="231"/>
      <w:bookmarkStart w:id="232" w:name="_Toc184310324"/>
      <w:bookmarkEnd w:id="232"/>
      <w:bookmarkStart w:id="233" w:name="_Toc184313284"/>
      <w:bookmarkEnd w:id="233"/>
      <w:bookmarkStart w:id="234" w:name="_Toc184312123"/>
      <w:bookmarkEnd w:id="234"/>
      <w:bookmarkStart w:id="235" w:name="_Toc184310279"/>
      <w:bookmarkEnd w:id="235"/>
      <w:bookmarkStart w:id="236" w:name="_Toc184314468"/>
      <w:bookmarkEnd w:id="236"/>
      <w:bookmarkStart w:id="237" w:name="_Toc184308068"/>
      <w:bookmarkEnd w:id="237"/>
      <w:bookmarkStart w:id="238" w:name="_Toc184308057"/>
      <w:bookmarkEnd w:id="238"/>
      <w:bookmarkStart w:id="239" w:name="_Toc184314466"/>
      <w:bookmarkEnd w:id="239"/>
      <w:bookmarkStart w:id="240" w:name="_Toc184314462"/>
      <w:bookmarkEnd w:id="240"/>
      <w:bookmarkStart w:id="241" w:name="_Toc184312131"/>
      <w:bookmarkEnd w:id="241"/>
      <w:bookmarkStart w:id="242" w:name="_Toc184312103"/>
      <w:bookmarkEnd w:id="242"/>
      <w:bookmarkStart w:id="243" w:name="_Toc184314430"/>
      <w:bookmarkEnd w:id="243"/>
      <w:bookmarkStart w:id="244" w:name="_Toc184312128"/>
      <w:bookmarkEnd w:id="244"/>
      <w:bookmarkStart w:id="245" w:name="_Toc184310287"/>
      <w:bookmarkEnd w:id="245"/>
      <w:bookmarkStart w:id="246" w:name="_Toc184314478"/>
      <w:bookmarkEnd w:id="246"/>
      <w:bookmarkStart w:id="247" w:name="_Toc184312072"/>
      <w:bookmarkEnd w:id="247"/>
      <w:bookmarkStart w:id="248" w:name="_Toc184312112"/>
      <w:bookmarkEnd w:id="248"/>
      <w:bookmarkStart w:id="249" w:name="_Toc184314422"/>
      <w:bookmarkEnd w:id="249"/>
      <w:bookmarkStart w:id="250" w:name="_Toc184313310"/>
      <w:bookmarkEnd w:id="250"/>
      <w:bookmarkStart w:id="251" w:name="_Toc184312105"/>
      <w:bookmarkEnd w:id="251"/>
      <w:bookmarkStart w:id="252" w:name="_Toc184308108"/>
      <w:bookmarkEnd w:id="252"/>
      <w:bookmarkStart w:id="253" w:name="_Toc184310280"/>
      <w:bookmarkEnd w:id="253"/>
      <w:bookmarkStart w:id="254" w:name="_Toc184312116"/>
      <w:bookmarkEnd w:id="254"/>
      <w:bookmarkStart w:id="255" w:name="_Toc184314410"/>
      <w:bookmarkEnd w:id="255"/>
      <w:bookmarkStart w:id="256" w:name="_Toc184308070"/>
      <w:bookmarkEnd w:id="256"/>
      <w:bookmarkStart w:id="257" w:name="_Toc184312107"/>
      <w:bookmarkEnd w:id="257"/>
      <w:bookmarkStart w:id="258" w:name="_Toc184310297"/>
      <w:bookmarkEnd w:id="258"/>
      <w:bookmarkStart w:id="259" w:name="_Toc184312130"/>
      <w:bookmarkEnd w:id="259"/>
      <w:bookmarkStart w:id="260" w:name="_Toc184314415"/>
      <w:bookmarkEnd w:id="260"/>
      <w:bookmarkStart w:id="261" w:name="_Toc184308104"/>
      <w:bookmarkEnd w:id="261"/>
      <w:bookmarkStart w:id="262" w:name="_Toc184312104"/>
      <w:bookmarkEnd w:id="262"/>
      <w:bookmarkStart w:id="263" w:name="_Toc184308085"/>
      <w:bookmarkEnd w:id="263"/>
      <w:bookmarkStart w:id="264" w:name="_Toc184312124"/>
      <w:bookmarkEnd w:id="264"/>
      <w:bookmarkStart w:id="265" w:name="_Toc184313279"/>
      <w:bookmarkEnd w:id="265"/>
      <w:bookmarkStart w:id="266" w:name="_Toc184313247"/>
      <w:bookmarkEnd w:id="266"/>
      <w:bookmarkStart w:id="267" w:name="_Toc184312100"/>
      <w:bookmarkEnd w:id="267"/>
      <w:bookmarkStart w:id="268" w:name="_Toc184313272"/>
      <w:bookmarkEnd w:id="268"/>
      <w:bookmarkStart w:id="269" w:name="_Toc184310335"/>
      <w:bookmarkEnd w:id="269"/>
      <w:bookmarkStart w:id="270" w:name="_Toc184313309"/>
      <w:bookmarkEnd w:id="270"/>
      <w:bookmarkStart w:id="271" w:name="_Toc184310306"/>
      <w:bookmarkEnd w:id="271"/>
      <w:bookmarkStart w:id="272" w:name="_Toc184308062"/>
      <w:bookmarkEnd w:id="272"/>
      <w:bookmarkStart w:id="273" w:name="_Toc184314472"/>
      <w:bookmarkEnd w:id="273"/>
      <w:bookmarkStart w:id="274" w:name="_Toc184310310"/>
      <w:bookmarkEnd w:id="274"/>
      <w:bookmarkStart w:id="275" w:name="_Toc184314439"/>
      <w:bookmarkEnd w:id="275"/>
      <w:bookmarkStart w:id="276" w:name="_Toc184310307"/>
      <w:bookmarkEnd w:id="276"/>
      <w:bookmarkStart w:id="277" w:name="_Toc184312113"/>
      <w:bookmarkEnd w:id="277"/>
      <w:bookmarkStart w:id="278" w:name="_Toc184313299"/>
      <w:bookmarkEnd w:id="278"/>
      <w:bookmarkStart w:id="279" w:name="_Toc184314454"/>
      <w:bookmarkEnd w:id="279"/>
      <w:bookmarkStart w:id="280" w:name="_Toc184308071"/>
      <w:bookmarkEnd w:id="280"/>
      <w:bookmarkStart w:id="281" w:name="_Toc184314433"/>
      <w:bookmarkEnd w:id="281"/>
      <w:bookmarkStart w:id="282" w:name="_Toc184312118"/>
      <w:bookmarkEnd w:id="282"/>
      <w:bookmarkStart w:id="283" w:name="_Toc184310281"/>
      <w:bookmarkEnd w:id="283"/>
      <w:bookmarkStart w:id="284" w:name="_Toc184308064"/>
      <w:bookmarkEnd w:id="284"/>
      <w:bookmarkStart w:id="285" w:name="_Toc184312114"/>
      <w:bookmarkEnd w:id="285"/>
      <w:bookmarkStart w:id="286" w:name="_Toc184308058"/>
      <w:bookmarkEnd w:id="286"/>
      <w:bookmarkStart w:id="287" w:name="_Toc184312080"/>
      <w:bookmarkEnd w:id="287"/>
      <w:bookmarkStart w:id="288" w:name="_Toc184312089"/>
      <w:bookmarkEnd w:id="288"/>
      <w:bookmarkStart w:id="289" w:name="_Toc184312115"/>
      <w:bookmarkEnd w:id="289"/>
      <w:bookmarkStart w:id="290" w:name="_Toc184310329"/>
      <w:bookmarkEnd w:id="290"/>
      <w:bookmarkStart w:id="291" w:name="_Toc184310339"/>
      <w:bookmarkEnd w:id="291"/>
      <w:bookmarkStart w:id="292" w:name="_Toc184314469"/>
      <w:bookmarkEnd w:id="292"/>
      <w:bookmarkStart w:id="293" w:name="_Toc184308080"/>
      <w:bookmarkEnd w:id="293"/>
      <w:bookmarkStart w:id="294" w:name="_Toc184313245"/>
      <w:bookmarkEnd w:id="294"/>
      <w:bookmarkStart w:id="295" w:name="_Toc184310344"/>
      <w:bookmarkEnd w:id="295"/>
      <w:bookmarkStart w:id="296" w:name="_Toc184313282"/>
      <w:bookmarkEnd w:id="296"/>
      <w:bookmarkStart w:id="297" w:name="_Toc184313266"/>
      <w:bookmarkEnd w:id="297"/>
      <w:bookmarkStart w:id="298" w:name="_Toc184310328"/>
      <w:bookmarkEnd w:id="298"/>
      <w:bookmarkStart w:id="299" w:name="_Toc184312122"/>
      <w:bookmarkEnd w:id="299"/>
      <w:bookmarkStart w:id="300" w:name="_Toc184308077"/>
      <w:bookmarkEnd w:id="300"/>
      <w:bookmarkStart w:id="301" w:name="_Toc184313285"/>
      <w:bookmarkEnd w:id="301"/>
      <w:bookmarkStart w:id="302" w:name="_Toc184314451"/>
      <w:bookmarkEnd w:id="302"/>
      <w:bookmarkStart w:id="303" w:name="_Toc184314482"/>
      <w:bookmarkEnd w:id="303"/>
      <w:bookmarkStart w:id="304" w:name="_Toc184313254"/>
      <w:bookmarkEnd w:id="304"/>
      <w:bookmarkStart w:id="305" w:name="_Toc184308076"/>
      <w:bookmarkEnd w:id="305"/>
      <w:bookmarkStart w:id="306" w:name="_Toc184310283"/>
      <w:bookmarkEnd w:id="306"/>
      <w:bookmarkStart w:id="307" w:name="_Toc184313290"/>
      <w:bookmarkEnd w:id="307"/>
      <w:bookmarkStart w:id="308" w:name="_Toc184313293"/>
      <w:bookmarkEnd w:id="308"/>
      <w:bookmarkStart w:id="309" w:name="_Toc184314426"/>
      <w:bookmarkEnd w:id="309"/>
      <w:bookmarkStart w:id="310" w:name="_Toc184313303"/>
      <w:bookmarkEnd w:id="310"/>
      <w:bookmarkStart w:id="311" w:name="_Toc184314444"/>
      <w:bookmarkEnd w:id="311"/>
      <w:bookmarkStart w:id="312" w:name="_Toc184314446"/>
      <w:bookmarkEnd w:id="312"/>
      <w:bookmarkStart w:id="313" w:name="_Toc184312087"/>
      <w:bookmarkEnd w:id="313"/>
      <w:bookmarkStart w:id="314" w:name="_Toc184313248"/>
      <w:bookmarkEnd w:id="314"/>
      <w:bookmarkStart w:id="315" w:name="_Toc184314480"/>
      <w:bookmarkEnd w:id="315"/>
      <w:bookmarkStart w:id="316" w:name="_Toc184312076"/>
      <w:bookmarkEnd w:id="316"/>
      <w:bookmarkStart w:id="317" w:name="_Toc184313295"/>
      <w:bookmarkEnd w:id="317"/>
      <w:bookmarkStart w:id="318" w:name="_Toc184312106"/>
      <w:bookmarkEnd w:id="318"/>
      <w:bookmarkStart w:id="319" w:name="_Toc184314463"/>
      <w:bookmarkEnd w:id="319"/>
      <w:bookmarkStart w:id="320" w:name="_Toc184313268"/>
      <w:bookmarkEnd w:id="320"/>
      <w:bookmarkStart w:id="321" w:name="_Toc184308090"/>
      <w:bookmarkEnd w:id="321"/>
      <w:bookmarkStart w:id="322" w:name="_Toc184310274"/>
      <w:bookmarkEnd w:id="322"/>
      <w:bookmarkStart w:id="323" w:name="_Toc184312101"/>
      <w:bookmarkEnd w:id="323"/>
      <w:bookmarkStart w:id="324" w:name="_Toc184312135"/>
      <w:bookmarkEnd w:id="324"/>
      <w:bookmarkStart w:id="325" w:name="_Toc184308056"/>
      <w:bookmarkEnd w:id="325"/>
      <w:bookmarkStart w:id="326" w:name="_Toc184308102"/>
      <w:bookmarkEnd w:id="326"/>
      <w:bookmarkStart w:id="327" w:name="_Toc184314440"/>
      <w:bookmarkEnd w:id="327"/>
      <w:bookmarkStart w:id="328" w:name="_Toc184313265"/>
      <w:bookmarkEnd w:id="328"/>
      <w:bookmarkStart w:id="329" w:name="_Toc184308046"/>
      <w:bookmarkEnd w:id="329"/>
      <w:bookmarkStart w:id="330" w:name="_Toc184310313"/>
      <w:bookmarkEnd w:id="330"/>
      <w:bookmarkStart w:id="331" w:name="_Toc184310340"/>
      <w:bookmarkEnd w:id="331"/>
      <w:bookmarkStart w:id="332" w:name="_Toc184313241"/>
      <w:bookmarkEnd w:id="332"/>
      <w:bookmarkStart w:id="333" w:name="_Toc184314421"/>
      <w:bookmarkEnd w:id="333"/>
      <w:bookmarkStart w:id="334" w:name="_Toc184308079"/>
      <w:bookmarkEnd w:id="334"/>
      <w:bookmarkStart w:id="335" w:name="_Toc184313240"/>
      <w:bookmarkEnd w:id="335"/>
      <w:bookmarkStart w:id="336" w:name="_Toc184308107"/>
      <w:bookmarkEnd w:id="336"/>
      <w:bookmarkStart w:id="337" w:name="_Toc184314464"/>
      <w:bookmarkEnd w:id="337"/>
      <w:bookmarkStart w:id="338" w:name="_Toc184313252"/>
      <w:bookmarkEnd w:id="338"/>
      <w:bookmarkStart w:id="339" w:name="_Toc184310302"/>
      <w:bookmarkEnd w:id="339"/>
      <w:bookmarkStart w:id="340" w:name="_Toc184312136"/>
      <w:bookmarkEnd w:id="340"/>
      <w:bookmarkStart w:id="341" w:name="_Toc184308067"/>
      <w:bookmarkEnd w:id="341"/>
      <w:bookmarkStart w:id="342" w:name="_Toc184308053"/>
      <w:bookmarkEnd w:id="342"/>
      <w:bookmarkStart w:id="343" w:name="_Toc184310319"/>
      <w:bookmarkEnd w:id="343"/>
      <w:bookmarkStart w:id="344" w:name="_Toc184313292"/>
      <w:bookmarkEnd w:id="344"/>
      <w:bookmarkStart w:id="345" w:name="_Toc184312086"/>
      <w:bookmarkEnd w:id="345"/>
      <w:bookmarkStart w:id="346" w:name="_Toc184310303"/>
      <w:bookmarkEnd w:id="346"/>
      <w:bookmarkStart w:id="347" w:name="_Toc184310314"/>
      <w:bookmarkEnd w:id="347"/>
      <w:bookmarkStart w:id="348" w:name="_Toc184314411"/>
      <w:bookmarkEnd w:id="348"/>
      <w:bookmarkStart w:id="349" w:name="_Toc184310323"/>
      <w:bookmarkEnd w:id="349"/>
      <w:bookmarkStart w:id="350" w:name="_Toc184308087"/>
      <w:bookmarkEnd w:id="350"/>
      <w:bookmarkStart w:id="351" w:name="_Toc184310272"/>
      <w:bookmarkEnd w:id="351"/>
      <w:bookmarkStart w:id="352" w:name="_Toc184310308"/>
      <w:bookmarkEnd w:id="352"/>
      <w:bookmarkStart w:id="353" w:name="_Toc184312077"/>
      <w:bookmarkEnd w:id="353"/>
      <w:bookmarkStart w:id="354" w:name="_Toc184312069"/>
      <w:bookmarkEnd w:id="354"/>
      <w:bookmarkStart w:id="355" w:name="_Toc184310277"/>
      <w:bookmarkEnd w:id="355"/>
      <w:bookmarkStart w:id="356" w:name="_Toc184308050"/>
      <w:bookmarkEnd w:id="356"/>
      <w:bookmarkStart w:id="357" w:name="_Toc184312088"/>
      <w:bookmarkEnd w:id="357"/>
      <w:bookmarkStart w:id="358" w:name="_Toc184313271"/>
      <w:bookmarkEnd w:id="358"/>
      <w:bookmarkStart w:id="359" w:name="_Toc184312139"/>
      <w:bookmarkEnd w:id="359"/>
      <w:bookmarkStart w:id="360" w:name="_Toc184312067"/>
      <w:bookmarkEnd w:id="360"/>
      <w:bookmarkStart w:id="361" w:name="_Toc184314435"/>
      <w:bookmarkEnd w:id="361"/>
      <w:bookmarkStart w:id="362" w:name="_Toc184308091"/>
      <w:bookmarkEnd w:id="362"/>
      <w:bookmarkStart w:id="363" w:name="_Toc184314448"/>
      <w:bookmarkEnd w:id="363"/>
      <w:bookmarkStart w:id="364" w:name="_Toc184308063"/>
      <w:bookmarkEnd w:id="364"/>
      <w:bookmarkStart w:id="365" w:name="_Toc184312133"/>
      <w:bookmarkEnd w:id="365"/>
      <w:bookmarkStart w:id="366" w:name="_Toc184308101"/>
      <w:bookmarkEnd w:id="366"/>
      <w:bookmarkStart w:id="367" w:name="_Toc184314458"/>
      <w:bookmarkEnd w:id="367"/>
      <w:bookmarkStart w:id="368" w:name="_Toc184313270"/>
      <w:bookmarkEnd w:id="368"/>
      <w:bookmarkStart w:id="369" w:name="_Toc184308103"/>
      <w:bookmarkEnd w:id="369"/>
      <w:bookmarkStart w:id="370" w:name="_Toc184314429"/>
      <w:bookmarkEnd w:id="370"/>
      <w:bookmarkStart w:id="371" w:name="_Toc184312081"/>
      <w:bookmarkEnd w:id="371"/>
      <w:bookmarkStart w:id="372" w:name="_Toc184310333"/>
      <w:bookmarkEnd w:id="372"/>
      <w:bookmarkStart w:id="373" w:name="_Toc184312137"/>
      <w:bookmarkEnd w:id="373"/>
      <w:bookmarkStart w:id="374" w:name="_Toc184314414"/>
      <w:bookmarkEnd w:id="374"/>
      <w:bookmarkStart w:id="375" w:name="_Toc184314467"/>
      <w:bookmarkEnd w:id="375"/>
      <w:bookmarkStart w:id="376" w:name="_Toc184313288"/>
      <w:bookmarkEnd w:id="376"/>
      <w:bookmarkStart w:id="377" w:name="_Toc184314461"/>
      <w:bookmarkEnd w:id="377"/>
      <w:bookmarkStart w:id="378" w:name="_Toc184308088"/>
      <w:bookmarkEnd w:id="378"/>
      <w:bookmarkStart w:id="379" w:name="_Toc184314474"/>
      <w:bookmarkEnd w:id="379"/>
      <w:bookmarkStart w:id="380" w:name="_Toc184308106"/>
      <w:bookmarkEnd w:id="380"/>
      <w:bookmarkStart w:id="381" w:name="_Toc184312126"/>
      <w:bookmarkEnd w:id="381"/>
      <w:bookmarkStart w:id="382" w:name="_Toc184310296"/>
      <w:bookmarkEnd w:id="382"/>
      <w:bookmarkStart w:id="383" w:name="_Toc184308084"/>
      <w:bookmarkEnd w:id="383"/>
      <w:bookmarkStart w:id="384" w:name="_Toc184310327"/>
      <w:bookmarkEnd w:id="384"/>
      <w:bookmarkStart w:id="385" w:name="_Toc184313238"/>
      <w:bookmarkEnd w:id="385"/>
      <w:bookmarkStart w:id="386" w:name="_Toc184313244"/>
      <w:bookmarkEnd w:id="386"/>
      <w:bookmarkStart w:id="387" w:name="_Toc184312078"/>
      <w:bookmarkEnd w:id="387"/>
      <w:bookmarkStart w:id="388" w:name="_Toc184314470"/>
      <w:bookmarkEnd w:id="388"/>
      <w:bookmarkStart w:id="389" w:name="_Toc184314445"/>
      <w:bookmarkEnd w:id="389"/>
      <w:bookmarkStart w:id="390" w:name="_Toc184308075"/>
      <w:bookmarkEnd w:id="390"/>
      <w:bookmarkStart w:id="391" w:name="_Toc184314432"/>
      <w:bookmarkEnd w:id="391"/>
      <w:bookmarkStart w:id="392" w:name="_Toc184308082"/>
      <w:bookmarkEnd w:id="392"/>
      <w:bookmarkStart w:id="393" w:name="_Toc184313304"/>
      <w:bookmarkEnd w:id="393"/>
      <w:bookmarkStart w:id="394" w:name="_Toc184313269"/>
      <w:bookmarkEnd w:id="394"/>
      <w:bookmarkStart w:id="395" w:name="_Toc184308083"/>
      <w:bookmarkEnd w:id="395"/>
      <w:bookmarkStart w:id="396" w:name="_Toc184313261"/>
      <w:bookmarkEnd w:id="396"/>
      <w:bookmarkStart w:id="397" w:name="_Toc184314423"/>
      <w:bookmarkEnd w:id="397"/>
      <w:bookmarkStart w:id="398" w:name="_Toc184310332"/>
      <w:bookmarkEnd w:id="398"/>
      <w:bookmarkStart w:id="399" w:name="_Toc184310342"/>
      <w:bookmarkEnd w:id="399"/>
      <w:bookmarkStart w:id="400" w:name="_Toc184310330"/>
      <w:bookmarkEnd w:id="400"/>
      <w:bookmarkStart w:id="401" w:name="_Toc184312074"/>
      <w:bookmarkEnd w:id="401"/>
      <w:bookmarkStart w:id="402" w:name="_Toc184310325"/>
      <w:bookmarkEnd w:id="402"/>
      <w:bookmarkStart w:id="403" w:name="_Toc184314455"/>
      <w:bookmarkEnd w:id="403"/>
      <w:bookmarkStart w:id="404" w:name="_Toc184312098"/>
      <w:bookmarkEnd w:id="404"/>
      <w:bookmarkStart w:id="405" w:name="_Toc184313300"/>
      <w:bookmarkEnd w:id="405"/>
      <w:bookmarkStart w:id="406" w:name="_Toc184313291"/>
      <w:bookmarkEnd w:id="406"/>
      <w:bookmarkStart w:id="407" w:name="_Toc184308072"/>
      <w:bookmarkEnd w:id="407"/>
      <w:bookmarkStart w:id="408" w:name="_Toc184314436"/>
      <w:bookmarkEnd w:id="408"/>
      <w:bookmarkStart w:id="409" w:name="_Toc184312097"/>
      <w:bookmarkEnd w:id="409"/>
      <w:bookmarkStart w:id="410" w:name="_Toc184312134"/>
      <w:bookmarkEnd w:id="410"/>
      <w:bookmarkStart w:id="411" w:name="_Toc184312091"/>
      <w:bookmarkEnd w:id="411"/>
      <w:bookmarkStart w:id="412" w:name="_Toc184308054"/>
      <w:bookmarkEnd w:id="412"/>
      <w:bookmarkStart w:id="413" w:name="_Toc184308095"/>
      <w:bookmarkEnd w:id="413"/>
      <w:bookmarkStart w:id="414" w:name="_Toc184314479"/>
      <w:bookmarkEnd w:id="414"/>
      <w:bookmarkStart w:id="415" w:name="_Toc184308041"/>
      <w:bookmarkEnd w:id="415"/>
      <w:bookmarkStart w:id="416" w:name="_Toc184310331"/>
      <w:bookmarkEnd w:id="416"/>
      <w:bookmarkStart w:id="417" w:name="_Toc184314450"/>
      <w:bookmarkEnd w:id="417"/>
      <w:bookmarkStart w:id="418" w:name="_Toc184308052"/>
      <w:bookmarkEnd w:id="418"/>
      <w:bookmarkStart w:id="419" w:name="_Toc184310343"/>
      <w:bookmarkEnd w:id="419"/>
      <w:bookmarkStart w:id="420" w:name="_Toc184308093"/>
      <w:bookmarkEnd w:id="420"/>
      <w:bookmarkStart w:id="421" w:name="_Toc184310275"/>
      <w:bookmarkEnd w:id="421"/>
      <w:r>
        <w:rPr>
          <w:rFonts w:hint="eastAsia" w:ascii="仿宋" w:hAnsi="仿宋" w:eastAsia="仿宋" w:cs="仿宋"/>
          <w:b/>
          <w:color w:val="auto"/>
          <w:sz w:val="36"/>
          <w:szCs w:val="36"/>
          <w:highlight w:val="none"/>
        </w:rPr>
        <w:t>评标办法</w:t>
      </w:r>
      <w:bookmarkEnd w:id="50"/>
      <w:bookmarkEnd w:id="51"/>
      <w:bookmarkEnd w:id="52"/>
      <w:bookmarkEnd w:id="53"/>
      <w:bookmarkEnd w:id="54"/>
      <w:bookmarkEnd w:id="55"/>
      <w:bookmarkEnd w:id="56"/>
    </w:p>
    <w:p>
      <w:pPr>
        <w:wordWrap w:val="0"/>
        <w:snapToGrid w:val="0"/>
        <w:spacing w:line="360" w:lineRule="auto"/>
        <w:jc w:val="center"/>
        <w:outlineLvl w:val="1"/>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143"/>
        <w:gridCol w:w="857"/>
        <w:gridCol w:w="3986"/>
        <w:gridCol w:w="1079"/>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rPr>
            </w:pPr>
            <w:r>
              <w:rPr>
                <w:rStyle w:val="78"/>
                <w:rFonts w:hint="eastAsia" w:ascii="仿宋" w:hAnsi="仿宋" w:eastAsia="仿宋" w:cs="仿宋"/>
                <w:b w:val="0"/>
                <w:bCs/>
                <w:color w:val="auto"/>
                <w:sz w:val="21"/>
                <w:szCs w:val="21"/>
                <w:highlight w:val="none"/>
              </w:rPr>
              <w:t>序号</w:t>
            </w:r>
          </w:p>
        </w:tc>
        <w:tc>
          <w:tcPr>
            <w:tcW w:w="1143"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rPr>
            </w:pPr>
            <w:r>
              <w:rPr>
                <w:rStyle w:val="78"/>
                <w:rFonts w:hint="eastAsia" w:ascii="仿宋" w:hAnsi="仿宋" w:eastAsia="仿宋" w:cs="仿宋"/>
                <w:b w:val="0"/>
                <w:bCs/>
                <w:color w:val="auto"/>
                <w:sz w:val="21"/>
                <w:szCs w:val="21"/>
                <w:highlight w:val="none"/>
              </w:rPr>
              <w:t>名称</w:t>
            </w:r>
          </w:p>
        </w:tc>
        <w:tc>
          <w:tcPr>
            <w:tcW w:w="857"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rPr>
            </w:pPr>
            <w:r>
              <w:rPr>
                <w:rStyle w:val="78"/>
                <w:rFonts w:hint="eastAsia" w:ascii="仿宋" w:hAnsi="仿宋" w:eastAsia="仿宋" w:cs="仿宋"/>
                <w:b w:val="0"/>
                <w:bCs/>
                <w:color w:val="auto"/>
                <w:sz w:val="21"/>
                <w:szCs w:val="21"/>
                <w:highlight w:val="none"/>
              </w:rPr>
              <w:t>分值</w:t>
            </w:r>
          </w:p>
        </w:tc>
        <w:tc>
          <w:tcPr>
            <w:tcW w:w="3986"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ind w:firstLine="420" w:firstLineChars="200"/>
              <w:jc w:val="center"/>
              <w:textAlignment w:val="auto"/>
              <w:rPr>
                <w:rStyle w:val="78"/>
                <w:rFonts w:hint="eastAsia" w:ascii="仿宋" w:hAnsi="仿宋" w:eastAsia="仿宋" w:cs="仿宋"/>
                <w:b w:val="0"/>
                <w:bCs/>
                <w:color w:val="auto"/>
                <w:sz w:val="21"/>
                <w:szCs w:val="21"/>
                <w:highlight w:val="none"/>
              </w:rPr>
            </w:pPr>
            <w:r>
              <w:rPr>
                <w:rStyle w:val="78"/>
                <w:rFonts w:hint="eastAsia" w:ascii="仿宋" w:hAnsi="仿宋" w:eastAsia="仿宋" w:cs="仿宋"/>
                <w:b w:val="0"/>
                <w:bCs/>
                <w:color w:val="auto"/>
                <w:sz w:val="21"/>
                <w:szCs w:val="21"/>
                <w:highlight w:val="none"/>
              </w:rPr>
              <w:t>评审因素</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备注</w:t>
            </w: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both"/>
              <w:textAlignment w:val="auto"/>
              <w:rPr>
                <w:rStyle w:val="78"/>
                <w:rFonts w:hint="eastAsia" w:ascii="仿宋" w:hAnsi="仿宋" w:eastAsia="仿宋" w:cs="仿宋"/>
                <w:b w:val="0"/>
                <w:bCs/>
                <w:color w:val="auto"/>
                <w:sz w:val="21"/>
                <w:szCs w:val="21"/>
                <w:highlight w:val="none"/>
              </w:rPr>
            </w:pPr>
            <w:r>
              <w:rPr>
                <w:rFonts w:hint="eastAsia" w:ascii="仿宋" w:hAnsi="仿宋" w:eastAsia="仿宋" w:cs="仿宋"/>
                <w:bCs/>
                <w:color w:val="auto"/>
                <w:sz w:val="21"/>
                <w:szCs w:val="21"/>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一</w:t>
            </w:r>
          </w:p>
        </w:tc>
        <w:tc>
          <w:tcPr>
            <w:tcW w:w="5986" w:type="dxa"/>
            <w:gridSpan w:val="3"/>
            <w:noWrap w:val="0"/>
            <w:vAlign w:val="center"/>
          </w:tcPr>
          <w:p>
            <w:pPr>
              <w:keepNext w:val="0"/>
              <w:keepLines w:val="0"/>
              <w:pageBreakBefore w:val="0"/>
              <w:kinsoku/>
              <w:wordWrap/>
              <w:overflowPunct/>
              <w:topLinePunct w:val="0"/>
              <w:autoSpaceDE w:val="0"/>
              <w:autoSpaceDN w:val="0"/>
              <w:bidi w:val="0"/>
              <w:adjustRightInd w:val="0"/>
              <w:snapToGrid/>
              <w:spacing w:line="400" w:lineRule="exact"/>
              <w:ind w:firstLine="0" w:firstLineChars="0"/>
              <w:jc w:val="both"/>
              <w:textAlignment w:val="auto"/>
              <w:rPr>
                <w:rStyle w:val="78"/>
                <w:rFonts w:hint="eastAsia" w:ascii="仿宋" w:hAnsi="仿宋" w:eastAsia="仿宋" w:cs="仿宋"/>
                <w:b w:val="0"/>
                <w:bCs/>
                <w:color w:val="auto"/>
                <w:sz w:val="21"/>
                <w:szCs w:val="21"/>
                <w:highlight w:val="none"/>
                <w:lang w:val="en-US"/>
              </w:rPr>
            </w:pPr>
            <w:r>
              <w:rPr>
                <w:rStyle w:val="78"/>
                <w:rFonts w:hint="eastAsia" w:ascii="仿宋" w:hAnsi="仿宋" w:eastAsia="仿宋" w:cs="仿宋"/>
                <w:b w:val="0"/>
                <w:bCs/>
                <w:color w:val="auto"/>
                <w:sz w:val="21"/>
                <w:szCs w:val="21"/>
                <w:highlight w:val="none"/>
                <w:lang w:val="en-US" w:eastAsia="zh-CN"/>
              </w:rPr>
              <w:t>商务技术，70分</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ind w:firstLine="0" w:firstLineChars="0"/>
              <w:jc w:val="center"/>
              <w:textAlignment w:val="auto"/>
              <w:rPr>
                <w:rStyle w:val="78"/>
                <w:rFonts w:hint="eastAsia" w:ascii="仿宋" w:hAnsi="仿宋" w:eastAsia="仿宋" w:cs="仿宋"/>
                <w:b w:val="0"/>
                <w:bCs/>
                <w:color w:val="auto"/>
                <w:sz w:val="21"/>
                <w:szCs w:val="21"/>
                <w:highlight w:val="none"/>
                <w:lang w:val="en-US" w:eastAsia="zh-CN"/>
              </w:rPr>
            </w:pP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ind w:firstLine="0" w:firstLineChars="0"/>
              <w:jc w:val="both"/>
              <w:textAlignment w:val="auto"/>
              <w:rPr>
                <w:rStyle w:val="78"/>
                <w:rFonts w:hint="eastAsia" w:ascii="仿宋" w:hAnsi="仿宋" w:eastAsia="仿宋" w:cs="仿宋"/>
                <w:b w:val="0"/>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1</w:t>
            </w:r>
          </w:p>
        </w:tc>
        <w:tc>
          <w:tcPr>
            <w:tcW w:w="1143" w:type="dxa"/>
            <w:noWrap w:val="0"/>
            <w:vAlign w:val="center"/>
          </w:tcPr>
          <w:p>
            <w:pPr>
              <w:keepNext w:val="0"/>
              <w:keepLines w:val="0"/>
              <w:pageBreakBefore w:val="0"/>
              <w:kinsoku/>
              <w:wordWrap/>
              <w:overflowPunct/>
              <w:topLinePunct w:val="0"/>
              <w:bidi w:val="0"/>
              <w:snapToGrid/>
              <w:spacing w:line="400" w:lineRule="exact"/>
              <w:ind w:left="0" w:right="0" w:rightChars="0" w:hanging="31" w:hangingChars="15"/>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企业综合</w:t>
            </w:r>
          </w:p>
          <w:p>
            <w:pPr>
              <w:keepNext w:val="0"/>
              <w:keepLines w:val="0"/>
              <w:pageBreakBefore w:val="0"/>
              <w:kinsoku/>
              <w:wordWrap/>
              <w:overflowPunct/>
              <w:topLinePunct w:val="0"/>
              <w:bidi w:val="0"/>
              <w:snapToGrid/>
              <w:spacing w:line="400" w:lineRule="exact"/>
              <w:ind w:left="31" w:leftChars="0" w:right="0" w:rightChars="0" w:hanging="31" w:hangingChars="15"/>
              <w:jc w:val="center"/>
              <w:textAlignment w:val="auto"/>
              <w:rPr>
                <w:rStyle w:val="78"/>
                <w:rFonts w:hint="eastAsia" w:ascii="仿宋" w:hAnsi="仿宋" w:eastAsia="仿宋" w:cs="仿宋"/>
                <w:b w:val="0"/>
                <w:bCs/>
                <w:color w:val="auto"/>
                <w:sz w:val="21"/>
                <w:szCs w:val="21"/>
                <w:highlight w:val="none"/>
                <w:lang w:val="en-US" w:eastAsia="zh-CN"/>
              </w:rPr>
            </w:pPr>
            <w:r>
              <w:rPr>
                <w:rFonts w:hint="eastAsia" w:ascii="仿宋" w:hAnsi="仿宋" w:eastAsia="仿宋" w:cs="仿宋"/>
                <w:color w:val="auto"/>
                <w:sz w:val="21"/>
                <w:szCs w:val="21"/>
                <w:highlight w:val="none"/>
              </w:rPr>
              <w:t>实力</w:t>
            </w:r>
          </w:p>
        </w:tc>
        <w:tc>
          <w:tcPr>
            <w:tcW w:w="857" w:type="dxa"/>
            <w:noWrap w:val="0"/>
            <w:vAlign w:val="center"/>
          </w:tcPr>
          <w:p>
            <w:pPr>
              <w:keepNext w:val="0"/>
              <w:keepLines w:val="0"/>
              <w:pageBreakBefore w:val="0"/>
              <w:kinsoku/>
              <w:wordWrap/>
              <w:overflowPunct/>
              <w:topLinePunct w:val="0"/>
              <w:bidi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w:t>
            </w:r>
          </w:p>
        </w:tc>
        <w:tc>
          <w:tcPr>
            <w:tcW w:w="3986" w:type="dxa"/>
            <w:noWrap w:val="0"/>
            <w:vAlign w:val="center"/>
          </w:tcPr>
          <w:p>
            <w:pPr>
              <w:pStyle w:val="81"/>
              <w:numPr>
                <w:ilvl w:val="-1"/>
                <w:numId w:val="0"/>
              </w:numPr>
              <w:spacing w:line="400" w:lineRule="exact"/>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所投核心产品制造商具有质量管理体系认证、职业健康安全管理体系认证和环境管理体系认证证书的，每个</w:t>
            </w:r>
            <w:r>
              <w:rPr>
                <w:rFonts w:hint="eastAsia" w:ascii="仿宋" w:hAnsi="仿宋" w:eastAsia="仿宋" w:cs="仿宋"/>
                <w:color w:val="auto"/>
                <w:sz w:val="21"/>
                <w:szCs w:val="21"/>
                <w:highlight w:val="none"/>
                <w:lang w:val="en-US"/>
              </w:rPr>
              <w:t>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en-US"/>
              </w:rPr>
              <w:t>分</w:t>
            </w:r>
            <w:r>
              <w:rPr>
                <w:rFonts w:hint="eastAsia" w:ascii="仿宋" w:hAnsi="仿宋" w:eastAsia="仿宋" w:cs="仿宋"/>
                <w:color w:val="auto"/>
                <w:sz w:val="21"/>
                <w:szCs w:val="21"/>
                <w:highlight w:val="none"/>
                <w:lang w:val="en-US" w:eastAsia="zh-CN"/>
              </w:rPr>
              <w:t>，最高得3分</w:t>
            </w:r>
            <w:r>
              <w:rPr>
                <w:rFonts w:hint="eastAsia" w:ascii="仿宋" w:hAnsi="仿宋" w:eastAsia="仿宋" w:cs="仿宋"/>
                <w:color w:val="auto"/>
                <w:sz w:val="21"/>
                <w:szCs w:val="21"/>
                <w:highlight w:val="none"/>
                <w:lang w:val="en-US"/>
              </w:rPr>
              <w:t>。</w:t>
            </w:r>
          </w:p>
          <w:p>
            <w:pPr>
              <w:pStyle w:val="81"/>
              <w:numPr>
                <w:ilvl w:val="0"/>
                <w:numId w:val="0"/>
              </w:numPr>
              <w:rPr>
                <w:rStyle w:val="78"/>
                <w:rFonts w:hint="eastAsia" w:ascii="仿宋" w:hAnsi="仿宋" w:eastAsia="仿宋" w:cs="仿宋"/>
                <w:b w:val="0"/>
                <w:bCs/>
                <w:color w:val="auto"/>
                <w:sz w:val="21"/>
                <w:szCs w:val="21"/>
                <w:highlight w:val="none"/>
                <w:lang w:eastAsia="zh-CN"/>
              </w:rPr>
            </w:pPr>
            <w:r>
              <w:rPr>
                <w:rFonts w:hint="eastAsia" w:ascii="仿宋" w:hAnsi="仿宋" w:eastAsia="仿宋" w:cs="仿宋"/>
                <w:color w:val="auto"/>
                <w:sz w:val="21"/>
                <w:szCs w:val="21"/>
                <w:highlight w:val="none"/>
                <w:lang w:val="en-US"/>
              </w:rPr>
              <w:t>证明材料提供有效的认证证书。</w:t>
            </w:r>
          </w:p>
        </w:tc>
        <w:tc>
          <w:tcPr>
            <w:tcW w:w="1079"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客观分</w:t>
            </w:r>
          </w:p>
        </w:tc>
        <w:tc>
          <w:tcPr>
            <w:tcW w:w="1071" w:type="dxa"/>
            <w:noWrap w:val="0"/>
            <w:vAlign w:val="center"/>
          </w:tcPr>
          <w:p>
            <w:pPr>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2</w:t>
            </w:r>
          </w:p>
        </w:tc>
        <w:tc>
          <w:tcPr>
            <w:tcW w:w="1143" w:type="dxa"/>
            <w:noWrap w:val="0"/>
            <w:vAlign w:val="center"/>
          </w:tcPr>
          <w:p>
            <w:pPr>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类似项目</w:t>
            </w:r>
          </w:p>
          <w:p>
            <w:pPr>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供货</w:t>
            </w:r>
            <w:r>
              <w:rPr>
                <w:rFonts w:hint="eastAsia" w:ascii="仿宋" w:hAnsi="仿宋" w:eastAsia="仿宋" w:cs="仿宋"/>
                <w:color w:val="auto"/>
                <w:sz w:val="21"/>
                <w:szCs w:val="21"/>
                <w:highlight w:val="none"/>
              </w:rPr>
              <w:t>业绩</w:t>
            </w:r>
          </w:p>
        </w:tc>
        <w:tc>
          <w:tcPr>
            <w:tcW w:w="857"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0-3</w:t>
            </w:r>
          </w:p>
        </w:tc>
        <w:tc>
          <w:tcPr>
            <w:tcW w:w="3986" w:type="dxa"/>
            <w:noWrap w:val="0"/>
            <w:vAlign w:val="center"/>
          </w:tcPr>
          <w:p>
            <w:pPr>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kern w:val="0"/>
                <w:sz w:val="21"/>
                <w:szCs w:val="21"/>
                <w:highlight w:val="none"/>
                <w:lang w:val="zh-CN" w:eastAsia="zh-CN" w:bidi="ar-SA"/>
              </w:rPr>
            </w:pPr>
            <w:r>
              <w:rPr>
                <w:rFonts w:hint="eastAsia" w:ascii="仿宋" w:hAnsi="仿宋" w:eastAsia="仿宋" w:cs="仿宋"/>
                <w:color w:val="auto"/>
                <w:kern w:val="0"/>
                <w:sz w:val="21"/>
                <w:szCs w:val="21"/>
                <w:highlight w:val="none"/>
                <w:lang w:val="zh-CN" w:eastAsia="zh-CN" w:bidi="ar-SA"/>
              </w:rPr>
              <w:t>202</w:t>
            </w:r>
            <w:r>
              <w:rPr>
                <w:rFonts w:hint="eastAsia" w:ascii="仿宋" w:hAnsi="仿宋" w:eastAsia="仿宋" w:cs="仿宋"/>
                <w:color w:val="auto"/>
                <w:kern w:val="0"/>
                <w:sz w:val="21"/>
                <w:szCs w:val="21"/>
                <w:highlight w:val="none"/>
                <w:lang w:val="en-US" w:eastAsia="zh-CN" w:bidi="ar-SA"/>
              </w:rPr>
              <w:t>1</w:t>
            </w:r>
            <w:r>
              <w:rPr>
                <w:rFonts w:hint="eastAsia" w:ascii="仿宋" w:hAnsi="仿宋" w:eastAsia="仿宋" w:cs="仿宋"/>
                <w:color w:val="auto"/>
                <w:kern w:val="0"/>
                <w:sz w:val="21"/>
                <w:szCs w:val="21"/>
                <w:highlight w:val="none"/>
                <w:lang w:val="zh-CN" w:eastAsia="zh-CN" w:bidi="ar-SA"/>
              </w:rPr>
              <w:t>年1月1日以来（以合同签订时间为准），投标人（联合体投标的，指牵头人）具有</w:t>
            </w:r>
            <w:r>
              <w:rPr>
                <w:rFonts w:hint="eastAsia" w:ascii="仿宋" w:hAnsi="仿宋" w:eastAsia="仿宋" w:cs="仿宋"/>
                <w:color w:val="auto"/>
                <w:kern w:val="0"/>
                <w:szCs w:val="21"/>
                <w:highlight w:val="none"/>
                <w:lang w:val="en-US" w:eastAsia="zh-CN" w:bidi="ar"/>
              </w:rPr>
              <w:t>体育设施/器材供货</w:t>
            </w:r>
            <w:r>
              <w:rPr>
                <w:rFonts w:hint="eastAsia" w:ascii="仿宋" w:hAnsi="仿宋" w:eastAsia="仿宋" w:cs="仿宋"/>
                <w:color w:val="auto"/>
                <w:kern w:val="0"/>
                <w:sz w:val="21"/>
                <w:szCs w:val="21"/>
                <w:highlight w:val="none"/>
                <w:lang w:val="zh-CN" w:eastAsia="zh-CN" w:bidi="ar-SA"/>
              </w:rPr>
              <w:t>业绩的，每具有1个业绩得</w:t>
            </w:r>
            <w:r>
              <w:rPr>
                <w:rFonts w:hint="eastAsia" w:ascii="仿宋" w:hAnsi="仿宋" w:eastAsia="仿宋" w:cs="仿宋"/>
                <w:color w:val="auto"/>
                <w:kern w:val="0"/>
                <w:sz w:val="21"/>
                <w:szCs w:val="21"/>
                <w:highlight w:val="none"/>
                <w:lang w:val="en-US" w:eastAsia="zh-CN" w:bidi="ar-SA"/>
              </w:rPr>
              <w:t>1</w:t>
            </w:r>
            <w:r>
              <w:rPr>
                <w:rFonts w:hint="eastAsia" w:ascii="仿宋" w:hAnsi="仿宋" w:eastAsia="仿宋" w:cs="仿宋"/>
                <w:color w:val="auto"/>
                <w:kern w:val="0"/>
                <w:sz w:val="21"/>
                <w:szCs w:val="21"/>
                <w:highlight w:val="none"/>
                <w:lang w:val="zh-CN" w:eastAsia="zh-CN" w:bidi="ar-SA"/>
              </w:rPr>
              <w:t>分，最高得</w:t>
            </w:r>
            <w:r>
              <w:rPr>
                <w:rFonts w:hint="eastAsia" w:ascii="仿宋" w:hAnsi="仿宋" w:eastAsia="仿宋" w:cs="仿宋"/>
                <w:color w:val="auto"/>
                <w:kern w:val="0"/>
                <w:sz w:val="21"/>
                <w:szCs w:val="21"/>
                <w:highlight w:val="none"/>
                <w:lang w:val="en-US" w:eastAsia="zh-CN" w:bidi="ar-SA"/>
              </w:rPr>
              <w:t>3</w:t>
            </w:r>
            <w:r>
              <w:rPr>
                <w:rFonts w:hint="eastAsia" w:ascii="仿宋" w:hAnsi="仿宋" w:eastAsia="仿宋" w:cs="仿宋"/>
                <w:color w:val="auto"/>
                <w:kern w:val="0"/>
                <w:sz w:val="21"/>
                <w:szCs w:val="21"/>
                <w:highlight w:val="none"/>
                <w:lang w:val="zh-CN" w:eastAsia="zh-CN" w:bidi="ar-SA"/>
              </w:rPr>
              <w:t>分。</w:t>
            </w:r>
          </w:p>
          <w:p>
            <w:pPr>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 w:val="21"/>
                <w:szCs w:val="21"/>
                <w:highlight w:val="none"/>
                <w:lang w:val="zh-CN" w:eastAsia="zh-CN" w:bidi="ar-SA"/>
              </w:rPr>
              <w:t>证明材料提供合同（至少包括合同首页、相关内容页、签字盖章页等）。合同的相关内容页应包含体现业绩特征的相关内容；合同相关内容页未包含体现业绩特征的，应另提供合同甲方出具的书面证明。</w:t>
            </w:r>
          </w:p>
        </w:tc>
        <w:tc>
          <w:tcPr>
            <w:tcW w:w="1079" w:type="dxa"/>
            <w:noWrap w:val="0"/>
            <w:vAlign w:val="center"/>
          </w:tcPr>
          <w:p>
            <w:pPr>
              <w:pStyle w:val="81"/>
              <w:keepNext w:val="0"/>
              <w:keepLines w:val="0"/>
              <w:pageBreakBefore w:val="0"/>
              <w:kinsoku/>
              <w:wordWrap/>
              <w:overflowPunct/>
              <w:topLinePunct w:val="0"/>
              <w:bidi w:val="0"/>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bCs/>
                <w:color w:val="auto"/>
                <w:sz w:val="21"/>
                <w:szCs w:val="21"/>
                <w:highlight w:val="none"/>
              </w:rPr>
              <w:t>客观分</w:t>
            </w:r>
          </w:p>
        </w:tc>
        <w:tc>
          <w:tcPr>
            <w:tcW w:w="1071" w:type="dxa"/>
            <w:noWrap w:val="0"/>
            <w:vAlign w:val="center"/>
          </w:tcPr>
          <w:p>
            <w:pPr>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b w:val="0"/>
                <w:bCs/>
                <w:color w:val="auto"/>
                <w:kern w:val="2"/>
                <w:sz w:val="21"/>
                <w:szCs w:val="21"/>
                <w:highlight w:val="none"/>
                <w:lang w:val="en-US" w:eastAsia="zh-CN" w:bidi="ar-SA"/>
              </w:rPr>
            </w:pPr>
            <w:r>
              <w:rPr>
                <w:rStyle w:val="78"/>
                <w:rFonts w:hint="eastAsia" w:ascii="仿宋" w:hAnsi="仿宋" w:eastAsia="仿宋" w:cs="仿宋"/>
                <w:b w:val="0"/>
                <w:bCs/>
                <w:color w:val="auto"/>
                <w:sz w:val="21"/>
                <w:szCs w:val="21"/>
                <w:highlight w:val="none"/>
                <w:lang w:val="en-US" w:eastAsia="zh-CN"/>
              </w:rPr>
              <w:t>3</w:t>
            </w:r>
          </w:p>
        </w:tc>
        <w:tc>
          <w:tcPr>
            <w:tcW w:w="1143" w:type="dxa"/>
            <w:noWrap w:val="0"/>
            <w:vAlign w:val="center"/>
          </w:tcPr>
          <w:p>
            <w:pPr>
              <w:keepNext w:val="0"/>
              <w:keepLines w:val="0"/>
              <w:pageBreakBefore w:val="0"/>
              <w:tabs>
                <w:tab w:val="left" w:pos="248"/>
              </w:tabs>
              <w:kinsoku/>
              <w:wordWrap/>
              <w:overflowPunct/>
              <w:topLinePunct w:val="0"/>
              <w:bidi w:val="0"/>
              <w:snapToGrid/>
              <w:spacing w:line="400" w:lineRule="exact"/>
              <w:jc w:val="center"/>
              <w:textAlignment w:val="auto"/>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color w:val="auto"/>
                <w:sz w:val="21"/>
                <w:szCs w:val="21"/>
                <w:highlight w:val="none"/>
              </w:rPr>
              <w:t>所投产品节能、环保</w:t>
            </w:r>
          </w:p>
        </w:tc>
        <w:tc>
          <w:tcPr>
            <w:tcW w:w="857"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2</w:t>
            </w:r>
          </w:p>
        </w:tc>
        <w:tc>
          <w:tcPr>
            <w:tcW w:w="3986" w:type="dxa"/>
            <w:noWrap w:val="0"/>
            <w:vAlign w:val="center"/>
          </w:tcPr>
          <w:p>
            <w:pPr>
              <w:pStyle w:val="81"/>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（1）所投产品中具有有效的节能产品认证证书的每个得0.5分，最高得1分；</w:t>
            </w:r>
          </w:p>
          <w:p>
            <w:pPr>
              <w:pStyle w:val="81"/>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（2）所投产品中具有有效的环境标志产品认证证书的每个得0.5分，最高得1分。</w:t>
            </w:r>
          </w:p>
          <w:p>
            <w:pPr>
              <w:pStyle w:val="81"/>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证明材料提供有效的认证证书，认证证书所列产品型号与所投产品不一致的不予认可。</w:t>
            </w:r>
          </w:p>
        </w:tc>
        <w:tc>
          <w:tcPr>
            <w:tcW w:w="1079"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客观分</w:t>
            </w:r>
          </w:p>
        </w:tc>
        <w:tc>
          <w:tcPr>
            <w:tcW w:w="1071" w:type="dxa"/>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5</w:t>
            </w:r>
          </w:p>
        </w:tc>
        <w:tc>
          <w:tcPr>
            <w:tcW w:w="1143"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color w:val="auto"/>
                <w:sz w:val="21"/>
                <w:szCs w:val="21"/>
                <w:highlight w:val="none"/>
              </w:rPr>
              <w:t>技术指标</w:t>
            </w:r>
          </w:p>
        </w:tc>
        <w:tc>
          <w:tcPr>
            <w:tcW w:w="857"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0-35</w:t>
            </w:r>
          </w:p>
        </w:tc>
        <w:tc>
          <w:tcPr>
            <w:tcW w:w="3986" w:type="dxa"/>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b w:val="0"/>
                <w:color w:val="auto"/>
                <w:kern w:val="0"/>
                <w:sz w:val="21"/>
                <w:szCs w:val="21"/>
                <w:highlight w:val="none"/>
                <w:lang w:eastAsia="zh-CN"/>
              </w:rPr>
              <w:t>“二、项目采购清单和参数要求”中的</w:t>
            </w:r>
            <w:r>
              <w:rPr>
                <w:rFonts w:hint="eastAsia" w:ascii="仿宋" w:hAnsi="仿宋" w:eastAsia="仿宋" w:cs="仿宋"/>
                <w:b w:val="0"/>
                <w:color w:val="auto"/>
                <w:kern w:val="0"/>
                <w:sz w:val="21"/>
                <w:szCs w:val="21"/>
                <w:highlight w:val="none"/>
              </w:rPr>
              <w:t>投标产品技术参数和配置完全满足的得</w:t>
            </w:r>
            <w:r>
              <w:rPr>
                <w:rFonts w:hint="eastAsia" w:ascii="仿宋" w:hAnsi="仿宋" w:eastAsia="仿宋" w:cs="仿宋"/>
                <w:b w:val="0"/>
                <w:color w:val="auto"/>
                <w:kern w:val="0"/>
                <w:sz w:val="21"/>
                <w:szCs w:val="21"/>
                <w:highlight w:val="none"/>
                <w:lang w:val="en-US" w:eastAsia="zh-CN"/>
              </w:rPr>
              <w:t>35</w:t>
            </w:r>
            <w:r>
              <w:rPr>
                <w:rFonts w:hint="eastAsia" w:ascii="仿宋" w:hAnsi="仿宋" w:eastAsia="仿宋" w:cs="仿宋"/>
                <w:b w:val="0"/>
                <w:color w:val="auto"/>
                <w:kern w:val="0"/>
                <w:sz w:val="21"/>
                <w:szCs w:val="21"/>
                <w:highlight w:val="none"/>
              </w:rPr>
              <w:t>分</w:t>
            </w:r>
            <w:r>
              <w:rPr>
                <w:rFonts w:hint="eastAsia" w:ascii="仿宋" w:hAnsi="仿宋" w:eastAsia="仿宋" w:cs="仿宋"/>
                <w:b w:val="0"/>
                <w:color w:val="auto"/>
                <w:kern w:val="0"/>
                <w:sz w:val="21"/>
                <w:szCs w:val="21"/>
                <w:highlight w:val="none"/>
                <w:lang w:eastAsia="zh-CN"/>
              </w:rPr>
              <w:t>，</w:t>
            </w:r>
            <w:r>
              <w:rPr>
                <w:rStyle w:val="78"/>
                <w:rFonts w:hint="eastAsia" w:ascii="仿宋" w:hAnsi="仿宋" w:eastAsia="仿宋" w:cs="仿宋"/>
                <w:bCs/>
                <w:color w:val="auto"/>
                <w:kern w:val="0"/>
                <w:sz w:val="21"/>
                <w:szCs w:val="21"/>
                <w:highlight w:val="none"/>
                <w:u w:val="none"/>
              </w:rPr>
              <w:t>“▲”项技术指标负偏离的按无效投标处理，“☆”项技术指标负偏离一项扣</w:t>
            </w:r>
            <w:r>
              <w:rPr>
                <w:rStyle w:val="78"/>
                <w:rFonts w:hint="eastAsia" w:ascii="仿宋" w:hAnsi="仿宋" w:eastAsia="仿宋" w:cs="仿宋"/>
                <w:bCs/>
                <w:color w:val="auto"/>
                <w:kern w:val="0"/>
                <w:sz w:val="21"/>
                <w:szCs w:val="21"/>
                <w:highlight w:val="none"/>
                <w:u w:val="none"/>
                <w:lang w:val="en-US" w:eastAsia="zh-CN"/>
              </w:rPr>
              <w:t>2</w:t>
            </w:r>
            <w:r>
              <w:rPr>
                <w:rStyle w:val="78"/>
                <w:rFonts w:hint="eastAsia" w:ascii="仿宋" w:hAnsi="仿宋" w:eastAsia="仿宋" w:cs="仿宋"/>
                <w:bCs/>
                <w:color w:val="auto"/>
                <w:kern w:val="0"/>
                <w:sz w:val="21"/>
                <w:szCs w:val="21"/>
                <w:highlight w:val="none"/>
                <w:u w:val="none"/>
              </w:rPr>
              <w:t>分，其他技术指标负偏离一项扣</w:t>
            </w:r>
            <w:r>
              <w:rPr>
                <w:rStyle w:val="78"/>
                <w:rFonts w:hint="eastAsia" w:ascii="仿宋" w:hAnsi="仿宋" w:eastAsia="仿宋" w:cs="仿宋"/>
                <w:bCs/>
                <w:color w:val="auto"/>
                <w:kern w:val="0"/>
                <w:sz w:val="21"/>
                <w:szCs w:val="21"/>
                <w:highlight w:val="none"/>
                <w:u w:val="none"/>
                <w:lang w:val="en-US" w:eastAsia="zh-CN"/>
              </w:rPr>
              <w:t>1</w:t>
            </w:r>
            <w:r>
              <w:rPr>
                <w:rStyle w:val="78"/>
                <w:rFonts w:hint="eastAsia" w:ascii="仿宋" w:hAnsi="仿宋" w:eastAsia="仿宋" w:cs="仿宋"/>
                <w:bCs/>
                <w:color w:val="auto"/>
                <w:kern w:val="0"/>
                <w:sz w:val="21"/>
                <w:szCs w:val="21"/>
                <w:highlight w:val="none"/>
                <w:u w:val="none"/>
              </w:rPr>
              <w:t>分，扣完为止。（未按</w:t>
            </w:r>
            <w:r>
              <w:rPr>
                <w:rFonts w:hint="eastAsia" w:ascii="仿宋" w:hAnsi="仿宋" w:eastAsia="仿宋" w:cs="仿宋"/>
                <w:b w:val="0"/>
                <w:color w:val="auto"/>
                <w:kern w:val="0"/>
                <w:sz w:val="21"/>
                <w:szCs w:val="21"/>
                <w:highlight w:val="none"/>
                <w:lang w:eastAsia="zh-CN"/>
              </w:rPr>
              <w:t>“二、项目采购清单和参数要求”</w:t>
            </w:r>
            <w:r>
              <w:rPr>
                <w:rStyle w:val="78"/>
                <w:rFonts w:hint="eastAsia" w:ascii="仿宋" w:hAnsi="仿宋" w:eastAsia="仿宋" w:cs="仿宋"/>
                <w:bCs/>
                <w:color w:val="auto"/>
                <w:kern w:val="0"/>
                <w:sz w:val="21"/>
                <w:szCs w:val="21"/>
                <w:highlight w:val="none"/>
                <w:u w:val="none"/>
              </w:rPr>
              <w:t>中要求提供证明材料的，该项予以扣分。</w:t>
            </w:r>
            <w:r>
              <w:rPr>
                <w:rFonts w:hint="eastAsia" w:ascii="仿宋" w:hAnsi="仿宋" w:eastAsia="仿宋" w:cs="仿宋"/>
                <w:b w:val="0"/>
                <w:color w:val="auto"/>
                <w:kern w:val="0"/>
                <w:sz w:val="21"/>
                <w:szCs w:val="21"/>
                <w:highlight w:val="none"/>
                <w:lang w:eastAsia="zh-CN"/>
              </w:rPr>
              <w:t>“二、项目采购清单和参数要求”</w:t>
            </w:r>
            <w:r>
              <w:rPr>
                <w:rStyle w:val="78"/>
                <w:rFonts w:hint="eastAsia" w:ascii="仿宋" w:hAnsi="仿宋" w:eastAsia="仿宋" w:cs="仿宋"/>
                <w:bCs/>
                <w:color w:val="auto"/>
                <w:kern w:val="0"/>
                <w:sz w:val="21"/>
                <w:szCs w:val="21"/>
                <w:highlight w:val="none"/>
                <w:u w:val="none"/>
              </w:rPr>
              <w:t>中未要求提供证明材料的以《技术偏离表》响应为准。）</w:t>
            </w:r>
          </w:p>
        </w:tc>
        <w:tc>
          <w:tcPr>
            <w:tcW w:w="1079"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Cs/>
                <w:color w:val="auto"/>
                <w:sz w:val="21"/>
                <w:szCs w:val="21"/>
                <w:highlight w:val="none"/>
              </w:rPr>
              <w:t>客观分</w:t>
            </w:r>
          </w:p>
        </w:tc>
        <w:tc>
          <w:tcPr>
            <w:tcW w:w="1071" w:type="dxa"/>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6</w:t>
            </w:r>
          </w:p>
        </w:tc>
        <w:tc>
          <w:tcPr>
            <w:tcW w:w="1143" w:type="dxa"/>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项目实施组织方案</w:t>
            </w:r>
          </w:p>
        </w:tc>
        <w:tc>
          <w:tcPr>
            <w:tcW w:w="857" w:type="dxa"/>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0-6</w:t>
            </w:r>
          </w:p>
        </w:tc>
        <w:tc>
          <w:tcPr>
            <w:tcW w:w="3986" w:type="dxa"/>
            <w:noWrap w:val="0"/>
            <w:vAlign w:val="center"/>
          </w:tcPr>
          <w:p>
            <w:pPr>
              <w:keepNext w:val="0"/>
              <w:keepLines w:val="0"/>
              <w:pageBreakBefore w:val="0"/>
              <w:kinsoku/>
              <w:wordWrap/>
              <w:overflowPunct/>
              <w:topLinePunct w:val="0"/>
              <w:bidi w:val="0"/>
              <w:snapToGrid/>
              <w:spacing w:line="4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项目实施组织</w:t>
            </w:r>
            <w:r>
              <w:rPr>
                <w:rFonts w:hint="eastAsia" w:ascii="仿宋" w:hAnsi="仿宋" w:eastAsia="仿宋" w:cs="仿宋"/>
                <w:bCs/>
                <w:color w:val="auto"/>
                <w:sz w:val="21"/>
                <w:szCs w:val="21"/>
                <w:highlight w:val="none"/>
                <w:lang w:val="zh-CN"/>
              </w:rPr>
              <w:t>方案（包括供货组织方案、安装方案、施工质量、施工安全、计划安排和进度保证措施、</w:t>
            </w:r>
            <w:r>
              <w:rPr>
                <w:rFonts w:hint="eastAsia" w:ascii="仿宋" w:hAnsi="仿宋" w:eastAsia="仿宋" w:cs="仿宋"/>
                <w:bCs/>
                <w:color w:val="auto"/>
                <w:sz w:val="21"/>
                <w:szCs w:val="21"/>
                <w:highlight w:val="none"/>
                <w:lang w:val="en-US" w:eastAsia="zh-CN"/>
              </w:rPr>
              <w:t>应急预</w:t>
            </w:r>
            <w:r>
              <w:rPr>
                <w:rFonts w:hint="eastAsia" w:ascii="仿宋" w:hAnsi="仿宋" w:eastAsia="仿宋" w:cs="仿宋"/>
                <w:bCs/>
                <w:color w:val="auto"/>
                <w:sz w:val="21"/>
                <w:szCs w:val="21"/>
                <w:highlight w:val="none"/>
                <w:lang w:val="zh-CN"/>
              </w:rPr>
              <w:t>案）完整性、需求满足性：</w:t>
            </w:r>
            <w:r>
              <w:rPr>
                <w:rStyle w:val="78"/>
                <w:rFonts w:hint="eastAsia" w:ascii="仿宋" w:hAnsi="仿宋" w:eastAsia="仿宋" w:cs="仿宋"/>
                <w:bCs/>
                <w:color w:val="auto"/>
                <w:sz w:val="21"/>
                <w:szCs w:val="21"/>
                <w:highlight w:val="none"/>
                <w:lang w:val="zh-CN"/>
              </w:rPr>
              <w:t>方案齐全、内容完整，满足采购需求的得</w:t>
            </w:r>
            <w:r>
              <w:rPr>
                <w:rStyle w:val="78"/>
                <w:rFonts w:hint="eastAsia" w:ascii="仿宋" w:hAnsi="仿宋" w:eastAsia="仿宋" w:cs="仿宋"/>
                <w:bCs/>
                <w:color w:val="auto"/>
                <w:sz w:val="21"/>
                <w:szCs w:val="21"/>
                <w:highlight w:val="none"/>
                <w:lang w:val="en-US" w:eastAsia="zh-CN"/>
              </w:rPr>
              <w:t>6</w:t>
            </w:r>
            <w:r>
              <w:rPr>
                <w:rStyle w:val="78"/>
                <w:rFonts w:hint="eastAsia" w:ascii="仿宋" w:hAnsi="仿宋" w:eastAsia="仿宋" w:cs="仿宋"/>
                <w:bCs/>
                <w:color w:val="auto"/>
                <w:sz w:val="21"/>
                <w:szCs w:val="21"/>
                <w:highlight w:val="none"/>
                <w:lang w:val="zh-CN"/>
              </w:rPr>
              <w:t>分，方案齐全、内容基本完整、基本满足采购需求的得</w:t>
            </w:r>
            <w:r>
              <w:rPr>
                <w:rStyle w:val="78"/>
                <w:rFonts w:hint="eastAsia" w:ascii="仿宋" w:hAnsi="仿宋" w:eastAsia="仿宋" w:cs="仿宋"/>
                <w:bCs/>
                <w:color w:val="auto"/>
                <w:sz w:val="21"/>
                <w:szCs w:val="21"/>
                <w:highlight w:val="none"/>
                <w:lang w:val="en-US" w:eastAsia="zh-CN"/>
              </w:rPr>
              <w:t>4</w:t>
            </w:r>
            <w:r>
              <w:rPr>
                <w:rStyle w:val="78"/>
                <w:rFonts w:hint="eastAsia" w:ascii="仿宋" w:hAnsi="仿宋" w:eastAsia="仿宋" w:cs="仿宋"/>
                <w:bCs/>
                <w:color w:val="auto"/>
                <w:sz w:val="21"/>
                <w:szCs w:val="21"/>
                <w:highlight w:val="none"/>
                <w:lang w:val="zh-CN"/>
              </w:rPr>
              <w:t>分，</w:t>
            </w:r>
            <w:r>
              <w:rPr>
                <w:rStyle w:val="78"/>
                <w:rFonts w:hint="eastAsia" w:ascii="仿宋" w:hAnsi="仿宋" w:eastAsia="仿宋" w:cs="仿宋"/>
                <w:bCs/>
                <w:color w:val="auto"/>
                <w:sz w:val="21"/>
                <w:szCs w:val="21"/>
                <w:highlight w:val="none"/>
              </w:rPr>
              <w:t>实施方案有缺陷</w:t>
            </w:r>
            <w:r>
              <w:rPr>
                <w:rStyle w:val="78"/>
                <w:rFonts w:hint="eastAsia" w:ascii="仿宋" w:hAnsi="仿宋" w:eastAsia="仿宋" w:cs="仿宋"/>
                <w:bCs/>
                <w:color w:val="auto"/>
                <w:sz w:val="21"/>
                <w:szCs w:val="21"/>
                <w:highlight w:val="none"/>
                <w:lang w:eastAsia="zh-CN"/>
              </w:rPr>
              <w:t>、</w:t>
            </w:r>
            <w:r>
              <w:rPr>
                <w:rStyle w:val="78"/>
                <w:rFonts w:hint="eastAsia" w:ascii="仿宋" w:hAnsi="仿宋" w:eastAsia="仿宋" w:cs="仿宋"/>
                <w:bCs/>
                <w:color w:val="auto"/>
                <w:sz w:val="21"/>
                <w:szCs w:val="21"/>
                <w:highlight w:val="none"/>
              </w:rPr>
              <w:t>思路不清的得</w:t>
            </w:r>
            <w:r>
              <w:rPr>
                <w:rStyle w:val="78"/>
                <w:rFonts w:hint="eastAsia" w:ascii="仿宋" w:hAnsi="仿宋" w:eastAsia="仿宋" w:cs="仿宋"/>
                <w:bCs/>
                <w:color w:val="auto"/>
                <w:sz w:val="21"/>
                <w:szCs w:val="21"/>
                <w:highlight w:val="none"/>
                <w:lang w:val="en-US" w:eastAsia="zh-CN"/>
              </w:rPr>
              <w:t>2</w:t>
            </w:r>
            <w:r>
              <w:rPr>
                <w:rStyle w:val="78"/>
                <w:rFonts w:hint="eastAsia" w:ascii="仿宋" w:hAnsi="仿宋" w:eastAsia="仿宋" w:cs="仿宋"/>
                <w:bCs/>
                <w:color w:val="auto"/>
                <w:sz w:val="21"/>
                <w:szCs w:val="21"/>
                <w:highlight w:val="none"/>
              </w:rPr>
              <w:t>分；</w:t>
            </w:r>
            <w:r>
              <w:rPr>
                <w:rStyle w:val="78"/>
                <w:rFonts w:hint="eastAsia" w:ascii="仿宋" w:hAnsi="仿宋" w:eastAsia="仿宋" w:cs="仿宋"/>
                <w:bCs/>
                <w:color w:val="auto"/>
                <w:sz w:val="21"/>
                <w:szCs w:val="21"/>
                <w:highlight w:val="none"/>
                <w:lang w:eastAsia="zh-CN"/>
              </w:rPr>
              <w:t>无</w:t>
            </w:r>
            <w:r>
              <w:rPr>
                <w:rStyle w:val="78"/>
                <w:rFonts w:hint="eastAsia" w:ascii="仿宋" w:hAnsi="仿宋" w:eastAsia="仿宋" w:cs="仿宋"/>
                <w:bCs/>
                <w:color w:val="auto"/>
                <w:sz w:val="21"/>
                <w:szCs w:val="21"/>
                <w:highlight w:val="none"/>
                <w:lang w:val="zh-CN"/>
              </w:rPr>
              <w:t>方案的得0分。</w:t>
            </w:r>
          </w:p>
        </w:tc>
        <w:tc>
          <w:tcPr>
            <w:tcW w:w="1079"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主观分</w:t>
            </w:r>
          </w:p>
        </w:tc>
        <w:tc>
          <w:tcPr>
            <w:tcW w:w="1071" w:type="dxa"/>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7</w:t>
            </w:r>
          </w:p>
        </w:tc>
        <w:tc>
          <w:tcPr>
            <w:tcW w:w="1143" w:type="dxa"/>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调试、培训、验收等服务方案</w:t>
            </w:r>
          </w:p>
        </w:tc>
        <w:tc>
          <w:tcPr>
            <w:tcW w:w="857" w:type="dxa"/>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center"/>
              <w:textAlignment w:val="auto"/>
              <w:rPr>
                <w:rStyle w:val="78"/>
                <w:rFonts w:hint="eastAsia" w:ascii="仿宋" w:hAnsi="仿宋" w:eastAsia="仿宋" w:cs="仿宋"/>
                <w:b w:val="0"/>
                <w:bCs/>
                <w:color w:val="auto"/>
                <w:sz w:val="21"/>
                <w:szCs w:val="21"/>
                <w:highlight w:val="none"/>
                <w:lang w:val="en-US" w:eastAsia="zh-CN"/>
              </w:rPr>
            </w:pPr>
            <w:r>
              <w:rPr>
                <w:rFonts w:hint="eastAsia" w:ascii="仿宋" w:hAnsi="仿宋" w:eastAsia="仿宋" w:cs="仿宋"/>
                <w:color w:val="auto"/>
                <w:sz w:val="21"/>
                <w:szCs w:val="21"/>
                <w:highlight w:val="none"/>
                <w:lang w:val="en-US" w:eastAsia="zh-CN"/>
              </w:rPr>
              <w:t>0-5</w:t>
            </w:r>
          </w:p>
        </w:tc>
        <w:tc>
          <w:tcPr>
            <w:tcW w:w="3986" w:type="dxa"/>
            <w:noWrap w:val="0"/>
            <w:vAlign w:val="center"/>
          </w:tcPr>
          <w:p>
            <w:pPr>
              <w:pStyle w:val="61"/>
              <w:keepNext w:val="0"/>
              <w:keepLines w:val="0"/>
              <w:pageBreakBefore w:val="0"/>
              <w:numPr>
                <w:ilvl w:val="0"/>
                <w:numId w:val="0"/>
              </w:numPr>
              <w:kinsoku/>
              <w:wordWrap/>
              <w:overflowPunct/>
              <w:topLinePunct w:val="0"/>
              <w:bidi w:val="0"/>
              <w:snapToGrid/>
              <w:spacing w:after="0" w:line="400" w:lineRule="exact"/>
              <w:ind w:left="0" w:leftChars="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调试、培训、验收等服务方案内容详实、计划明确、方案科学合理的得5分，内容较详实、计划欠缺、方案较科学合理的得3分，内容欠缺、计划紊乱的得1分，不合理、不可行或未提供的不得分。</w:t>
            </w:r>
          </w:p>
        </w:tc>
        <w:tc>
          <w:tcPr>
            <w:tcW w:w="1079"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主观分</w:t>
            </w:r>
          </w:p>
        </w:tc>
        <w:tc>
          <w:tcPr>
            <w:tcW w:w="1071" w:type="dxa"/>
            <w:noWrap w:val="0"/>
            <w:vAlign w:val="center"/>
          </w:tcPr>
          <w:p>
            <w:pPr>
              <w:keepNext w:val="0"/>
              <w:keepLines w:val="0"/>
              <w:pageBreakBefore w:val="0"/>
              <w:kinsoku/>
              <w:wordWrap/>
              <w:overflowPunct/>
              <w:topLinePunct w:val="0"/>
              <w:bidi w:val="0"/>
              <w:snapToGrid/>
              <w:spacing w:line="400" w:lineRule="exact"/>
              <w:jc w:val="both"/>
              <w:textAlignment w:val="auto"/>
              <w:rPr>
                <w:rFonts w:hint="eastAsia" w:ascii="仿宋" w:hAnsi="仿宋" w:eastAsia="仿宋" w:cs="仿宋"/>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872"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8</w:t>
            </w:r>
          </w:p>
        </w:tc>
        <w:tc>
          <w:tcPr>
            <w:tcW w:w="1143" w:type="dxa"/>
            <w:vMerge w:val="restart"/>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售后服务</w:t>
            </w:r>
          </w:p>
        </w:tc>
        <w:tc>
          <w:tcPr>
            <w:tcW w:w="857" w:type="dxa"/>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center"/>
              <w:textAlignment w:val="auto"/>
              <w:rPr>
                <w:rStyle w:val="78"/>
                <w:rFonts w:hint="eastAsia" w:ascii="仿宋" w:hAnsi="仿宋" w:eastAsia="仿宋" w:cs="仿宋"/>
                <w:b w:val="0"/>
                <w:bCs/>
                <w:color w:val="auto"/>
                <w:sz w:val="21"/>
                <w:szCs w:val="21"/>
                <w:highlight w:val="none"/>
                <w:lang w:val="en-US" w:eastAsia="zh-CN"/>
              </w:rPr>
            </w:pPr>
            <w:r>
              <w:rPr>
                <w:rFonts w:hint="eastAsia" w:ascii="仿宋" w:hAnsi="仿宋" w:eastAsia="仿宋" w:cs="仿宋"/>
                <w:color w:val="auto"/>
                <w:sz w:val="21"/>
                <w:szCs w:val="21"/>
                <w:highlight w:val="none"/>
                <w:lang w:val="en-US" w:eastAsia="zh-CN"/>
              </w:rPr>
              <w:t>0-5</w:t>
            </w:r>
          </w:p>
        </w:tc>
        <w:tc>
          <w:tcPr>
            <w:tcW w:w="3986" w:type="dxa"/>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售后服务方案（售后服务承诺、维护人员和服务机构设置、保障措施、质保期外费用计取等情况）完整、可行性强的得5分，整体基本完整、可行的得3分，整体较差、可行性低得1分，不满足或未提供的得0分。</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color w:val="auto"/>
                <w:kern w:val="0"/>
                <w:sz w:val="21"/>
                <w:szCs w:val="21"/>
                <w:highlight w:val="none"/>
                <w:lang w:val="en-US" w:eastAsia="zh-CN"/>
              </w:rPr>
            </w:pPr>
            <w:r>
              <w:rPr>
                <w:rFonts w:hint="eastAsia" w:ascii="仿宋" w:hAnsi="仿宋" w:eastAsia="仿宋" w:cs="仿宋"/>
                <w:bCs/>
                <w:color w:val="auto"/>
                <w:sz w:val="21"/>
                <w:szCs w:val="21"/>
                <w:highlight w:val="none"/>
                <w:lang w:val="en-US" w:eastAsia="zh-CN"/>
              </w:rPr>
              <w:t>主观分</w:t>
            </w: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872"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p>
        </w:tc>
        <w:tc>
          <w:tcPr>
            <w:tcW w:w="1143" w:type="dxa"/>
            <w:vMerge w:val="continue"/>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left"/>
              <w:textAlignment w:val="auto"/>
              <w:rPr>
                <w:rFonts w:hint="eastAsia" w:ascii="仿宋" w:hAnsi="仿宋" w:eastAsia="仿宋" w:cs="仿宋"/>
                <w:color w:val="auto"/>
                <w:sz w:val="21"/>
                <w:szCs w:val="21"/>
                <w:highlight w:val="none"/>
              </w:rPr>
            </w:pPr>
          </w:p>
        </w:tc>
        <w:tc>
          <w:tcPr>
            <w:tcW w:w="857" w:type="dxa"/>
            <w:noWrap w:val="0"/>
            <w:vAlign w:val="center"/>
          </w:tcPr>
          <w:p>
            <w:pPr>
              <w:keepNext w:val="0"/>
              <w:keepLines w:val="0"/>
              <w:pageBreakBefore w:val="0"/>
              <w:kinsoku/>
              <w:wordWrap/>
              <w:overflowPunct/>
              <w:topLinePunct w:val="0"/>
              <w:bidi w:val="0"/>
              <w:snapToGrid/>
              <w:spacing w:line="400" w:lineRule="exact"/>
              <w:ind w:left="31" w:leftChars="0" w:right="0" w:rightChars="0" w:hanging="31" w:hangingChars="15"/>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0-2</w:t>
            </w:r>
          </w:p>
        </w:tc>
        <w:tc>
          <w:tcPr>
            <w:tcW w:w="3986" w:type="dxa"/>
            <w:noWrap w:val="0"/>
            <w:vAlign w:val="center"/>
          </w:tcPr>
          <w:p>
            <w:pPr>
              <w:numPr>
                <w:ilvl w:val="-1"/>
                <w:numId w:val="0"/>
              </w:numPr>
              <w:spacing w:line="360" w:lineRule="exact"/>
              <w:ind w:left="0" w:leftChars="0" w:firstLine="0" w:firstLineChars="0"/>
              <w:rPr>
                <w:rFonts w:hint="eastAsia" w:ascii="仿宋" w:hAnsi="仿宋" w:eastAsia="仿宋" w:cs="仿宋"/>
                <w:bCs/>
                <w:kern w:val="2"/>
                <w:sz w:val="21"/>
                <w:szCs w:val="21"/>
                <w:highlight w:val="none"/>
                <w:lang w:val="en-US" w:eastAsia="zh-CN" w:bidi="ar-SA"/>
              </w:rPr>
            </w:pPr>
            <w:r>
              <w:rPr>
                <w:rStyle w:val="78"/>
                <w:rFonts w:hint="eastAsia" w:ascii="仿宋" w:hAnsi="仿宋" w:eastAsia="仿宋" w:cs="仿宋"/>
                <w:bCs/>
                <w:highlight w:val="none"/>
                <w:lang w:val="en-US" w:eastAsia="zh-CN"/>
              </w:rPr>
              <w:t>本项目质保期要求1年，在1年的基础上每增加1年得1分，本项最高得2分。</w:t>
            </w:r>
          </w:p>
        </w:tc>
        <w:tc>
          <w:tcPr>
            <w:tcW w:w="1079" w:type="dxa"/>
            <w:noWrap w:val="0"/>
            <w:vAlign w:val="center"/>
          </w:tcPr>
          <w:p>
            <w:pPr>
              <w:wordWrap w:val="0"/>
              <w:autoSpaceDE w:val="0"/>
              <w:autoSpaceDN w:val="0"/>
              <w:spacing w:line="360" w:lineRule="exact"/>
              <w:jc w:val="center"/>
              <w:rPr>
                <w:rFonts w:hint="eastAsia" w:ascii="仿宋" w:hAnsi="仿宋" w:eastAsia="仿宋" w:cs="仿宋"/>
                <w:bCs/>
                <w:kern w:val="2"/>
                <w:sz w:val="21"/>
                <w:szCs w:val="21"/>
                <w:highlight w:val="none"/>
                <w:lang w:val="en-US" w:eastAsia="zh-CN" w:bidi="ar-SA"/>
              </w:rPr>
            </w:pPr>
            <w:r>
              <w:rPr>
                <w:rFonts w:hint="eastAsia" w:ascii="仿宋" w:hAnsi="仿宋" w:eastAsia="仿宋" w:cs="仿宋"/>
                <w:bCs/>
                <w:szCs w:val="21"/>
                <w:highlight w:val="none"/>
                <w:lang w:eastAsia="zh-CN"/>
              </w:rPr>
              <w:t>客观分</w:t>
            </w: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72" w:type="dxa"/>
            <w:vMerge w:val="restart"/>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9</w:t>
            </w:r>
          </w:p>
        </w:tc>
        <w:tc>
          <w:tcPr>
            <w:tcW w:w="1143" w:type="dxa"/>
            <w:vMerge w:val="restart"/>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b w:val="0"/>
                <w:bCs/>
                <w:color w:val="auto"/>
                <w:kern w:val="0"/>
                <w:sz w:val="21"/>
                <w:szCs w:val="21"/>
                <w:highlight w:val="none"/>
                <w:lang w:val="en-US" w:eastAsia="zh-CN" w:bidi="ar-SA"/>
              </w:rPr>
            </w:pPr>
            <w:r>
              <w:rPr>
                <w:rFonts w:hint="eastAsia" w:ascii="仿宋" w:hAnsi="仿宋" w:eastAsia="仿宋" w:cs="仿宋"/>
                <w:color w:val="auto"/>
                <w:sz w:val="21"/>
                <w:szCs w:val="21"/>
                <w:highlight w:val="none"/>
                <w:lang w:val="en-US" w:eastAsia="zh-CN"/>
              </w:rPr>
              <w:t>样品</w:t>
            </w:r>
          </w:p>
        </w:tc>
        <w:tc>
          <w:tcPr>
            <w:tcW w:w="857"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b w:val="0"/>
                <w:bCs/>
                <w:color w:val="auto"/>
                <w:kern w:val="0"/>
                <w:sz w:val="21"/>
                <w:szCs w:val="21"/>
                <w:highlight w:val="none"/>
                <w:lang w:val="en-US" w:eastAsia="zh-CN" w:bidi="ar-SA"/>
              </w:rPr>
            </w:pPr>
            <w:r>
              <w:rPr>
                <w:rFonts w:hint="eastAsia" w:ascii="仿宋" w:hAnsi="仿宋" w:eastAsia="仿宋" w:cs="仿宋"/>
                <w:color w:val="auto"/>
                <w:sz w:val="21"/>
                <w:szCs w:val="21"/>
                <w:highlight w:val="none"/>
                <w:lang w:val="en-US" w:eastAsia="zh-CN"/>
              </w:rPr>
              <w:t>0-3</w:t>
            </w:r>
          </w:p>
        </w:tc>
        <w:tc>
          <w:tcPr>
            <w:tcW w:w="3986" w:type="dxa"/>
            <w:noWrap w:val="0"/>
            <w:vAlign w:val="center"/>
          </w:tcPr>
          <w:p>
            <w:pPr>
              <w:widowControl/>
              <w:spacing w:line="400" w:lineRule="exact"/>
              <w:jc w:val="left"/>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样品：计时，二十四秒显示器</w:t>
            </w:r>
          </w:p>
          <w:p>
            <w:pPr>
              <w:keepNext w:val="0"/>
              <w:keepLines w:val="0"/>
              <w:pageBreakBefore w:val="0"/>
              <w:widowControl/>
              <w:kinsoku/>
              <w:wordWrap/>
              <w:overflowPunct/>
              <w:topLinePunct w:val="0"/>
              <w:bidi w:val="0"/>
              <w:snapToGrid/>
              <w:spacing w:line="400" w:lineRule="exact"/>
              <w:jc w:val="left"/>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①</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i w:val="0"/>
                <w:iCs w:val="0"/>
                <w:caps w:val="0"/>
                <w:color w:val="auto"/>
                <w:spacing w:val="0"/>
                <w:sz w:val="21"/>
                <w:szCs w:val="21"/>
                <w:highlight w:val="none"/>
                <w:shd w:val="clear" w:color="auto" w:fill="auto"/>
                <w:lang w:eastAsia="zh-CN"/>
              </w:rPr>
              <w:t>涂料完整均匀的</w:t>
            </w:r>
            <w:r>
              <w:rPr>
                <w:rFonts w:hint="eastAsia" w:ascii="仿宋" w:hAnsi="仿宋" w:eastAsia="仿宋" w:cs="仿宋"/>
                <w:bCs/>
                <w:color w:val="auto"/>
                <w:sz w:val="21"/>
                <w:szCs w:val="21"/>
                <w:highlight w:val="none"/>
              </w:rPr>
              <w:t>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i w:val="0"/>
                <w:iCs w:val="0"/>
                <w:caps w:val="0"/>
                <w:color w:val="auto"/>
                <w:spacing w:val="0"/>
                <w:sz w:val="21"/>
                <w:szCs w:val="21"/>
                <w:highlight w:val="none"/>
                <w:shd w:val="clear" w:color="auto" w:fill="auto"/>
                <w:lang w:eastAsia="zh-CN"/>
              </w:rPr>
              <w:t>涂料</w:t>
            </w:r>
            <w:r>
              <w:rPr>
                <w:rFonts w:hint="eastAsia" w:ascii="仿宋" w:hAnsi="仿宋" w:eastAsia="仿宋" w:cs="仿宋"/>
                <w:bCs/>
                <w:color w:val="auto"/>
                <w:sz w:val="21"/>
                <w:szCs w:val="21"/>
                <w:highlight w:val="none"/>
                <w:lang w:val="en-US" w:eastAsia="zh-CN"/>
              </w:rPr>
              <w:t>有1-3处不完整均匀的得0.5分，3处以上的得0分</w:t>
            </w:r>
            <w:r>
              <w:rPr>
                <w:rFonts w:hint="eastAsia" w:ascii="仿宋" w:hAnsi="仿宋" w:eastAsia="仿宋" w:cs="仿宋"/>
                <w:bCs/>
                <w:color w:val="auto"/>
                <w:sz w:val="21"/>
                <w:szCs w:val="21"/>
                <w:highlight w:val="none"/>
              </w:rPr>
              <w:t>；②</w:t>
            </w:r>
            <w:r>
              <w:rPr>
                <w:rFonts w:hint="eastAsia" w:ascii="仿宋" w:hAnsi="仿宋" w:eastAsia="仿宋" w:cs="仿宋"/>
                <w:bCs/>
                <w:color w:val="auto"/>
                <w:sz w:val="21"/>
                <w:szCs w:val="21"/>
                <w:highlight w:val="none"/>
                <w:lang w:val="en-US" w:eastAsia="zh-CN"/>
              </w:rPr>
              <w:t>做工精细、</w:t>
            </w:r>
            <w:r>
              <w:rPr>
                <w:rFonts w:hint="eastAsia" w:ascii="仿宋" w:hAnsi="仿宋" w:eastAsia="仿宋" w:cs="仿宋"/>
                <w:bCs/>
                <w:i w:val="0"/>
                <w:iCs w:val="0"/>
                <w:caps w:val="0"/>
                <w:color w:val="auto"/>
                <w:spacing w:val="0"/>
                <w:sz w:val="21"/>
                <w:szCs w:val="21"/>
                <w:highlight w:val="none"/>
                <w:shd w:val="clear" w:color="auto" w:fill="auto"/>
              </w:rPr>
              <w:t>表面光洁</w:t>
            </w:r>
            <w:r>
              <w:rPr>
                <w:rFonts w:hint="eastAsia" w:ascii="仿宋" w:hAnsi="仿宋" w:eastAsia="仿宋" w:cs="仿宋"/>
                <w:bCs/>
                <w:i w:val="0"/>
                <w:iCs w:val="0"/>
                <w:caps w:val="0"/>
                <w:color w:val="auto"/>
                <w:spacing w:val="0"/>
                <w:sz w:val="21"/>
                <w:szCs w:val="21"/>
                <w:highlight w:val="none"/>
                <w:shd w:val="clear" w:color="auto" w:fill="auto"/>
                <w:lang w:eastAsia="zh-CN"/>
              </w:rPr>
              <w:t>、</w:t>
            </w:r>
            <w:r>
              <w:rPr>
                <w:rFonts w:hint="eastAsia" w:ascii="仿宋" w:hAnsi="仿宋" w:eastAsia="仿宋" w:cs="仿宋"/>
                <w:bCs/>
                <w:i w:val="0"/>
                <w:iCs w:val="0"/>
                <w:caps w:val="0"/>
                <w:color w:val="auto"/>
                <w:spacing w:val="0"/>
                <w:sz w:val="21"/>
                <w:szCs w:val="21"/>
                <w:highlight w:val="none"/>
                <w:shd w:val="clear" w:color="auto" w:fill="auto"/>
                <w:lang w:val="en-US" w:eastAsia="zh-CN"/>
              </w:rPr>
              <w:t>无毛刺的</w:t>
            </w:r>
            <w:r>
              <w:rPr>
                <w:rFonts w:hint="eastAsia" w:ascii="仿宋" w:hAnsi="仿宋" w:eastAsia="仿宋" w:cs="仿宋"/>
                <w:bCs/>
                <w:color w:val="auto"/>
                <w:sz w:val="21"/>
                <w:szCs w:val="21"/>
                <w:highlight w:val="none"/>
              </w:rPr>
              <w:t>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color w:val="auto"/>
                <w:sz w:val="21"/>
                <w:szCs w:val="21"/>
                <w:highlight w:val="none"/>
                <w:lang w:val="en-US" w:eastAsia="zh-CN"/>
              </w:rPr>
              <w:t>有1-3处不不光洁或有毛刺的得0.5分，3处以上</w:t>
            </w:r>
            <w:r>
              <w:rPr>
                <w:rFonts w:hint="eastAsia" w:ascii="仿宋" w:hAnsi="仿宋" w:eastAsia="仿宋" w:cs="仿宋"/>
                <w:bCs/>
                <w:color w:val="auto"/>
                <w:sz w:val="21"/>
                <w:szCs w:val="21"/>
                <w:highlight w:val="none"/>
              </w:rPr>
              <w:t>的得0分；③</w:t>
            </w:r>
            <w:r>
              <w:rPr>
                <w:rFonts w:hint="eastAsia" w:ascii="仿宋" w:hAnsi="仿宋" w:eastAsia="仿宋" w:cs="仿宋"/>
                <w:bCs/>
                <w:color w:val="auto"/>
                <w:sz w:val="21"/>
                <w:szCs w:val="21"/>
                <w:highlight w:val="none"/>
                <w:lang w:val="en-US" w:eastAsia="zh-CN"/>
              </w:rPr>
              <w:t>显现内容清晰、完整，响应速度灵敏</w:t>
            </w:r>
            <w:r>
              <w:rPr>
                <w:rFonts w:hint="eastAsia" w:ascii="仿宋" w:hAnsi="仿宋" w:eastAsia="仿宋" w:cs="仿宋"/>
                <w:bCs/>
                <w:color w:val="auto"/>
                <w:sz w:val="21"/>
                <w:szCs w:val="21"/>
                <w:highlight w:val="none"/>
              </w:rPr>
              <w:t>的得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color w:val="auto"/>
                <w:sz w:val="21"/>
                <w:szCs w:val="21"/>
                <w:highlight w:val="none"/>
                <w:lang w:val="en-US" w:eastAsia="zh-CN"/>
              </w:rPr>
              <w:t>其次</w:t>
            </w:r>
            <w:r>
              <w:rPr>
                <w:rFonts w:hint="eastAsia" w:ascii="仿宋" w:hAnsi="仿宋" w:eastAsia="仿宋" w:cs="仿宋"/>
                <w:bCs/>
                <w:color w:val="auto"/>
                <w:sz w:val="21"/>
                <w:szCs w:val="21"/>
                <w:highlight w:val="none"/>
              </w:rPr>
              <w:t>的得</w:t>
            </w:r>
            <w:r>
              <w:rPr>
                <w:rFonts w:hint="eastAsia" w:ascii="仿宋" w:hAnsi="仿宋" w:eastAsia="仿宋" w:cs="仿宋"/>
                <w:bCs/>
                <w:color w:val="auto"/>
                <w:sz w:val="21"/>
                <w:szCs w:val="21"/>
                <w:highlight w:val="none"/>
                <w:lang w:val="en-US" w:eastAsia="zh-CN"/>
              </w:rPr>
              <w:t>0.5</w:t>
            </w:r>
            <w:r>
              <w:rPr>
                <w:rFonts w:hint="eastAsia" w:ascii="仿宋" w:hAnsi="仿宋" w:eastAsia="仿宋" w:cs="仿宋"/>
                <w:bCs/>
                <w:color w:val="auto"/>
                <w:sz w:val="21"/>
                <w:szCs w:val="21"/>
                <w:highlight w:val="none"/>
              </w:rPr>
              <w:t>分，差的得0分。</w:t>
            </w:r>
          </w:p>
          <w:p>
            <w:pPr>
              <w:keepNext w:val="0"/>
              <w:keepLines w:val="0"/>
              <w:pageBreakBefore w:val="0"/>
              <w:widowControl/>
              <w:numPr>
                <w:ilvl w:val="-1"/>
                <w:numId w:val="0"/>
              </w:numPr>
              <w:kinsoku/>
              <w:wordWrap w:val="0"/>
              <w:overflowPunct/>
              <w:topLinePunct w:val="0"/>
              <w:bidi w:val="0"/>
              <w:snapToGrid/>
              <w:spacing w:line="400" w:lineRule="exact"/>
              <w:jc w:val="both"/>
              <w:textAlignment w:val="auto"/>
              <w:rPr>
                <w:rFonts w:hint="eastAsia" w:ascii="仿宋" w:hAnsi="仿宋" w:eastAsia="仿宋" w:cs="仿宋"/>
                <w:b w:val="0"/>
                <w:bCs/>
                <w:color w:val="auto"/>
                <w:kern w:val="0"/>
                <w:sz w:val="21"/>
                <w:szCs w:val="21"/>
                <w:highlight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
              </w:rPr>
              <w:t>未提供样品或提供样品明显不符合招标文件技术要求的，该项样品得分按0分计。</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kern w:val="0"/>
                <w:sz w:val="21"/>
                <w:szCs w:val="21"/>
                <w:highlight w:val="none"/>
                <w:lang w:val="en-US" w:eastAsia="zh-CN"/>
              </w:rPr>
            </w:pPr>
            <w:r>
              <w:rPr>
                <w:rFonts w:hint="eastAsia" w:ascii="仿宋" w:hAnsi="仿宋" w:eastAsia="仿宋" w:cs="仿宋"/>
                <w:bCs/>
                <w:color w:val="auto"/>
                <w:sz w:val="21"/>
                <w:szCs w:val="21"/>
                <w:highlight w:val="none"/>
                <w:lang w:val="en-US" w:eastAsia="zh-CN"/>
              </w:rPr>
              <w:t>主观分</w:t>
            </w: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b w:val="0"/>
                <w:b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872"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p>
        </w:tc>
        <w:tc>
          <w:tcPr>
            <w:tcW w:w="1143" w:type="dxa"/>
            <w:vMerge w:val="continue"/>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color w:val="auto"/>
                <w:sz w:val="21"/>
                <w:szCs w:val="21"/>
                <w:highlight w:val="none"/>
              </w:rPr>
            </w:pPr>
          </w:p>
        </w:tc>
        <w:tc>
          <w:tcPr>
            <w:tcW w:w="857"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w:t>
            </w:r>
          </w:p>
        </w:tc>
        <w:tc>
          <w:tcPr>
            <w:tcW w:w="3986" w:type="dxa"/>
            <w:noWrap w:val="0"/>
            <w:vAlign w:val="center"/>
          </w:tcPr>
          <w:p>
            <w:pPr>
              <w:keepNext w:val="0"/>
              <w:keepLines w:val="0"/>
              <w:pageBreakBefore w:val="0"/>
              <w:widowControl/>
              <w:kinsoku/>
              <w:wordWrap/>
              <w:overflowPunct/>
              <w:topLinePunct w:val="0"/>
              <w:bidi w:val="0"/>
              <w:snapToGrid/>
              <w:spacing w:line="400" w:lineRule="exact"/>
              <w:jc w:val="left"/>
              <w:textAlignment w:val="auto"/>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样品：篮球赛全队犯规器</w:t>
            </w:r>
          </w:p>
          <w:p>
            <w:pPr>
              <w:keepNext w:val="0"/>
              <w:keepLines w:val="0"/>
              <w:pageBreakBefore w:val="0"/>
              <w:widowControl/>
              <w:kinsoku/>
              <w:wordWrap/>
              <w:overflowPunct/>
              <w:topLinePunct w:val="0"/>
              <w:bidi w:val="0"/>
              <w:snapToGrid/>
              <w:spacing w:line="400" w:lineRule="exact"/>
              <w:jc w:val="left"/>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①</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i w:val="0"/>
                <w:iCs w:val="0"/>
                <w:caps w:val="0"/>
                <w:color w:val="auto"/>
                <w:spacing w:val="0"/>
                <w:sz w:val="21"/>
                <w:szCs w:val="21"/>
                <w:highlight w:val="none"/>
                <w:shd w:val="clear" w:color="auto" w:fill="auto"/>
                <w:lang w:eastAsia="zh-CN"/>
              </w:rPr>
              <w:t>涂料完整均匀的</w:t>
            </w:r>
            <w:r>
              <w:rPr>
                <w:rFonts w:hint="eastAsia" w:ascii="仿宋" w:hAnsi="仿宋" w:eastAsia="仿宋" w:cs="仿宋"/>
                <w:bCs/>
                <w:color w:val="auto"/>
                <w:sz w:val="21"/>
                <w:szCs w:val="21"/>
                <w:highlight w:val="none"/>
              </w:rPr>
              <w:t>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i w:val="0"/>
                <w:iCs w:val="0"/>
                <w:caps w:val="0"/>
                <w:color w:val="auto"/>
                <w:spacing w:val="0"/>
                <w:sz w:val="21"/>
                <w:szCs w:val="21"/>
                <w:highlight w:val="none"/>
                <w:shd w:val="clear" w:color="auto" w:fill="auto"/>
                <w:lang w:eastAsia="zh-CN"/>
              </w:rPr>
              <w:t>涂料</w:t>
            </w:r>
            <w:r>
              <w:rPr>
                <w:rFonts w:hint="eastAsia" w:ascii="仿宋" w:hAnsi="仿宋" w:eastAsia="仿宋" w:cs="仿宋"/>
                <w:bCs/>
                <w:color w:val="auto"/>
                <w:sz w:val="21"/>
                <w:szCs w:val="21"/>
                <w:highlight w:val="none"/>
                <w:lang w:val="en-US" w:eastAsia="zh-CN"/>
              </w:rPr>
              <w:t>有1-3处不完整均匀的得0.5分，3处以上的得0分</w:t>
            </w:r>
            <w:r>
              <w:rPr>
                <w:rFonts w:hint="eastAsia" w:ascii="仿宋" w:hAnsi="仿宋" w:eastAsia="仿宋" w:cs="仿宋"/>
                <w:bCs/>
                <w:color w:val="auto"/>
                <w:sz w:val="21"/>
                <w:szCs w:val="21"/>
                <w:highlight w:val="none"/>
              </w:rPr>
              <w:t>；②</w:t>
            </w:r>
            <w:r>
              <w:rPr>
                <w:rFonts w:hint="eastAsia" w:ascii="仿宋" w:hAnsi="仿宋" w:eastAsia="仿宋" w:cs="仿宋"/>
                <w:bCs/>
                <w:color w:val="auto"/>
                <w:sz w:val="21"/>
                <w:szCs w:val="21"/>
                <w:highlight w:val="none"/>
                <w:lang w:val="en-US" w:eastAsia="zh-CN"/>
              </w:rPr>
              <w:t>做工精细、</w:t>
            </w:r>
            <w:r>
              <w:rPr>
                <w:rFonts w:hint="eastAsia" w:ascii="仿宋" w:hAnsi="仿宋" w:eastAsia="仿宋" w:cs="仿宋"/>
                <w:bCs/>
                <w:i w:val="0"/>
                <w:iCs w:val="0"/>
                <w:caps w:val="0"/>
                <w:color w:val="auto"/>
                <w:spacing w:val="0"/>
                <w:sz w:val="21"/>
                <w:szCs w:val="21"/>
                <w:highlight w:val="none"/>
                <w:shd w:val="clear" w:color="auto" w:fill="auto"/>
              </w:rPr>
              <w:t>表面光洁</w:t>
            </w:r>
            <w:r>
              <w:rPr>
                <w:rFonts w:hint="eastAsia" w:ascii="仿宋" w:hAnsi="仿宋" w:eastAsia="仿宋" w:cs="仿宋"/>
                <w:bCs/>
                <w:i w:val="0"/>
                <w:iCs w:val="0"/>
                <w:caps w:val="0"/>
                <w:color w:val="auto"/>
                <w:spacing w:val="0"/>
                <w:sz w:val="21"/>
                <w:szCs w:val="21"/>
                <w:highlight w:val="none"/>
                <w:shd w:val="clear" w:color="auto" w:fill="auto"/>
                <w:lang w:eastAsia="zh-CN"/>
              </w:rPr>
              <w:t>、</w:t>
            </w:r>
            <w:r>
              <w:rPr>
                <w:rFonts w:hint="eastAsia" w:ascii="仿宋" w:hAnsi="仿宋" w:eastAsia="仿宋" w:cs="仿宋"/>
                <w:bCs/>
                <w:i w:val="0"/>
                <w:iCs w:val="0"/>
                <w:caps w:val="0"/>
                <w:color w:val="auto"/>
                <w:spacing w:val="0"/>
                <w:sz w:val="21"/>
                <w:szCs w:val="21"/>
                <w:highlight w:val="none"/>
                <w:shd w:val="clear" w:color="auto" w:fill="auto"/>
                <w:lang w:val="en-US" w:eastAsia="zh-CN"/>
              </w:rPr>
              <w:t>无毛刺的</w:t>
            </w:r>
            <w:r>
              <w:rPr>
                <w:rFonts w:hint="eastAsia" w:ascii="仿宋" w:hAnsi="仿宋" w:eastAsia="仿宋" w:cs="仿宋"/>
                <w:bCs/>
                <w:color w:val="auto"/>
                <w:sz w:val="21"/>
                <w:szCs w:val="21"/>
                <w:highlight w:val="none"/>
              </w:rPr>
              <w:t>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color w:val="auto"/>
                <w:sz w:val="21"/>
                <w:szCs w:val="21"/>
                <w:highlight w:val="none"/>
                <w:lang w:val="en-US" w:eastAsia="zh-CN"/>
              </w:rPr>
              <w:t>有1-3处不不光洁或有毛刺的得0.5分，3处以上</w:t>
            </w:r>
            <w:r>
              <w:rPr>
                <w:rFonts w:hint="eastAsia" w:ascii="仿宋" w:hAnsi="仿宋" w:eastAsia="仿宋" w:cs="仿宋"/>
                <w:bCs/>
                <w:color w:val="auto"/>
                <w:sz w:val="21"/>
                <w:szCs w:val="21"/>
                <w:highlight w:val="none"/>
              </w:rPr>
              <w:t>的得0分；③</w:t>
            </w:r>
            <w:r>
              <w:rPr>
                <w:rFonts w:hint="eastAsia" w:ascii="仿宋" w:hAnsi="仿宋" w:eastAsia="仿宋" w:cs="仿宋"/>
                <w:bCs/>
                <w:color w:val="auto"/>
                <w:sz w:val="21"/>
                <w:szCs w:val="21"/>
                <w:highlight w:val="none"/>
                <w:lang w:val="en-US" w:eastAsia="zh-CN"/>
              </w:rPr>
              <w:t>显现内容清晰、完整，响应速度灵敏</w:t>
            </w:r>
            <w:r>
              <w:rPr>
                <w:rFonts w:hint="eastAsia" w:ascii="仿宋" w:hAnsi="仿宋" w:eastAsia="仿宋" w:cs="仿宋"/>
                <w:bCs/>
                <w:color w:val="auto"/>
                <w:sz w:val="21"/>
                <w:szCs w:val="21"/>
                <w:highlight w:val="none"/>
              </w:rPr>
              <w:t>的得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color w:val="auto"/>
                <w:sz w:val="21"/>
                <w:szCs w:val="21"/>
                <w:highlight w:val="none"/>
                <w:lang w:val="en-US" w:eastAsia="zh-CN"/>
              </w:rPr>
              <w:t>其次</w:t>
            </w:r>
            <w:r>
              <w:rPr>
                <w:rFonts w:hint="eastAsia" w:ascii="仿宋" w:hAnsi="仿宋" w:eastAsia="仿宋" w:cs="仿宋"/>
                <w:bCs/>
                <w:color w:val="auto"/>
                <w:sz w:val="21"/>
                <w:szCs w:val="21"/>
                <w:highlight w:val="none"/>
              </w:rPr>
              <w:t>的得</w:t>
            </w:r>
            <w:r>
              <w:rPr>
                <w:rFonts w:hint="eastAsia" w:ascii="仿宋" w:hAnsi="仿宋" w:eastAsia="仿宋" w:cs="仿宋"/>
                <w:bCs/>
                <w:color w:val="auto"/>
                <w:sz w:val="21"/>
                <w:szCs w:val="21"/>
                <w:highlight w:val="none"/>
                <w:lang w:val="en-US" w:eastAsia="zh-CN"/>
              </w:rPr>
              <w:t>0.5</w:t>
            </w:r>
            <w:r>
              <w:rPr>
                <w:rFonts w:hint="eastAsia" w:ascii="仿宋" w:hAnsi="仿宋" w:eastAsia="仿宋" w:cs="仿宋"/>
                <w:bCs/>
                <w:color w:val="auto"/>
                <w:sz w:val="21"/>
                <w:szCs w:val="21"/>
                <w:highlight w:val="none"/>
              </w:rPr>
              <w:t>分，差的得0分。</w:t>
            </w:r>
          </w:p>
          <w:p>
            <w:pPr>
              <w:keepNext w:val="0"/>
              <w:keepLines w:val="0"/>
              <w:pageBreakBefore w:val="0"/>
              <w:widowControl/>
              <w:numPr>
                <w:ilvl w:val="-1"/>
                <w:numId w:val="0"/>
              </w:numPr>
              <w:kinsoku/>
              <w:wordWrap/>
              <w:overflowPunct/>
              <w:topLinePunct w:val="0"/>
              <w:bidi w:val="0"/>
              <w:snapToGrid/>
              <w:spacing w:line="400" w:lineRule="exact"/>
              <w:ind w:left="0" w:leftChars="0" w:firstLine="0" w:firstLineChars="0"/>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i w:val="0"/>
                <w:iCs w:val="0"/>
                <w:color w:val="auto"/>
                <w:kern w:val="2"/>
                <w:sz w:val="21"/>
                <w:szCs w:val="21"/>
                <w:highlight w:val="none"/>
                <w:u w:val="none"/>
                <w:lang w:val="en-US" w:eastAsia="zh-CN" w:bidi="ar"/>
              </w:rPr>
              <w:t>未提供样品或提供样品明显不符合招标文件技术要求的，该项样品得分按0分计。</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主观分</w:t>
            </w: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b w:val="0"/>
                <w:b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872" w:type="dxa"/>
            <w:vMerge w:val="continue"/>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p>
        </w:tc>
        <w:tc>
          <w:tcPr>
            <w:tcW w:w="1143" w:type="dxa"/>
            <w:vMerge w:val="continue"/>
            <w:noWrap w:val="0"/>
            <w:vAlign w:val="center"/>
          </w:tcPr>
          <w:p>
            <w:pPr>
              <w:keepNext w:val="0"/>
              <w:keepLines w:val="0"/>
              <w:pageBreakBefore w:val="0"/>
              <w:kinsoku/>
              <w:wordWrap/>
              <w:overflowPunct/>
              <w:topLinePunct w:val="0"/>
              <w:bidi w:val="0"/>
              <w:snapToGrid/>
              <w:spacing w:line="400" w:lineRule="exact"/>
              <w:jc w:val="left"/>
              <w:textAlignment w:val="auto"/>
              <w:rPr>
                <w:rFonts w:hint="eastAsia" w:ascii="仿宋" w:hAnsi="仿宋" w:eastAsia="仿宋" w:cs="仿宋"/>
                <w:color w:val="auto"/>
                <w:sz w:val="21"/>
                <w:szCs w:val="21"/>
                <w:highlight w:val="none"/>
              </w:rPr>
            </w:pPr>
          </w:p>
        </w:tc>
        <w:tc>
          <w:tcPr>
            <w:tcW w:w="857" w:type="dxa"/>
            <w:noWrap w:val="0"/>
            <w:vAlign w:val="center"/>
          </w:tcPr>
          <w:p>
            <w:pPr>
              <w:keepNext w:val="0"/>
              <w:keepLines w:val="0"/>
              <w:pageBreakBefore w:val="0"/>
              <w:kinsoku/>
              <w:wordWrap/>
              <w:overflowPunct/>
              <w:topLinePunct w:val="0"/>
              <w:bidi w:val="0"/>
              <w:snapToGrid/>
              <w:spacing w:line="4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w:t>
            </w:r>
          </w:p>
        </w:tc>
        <w:tc>
          <w:tcPr>
            <w:tcW w:w="3986" w:type="dxa"/>
            <w:noWrap w:val="0"/>
            <w:vAlign w:val="center"/>
          </w:tcPr>
          <w:p>
            <w:pPr>
              <w:widowControl/>
              <w:spacing w:line="400" w:lineRule="exact"/>
              <w:jc w:val="left"/>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样品：起跑器</w:t>
            </w:r>
          </w:p>
          <w:p>
            <w:pPr>
              <w:keepNext w:val="0"/>
              <w:keepLines w:val="0"/>
              <w:pageBreakBefore w:val="0"/>
              <w:widowControl/>
              <w:kinsoku/>
              <w:wordWrap/>
              <w:overflowPunct/>
              <w:topLinePunct w:val="0"/>
              <w:bidi w:val="0"/>
              <w:snapToGrid/>
              <w:spacing w:line="400" w:lineRule="exact"/>
              <w:jc w:val="left"/>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①</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i w:val="0"/>
                <w:iCs w:val="0"/>
                <w:caps w:val="0"/>
                <w:color w:val="auto"/>
                <w:spacing w:val="0"/>
                <w:sz w:val="21"/>
                <w:szCs w:val="21"/>
                <w:highlight w:val="none"/>
                <w:shd w:val="clear" w:color="auto" w:fill="auto"/>
                <w:lang w:eastAsia="zh-CN"/>
              </w:rPr>
              <w:t>涂料完整均匀的</w:t>
            </w:r>
            <w:r>
              <w:rPr>
                <w:rFonts w:hint="eastAsia" w:ascii="仿宋" w:hAnsi="仿宋" w:eastAsia="仿宋" w:cs="仿宋"/>
                <w:bCs/>
                <w:color w:val="auto"/>
                <w:sz w:val="21"/>
                <w:szCs w:val="21"/>
                <w:highlight w:val="none"/>
              </w:rPr>
              <w:t>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i w:val="0"/>
                <w:iCs w:val="0"/>
                <w:caps w:val="0"/>
                <w:color w:val="auto"/>
                <w:spacing w:val="0"/>
                <w:sz w:val="21"/>
                <w:szCs w:val="21"/>
                <w:highlight w:val="none"/>
                <w:shd w:val="clear" w:color="auto" w:fill="auto"/>
                <w:lang w:eastAsia="zh-CN"/>
              </w:rPr>
              <w:t>涂料</w:t>
            </w:r>
            <w:r>
              <w:rPr>
                <w:rFonts w:hint="eastAsia" w:ascii="仿宋" w:hAnsi="仿宋" w:eastAsia="仿宋" w:cs="仿宋"/>
                <w:bCs/>
                <w:color w:val="auto"/>
                <w:sz w:val="21"/>
                <w:szCs w:val="21"/>
                <w:highlight w:val="none"/>
                <w:lang w:val="en-US" w:eastAsia="zh-CN"/>
              </w:rPr>
              <w:t>有1-3处不完整均匀的得0.5分，3处以上的得0分</w:t>
            </w:r>
            <w:r>
              <w:rPr>
                <w:rFonts w:hint="eastAsia" w:ascii="仿宋" w:hAnsi="仿宋" w:eastAsia="仿宋" w:cs="仿宋"/>
                <w:bCs/>
                <w:color w:val="auto"/>
                <w:sz w:val="21"/>
                <w:szCs w:val="21"/>
                <w:highlight w:val="none"/>
              </w:rPr>
              <w:t>；②</w:t>
            </w:r>
            <w:r>
              <w:rPr>
                <w:rFonts w:hint="eastAsia" w:ascii="仿宋" w:hAnsi="仿宋" w:eastAsia="仿宋" w:cs="仿宋"/>
                <w:bCs/>
                <w:color w:val="auto"/>
                <w:sz w:val="21"/>
                <w:szCs w:val="21"/>
                <w:highlight w:val="none"/>
                <w:lang w:val="en-US" w:eastAsia="zh-CN"/>
              </w:rPr>
              <w:t>做工精细、</w:t>
            </w:r>
            <w:r>
              <w:rPr>
                <w:rFonts w:hint="eastAsia" w:ascii="仿宋" w:hAnsi="仿宋" w:eastAsia="仿宋" w:cs="仿宋"/>
                <w:bCs/>
                <w:i w:val="0"/>
                <w:iCs w:val="0"/>
                <w:caps w:val="0"/>
                <w:color w:val="auto"/>
                <w:spacing w:val="0"/>
                <w:sz w:val="21"/>
                <w:szCs w:val="21"/>
                <w:highlight w:val="none"/>
                <w:shd w:val="clear" w:color="auto" w:fill="auto"/>
              </w:rPr>
              <w:t>表面光洁</w:t>
            </w:r>
            <w:r>
              <w:rPr>
                <w:rFonts w:hint="eastAsia" w:ascii="仿宋" w:hAnsi="仿宋" w:eastAsia="仿宋" w:cs="仿宋"/>
                <w:bCs/>
                <w:i w:val="0"/>
                <w:iCs w:val="0"/>
                <w:caps w:val="0"/>
                <w:color w:val="auto"/>
                <w:spacing w:val="0"/>
                <w:sz w:val="21"/>
                <w:szCs w:val="21"/>
                <w:highlight w:val="none"/>
                <w:shd w:val="clear" w:color="auto" w:fill="auto"/>
                <w:lang w:eastAsia="zh-CN"/>
              </w:rPr>
              <w:t>、</w:t>
            </w:r>
            <w:r>
              <w:rPr>
                <w:rFonts w:hint="eastAsia" w:ascii="仿宋" w:hAnsi="仿宋" w:eastAsia="仿宋" w:cs="仿宋"/>
                <w:bCs/>
                <w:i w:val="0"/>
                <w:iCs w:val="0"/>
                <w:caps w:val="0"/>
                <w:color w:val="auto"/>
                <w:spacing w:val="0"/>
                <w:sz w:val="21"/>
                <w:szCs w:val="21"/>
                <w:highlight w:val="none"/>
                <w:shd w:val="clear" w:color="auto" w:fill="auto"/>
                <w:lang w:val="en-US" w:eastAsia="zh-CN"/>
              </w:rPr>
              <w:t>无毛刺的</w:t>
            </w:r>
            <w:r>
              <w:rPr>
                <w:rFonts w:hint="eastAsia" w:ascii="仿宋" w:hAnsi="仿宋" w:eastAsia="仿宋" w:cs="仿宋"/>
                <w:bCs/>
                <w:color w:val="auto"/>
                <w:sz w:val="21"/>
                <w:szCs w:val="21"/>
                <w:highlight w:val="none"/>
              </w:rPr>
              <w:t>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i w:val="0"/>
                <w:iCs w:val="0"/>
                <w:caps w:val="0"/>
                <w:color w:val="auto"/>
                <w:spacing w:val="0"/>
                <w:sz w:val="21"/>
                <w:szCs w:val="21"/>
                <w:highlight w:val="none"/>
                <w:shd w:val="clear" w:color="auto" w:fill="auto"/>
              </w:rPr>
              <w:t>表面</w:t>
            </w:r>
            <w:r>
              <w:rPr>
                <w:rFonts w:hint="eastAsia" w:ascii="仿宋" w:hAnsi="仿宋" w:eastAsia="仿宋" w:cs="仿宋"/>
                <w:bCs/>
                <w:color w:val="auto"/>
                <w:sz w:val="21"/>
                <w:szCs w:val="21"/>
                <w:highlight w:val="none"/>
                <w:lang w:val="en-US" w:eastAsia="zh-CN"/>
              </w:rPr>
              <w:t>有1-3处不不光洁或有毛刺的得0.5分，3处以上</w:t>
            </w:r>
            <w:r>
              <w:rPr>
                <w:rFonts w:hint="eastAsia" w:ascii="仿宋" w:hAnsi="仿宋" w:eastAsia="仿宋" w:cs="仿宋"/>
                <w:bCs/>
                <w:color w:val="auto"/>
                <w:sz w:val="21"/>
                <w:szCs w:val="21"/>
                <w:highlight w:val="none"/>
              </w:rPr>
              <w:t>的得0分；③整体结构牢固可靠、不易</w:t>
            </w:r>
            <w:r>
              <w:rPr>
                <w:rFonts w:hint="eastAsia" w:ascii="仿宋" w:hAnsi="仿宋" w:eastAsia="仿宋" w:cs="仿宋"/>
                <w:bCs/>
                <w:color w:val="auto"/>
                <w:sz w:val="21"/>
                <w:szCs w:val="21"/>
                <w:highlight w:val="none"/>
                <w:lang w:val="en-US" w:eastAsia="zh-CN"/>
              </w:rPr>
              <w:t>变形</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部件安装牢固无松动的得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分，</w:t>
            </w:r>
            <w:r>
              <w:rPr>
                <w:rFonts w:hint="eastAsia" w:ascii="仿宋" w:hAnsi="仿宋" w:eastAsia="仿宋" w:cs="仿宋"/>
                <w:bCs/>
                <w:color w:val="auto"/>
                <w:sz w:val="21"/>
                <w:szCs w:val="21"/>
                <w:highlight w:val="none"/>
                <w:lang w:val="en-US" w:eastAsia="zh-CN"/>
              </w:rPr>
              <w:t>其次</w:t>
            </w:r>
            <w:r>
              <w:rPr>
                <w:rFonts w:hint="eastAsia" w:ascii="仿宋" w:hAnsi="仿宋" w:eastAsia="仿宋" w:cs="仿宋"/>
                <w:bCs/>
                <w:color w:val="auto"/>
                <w:sz w:val="21"/>
                <w:szCs w:val="21"/>
                <w:highlight w:val="none"/>
              </w:rPr>
              <w:t>的得</w:t>
            </w:r>
            <w:r>
              <w:rPr>
                <w:rFonts w:hint="eastAsia" w:ascii="仿宋" w:hAnsi="仿宋" w:eastAsia="仿宋" w:cs="仿宋"/>
                <w:bCs/>
                <w:color w:val="auto"/>
                <w:sz w:val="21"/>
                <w:szCs w:val="21"/>
                <w:highlight w:val="none"/>
                <w:lang w:val="en-US" w:eastAsia="zh-CN"/>
              </w:rPr>
              <w:t>0.5</w:t>
            </w:r>
            <w:r>
              <w:rPr>
                <w:rFonts w:hint="eastAsia" w:ascii="仿宋" w:hAnsi="仿宋" w:eastAsia="仿宋" w:cs="仿宋"/>
                <w:bCs/>
                <w:color w:val="auto"/>
                <w:sz w:val="21"/>
                <w:szCs w:val="21"/>
                <w:highlight w:val="none"/>
              </w:rPr>
              <w:t>分，差的得0分。</w:t>
            </w:r>
          </w:p>
          <w:p>
            <w:pPr>
              <w:keepNext w:val="0"/>
              <w:keepLines w:val="0"/>
              <w:pageBreakBefore w:val="0"/>
              <w:widowControl/>
              <w:numPr>
                <w:ilvl w:val="-1"/>
                <w:numId w:val="0"/>
              </w:numPr>
              <w:kinsoku/>
              <w:wordWrap/>
              <w:overflowPunct/>
              <w:topLinePunct w:val="0"/>
              <w:bidi w:val="0"/>
              <w:snapToGrid/>
              <w:spacing w:line="400" w:lineRule="exact"/>
              <w:ind w:left="0" w:leftChars="0" w:firstLine="0" w:firstLineChars="0"/>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i w:val="0"/>
                <w:iCs w:val="0"/>
                <w:color w:val="auto"/>
                <w:kern w:val="2"/>
                <w:sz w:val="21"/>
                <w:szCs w:val="21"/>
                <w:highlight w:val="none"/>
                <w:u w:val="none"/>
                <w:lang w:val="en-US" w:eastAsia="zh-CN" w:bidi="ar"/>
              </w:rPr>
              <w:t>未提供样品或提供样品明显不符合招标文件技术要求的，该项样品得分按0分计。</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主观分</w:t>
            </w: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b w:val="0"/>
                <w:b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二</w:t>
            </w:r>
          </w:p>
        </w:tc>
        <w:tc>
          <w:tcPr>
            <w:tcW w:w="5986" w:type="dxa"/>
            <w:gridSpan w:val="3"/>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b w:val="0"/>
                <w:bCs/>
                <w:color w:val="auto"/>
                <w:kern w:val="0"/>
                <w:sz w:val="21"/>
                <w:szCs w:val="21"/>
                <w:highlight w:val="none"/>
                <w:lang w:val="en-US" w:eastAsia="zh-CN"/>
              </w:rPr>
            </w:pPr>
            <w:r>
              <w:rPr>
                <w:rStyle w:val="78"/>
                <w:rFonts w:hint="eastAsia" w:ascii="仿宋" w:hAnsi="仿宋" w:eastAsia="仿宋" w:cs="仿宋"/>
                <w:b w:val="0"/>
                <w:bCs/>
                <w:color w:val="auto"/>
                <w:sz w:val="21"/>
                <w:szCs w:val="21"/>
                <w:highlight w:val="none"/>
                <w:lang w:val="en-US" w:eastAsia="zh-CN"/>
              </w:rPr>
              <w:t>报价，30分</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kern w:val="0"/>
                <w:sz w:val="21"/>
                <w:szCs w:val="21"/>
                <w:highlight w:val="none"/>
                <w:lang w:val="en-US" w:eastAsia="zh-CN"/>
              </w:rPr>
            </w:pP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b w:val="0"/>
                <w:b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2"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sz w:val="21"/>
                <w:szCs w:val="21"/>
                <w:highlight w:val="none"/>
                <w:lang w:val="en-US" w:eastAsia="zh-CN"/>
              </w:rPr>
            </w:pPr>
          </w:p>
        </w:tc>
        <w:tc>
          <w:tcPr>
            <w:tcW w:w="5986" w:type="dxa"/>
            <w:gridSpan w:val="3"/>
            <w:noWrap w:val="0"/>
            <w:vAlign w:val="center"/>
          </w:tcPr>
          <w:p>
            <w:pPr>
              <w:keepNext w:val="0"/>
              <w:keepLines w:val="0"/>
              <w:pageBreakBefore w:val="0"/>
              <w:kinsoku/>
              <w:wordWrap/>
              <w:overflowPunct/>
              <w:topLinePunct w:val="0"/>
              <w:bidi w:val="0"/>
              <w:snapToGrid/>
              <w:spacing w:line="400" w:lineRule="exact"/>
              <w:textAlignment w:val="auto"/>
              <w:outlineLvl w:val="0"/>
              <w:rPr>
                <w:rFonts w:hint="eastAsia" w:ascii="仿宋" w:hAnsi="仿宋" w:eastAsia="仿宋" w:cs="仿宋"/>
                <w:color w:val="auto"/>
                <w:sz w:val="21"/>
                <w:szCs w:val="21"/>
                <w:highlight w:val="none"/>
              </w:rPr>
            </w:pPr>
            <w:bookmarkStart w:id="422" w:name="_Toc10190"/>
            <w:bookmarkStart w:id="423" w:name="_Toc18230"/>
            <w:bookmarkStart w:id="424" w:name="_Toc1434"/>
            <w:r>
              <w:rPr>
                <w:rFonts w:hint="eastAsia" w:ascii="仿宋" w:hAnsi="仿宋" w:eastAsia="仿宋" w:cs="仿宋"/>
                <w:color w:val="auto"/>
                <w:sz w:val="21"/>
                <w:szCs w:val="21"/>
                <w:highlight w:val="none"/>
              </w:rPr>
              <w:t>有效投标报价的最低价作为评标基准价，其最低报价为满分；按［投标报价得分=（评标基准价/投标报价）*</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］的计算公式计算。</w:t>
            </w:r>
            <w:bookmarkEnd w:id="422"/>
            <w:bookmarkEnd w:id="423"/>
            <w:bookmarkEnd w:id="424"/>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评标过程中，不得去掉报价中的最高报价和最低报价。</w:t>
            </w:r>
          </w:p>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b w:val="0"/>
                <w:bCs/>
                <w:color w:val="auto"/>
                <w:kern w:val="0"/>
                <w:sz w:val="21"/>
                <w:szCs w:val="21"/>
                <w:highlight w:val="none"/>
                <w:lang w:val="en-US" w:eastAsia="zh-CN"/>
              </w:rPr>
            </w:pPr>
            <w:r>
              <w:rPr>
                <w:rFonts w:hint="eastAsia" w:ascii="仿宋" w:hAnsi="仿宋" w:eastAsia="仿宋" w:cs="仿宋"/>
                <w:color w:val="auto"/>
                <w:sz w:val="21"/>
                <w:szCs w:val="21"/>
                <w:highlight w:val="none"/>
              </w:rPr>
              <w:sym w:font="Wingdings" w:char="00A8"/>
            </w:r>
            <w:r>
              <w:rPr>
                <w:rFonts w:hint="eastAsia" w:ascii="仿宋" w:hAnsi="仿宋" w:eastAsia="仿宋" w:cs="仿宋"/>
                <w:color w:val="auto"/>
                <w:sz w:val="21"/>
                <w:szCs w:val="21"/>
                <w:highlight w:val="none"/>
              </w:rPr>
              <w:t>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w:t>
            </w:r>
            <w:r>
              <w:rPr>
                <w:rFonts w:hint="eastAsia" w:ascii="仿宋" w:hAnsi="仿宋" w:eastAsia="仿宋" w:cs="仿宋"/>
                <w:color w:val="auto"/>
                <w:sz w:val="21"/>
                <w:szCs w:val="21"/>
                <w:highlight w:val="none"/>
              </w:rPr>
              <w:sym w:font="Wingdings" w:char="00FE"/>
            </w:r>
            <w:r>
              <w:rPr>
                <w:rFonts w:hint="eastAsia" w:ascii="仿宋" w:hAnsi="仿宋" w:eastAsia="仿宋" w:cs="仿宋"/>
                <w:color w:val="auto"/>
                <w:sz w:val="21"/>
                <w:szCs w:val="21"/>
                <w:highlight w:val="none"/>
              </w:rPr>
              <w:t>本项目专门面向中小企业，无价格扣除。</w:t>
            </w:r>
          </w:p>
        </w:tc>
        <w:tc>
          <w:tcPr>
            <w:tcW w:w="1079"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jc w:val="center"/>
              <w:textAlignment w:val="auto"/>
              <w:rPr>
                <w:rStyle w:val="78"/>
                <w:rFonts w:hint="eastAsia" w:ascii="仿宋" w:hAnsi="仿宋" w:eastAsia="仿宋" w:cs="仿宋"/>
                <w:b w:val="0"/>
                <w:bCs/>
                <w:color w:val="auto"/>
                <w:kern w:val="0"/>
                <w:sz w:val="21"/>
                <w:szCs w:val="21"/>
                <w:highlight w:val="none"/>
                <w:lang w:val="en-US" w:eastAsia="zh-CN"/>
              </w:rPr>
            </w:pPr>
          </w:p>
        </w:tc>
        <w:tc>
          <w:tcPr>
            <w:tcW w:w="1071" w:type="dxa"/>
            <w:noWrap w:val="0"/>
            <w:vAlign w:val="center"/>
          </w:tcPr>
          <w:p>
            <w:pPr>
              <w:keepNext w:val="0"/>
              <w:keepLines w:val="0"/>
              <w:pageBreakBefore w:val="0"/>
              <w:kinsoku/>
              <w:wordWrap/>
              <w:overflowPunct/>
              <w:topLinePunct w:val="0"/>
              <w:autoSpaceDE w:val="0"/>
              <w:autoSpaceDN w:val="0"/>
              <w:bidi w:val="0"/>
              <w:adjustRightInd w:val="0"/>
              <w:snapToGrid/>
              <w:spacing w:line="400" w:lineRule="exact"/>
              <w:textAlignment w:val="auto"/>
              <w:rPr>
                <w:rStyle w:val="78"/>
                <w:rFonts w:hint="eastAsia" w:ascii="仿宋" w:hAnsi="仿宋" w:eastAsia="仿宋" w:cs="仿宋"/>
                <w:b w:val="0"/>
                <w:bCs/>
                <w:color w:val="auto"/>
                <w:kern w:val="0"/>
                <w:sz w:val="21"/>
                <w:szCs w:val="21"/>
                <w:highlight w:val="none"/>
                <w:lang w:val="en-US" w:eastAsia="zh-CN"/>
              </w:rPr>
            </w:pPr>
            <w:r>
              <w:rPr>
                <w:rStyle w:val="78"/>
                <w:rFonts w:hint="eastAsia" w:ascii="仿宋" w:hAnsi="仿宋" w:eastAsia="仿宋" w:cs="仿宋"/>
                <w:b w:val="0"/>
                <w:bCs/>
                <w:color w:val="auto"/>
                <w:kern w:val="0"/>
                <w:sz w:val="21"/>
                <w:szCs w:val="21"/>
                <w:highlight w:val="none"/>
                <w:lang w:val="en-US" w:eastAsia="zh-CN"/>
              </w:rPr>
              <w:t>/</w:t>
            </w:r>
          </w:p>
        </w:tc>
      </w:tr>
    </w:tbl>
    <w:p>
      <w:pPr>
        <w:wordWrap w:val="0"/>
        <w:snapToGrid w:val="0"/>
        <w:spacing w:line="360" w:lineRule="auto"/>
        <w:rPr>
          <w:rFonts w:hint="eastAsia" w:ascii="仿宋" w:hAnsi="仿宋" w:eastAsia="仿宋" w:cs="仿宋"/>
          <w:b/>
          <w:color w:val="auto"/>
          <w:szCs w:val="21"/>
          <w:highlight w:val="none"/>
        </w:rPr>
      </w:pPr>
      <w:r>
        <w:rPr>
          <w:rFonts w:hint="eastAsia" w:ascii="仿宋" w:hAnsi="仿宋" w:eastAsia="仿宋" w:cs="仿宋"/>
          <w:color w:val="auto"/>
          <w:szCs w:val="21"/>
          <w:highlight w:val="none"/>
          <w:shd w:val="clear" w:color="auto" w:fill="FFFFFF"/>
        </w:rPr>
        <w:t xml:space="preserve">   </w:t>
      </w:r>
      <w:r>
        <w:rPr>
          <w:rFonts w:hint="eastAsia" w:ascii="仿宋" w:hAnsi="仿宋" w:eastAsia="仿宋" w:cs="仿宋"/>
          <w:b/>
          <w:color w:val="auto"/>
          <w:szCs w:val="21"/>
          <w:highlight w:val="none"/>
        </w:rPr>
        <w:t>备注：1.</w:t>
      </w:r>
      <w:r>
        <w:rPr>
          <w:rFonts w:hint="eastAsia" w:ascii="仿宋" w:hAnsi="仿宋" w:eastAsia="仿宋" w:cs="仿宋"/>
          <w:color w:val="auto"/>
          <w:szCs w:val="21"/>
          <w:highlight w:val="none"/>
        </w:rPr>
        <w:t>投标人编制投标文件（商务技术文件部分）时，建议按此目录（序号和内容）提供评标标准相应的商务技术资料。 </w:t>
      </w:r>
    </w:p>
    <w:p>
      <w:pPr>
        <w:wordWrap w:val="0"/>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rPr>
        <w:t>2.证明材料提供扫描件或复制件，未提供或提供不全的不得分。</w:t>
      </w:r>
      <w:r>
        <w:rPr>
          <w:rFonts w:hint="eastAsia" w:ascii="仿宋" w:hAnsi="仿宋" w:eastAsia="仿宋" w:cs="仿宋"/>
          <w:color w:val="auto"/>
          <w:szCs w:val="21"/>
          <w:highlight w:val="none"/>
          <w:u w:val="single"/>
          <w:lang w:val="en-US" w:eastAsia="zh-CN"/>
        </w:rPr>
        <w:t>以上包含本数，以下不含本数。</w:t>
      </w:r>
    </w:p>
    <w:p>
      <w:pPr>
        <w:wordWrap w:val="0"/>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rPr>
        <w:sym w:font="Wingdings" w:char="00FE"/>
      </w:r>
      <w:r>
        <w:rPr>
          <w:rFonts w:hint="eastAsia" w:ascii="仿宋" w:hAnsi="仿宋" w:eastAsia="仿宋" w:cs="仿宋"/>
          <w:color w:val="auto"/>
          <w:szCs w:val="21"/>
          <w:highlight w:val="none"/>
          <w:u w:val="single"/>
        </w:rPr>
        <w:t>3.首台套产品被纳入《首台套产品推广应用指导目录》之日起3年内，以及产品核心技术高于国内领先水平，并具有明晰自主知识产权的“制造精品”产品，自认定之日起2年内视同已具备相应销售业绩，则“企业类似项目业绩”分值为满分。证明材料提供目录文件。</w:t>
      </w:r>
    </w:p>
    <w:p>
      <w:pPr>
        <w:wordWrap w:val="0"/>
        <w:spacing w:line="360" w:lineRule="auto"/>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lang w:val="en-US" w:eastAsia="zh-CN"/>
        </w:rPr>
        <w:t>4.</w:t>
      </w:r>
      <w:r>
        <w:rPr>
          <w:rFonts w:hint="eastAsia" w:ascii="仿宋" w:hAnsi="仿宋" w:eastAsia="仿宋" w:cs="仿宋"/>
          <w:color w:val="auto"/>
          <w:szCs w:val="21"/>
          <w:highlight w:val="none"/>
          <w:u w:val="single"/>
        </w:rPr>
        <w:t>评标委员会将对实质上响应招标文件的投标人，各自独立记名打分，小数点后最多保留一位小数。投标人商务技术分=评标委员会所有成员评分合计数/评标委员会组成人员数（小数点后保留二位小数，第三位四舍五入）。投标人价格得分小数点后保留两位小数。</w:t>
      </w:r>
    </w:p>
    <w:p>
      <w:pPr>
        <w:numPr>
          <w:ilvl w:val="255"/>
          <w:numId w:val="0"/>
        </w:numPr>
        <w:spacing w:line="360" w:lineRule="auto"/>
        <w:ind w:firstLine="420" w:firstLineChars="200"/>
        <w:rPr>
          <w:rFonts w:hint="eastAsia" w:ascii="仿宋" w:hAnsi="仿宋" w:eastAsia="仿宋" w:cs="仿宋"/>
          <w:b w:val="0"/>
          <w:bCs w:val="0"/>
          <w:color w:val="auto"/>
          <w:kern w:val="2"/>
          <w:sz w:val="21"/>
          <w:szCs w:val="21"/>
          <w:highlight w:val="none"/>
          <w:u w:val="single"/>
        </w:rPr>
      </w:pPr>
    </w:p>
    <w:p>
      <w:pPr>
        <w:wordWrap w:val="0"/>
        <w:snapToGrid/>
        <w:spacing w:line="360" w:lineRule="auto"/>
        <w:ind w:firstLine="643" w:firstLineChars="200"/>
        <w:outlineLvl w:val="9"/>
        <w:rPr>
          <w:rFonts w:hint="eastAsia" w:ascii="仿宋" w:hAnsi="仿宋" w:eastAsia="仿宋" w:cs="仿宋"/>
          <w:b/>
          <w:color w:val="auto"/>
          <w:sz w:val="32"/>
          <w:highlight w:val="none"/>
        </w:rPr>
        <w:sectPr>
          <w:footerReference r:id="rId10" w:type="first"/>
          <w:headerReference r:id="rId8" w:type="default"/>
          <w:footerReference r:id="rId9" w:type="default"/>
          <w:pgSz w:w="11905" w:h="16838"/>
          <w:pgMar w:top="652" w:right="1417" w:bottom="680" w:left="1417" w:header="539" w:footer="425" w:gutter="0"/>
          <w:cols w:space="0" w:num="1"/>
          <w:titlePg/>
        </w:sectPr>
      </w:pPr>
    </w:p>
    <w:p>
      <w:pPr>
        <w:wordWrap w:val="0"/>
        <w:snapToGrid/>
        <w:spacing w:line="360" w:lineRule="auto"/>
        <w:ind w:firstLine="643" w:firstLineChars="200"/>
        <w:outlineLvl w:val="9"/>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1.评标方法</w:t>
      </w:r>
    </w:p>
    <w:p>
      <w:pPr>
        <w:wordWrap w:val="0"/>
        <w:adjustRightInd/>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wordWrap w:val="0"/>
        <w:adjustRightInd/>
        <w:spacing w:line="360" w:lineRule="auto"/>
        <w:ind w:firstLine="321" w:firstLineChars="100"/>
        <w:outlineLvl w:val="1"/>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2.评标标准</w:t>
      </w:r>
    </w:p>
    <w:p>
      <w:pPr>
        <w:wordWrap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见评标办法前附表。</w:t>
      </w:r>
    </w:p>
    <w:p>
      <w:pPr>
        <w:wordWrap w:val="0"/>
        <w:spacing w:line="360" w:lineRule="auto"/>
        <w:ind w:firstLine="321" w:firstLineChars="100"/>
        <w:outlineLvl w:val="1"/>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3.评标程序</w:t>
      </w:r>
    </w:p>
    <w:p>
      <w:pPr>
        <w:wordWrap w:val="0"/>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pPr>
        <w:wordWrap w:val="0"/>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wordWrap w:val="0"/>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wordWrap w:val="0"/>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132"/>
        <w:wordWrap w:val="0"/>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 报价文件开启后，如发现开标结果与报价文件不一致者，以报价文件为准。由评标委员会根据报价文件内容进行修正。</w:t>
      </w:r>
    </w:p>
    <w:p>
      <w:pPr>
        <w:pStyle w:val="132"/>
        <w:wordWrap w:val="0"/>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3.4.2投标文件报价出现前后不一致的，按照下列规定修正：</w:t>
      </w:r>
    </w:p>
    <w:p>
      <w:pPr>
        <w:pStyle w:val="132"/>
        <w:wordWrap w:val="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3.4.2.1投标文件中开标一览表(报价表)内容与投标文件中相应内容不一致的，以开标一览表(报价表)为准;但开标一览表(报价表)存在明显单位、文字错误的，则澄清、说明、补正；</w:t>
      </w:r>
    </w:p>
    <w:p>
      <w:pPr>
        <w:pStyle w:val="132"/>
        <w:wordWrap w:val="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3.4.2.2大写金额和小写金额不一致的，以大写金额为准;但大写有明显单位、文字错误外的除外;</w:t>
      </w:r>
    </w:p>
    <w:p>
      <w:pPr>
        <w:pStyle w:val="132"/>
        <w:wordWrap w:val="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3.4.2.3单价金额小数点或者百分比有明显错位的，以开标一览表的总价为准，并修改单价;</w:t>
      </w:r>
    </w:p>
    <w:p>
      <w:pPr>
        <w:pStyle w:val="132"/>
        <w:wordWrap w:val="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3.4.2.4总价金额与按单价汇总金额不一致的，以单价金额计算结果为准。</w:t>
      </w:r>
    </w:p>
    <w:p>
      <w:pPr>
        <w:pStyle w:val="132"/>
        <w:wordWrap w:val="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同时出现两种以上不一致的，按照3.4.2规定的顺序修正。修正后的报价按照财政部第87号令 《政府采购货物和服务招标投标管理办法》第五十一条第二款的规定经投标人确认后产生约束力。</w:t>
      </w:r>
    </w:p>
    <w:p>
      <w:pPr>
        <w:wordWrap w:val="0"/>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3.4.3投标文件出现不是唯一的、有选择性投标报价的，投标无效。</w:t>
      </w:r>
    </w:p>
    <w:p>
      <w:pPr>
        <w:wordWrap w:val="0"/>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3.4.4投标报价超过招标文件中规定的预算金额或者最高限价的，投标无效。</w:t>
      </w:r>
    </w:p>
    <w:p>
      <w:pPr>
        <w:pStyle w:val="132"/>
        <w:wordWrap w:val="0"/>
        <w:spacing w:before="0"/>
        <w:ind w:firstLine="482"/>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3.4.5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2"/>
        <w:wordWrap w:val="0"/>
        <w:spacing w:before="0"/>
        <w:ind w:firstLine="480"/>
        <w:rPr>
          <w:rFonts w:hint="eastAsia" w:ascii="仿宋" w:hAnsi="仿宋" w:eastAsia="仿宋" w:cs="仿宋"/>
          <w:b/>
          <w:bCs/>
          <w:color w:val="auto"/>
          <w:kern w:val="0"/>
          <w:szCs w:val="24"/>
          <w:highlight w:val="none"/>
        </w:rPr>
      </w:pPr>
      <w:r>
        <w:rPr>
          <w:rFonts w:hint="eastAsia" w:ascii="仿宋" w:hAnsi="仿宋" w:eastAsia="仿宋" w:cs="仿宋"/>
          <w:color w:val="auto"/>
          <w:szCs w:val="21"/>
          <w:highlight w:val="none"/>
          <w:u w:val="single"/>
        </w:rPr>
        <w:sym w:font="Wingdings" w:char="00A8"/>
      </w:r>
      <w:r>
        <w:rPr>
          <w:rFonts w:hint="eastAsia" w:ascii="仿宋" w:hAnsi="仿宋" w:eastAsia="仿宋" w:cs="仿宋"/>
          <w:color w:val="auto"/>
          <w:kern w:val="0"/>
          <w:szCs w:val="24"/>
          <w:highlight w:val="none"/>
        </w:rPr>
        <w:t>3.4.6对于未预留份额专门面向中小企业的政府采购货物或服务项目，以及预留份额政府采购货物或服务项目中的非预留部分标项，对小型和微型企业的投标报价给予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b/>
          <w:bCs/>
          <w:color w:val="auto"/>
          <w:kern w:val="0"/>
          <w:szCs w:val="24"/>
          <w:highlight w:val="none"/>
          <w:u w:val="single"/>
          <w:lang w:val="en-US" w:eastAsia="zh-CN"/>
        </w:rPr>
        <w:t>10</w:t>
      </w:r>
      <w:r>
        <w:rPr>
          <w:rFonts w:hint="eastAsia" w:ascii="仿宋" w:hAnsi="仿宋" w:eastAsia="仿宋" w:cs="仿宋"/>
          <w:b/>
          <w:bCs/>
          <w:color w:val="auto"/>
          <w:kern w:val="0"/>
          <w:szCs w:val="24"/>
          <w:highlight w:val="none"/>
          <w:u w:val="single"/>
        </w:rPr>
        <w:t>%</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0%）</w:t>
      </w:r>
      <w:r>
        <w:rPr>
          <w:rFonts w:hint="eastAsia" w:ascii="仿宋" w:hAnsi="仿宋" w:eastAsia="仿宋" w:cs="仿宋"/>
          <w:color w:val="auto"/>
          <w:kern w:val="0"/>
          <w:szCs w:val="24"/>
          <w:highlight w:val="none"/>
        </w:rPr>
        <w:t>的扣除，用扣除后的价格参与评审。</w:t>
      </w:r>
      <w:r>
        <w:rPr>
          <w:rFonts w:hint="eastAsia" w:ascii="仿宋" w:hAnsi="仿宋" w:eastAsia="仿宋" w:cs="仿宋"/>
          <w:b/>
          <w:bCs/>
          <w:color w:val="auto"/>
          <w:kern w:val="0"/>
          <w:szCs w:val="24"/>
          <w:highlight w:val="none"/>
        </w:rPr>
        <w:t>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b/>
          <w:bCs/>
          <w:color w:val="auto"/>
          <w:kern w:val="0"/>
          <w:szCs w:val="24"/>
          <w:highlight w:val="none"/>
          <w:u w:val="single"/>
          <w:lang w:val="en-US" w:eastAsia="zh-CN"/>
        </w:rPr>
        <w:t>4</w:t>
      </w:r>
      <w:r>
        <w:rPr>
          <w:rFonts w:hint="eastAsia" w:ascii="仿宋" w:hAnsi="仿宋" w:eastAsia="仿宋" w:cs="仿宋"/>
          <w:b/>
          <w:bCs/>
          <w:color w:val="auto"/>
          <w:kern w:val="0"/>
          <w:szCs w:val="24"/>
          <w:highlight w:val="none"/>
          <w:u w:val="single"/>
        </w:rPr>
        <w:t>%</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bCs/>
          <w:color w:val="auto"/>
          <w:kern w:val="0"/>
          <w:szCs w:val="24"/>
          <w:highlight w:val="none"/>
        </w:rPr>
        <w:t>的扣除，用扣除后的价格参加评审。</w:t>
      </w:r>
    </w:p>
    <w:p>
      <w:pPr>
        <w:pStyle w:val="132"/>
        <w:wordWrap w:val="0"/>
        <w:spacing w:before="0"/>
        <w:ind w:firstLine="482"/>
        <w:rPr>
          <w:rFonts w:hint="eastAsia"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组成联合体或者接受分包的小微企业与联合体内其他企业、分包企业之间存在直接控股、管理关系的，不享受价格扣除优惠政策。</w:t>
      </w:r>
    </w:p>
    <w:p>
      <w:pPr>
        <w:wordWrap w:val="0"/>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highlight w:val="none"/>
          <w:u w:val="single"/>
        </w:rPr>
        <w:t>本项目推荐</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名中标候选人</w:t>
      </w:r>
      <w:r>
        <w:rPr>
          <w:rFonts w:hint="eastAsia" w:ascii="仿宋" w:hAnsi="仿宋" w:eastAsia="仿宋" w:cs="仿宋"/>
          <w:color w:val="auto"/>
          <w:kern w:val="0"/>
          <w:sz w:val="24"/>
          <w:highlight w:val="none"/>
        </w:rPr>
        <w:t>。</w:t>
      </w:r>
    </w:p>
    <w:p>
      <w:pPr>
        <w:wordWrap w:val="0"/>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wordWrap w:val="0"/>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wordWrap w:val="0"/>
        <w:adjustRightInd/>
        <w:spacing w:after="225" w:line="315" w:lineRule="atLeast"/>
        <w:jc w:val="left"/>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132"/>
        <w:wordWrap w:val="0"/>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wordWrap w:val="0"/>
        <w:spacing w:line="360" w:lineRule="auto"/>
        <w:ind w:left="954" w:leftChars="226" w:hanging="479" w:firstLineChars="0"/>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4.2投标无效</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有下列情况之一的，投标无效：</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wordWrap w:val="0"/>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wordWrap w:val="0"/>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4.2.12投标人仅提交备份投标文件，没有在电子交易平台传输递交投标文件的，投标无效；</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投标文件组成严重漏项、内容严重不全的；</w:t>
      </w:r>
    </w:p>
    <w:p>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未按规定的格式编制影响实质内容的；</w:t>
      </w:r>
    </w:p>
    <w:p>
      <w:pPr>
        <w:pStyle w:val="5"/>
        <w:keepNext w:val="0"/>
        <w:keepLines w:val="0"/>
        <w:wordWrap w:val="0"/>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lang w:val="en-US"/>
        </w:rPr>
        <w:t>投标文件不满足招标文件的其它实质性要求的；</w:t>
      </w:r>
    </w:p>
    <w:p>
      <w:pPr>
        <w:pStyle w:val="5"/>
        <w:keepNext w:val="0"/>
        <w:keepLines w:val="0"/>
        <w:wordWrap w:val="0"/>
        <w:ind w:left="862" w:leftChars="205"/>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highlight w:val="none"/>
        </w:rPr>
        <w:t>4.2.1</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sz w:val="24"/>
          <w:szCs w:val="24"/>
          <w:highlight w:val="none"/>
        </w:rPr>
        <w:t>法律、法规、规章（适用本市的）及省级以上规范性文件（适用本市的）规</w:t>
      </w:r>
    </w:p>
    <w:p>
      <w:pPr>
        <w:pStyle w:val="5"/>
        <w:keepNext w:val="0"/>
        <w:keepLines w:val="0"/>
        <w:wordWrap w:val="0"/>
        <w:ind w:left="0" w:firstLine="0"/>
        <w:rPr>
          <w:rFonts w:hint="eastAsia" w:ascii="仿宋" w:hAnsi="仿宋" w:eastAsia="仿宋" w:cs="仿宋"/>
          <w:color w:val="auto"/>
          <w:kern w:val="0"/>
          <w:sz w:val="24"/>
          <w:highlight w:val="none"/>
          <w:lang w:val="en-US"/>
        </w:rPr>
      </w:pPr>
      <w:r>
        <w:rPr>
          <w:rFonts w:hint="eastAsia" w:ascii="仿宋" w:hAnsi="仿宋" w:eastAsia="仿宋" w:cs="仿宋"/>
          <w:b w:val="0"/>
          <w:bCs w:val="0"/>
          <w:color w:val="auto"/>
          <w:sz w:val="24"/>
          <w:szCs w:val="24"/>
          <w:highlight w:val="none"/>
        </w:rPr>
        <w:t>定的其他无效情形。</w:t>
      </w:r>
    </w:p>
    <w:p>
      <w:pPr>
        <w:pStyle w:val="25"/>
        <w:wordWrap w:val="0"/>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25"/>
        <w:wordWrap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25"/>
        <w:wordWrap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25"/>
        <w:wordWrap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25"/>
        <w:wordWrap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25"/>
        <w:wordWrap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废标后，采购代理机构应当将废标理由通知所有投标人。</w:t>
      </w:r>
    </w:p>
    <w:p>
      <w:pPr>
        <w:pStyle w:val="25"/>
        <w:wordWrap w:val="0"/>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wordWrap w:val="0"/>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25"/>
        <w:wordWrap w:val="0"/>
        <w:snapToGrid w:val="0"/>
        <w:spacing w:line="360"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25"/>
        <w:wordWrap w:val="0"/>
        <w:snapToGrid w:val="0"/>
        <w:spacing w:line="360"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5"/>
        <w:wordWrap w:val="0"/>
        <w:snapToGrid w:val="0"/>
        <w:spacing w:line="360"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25"/>
        <w:wordWrap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25"/>
        <w:wordWrap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p>
      <w:pPr>
        <w:pStyle w:val="25"/>
        <w:wordWrap w:val="0"/>
        <w:snapToGrid w:val="0"/>
        <w:spacing w:line="360" w:lineRule="auto"/>
        <w:ind w:firstLine="0" w:firstLineChars="0"/>
        <w:rPr>
          <w:rFonts w:hint="eastAsia" w:ascii="仿宋" w:hAnsi="仿宋" w:eastAsia="仿宋" w:cs="仿宋"/>
          <w:color w:val="auto"/>
          <w:highlight w:val="none"/>
        </w:rPr>
      </w:pPr>
    </w:p>
    <w:bookmarkEnd w:id="49"/>
    <w:p>
      <w:pPr>
        <w:wordWrap w:val="0"/>
        <w:spacing w:line="360" w:lineRule="auto"/>
        <w:ind w:left="720" w:leftChars="343" w:firstLine="1084" w:firstLineChars="300"/>
        <w:rPr>
          <w:rFonts w:hint="eastAsia" w:ascii="仿宋" w:hAnsi="仿宋" w:eastAsia="仿宋" w:cs="仿宋"/>
          <w:b/>
          <w:color w:val="auto"/>
          <w:sz w:val="36"/>
          <w:szCs w:val="36"/>
          <w:highlight w:val="none"/>
        </w:rPr>
      </w:pPr>
      <w:bookmarkStart w:id="425" w:name="第五部分"/>
      <w:bookmarkStart w:id="426" w:name="_Toc86217003"/>
    </w:p>
    <w:p>
      <w:pPr>
        <w:wordWrap w:val="0"/>
        <w:spacing w:line="360" w:lineRule="auto"/>
        <w:ind w:left="720" w:leftChars="343" w:firstLine="1084" w:firstLineChars="300"/>
        <w:rPr>
          <w:rFonts w:hint="eastAsia" w:ascii="仿宋" w:hAnsi="仿宋" w:eastAsia="仿宋" w:cs="仿宋"/>
          <w:b/>
          <w:color w:val="auto"/>
          <w:sz w:val="36"/>
          <w:szCs w:val="36"/>
          <w:highlight w:val="none"/>
        </w:rPr>
      </w:pPr>
    </w:p>
    <w:p>
      <w:pPr>
        <w:wordWrap w:val="0"/>
        <w:spacing w:line="360" w:lineRule="auto"/>
        <w:ind w:left="720" w:leftChars="343" w:firstLine="1084" w:firstLineChars="300"/>
        <w:rPr>
          <w:rFonts w:hint="eastAsia" w:ascii="仿宋" w:hAnsi="仿宋" w:eastAsia="仿宋" w:cs="仿宋"/>
          <w:b/>
          <w:color w:val="auto"/>
          <w:sz w:val="36"/>
          <w:szCs w:val="36"/>
          <w:highlight w:val="none"/>
        </w:rPr>
      </w:pPr>
    </w:p>
    <w:p>
      <w:pPr>
        <w:wordWrap w:val="0"/>
        <w:spacing w:line="360" w:lineRule="auto"/>
        <w:ind w:left="720" w:leftChars="343" w:firstLine="1084" w:firstLineChars="300"/>
        <w:rPr>
          <w:rFonts w:hint="eastAsia" w:ascii="仿宋" w:hAnsi="仿宋" w:eastAsia="仿宋" w:cs="仿宋"/>
          <w:b/>
          <w:color w:val="auto"/>
          <w:sz w:val="36"/>
          <w:szCs w:val="36"/>
          <w:highlight w:val="none"/>
        </w:rPr>
      </w:pPr>
    </w:p>
    <w:p>
      <w:pPr>
        <w:tabs>
          <w:tab w:val="left" w:pos="1792"/>
        </w:tabs>
        <w:wordWrap w:val="0"/>
        <w:spacing w:line="360" w:lineRule="auto"/>
        <w:ind w:left="720" w:leftChars="343" w:firstLine="1084" w:firstLineChars="30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ab/>
      </w:r>
    </w:p>
    <w:p>
      <w:pPr>
        <w:wordWrap w:val="0"/>
        <w:ind w:firstLine="1807" w:firstLineChars="500"/>
        <w:outlineLvl w:val="0"/>
        <w:rPr>
          <w:rFonts w:hint="eastAsia" w:ascii="仿宋" w:hAnsi="仿宋" w:eastAsia="仿宋" w:cs="仿宋"/>
          <w:b/>
          <w:color w:val="auto"/>
          <w:sz w:val="36"/>
          <w:szCs w:val="36"/>
          <w:highlight w:val="none"/>
        </w:rPr>
        <w:sectPr>
          <w:pgSz w:w="11905" w:h="16838"/>
          <w:pgMar w:top="652" w:right="1417" w:bottom="680" w:left="1417" w:header="539" w:footer="425" w:gutter="0"/>
          <w:cols w:space="0" w:num="1"/>
          <w:titlePg/>
        </w:sectPr>
      </w:pPr>
      <w:bookmarkStart w:id="427" w:name="_Toc12903"/>
      <w:bookmarkStart w:id="428" w:name="_Toc28629"/>
      <w:bookmarkStart w:id="429" w:name="_Toc22290"/>
    </w:p>
    <w:p>
      <w:pPr>
        <w:wordWrap w:val="0"/>
        <w:ind w:firstLine="1807" w:firstLineChars="500"/>
        <w:outlineLvl w:val="0"/>
        <w:rPr>
          <w:rFonts w:hint="eastAsia" w:ascii="仿宋" w:hAnsi="仿宋" w:eastAsia="仿宋" w:cs="仿宋"/>
          <w:b/>
          <w:color w:val="auto"/>
          <w:sz w:val="36"/>
          <w:szCs w:val="36"/>
          <w:highlight w:val="none"/>
        </w:rPr>
      </w:pPr>
      <w:bookmarkStart w:id="430" w:name="_Toc12722"/>
      <w:bookmarkStart w:id="431" w:name="_Toc30437"/>
      <w:bookmarkStart w:id="432" w:name="_Toc8068"/>
      <w:bookmarkStart w:id="433" w:name="_Toc3651"/>
      <w:r>
        <w:rPr>
          <w:rFonts w:hint="eastAsia" w:ascii="仿宋" w:hAnsi="仿宋" w:eastAsia="仿宋" w:cs="仿宋"/>
          <w:b/>
          <w:color w:val="auto"/>
          <w:sz w:val="36"/>
          <w:szCs w:val="36"/>
          <w:highlight w:val="none"/>
        </w:rPr>
        <w:t>第五部分 拟签订的合同文本</w:t>
      </w:r>
      <w:bookmarkEnd w:id="427"/>
      <w:bookmarkEnd w:id="428"/>
      <w:bookmarkEnd w:id="429"/>
      <w:bookmarkEnd w:id="430"/>
      <w:bookmarkEnd w:id="431"/>
      <w:bookmarkEnd w:id="432"/>
      <w:bookmarkEnd w:id="433"/>
    </w:p>
    <w:p>
      <w:pPr>
        <w:wordWrap w:val="0"/>
        <w:rPr>
          <w:rFonts w:hint="eastAsia" w:ascii="仿宋" w:hAnsi="仿宋" w:eastAsia="仿宋" w:cs="仿宋"/>
          <w:color w:val="auto"/>
          <w:sz w:val="24"/>
          <w:highlight w:val="none"/>
        </w:rPr>
      </w:pPr>
    </w:p>
    <w:p>
      <w:pPr>
        <w:wordWrap w:val="0"/>
        <w:rPr>
          <w:rFonts w:hint="eastAsia" w:ascii="仿宋" w:hAnsi="仿宋" w:eastAsia="仿宋" w:cs="仿宋"/>
          <w:color w:val="auto"/>
          <w:sz w:val="24"/>
          <w:highlight w:val="none"/>
        </w:rPr>
      </w:pPr>
    </w:p>
    <w:p>
      <w:pPr>
        <w:wordWrap w:val="0"/>
        <w:rPr>
          <w:rFonts w:hint="eastAsia" w:ascii="仿宋" w:hAnsi="仿宋" w:eastAsia="仿宋" w:cs="仿宋"/>
          <w:color w:val="auto"/>
          <w:sz w:val="24"/>
          <w:highlight w:val="none"/>
        </w:rPr>
      </w:pP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wordWrap w:val="0"/>
        <w:spacing w:line="480" w:lineRule="auto"/>
        <w:jc w:val="center"/>
        <w:rPr>
          <w:rFonts w:hint="eastAsia" w:ascii="仿宋" w:hAnsi="仿宋" w:eastAsia="仿宋" w:cs="仿宋"/>
          <w:b/>
          <w:color w:val="auto"/>
          <w:sz w:val="24"/>
          <w:highlight w:val="none"/>
        </w:rPr>
      </w:pPr>
    </w:p>
    <w:p>
      <w:pPr>
        <w:wordWrap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w:t>
      </w:r>
    </w:p>
    <w:p>
      <w:pPr>
        <w:wordWrap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w:t>
      </w:r>
      <w:r>
        <w:rPr>
          <w:rFonts w:hint="eastAsia" w:ascii="仿宋" w:hAnsi="仿宋" w:eastAsia="仿宋" w:cs="仿宋"/>
          <w:b/>
          <w:color w:val="auto"/>
          <w:sz w:val="36"/>
          <w:szCs w:val="36"/>
          <w:highlight w:val="none"/>
          <w:lang w:eastAsia="zh-CN"/>
        </w:rPr>
        <w:t>货物</w:t>
      </w:r>
      <w:r>
        <w:rPr>
          <w:rFonts w:hint="eastAsia" w:ascii="仿宋" w:hAnsi="仿宋" w:eastAsia="仿宋" w:cs="仿宋"/>
          <w:b/>
          <w:color w:val="auto"/>
          <w:sz w:val="36"/>
          <w:szCs w:val="36"/>
          <w:highlight w:val="none"/>
        </w:rPr>
        <w:t xml:space="preserve">类） </w:t>
      </w:r>
    </w:p>
    <w:p>
      <w:pPr>
        <w:pStyle w:val="703"/>
        <w:wordWrap w:val="0"/>
        <w:ind w:left="0" w:leftChars="0" w:firstLine="0" w:firstLineChars="0"/>
        <w:jc w:val="center"/>
        <w:rPr>
          <w:rFonts w:hint="eastAsia" w:ascii="仿宋" w:hAnsi="仿宋" w:eastAsia="仿宋" w:cs="仿宋"/>
          <w:b/>
          <w:color w:val="auto"/>
          <w:sz w:val="32"/>
          <w:szCs w:val="32"/>
          <w:highlight w:val="none"/>
        </w:rPr>
      </w:pPr>
    </w:p>
    <w:p>
      <w:pPr>
        <w:pStyle w:val="703"/>
        <w:wordWrap w:val="0"/>
        <w:ind w:left="0" w:leftChars="0" w:firstLine="0" w:firstLineChars="0"/>
        <w:jc w:val="center"/>
        <w:outlineLvl w:val="1"/>
        <w:rPr>
          <w:rFonts w:hint="eastAsia" w:ascii="仿宋" w:hAnsi="仿宋" w:eastAsia="仿宋" w:cs="仿宋"/>
          <w:b/>
          <w:color w:val="auto"/>
          <w:sz w:val="32"/>
          <w:szCs w:val="32"/>
          <w:highlight w:val="none"/>
        </w:rPr>
      </w:pPr>
      <w:bookmarkStart w:id="434" w:name="_Toc25128"/>
      <w:bookmarkStart w:id="435" w:name="_Toc23916"/>
      <w:bookmarkStart w:id="436" w:name="_Toc12420"/>
      <w:bookmarkStart w:id="437" w:name="_Toc24027"/>
      <w:bookmarkStart w:id="438" w:name="_Toc30206"/>
      <w:bookmarkStart w:id="439" w:name="_Toc27969"/>
      <w:bookmarkStart w:id="440" w:name="_Toc19069"/>
      <w:bookmarkStart w:id="441" w:name="_Toc28437"/>
      <w:bookmarkStart w:id="442" w:name="_Toc5865"/>
      <w:r>
        <w:rPr>
          <w:rFonts w:hint="eastAsia" w:ascii="仿宋" w:hAnsi="仿宋" w:eastAsia="仿宋" w:cs="仿宋"/>
          <w:b/>
          <w:color w:val="auto"/>
          <w:sz w:val="32"/>
          <w:szCs w:val="32"/>
          <w:highlight w:val="none"/>
        </w:rPr>
        <w:t>第一部分 合同书</w:t>
      </w:r>
      <w:bookmarkEnd w:id="434"/>
      <w:bookmarkEnd w:id="435"/>
      <w:bookmarkEnd w:id="436"/>
      <w:bookmarkEnd w:id="437"/>
      <w:bookmarkEnd w:id="438"/>
      <w:bookmarkEnd w:id="439"/>
      <w:bookmarkEnd w:id="440"/>
      <w:bookmarkEnd w:id="441"/>
      <w:bookmarkEnd w:id="442"/>
    </w:p>
    <w:p>
      <w:pPr>
        <w:pStyle w:val="703"/>
        <w:wordWrap w:val="0"/>
        <w:rPr>
          <w:rFonts w:hint="eastAsia" w:ascii="仿宋" w:hAnsi="仿宋" w:eastAsia="仿宋" w:cs="仿宋"/>
          <w:color w:val="auto"/>
          <w:szCs w:val="24"/>
          <w:highlight w:val="none"/>
        </w:rPr>
      </w:pPr>
    </w:p>
    <w:p>
      <w:pPr>
        <w:pStyle w:val="703"/>
        <w:wordWrap w:val="0"/>
        <w:rPr>
          <w:rFonts w:hint="eastAsia" w:ascii="仿宋" w:hAnsi="仿宋" w:eastAsia="仿宋" w:cs="仿宋"/>
          <w:color w:val="auto"/>
          <w:szCs w:val="24"/>
          <w:highlight w:val="none"/>
        </w:rPr>
      </w:pPr>
    </w:p>
    <w:p>
      <w:pPr>
        <w:pStyle w:val="25"/>
        <w:rPr>
          <w:rFonts w:hint="eastAsia" w:ascii="仿宋" w:hAnsi="仿宋" w:eastAsia="仿宋" w:cs="仿宋"/>
          <w:color w:val="auto"/>
          <w:highlight w:val="none"/>
        </w:rPr>
      </w:pPr>
    </w:p>
    <w:p>
      <w:pPr>
        <w:pStyle w:val="17"/>
        <w:rPr>
          <w:rFonts w:hint="eastAsia" w:ascii="仿宋" w:hAnsi="仿宋" w:eastAsia="仿宋" w:cs="仿宋"/>
          <w:color w:val="auto"/>
          <w:highlight w:val="none"/>
        </w:rPr>
      </w:pPr>
    </w:p>
    <w:p>
      <w:pPr>
        <w:wordWrap w:val="0"/>
        <w:spacing w:before="120" w:line="22" w:lineRule="atLeast"/>
        <w:rPr>
          <w:rFonts w:hint="eastAsia" w:ascii="仿宋" w:hAnsi="仿宋" w:eastAsia="仿宋" w:cs="仿宋"/>
          <w:color w:val="auto"/>
          <w:sz w:val="24"/>
          <w:highlight w:val="none"/>
        </w:rPr>
      </w:pPr>
    </w:p>
    <w:p>
      <w:pPr>
        <w:wordWrap w:val="0"/>
        <w:ind w:left="2238" w:leftChars="399" w:right="840" w:rightChars="400" w:hanging="1400" w:hangingChars="5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lang w:eastAsia="zh-CN"/>
        </w:rPr>
        <w:t>杭州学军中学桐庐学校竣工配套设施设备（体育设施及器材）项目</w:t>
      </w:r>
      <w:r>
        <w:rPr>
          <w:rFonts w:hint="eastAsia" w:ascii="仿宋" w:hAnsi="仿宋" w:eastAsia="仿宋" w:cs="仿宋"/>
          <w:color w:val="auto"/>
          <w:sz w:val="28"/>
          <w:szCs w:val="28"/>
          <w:highlight w:val="none"/>
          <w:u w:val="single"/>
        </w:rPr>
        <w:t xml:space="preserve"> </w:t>
      </w:r>
    </w:p>
    <w:p>
      <w:pPr>
        <w:pStyle w:val="601"/>
        <w:wordWrap w:val="0"/>
        <w:spacing w:line="24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wordWrap w:val="0"/>
        <w:rPr>
          <w:rFonts w:hint="eastAsia" w:ascii="仿宋" w:hAnsi="仿宋" w:eastAsia="仿宋" w:cs="仿宋"/>
          <w:color w:val="auto"/>
          <w:sz w:val="28"/>
          <w:szCs w:val="28"/>
          <w:highlight w:val="none"/>
        </w:rPr>
      </w:pPr>
    </w:p>
    <w:p>
      <w:pPr>
        <w:wordWrap w:val="0"/>
        <w:ind w:firstLine="840" w:firstLineChars="3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甲    方：</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wordWrap w:val="0"/>
        <w:rPr>
          <w:rFonts w:hint="eastAsia" w:ascii="仿宋" w:hAnsi="仿宋" w:eastAsia="仿宋" w:cs="仿宋"/>
          <w:color w:val="auto"/>
          <w:sz w:val="28"/>
          <w:szCs w:val="28"/>
          <w:highlight w:val="none"/>
        </w:rPr>
      </w:pPr>
    </w:p>
    <w:p>
      <w:pPr>
        <w:wordWrap w:val="0"/>
        <w:ind w:firstLine="840" w:firstLineChars="3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乙    方：</w:t>
      </w:r>
      <w:r>
        <w:rPr>
          <w:rFonts w:hint="eastAsia" w:ascii="仿宋" w:hAnsi="仿宋" w:eastAsia="仿宋" w:cs="仿宋"/>
          <w:color w:val="auto"/>
          <w:sz w:val="28"/>
          <w:szCs w:val="28"/>
          <w:highlight w:val="none"/>
          <w:u w:val="single"/>
        </w:rPr>
        <w:t xml:space="preserve">                                          </w:t>
      </w:r>
    </w:p>
    <w:p>
      <w:pPr>
        <w:wordWrap w:val="0"/>
        <w:rPr>
          <w:rFonts w:hint="eastAsia" w:ascii="仿宋" w:hAnsi="仿宋" w:eastAsia="仿宋" w:cs="仿宋"/>
          <w:color w:val="auto"/>
          <w:sz w:val="28"/>
          <w:szCs w:val="28"/>
          <w:highlight w:val="none"/>
        </w:rPr>
      </w:pPr>
    </w:p>
    <w:p>
      <w:pPr>
        <w:wordWrap w:val="0"/>
        <w:ind w:firstLine="840" w:firstLineChars="3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签 订 地：</w:t>
      </w:r>
      <w:r>
        <w:rPr>
          <w:rFonts w:hint="eastAsia" w:ascii="仿宋" w:hAnsi="仿宋" w:eastAsia="仿宋" w:cs="仿宋"/>
          <w:color w:val="auto"/>
          <w:sz w:val="28"/>
          <w:szCs w:val="28"/>
          <w:highlight w:val="none"/>
          <w:u w:val="single"/>
        </w:rPr>
        <w:t xml:space="preserve">                                         </w:t>
      </w:r>
    </w:p>
    <w:p>
      <w:pPr>
        <w:wordWrap w:val="0"/>
        <w:rPr>
          <w:rFonts w:hint="eastAsia" w:ascii="仿宋" w:hAnsi="仿宋" w:eastAsia="仿宋" w:cs="仿宋"/>
          <w:color w:val="auto"/>
          <w:sz w:val="28"/>
          <w:szCs w:val="28"/>
          <w:highlight w:val="none"/>
        </w:rPr>
      </w:pPr>
    </w:p>
    <w:p>
      <w:pPr>
        <w:wordWrap w:val="0"/>
        <w:ind w:firstLine="840" w:firstLineChars="3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签订日期：</w:t>
      </w:r>
      <w:r>
        <w:rPr>
          <w:rFonts w:hint="eastAsia" w:ascii="仿宋" w:hAnsi="仿宋" w:eastAsia="仿宋" w:cs="仿宋"/>
          <w:color w:val="auto"/>
          <w:sz w:val="28"/>
          <w:szCs w:val="28"/>
          <w:highlight w:val="none"/>
          <w:u w:val="single"/>
        </w:rPr>
        <w:t xml:space="preserve">  202</w:t>
      </w:r>
      <w:r>
        <w:rPr>
          <w:rFonts w:hint="eastAsia" w:ascii="仿宋" w:hAnsi="仿宋" w:eastAsia="仿宋" w:cs="仿宋"/>
          <w:color w:val="auto"/>
          <w:sz w:val="28"/>
          <w:szCs w:val="28"/>
          <w:highlight w:val="none"/>
          <w:u w:val="single"/>
          <w:lang w:val="en-US" w:eastAsia="zh-CN"/>
        </w:rPr>
        <w:t>4</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pPr>
        <w:widowControl/>
        <w:wordWrap w:val="0"/>
        <w:jc w:val="left"/>
        <w:rPr>
          <w:rFonts w:hint="eastAsia" w:ascii="仿宋" w:hAnsi="仿宋" w:eastAsia="仿宋" w:cs="仿宋"/>
          <w:color w:val="auto"/>
          <w:kern w:val="0"/>
          <w:sz w:val="28"/>
          <w:szCs w:val="28"/>
          <w:highlight w:val="none"/>
        </w:rPr>
        <w:sectPr>
          <w:pgSz w:w="11905" w:h="16838"/>
          <w:pgMar w:top="652" w:right="1417" w:bottom="680" w:left="1417" w:header="539" w:footer="425" w:gutter="0"/>
          <w:cols w:space="0" w:num="1"/>
          <w:titlePg/>
        </w:sectPr>
      </w:pP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i w:val="0"/>
          <w:iCs w:val="0"/>
          <w:color w:val="auto"/>
          <w:sz w:val="24"/>
          <w:szCs w:val="24"/>
          <w:highlight w:val="none"/>
          <w:u w:val="single"/>
          <w:lang w:val="en-US" w:eastAsia="zh-CN"/>
        </w:rPr>
        <w:t>杭州学军中学桐庐学校</w:t>
      </w:r>
      <w:r>
        <w:rPr>
          <w:rFonts w:hint="eastAsia" w:ascii="仿宋" w:hAnsi="仿宋" w:eastAsia="仿宋" w:cs="仿宋"/>
          <w:color w:val="auto"/>
          <w:sz w:val="24"/>
          <w:highlight w:val="none"/>
          <w:lang w:val="en-US" w:eastAsia="zh-CN"/>
        </w:rPr>
        <w:t>按照</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公开招标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val="en-US" w:eastAsia="zh-CN"/>
        </w:rPr>
        <w:t>方式对</w:t>
      </w:r>
      <w:r>
        <w:rPr>
          <w:rFonts w:hint="eastAsia" w:ascii="仿宋" w:hAnsi="仿宋" w:eastAsia="仿宋" w:cs="仿宋"/>
          <w:color w:val="auto"/>
          <w:kern w:val="0"/>
          <w:sz w:val="24"/>
          <w:highlight w:val="none"/>
          <w:u w:val="single"/>
          <w:lang w:eastAsia="zh-CN" w:bidi="ar"/>
        </w:rPr>
        <w:t>杭州学军中学桐庐学校竣工配套设施设备（体育设施及器材）项目</w:t>
      </w:r>
      <w:r>
        <w:rPr>
          <w:rFonts w:hint="eastAsia" w:ascii="仿宋" w:hAnsi="仿宋" w:eastAsia="仿宋" w:cs="仿宋"/>
          <w:color w:val="auto"/>
          <w:sz w:val="24"/>
          <w:highlight w:val="none"/>
        </w:rPr>
        <w:t>进行了采购。</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确定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为本项目的中标供应商。</w:t>
      </w:r>
    </w:p>
    <w:p>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在中标通知书发出之日起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w:t>
      </w: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w:t>
      </w:r>
      <w:r>
        <w:rPr>
          <w:rFonts w:hint="eastAsia" w:ascii="仿宋" w:hAnsi="仿宋" w:eastAsia="仿宋" w:cs="仿宋"/>
          <w:color w:val="auto"/>
          <w:sz w:val="24"/>
          <w:highlight w:val="none"/>
        </w:rPr>
        <w:t>和采购文件确定的事项，</w:t>
      </w:r>
      <w:r>
        <w:rPr>
          <w:rFonts w:hint="eastAsia" w:ascii="仿宋" w:hAnsi="仿宋" w:eastAsia="仿宋" w:cs="仿宋"/>
          <w:color w:val="auto"/>
          <w:sz w:val="24"/>
          <w:highlight w:val="none"/>
          <w:lang w:val="zh-CN"/>
        </w:rPr>
        <w:t>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w:t>
      </w:r>
      <w:r>
        <w:rPr>
          <w:rFonts w:hint="eastAsia" w:ascii="仿宋" w:hAnsi="仿宋" w:eastAsia="仿宋" w:cs="仿宋"/>
          <w:color w:val="auto"/>
          <w:sz w:val="24"/>
          <w:highlight w:val="none"/>
        </w:rPr>
        <w:t>签订本合同，以兹共同遵守、全面履行。</w:t>
      </w:r>
    </w:p>
    <w:p>
      <w:pPr>
        <w:spacing w:line="440" w:lineRule="exact"/>
        <w:ind w:firstLine="482" w:firstLineChars="200"/>
        <w:outlineLvl w:val="2"/>
        <w:rPr>
          <w:rFonts w:hint="eastAsia" w:ascii="仿宋" w:hAnsi="仿宋" w:eastAsia="仿宋" w:cs="仿宋"/>
          <w:b/>
          <w:color w:val="auto"/>
          <w:sz w:val="24"/>
          <w:highlight w:val="none"/>
        </w:rPr>
      </w:pPr>
      <w:bookmarkStart w:id="443" w:name="_Toc2232"/>
      <w:bookmarkStart w:id="444" w:name="_Toc3029"/>
      <w:bookmarkStart w:id="445" w:name="_Toc24059"/>
      <w:r>
        <w:rPr>
          <w:rFonts w:hint="eastAsia" w:ascii="仿宋" w:hAnsi="仿宋" w:eastAsia="仿宋" w:cs="仿宋"/>
          <w:b/>
          <w:color w:val="auto"/>
          <w:sz w:val="24"/>
          <w:highlight w:val="none"/>
        </w:rPr>
        <w:t>1.1 合同组成部分</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2"/>
        <w:rPr>
          <w:rFonts w:hint="eastAsia" w:ascii="仿宋" w:hAnsi="仿宋" w:eastAsia="仿宋" w:cs="仿宋"/>
          <w:b/>
          <w:color w:val="auto"/>
          <w:sz w:val="24"/>
          <w:highlight w:val="none"/>
          <w:lang w:eastAsia="zh-CN"/>
        </w:rPr>
      </w:pPr>
      <w:bookmarkStart w:id="446" w:name="_Toc24300"/>
      <w:bookmarkStart w:id="447" w:name="_Toc21295"/>
      <w:bookmarkStart w:id="448" w:name="_Toc27126"/>
      <w:r>
        <w:rPr>
          <w:rFonts w:hint="eastAsia" w:ascii="仿宋" w:hAnsi="仿宋" w:eastAsia="仿宋" w:cs="仿宋"/>
          <w:b/>
          <w:color w:val="auto"/>
          <w:sz w:val="24"/>
          <w:highlight w:val="none"/>
        </w:rPr>
        <w:t xml:space="preserve">1.2 </w:t>
      </w:r>
      <w:bookmarkEnd w:id="446"/>
      <w:bookmarkEnd w:id="447"/>
      <w:bookmarkEnd w:id="448"/>
      <w:r>
        <w:rPr>
          <w:rFonts w:hint="eastAsia" w:ascii="仿宋" w:hAnsi="仿宋" w:eastAsia="仿宋" w:cs="仿宋"/>
          <w:b/>
          <w:color w:val="auto"/>
          <w:sz w:val="24"/>
          <w:highlight w:val="none"/>
          <w:lang w:eastAsia="zh-CN"/>
        </w:rPr>
        <w:t>货物</w:t>
      </w:r>
    </w:p>
    <w:p>
      <w:pPr>
        <w:spacing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货物清单一栏表</w:t>
      </w:r>
    </w:p>
    <w:tbl>
      <w:tblPr>
        <w:tblStyle w:val="62"/>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28"/>
        <w:gridCol w:w="755"/>
        <w:gridCol w:w="863"/>
        <w:gridCol w:w="408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28" w:type="dxa"/>
            <w:vAlign w:val="center"/>
          </w:tcPr>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产品名称</w:t>
            </w:r>
          </w:p>
        </w:tc>
        <w:tc>
          <w:tcPr>
            <w:tcW w:w="755" w:type="dxa"/>
            <w:vAlign w:val="center"/>
          </w:tcPr>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863" w:type="dxa"/>
            <w:vAlign w:val="center"/>
          </w:tcPr>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4080" w:type="dxa"/>
          </w:tcPr>
          <w:p>
            <w:pPr>
              <w:spacing w:line="360" w:lineRule="auto"/>
              <w:ind w:firstLine="1920" w:firstLineChars="8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技术参数</w:t>
            </w:r>
          </w:p>
        </w:tc>
        <w:tc>
          <w:tcPr>
            <w:tcW w:w="1497" w:type="dxa"/>
          </w:tcPr>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1228"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755"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863"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4080" w:type="dxa"/>
          </w:tcPr>
          <w:p>
            <w:pPr>
              <w:spacing w:line="360" w:lineRule="auto"/>
              <w:ind w:firstLine="480" w:firstLineChars="200"/>
              <w:jc w:val="left"/>
              <w:rPr>
                <w:rFonts w:hint="eastAsia" w:ascii="仿宋" w:hAnsi="仿宋" w:eastAsia="仿宋" w:cs="仿宋"/>
                <w:color w:val="auto"/>
                <w:sz w:val="24"/>
                <w:highlight w:val="none"/>
              </w:rPr>
            </w:pPr>
          </w:p>
        </w:tc>
        <w:tc>
          <w:tcPr>
            <w:tcW w:w="1497" w:type="dxa"/>
          </w:tcPr>
          <w:p>
            <w:pPr>
              <w:spacing w:line="360" w:lineRule="auto"/>
              <w:ind w:firstLine="480" w:firstLineChars="200"/>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1228"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755"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863"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4080" w:type="dxa"/>
          </w:tcPr>
          <w:p>
            <w:pPr>
              <w:spacing w:line="360" w:lineRule="auto"/>
              <w:ind w:firstLine="480" w:firstLineChars="200"/>
              <w:jc w:val="left"/>
              <w:rPr>
                <w:rFonts w:hint="eastAsia" w:ascii="仿宋" w:hAnsi="仿宋" w:eastAsia="仿宋" w:cs="仿宋"/>
                <w:color w:val="auto"/>
                <w:sz w:val="24"/>
                <w:highlight w:val="none"/>
              </w:rPr>
            </w:pPr>
          </w:p>
        </w:tc>
        <w:tc>
          <w:tcPr>
            <w:tcW w:w="1497" w:type="dxa"/>
          </w:tcPr>
          <w:p>
            <w:pPr>
              <w:spacing w:line="360" w:lineRule="auto"/>
              <w:ind w:firstLine="480" w:firstLineChars="200"/>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7"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1228"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755"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863" w:type="dxa"/>
            <w:vAlign w:val="center"/>
          </w:tcPr>
          <w:p>
            <w:pPr>
              <w:spacing w:line="360" w:lineRule="auto"/>
              <w:ind w:firstLine="480" w:firstLineChars="200"/>
              <w:jc w:val="left"/>
              <w:rPr>
                <w:rFonts w:hint="eastAsia" w:ascii="仿宋" w:hAnsi="仿宋" w:eastAsia="仿宋" w:cs="仿宋"/>
                <w:color w:val="auto"/>
                <w:sz w:val="24"/>
                <w:highlight w:val="none"/>
              </w:rPr>
            </w:pPr>
          </w:p>
        </w:tc>
        <w:tc>
          <w:tcPr>
            <w:tcW w:w="4080" w:type="dxa"/>
          </w:tcPr>
          <w:p>
            <w:pPr>
              <w:spacing w:line="360" w:lineRule="auto"/>
              <w:ind w:firstLine="480" w:firstLineChars="200"/>
              <w:jc w:val="left"/>
              <w:rPr>
                <w:rFonts w:hint="eastAsia" w:ascii="仿宋" w:hAnsi="仿宋" w:eastAsia="仿宋" w:cs="仿宋"/>
                <w:color w:val="auto"/>
                <w:sz w:val="24"/>
                <w:highlight w:val="none"/>
              </w:rPr>
            </w:pPr>
          </w:p>
        </w:tc>
        <w:tc>
          <w:tcPr>
            <w:tcW w:w="1497" w:type="dxa"/>
          </w:tcPr>
          <w:p>
            <w:pPr>
              <w:spacing w:line="360" w:lineRule="auto"/>
              <w:ind w:firstLine="480" w:firstLineChars="200"/>
              <w:jc w:val="left"/>
              <w:rPr>
                <w:rFonts w:hint="eastAsia" w:ascii="仿宋" w:hAnsi="仿宋" w:eastAsia="仿宋" w:cs="仿宋"/>
                <w:color w:val="auto"/>
                <w:sz w:val="24"/>
                <w:highlight w:val="none"/>
              </w:rPr>
            </w:pPr>
          </w:p>
        </w:tc>
      </w:tr>
    </w:tbl>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元人民币）。分项价格表详见附件。</w:t>
      </w:r>
    </w:p>
    <w:p>
      <w:pPr>
        <w:spacing w:before="0" w:beforeAutospacing="0" w:after="0" w:afterAutospacing="0" w:line="440" w:lineRule="exact"/>
        <w:ind w:firstLine="482" w:firstLineChars="200"/>
        <w:rPr>
          <w:rFonts w:hint="eastAsia" w:ascii="仿宋" w:hAnsi="仿宋" w:eastAsia="仿宋" w:cs="仿宋"/>
          <w:b/>
          <w:color w:val="auto"/>
          <w:sz w:val="24"/>
          <w:highlight w:val="none"/>
        </w:rPr>
      </w:pPr>
      <w:bookmarkStart w:id="449" w:name="_Toc1814"/>
      <w:bookmarkStart w:id="450" w:name="_Toc22618"/>
      <w:bookmarkStart w:id="451" w:name="_Toc10340"/>
      <w:bookmarkStart w:id="452" w:name="_Toc30158"/>
      <w:bookmarkStart w:id="453" w:name="_Toc14993"/>
      <w:bookmarkStart w:id="454" w:name="_Toc3654"/>
      <w:bookmarkStart w:id="455" w:name="_Toc30506"/>
      <w:bookmarkStart w:id="456" w:name="_Toc26916"/>
      <w:r>
        <w:rPr>
          <w:rFonts w:hint="eastAsia" w:ascii="仿宋" w:hAnsi="仿宋" w:eastAsia="仿宋" w:cs="仿宋"/>
          <w:b/>
          <w:color w:val="auto"/>
          <w:sz w:val="24"/>
          <w:highlight w:val="none"/>
        </w:rPr>
        <w:t>1.4履约保证金</w:t>
      </w:r>
    </w:p>
    <w:p>
      <w:pPr>
        <w:pStyle w:val="961"/>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440" w:lineRule="exact"/>
        <w:ind w:firstLine="480" w:firstLineChars="200"/>
        <w:outlineLvl w:val="1"/>
        <w:rPr>
          <w:rFonts w:hint="eastAsia" w:ascii="仿宋" w:hAnsi="仿宋" w:eastAsia="仿宋" w:cs="仿宋"/>
          <w:color w:val="auto"/>
          <w:kern w:val="0"/>
          <w:sz w:val="24"/>
          <w:highlight w:val="none"/>
        </w:rPr>
      </w:pPr>
      <w:bookmarkStart w:id="457" w:name="_Toc10150"/>
      <w:bookmarkStart w:id="458" w:name="_Toc10654"/>
      <w:bookmarkStart w:id="459" w:name="_Toc23432"/>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bookmarkEnd w:id="457"/>
      <w:bookmarkEnd w:id="458"/>
      <w:bookmarkEnd w:id="459"/>
    </w:p>
    <w:p>
      <w:pPr>
        <w:spacing w:line="440" w:lineRule="exact"/>
        <w:ind w:firstLine="480" w:firstLineChars="200"/>
        <w:outlineLvl w:val="1"/>
        <w:rPr>
          <w:rFonts w:hint="eastAsia" w:ascii="仿宋" w:hAnsi="仿宋" w:eastAsia="仿宋" w:cs="仿宋"/>
          <w:color w:val="auto"/>
          <w:kern w:val="0"/>
          <w:sz w:val="24"/>
          <w:highlight w:val="none"/>
        </w:rPr>
      </w:pPr>
      <w:bookmarkStart w:id="460" w:name="_Toc6717"/>
      <w:bookmarkStart w:id="461" w:name="_Toc29534"/>
      <w:bookmarkStart w:id="462" w:name="_Toc8714"/>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bookmarkEnd w:id="460"/>
      <w:bookmarkEnd w:id="461"/>
      <w:bookmarkEnd w:id="462"/>
    </w:p>
    <w:p>
      <w:pPr>
        <w:pStyle w:val="6"/>
        <w:spacing w:before="0" w:after="0" w:line="44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left="0" w:leftChars="0" w:firstLine="480" w:firstLineChars="200"/>
        <w:outlineLvl w:val="1"/>
        <w:rPr>
          <w:rFonts w:hint="eastAsia" w:ascii="仿宋" w:hAnsi="仿宋" w:eastAsia="仿宋" w:cs="仿宋"/>
          <w:color w:val="auto"/>
          <w:kern w:val="0"/>
          <w:sz w:val="24"/>
          <w:highlight w:val="none"/>
        </w:rPr>
      </w:pPr>
      <w:bookmarkStart w:id="463" w:name="_Toc22822"/>
      <w:bookmarkStart w:id="464" w:name="_Toc6865"/>
      <w:bookmarkStart w:id="465" w:name="_Toc9602"/>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 xml:space="preserve"> 5 </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0.05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 xml:space="preserve"> %。</w:t>
      </w:r>
      <w:bookmarkEnd w:id="463"/>
      <w:bookmarkEnd w:id="464"/>
      <w:bookmarkEnd w:id="465"/>
    </w:p>
    <w:p>
      <w:pPr>
        <w:spacing w:line="440" w:lineRule="exact"/>
        <w:ind w:firstLine="482" w:firstLineChars="200"/>
        <w:outlineLvl w:val="1"/>
        <w:rPr>
          <w:rFonts w:hint="eastAsia" w:ascii="仿宋" w:hAnsi="仿宋" w:eastAsia="仿宋" w:cs="仿宋"/>
          <w:b/>
          <w:color w:val="auto"/>
          <w:sz w:val="24"/>
          <w:highlight w:val="none"/>
        </w:rPr>
      </w:pPr>
      <w:bookmarkStart w:id="466" w:name="_Toc8649"/>
      <w:bookmarkStart w:id="467" w:name="_Toc30339"/>
      <w:bookmarkStart w:id="468" w:name="_Toc13676"/>
      <w:r>
        <w:rPr>
          <w:rFonts w:hint="eastAsia" w:ascii="仿宋" w:hAnsi="仿宋" w:eastAsia="仿宋" w:cs="仿宋"/>
          <w:b/>
          <w:color w:val="auto"/>
          <w:sz w:val="24"/>
          <w:highlight w:val="none"/>
        </w:rPr>
        <w:t>1.5</w:t>
      </w:r>
      <w:bookmarkEnd w:id="449"/>
      <w:bookmarkEnd w:id="450"/>
      <w:bookmarkEnd w:id="451"/>
      <w:r>
        <w:rPr>
          <w:rFonts w:hint="eastAsia" w:ascii="仿宋" w:hAnsi="仿宋" w:eastAsia="仿宋" w:cs="仿宋"/>
          <w:b/>
          <w:color w:val="auto"/>
          <w:sz w:val="24"/>
          <w:highlight w:val="none"/>
        </w:rPr>
        <w:t>预付款</w:t>
      </w:r>
      <w:bookmarkEnd w:id="466"/>
      <w:bookmarkEnd w:id="467"/>
      <w:bookmarkEnd w:id="468"/>
    </w:p>
    <w:p>
      <w:pPr>
        <w:pStyle w:val="961"/>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是   </w:t>
      </w:r>
      <w:r>
        <w:rPr>
          <w:rFonts w:hint="eastAsia" w:ascii="仿宋" w:hAnsi="仿宋" w:eastAsia="仿宋" w:cs="仿宋"/>
          <w:color w:val="auto"/>
          <w:highlight w:val="none"/>
        </w:rPr>
        <w:t>（是/否）需要支付预付款。若需要支付预付款的，则：</w:t>
      </w:r>
    </w:p>
    <w:p>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1"/>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1"/>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1"/>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1"/>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1"/>
        <w:rPr>
          <w:rFonts w:hint="eastAsia" w:ascii="仿宋" w:hAnsi="仿宋" w:eastAsia="仿宋" w:cs="仿宋"/>
          <w:color w:val="auto"/>
          <w:sz w:val="24"/>
          <w:highlight w:val="none"/>
        </w:rPr>
      </w:pPr>
      <w:bookmarkStart w:id="469" w:name="_Toc15644"/>
      <w:bookmarkStart w:id="470" w:name="_Toc13230"/>
      <w:bookmarkStart w:id="471" w:name="_Toc20620"/>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bookmarkEnd w:id="469"/>
      <w:bookmarkEnd w:id="470"/>
      <w:bookmarkEnd w:id="471"/>
    </w:p>
    <w:p>
      <w:pPr>
        <w:spacing w:line="440" w:lineRule="exact"/>
        <w:ind w:firstLine="482" w:firstLineChars="200"/>
        <w:outlineLvl w:val="1"/>
        <w:rPr>
          <w:rFonts w:hint="eastAsia" w:ascii="仿宋" w:hAnsi="仿宋" w:eastAsia="仿宋" w:cs="仿宋"/>
          <w:b/>
          <w:color w:val="auto"/>
          <w:sz w:val="24"/>
          <w:highlight w:val="none"/>
        </w:rPr>
      </w:pPr>
      <w:bookmarkStart w:id="472" w:name="_Toc15195"/>
      <w:bookmarkStart w:id="473" w:name="_Toc32135"/>
      <w:bookmarkStart w:id="474" w:name="_Toc3031"/>
      <w:r>
        <w:rPr>
          <w:rFonts w:hint="eastAsia" w:ascii="仿宋" w:hAnsi="仿宋" w:eastAsia="仿宋" w:cs="仿宋"/>
          <w:b/>
          <w:color w:val="auto"/>
          <w:sz w:val="24"/>
          <w:highlight w:val="none"/>
        </w:rPr>
        <w:t xml:space="preserve">1.7 </w:t>
      </w:r>
      <w:r>
        <w:rPr>
          <w:rFonts w:hint="eastAsia" w:ascii="仿宋" w:hAnsi="仿宋" w:eastAsia="仿宋" w:cs="仿宋"/>
          <w:b/>
          <w:color w:val="auto"/>
          <w:sz w:val="24"/>
          <w:highlight w:val="none"/>
          <w:lang w:eastAsia="zh-CN"/>
        </w:rPr>
        <w:t>货物交付</w:t>
      </w:r>
      <w:r>
        <w:rPr>
          <w:rFonts w:hint="eastAsia" w:ascii="仿宋" w:hAnsi="仿宋" w:eastAsia="仿宋" w:cs="仿宋"/>
          <w:b/>
          <w:color w:val="auto"/>
          <w:sz w:val="24"/>
          <w:highlight w:val="none"/>
        </w:rPr>
        <w:t>期限、地点和方式</w:t>
      </w:r>
      <w:bookmarkEnd w:id="472"/>
      <w:bookmarkEnd w:id="473"/>
      <w:bookmarkEnd w:id="474"/>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1"/>
        <w:rPr>
          <w:rFonts w:hint="eastAsia" w:ascii="仿宋" w:hAnsi="仿宋" w:eastAsia="仿宋" w:cs="仿宋"/>
          <w:color w:val="auto"/>
          <w:sz w:val="24"/>
          <w:highlight w:val="none"/>
          <w:u w:val="single"/>
        </w:rPr>
      </w:pPr>
      <w:bookmarkStart w:id="475" w:name="_Toc31802"/>
      <w:bookmarkStart w:id="476" w:name="_Toc23902"/>
      <w:bookmarkStart w:id="477" w:name="_Toc13446"/>
      <w:r>
        <w:rPr>
          <w:rFonts w:hint="eastAsia" w:ascii="仿宋" w:hAnsi="仿宋" w:eastAsia="仿宋" w:cs="仿宋"/>
          <w:b/>
          <w:color w:val="auto"/>
          <w:sz w:val="24"/>
          <w:highlight w:val="none"/>
        </w:rPr>
        <w:t>1.8违约责任</w:t>
      </w:r>
      <w:bookmarkEnd w:id="475"/>
      <w:bookmarkEnd w:id="476"/>
      <w:bookmarkEnd w:id="477"/>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w:t>
      </w:r>
      <w:r>
        <w:rPr>
          <w:rFonts w:hint="eastAsia" w:ascii="仿宋" w:hAnsi="仿宋" w:eastAsia="仿宋" w:cs="仿宋"/>
          <w:color w:val="auto"/>
          <w:sz w:val="24"/>
          <w:highlight w:val="none"/>
          <w:lang w:eastAsia="zh-CN"/>
        </w:rPr>
        <w:t>货物</w:t>
      </w:r>
      <w:r>
        <w:rPr>
          <w:rFonts w:hint="eastAsia" w:ascii="仿宋" w:hAnsi="仿宋" w:eastAsia="仿宋" w:cs="仿宋"/>
          <w:color w:val="auto"/>
          <w:sz w:val="24"/>
          <w:highlight w:val="none"/>
        </w:rPr>
        <w:t>，那么甲方可要求乙方支付违约金，违约金按每迟延交付货物一日的应交付而未交付货物价格的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pStyle w:val="6"/>
        <w:spacing w:before="0" w:after="0" w:line="440" w:lineRule="exact"/>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w:t>
      </w:r>
      <w:r>
        <w:rPr>
          <w:rFonts w:hint="eastAsia" w:ascii="仿宋" w:hAnsi="仿宋" w:eastAsia="仿宋" w:cs="仿宋"/>
          <w:b w:val="0"/>
          <w:bCs w:val="0"/>
          <w:color w:val="auto"/>
          <w:sz w:val="24"/>
          <w:szCs w:val="24"/>
          <w:highlight w:val="none"/>
          <w:lang w:val="en-US" w:eastAsia="zh-CN"/>
        </w:rPr>
        <w:t xml:space="preserve"> </w:t>
      </w:r>
      <w:r>
        <w:rPr>
          <w:rFonts w:hint="eastAsia" w:ascii="仿宋" w:hAnsi="仿宋" w:eastAsia="仿宋" w:cs="仿宋"/>
          <w:b w:val="0"/>
          <w:bCs w:val="0"/>
          <w:color w:val="auto"/>
          <w:sz w:val="24"/>
          <w:szCs w:val="24"/>
          <w:highlight w:val="none"/>
          <w:lang w:val="en-US"/>
        </w:rPr>
        <w:t>除不可抗力外和财政预算调整外，如果甲方没有按照本合同约定的付款方式付款，那么乙方可要求甲方支付违约金，违约金按每迟延付款一日的应付而未付款的</w:t>
      </w:r>
      <w:r>
        <w:rPr>
          <w:rFonts w:hint="eastAsia" w:ascii="仿宋" w:hAnsi="仿宋" w:eastAsia="仿宋" w:cs="仿宋"/>
          <w:b w:val="0"/>
          <w:bCs w:val="0"/>
          <w:color w:val="auto"/>
          <w:sz w:val="24"/>
          <w:szCs w:val="24"/>
          <w:highlight w:val="none"/>
          <w:u w:val="single"/>
          <w:lang w:val="en-US"/>
        </w:rPr>
        <w:t xml:space="preserve"> 0.05</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20  </w:t>
      </w:r>
      <w:r>
        <w:rPr>
          <w:rFonts w:hint="eastAsia" w:ascii="仿宋" w:hAnsi="仿宋" w:eastAsia="仿宋" w:cs="仿宋"/>
          <w:b w:val="0"/>
          <w:bCs w:val="0"/>
          <w:color w:val="auto"/>
          <w:sz w:val="24"/>
          <w:szCs w:val="24"/>
          <w:highlight w:val="none"/>
          <w:lang w:val="en-US"/>
        </w:rPr>
        <w:t>%；迟延付款的违约金计算数额达到前述最高限额之日起，乙方有权在要求甲方支付违约金的同时，书面通知甲方解除本合同；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 xml:space="preserve">5 </w:t>
      </w:r>
      <w:r>
        <w:rPr>
          <w:rFonts w:hint="eastAsia" w:ascii="仿宋" w:hAnsi="仿宋" w:eastAsia="仿宋" w:cs="仿宋"/>
          <w:color w:val="auto"/>
          <w:sz w:val="24"/>
          <w:highlight w:val="none"/>
        </w:rPr>
        <w:t>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 xml:space="preserve">6 </w:t>
      </w:r>
      <w:r>
        <w:rPr>
          <w:rFonts w:hint="eastAsia" w:ascii="仿宋" w:hAnsi="仿宋" w:eastAsia="仿宋" w:cs="仿宋"/>
          <w:color w:val="auto"/>
          <w:sz w:val="24"/>
          <w:highlight w:val="none"/>
        </w:rPr>
        <w:t>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440" w:lineRule="exact"/>
        <w:ind w:firstLine="482" w:firstLineChars="200"/>
        <w:outlineLvl w:val="1"/>
        <w:rPr>
          <w:rFonts w:hint="eastAsia" w:ascii="仿宋" w:hAnsi="仿宋" w:eastAsia="仿宋" w:cs="仿宋"/>
          <w:b/>
          <w:color w:val="auto"/>
          <w:sz w:val="24"/>
          <w:highlight w:val="none"/>
        </w:rPr>
      </w:pPr>
      <w:bookmarkStart w:id="478" w:name="_Toc16021"/>
      <w:bookmarkStart w:id="479" w:name="_Toc28375"/>
      <w:bookmarkStart w:id="480" w:name="_Toc198"/>
      <w:bookmarkStart w:id="481" w:name="_Toc15583"/>
      <w:bookmarkStart w:id="482" w:name="_Toc4927"/>
      <w:bookmarkStart w:id="483" w:name="_Toc7349"/>
      <w:r>
        <w:rPr>
          <w:rFonts w:hint="eastAsia" w:ascii="仿宋" w:hAnsi="仿宋" w:eastAsia="仿宋" w:cs="仿宋"/>
          <w:b/>
          <w:color w:val="auto"/>
          <w:sz w:val="24"/>
          <w:highlight w:val="none"/>
        </w:rPr>
        <w:t>1.9合同争议的解决</w:t>
      </w:r>
      <w:bookmarkEnd w:id="478"/>
      <w:bookmarkEnd w:id="479"/>
      <w:bookmarkEnd w:id="480"/>
      <w:bookmarkEnd w:id="481"/>
      <w:bookmarkEnd w:id="482"/>
      <w:bookmarkEnd w:id="483"/>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b/>
          <w:iCs/>
          <w:color w:val="auto"/>
          <w:sz w:val="24"/>
          <w:highlight w:val="none"/>
          <w:u w:val="single"/>
        </w:rPr>
        <w:t>1.9.2</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440" w:lineRule="exact"/>
        <w:ind w:firstLine="482" w:firstLineChars="200"/>
        <w:outlineLvl w:val="2"/>
        <w:rPr>
          <w:rFonts w:hint="eastAsia" w:ascii="仿宋" w:hAnsi="仿宋" w:eastAsia="仿宋" w:cs="仿宋"/>
          <w:b/>
          <w:color w:val="auto"/>
          <w:sz w:val="24"/>
          <w:highlight w:val="none"/>
        </w:rPr>
      </w:pPr>
      <w:bookmarkStart w:id="484" w:name="_Toc11173"/>
      <w:bookmarkStart w:id="485" w:name="_Toc7245"/>
      <w:bookmarkStart w:id="486" w:name="_Toc2411"/>
      <w:bookmarkStart w:id="487" w:name="_Toc14116"/>
      <w:bookmarkStart w:id="488" w:name="_Toc15322"/>
      <w:r>
        <w:rPr>
          <w:rFonts w:hint="eastAsia" w:ascii="仿宋" w:hAnsi="仿宋" w:eastAsia="仿宋" w:cs="仿宋"/>
          <w:b/>
          <w:color w:val="auto"/>
          <w:sz w:val="24"/>
          <w:highlight w:val="none"/>
        </w:rPr>
        <w:t>2.0 合同生效</w:t>
      </w:r>
      <w:bookmarkEnd w:id="484"/>
      <w:bookmarkEnd w:id="485"/>
      <w:bookmarkEnd w:id="486"/>
      <w:bookmarkEnd w:id="487"/>
      <w:bookmarkEnd w:id="488"/>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ind w:firstLine="482" w:firstLineChars="200"/>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spacing w:line="560" w:lineRule="exact"/>
        <w:ind w:firstLine="422" w:firstLineChars="200"/>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3"/>
        <w:autoSpaceDE/>
        <w:autoSpaceDN/>
        <w:spacing w:after="0" w:line="420" w:lineRule="exact"/>
        <w:ind w:left="0" w:leftChars="0"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420" w:lineRule="exact"/>
        <w:ind w:firstLine="482" w:firstLineChars="200"/>
        <w:rPr>
          <w:rFonts w:hint="eastAsia" w:ascii="仿宋" w:hAnsi="仿宋" w:eastAsia="仿宋" w:cs="仿宋"/>
          <w:b/>
          <w:color w:val="auto"/>
          <w:sz w:val="24"/>
          <w:highlight w:val="none"/>
        </w:rPr>
      </w:pPr>
      <w:bookmarkStart w:id="489" w:name="_Toc9265"/>
      <w:bookmarkStart w:id="490" w:name="_Toc29070"/>
      <w:r>
        <w:rPr>
          <w:rFonts w:hint="eastAsia" w:ascii="仿宋" w:hAnsi="仿宋" w:eastAsia="仿宋" w:cs="仿宋"/>
          <w:b/>
          <w:color w:val="auto"/>
          <w:sz w:val="24"/>
          <w:highlight w:val="none"/>
        </w:rPr>
        <w:t>2.1 定义</w:t>
      </w:r>
      <w:bookmarkEnd w:id="489"/>
      <w:bookmarkEnd w:id="490"/>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“现场”系指合同约定货物将要运至或者安装的地点。</w:t>
      </w:r>
    </w:p>
    <w:p>
      <w:pPr>
        <w:spacing w:line="420" w:lineRule="exact"/>
        <w:ind w:firstLine="482" w:firstLineChars="200"/>
        <w:rPr>
          <w:rFonts w:hint="eastAsia" w:ascii="仿宋" w:hAnsi="仿宋" w:eastAsia="仿宋" w:cs="仿宋"/>
          <w:b/>
          <w:color w:val="auto"/>
          <w:sz w:val="24"/>
          <w:highlight w:val="none"/>
        </w:rPr>
      </w:pPr>
      <w:bookmarkStart w:id="491" w:name="_Toc25348"/>
      <w:bookmarkStart w:id="492" w:name="_Toc18441"/>
      <w:r>
        <w:rPr>
          <w:rFonts w:hint="eastAsia" w:ascii="仿宋" w:hAnsi="仿宋" w:eastAsia="仿宋" w:cs="仿宋"/>
          <w:b/>
          <w:color w:val="auto"/>
          <w:sz w:val="24"/>
          <w:highlight w:val="none"/>
        </w:rPr>
        <w:t>2.2 技术规范</w:t>
      </w:r>
      <w:bookmarkEnd w:id="491"/>
      <w:bookmarkEnd w:id="492"/>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bookmarkStart w:id="493" w:name="_Toc31737"/>
      <w:bookmarkStart w:id="494" w:name="_Toc13042"/>
    </w:p>
    <w:p>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2.3 知识产权</w:t>
      </w:r>
      <w:bookmarkEnd w:id="493"/>
      <w:bookmarkEnd w:id="494"/>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包装和装运</w:t>
      </w:r>
    </w:p>
    <w:p>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b w:val="0"/>
          <w:bCs/>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b w:val="0"/>
          <w:bCs/>
          <w:color w:val="auto"/>
          <w:sz w:val="24"/>
          <w:highlight w:val="none"/>
        </w:rPr>
        <w:t>。</w:t>
      </w:r>
    </w:p>
    <w:p>
      <w:pPr>
        <w:spacing w:line="420" w:lineRule="exact"/>
        <w:ind w:firstLine="482" w:firstLineChars="200"/>
        <w:rPr>
          <w:rFonts w:hint="eastAsia" w:ascii="仿宋" w:hAnsi="仿宋" w:eastAsia="仿宋" w:cs="仿宋"/>
          <w:b/>
          <w:color w:val="auto"/>
          <w:sz w:val="24"/>
          <w:highlight w:val="none"/>
        </w:rPr>
      </w:pPr>
      <w:bookmarkStart w:id="495" w:name="_Toc12391"/>
      <w:bookmarkStart w:id="496" w:name="_Toc8304"/>
      <w:r>
        <w:rPr>
          <w:rFonts w:hint="eastAsia" w:ascii="仿宋" w:hAnsi="仿宋" w:eastAsia="仿宋" w:cs="仿宋"/>
          <w:b/>
          <w:color w:val="auto"/>
          <w:sz w:val="24"/>
          <w:highlight w:val="none"/>
        </w:rPr>
        <w:t>2.5 履约检查和问题反馈</w:t>
      </w:r>
    </w:p>
    <w:p>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2.5.2 合同履行期间，甲方有权将履行过程中出现的问题反馈给乙方，双方当事人应以书面形式约定需要完善和改进的内容。</w:t>
      </w:r>
      <w:bookmarkEnd w:id="495"/>
      <w:bookmarkEnd w:id="496"/>
      <w:bookmarkStart w:id="497" w:name="_Toc8639"/>
      <w:bookmarkStart w:id="498" w:name="_Toc22052"/>
    </w:p>
    <w:p>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2.6 技术资料和保密义务</w:t>
      </w:r>
      <w:bookmarkEnd w:id="497"/>
      <w:bookmarkEnd w:id="498"/>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420" w:lineRule="exact"/>
        <w:ind w:firstLine="482" w:firstLineChars="200"/>
        <w:rPr>
          <w:rFonts w:hint="eastAsia" w:ascii="仿宋" w:hAnsi="仿宋" w:eastAsia="仿宋" w:cs="仿宋"/>
          <w:b/>
          <w:color w:val="auto"/>
          <w:sz w:val="24"/>
          <w:highlight w:val="none"/>
        </w:rPr>
      </w:pPr>
      <w:bookmarkStart w:id="499" w:name="_Toc24562"/>
      <w:bookmarkStart w:id="500" w:name="_Toc15424"/>
      <w:r>
        <w:rPr>
          <w:rFonts w:hint="eastAsia" w:ascii="仿宋" w:hAnsi="仿宋" w:eastAsia="仿宋" w:cs="仿宋"/>
          <w:b/>
          <w:color w:val="auto"/>
          <w:sz w:val="24"/>
          <w:highlight w:val="none"/>
        </w:rPr>
        <w:t>2.7 质量保证</w:t>
      </w:r>
      <w:bookmarkEnd w:id="499"/>
      <w:bookmarkEnd w:id="500"/>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420" w:lineRule="exact"/>
        <w:ind w:firstLine="482" w:firstLineChars="200"/>
        <w:rPr>
          <w:rFonts w:hint="eastAsia" w:ascii="仿宋" w:hAnsi="仿宋" w:eastAsia="仿宋" w:cs="仿宋"/>
          <w:b/>
          <w:color w:val="auto"/>
          <w:sz w:val="24"/>
          <w:highlight w:val="none"/>
        </w:rPr>
      </w:pPr>
      <w:bookmarkStart w:id="501" w:name="_Toc24080"/>
      <w:bookmarkStart w:id="502" w:name="_Toc17722"/>
      <w:r>
        <w:rPr>
          <w:rFonts w:hint="eastAsia" w:ascii="仿宋" w:hAnsi="仿宋" w:eastAsia="仿宋" w:cs="仿宋"/>
          <w:b/>
          <w:color w:val="auto"/>
          <w:sz w:val="24"/>
          <w:highlight w:val="none"/>
        </w:rPr>
        <w:t>2.8 货物的风险负担</w:t>
      </w:r>
      <w:bookmarkEnd w:id="501"/>
      <w:bookmarkEnd w:id="502"/>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20" w:lineRule="exact"/>
        <w:ind w:firstLine="482" w:firstLineChars="200"/>
        <w:rPr>
          <w:rFonts w:hint="eastAsia" w:ascii="仿宋" w:hAnsi="仿宋" w:eastAsia="仿宋" w:cs="仿宋"/>
          <w:b/>
          <w:color w:val="auto"/>
          <w:sz w:val="24"/>
          <w:highlight w:val="none"/>
        </w:rPr>
      </w:pPr>
      <w:bookmarkStart w:id="503" w:name="_Toc17148"/>
      <w:bookmarkStart w:id="504" w:name="_Toc11742"/>
      <w:r>
        <w:rPr>
          <w:rFonts w:hint="eastAsia" w:ascii="仿宋" w:hAnsi="仿宋" w:eastAsia="仿宋" w:cs="仿宋"/>
          <w:b/>
          <w:color w:val="auto"/>
          <w:sz w:val="24"/>
          <w:highlight w:val="none"/>
        </w:rPr>
        <w:t>2.9 延迟交货</w:t>
      </w:r>
    </w:p>
    <w:p>
      <w:pPr>
        <w:spacing w:line="42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 xml:space="preserve"> 合同变更</w:t>
      </w:r>
      <w:bookmarkEnd w:id="503"/>
      <w:bookmarkEnd w:id="504"/>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420" w:lineRule="exact"/>
        <w:ind w:firstLine="482" w:firstLineChars="200"/>
        <w:rPr>
          <w:rFonts w:hint="eastAsia" w:ascii="仿宋" w:hAnsi="仿宋" w:eastAsia="仿宋" w:cs="仿宋"/>
          <w:b/>
          <w:color w:val="auto"/>
          <w:sz w:val="24"/>
          <w:highlight w:val="none"/>
        </w:rPr>
      </w:pPr>
      <w:bookmarkStart w:id="505" w:name="_Toc17193"/>
      <w:bookmarkStart w:id="506" w:name="_Toc2453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 xml:space="preserve"> 合同转让和分包</w:t>
      </w:r>
      <w:bookmarkEnd w:id="505"/>
      <w:bookmarkEnd w:id="506"/>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420" w:lineRule="exact"/>
        <w:ind w:firstLine="482" w:firstLineChars="200"/>
        <w:rPr>
          <w:rFonts w:hint="eastAsia" w:ascii="仿宋" w:hAnsi="仿宋" w:eastAsia="仿宋" w:cs="仿宋"/>
          <w:b/>
          <w:color w:val="auto"/>
          <w:sz w:val="24"/>
          <w:highlight w:val="none"/>
        </w:rPr>
      </w:pPr>
      <w:bookmarkStart w:id="507" w:name="_Toc10781"/>
      <w:bookmarkStart w:id="508" w:name="_Toc1839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 xml:space="preserve"> 不可抗力</w:t>
      </w:r>
      <w:bookmarkEnd w:id="507"/>
      <w:bookmarkEnd w:id="508"/>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.1如果任何一方遭遇法律规定的不可抗力，致使合同履行受阻时，履行合同的期限应予延长，延长的期限应相当于不可抗力所影响的时间；</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 因不可抗力致使不能实现合同目的的，当事人可以解除合同；</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420" w:lineRule="exact"/>
        <w:ind w:firstLine="482" w:firstLineChars="200"/>
        <w:rPr>
          <w:rFonts w:hint="eastAsia" w:ascii="仿宋" w:hAnsi="仿宋" w:eastAsia="仿宋" w:cs="仿宋"/>
          <w:b/>
          <w:color w:val="auto"/>
          <w:sz w:val="24"/>
          <w:highlight w:val="none"/>
        </w:rPr>
      </w:pPr>
      <w:bookmarkStart w:id="509" w:name="_Toc13317"/>
      <w:bookmarkStart w:id="510" w:name="_Toc3257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 xml:space="preserve"> 税费</w:t>
      </w:r>
      <w:bookmarkEnd w:id="509"/>
      <w:bookmarkEnd w:id="510"/>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420" w:lineRule="exact"/>
        <w:ind w:firstLine="482" w:firstLineChars="200"/>
        <w:rPr>
          <w:rFonts w:hint="eastAsia" w:ascii="仿宋" w:hAnsi="仿宋" w:eastAsia="仿宋" w:cs="仿宋"/>
          <w:b/>
          <w:color w:val="auto"/>
          <w:sz w:val="24"/>
          <w:highlight w:val="none"/>
        </w:rPr>
      </w:pPr>
      <w:bookmarkStart w:id="511" w:name="_Toc24743"/>
      <w:bookmarkStart w:id="512" w:name="_Toc26875"/>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 xml:space="preserve"> 乙方破产</w:t>
      </w:r>
      <w:bookmarkEnd w:id="511"/>
      <w:bookmarkEnd w:id="512"/>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420" w:lineRule="exact"/>
        <w:ind w:firstLine="482" w:firstLineChars="200"/>
        <w:rPr>
          <w:rFonts w:hint="eastAsia" w:ascii="仿宋" w:hAnsi="仿宋" w:eastAsia="仿宋" w:cs="仿宋"/>
          <w:b/>
          <w:color w:val="auto"/>
          <w:sz w:val="24"/>
          <w:highlight w:val="none"/>
        </w:rPr>
      </w:pPr>
      <w:bookmarkStart w:id="513" w:name="_Toc25881"/>
      <w:bookmarkStart w:id="514" w:name="_Toc25595"/>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 xml:space="preserve"> 合同中止、终止</w:t>
      </w:r>
      <w:bookmarkEnd w:id="513"/>
      <w:bookmarkEnd w:id="514"/>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双方当事人不得擅自中止或者终止合同；</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pPr>
        <w:spacing w:line="420" w:lineRule="exact"/>
        <w:ind w:firstLine="482" w:firstLineChars="200"/>
        <w:rPr>
          <w:rFonts w:hint="eastAsia" w:ascii="仿宋" w:hAnsi="仿宋" w:eastAsia="仿宋" w:cs="仿宋"/>
          <w:b/>
          <w:color w:val="auto"/>
          <w:sz w:val="24"/>
          <w:highlight w:val="none"/>
        </w:rPr>
      </w:pPr>
      <w:bookmarkStart w:id="515" w:name="_Toc17783"/>
      <w:bookmarkStart w:id="516" w:name="_Toc18802"/>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 xml:space="preserve"> 检验和验收</w:t>
      </w:r>
      <w:bookmarkEnd w:id="515"/>
      <w:bookmarkEnd w:id="516"/>
    </w:p>
    <w:p>
      <w:pPr>
        <w:tabs>
          <w:tab w:val="left" w:pos="360"/>
          <w:tab w:val="left" w:pos="540"/>
          <w:tab w:val="left" w:pos="1080"/>
        </w:tabs>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 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 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420" w:lineRule="exact"/>
        <w:ind w:firstLine="482" w:firstLineChars="200"/>
        <w:rPr>
          <w:rFonts w:hint="eastAsia" w:ascii="仿宋" w:hAnsi="仿宋" w:eastAsia="仿宋" w:cs="仿宋"/>
          <w:b/>
          <w:color w:val="auto"/>
          <w:sz w:val="24"/>
          <w:highlight w:val="none"/>
        </w:rPr>
      </w:pPr>
      <w:bookmarkStart w:id="517" w:name="_Toc21819"/>
      <w:bookmarkStart w:id="518" w:name="_Toc30732"/>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 xml:space="preserve"> 通知和送达</w:t>
      </w:r>
      <w:bookmarkEnd w:id="517"/>
      <w:bookmarkEnd w:id="518"/>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420" w:lineRule="exact"/>
        <w:ind w:firstLine="482" w:firstLineChars="200"/>
        <w:rPr>
          <w:rFonts w:hint="eastAsia" w:ascii="仿宋" w:hAnsi="仿宋" w:eastAsia="仿宋" w:cs="仿宋"/>
          <w:b/>
          <w:color w:val="auto"/>
          <w:sz w:val="24"/>
          <w:highlight w:val="none"/>
        </w:rPr>
      </w:pPr>
      <w:bookmarkStart w:id="519" w:name="_Toc20193"/>
      <w:bookmarkStart w:id="520" w:name="_Toc32405"/>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 xml:space="preserve"> 合同使用的文字和适用的法律</w:t>
      </w:r>
      <w:bookmarkEnd w:id="519"/>
      <w:bookmarkEnd w:id="520"/>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.1 合同使用汉语书就、变更和解释；</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.2 合同适用中华人民共和国法律。</w:t>
      </w:r>
    </w:p>
    <w:p>
      <w:pPr>
        <w:spacing w:line="420" w:lineRule="exact"/>
        <w:ind w:firstLine="482" w:firstLineChars="200"/>
        <w:rPr>
          <w:rFonts w:hint="eastAsia" w:ascii="仿宋" w:hAnsi="仿宋" w:eastAsia="仿宋" w:cs="仿宋"/>
          <w:b/>
          <w:color w:val="auto"/>
          <w:sz w:val="24"/>
          <w:highlight w:val="none"/>
        </w:rPr>
      </w:pPr>
      <w:bookmarkStart w:id="521" w:name="_Toc4355"/>
      <w:bookmarkStart w:id="522" w:name="_Toc18540"/>
      <w:bookmarkStart w:id="523" w:name="_Toc25493"/>
      <w:bookmarkStart w:id="524" w:name="_Toc30599"/>
      <w:bookmarkStart w:id="525" w:name="_Toc30426"/>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 计量单位</w:t>
      </w:r>
      <w:bookmarkEnd w:id="521"/>
      <w:bookmarkEnd w:id="522"/>
      <w:bookmarkEnd w:id="523"/>
      <w:bookmarkEnd w:id="524"/>
      <w:bookmarkEnd w:id="525"/>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bookmarkEnd w:id="452"/>
    <w:bookmarkEnd w:id="453"/>
    <w:bookmarkEnd w:id="454"/>
    <w:bookmarkEnd w:id="455"/>
    <w:bookmarkEnd w:id="456"/>
    <w:p>
      <w:pPr>
        <w:spacing w:line="560" w:lineRule="exact"/>
        <w:ind w:firstLine="480" w:firstLineChars="200"/>
        <w:rPr>
          <w:rFonts w:hint="eastAsia" w:ascii="仿宋" w:hAnsi="仿宋" w:eastAsia="仿宋" w:cs="仿宋"/>
          <w:color w:val="auto"/>
          <w:sz w:val="24"/>
          <w:highlight w:val="none"/>
        </w:rPr>
      </w:pPr>
    </w:p>
    <w:p>
      <w:pPr>
        <w:pStyle w:val="703"/>
        <w:spacing w:line="560" w:lineRule="exact"/>
        <w:jc w:val="center"/>
        <w:outlineLvl w:val="1"/>
        <w:rPr>
          <w:rFonts w:hint="eastAsia" w:ascii="仿宋" w:hAnsi="仿宋" w:eastAsia="仿宋" w:cs="仿宋"/>
          <w:b/>
          <w:color w:val="auto"/>
          <w:sz w:val="36"/>
          <w:szCs w:val="36"/>
          <w:highlight w:val="none"/>
        </w:rPr>
      </w:pPr>
      <w:r>
        <w:rPr>
          <w:rFonts w:hint="eastAsia" w:ascii="仿宋" w:hAnsi="仿宋" w:eastAsia="仿宋" w:cs="仿宋"/>
          <w:color w:val="auto"/>
          <w:kern w:val="0"/>
          <w:szCs w:val="24"/>
          <w:highlight w:val="none"/>
        </w:rPr>
        <w:br w:type="page"/>
      </w:r>
      <w:bookmarkStart w:id="526" w:name="_Toc2409"/>
      <w:bookmarkStart w:id="527" w:name="_Toc27408"/>
      <w:bookmarkStart w:id="528" w:name="_Toc24383"/>
      <w:bookmarkStart w:id="529" w:name="_Toc15098"/>
      <w:bookmarkStart w:id="530" w:name="_Toc25969"/>
      <w:bookmarkStart w:id="531" w:name="_Toc25021"/>
      <w:r>
        <w:rPr>
          <w:rFonts w:hint="eastAsia" w:ascii="仿宋" w:hAnsi="仿宋" w:eastAsia="仿宋" w:cs="仿宋"/>
          <w:b/>
          <w:color w:val="auto"/>
          <w:sz w:val="32"/>
          <w:szCs w:val="32"/>
          <w:highlight w:val="none"/>
        </w:rPr>
        <w:t>第三部分合同专用条款</w:t>
      </w:r>
      <w:bookmarkEnd w:id="526"/>
      <w:bookmarkEnd w:id="527"/>
      <w:bookmarkEnd w:id="528"/>
      <w:bookmarkEnd w:id="529"/>
      <w:bookmarkEnd w:id="530"/>
      <w:bookmarkEnd w:id="531"/>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9"/>
        <w:gridCol w:w="80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9"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8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89" w:type="dxa"/>
            <w:vAlign w:val="center"/>
          </w:tcPr>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本项目无需缴纳履约保证金。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89" w:type="dxa"/>
            <w:vAlign w:val="center"/>
          </w:tcPr>
          <w:p>
            <w:pPr>
              <w:wordWrap w:val="0"/>
              <w:spacing w:line="360" w:lineRule="auto"/>
              <w:outlineLvl w:val="2"/>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合同签订之日起10个工作日内，</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支付合同价的</w:t>
            </w:r>
            <w:r>
              <w:rPr>
                <w:rFonts w:hint="eastAsia" w:ascii="仿宋" w:hAnsi="仿宋" w:eastAsia="仿宋" w:cs="仿宋"/>
                <w:color w:val="auto"/>
                <w:sz w:val="24"/>
                <w:highlight w:val="none"/>
                <w:lang w:val="en-US" w:eastAsia="zh-CN"/>
              </w:rPr>
              <w:t>【   %】</w:t>
            </w:r>
            <w:r>
              <w:rPr>
                <w:rFonts w:hint="eastAsia" w:ascii="仿宋" w:hAnsi="仿宋" w:eastAsia="仿宋" w:cs="仿宋"/>
                <w:color w:val="auto"/>
                <w:sz w:val="24"/>
                <w:highlight w:val="none"/>
              </w:rPr>
              <w:t>作为预付款；同时</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提交银行或保险公司出具的同等金额的预付款保函，保函的格式和内容须经</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确认</w:t>
            </w:r>
            <w:r>
              <w:rPr>
                <w:rFonts w:hint="eastAsia" w:ascii="仿宋" w:hAnsi="仿宋" w:eastAsia="仿宋" w:cs="仿宋"/>
                <w:color w:val="auto"/>
                <w:sz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
              </w:rPr>
              <w:t>预付款不扣回。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甲方向乙方支付预付款的同时，乙方提交银行、保险公司出具的</w:t>
            </w:r>
            <w:r>
              <w:rPr>
                <w:rFonts w:hint="eastAsia" w:ascii="仿宋" w:hAnsi="仿宋" w:eastAsia="仿宋" w:cs="仿宋"/>
                <w:color w:val="auto"/>
                <w:sz w:val="24"/>
                <w:highlight w:val="none"/>
                <w:lang w:val="en-US" w:eastAsia="zh-CN"/>
              </w:rPr>
              <w:t>同等金额的</w:t>
            </w:r>
            <w:r>
              <w:rPr>
                <w:rFonts w:hint="eastAsia" w:ascii="仿宋" w:hAnsi="仿宋" w:eastAsia="仿宋" w:cs="仿宋"/>
                <w:color w:val="auto"/>
                <w:sz w:val="24"/>
                <w:highlight w:val="none"/>
              </w:rPr>
              <w:t>预付款保函（若未按要求提交预付款保函，则视为乙方无需预付款）。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资金支付的方式、时间和条件：</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（1）预付款见1.5.1条规定；</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 w:val="0"/>
                <w:bCs w:val="0"/>
                <w:color w:val="auto"/>
                <w:sz w:val="24"/>
                <w:highlight w:val="none"/>
              </w:rPr>
              <w:t>第二期付款：项目通过履约验收后10个工作日内，</w:t>
            </w:r>
            <w:r>
              <w:rPr>
                <w:rFonts w:hint="eastAsia" w:ascii="仿宋" w:hAnsi="仿宋" w:eastAsia="仿宋" w:cs="仿宋"/>
                <w:b w:val="0"/>
                <w:bCs w:val="0"/>
                <w:color w:val="auto"/>
                <w:sz w:val="24"/>
                <w:highlight w:val="none"/>
                <w:lang w:val="en-US" w:eastAsia="zh-CN"/>
              </w:rPr>
              <w:t>甲方</w:t>
            </w:r>
            <w:r>
              <w:rPr>
                <w:rFonts w:hint="eastAsia" w:ascii="仿宋" w:hAnsi="仿宋" w:eastAsia="仿宋" w:cs="仿宋"/>
                <w:b w:val="0"/>
                <w:bCs w:val="0"/>
                <w:color w:val="auto"/>
                <w:sz w:val="24"/>
                <w:highlight w:val="none"/>
              </w:rPr>
              <w:t>支付剩余款项款。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89" w:type="dxa"/>
            <w:vAlign w:val="center"/>
          </w:tcPr>
          <w:p>
            <w:pPr>
              <w:spacing w:line="360" w:lineRule="auto"/>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交付期限：</w:t>
            </w:r>
          </w:p>
          <w:p>
            <w:pPr>
              <w:spacing w:line="360" w:lineRule="auto"/>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（1）交货时间：合同签订次日起</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个日历日内完成生产、供货，接到甲方通知之日起10天完成安装</w:t>
            </w:r>
            <w:r>
              <w:rPr>
                <w:rFonts w:hint="eastAsia" w:ascii="仿宋" w:hAnsi="仿宋" w:eastAsia="仿宋" w:cs="仿宋"/>
                <w:color w:val="auto"/>
                <w:sz w:val="24"/>
                <w:highlight w:val="none"/>
                <w:lang w:val="en-US" w:eastAsia="zh-CN"/>
              </w:rPr>
              <w:t>及调试</w:t>
            </w:r>
            <w:r>
              <w:rPr>
                <w:rFonts w:hint="eastAsia" w:ascii="仿宋" w:hAnsi="仿宋" w:eastAsia="仿宋" w:cs="仿宋"/>
                <w:color w:val="auto"/>
                <w:sz w:val="24"/>
                <w:highlight w:val="none"/>
              </w:rPr>
              <w:t>，具体安装根据总包单位建设进度需求。</w:t>
            </w:r>
          </w:p>
          <w:p>
            <w:pPr>
              <w:spacing w:line="360" w:lineRule="auto"/>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根据建设进度需求，配合总包单位做好预埋件施工。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交</w:t>
            </w:r>
            <w:r>
              <w:rPr>
                <w:rFonts w:hint="eastAsia" w:ascii="仿宋" w:hAnsi="仿宋" w:eastAsia="仿宋" w:cs="仿宋"/>
                <w:color w:val="auto"/>
                <w:sz w:val="24"/>
                <w:highlight w:val="none"/>
                <w:lang w:eastAsia="zh-CN"/>
              </w:rPr>
              <w:t>付</w:t>
            </w:r>
            <w:r>
              <w:rPr>
                <w:rFonts w:hint="eastAsia" w:ascii="仿宋" w:hAnsi="仿宋" w:eastAsia="仿宋" w:cs="仿宋"/>
                <w:color w:val="auto"/>
                <w:sz w:val="24"/>
                <w:highlight w:val="none"/>
              </w:rPr>
              <w:t>地点：杭州学军中学桐庐学校。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交付方式：安装现场交付。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6</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其他违约责任：</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1.乙方所交产品品种、型号、规格、质量或项目完成质量不符合合同规定的，由乙方在</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日内负责包换或返工，并承担调换、退货或返工而支付的实际费用。乙方不能调换或不予返工的，按不能完成采购项目处理。</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因产品包装不符合合同规定，必须返修或重新包装的，乙方应负责返修或重新包装，并承担支付的费用。甲方不要求返修或重新包装而要求赔偿损失的，乙方应当偿付甲方该不合格包装物低于合格包装物的价值部分。因包装不符合规定造成货物损坏或灭失的，乙方应当负责赔偿。</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3.未按本专用合同约定提供质保及售后服务的，乙方应向甲方偿付采购项目总价款的5％的违约金。甲方无故退货的，应向乙方偿付退货部分货款5％的违约金。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本项目选择以下第1.9.2 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将争议提交杭州市仲裁委员会依申请仲裁时其现行有效的仲裁规则裁决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向甲方所在地人民法院起诉。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89" w:type="dxa"/>
            <w:vAlign w:val="center"/>
          </w:tcPr>
          <w:p>
            <w:pPr>
              <w:spacing w:line="360" w:lineRule="auto"/>
              <w:ind w:right="-420" w:righ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具有知识产权的计算机软件等货物的知识产权归属制造商。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2.4.1</w:t>
            </w:r>
          </w:p>
        </w:tc>
        <w:tc>
          <w:tcPr>
            <w:tcW w:w="8089" w:type="dxa"/>
            <w:vAlign w:val="center"/>
          </w:tcPr>
          <w:p>
            <w:pPr>
              <w:spacing w:line="360" w:lineRule="auto"/>
              <w:ind w:right="0" w:rightChars="0"/>
              <w:rPr>
                <w:rFonts w:hint="eastAsia" w:ascii="仿宋" w:hAnsi="仿宋" w:eastAsia="仿宋" w:cs="仿宋"/>
                <w:color w:val="auto"/>
                <w:sz w:val="24"/>
                <w:highlight w:val="none"/>
              </w:rPr>
            </w:pPr>
            <w:r>
              <w:rPr>
                <w:rFonts w:hint="eastAsia" w:ascii="仿宋" w:hAnsi="仿宋" w:eastAsia="仿宋" w:cs="仿宋"/>
                <w:bCs/>
                <w:color w:val="auto"/>
                <w:sz w:val="24"/>
                <w:highlight w:val="none"/>
              </w:rPr>
              <w:t>其他约定：使用说明书、质量检验证明书、随配附件和工具以及清单一并附于货物内。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w:t>
            </w:r>
          </w:p>
        </w:tc>
        <w:tc>
          <w:tcPr>
            <w:tcW w:w="8089" w:type="dxa"/>
            <w:vAlign w:val="center"/>
          </w:tcPr>
          <w:p>
            <w:pPr>
              <w:spacing w:line="360" w:lineRule="auto"/>
              <w:ind w:right="0" w:rightChars="0"/>
              <w:rPr>
                <w:rFonts w:hint="eastAsia" w:ascii="仿宋" w:hAnsi="仿宋" w:eastAsia="仿宋" w:cs="仿宋"/>
                <w:color w:val="auto"/>
                <w:sz w:val="24"/>
                <w:highlight w:val="none"/>
              </w:rPr>
            </w:pPr>
            <w:r>
              <w:rPr>
                <w:rFonts w:hint="eastAsia" w:ascii="仿宋" w:hAnsi="仿宋" w:eastAsia="仿宋" w:cs="仿宋"/>
                <w:bCs/>
                <w:color w:val="auto"/>
                <w:sz w:val="24"/>
                <w:highlight w:val="none"/>
              </w:rPr>
              <w:t>装运货物的要求和通知：乙方在货物发运手续办理完毕后24小时内或货到甲方48小时前通知甲方，以准备接货。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2.8</w:t>
            </w:r>
          </w:p>
        </w:tc>
        <w:tc>
          <w:tcPr>
            <w:tcW w:w="8089" w:type="dxa"/>
            <w:vAlign w:val="center"/>
          </w:tcPr>
          <w:p>
            <w:pPr>
              <w:spacing w:line="360" w:lineRule="auto"/>
              <w:ind w:right="0" w:rightChars="0"/>
              <w:rPr>
                <w:rFonts w:hint="eastAsia" w:ascii="仿宋" w:hAnsi="仿宋" w:eastAsia="仿宋" w:cs="仿宋"/>
                <w:color w:val="auto"/>
                <w:highlight w:val="none"/>
              </w:rPr>
            </w:pPr>
            <w:r>
              <w:rPr>
                <w:rFonts w:hint="eastAsia" w:ascii="仿宋" w:hAnsi="仿宋" w:eastAsia="仿宋" w:cs="仿宋"/>
                <w:color w:val="auto"/>
                <w:sz w:val="24"/>
                <w:highlight w:val="none"/>
              </w:rPr>
              <w:t>货物或者在途货物或者交付给第一承运人后的货物毁损、灭失的风险负担由乙方承担。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因不可抗力致使合同有变更必要的，双方当事人应在发生后6小时内以书面形式变更合同；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 xml:space="preserve">.4 </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受不可抗力影响的一方在不可抗力发生后，应在发生后6小时内以书面形式通知对方当事人，并在事故发生后14天内，将有关部门出具的证明文件送达对方当事人。如果不可抗力影响时间延续</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天以上的，双方应通过友好协商在合理的时间内达成进一步履行合同的协议。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w:t>
            </w:r>
          </w:p>
        </w:tc>
        <w:tc>
          <w:tcPr>
            <w:tcW w:w="8089" w:type="dxa"/>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甲方在接到乙方验收申请之日起</w:t>
            </w:r>
            <w:r>
              <w:rPr>
                <w:rFonts w:hint="eastAsia" w:ascii="仿宋" w:hAnsi="仿宋" w:eastAsia="仿宋" w:cs="仿宋"/>
                <w:color w:val="auto"/>
                <w:sz w:val="24"/>
                <w:highlight w:val="none"/>
                <w:lang w:val="en-US" w:eastAsia="zh-CN"/>
              </w:rPr>
              <w:t>10个工作日内</w:t>
            </w:r>
            <w:r>
              <w:rPr>
                <w:rFonts w:hint="eastAsia" w:ascii="仿宋" w:hAnsi="仿宋" w:eastAsia="仿宋" w:cs="仿宋"/>
                <w:color w:val="auto"/>
                <w:sz w:val="24"/>
                <w:highlight w:val="none"/>
              </w:rPr>
              <w:t>组织验收，并可依法邀请相关方参加，验收应出具验收书</w:t>
            </w:r>
            <w:r>
              <w:rPr>
                <w:rFonts w:hint="eastAsia" w:ascii="仿宋" w:hAnsi="仿宋" w:eastAsia="仿宋" w:cs="仿宋"/>
                <w:color w:val="auto"/>
                <w:sz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9"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.3</w:t>
            </w:r>
          </w:p>
        </w:tc>
        <w:tc>
          <w:tcPr>
            <w:tcW w:w="8089"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检验和验收标准：①满足采购需求及技术文件的要求，达到国家及行业现行规范的合格标准；②资金支付及履约保证金返还条件、争议处理、验收费用支付、采购人及供应商各自权利义务等内容按国家，省，市现行规定和合同约定的内容。</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（2）验收程序：根据《杭州市政府采购履约验收暂行办法》规定，一般程序进行验收。验收方法</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按《杭州市政府采购履约验收暂行办法》中的</w:t>
            </w:r>
            <w:r>
              <w:rPr>
                <w:rFonts w:hint="eastAsia" w:ascii="仿宋" w:hAnsi="仿宋" w:eastAsia="仿宋" w:cs="仿宋"/>
                <w:color w:val="auto"/>
                <w:kern w:val="0"/>
                <w:sz w:val="24"/>
                <w:highlight w:val="none"/>
                <w:lang w:val="en-US" w:eastAsia="zh-CN"/>
              </w:rPr>
              <w:t>一次性</w:t>
            </w:r>
            <w:r>
              <w:rPr>
                <w:rFonts w:hint="eastAsia" w:ascii="仿宋" w:hAnsi="仿宋" w:eastAsia="仿宋" w:cs="仿宋"/>
                <w:color w:val="auto"/>
                <w:kern w:val="0"/>
                <w:sz w:val="24"/>
                <w:highlight w:val="none"/>
              </w:rPr>
              <w:t>验收方式进行履约验收。</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（3）以上内容以及验收书具有同等法律效力，以上内容有冲突时以较严格的要求为准。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969" w:type="dxa"/>
            <w:tcBorders>
              <w:left w:val="single" w:color="auto" w:sz="4" w:space="0"/>
            </w:tcBorders>
          </w:tcPr>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8089"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本合同一式六份，甲方三份，乙方三份。</w:t>
            </w:r>
          </w:p>
        </w:tc>
      </w:tr>
    </w:tbl>
    <w:p>
      <w:pPr>
        <w:rPr>
          <w:rFonts w:hint="eastAsia" w:ascii="仿宋" w:hAnsi="仿宋" w:eastAsia="仿宋" w:cs="仿宋"/>
          <w:color w:val="auto"/>
          <w:sz w:val="24"/>
          <w:highlight w:val="none"/>
        </w:rPr>
        <w:sectPr>
          <w:pgSz w:w="11905" w:h="16838"/>
          <w:pgMar w:top="652" w:right="1417" w:bottom="680" w:left="1417" w:header="539" w:footer="482" w:gutter="0"/>
          <w:cols w:space="0" w:num="1"/>
          <w:titlePg/>
          <w:docGrid w:linePitch="312" w:charSpace="0"/>
        </w:sectPr>
      </w:pPr>
      <w:r>
        <w:rPr>
          <w:rFonts w:hint="eastAsia" w:ascii="仿宋" w:hAnsi="仿宋" w:eastAsia="仿宋" w:cs="仿宋"/>
          <w:color w:val="auto"/>
          <w:sz w:val="24"/>
          <w:highlight w:val="none"/>
        </w:rPr>
        <w:br w:type="page"/>
      </w:r>
    </w:p>
    <w:p>
      <w:pPr>
        <w:rPr>
          <w:rFonts w:hint="eastAsia" w:ascii="仿宋" w:hAnsi="仿宋" w:eastAsia="仿宋" w:cs="仿宋"/>
          <w:color w:val="auto"/>
          <w:highlight w:val="none"/>
        </w:rPr>
      </w:pPr>
    </w:p>
    <w:bookmarkEnd w:id="443"/>
    <w:bookmarkEnd w:id="444"/>
    <w:bookmarkEnd w:id="445"/>
    <w:p>
      <w:pPr>
        <w:wordWrap w:val="0"/>
        <w:spacing w:line="360" w:lineRule="auto"/>
        <w:ind w:left="720" w:firstLine="723" w:firstLineChars="200"/>
        <w:outlineLvl w:val="0"/>
        <w:rPr>
          <w:rFonts w:hint="eastAsia" w:ascii="仿宋" w:hAnsi="仿宋" w:eastAsia="仿宋" w:cs="仿宋"/>
          <w:b/>
          <w:color w:val="auto"/>
          <w:sz w:val="36"/>
          <w:szCs w:val="20"/>
          <w:highlight w:val="none"/>
        </w:rPr>
      </w:pPr>
      <w:bookmarkStart w:id="532" w:name="_Toc25525"/>
      <w:bookmarkStart w:id="533" w:name="_Toc2144"/>
      <w:bookmarkStart w:id="534" w:name="_Toc23526"/>
      <w:bookmarkStart w:id="535" w:name="_Toc17376"/>
      <w:bookmarkStart w:id="536" w:name="_Toc22489"/>
      <w:bookmarkStart w:id="537" w:name="_Toc9348"/>
      <w:bookmarkStart w:id="538" w:name="_Toc3441"/>
      <w:r>
        <w:rPr>
          <w:rFonts w:hint="eastAsia" w:ascii="仿宋" w:hAnsi="仿宋" w:eastAsia="仿宋" w:cs="仿宋"/>
          <w:b/>
          <w:color w:val="auto"/>
          <w:sz w:val="36"/>
          <w:szCs w:val="20"/>
          <w:highlight w:val="none"/>
        </w:rPr>
        <w:t>第六部分</w:t>
      </w:r>
      <w:bookmarkEnd w:id="425"/>
      <w:r>
        <w:rPr>
          <w:rFonts w:hint="eastAsia" w:ascii="仿宋" w:hAnsi="仿宋" w:eastAsia="仿宋" w:cs="仿宋"/>
          <w:b/>
          <w:color w:val="auto"/>
          <w:sz w:val="36"/>
          <w:szCs w:val="20"/>
          <w:highlight w:val="none"/>
        </w:rPr>
        <w:t xml:space="preserve"> </w:t>
      </w:r>
      <w:bookmarkEnd w:id="426"/>
      <w:r>
        <w:rPr>
          <w:rFonts w:hint="eastAsia" w:ascii="仿宋" w:hAnsi="仿宋" w:eastAsia="仿宋" w:cs="仿宋"/>
          <w:b/>
          <w:color w:val="auto"/>
          <w:sz w:val="36"/>
          <w:szCs w:val="20"/>
          <w:highlight w:val="none"/>
        </w:rPr>
        <w:t>应提交的有关格式范例</w:t>
      </w:r>
      <w:bookmarkEnd w:id="532"/>
      <w:bookmarkEnd w:id="533"/>
      <w:bookmarkEnd w:id="534"/>
      <w:bookmarkEnd w:id="535"/>
      <w:bookmarkEnd w:id="536"/>
      <w:bookmarkEnd w:id="537"/>
      <w:bookmarkEnd w:id="538"/>
    </w:p>
    <w:p>
      <w:pPr>
        <w:wordWrap w:val="0"/>
        <w:spacing w:line="360" w:lineRule="auto"/>
        <w:jc w:val="center"/>
        <w:rPr>
          <w:rFonts w:hint="eastAsia" w:ascii="仿宋" w:hAnsi="仿宋" w:eastAsia="仿宋" w:cs="仿宋"/>
          <w:b/>
          <w:color w:val="auto"/>
          <w:kern w:val="0"/>
          <w:sz w:val="36"/>
          <w:szCs w:val="36"/>
          <w:highlight w:val="none"/>
        </w:rPr>
      </w:pPr>
    </w:p>
    <w:p>
      <w:pPr>
        <w:wordWrap w:val="0"/>
        <w:spacing w:line="360" w:lineRule="auto"/>
        <w:jc w:val="center"/>
        <w:outlineLvl w:val="1"/>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wordWrap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pacing w:line="360" w:lineRule="auto"/>
        <w:jc w:val="center"/>
        <w:rPr>
          <w:rFonts w:hint="eastAsia" w:ascii="仿宋" w:hAnsi="仿宋" w:eastAsia="仿宋" w:cs="仿宋"/>
          <w:b/>
          <w:color w:val="auto"/>
          <w:kern w:val="0"/>
          <w:sz w:val="36"/>
          <w:szCs w:val="36"/>
          <w:highlight w:val="none"/>
        </w:rPr>
      </w:pPr>
    </w:p>
    <w:p>
      <w:pPr>
        <w:numPr>
          <w:ilvl w:val="0"/>
          <w:numId w:val="9"/>
        </w:numPr>
        <w:wordWrap w:val="0"/>
        <w:snapToGrid w:val="0"/>
        <w:spacing w:line="360" w:lineRule="auto"/>
        <w:outlineLvl w:val="1"/>
        <w:rPr>
          <w:rFonts w:hint="eastAsia" w:ascii="仿宋" w:hAnsi="仿宋" w:eastAsia="仿宋" w:cs="仿宋"/>
          <w:color w:val="auto"/>
          <w:sz w:val="24"/>
          <w:highlight w:val="none"/>
        </w:rPr>
      </w:pPr>
      <w:bookmarkStart w:id="539" w:name="_Toc30320"/>
      <w:r>
        <w:rPr>
          <w:rFonts w:hint="eastAsia" w:ascii="仿宋" w:hAnsi="仿宋" w:eastAsia="仿宋" w:cs="仿宋"/>
          <w:color w:val="auto"/>
          <w:sz w:val="24"/>
          <w:highlight w:val="none"/>
        </w:rPr>
        <w:t>供应商（联合体参加的指联合体双方）的营业执照或者其他由国家相关部门出具的具有独立承担民事责任能力的证明文件（自然人参加的提供身份证复制件）………………………………………………………………………………（页码）</w:t>
      </w:r>
    </w:p>
    <w:p>
      <w:pPr>
        <w:numPr>
          <w:ilvl w:val="0"/>
          <w:numId w:val="9"/>
        </w:numPr>
        <w:wordWrap w:val="0"/>
        <w:snapToGrid w:val="0"/>
        <w:spacing w:line="360" w:lineRule="auto"/>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符合参加政府采购活动应当具备的一般条件、特殊资格条件的承诺函的承诺函……………………………………………………………………………………（页码）</w:t>
      </w:r>
    </w:p>
    <w:p>
      <w:pPr>
        <w:numPr>
          <w:ilvl w:val="0"/>
          <w:numId w:val="9"/>
        </w:numPr>
        <w:wordWrap w:val="0"/>
        <w:snapToGrid w:val="0"/>
        <w:spacing w:line="360" w:lineRule="auto"/>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联合协议（联合体参加的提供）…………………………………………（页码）</w:t>
      </w:r>
      <w:bookmarkEnd w:id="539"/>
    </w:p>
    <w:p>
      <w:pPr>
        <w:wordWrap w:val="0"/>
        <w:snapToGrid w:val="0"/>
        <w:spacing w:line="360" w:lineRule="auto"/>
        <w:outlineLvl w:val="1"/>
        <w:rPr>
          <w:rFonts w:hint="eastAsia" w:ascii="仿宋" w:hAnsi="仿宋" w:eastAsia="仿宋" w:cs="仿宋"/>
          <w:color w:val="auto"/>
          <w:sz w:val="24"/>
          <w:highlight w:val="none"/>
        </w:rPr>
      </w:pPr>
      <w:bookmarkStart w:id="540" w:name="_Toc7010"/>
      <w:r>
        <w:rPr>
          <w:rFonts w:hint="eastAsia" w:ascii="仿宋" w:hAnsi="仿宋" w:eastAsia="仿宋" w:cs="仿宋"/>
          <w:color w:val="auto"/>
          <w:sz w:val="24"/>
          <w:highlight w:val="none"/>
        </w:rPr>
        <w:t>（4）满足政府采购政策资格要求证明材料……………………………………（页码）</w:t>
      </w:r>
      <w:bookmarkEnd w:id="540"/>
    </w:p>
    <w:p>
      <w:pPr>
        <w:wordWrap w:val="0"/>
        <w:snapToGrid w:val="0"/>
        <w:spacing w:line="360" w:lineRule="auto"/>
        <w:outlineLvl w:val="1"/>
        <w:rPr>
          <w:rFonts w:hint="eastAsia" w:ascii="仿宋" w:hAnsi="仿宋" w:eastAsia="仿宋" w:cs="仿宋"/>
          <w:color w:val="auto"/>
          <w:sz w:val="24"/>
          <w:highlight w:val="none"/>
        </w:rPr>
      </w:pPr>
      <w:bookmarkStart w:id="541" w:name="_Toc24971"/>
      <w:r>
        <w:rPr>
          <w:rFonts w:hint="eastAsia" w:ascii="仿宋" w:hAnsi="仿宋" w:eastAsia="仿宋" w:cs="仿宋"/>
          <w:color w:val="auto"/>
          <w:sz w:val="24"/>
          <w:highlight w:val="none"/>
        </w:rPr>
        <w:t>（5）满足本项目特定资格要求证明材料………………………………………（页码）</w:t>
      </w:r>
      <w:bookmarkEnd w:id="541"/>
    </w:p>
    <w:p>
      <w:pPr>
        <w:wordWrap w:val="0"/>
        <w:snapToGrid w:val="0"/>
        <w:spacing w:line="360" w:lineRule="auto"/>
        <w:ind w:firstLine="480" w:firstLineChars="200"/>
        <w:rPr>
          <w:rFonts w:hint="eastAsia" w:ascii="仿宋" w:hAnsi="仿宋" w:eastAsia="仿宋" w:cs="仿宋"/>
          <w:color w:val="auto"/>
          <w:sz w:val="24"/>
          <w:highlight w:val="none"/>
        </w:rPr>
      </w:pPr>
    </w:p>
    <w:p>
      <w:pPr>
        <w:wordWrap w:val="0"/>
        <w:spacing w:line="360" w:lineRule="auto"/>
        <w:ind w:firstLine="480" w:firstLineChars="200"/>
        <w:rPr>
          <w:rFonts w:hint="eastAsia" w:ascii="仿宋" w:hAnsi="仿宋" w:eastAsia="仿宋" w:cs="仿宋"/>
          <w:color w:val="auto"/>
          <w:sz w:val="24"/>
          <w:highlight w:val="none"/>
        </w:rPr>
      </w:pPr>
    </w:p>
    <w:p>
      <w:pPr>
        <w:numPr>
          <w:ilvl w:val="0"/>
          <w:numId w:val="10"/>
        </w:numPr>
        <w:wordWrap w:val="0"/>
        <w:snapToGrid w:val="0"/>
        <w:spacing w:line="288" w:lineRule="auto"/>
        <w:ind w:right="482"/>
        <w:jc w:val="center"/>
        <w:outlineLvl w:val="2"/>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供应商（联合体参加的指联合体双方）的营业执照或者其他由国家相关部门出具的具有独立承担民事责任能力的证明文件（自然人参加的提供身份证复制件）</w:t>
      </w:r>
    </w:p>
    <w:p>
      <w:pPr>
        <w:numPr>
          <w:ilvl w:val="255"/>
          <w:numId w:val="0"/>
        </w:numPr>
        <w:wordWrap w:val="0"/>
        <w:snapToGrid w:val="0"/>
        <w:spacing w:line="288" w:lineRule="auto"/>
        <w:ind w:right="482"/>
        <w:outlineLvl w:val="2"/>
        <w:rPr>
          <w:rFonts w:hint="eastAsia" w:ascii="仿宋" w:hAnsi="仿宋" w:eastAsia="仿宋" w:cs="仿宋"/>
          <w:b/>
          <w:color w:val="auto"/>
          <w:kern w:val="0"/>
          <w:sz w:val="32"/>
          <w:szCs w:val="32"/>
          <w:highlight w:val="none"/>
        </w:rPr>
      </w:pPr>
    </w:p>
    <w:p>
      <w:pPr>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numPr>
          <w:ilvl w:val="255"/>
          <w:numId w:val="0"/>
        </w:numPr>
        <w:wordWrap w:val="0"/>
        <w:snapToGrid w:val="0"/>
        <w:spacing w:line="288" w:lineRule="auto"/>
        <w:ind w:right="482"/>
        <w:outlineLvl w:val="2"/>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二、符合参加政府采购活动应当具备的一般条件、特殊资格条件的承诺函</w:t>
      </w:r>
    </w:p>
    <w:p>
      <w:pPr>
        <w:wordWrap w:val="0"/>
        <w:snapToGrid w:val="0"/>
        <w:spacing w:line="360" w:lineRule="auto"/>
        <w:rPr>
          <w:rFonts w:hint="eastAsia" w:ascii="仿宋" w:hAnsi="仿宋" w:eastAsia="仿宋" w:cs="仿宋"/>
          <w:color w:val="auto"/>
          <w:sz w:val="48"/>
          <w:szCs w:val="48"/>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48"/>
          <w:szCs w:val="48"/>
          <w:highlight w:val="none"/>
        </w:rPr>
        <w:t xml:space="preserve"> 承诺函</w:t>
      </w:r>
    </w:p>
    <w:p>
      <w:pPr>
        <w:wordWrap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杭州贯今工程咨询有限公司</w:t>
      </w:r>
      <w:r>
        <w:rPr>
          <w:rFonts w:hint="eastAsia" w:ascii="仿宋" w:hAnsi="仿宋" w:eastAsia="仿宋" w:cs="仿宋"/>
          <w:color w:val="auto"/>
          <w:sz w:val="24"/>
          <w:highlight w:val="none"/>
        </w:rPr>
        <w:t>：</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pPr>
        <w:wordWrap w:val="0"/>
        <w:snapToGrid w:val="0"/>
        <w:spacing w:line="312"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w:t>
      </w:r>
      <w:r>
        <w:rPr>
          <w:rFonts w:hint="eastAsia" w:ascii="仿宋" w:hAnsi="仿宋" w:eastAsia="仿宋" w:cs="仿宋"/>
          <w:color w:val="auto"/>
          <w:sz w:val="24"/>
          <w:highlight w:val="none"/>
          <w:u w:val="single"/>
        </w:rPr>
        <w:t>本项目</w:t>
      </w:r>
      <w:r>
        <w:rPr>
          <w:rFonts w:hint="eastAsia" w:ascii="仿宋" w:hAnsi="仿宋" w:eastAsia="仿宋" w:cs="仿宋"/>
          <w:color w:val="auto"/>
          <w:sz w:val="24"/>
          <w:highlight w:val="none"/>
        </w:rPr>
        <w:t>政府采购活动前三年内，在经营活动中没有重大违法记录（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wordWrap w:val="0"/>
        <w:snapToGrid w:val="0"/>
        <w:spacing w:line="312"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wordWrap w:val="0"/>
        <w:snapToGrid w:val="0"/>
        <w:spacing w:line="360" w:lineRule="auto"/>
        <w:ind w:firstLine="480" w:firstLineChars="200"/>
        <w:rPr>
          <w:rFonts w:hint="eastAsia" w:ascii="仿宋" w:hAnsi="仿宋" w:eastAsia="仿宋" w:cs="仿宋"/>
          <w:color w:val="auto"/>
          <w:kern w:val="0"/>
          <w:sz w:val="24"/>
          <w:highlight w:val="none"/>
          <w:lang w:val="zh-CN"/>
        </w:rPr>
      </w:pPr>
    </w:p>
    <w:p>
      <w:pPr>
        <w:wordWrap w:val="0"/>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p>
    <w:p>
      <w:pPr>
        <w:wordWrap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w:t>
      </w: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ordWrap w:val="0"/>
        <w:snapToGrid w:val="0"/>
        <w:spacing w:line="360" w:lineRule="auto"/>
        <w:ind w:right="480"/>
        <w:rPr>
          <w:rFonts w:hint="eastAsia" w:ascii="仿宋" w:hAnsi="仿宋" w:eastAsia="仿宋" w:cs="仿宋"/>
          <w:b/>
          <w:color w:val="auto"/>
          <w:kern w:val="0"/>
          <w:sz w:val="24"/>
          <w:highlight w:val="none"/>
        </w:rPr>
      </w:pPr>
    </w:p>
    <w:p>
      <w:pPr>
        <w:wordWrap w:val="0"/>
        <w:snapToGrid w:val="0"/>
        <w:spacing w:line="360" w:lineRule="auto"/>
        <w:ind w:right="48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备注：联合体投标的，联合体成员均应提供。非牵头人可提供加盖单位物理公章的原件扫描件。</w:t>
      </w: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rPr>
          <w:rFonts w:hint="eastAsia" w:ascii="仿宋" w:hAnsi="仿宋" w:eastAsia="仿宋" w:cs="仿宋"/>
          <w:color w:val="auto"/>
          <w:highlight w:val="none"/>
        </w:rPr>
      </w:pPr>
    </w:p>
    <w:p>
      <w:pPr>
        <w:wordWrap w:val="0"/>
        <w:rPr>
          <w:rFonts w:hint="eastAsia" w:ascii="仿宋" w:hAnsi="仿宋" w:eastAsia="仿宋" w:cs="仿宋"/>
          <w:b/>
          <w:color w:val="auto"/>
          <w:kern w:val="0"/>
          <w:sz w:val="32"/>
          <w:szCs w:val="32"/>
          <w:highlight w:val="none"/>
        </w:rPr>
      </w:pPr>
    </w:p>
    <w:p>
      <w:pPr>
        <w:widowControl/>
        <w:wordWrap w:val="0"/>
        <w:spacing w:line="360" w:lineRule="auto"/>
        <w:ind w:left="150"/>
        <w:jc w:val="center"/>
        <w:outlineLvl w:val="3"/>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三、联合协议（联合体参加的提供）</w:t>
      </w:r>
    </w:p>
    <w:p>
      <w:pPr>
        <w:widowControl/>
        <w:wordWrap w:val="0"/>
        <w:spacing w:line="360" w:lineRule="auto"/>
        <w:ind w:left="147" w:firstLine="482" w:firstLineChars="200"/>
        <w:rPr>
          <w:rFonts w:hint="eastAsia" w:ascii="仿宋" w:hAnsi="仿宋" w:eastAsia="仿宋" w:cs="仿宋"/>
          <w:b/>
          <w:bCs/>
          <w:color w:val="auto"/>
          <w:sz w:val="24"/>
          <w:highlight w:val="none"/>
        </w:rPr>
      </w:pPr>
    </w:p>
    <w:p>
      <w:pPr>
        <w:widowControl/>
        <w:wordWrap w:val="0"/>
        <w:spacing w:line="360" w:lineRule="auto"/>
        <w:ind w:left="147" w:firstLine="482" w:firstLineChars="200"/>
        <w:outlineLvl w:val="3"/>
        <w:rPr>
          <w:rFonts w:hint="eastAsia" w:ascii="仿宋" w:hAnsi="仿宋" w:eastAsia="仿宋" w:cs="仿宋"/>
          <w:b/>
          <w:bCs/>
          <w:color w:val="auto"/>
          <w:sz w:val="24"/>
          <w:highlight w:val="none"/>
        </w:rPr>
        <w:sectPr>
          <w:pgSz w:w="11905" w:h="16838"/>
          <w:pgMar w:top="652" w:right="1417" w:bottom="680" w:left="1417" w:header="539" w:footer="482" w:gutter="0"/>
          <w:cols w:space="0" w:num="1"/>
          <w:titlePg/>
          <w:docGrid w:linePitch="312" w:charSpace="0"/>
        </w:sectPr>
      </w:pPr>
      <w:r>
        <w:rPr>
          <w:rFonts w:hint="eastAsia" w:ascii="仿宋" w:hAnsi="仿宋" w:eastAsia="仿宋" w:cs="仿宋"/>
          <w:b/>
          <w:bCs/>
          <w:color w:val="auto"/>
          <w:sz w:val="24"/>
          <w:highlight w:val="none"/>
        </w:rPr>
        <w:t>[以联合体形式投标的，提供联合协议（附件6）。]</w:t>
      </w:r>
    </w:p>
    <w:p>
      <w:pPr>
        <w:wordWrap w:val="0"/>
        <w:snapToGrid w:val="0"/>
        <w:spacing w:line="360" w:lineRule="auto"/>
        <w:ind w:right="480"/>
        <w:jc w:val="center"/>
        <w:outlineLvl w:val="2"/>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四、满足政府采购政策资格要求证明材料</w:t>
      </w:r>
    </w:p>
    <w:p>
      <w:pPr>
        <w:pStyle w:val="61"/>
        <w:rPr>
          <w:rFonts w:hint="eastAsia" w:ascii="仿宋" w:hAnsi="仿宋" w:eastAsia="仿宋" w:cs="仿宋"/>
          <w:color w:val="auto"/>
          <w:highlight w:val="none"/>
        </w:rPr>
      </w:pPr>
    </w:p>
    <w:p>
      <w:pPr>
        <w:wordWrap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A.</w:t>
      </w:r>
      <w:r>
        <w:rPr>
          <w:rFonts w:hint="eastAsia" w:ascii="仿宋" w:hAnsi="仿宋" w:eastAsia="仿宋" w:cs="仿宋"/>
          <w:bCs/>
          <w:color w:val="auto"/>
          <w:sz w:val="24"/>
          <w:highlight w:val="none"/>
        </w:rPr>
        <w:t>本项目专门面向中小企业，</w:t>
      </w:r>
      <w:r>
        <w:rPr>
          <w:rFonts w:hint="eastAsia" w:ascii="仿宋" w:hAnsi="仿宋" w:eastAsia="仿宋" w:cs="仿宋"/>
          <w:bCs/>
          <w:color w:val="auto"/>
          <w:sz w:val="24"/>
          <w:highlight w:val="none"/>
          <w:lang w:val="en-US" w:eastAsia="zh-CN"/>
        </w:rPr>
        <w:t>货物</w:t>
      </w:r>
      <w:r>
        <w:rPr>
          <w:rFonts w:hint="eastAsia" w:ascii="仿宋" w:hAnsi="仿宋" w:eastAsia="仿宋" w:cs="仿宋"/>
          <w:bCs/>
          <w:color w:val="auto"/>
          <w:sz w:val="24"/>
          <w:highlight w:val="none"/>
        </w:rPr>
        <w:t xml:space="preserve">全部由符合政策要求的中小企业（或小微企业）承接的，提供相应的中小企业声明函（附件5）。 </w:t>
      </w:r>
    </w:p>
    <w:p>
      <w:pPr>
        <w:widowControl/>
        <w:wordWrap w:val="0"/>
        <w:spacing w:line="360" w:lineRule="auto"/>
        <w:ind w:firstLine="472" w:firstLineChars="196"/>
        <w:jc w:val="lef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要求以联合体形式参加的，提供联合协议（附件6）和中小企业声明函（附件5），联合协议中</w:t>
      </w:r>
      <w:r>
        <w:rPr>
          <w:rFonts w:hint="eastAsia" w:ascii="仿宋" w:hAnsi="仿宋" w:eastAsia="仿宋" w:cs="仿宋"/>
          <w:color w:val="auto"/>
          <w:sz w:val="24"/>
          <w:highlight w:val="none"/>
          <w:lang w:eastAsia="zh-CN"/>
        </w:rPr>
        <w:t>中小企业</w:t>
      </w:r>
      <w:r>
        <w:rPr>
          <w:rFonts w:hint="eastAsia" w:ascii="仿宋" w:hAnsi="仿宋" w:eastAsia="仿宋" w:cs="仿宋"/>
          <w:color w:val="auto"/>
          <w:sz w:val="24"/>
          <w:highlight w:val="none"/>
        </w:rPr>
        <w:t>合同金额应当达到招标公告载明的比例；</w:t>
      </w:r>
      <w:r>
        <w:rPr>
          <w:rFonts w:hint="eastAsia" w:ascii="仿宋" w:hAnsi="仿宋" w:eastAsia="仿宋" w:cs="仿宋"/>
          <w:color w:val="auto"/>
          <w:sz w:val="24"/>
          <w:highlight w:val="none"/>
          <w:u w:val="none"/>
        </w:rPr>
        <w:t>如果供应商本身提供所有标的均由</w:t>
      </w:r>
      <w:r>
        <w:rPr>
          <w:rFonts w:hint="eastAsia" w:ascii="仿宋" w:hAnsi="仿宋" w:eastAsia="仿宋" w:cs="仿宋"/>
          <w:color w:val="auto"/>
          <w:sz w:val="24"/>
          <w:highlight w:val="none"/>
          <w:u w:val="none"/>
          <w:lang w:eastAsia="zh-CN"/>
        </w:rPr>
        <w:t>中小企业</w:t>
      </w:r>
      <w:r>
        <w:rPr>
          <w:rFonts w:hint="eastAsia" w:ascii="仿宋" w:hAnsi="仿宋" w:eastAsia="仿宋" w:cs="仿宋"/>
          <w:color w:val="auto"/>
          <w:sz w:val="24"/>
          <w:highlight w:val="none"/>
          <w:u w:val="none"/>
        </w:rPr>
        <w:t>承接的，视同符合了资格条件，无需再与其他</w:t>
      </w:r>
      <w:r>
        <w:rPr>
          <w:rFonts w:hint="eastAsia" w:ascii="仿宋" w:hAnsi="仿宋" w:eastAsia="仿宋" w:cs="仿宋"/>
          <w:color w:val="auto"/>
          <w:sz w:val="24"/>
          <w:highlight w:val="none"/>
          <w:u w:val="none"/>
          <w:lang w:eastAsia="zh-CN"/>
        </w:rPr>
        <w:t>中小企业</w:t>
      </w:r>
      <w:r>
        <w:rPr>
          <w:rFonts w:hint="eastAsia" w:ascii="仿宋" w:hAnsi="仿宋" w:eastAsia="仿宋" w:cs="仿宋"/>
          <w:color w:val="auto"/>
          <w:sz w:val="24"/>
          <w:highlight w:val="none"/>
          <w:u w:val="none"/>
        </w:rPr>
        <w:t>组成联合体参加政府采购活动，无需提供联合协议。</w:t>
      </w:r>
    </w:p>
    <w:p>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7）和中小企业声明函（附件5），分包意向协议中中小企业合同金额应当达到招标公告载明的比例；如果供应商本身提供所有标的均由中小企业承接，视同符合了资格条件，无需再向中小企业分包，无需提供分包意向协议。</w:t>
      </w:r>
    </w:p>
    <w:p>
      <w:pPr>
        <w:wordWrap w:val="0"/>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lang w:val="en-US" w:eastAsia="zh-CN"/>
        </w:rPr>
        <w:t>D</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本项目无。</w:t>
      </w:r>
    </w:p>
    <w:p>
      <w:pPr>
        <w:wordWrap w:val="0"/>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p>
    <w:p>
      <w:pPr>
        <w:widowControl/>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wordWrap w:val="0"/>
        <w:spacing w:line="360" w:lineRule="auto"/>
        <w:ind w:left="150"/>
        <w:jc w:val="center"/>
        <w:outlineLvl w:val="2"/>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五、满足本项目特定资格要求的证明材料</w:t>
      </w:r>
    </w:p>
    <w:p>
      <w:pPr>
        <w:wordWrap w:val="0"/>
        <w:rPr>
          <w:rFonts w:hint="eastAsia" w:ascii="仿宋" w:hAnsi="仿宋" w:eastAsia="仿宋" w:cs="仿宋"/>
          <w:color w:val="auto"/>
          <w:highlight w:val="none"/>
        </w:rPr>
      </w:pPr>
    </w:p>
    <w:p>
      <w:pPr>
        <w:widowControl/>
        <w:numPr>
          <w:ilvl w:val="255"/>
          <w:numId w:val="0"/>
        </w:numPr>
        <w:wordWrap w:val="0"/>
        <w:spacing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1.承诺函(同符合参加政府采购活动应当具备的一般条件、特殊资格要求的承诺函，不用重复提供）。</w:t>
      </w:r>
    </w:p>
    <w:p>
      <w:pPr>
        <w:wordWrap w:val="0"/>
        <w:snapToGrid w:val="0"/>
        <w:spacing w:line="360" w:lineRule="auto"/>
        <w:ind w:right="480"/>
        <w:jc w:val="center"/>
        <w:rPr>
          <w:rFonts w:hint="eastAsia" w:ascii="仿宋" w:hAnsi="仿宋" w:eastAsia="仿宋" w:cs="仿宋"/>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pacing w:line="360" w:lineRule="auto"/>
        <w:jc w:val="center"/>
        <w:rPr>
          <w:rFonts w:hint="eastAsia" w:ascii="仿宋" w:hAnsi="仿宋" w:eastAsia="仿宋" w:cs="仿宋"/>
          <w:b/>
          <w:color w:val="auto"/>
          <w:kern w:val="0"/>
          <w:sz w:val="36"/>
          <w:szCs w:val="36"/>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pacing w:line="360" w:lineRule="auto"/>
        <w:jc w:val="center"/>
        <w:rPr>
          <w:rFonts w:hint="eastAsia" w:ascii="仿宋" w:hAnsi="仿宋" w:eastAsia="仿宋" w:cs="仿宋"/>
          <w:b/>
          <w:color w:val="auto"/>
          <w:kern w:val="0"/>
          <w:sz w:val="36"/>
          <w:szCs w:val="36"/>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pacing w:line="360" w:lineRule="auto"/>
        <w:jc w:val="center"/>
        <w:rPr>
          <w:rFonts w:hint="eastAsia" w:ascii="仿宋" w:hAnsi="仿宋" w:eastAsia="仿宋" w:cs="仿宋"/>
          <w:b/>
          <w:color w:val="auto"/>
          <w:kern w:val="0"/>
          <w:sz w:val="36"/>
          <w:szCs w:val="36"/>
          <w:highlight w:val="none"/>
        </w:rPr>
      </w:pPr>
    </w:p>
    <w:p>
      <w:pPr>
        <w:wordWrap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wordWrap w:val="0"/>
        <w:spacing w:line="360" w:lineRule="auto"/>
        <w:ind w:right="420" w:firstLine="3614" w:firstLineChars="1000"/>
        <w:outlineLvl w:val="1"/>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wordWrap w:val="0"/>
        <w:spacing w:line="360" w:lineRule="auto"/>
        <w:jc w:val="center"/>
        <w:rPr>
          <w:rFonts w:hint="eastAsia" w:ascii="仿宋" w:hAnsi="仿宋" w:eastAsia="仿宋" w:cs="仿宋"/>
          <w:b/>
          <w:color w:val="auto"/>
          <w:kern w:val="0"/>
          <w:sz w:val="24"/>
          <w:highlight w:val="none"/>
        </w:rPr>
      </w:pPr>
    </w:p>
    <w:p>
      <w:pPr>
        <w:wordWrap w:val="0"/>
        <w:spacing w:line="360" w:lineRule="auto"/>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wordWrap w:val="0"/>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（3）分包意向协议（拟分包的提供）</w:t>
      </w:r>
      <w:r>
        <w:rPr>
          <w:rFonts w:hint="eastAsia" w:ascii="仿宋" w:hAnsi="仿宋" w:eastAsia="仿宋" w:cs="仿宋"/>
          <w:color w:val="auto"/>
          <w:highlight w:val="none"/>
        </w:rPr>
        <w:t>…………………………………………………（页码）</w:t>
      </w:r>
    </w:p>
    <w:p>
      <w:pPr>
        <w:wordWrap w:val="0"/>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pPr>
        <w:wordWrap w:val="0"/>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pPr>
        <w:wordWrap w:val="0"/>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wordWrap w:val="0"/>
        <w:snapToGrid w:val="0"/>
        <w:spacing w:line="360" w:lineRule="auto"/>
        <w:jc w:val="center"/>
        <w:rPr>
          <w:rFonts w:hint="eastAsia" w:ascii="仿宋" w:hAnsi="仿宋" w:eastAsia="仿宋" w:cs="仿宋"/>
          <w:b/>
          <w:color w:val="auto"/>
          <w:kern w:val="0"/>
          <w:sz w:val="32"/>
          <w:szCs w:val="32"/>
          <w:highlight w:val="none"/>
          <w:lang w:val="zh-CN"/>
        </w:rPr>
      </w:pPr>
    </w:p>
    <w:p>
      <w:pPr>
        <w:wordWrap w:val="0"/>
        <w:snapToGrid w:val="0"/>
        <w:spacing w:line="360" w:lineRule="auto"/>
        <w:jc w:val="center"/>
        <w:rPr>
          <w:rFonts w:hint="eastAsia" w:ascii="仿宋" w:hAnsi="仿宋" w:eastAsia="仿宋" w:cs="仿宋"/>
          <w:b/>
          <w:color w:val="auto"/>
          <w:kern w:val="0"/>
          <w:sz w:val="32"/>
          <w:szCs w:val="32"/>
          <w:highlight w:val="none"/>
          <w:lang w:val="zh-CN"/>
        </w:rPr>
      </w:pPr>
    </w:p>
    <w:p>
      <w:pPr>
        <w:wordWrap w:val="0"/>
        <w:snapToGrid w:val="0"/>
        <w:spacing w:line="360" w:lineRule="auto"/>
        <w:jc w:val="center"/>
        <w:rPr>
          <w:rFonts w:hint="eastAsia" w:ascii="仿宋" w:hAnsi="仿宋" w:eastAsia="仿宋" w:cs="仿宋"/>
          <w:b/>
          <w:color w:val="auto"/>
          <w:kern w:val="0"/>
          <w:sz w:val="32"/>
          <w:szCs w:val="32"/>
          <w:highlight w:val="none"/>
          <w:lang w:val="zh-CN"/>
        </w:rPr>
      </w:pPr>
    </w:p>
    <w:p>
      <w:pPr>
        <w:wordWrap w:val="0"/>
        <w:snapToGrid w:val="0"/>
        <w:spacing w:line="360" w:lineRule="auto"/>
        <w:jc w:val="center"/>
        <w:rPr>
          <w:rFonts w:hint="eastAsia" w:ascii="仿宋" w:hAnsi="仿宋" w:eastAsia="仿宋" w:cs="仿宋"/>
          <w:b/>
          <w:color w:val="auto"/>
          <w:kern w:val="0"/>
          <w:sz w:val="32"/>
          <w:szCs w:val="32"/>
          <w:highlight w:val="none"/>
          <w:lang w:val="zh-CN"/>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rPr>
          <w:rFonts w:hint="eastAsia" w:ascii="仿宋" w:hAnsi="仿宋" w:eastAsia="仿宋" w:cs="仿宋"/>
          <w:color w:val="auto"/>
          <w:highlight w:val="none"/>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snapToGrid w:val="0"/>
        <w:spacing w:line="360" w:lineRule="auto"/>
        <w:jc w:val="center"/>
        <w:rPr>
          <w:rFonts w:hint="eastAsia" w:ascii="仿宋" w:hAnsi="仿宋" w:eastAsia="仿宋" w:cs="仿宋"/>
          <w:b/>
          <w:color w:val="auto"/>
          <w:kern w:val="0"/>
          <w:sz w:val="32"/>
          <w:szCs w:val="32"/>
          <w:highlight w:val="none"/>
        </w:rPr>
      </w:pPr>
    </w:p>
    <w:p>
      <w:pPr>
        <w:wordWrap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ordWrap w:val="0"/>
        <w:snapToGrid w:val="0"/>
        <w:spacing w:line="360" w:lineRule="auto"/>
        <w:jc w:val="center"/>
        <w:outlineLvl w:val="2"/>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wordWrap w:val="0"/>
        <w:snapToGrid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杭州贯今工程咨询有限公司</w:t>
      </w:r>
      <w:r>
        <w:rPr>
          <w:rFonts w:hint="eastAsia" w:ascii="仿宋" w:hAnsi="仿宋" w:eastAsia="仿宋" w:cs="仿宋"/>
          <w:color w:val="auto"/>
          <w:sz w:val="24"/>
          <w:highlight w:val="none"/>
        </w:rPr>
        <w:t>：</w:t>
      </w:r>
    </w:p>
    <w:p>
      <w:pPr>
        <w:wordWrap w:val="0"/>
        <w:snapToGrid w:val="0"/>
        <w:spacing w:line="3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招标的有关活动，并对此项目进行投标。为此：</w:t>
      </w:r>
    </w:p>
    <w:p>
      <w:pPr>
        <w:wordWrap w:val="0"/>
        <w:snapToGrid w:val="0"/>
        <w:spacing w:line="3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wordWrap w:val="0"/>
        <w:snapToGrid w:val="0"/>
        <w:spacing w:line="3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wordWrap w:val="0"/>
        <w:snapToGrid w:val="0"/>
        <w:spacing w:line="36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bookmarkStart w:id="542" w:name="_Hlk109322875"/>
      <w:r>
        <w:rPr>
          <w:rFonts w:hint="eastAsia" w:ascii="仿宋" w:hAnsi="仿宋" w:eastAsia="仿宋" w:cs="仿宋"/>
          <w:color w:val="auto"/>
          <w:sz w:val="24"/>
          <w:highlight w:val="none"/>
        </w:rPr>
        <w:t>2.1.1供应商（联合体参加的指联合体双方）的营业执照或者其他由国家相关部门出具的具有独立承担民事责任能力的证明文件（自然人参加的提供身份证复制件）；</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2.1.2符合参加政府采购活动应当具备的一般条件、特殊资格条件的承诺函；</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2.1.3联合协议（联合体参加的提供)；</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2.1.4满足政府采购政策资格要求的证明材料；</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2.1.5满足本项目特定资格要求的证明材料。</w:t>
      </w:r>
    </w:p>
    <w:bookmarkEnd w:id="542"/>
    <w:p>
      <w:pPr>
        <w:wordWrap w:val="0"/>
        <w:snapToGrid w:val="0"/>
        <w:spacing w:line="360" w:lineRule="exact"/>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2.2.3分包意向协议（拟分包的提供）；</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pPr>
        <w:wordWrap w:val="0"/>
        <w:snapToGrid w:val="0"/>
        <w:spacing w:line="36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pPr>
        <w:wordWrap w:val="0"/>
        <w:snapToGrid w:val="0"/>
        <w:spacing w:line="360" w:lineRule="exact"/>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政府采购供应商廉洁自律承诺书；</w:t>
      </w:r>
    </w:p>
    <w:p>
      <w:pPr>
        <w:wordWrap w:val="0"/>
        <w:snapToGrid w:val="0"/>
        <w:spacing w:line="36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wordWrap w:val="0"/>
        <w:adjustRightInd/>
        <w:snapToGrid w:val="0"/>
        <w:spacing w:line="360" w:lineRule="exact"/>
        <w:ind w:left="420" w:leftChars="200"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2.3.1开标一览表（报价表）</w:t>
      </w:r>
      <w:r>
        <w:rPr>
          <w:rFonts w:hint="eastAsia" w:ascii="仿宋" w:hAnsi="仿宋" w:eastAsia="仿宋" w:cs="仿宋"/>
          <w:color w:val="auto"/>
          <w:sz w:val="24"/>
          <w:highlight w:val="none"/>
          <w:lang w:eastAsia="zh-CN"/>
        </w:rPr>
        <w:t>；</w:t>
      </w:r>
    </w:p>
    <w:p>
      <w:pPr>
        <w:wordWrap w:val="0"/>
        <w:adjustRightInd/>
        <w:snapToGrid w:val="0"/>
        <w:spacing w:line="360" w:lineRule="exact"/>
        <w:ind w:left="420" w:leftChars="20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2.3.2报价情况说明（如供应商报价低于最高限价50%的，应当提交本文档，详细阐述不影响服务质量或者诚信履约的具体原因）；</w:t>
      </w:r>
    </w:p>
    <w:p>
      <w:pPr>
        <w:wordWrap w:val="0"/>
        <w:adjustRightInd/>
        <w:snapToGrid w:val="0"/>
        <w:spacing w:line="360" w:lineRule="exact"/>
        <w:ind w:left="420" w:leftChars="20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供应商针对报价需要说明的其他文件和说明（格式自拟）。</w:t>
      </w:r>
    </w:p>
    <w:p>
      <w:pPr>
        <w:wordWrap w:val="0"/>
        <w:snapToGrid w:val="0"/>
        <w:spacing w:line="3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3、我方承诺除商务技术偏离表列出的偏离外，我方响应招标文件的全部要求。对投标文件中材料的真实性、合法性负责。</w:t>
      </w:r>
    </w:p>
    <w:p>
      <w:pPr>
        <w:wordWrap w:val="0"/>
        <w:snapToGrid w:val="0"/>
        <w:spacing w:line="3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wordWrap w:val="0"/>
        <w:snapToGrid w:val="0"/>
        <w:spacing w:line="30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wordWrap w:val="0"/>
        <w:snapToGrid w:val="0"/>
        <w:spacing w:line="30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wordWrap w:val="0"/>
        <w:snapToGrid w:val="0"/>
        <w:spacing w:line="30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wordWrap w:val="0"/>
        <w:snapToGrid w:val="0"/>
        <w:spacing w:line="30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wordWrap w:val="0"/>
        <w:snapToGrid w:val="0"/>
        <w:spacing w:line="300" w:lineRule="exact"/>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wordWrap w:val="0"/>
        <w:snapToGrid/>
        <w:spacing w:line="300" w:lineRule="exact"/>
        <w:ind w:firstLine="4320" w:firstLineChars="1800"/>
        <w:jc w:val="righ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p>
    <w:p>
      <w:pPr>
        <w:wordWrap w:val="0"/>
        <w:snapToGrid/>
        <w:spacing w:line="300" w:lineRule="exact"/>
        <w:ind w:firstLine="4320" w:firstLineChars="1800"/>
        <w:jc w:val="right"/>
        <w:rPr>
          <w:rFonts w:hint="eastAsia" w:ascii="仿宋" w:hAnsi="仿宋" w:eastAsia="仿宋" w:cs="仿宋"/>
          <w:b/>
          <w:color w:val="auto"/>
          <w:kern w:val="0"/>
          <w:sz w:val="32"/>
          <w:szCs w:val="32"/>
          <w:highlight w:val="none"/>
          <w:lang w:val="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sz w:val="24"/>
          <w:highlight w:val="none"/>
        </w:rPr>
        <w:t>）：                                          日期：  年   月   日</w:t>
      </w:r>
    </w:p>
    <w:p>
      <w:pPr>
        <w:wordWrap w:val="0"/>
        <w:jc w:val="left"/>
        <w:outlineLvl w:val="2"/>
        <w:rPr>
          <w:rFonts w:hint="eastAsia" w:ascii="仿宋" w:hAnsi="仿宋" w:eastAsia="仿宋" w:cs="仿宋"/>
          <w:b/>
          <w:color w:val="auto"/>
          <w:kern w:val="0"/>
          <w:sz w:val="32"/>
          <w:szCs w:val="32"/>
          <w:highlight w:val="none"/>
          <w:lang w:val="zh-CN"/>
        </w:rPr>
        <w:sectPr>
          <w:headerReference r:id="rId12" w:type="first"/>
          <w:footerReference r:id="rId14" w:type="first"/>
          <w:headerReference r:id="rId11" w:type="default"/>
          <w:footerReference r:id="rId13" w:type="default"/>
          <w:pgSz w:w="11905" w:h="16838"/>
          <w:pgMar w:top="652" w:right="1417" w:bottom="680" w:left="1417" w:header="539" w:footer="425" w:gutter="0"/>
          <w:cols w:space="0" w:num="1"/>
          <w:titlePg/>
          <w:docGrid w:linePitch="312" w:charSpace="0"/>
        </w:sectPr>
      </w:pPr>
    </w:p>
    <w:p>
      <w:pPr>
        <w:wordWrap w:val="0"/>
        <w:jc w:val="left"/>
        <w:outlineLvl w:val="2"/>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wordWrap w:val="0"/>
        <w:snapToGrid w:val="0"/>
        <w:spacing w:line="360" w:lineRule="auto"/>
        <w:ind w:firstLine="2872" w:firstLineChars="894"/>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非联合体投标</w:t>
      </w:r>
      <w:r>
        <w:rPr>
          <w:rFonts w:hint="eastAsia" w:ascii="仿宋" w:hAnsi="仿宋" w:eastAsia="仿宋" w:cs="仿宋"/>
          <w:b/>
          <w:color w:val="auto"/>
          <w:kern w:val="0"/>
          <w:sz w:val="32"/>
          <w:szCs w:val="32"/>
          <w:highlight w:val="none"/>
          <w:lang w:val="zh-CN"/>
        </w:rPr>
        <w:t>授权委托书</w:t>
      </w:r>
    </w:p>
    <w:p>
      <w:pPr>
        <w:wordWrap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（适用于非</w:t>
      </w:r>
      <w:r>
        <w:rPr>
          <w:rFonts w:hint="eastAsia" w:ascii="仿宋" w:hAnsi="仿宋" w:eastAsia="仿宋" w:cs="仿宋"/>
          <w:b/>
          <w:color w:val="auto"/>
          <w:kern w:val="0"/>
          <w:sz w:val="24"/>
          <w:highlight w:val="none"/>
        </w:rPr>
        <w:t>法定代表人、单位负责人或自然人本人代表供应商参加投标</w:t>
      </w:r>
      <w:r>
        <w:rPr>
          <w:rFonts w:hint="eastAsia" w:ascii="仿宋" w:hAnsi="仿宋" w:eastAsia="仿宋" w:cs="仿宋"/>
          <w:b/>
          <w:color w:val="auto"/>
          <w:kern w:val="0"/>
          <w:sz w:val="24"/>
          <w:highlight w:val="none"/>
          <w:lang w:val="zh-CN"/>
        </w:rPr>
        <w:t>）</w:t>
      </w: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杭州贯今工程咨询有限公司</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我单位法定代表人为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zh-CN"/>
        </w:rPr>
        <w:t>，所在单位</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政府采购投标的一切事项，其法律后果由我方自行承担。</w:t>
      </w:r>
    </w:p>
    <w:p>
      <w:pPr>
        <w:wordWrap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wordWrap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特此告知。</w:t>
      </w: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w:t>
      </w:r>
    </w:p>
    <w:p>
      <w:pPr>
        <w:wordWrap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wordWrap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 xml:space="preserve">     联合体投标授权委托书</w:t>
      </w:r>
    </w:p>
    <w:p>
      <w:pPr>
        <w:wordWrap w:val="0"/>
        <w:rPr>
          <w:rFonts w:hint="eastAsia" w:ascii="仿宋" w:hAnsi="仿宋" w:eastAsia="仿宋" w:cs="仿宋"/>
          <w:color w:val="auto"/>
          <w:sz w:val="22"/>
          <w:szCs w:val="22"/>
          <w:highlight w:val="none"/>
        </w:rPr>
      </w:pPr>
    </w:p>
    <w:p>
      <w:pPr>
        <w:wordWrap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（适用于非</w:t>
      </w:r>
      <w:r>
        <w:rPr>
          <w:rFonts w:hint="eastAsia" w:ascii="仿宋" w:hAnsi="仿宋" w:eastAsia="仿宋" w:cs="仿宋"/>
          <w:b/>
          <w:color w:val="auto"/>
          <w:kern w:val="0"/>
          <w:sz w:val="24"/>
          <w:highlight w:val="none"/>
        </w:rPr>
        <w:t>法定代表人、单位负责人或自然人本人代表供应商参加投标</w:t>
      </w:r>
      <w:r>
        <w:rPr>
          <w:rFonts w:hint="eastAsia" w:ascii="仿宋" w:hAnsi="仿宋" w:eastAsia="仿宋" w:cs="仿宋"/>
          <w:b/>
          <w:color w:val="auto"/>
          <w:kern w:val="0"/>
          <w:sz w:val="24"/>
          <w:highlight w:val="none"/>
          <w:lang w:val="zh-CN"/>
        </w:rPr>
        <w:t>）</w:t>
      </w: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杭州学军中学桐庐学校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杭州贯今工程咨询有限公司</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我单位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作为牵头人，法定代表人为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，我单位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作为联合体成员，法定代表人为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zh-CN"/>
        </w:rPr>
        <w:t>，所在单位</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政府采购投标的一切事项，其法律后果由我方自行承担。</w:t>
      </w: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wordWrap w:val="0"/>
        <w:rPr>
          <w:rFonts w:hint="eastAsia" w:ascii="仿宋" w:hAnsi="仿宋" w:eastAsia="仿宋" w:cs="仿宋"/>
          <w:color w:val="auto"/>
          <w:highlight w:val="none"/>
        </w:rPr>
      </w:pPr>
    </w:p>
    <w:p>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联合体牵头人名称</w:t>
      </w:r>
    </w:p>
    <w:p>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w:t>
      </w:r>
    </w:p>
    <w:p>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p>
    <w:p>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物理公章</w:t>
      </w:r>
      <w:r>
        <w:rPr>
          <w:rFonts w:hint="eastAsia" w:ascii="仿宋" w:hAnsi="仿宋" w:eastAsia="仿宋" w:cs="仿宋"/>
          <w:color w:val="auto"/>
          <w:kern w:val="0"/>
          <w:sz w:val="24"/>
          <w:highlight w:val="none"/>
          <w:lang w:val="zh-CN"/>
        </w:rPr>
        <w:t>)：</w:t>
      </w:r>
    </w:p>
    <w:p>
      <w:pPr>
        <w:wordWrap w:val="0"/>
        <w:rPr>
          <w:rFonts w:hint="eastAsia" w:ascii="仿宋" w:hAnsi="仿宋" w:eastAsia="仿宋" w:cs="仿宋"/>
          <w:b/>
          <w:color w:val="auto"/>
          <w:kern w:val="0"/>
          <w:sz w:val="32"/>
          <w:szCs w:val="32"/>
          <w:highlight w:val="none"/>
          <w:lang w:val="zh-CN"/>
        </w:rPr>
      </w:pPr>
      <w:r>
        <w:rPr>
          <w:rFonts w:hint="eastAsia" w:ascii="仿宋" w:hAnsi="仿宋" w:eastAsia="仿宋" w:cs="仿宋"/>
          <w:color w:val="auto"/>
          <w:kern w:val="0"/>
          <w:sz w:val="24"/>
          <w:highlight w:val="none"/>
          <w:lang w:val="zh-CN"/>
        </w:rPr>
        <w:t xml:space="preserve">                                               日期：  年  月   日</w:t>
      </w:r>
      <w:r>
        <w:rPr>
          <w:rFonts w:hint="eastAsia" w:ascii="仿宋" w:hAnsi="仿宋" w:eastAsia="仿宋" w:cs="仿宋"/>
          <w:b/>
          <w:color w:val="auto"/>
          <w:kern w:val="0"/>
          <w:sz w:val="32"/>
          <w:szCs w:val="32"/>
          <w:highlight w:val="none"/>
          <w:lang w:val="zh-CN"/>
        </w:rPr>
        <w:br w:type="page"/>
      </w:r>
    </w:p>
    <w:p>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150"/>
        <w:wordWrap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0"/>
              <w:wordWrap w:val="0"/>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150"/>
              <w:wordWrap w:val="0"/>
              <w:adjustRightInd w:val="0"/>
              <w:spacing w:line="360" w:lineRule="auto"/>
              <w:rPr>
                <w:rFonts w:hint="eastAsia" w:ascii="仿宋" w:hAnsi="仿宋" w:eastAsia="仿宋" w:cs="仿宋"/>
                <w:bCs/>
                <w:color w:val="auto"/>
                <w:sz w:val="24"/>
                <w:highlight w:val="none"/>
              </w:rPr>
            </w:pPr>
          </w:p>
        </w:tc>
      </w:tr>
    </w:tbl>
    <w:p>
      <w:pPr>
        <w:wordWrap w:val="0"/>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wordWrap w:val="0"/>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 xml:space="preserve">)：                              </w:t>
      </w:r>
    </w:p>
    <w:p>
      <w:pPr>
        <w:wordWrap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rPr>
          <w:rFonts w:hint="eastAsia"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r>
        <w:rPr>
          <w:rFonts w:hint="eastAsia" w:ascii="仿宋" w:hAnsi="仿宋" w:eastAsia="仿宋" w:cs="仿宋"/>
          <w:b/>
          <w:color w:val="auto"/>
          <w:kern w:val="0"/>
          <w:sz w:val="32"/>
          <w:szCs w:val="32"/>
          <w:highlight w:val="none"/>
        </w:rPr>
        <w:br w:type="page"/>
      </w:r>
    </w:p>
    <w:p>
      <w:pPr>
        <w:wordWrap w:val="0"/>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w:t>
      </w:r>
    </w:p>
    <w:p>
      <w:pPr>
        <w:widowControl/>
        <w:wordWrap w:val="0"/>
        <w:spacing w:line="360" w:lineRule="auto"/>
        <w:ind w:left="147"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本项目同意将非主体、非关键性工作分包，</w:t>
      </w:r>
      <w:r>
        <w:rPr>
          <w:rFonts w:hint="eastAsia" w:ascii="仿宋" w:hAnsi="仿宋" w:eastAsia="仿宋" w:cs="仿宋"/>
          <w:b/>
          <w:bCs/>
          <w:color w:val="auto"/>
          <w:sz w:val="24"/>
          <w:highlight w:val="none"/>
        </w:rPr>
        <w:t>若非主体、非关键性工作已由</w:t>
      </w:r>
      <w:r>
        <w:rPr>
          <w:rFonts w:hint="eastAsia" w:ascii="仿宋" w:hAnsi="仿宋" w:eastAsia="仿宋" w:cs="仿宋"/>
          <w:b/>
          <w:color w:val="auto"/>
          <w:sz w:val="24"/>
          <w:highlight w:val="none"/>
        </w:rPr>
        <w:t>联合体成员承担的，则不允许分包。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分包份额不得超过总包单位。</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投标人中标后以分包方式履行合同的，另行提供分包意向协议（附件7）；</w:t>
      </w:r>
      <w:r>
        <w:rPr>
          <w:rFonts w:hint="eastAsia" w:ascii="仿宋" w:hAnsi="仿宋" w:eastAsia="仿宋" w:cs="仿宋"/>
          <w:b/>
          <w:bCs/>
          <w:color w:val="auto"/>
          <w:sz w:val="24"/>
          <w:highlight w:val="none"/>
        </w:rPr>
        <w:t>投标人中标后</w:t>
      </w:r>
      <w:r>
        <w:rPr>
          <w:rFonts w:hint="eastAsia" w:ascii="仿宋" w:hAnsi="仿宋" w:eastAsia="仿宋" w:cs="仿宋"/>
          <w:b/>
          <w:color w:val="auto"/>
          <w:sz w:val="24"/>
          <w:highlight w:val="none"/>
        </w:rPr>
        <w:t>不以分包方式履行合同的，则不需要提供。</w:t>
      </w:r>
      <w:r>
        <w:rPr>
          <w:rFonts w:hint="eastAsia" w:ascii="仿宋" w:hAnsi="仿宋" w:eastAsia="仿宋" w:cs="仿宋"/>
          <w:b/>
          <w:bCs/>
          <w:color w:val="auto"/>
          <w:sz w:val="24"/>
          <w:highlight w:val="none"/>
        </w:rPr>
        <w:t>]</w:t>
      </w:r>
    </w:p>
    <w:p>
      <w:pPr>
        <w:pStyle w:val="61"/>
        <w:spacing w:line="360" w:lineRule="auto"/>
        <w:ind w:firstLine="420"/>
        <w:rPr>
          <w:rFonts w:hint="eastAsia" w:ascii="仿宋" w:hAnsi="仿宋" w:eastAsia="仿宋" w:cs="仿宋"/>
          <w:color w:val="auto"/>
          <w:highlight w:val="none"/>
        </w:rPr>
      </w:pPr>
    </w:p>
    <w:p>
      <w:pPr>
        <w:wordWrap w:val="0"/>
        <w:spacing w:line="360" w:lineRule="auto"/>
        <w:jc w:val="left"/>
        <w:rPr>
          <w:rFonts w:hint="eastAsia" w:ascii="仿宋" w:hAnsi="仿宋" w:eastAsia="仿宋" w:cs="仿宋"/>
          <w:b/>
          <w:bCs/>
          <w:color w:val="auto"/>
          <w:kern w:val="0"/>
          <w:sz w:val="32"/>
          <w:szCs w:val="32"/>
          <w:highlight w:val="none"/>
        </w:rPr>
        <w:sectPr>
          <w:pgSz w:w="11905" w:h="16838"/>
          <w:pgMar w:top="652" w:right="1417" w:bottom="680" w:left="1417" w:header="539" w:footer="482" w:gutter="0"/>
          <w:cols w:space="0" w:num="1"/>
          <w:titlePg/>
          <w:docGrid w:linePitch="312" w:charSpace="0"/>
        </w:sectPr>
      </w:pPr>
      <w:r>
        <w:rPr>
          <w:rFonts w:hint="eastAsia" w:ascii="仿宋" w:hAnsi="仿宋" w:eastAsia="仿宋" w:cs="仿宋"/>
          <w:color w:val="auto"/>
          <w:sz w:val="24"/>
          <w:highlight w:val="none"/>
        </w:rPr>
        <w:t xml:space="preserve">   </w:t>
      </w:r>
      <w:r>
        <w:rPr>
          <w:rFonts w:hint="eastAsia" w:ascii="仿宋" w:hAnsi="仿宋" w:eastAsia="仿宋" w:cs="仿宋"/>
          <w:b/>
          <w:bCs/>
          <w:color w:val="auto"/>
          <w:sz w:val="24"/>
          <w:highlight w:val="none"/>
        </w:rPr>
        <w:t xml:space="preserve"> </w:t>
      </w:r>
      <w:bookmarkStart w:id="543" w:name="_Toc22737"/>
      <w:bookmarkStart w:id="544" w:name="_Toc2615"/>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sym w:font="Wingdings" w:char="00FE"/>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本项目专门面向中小企业采购，若分包的分包单位必须为</w:t>
      </w:r>
      <w:r>
        <w:rPr>
          <w:rFonts w:hint="eastAsia" w:ascii="仿宋" w:hAnsi="仿宋" w:eastAsia="仿宋" w:cs="仿宋"/>
          <w:b/>
          <w:bCs/>
          <w:color w:val="auto"/>
          <w:sz w:val="24"/>
          <w:highlight w:val="none"/>
          <w:u w:val="single"/>
          <w:lang w:val="en-US" w:eastAsia="zh-CN"/>
        </w:rPr>
        <w:t xml:space="preserve">  / </w:t>
      </w:r>
      <w:r>
        <w:rPr>
          <w:rFonts w:hint="eastAsia" w:ascii="仿宋" w:hAnsi="仿宋" w:eastAsia="仿宋" w:cs="仿宋"/>
          <w:b/>
          <w:bCs/>
          <w:color w:val="auto"/>
          <w:sz w:val="24"/>
          <w:highlight w:val="none"/>
        </w:rPr>
        <w:t>企业。]</w:t>
      </w:r>
      <w:bookmarkEnd w:id="543"/>
      <w:bookmarkEnd w:id="544"/>
    </w:p>
    <w:p>
      <w:pPr>
        <w:wordWrap w:val="0"/>
        <w:rPr>
          <w:rFonts w:hint="eastAsia" w:ascii="仿宋" w:hAnsi="仿宋" w:eastAsia="仿宋" w:cs="仿宋"/>
          <w:b/>
          <w:color w:val="auto"/>
          <w:kern w:val="0"/>
          <w:sz w:val="32"/>
          <w:szCs w:val="32"/>
          <w:highlight w:val="none"/>
        </w:rPr>
      </w:pPr>
    </w:p>
    <w:p>
      <w:pPr>
        <w:wordWrap w:val="0"/>
        <w:jc w:val="center"/>
        <w:outlineLvl w:val="2"/>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pPr>
        <w:wordWrap w:val="0"/>
        <w:jc w:val="center"/>
        <w:rPr>
          <w:rFonts w:hint="eastAsia"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870"/>
        <w:gridCol w:w="3329"/>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wordWrap w:val="0"/>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870" w:type="dxa"/>
            <w:vAlign w:val="center"/>
          </w:tcPr>
          <w:p>
            <w:pPr>
              <w:wordWrap w:val="0"/>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3329" w:type="dxa"/>
            <w:vAlign w:val="center"/>
          </w:tcPr>
          <w:p>
            <w:pPr>
              <w:wordWrap w:val="0"/>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761" w:type="dxa"/>
            <w:vAlign w:val="center"/>
          </w:tcPr>
          <w:p>
            <w:pPr>
              <w:wordWrap w:val="0"/>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pPr>
              <w:wordWrap w:val="0"/>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870" w:type="dxa"/>
          </w:tcPr>
          <w:p>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3329" w:type="dxa"/>
            <w:vAlign w:val="center"/>
          </w:tcPr>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761" w:type="dxa"/>
          </w:tcPr>
          <w:p>
            <w:pPr>
              <w:wordWrap w:val="0"/>
              <w:jc w:val="center"/>
              <w:rPr>
                <w:rFonts w:hint="eastAsia" w:ascii="仿宋" w:hAnsi="仿宋" w:eastAsia="仿宋" w:cs="仿宋"/>
                <w:color w:val="auto"/>
                <w:sz w:val="24"/>
                <w:highlight w:val="none"/>
              </w:rPr>
            </w:pPr>
          </w:p>
          <w:p>
            <w:pPr>
              <w:wordWrap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wordWrap w:val="0"/>
              <w:jc w:val="cente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870" w:type="dxa"/>
          </w:tcPr>
          <w:p>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3329" w:type="dxa"/>
            <w:vAlign w:val="center"/>
          </w:tcPr>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节能产品认证证书</w:t>
            </w:r>
            <w:r>
              <w:rPr>
                <w:rFonts w:hint="eastAsia" w:ascii="仿宋" w:hAnsi="仿宋" w:eastAsia="仿宋" w:cs="仿宋"/>
                <w:color w:val="auto"/>
                <w:sz w:val="24"/>
                <w:highlight w:val="none"/>
                <w:u w:val="single"/>
              </w:rPr>
              <w:t>（本项目</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u w:val="single"/>
              </w:rPr>
              <w:t>）</w:t>
            </w:r>
          </w:p>
        </w:tc>
        <w:tc>
          <w:tcPr>
            <w:tcW w:w="1761" w:type="dxa"/>
          </w:tcPr>
          <w:p>
            <w:pPr>
              <w:wordWrap w:val="0"/>
              <w:jc w:val="center"/>
              <w:rPr>
                <w:rFonts w:hint="eastAsia" w:ascii="仿宋" w:hAnsi="仿宋" w:eastAsia="仿宋" w:cs="仿宋"/>
                <w:color w:val="auto"/>
                <w:sz w:val="24"/>
                <w:highlight w:val="none"/>
              </w:rPr>
            </w:pPr>
          </w:p>
          <w:p>
            <w:pPr>
              <w:wordWrap w:val="0"/>
              <w:jc w:val="center"/>
              <w:rPr>
                <w:rFonts w:hint="eastAsia" w:ascii="仿宋" w:hAnsi="仿宋" w:eastAsia="仿宋" w:cs="仿宋"/>
                <w:color w:val="auto"/>
                <w:sz w:val="24"/>
                <w:highlight w:val="none"/>
              </w:rPr>
            </w:pPr>
          </w:p>
          <w:p>
            <w:pPr>
              <w:wordWrap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pStyle w:val="5"/>
              <w:keepNext w:val="0"/>
              <w:keepLines w:val="0"/>
              <w:wordWrap w:val="0"/>
              <w:jc w:val="center"/>
              <w:rPr>
                <w:rFonts w:hint="eastAsia" w:ascii="仿宋" w:hAnsi="仿宋" w:eastAsia="仿宋" w:cs="仿宋"/>
                <w:color w:val="auto"/>
                <w:highlight w:val="none"/>
                <w:lang w:val="en-US"/>
              </w:rPr>
            </w:pPr>
            <w:r>
              <w:rPr>
                <w:rFonts w:hint="eastAsia" w:ascii="仿宋" w:hAnsi="仿宋" w:eastAsia="仿宋" w:cs="仿宋"/>
                <w:b w:val="0"/>
                <w:bCs w:val="0"/>
                <w:color w:val="auto"/>
                <w:sz w:val="24"/>
                <w:szCs w:val="24"/>
                <w:highlight w:val="none"/>
                <w:lang w:val="en-US"/>
              </w:rPr>
              <w:t>第</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870" w:type="dxa"/>
          </w:tcPr>
          <w:p>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3329" w:type="dxa"/>
            <w:vAlign w:val="center"/>
          </w:tcPr>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761" w:type="dxa"/>
          </w:tcPr>
          <w:p>
            <w:pPr>
              <w:wordWrap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wordWrap w:val="0"/>
              <w:jc w:val="cente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870" w:type="dxa"/>
          </w:tcPr>
          <w:p>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3329" w:type="dxa"/>
            <w:vAlign w:val="center"/>
          </w:tcPr>
          <w:p>
            <w:pPr>
              <w:wordWrap w:val="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系指实质性要求条款，在商务技术偏离表中逐条填写响应情况）</w:t>
            </w:r>
          </w:p>
        </w:tc>
        <w:tc>
          <w:tcPr>
            <w:tcW w:w="1761" w:type="dxa"/>
          </w:tcPr>
          <w:p>
            <w:pPr>
              <w:wordWrap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wordWrap w:val="0"/>
              <w:jc w:val="cente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pPr>
        <w:wordWrap w:val="0"/>
        <w:jc w:val="center"/>
        <w:rPr>
          <w:rFonts w:hint="eastAsia"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r>
        <w:rPr>
          <w:rFonts w:hint="eastAsia" w:ascii="仿宋" w:hAnsi="仿宋" w:eastAsia="仿宋" w:cs="仿宋"/>
          <w:b/>
          <w:color w:val="auto"/>
          <w:kern w:val="0"/>
          <w:sz w:val="32"/>
          <w:szCs w:val="32"/>
          <w:highlight w:val="none"/>
        </w:rPr>
        <w:t xml:space="preserve"> </w:t>
      </w:r>
    </w:p>
    <w:p>
      <w:pPr>
        <w:wordWrap w:val="0"/>
        <w:jc w:val="center"/>
        <w:outlineLvl w:val="2"/>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pPr>
        <w:wordWrap w:val="0"/>
        <w:snapToGrid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详细评审索引</w:t>
      </w:r>
    </w:p>
    <w:p>
      <w:pPr>
        <w:numPr>
          <w:ilvl w:val="255"/>
          <w:numId w:val="0"/>
        </w:numPr>
        <w:wordWrap w:val="0"/>
        <w:snapToGrid w:val="0"/>
        <w:spacing w:line="360" w:lineRule="auto"/>
        <w:ind w:firstLine="241" w:firstLineChars="1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（一）资信部分</w:t>
      </w:r>
    </w:p>
    <w:p>
      <w:pPr>
        <w:numPr>
          <w:ilvl w:val="255"/>
          <w:numId w:val="0"/>
        </w:numPr>
        <w:wordWrap w:val="0"/>
        <w:snapToGrid w:val="0"/>
        <w:spacing w:line="360" w:lineRule="auto"/>
        <w:ind w:firstLine="481"/>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1.单位介绍</w:t>
      </w:r>
      <w:r>
        <w:rPr>
          <w:rFonts w:hint="eastAsia" w:ascii="仿宋" w:hAnsi="仿宋" w:eastAsia="仿宋" w:cs="仿宋"/>
          <w:b/>
          <w:color w:val="auto"/>
          <w:sz w:val="24"/>
          <w:highlight w:val="none"/>
          <w:lang w:eastAsia="zh-CN"/>
        </w:rPr>
        <w:t>；</w:t>
      </w:r>
    </w:p>
    <w:p>
      <w:pPr>
        <w:numPr>
          <w:ilvl w:val="255"/>
          <w:numId w:val="0"/>
        </w:numPr>
        <w:wordWrap w:val="0"/>
        <w:snapToGrid w:val="0"/>
        <w:spacing w:line="360" w:lineRule="auto"/>
        <w:ind w:firstLine="481"/>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2.类似项目业绩证明材料；</w:t>
      </w:r>
    </w:p>
    <w:p>
      <w:pPr>
        <w:numPr>
          <w:ilvl w:val="255"/>
          <w:numId w:val="0"/>
        </w:numPr>
        <w:wordWrap w:val="0"/>
        <w:snapToGrid w:val="0"/>
        <w:spacing w:line="360" w:lineRule="auto"/>
        <w:ind w:firstLine="481"/>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3.资格、资质、获得的荣誉等证明文件（如有）；</w:t>
      </w:r>
    </w:p>
    <w:p>
      <w:pPr>
        <w:numPr>
          <w:ilvl w:val="255"/>
          <w:numId w:val="0"/>
        </w:numPr>
        <w:wordWrap w:val="0"/>
        <w:snapToGrid w:val="0"/>
        <w:spacing w:line="360" w:lineRule="auto"/>
        <w:ind w:firstLine="481"/>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.商务偏离表；</w:t>
      </w:r>
    </w:p>
    <w:p>
      <w:pPr>
        <w:numPr>
          <w:ilvl w:val="255"/>
          <w:numId w:val="0"/>
        </w:numPr>
        <w:wordWrap w:val="0"/>
        <w:snapToGrid w:val="0"/>
        <w:spacing w:line="360" w:lineRule="auto"/>
        <w:ind w:firstLine="481"/>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首台套产品的相关证明材料（如有）；</w:t>
      </w:r>
    </w:p>
    <w:p>
      <w:pPr>
        <w:numPr>
          <w:ilvl w:val="255"/>
          <w:numId w:val="0"/>
        </w:numPr>
        <w:wordWrap w:val="0"/>
        <w:snapToGrid w:val="0"/>
        <w:spacing w:line="360" w:lineRule="auto"/>
        <w:ind w:firstLine="481"/>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投标人认为需要提供的其他资料。</w:t>
      </w:r>
    </w:p>
    <w:p>
      <w:pPr>
        <w:numPr>
          <w:ilvl w:val="255"/>
          <w:numId w:val="0"/>
        </w:numPr>
        <w:wordWrap w:val="0"/>
        <w:snapToGrid w:val="0"/>
        <w:spacing w:line="360" w:lineRule="auto"/>
        <w:ind w:firstLine="241" w:firstLineChars="1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（二）技术部分</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设备配备情况一览表</w:t>
      </w:r>
      <w:r>
        <w:rPr>
          <w:rFonts w:hint="eastAsia" w:ascii="仿宋" w:hAnsi="仿宋" w:eastAsia="仿宋" w:cs="仿宋"/>
          <w:b/>
          <w:color w:val="auto"/>
          <w:sz w:val="24"/>
          <w:highlight w:val="none"/>
          <w:lang w:eastAsia="zh-CN"/>
        </w:rPr>
        <w:t>及设备介绍</w:t>
      </w:r>
      <w:r>
        <w:rPr>
          <w:rFonts w:hint="eastAsia" w:ascii="仿宋" w:hAnsi="仿宋" w:eastAsia="仿宋" w:cs="仿宋"/>
          <w:b/>
          <w:color w:val="auto"/>
          <w:sz w:val="24"/>
          <w:highlight w:val="none"/>
        </w:rPr>
        <w:t>；</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技术偏离表</w:t>
      </w:r>
      <w:r>
        <w:rPr>
          <w:rFonts w:hint="eastAsia" w:ascii="仿宋" w:hAnsi="仿宋" w:eastAsia="仿宋" w:cs="仿宋"/>
          <w:b/>
          <w:color w:val="auto"/>
          <w:sz w:val="24"/>
          <w:highlight w:val="none"/>
          <w:lang w:eastAsia="zh-CN"/>
        </w:rPr>
        <w:t>；</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节能产品、环境标志产品的相关证明材料（如有）；</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kern w:val="2"/>
          <w:sz w:val="24"/>
          <w:szCs w:val="24"/>
          <w:highlight w:val="none"/>
          <w:lang w:eastAsia="zh-CN"/>
        </w:rPr>
        <w:t>项目实施组织方案；</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调试、培训、验收等服务方案；</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投标人为完成本项目组建的</w:t>
      </w:r>
      <w:r>
        <w:rPr>
          <w:rFonts w:hint="eastAsia" w:ascii="仿宋" w:hAnsi="仿宋" w:eastAsia="仿宋" w:cs="仿宋"/>
          <w:b/>
          <w:color w:val="auto"/>
          <w:sz w:val="24"/>
          <w:highlight w:val="none"/>
          <w:lang w:eastAsia="zh-CN"/>
        </w:rPr>
        <w:t>项目组人员</w:t>
      </w:r>
      <w:r>
        <w:rPr>
          <w:rFonts w:hint="eastAsia" w:ascii="仿宋" w:hAnsi="仿宋" w:eastAsia="仿宋" w:cs="仿宋"/>
          <w:b/>
          <w:color w:val="auto"/>
          <w:sz w:val="24"/>
          <w:highlight w:val="none"/>
        </w:rPr>
        <w:t>名单，每个专业人员的情况应该明确表示，在提交的标书中安排的人员，需提供项目组成员的实施能力证明材料及相关证书；</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售后服务方案</w:t>
      </w:r>
      <w:r>
        <w:rPr>
          <w:rFonts w:hint="eastAsia" w:ascii="仿宋" w:hAnsi="仿宋" w:eastAsia="仿宋" w:cs="仿宋"/>
          <w:b/>
          <w:color w:val="auto"/>
          <w:sz w:val="24"/>
          <w:highlight w:val="none"/>
          <w:lang w:eastAsia="zh-CN"/>
        </w:rPr>
        <w:t>、售后服务承诺、备品备件情况</w:t>
      </w:r>
      <w:r>
        <w:rPr>
          <w:rFonts w:hint="eastAsia" w:ascii="仿宋" w:hAnsi="仿宋" w:eastAsia="仿宋" w:cs="仿宋"/>
          <w:b/>
          <w:color w:val="auto"/>
          <w:sz w:val="24"/>
          <w:highlight w:val="none"/>
        </w:rPr>
        <w:t>；</w:t>
      </w:r>
    </w:p>
    <w:p>
      <w:pPr>
        <w:numPr>
          <w:ilvl w:val="0"/>
          <w:numId w:val="11"/>
        </w:numPr>
        <w:wordWrap w:val="0"/>
        <w:snapToGrid w:val="0"/>
        <w:spacing w:line="360" w:lineRule="auto"/>
        <w:ind w:left="0"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sz w:val="24"/>
          <w:highlight w:val="none"/>
        </w:rPr>
        <w:t>投标人认为需要提供的其他资料。</w:t>
      </w:r>
    </w:p>
    <w:p>
      <w:pPr>
        <w:numPr>
          <w:ilvl w:val="255"/>
          <w:numId w:val="0"/>
        </w:numPr>
        <w:wordWrap w:val="0"/>
        <w:snapToGrid w:val="0"/>
        <w:spacing w:line="360" w:lineRule="auto"/>
        <w:ind w:firstLine="481"/>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jc w:val="center"/>
        <w:rPr>
          <w:rFonts w:hint="eastAsia" w:ascii="仿宋" w:hAnsi="仿宋" w:eastAsia="仿宋" w:cs="仿宋"/>
          <w:b/>
          <w:color w:val="auto"/>
          <w:kern w:val="0"/>
          <w:sz w:val="32"/>
          <w:szCs w:val="32"/>
          <w:highlight w:val="none"/>
        </w:rPr>
      </w:pPr>
    </w:p>
    <w:p>
      <w:pPr>
        <w:wordWrap w:val="0"/>
        <w:rPr>
          <w:rFonts w:hint="eastAsia"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p>
    <w:p>
      <w:pPr>
        <w:wordWrap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w:t>
      </w:r>
    </w:p>
    <w:p>
      <w:pPr>
        <w:wordWrap w:val="0"/>
        <w:adjustRightInd/>
        <w:spacing w:line="360" w:lineRule="auto"/>
        <w:jc w:val="center"/>
        <w:outlineLvl w:val="4"/>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详细评审索引</w:t>
      </w:r>
    </w:p>
    <w:tbl>
      <w:tblPr>
        <w:tblStyle w:val="62"/>
        <w:tblW w:w="7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356" w:type="dxa"/>
            <w:vAlign w:val="center"/>
          </w:tcPr>
          <w:p>
            <w:pPr>
              <w:wordWrap w:val="0"/>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评分/评审细则</w:t>
            </w:r>
          </w:p>
        </w:tc>
        <w:tc>
          <w:tcPr>
            <w:tcW w:w="1276" w:type="dxa"/>
            <w:vAlign w:val="center"/>
          </w:tcPr>
          <w:p>
            <w:pPr>
              <w:wordWrap w:val="0"/>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hint="eastAsia" w:ascii="仿宋" w:hAnsi="仿宋" w:eastAsia="仿宋" w:cs="仿宋"/>
                <w:color w:val="auto"/>
                <w:sz w:val="24"/>
                <w:highlight w:val="none"/>
              </w:rPr>
            </w:pPr>
          </w:p>
        </w:tc>
        <w:tc>
          <w:tcPr>
            <w:tcW w:w="5356" w:type="dxa"/>
            <w:vAlign w:val="center"/>
          </w:tcPr>
          <w:p>
            <w:pPr>
              <w:wordWrap w:val="0"/>
              <w:snapToGrid w:val="0"/>
              <w:rPr>
                <w:rFonts w:hint="eastAsia" w:ascii="仿宋" w:hAnsi="仿宋" w:eastAsia="仿宋" w:cs="仿宋"/>
                <w:color w:val="auto"/>
                <w:sz w:val="24"/>
                <w:highlight w:val="none"/>
              </w:rPr>
            </w:pPr>
          </w:p>
        </w:tc>
        <w:tc>
          <w:tcPr>
            <w:tcW w:w="1276" w:type="dxa"/>
            <w:vAlign w:val="center"/>
          </w:tcPr>
          <w:p>
            <w:pPr>
              <w:wordWrap w:val="0"/>
              <w:snapToGrid w:val="0"/>
              <w:jc w:val="center"/>
              <w:rPr>
                <w:rFonts w:hint="eastAsia"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vAlign w:val="center"/>
          </w:tcPr>
          <w:p>
            <w:pPr>
              <w:wordWrap w:val="0"/>
              <w:snapToGrid w:val="0"/>
              <w:jc w:val="center"/>
              <w:rPr>
                <w:rFonts w:hint="eastAsia" w:ascii="仿宋" w:hAnsi="仿宋" w:eastAsia="仿宋" w:cs="仿宋"/>
                <w:color w:val="auto"/>
                <w:sz w:val="24"/>
                <w:highlight w:val="none"/>
              </w:rPr>
            </w:pPr>
          </w:p>
        </w:tc>
        <w:tc>
          <w:tcPr>
            <w:tcW w:w="5356" w:type="dxa"/>
            <w:vAlign w:val="center"/>
          </w:tcPr>
          <w:p>
            <w:pPr>
              <w:wordWrap w:val="0"/>
              <w:snapToGrid w:val="0"/>
              <w:rPr>
                <w:rFonts w:hint="eastAsia" w:ascii="仿宋" w:hAnsi="仿宋" w:eastAsia="仿宋" w:cs="仿宋"/>
                <w:color w:val="auto"/>
                <w:sz w:val="24"/>
                <w:highlight w:val="none"/>
              </w:rPr>
            </w:pPr>
          </w:p>
        </w:tc>
        <w:tc>
          <w:tcPr>
            <w:tcW w:w="1276" w:type="dxa"/>
            <w:vAlign w:val="center"/>
          </w:tcPr>
          <w:p>
            <w:pPr>
              <w:wordWrap w:val="0"/>
              <w:snapToGrid w:val="0"/>
              <w:jc w:val="center"/>
              <w:rPr>
                <w:rFonts w:hint="eastAsia"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hint="eastAsia" w:ascii="仿宋" w:hAnsi="仿宋" w:eastAsia="仿宋" w:cs="仿宋"/>
                <w:color w:val="auto"/>
                <w:sz w:val="24"/>
                <w:highlight w:val="none"/>
              </w:rPr>
            </w:pPr>
          </w:p>
        </w:tc>
        <w:tc>
          <w:tcPr>
            <w:tcW w:w="5356" w:type="dxa"/>
            <w:vAlign w:val="center"/>
          </w:tcPr>
          <w:p>
            <w:pPr>
              <w:wordWrap w:val="0"/>
              <w:snapToGrid w:val="0"/>
              <w:rPr>
                <w:rFonts w:hint="eastAsia" w:ascii="仿宋" w:hAnsi="仿宋" w:eastAsia="仿宋" w:cs="仿宋"/>
                <w:color w:val="auto"/>
                <w:sz w:val="24"/>
                <w:highlight w:val="none"/>
              </w:rPr>
            </w:pPr>
          </w:p>
        </w:tc>
        <w:tc>
          <w:tcPr>
            <w:tcW w:w="1276" w:type="dxa"/>
            <w:vAlign w:val="center"/>
          </w:tcPr>
          <w:p>
            <w:pPr>
              <w:wordWrap w:val="0"/>
              <w:snapToGrid w:val="0"/>
              <w:jc w:val="center"/>
              <w:rPr>
                <w:rFonts w:hint="eastAsia"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hint="eastAsia" w:ascii="仿宋" w:hAnsi="仿宋" w:eastAsia="仿宋" w:cs="仿宋"/>
                <w:color w:val="auto"/>
                <w:sz w:val="24"/>
                <w:highlight w:val="none"/>
              </w:rPr>
            </w:pPr>
          </w:p>
        </w:tc>
        <w:tc>
          <w:tcPr>
            <w:tcW w:w="5356" w:type="dxa"/>
            <w:vAlign w:val="center"/>
          </w:tcPr>
          <w:p>
            <w:pPr>
              <w:wordWrap w:val="0"/>
              <w:snapToGrid w:val="0"/>
              <w:rPr>
                <w:rFonts w:hint="eastAsia" w:ascii="仿宋" w:hAnsi="仿宋" w:eastAsia="仿宋" w:cs="仿宋"/>
                <w:color w:val="auto"/>
                <w:sz w:val="24"/>
                <w:highlight w:val="none"/>
              </w:rPr>
            </w:pPr>
          </w:p>
        </w:tc>
        <w:tc>
          <w:tcPr>
            <w:tcW w:w="1276" w:type="dxa"/>
            <w:vAlign w:val="center"/>
          </w:tcPr>
          <w:p>
            <w:pPr>
              <w:wordWrap w:val="0"/>
              <w:snapToGrid w:val="0"/>
              <w:jc w:val="center"/>
              <w:rPr>
                <w:rFonts w:hint="eastAsia" w:ascii="仿宋" w:hAnsi="仿宋" w:eastAsia="仿宋" w:cs="仿宋"/>
                <w:b/>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pPr>
              <w:wordWrap w:val="0"/>
              <w:snapToGrid w:val="0"/>
              <w:jc w:val="center"/>
              <w:rPr>
                <w:rFonts w:hint="eastAsia" w:ascii="仿宋" w:hAnsi="仿宋" w:eastAsia="仿宋" w:cs="仿宋"/>
                <w:color w:val="auto"/>
                <w:sz w:val="24"/>
                <w:highlight w:val="none"/>
              </w:rPr>
            </w:pPr>
          </w:p>
        </w:tc>
        <w:tc>
          <w:tcPr>
            <w:tcW w:w="5356" w:type="dxa"/>
            <w:vAlign w:val="center"/>
          </w:tcPr>
          <w:p>
            <w:pPr>
              <w:wordWrap w:val="0"/>
              <w:snapToGrid w:val="0"/>
              <w:ind w:left="-2" w:leftChars="-1" w:firstLine="2"/>
              <w:rPr>
                <w:rFonts w:hint="eastAsia" w:ascii="仿宋" w:hAnsi="仿宋" w:eastAsia="仿宋" w:cs="仿宋"/>
                <w:b/>
                <w:color w:val="auto"/>
                <w:sz w:val="24"/>
                <w:highlight w:val="none"/>
              </w:rPr>
            </w:pPr>
          </w:p>
        </w:tc>
        <w:tc>
          <w:tcPr>
            <w:tcW w:w="1276" w:type="dxa"/>
            <w:vAlign w:val="center"/>
          </w:tcPr>
          <w:p>
            <w:pPr>
              <w:wordWrap w:val="0"/>
              <w:snapToGrid w:val="0"/>
              <w:jc w:val="center"/>
              <w:rPr>
                <w:rFonts w:hint="eastAsia" w:ascii="仿宋" w:hAnsi="仿宋" w:eastAsia="仿宋" w:cs="仿宋"/>
                <w:b/>
                <w:color w:val="auto"/>
                <w:sz w:val="24"/>
                <w:highlight w:val="none"/>
              </w:rPr>
            </w:pPr>
          </w:p>
        </w:tc>
      </w:tr>
    </w:tbl>
    <w:p>
      <w:pPr>
        <w:wordWrap w:val="0"/>
        <w:adjustRightInd/>
        <w:spacing w:line="440" w:lineRule="exact"/>
        <w:rPr>
          <w:rFonts w:hint="eastAsia" w:ascii="仿宋" w:hAnsi="仿宋" w:eastAsia="仿宋" w:cs="仿宋"/>
          <w:color w:val="auto"/>
          <w:highlight w:val="none"/>
        </w:rPr>
      </w:pPr>
      <w:r>
        <w:rPr>
          <w:rFonts w:hint="eastAsia" w:ascii="仿宋" w:hAnsi="仿宋" w:eastAsia="仿宋" w:cs="仿宋"/>
          <w:color w:val="auto"/>
          <w:szCs w:val="21"/>
          <w:highlight w:val="none"/>
        </w:rPr>
        <w:t>注：供应商根据评审办法的“评审因素”条款一一对应填写本表。</w:t>
      </w:r>
    </w:p>
    <w:p>
      <w:pPr>
        <w:wordWrap w:val="0"/>
        <w:rPr>
          <w:rFonts w:hint="eastAsia"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p>
    <w:p>
      <w:pPr>
        <w:wordWrap w:val="0"/>
        <w:outlineLvl w:val="4"/>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w:t>
      </w:r>
      <w:r>
        <w:rPr>
          <w:rFonts w:hint="eastAsia" w:ascii="仿宋" w:hAnsi="仿宋" w:eastAsia="仿宋" w:cs="仿宋"/>
          <w:b/>
          <w:color w:val="auto"/>
          <w:kern w:val="0"/>
          <w:sz w:val="32"/>
          <w:szCs w:val="32"/>
          <w:highlight w:val="none"/>
        </w:rPr>
        <w:t>一</w:t>
      </w:r>
      <w:r>
        <w:rPr>
          <w:rFonts w:hint="eastAsia" w:ascii="仿宋" w:hAnsi="仿宋" w:eastAsia="仿宋" w:cs="仿宋"/>
          <w:b/>
          <w:color w:val="auto"/>
          <w:kern w:val="0"/>
          <w:sz w:val="32"/>
          <w:szCs w:val="32"/>
          <w:highlight w:val="none"/>
          <w:lang w:val="zh-CN"/>
        </w:rPr>
        <w:t>）投标单位情况表</w:t>
      </w:r>
    </w:p>
    <w:p>
      <w:pPr>
        <w:wordWrap w:val="0"/>
        <w:rPr>
          <w:rFonts w:hint="eastAsia" w:ascii="仿宋" w:hAnsi="仿宋" w:eastAsia="仿宋" w:cs="仿宋"/>
          <w:b/>
          <w:bCs/>
          <w:color w:val="auto"/>
          <w:sz w:val="36"/>
          <w:szCs w:val="36"/>
          <w:highlight w:val="none"/>
        </w:rPr>
      </w:pPr>
    </w:p>
    <w:p>
      <w:pPr>
        <w:wordWrap w:val="0"/>
        <w:ind w:firstLine="3900" w:firstLineChars="13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投标单位情况表</w:t>
      </w:r>
    </w:p>
    <w:tbl>
      <w:tblPr>
        <w:tblStyle w:val="62"/>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3052"/>
        <w:gridCol w:w="877"/>
        <w:gridCol w:w="650"/>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单位名称</w:t>
            </w:r>
          </w:p>
        </w:tc>
        <w:tc>
          <w:tcPr>
            <w:tcW w:w="3052" w:type="dxa"/>
            <w:vAlign w:val="center"/>
          </w:tcPr>
          <w:p>
            <w:pPr>
              <w:wordWrap w:val="0"/>
              <w:spacing w:line="360" w:lineRule="auto"/>
              <w:rPr>
                <w:rFonts w:hint="eastAsia" w:ascii="仿宋" w:hAnsi="仿宋" w:eastAsia="仿宋" w:cs="仿宋"/>
                <w:color w:val="auto"/>
                <w:szCs w:val="21"/>
                <w:highlight w:val="none"/>
              </w:rPr>
            </w:pPr>
          </w:p>
        </w:tc>
        <w:tc>
          <w:tcPr>
            <w:tcW w:w="1527" w:type="dxa"/>
            <w:gridSpan w:val="2"/>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注册资金</w:t>
            </w:r>
          </w:p>
        </w:tc>
        <w:tc>
          <w:tcPr>
            <w:tcW w:w="2104" w:type="dxa"/>
            <w:vAlign w:val="center"/>
          </w:tcPr>
          <w:p>
            <w:pPr>
              <w:wordWrap w:val="0"/>
              <w:spacing w:line="360"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单位详细地址</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营业执照注册号</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单位成立时间</w:t>
            </w:r>
          </w:p>
        </w:tc>
        <w:tc>
          <w:tcPr>
            <w:tcW w:w="3929" w:type="dxa"/>
            <w:gridSpan w:val="2"/>
            <w:vAlign w:val="center"/>
          </w:tcPr>
          <w:p>
            <w:pPr>
              <w:wordWrap w:val="0"/>
              <w:spacing w:line="360" w:lineRule="auto"/>
              <w:rPr>
                <w:rFonts w:hint="eastAsia" w:ascii="仿宋" w:hAnsi="仿宋" w:eastAsia="仿宋" w:cs="仿宋"/>
                <w:color w:val="auto"/>
                <w:szCs w:val="21"/>
                <w:highlight w:val="none"/>
              </w:rPr>
            </w:pPr>
          </w:p>
        </w:tc>
        <w:tc>
          <w:tcPr>
            <w:tcW w:w="2754" w:type="dxa"/>
            <w:gridSpan w:val="2"/>
            <w:vAlign w:val="center"/>
          </w:tcPr>
          <w:p>
            <w:pPr>
              <w:wordWrap w:val="0"/>
              <w:spacing w:line="360" w:lineRule="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固定资产净值：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法定代表人</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姓名：          职务：           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主要负责人</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姓名：          职务：           职称：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职工人数</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具有中高级以上职称的人数</w:t>
            </w:r>
          </w:p>
        </w:tc>
        <w:tc>
          <w:tcPr>
            <w:tcW w:w="6683" w:type="dxa"/>
            <w:gridSpan w:val="4"/>
            <w:vAlign w:val="center"/>
          </w:tcPr>
          <w:p>
            <w:pPr>
              <w:wordWrap w:val="0"/>
              <w:spacing w:line="360" w:lineRule="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中级职称的人数:</w:t>
            </w:r>
          </w:p>
          <w:p>
            <w:pPr>
              <w:wordWrap w:val="0"/>
              <w:spacing w:line="360" w:lineRule="auto"/>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高级及以上职称的人数：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lang w:val="en-US" w:eastAsia="zh-CN"/>
              </w:rPr>
              <w:t>2022</w:t>
            </w:r>
            <w:r>
              <w:rPr>
                <w:rFonts w:hint="eastAsia" w:ascii="仿宋" w:hAnsi="仿宋" w:eastAsia="仿宋" w:cs="仿宋"/>
                <w:b/>
                <w:color w:val="auto"/>
                <w:szCs w:val="21"/>
                <w:highlight w:val="none"/>
              </w:rPr>
              <w:t>年度</w:t>
            </w:r>
            <w:r>
              <w:rPr>
                <w:rFonts w:hint="eastAsia" w:ascii="仿宋" w:hAnsi="仿宋" w:eastAsia="仿宋" w:cs="仿宋"/>
                <w:b/>
                <w:color w:val="auto"/>
                <w:szCs w:val="21"/>
                <w:highlight w:val="none"/>
                <w:lang w:val="en-US" w:eastAsia="zh-CN"/>
              </w:rPr>
              <w:t>、</w:t>
            </w:r>
            <w:r>
              <w:rPr>
                <w:rFonts w:hint="eastAsia" w:ascii="仿宋" w:hAnsi="仿宋" w:eastAsia="仿宋" w:cs="仿宋"/>
                <w:b/>
                <w:color w:val="auto"/>
                <w:szCs w:val="21"/>
                <w:highlight w:val="none"/>
              </w:rPr>
              <w:t>202</w:t>
            </w:r>
            <w:r>
              <w:rPr>
                <w:rFonts w:hint="eastAsia" w:ascii="仿宋" w:hAnsi="仿宋" w:eastAsia="仿宋" w:cs="仿宋"/>
                <w:b/>
                <w:color w:val="auto"/>
                <w:szCs w:val="21"/>
                <w:highlight w:val="none"/>
                <w:lang w:val="en-US" w:eastAsia="zh-CN"/>
              </w:rPr>
              <w:t>3</w:t>
            </w:r>
            <w:r>
              <w:rPr>
                <w:rFonts w:hint="eastAsia" w:ascii="仿宋" w:hAnsi="仿宋" w:eastAsia="仿宋" w:cs="仿宋"/>
                <w:b/>
                <w:color w:val="auto"/>
                <w:szCs w:val="21"/>
                <w:highlight w:val="none"/>
              </w:rPr>
              <w:t>年度</w:t>
            </w:r>
            <w:r>
              <w:rPr>
                <w:rFonts w:hint="eastAsia" w:ascii="仿宋" w:hAnsi="仿宋" w:eastAsia="仿宋" w:cs="仿宋"/>
                <w:b/>
                <w:color w:val="auto"/>
                <w:szCs w:val="21"/>
                <w:highlight w:val="none"/>
                <w:lang w:eastAsia="zh-CN"/>
              </w:rPr>
              <w:t>（</w:t>
            </w:r>
            <w:r>
              <w:rPr>
                <w:rFonts w:hint="eastAsia" w:ascii="仿宋" w:hAnsi="仿宋" w:eastAsia="仿宋" w:cs="仿宋"/>
                <w:b/>
                <w:color w:val="auto"/>
                <w:szCs w:val="21"/>
                <w:highlight w:val="none"/>
                <w:lang w:val="en-US" w:eastAsia="zh-CN"/>
              </w:rPr>
              <w:t>若有</w:t>
            </w:r>
            <w:r>
              <w:rPr>
                <w:rFonts w:hint="eastAsia" w:ascii="仿宋" w:hAnsi="仿宋" w:eastAsia="仿宋" w:cs="仿宋"/>
                <w:b/>
                <w:color w:val="auto"/>
                <w:szCs w:val="21"/>
                <w:highlight w:val="none"/>
                <w:lang w:eastAsia="zh-CN"/>
              </w:rPr>
              <w:t>）</w:t>
            </w:r>
            <w:r>
              <w:rPr>
                <w:rFonts w:hint="eastAsia" w:ascii="仿宋" w:hAnsi="仿宋" w:eastAsia="仿宋" w:cs="仿宋"/>
                <w:b/>
                <w:color w:val="auto"/>
                <w:szCs w:val="21"/>
                <w:highlight w:val="none"/>
              </w:rPr>
              <w:t>主营业务收入</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联系方式</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            邮编：           电话：</w:t>
            </w:r>
          </w:p>
          <w:p>
            <w:pPr>
              <w:wordWrap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传真：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 w:hRule="atLeas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开户银行</w:t>
            </w:r>
          </w:p>
        </w:tc>
        <w:tc>
          <w:tcPr>
            <w:tcW w:w="6683" w:type="dxa"/>
            <w:gridSpan w:val="4"/>
            <w:vAlign w:val="center"/>
          </w:tcPr>
          <w:p>
            <w:pPr>
              <w:wordWrap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名称：</w:t>
            </w:r>
          </w:p>
          <w:p>
            <w:pPr>
              <w:wordWrap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8" w:hRule="atLeast"/>
          <w:jc w:val="center"/>
        </w:trPr>
        <w:tc>
          <w:tcPr>
            <w:tcW w:w="2371" w:type="dxa"/>
            <w:vAlign w:val="center"/>
          </w:tcPr>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单  位</w:t>
            </w:r>
          </w:p>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组  织</w:t>
            </w:r>
          </w:p>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机  构</w:t>
            </w:r>
          </w:p>
          <w:p>
            <w:pPr>
              <w:wordWrap w:val="0"/>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框  图</w:t>
            </w:r>
          </w:p>
        </w:tc>
        <w:tc>
          <w:tcPr>
            <w:tcW w:w="6683" w:type="dxa"/>
            <w:gridSpan w:val="4"/>
            <w:vAlign w:val="center"/>
          </w:tcPr>
          <w:p>
            <w:pPr>
              <w:wordWrap w:val="0"/>
              <w:spacing w:line="360" w:lineRule="auto"/>
              <w:jc w:val="center"/>
              <w:rPr>
                <w:rFonts w:hint="eastAsia" w:ascii="仿宋" w:hAnsi="仿宋" w:eastAsia="仿宋" w:cs="仿宋"/>
                <w:color w:val="auto"/>
                <w:szCs w:val="21"/>
                <w:highlight w:val="none"/>
              </w:rPr>
            </w:pPr>
          </w:p>
        </w:tc>
      </w:tr>
    </w:tbl>
    <w:p>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注：1、本表所述“职工”应为投标单位的正式员工。</w:t>
      </w:r>
    </w:p>
    <w:p>
      <w:pPr>
        <w:wordWrap w:val="0"/>
        <w:spacing w:line="360" w:lineRule="auto"/>
        <w:rPr>
          <w:rFonts w:hint="eastAsia" w:ascii="仿宋" w:hAnsi="仿宋" w:eastAsia="仿宋" w:cs="仿宋"/>
          <w:color w:val="auto"/>
          <w:sz w:val="24"/>
          <w:highlight w:val="none"/>
        </w:rPr>
      </w:pPr>
    </w:p>
    <w:p>
      <w:pPr>
        <w:wordWrap w:val="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投标人名称（电子签名）：</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 xml:space="preserve">             </w:t>
      </w:r>
    </w:p>
    <w:p>
      <w:pPr>
        <w:wordWrap w:val="0"/>
        <w:rPr>
          <w:rFonts w:hint="eastAsia" w:ascii="仿宋" w:hAnsi="仿宋" w:eastAsia="仿宋" w:cs="仿宋"/>
          <w:color w:val="auto"/>
          <w:sz w:val="24"/>
          <w:highlight w:val="none"/>
        </w:rPr>
      </w:pPr>
    </w:p>
    <w:p>
      <w:pPr>
        <w:wordWrap w:val="0"/>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日期：</w:t>
      </w:r>
    </w:p>
    <w:p>
      <w:pPr>
        <w:wordWrap w:val="0"/>
        <w:jc w:val="center"/>
        <w:rPr>
          <w:rFonts w:hint="eastAsia"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p>
    <w:p>
      <w:pPr>
        <w:pStyle w:val="61"/>
        <w:wordWrap w:val="0"/>
        <w:ind w:firstLine="420"/>
        <w:rPr>
          <w:rFonts w:hint="eastAsia" w:ascii="仿宋" w:hAnsi="仿宋" w:eastAsia="仿宋" w:cs="仿宋"/>
          <w:color w:val="auto"/>
          <w:highlight w:val="none"/>
        </w:rPr>
      </w:pPr>
    </w:p>
    <w:p>
      <w:pPr>
        <w:outlineLvl w:val="4"/>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w:t>
      </w:r>
      <w:r>
        <w:rPr>
          <w:rFonts w:hint="eastAsia" w:ascii="仿宋" w:hAnsi="仿宋" w:eastAsia="仿宋" w:cs="仿宋"/>
          <w:b/>
          <w:color w:val="auto"/>
          <w:kern w:val="0"/>
          <w:sz w:val="32"/>
          <w:szCs w:val="32"/>
          <w:highlight w:val="none"/>
        </w:rPr>
        <w:t>二</w:t>
      </w:r>
      <w:r>
        <w:rPr>
          <w:rFonts w:hint="eastAsia" w:ascii="仿宋" w:hAnsi="仿宋" w:eastAsia="仿宋" w:cs="仿宋"/>
          <w:b/>
          <w:color w:val="auto"/>
          <w:kern w:val="0"/>
          <w:sz w:val="32"/>
          <w:szCs w:val="32"/>
          <w:highlight w:val="none"/>
          <w:lang w:val="zh-CN"/>
        </w:rPr>
        <w:t>）类似项目业绩情况表及证明材料</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类似项目</w:t>
      </w:r>
      <w:r>
        <w:rPr>
          <w:rFonts w:hint="eastAsia" w:ascii="仿宋" w:hAnsi="仿宋" w:eastAsia="仿宋" w:cs="仿宋"/>
          <w:b/>
          <w:color w:val="auto"/>
          <w:sz w:val="32"/>
          <w:szCs w:val="32"/>
          <w:highlight w:val="none"/>
          <w:lang w:val="zh-CN"/>
        </w:rPr>
        <w:t>业绩</w:t>
      </w:r>
      <w:r>
        <w:rPr>
          <w:rFonts w:hint="eastAsia" w:ascii="仿宋" w:hAnsi="仿宋" w:eastAsia="仿宋" w:cs="仿宋"/>
          <w:b/>
          <w:color w:val="auto"/>
          <w:sz w:val="32"/>
          <w:szCs w:val="32"/>
          <w:highlight w:val="none"/>
        </w:rPr>
        <w:t>情况表</w:t>
      </w:r>
    </w:p>
    <w:p>
      <w:pPr>
        <w:spacing w:line="360" w:lineRule="auto"/>
        <w:ind w:firstLine="315" w:firstLineChars="150"/>
        <w:rPr>
          <w:rFonts w:hint="eastAsia" w:ascii="仿宋" w:hAnsi="仿宋" w:eastAsia="仿宋" w:cs="仿宋"/>
          <w:color w:val="auto"/>
          <w:szCs w:val="21"/>
          <w:highlight w:val="none"/>
          <w:u w:val="single"/>
        </w:rPr>
      </w:pPr>
    </w:p>
    <w:p>
      <w:pPr>
        <w:pStyle w:val="81"/>
        <w:rPr>
          <w:rFonts w:hint="eastAsia"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项目名称：</w:t>
      </w:r>
      <w:r>
        <w:rPr>
          <w:rFonts w:hint="eastAsia" w:ascii="仿宋" w:hAnsi="仿宋" w:eastAsia="仿宋" w:cs="仿宋"/>
          <w:color w:val="auto"/>
          <w:kern w:val="2"/>
          <w:szCs w:val="24"/>
          <w:highlight w:val="none"/>
          <w:u w:val="single"/>
          <w:lang w:val="en-US"/>
        </w:rPr>
        <w:t xml:space="preserve">                 </w:t>
      </w:r>
      <w:r>
        <w:rPr>
          <w:rFonts w:hint="eastAsia" w:ascii="仿宋" w:hAnsi="仿宋" w:eastAsia="仿宋" w:cs="仿宋"/>
          <w:color w:val="auto"/>
          <w:kern w:val="2"/>
          <w:szCs w:val="24"/>
          <w:highlight w:val="none"/>
          <w:lang w:val="en-US"/>
        </w:rPr>
        <w:t xml:space="preserve">              项目编号：</w:t>
      </w:r>
      <w:r>
        <w:rPr>
          <w:rFonts w:hint="eastAsia" w:ascii="仿宋" w:hAnsi="仿宋" w:eastAsia="仿宋" w:cs="仿宋"/>
          <w:color w:val="auto"/>
          <w:kern w:val="2"/>
          <w:szCs w:val="24"/>
          <w:highlight w:val="none"/>
          <w:u w:val="single"/>
          <w:lang w:val="en-US"/>
        </w:rPr>
        <w:t xml:space="preserve">                   </w:t>
      </w:r>
      <w:r>
        <w:rPr>
          <w:rFonts w:hint="eastAsia" w:ascii="仿宋" w:hAnsi="仿宋" w:eastAsia="仿宋" w:cs="仿宋"/>
          <w:color w:val="auto"/>
          <w:kern w:val="2"/>
          <w:szCs w:val="24"/>
          <w:highlight w:val="none"/>
          <w:lang w:val="en-US"/>
        </w:rPr>
        <w:t xml:space="preserve">      </w:t>
      </w:r>
    </w:p>
    <w:p>
      <w:pPr>
        <w:pStyle w:val="81"/>
        <w:rPr>
          <w:rFonts w:hint="eastAsia"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 xml:space="preserve">     </w:t>
      </w:r>
    </w:p>
    <w:p>
      <w:pPr>
        <w:pStyle w:val="81"/>
        <w:rPr>
          <w:rFonts w:hint="eastAsia" w:ascii="仿宋" w:hAnsi="仿宋" w:eastAsia="仿宋" w:cs="仿宋"/>
          <w:color w:val="auto"/>
          <w:highlight w:val="none"/>
          <w:u w:val="single"/>
          <w:lang w:val="en-US"/>
        </w:rPr>
      </w:pPr>
    </w:p>
    <w:tbl>
      <w:tblPr>
        <w:tblStyle w:val="62"/>
        <w:tblW w:w="9742" w:type="dxa"/>
        <w:tblInd w:w="0" w:type="dxa"/>
        <w:tblLayout w:type="fixed"/>
        <w:tblCellMar>
          <w:top w:w="0" w:type="dxa"/>
          <w:left w:w="108" w:type="dxa"/>
          <w:bottom w:w="0" w:type="dxa"/>
          <w:right w:w="108" w:type="dxa"/>
        </w:tblCellMar>
      </w:tblPr>
      <w:tblGrid>
        <w:gridCol w:w="1846"/>
        <w:gridCol w:w="1739"/>
        <w:gridCol w:w="1681"/>
        <w:gridCol w:w="1380"/>
        <w:gridCol w:w="1260"/>
        <w:gridCol w:w="1836"/>
      </w:tblGrid>
      <w:tr>
        <w:tblPrEx>
          <w:tblCellMar>
            <w:top w:w="0" w:type="dxa"/>
            <w:left w:w="108" w:type="dxa"/>
            <w:bottom w:w="0" w:type="dxa"/>
            <w:right w:w="108" w:type="dxa"/>
          </w:tblCellMar>
        </w:tblPrEx>
        <w:trPr>
          <w:trHeight w:val="1177" w:hRule="atLeast"/>
        </w:trPr>
        <w:tc>
          <w:tcPr>
            <w:tcW w:w="1846" w:type="dxa"/>
            <w:tcBorders>
              <w:top w:val="single" w:color="auto" w:sz="6" w:space="0"/>
              <w:left w:val="single" w:color="auto" w:sz="6" w:space="0"/>
              <w:bottom w:val="single" w:color="auto" w:sz="6" w:space="0"/>
              <w:right w:val="single" w:color="auto" w:sz="6" w:space="0"/>
            </w:tcBorders>
            <w:noWrap/>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739" w:type="dxa"/>
            <w:tcBorders>
              <w:top w:val="single" w:color="auto" w:sz="6" w:space="0"/>
              <w:left w:val="single" w:color="auto" w:sz="6" w:space="0"/>
              <w:bottom w:val="single" w:color="auto" w:sz="6" w:space="0"/>
              <w:right w:val="single" w:color="auto" w:sz="6" w:space="0"/>
            </w:tcBorders>
            <w:noWrap/>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合同内容</w:t>
            </w:r>
          </w:p>
        </w:tc>
        <w:tc>
          <w:tcPr>
            <w:tcW w:w="1681" w:type="dxa"/>
            <w:tcBorders>
              <w:top w:val="single" w:color="auto" w:sz="6" w:space="0"/>
              <w:left w:val="single" w:color="auto" w:sz="6" w:space="0"/>
              <w:bottom w:val="single" w:color="auto" w:sz="6" w:space="0"/>
              <w:right w:val="single" w:color="auto" w:sz="6" w:space="0"/>
            </w:tcBorders>
            <w:noWrap/>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合同金额</w:t>
            </w:r>
          </w:p>
        </w:tc>
        <w:tc>
          <w:tcPr>
            <w:tcW w:w="1380" w:type="dxa"/>
            <w:tcBorders>
              <w:top w:val="single" w:color="auto" w:sz="6" w:space="0"/>
              <w:left w:val="single" w:color="auto" w:sz="6" w:space="0"/>
              <w:bottom w:val="single" w:color="auto" w:sz="6" w:space="0"/>
              <w:right w:val="single" w:color="auto" w:sz="6" w:space="0"/>
            </w:tcBorders>
            <w:noWrap/>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签订日期</w:t>
            </w:r>
          </w:p>
        </w:tc>
        <w:tc>
          <w:tcPr>
            <w:tcW w:w="1260" w:type="dxa"/>
            <w:tcBorders>
              <w:top w:val="single" w:color="auto" w:sz="6" w:space="0"/>
              <w:left w:val="single" w:color="auto" w:sz="6" w:space="0"/>
              <w:bottom w:val="single" w:color="auto" w:sz="6" w:space="0"/>
              <w:right w:val="single" w:color="auto" w:sz="6" w:space="0"/>
            </w:tcBorders>
            <w:noWrap/>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w:t>
            </w:r>
          </w:p>
        </w:tc>
        <w:tc>
          <w:tcPr>
            <w:tcW w:w="1836" w:type="dxa"/>
            <w:tcBorders>
              <w:top w:val="single" w:color="auto" w:sz="6" w:space="0"/>
              <w:left w:val="single" w:color="auto" w:sz="6" w:space="0"/>
              <w:bottom w:val="single" w:color="auto" w:sz="6" w:space="0"/>
              <w:right w:val="single" w:color="auto" w:sz="6" w:space="0"/>
            </w:tcBorders>
            <w:noWrap/>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采购方联系人及电话</w:t>
            </w:r>
          </w:p>
        </w:tc>
      </w:tr>
      <w:tr>
        <w:tblPrEx>
          <w:tblCellMar>
            <w:top w:w="0" w:type="dxa"/>
            <w:left w:w="108" w:type="dxa"/>
            <w:bottom w:w="0" w:type="dxa"/>
            <w:right w:w="108" w:type="dxa"/>
          </w:tblCellMar>
        </w:tblPrEx>
        <w:trPr>
          <w:trHeight w:val="894" w:hRule="atLeast"/>
        </w:trPr>
        <w:tc>
          <w:tcPr>
            <w:tcW w:w="184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739"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681"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38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83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920" w:hRule="atLeast"/>
        </w:trPr>
        <w:tc>
          <w:tcPr>
            <w:tcW w:w="184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739"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681"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38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83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933" w:hRule="atLeast"/>
        </w:trPr>
        <w:tc>
          <w:tcPr>
            <w:tcW w:w="184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739"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681"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38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83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933" w:hRule="atLeast"/>
        </w:trPr>
        <w:tc>
          <w:tcPr>
            <w:tcW w:w="184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739"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681"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38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83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927" w:hRule="atLeast"/>
        </w:trPr>
        <w:tc>
          <w:tcPr>
            <w:tcW w:w="184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739"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681"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38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c>
          <w:tcPr>
            <w:tcW w:w="1836" w:type="dxa"/>
            <w:tcBorders>
              <w:top w:val="single" w:color="auto" w:sz="6" w:space="0"/>
              <w:left w:val="single" w:color="auto" w:sz="6" w:space="0"/>
              <w:bottom w:val="single" w:color="auto" w:sz="6" w:space="0"/>
              <w:right w:val="single" w:color="auto" w:sz="6" w:space="0"/>
            </w:tcBorders>
            <w:noWrap/>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注：投标人可按上述的格式自行编制，须随表提交相应的证明材料（证明材料以资格要求和评标办法要求为准）并注明所在页码。</w:t>
      </w:r>
    </w:p>
    <w:p>
      <w:pPr>
        <w:autoSpaceDE w:val="0"/>
        <w:autoSpaceDN w:val="0"/>
        <w:spacing w:line="360" w:lineRule="auto"/>
        <w:rPr>
          <w:rFonts w:hint="eastAsia" w:ascii="仿宋" w:hAnsi="仿宋" w:eastAsia="仿宋" w:cs="仿宋"/>
          <w:color w:val="auto"/>
          <w:sz w:val="24"/>
          <w:highlight w:val="none"/>
        </w:rPr>
      </w:pPr>
    </w:p>
    <w:p>
      <w:pPr>
        <w:pStyle w:val="33"/>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p>
    <w:p>
      <w:pPr>
        <w:wordWrap w:val="0"/>
        <w:jc w:val="left"/>
        <w:outlineLvl w:val="9"/>
        <w:rPr>
          <w:rFonts w:hint="eastAsia" w:ascii="仿宋" w:hAnsi="仿宋" w:eastAsia="仿宋" w:cs="仿宋"/>
          <w:color w:val="auto"/>
          <w:sz w:val="24"/>
          <w:szCs w:val="24"/>
          <w:highlight w:val="none"/>
        </w:rPr>
        <w:sectPr>
          <w:pgSz w:w="11905" w:h="16838"/>
          <w:pgMar w:top="652" w:right="1417" w:bottom="680" w:left="1417" w:header="539" w:footer="425" w:gutter="0"/>
          <w:cols w:space="0" w:num="1"/>
          <w:titlePg/>
          <w:docGrid w:linePitch="312" w:charSpace="0"/>
        </w:sectPr>
      </w:pPr>
      <w:r>
        <w:rPr>
          <w:rFonts w:hint="eastAsia" w:ascii="仿宋" w:hAnsi="仿宋" w:eastAsia="仿宋" w:cs="仿宋"/>
          <w:color w:val="auto"/>
          <w:sz w:val="24"/>
          <w:szCs w:val="24"/>
          <w:highlight w:val="none"/>
        </w:rPr>
        <w:t>日  期：</w:t>
      </w:r>
    </w:p>
    <w:p>
      <w:pPr>
        <w:wordWrap w:val="0"/>
        <w:jc w:val="left"/>
        <w:outlineLvl w:val="4"/>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（三）设备配备情况一览表</w:t>
      </w:r>
    </w:p>
    <w:p>
      <w:pPr>
        <w:pStyle w:val="81"/>
        <w:wordWrap w:val="0"/>
        <w:jc w:val="center"/>
        <w:rPr>
          <w:rFonts w:hint="eastAsia" w:ascii="仿宋" w:hAnsi="仿宋" w:eastAsia="仿宋" w:cs="仿宋"/>
          <w:b/>
          <w:color w:val="auto"/>
          <w:sz w:val="32"/>
          <w:szCs w:val="32"/>
          <w:highlight w:val="none"/>
        </w:rPr>
      </w:pPr>
    </w:p>
    <w:p>
      <w:pPr>
        <w:pStyle w:val="81"/>
        <w:wordWrap w:val="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供货设备清单</w:t>
      </w:r>
      <w:r>
        <w:rPr>
          <w:rFonts w:hint="eastAsia" w:ascii="仿宋" w:hAnsi="仿宋" w:eastAsia="仿宋" w:cs="仿宋"/>
          <w:b/>
          <w:color w:val="auto"/>
          <w:sz w:val="32"/>
          <w:szCs w:val="32"/>
          <w:highlight w:val="none"/>
        </w:rPr>
        <w:t>情况一览表</w:t>
      </w:r>
    </w:p>
    <w:p>
      <w:pPr>
        <w:pStyle w:val="81"/>
        <w:wordWrap w:val="0"/>
        <w:jc w:val="center"/>
        <w:rPr>
          <w:rFonts w:hint="eastAsia" w:ascii="仿宋" w:hAnsi="仿宋" w:eastAsia="仿宋" w:cs="仿宋"/>
          <w:b/>
          <w:color w:val="auto"/>
          <w:sz w:val="32"/>
          <w:szCs w:val="32"/>
          <w:highlight w:val="none"/>
          <w:lang w:val="en-US"/>
        </w:rPr>
      </w:pPr>
    </w:p>
    <w:p>
      <w:pPr>
        <w:pStyle w:val="81"/>
        <w:wordWrap w:val="0"/>
        <w:spacing w:line="360" w:lineRule="auto"/>
        <w:rPr>
          <w:rFonts w:hint="eastAsia"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项目名称：</w:t>
      </w:r>
      <w:r>
        <w:rPr>
          <w:rFonts w:hint="eastAsia" w:ascii="仿宋" w:hAnsi="仿宋" w:eastAsia="仿宋" w:cs="仿宋"/>
          <w:color w:val="auto"/>
          <w:kern w:val="2"/>
          <w:szCs w:val="24"/>
          <w:highlight w:val="none"/>
          <w:lang w:val="en-US" w:eastAsia="zh-CN"/>
        </w:rPr>
        <w:t>杭州学军中学桐庐学校竣工配套设施设备（体育设施及器材）项目</w:t>
      </w:r>
      <w:r>
        <w:rPr>
          <w:rFonts w:hint="eastAsia" w:ascii="仿宋" w:hAnsi="仿宋" w:eastAsia="仿宋" w:cs="仿宋"/>
          <w:color w:val="auto"/>
          <w:kern w:val="2"/>
          <w:szCs w:val="24"/>
          <w:highlight w:val="none"/>
          <w:lang w:val="en-US"/>
        </w:rPr>
        <w:t xml:space="preserve"> </w:t>
      </w:r>
    </w:p>
    <w:p>
      <w:pPr>
        <w:pStyle w:val="81"/>
        <w:wordWrap w:val="0"/>
        <w:spacing w:line="360" w:lineRule="auto"/>
        <w:rPr>
          <w:rFonts w:hint="eastAsia" w:ascii="仿宋" w:hAnsi="仿宋" w:eastAsia="仿宋" w:cs="仿宋"/>
          <w:color w:val="auto"/>
          <w:kern w:val="2"/>
          <w:szCs w:val="24"/>
          <w:highlight w:val="none"/>
          <w:lang w:val="en-US"/>
        </w:rPr>
      </w:pPr>
      <w:r>
        <w:rPr>
          <w:rFonts w:hint="eastAsia" w:ascii="仿宋" w:hAnsi="仿宋" w:eastAsia="仿宋" w:cs="仿宋"/>
          <w:color w:val="auto"/>
          <w:kern w:val="2"/>
          <w:szCs w:val="24"/>
          <w:highlight w:val="none"/>
          <w:lang w:val="en-US"/>
        </w:rPr>
        <w:t>项目编号：</w:t>
      </w:r>
      <w:r>
        <w:rPr>
          <w:rFonts w:hint="eastAsia" w:ascii="仿宋" w:hAnsi="仿宋" w:eastAsia="仿宋" w:cs="仿宋"/>
          <w:color w:val="auto"/>
          <w:kern w:val="2"/>
          <w:szCs w:val="24"/>
          <w:highlight w:val="none"/>
          <w:lang w:val="en-US" w:eastAsia="zh-CN"/>
        </w:rPr>
        <w:t>HZGJ-XJZX2024-05</w:t>
      </w:r>
      <w:r>
        <w:rPr>
          <w:rFonts w:hint="eastAsia" w:ascii="仿宋" w:hAnsi="仿宋" w:eastAsia="仿宋" w:cs="仿宋"/>
          <w:color w:val="auto"/>
          <w:kern w:val="2"/>
          <w:szCs w:val="24"/>
          <w:highlight w:val="none"/>
          <w:lang w:val="en-US"/>
        </w:rPr>
        <w:t xml:space="preserve"> </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218"/>
        <w:gridCol w:w="698"/>
        <w:gridCol w:w="1244"/>
        <w:gridCol w:w="1011"/>
        <w:gridCol w:w="1773"/>
        <w:gridCol w:w="625"/>
        <w:gridCol w:w="731"/>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1218" w:type="dxa"/>
          </w:tcPr>
          <w:p>
            <w:pPr>
              <w:wordWrap w:val="0"/>
              <w:jc w:val="center"/>
              <w:outlineLvl w:val="2"/>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eastAsia="zh-CN"/>
              </w:rPr>
              <w:t>设备</w:t>
            </w:r>
            <w:r>
              <w:rPr>
                <w:rFonts w:hint="eastAsia" w:ascii="仿宋" w:hAnsi="仿宋" w:eastAsia="仿宋" w:cs="仿宋"/>
                <w:b/>
                <w:color w:val="auto"/>
                <w:kern w:val="0"/>
                <w:sz w:val="21"/>
                <w:szCs w:val="21"/>
                <w:highlight w:val="none"/>
              </w:rPr>
              <w:t>名称</w:t>
            </w:r>
          </w:p>
        </w:tc>
        <w:tc>
          <w:tcPr>
            <w:tcW w:w="698" w:type="dxa"/>
          </w:tcPr>
          <w:p>
            <w:pPr>
              <w:wordWrap w:val="0"/>
              <w:jc w:val="center"/>
              <w:outlineLvl w:val="2"/>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lang w:eastAsia="zh-CN"/>
              </w:rPr>
              <w:t>品牌</w:t>
            </w:r>
          </w:p>
        </w:tc>
        <w:tc>
          <w:tcPr>
            <w:tcW w:w="1244" w:type="dxa"/>
          </w:tcPr>
          <w:p>
            <w:pPr>
              <w:wordWrap w:val="0"/>
              <w:jc w:val="center"/>
              <w:outlineLvl w:val="2"/>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lang w:eastAsia="zh-CN"/>
              </w:rPr>
              <w:t>规格型号</w:t>
            </w:r>
          </w:p>
        </w:tc>
        <w:tc>
          <w:tcPr>
            <w:tcW w:w="1011" w:type="dxa"/>
          </w:tcPr>
          <w:p>
            <w:pPr>
              <w:wordWrap w:val="0"/>
              <w:jc w:val="center"/>
              <w:outlineLvl w:val="2"/>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lang w:eastAsia="zh-CN"/>
              </w:rPr>
              <w:t>制造商、产地</w:t>
            </w:r>
          </w:p>
        </w:tc>
        <w:tc>
          <w:tcPr>
            <w:tcW w:w="1773" w:type="dxa"/>
          </w:tcPr>
          <w:p>
            <w:pPr>
              <w:wordWrap w:val="0"/>
              <w:jc w:val="center"/>
              <w:outlineLvl w:val="2"/>
              <w:rPr>
                <w:rFonts w:hint="eastAsia" w:ascii="仿宋" w:hAnsi="仿宋" w:eastAsia="仿宋" w:cs="仿宋"/>
                <w:b/>
                <w:color w:val="auto"/>
                <w:kern w:val="0"/>
                <w:sz w:val="21"/>
                <w:szCs w:val="21"/>
                <w:highlight w:val="none"/>
              </w:rPr>
            </w:pPr>
            <w:r>
              <w:rPr>
                <w:rFonts w:hint="eastAsia" w:ascii="仿宋" w:hAnsi="仿宋" w:eastAsia="仿宋" w:cs="仿宋"/>
                <w:b/>
                <w:color w:val="auto"/>
                <w:sz w:val="21"/>
                <w:szCs w:val="21"/>
                <w:highlight w:val="none"/>
                <w:lang w:val="en-US" w:eastAsia="zh-CN"/>
              </w:rPr>
              <w:t>节能产品、环境标志产品证书编号（如有）</w:t>
            </w:r>
          </w:p>
        </w:tc>
        <w:tc>
          <w:tcPr>
            <w:tcW w:w="625" w:type="dxa"/>
          </w:tcPr>
          <w:p>
            <w:pPr>
              <w:wordWrap w:val="0"/>
              <w:jc w:val="center"/>
              <w:outlineLvl w:val="2"/>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数量</w:t>
            </w:r>
          </w:p>
        </w:tc>
        <w:tc>
          <w:tcPr>
            <w:tcW w:w="731" w:type="dxa"/>
          </w:tcPr>
          <w:p>
            <w:pPr>
              <w:wordWrap w:val="0"/>
              <w:jc w:val="center"/>
              <w:outlineLvl w:val="2"/>
              <w:rPr>
                <w:rFonts w:hint="eastAsia" w:ascii="仿宋" w:hAnsi="仿宋" w:eastAsia="仿宋" w:cs="仿宋"/>
                <w:b/>
                <w:color w:val="auto"/>
                <w:kern w:val="0"/>
                <w:sz w:val="21"/>
                <w:szCs w:val="21"/>
                <w:highlight w:val="none"/>
                <w:lang w:val="en-US" w:eastAsia="zh-CN"/>
              </w:rPr>
            </w:pPr>
            <w:r>
              <w:rPr>
                <w:rFonts w:hint="eastAsia" w:ascii="仿宋" w:hAnsi="仿宋" w:eastAsia="仿宋" w:cs="仿宋"/>
                <w:b/>
                <w:color w:val="auto"/>
                <w:kern w:val="0"/>
                <w:sz w:val="21"/>
                <w:szCs w:val="21"/>
                <w:highlight w:val="none"/>
                <w:lang w:val="en-US" w:eastAsia="zh-CN"/>
              </w:rPr>
              <w:t>单位</w:t>
            </w:r>
          </w:p>
        </w:tc>
        <w:tc>
          <w:tcPr>
            <w:tcW w:w="1067" w:type="dxa"/>
          </w:tcPr>
          <w:p>
            <w:pPr>
              <w:wordWrap w:val="0"/>
              <w:jc w:val="center"/>
              <w:outlineLvl w:val="2"/>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32"/>
                <w:szCs w:val="32"/>
                <w:highlight w:val="none"/>
              </w:rPr>
            </w:pPr>
          </w:p>
        </w:tc>
        <w:tc>
          <w:tcPr>
            <w:tcW w:w="1218" w:type="dxa"/>
          </w:tcPr>
          <w:p>
            <w:pPr>
              <w:wordWrap w:val="0"/>
              <w:jc w:val="center"/>
              <w:outlineLvl w:val="2"/>
              <w:rPr>
                <w:rFonts w:hint="eastAsia" w:ascii="仿宋" w:hAnsi="仿宋" w:eastAsia="仿宋" w:cs="仿宋"/>
                <w:b/>
                <w:color w:val="auto"/>
                <w:kern w:val="0"/>
                <w:sz w:val="32"/>
                <w:szCs w:val="32"/>
                <w:highlight w:val="none"/>
              </w:rPr>
            </w:pPr>
          </w:p>
        </w:tc>
        <w:tc>
          <w:tcPr>
            <w:tcW w:w="698" w:type="dxa"/>
          </w:tcPr>
          <w:p>
            <w:pPr>
              <w:wordWrap w:val="0"/>
              <w:jc w:val="center"/>
              <w:outlineLvl w:val="2"/>
              <w:rPr>
                <w:rFonts w:hint="eastAsia" w:ascii="仿宋" w:hAnsi="仿宋" w:eastAsia="仿宋" w:cs="仿宋"/>
                <w:b/>
                <w:color w:val="auto"/>
                <w:kern w:val="0"/>
                <w:sz w:val="32"/>
                <w:szCs w:val="32"/>
                <w:highlight w:val="none"/>
              </w:rPr>
            </w:pPr>
          </w:p>
        </w:tc>
        <w:tc>
          <w:tcPr>
            <w:tcW w:w="1244" w:type="dxa"/>
          </w:tcPr>
          <w:p>
            <w:pPr>
              <w:wordWrap w:val="0"/>
              <w:jc w:val="center"/>
              <w:outlineLvl w:val="2"/>
              <w:rPr>
                <w:rFonts w:hint="eastAsia" w:ascii="仿宋" w:hAnsi="仿宋" w:eastAsia="仿宋" w:cs="仿宋"/>
                <w:b/>
                <w:color w:val="auto"/>
                <w:kern w:val="0"/>
                <w:sz w:val="32"/>
                <w:szCs w:val="32"/>
                <w:highlight w:val="none"/>
              </w:rPr>
            </w:pPr>
          </w:p>
        </w:tc>
        <w:tc>
          <w:tcPr>
            <w:tcW w:w="1011" w:type="dxa"/>
          </w:tcPr>
          <w:p>
            <w:pPr>
              <w:wordWrap w:val="0"/>
              <w:jc w:val="center"/>
              <w:outlineLvl w:val="2"/>
              <w:rPr>
                <w:rFonts w:hint="eastAsia" w:ascii="仿宋" w:hAnsi="仿宋" w:eastAsia="仿宋" w:cs="仿宋"/>
                <w:b/>
                <w:color w:val="auto"/>
                <w:kern w:val="0"/>
                <w:sz w:val="32"/>
                <w:szCs w:val="32"/>
                <w:highlight w:val="none"/>
              </w:rPr>
            </w:pPr>
          </w:p>
        </w:tc>
        <w:tc>
          <w:tcPr>
            <w:tcW w:w="1773" w:type="dxa"/>
          </w:tcPr>
          <w:p>
            <w:pPr>
              <w:wordWrap w:val="0"/>
              <w:jc w:val="center"/>
              <w:outlineLvl w:val="2"/>
              <w:rPr>
                <w:rFonts w:hint="eastAsia" w:ascii="仿宋" w:hAnsi="仿宋" w:eastAsia="仿宋" w:cs="仿宋"/>
                <w:b/>
                <w:color w:val="auto"/>
                <w:kern w:val="0"/>
                <w:sz w:val="32"/>
                <w:szCs w:val="32"/>
                <w:highlight w:val="none"/>
              </w:rPr>
            </w:pPr>
          </w:p>
        </w:tc>
        <w:tc>
          <w:tcPr>
            <w:tcW w:w="625" w:type="dxa"/>
          </w:tcPr>
          <w:p>
            <w:pPr>
              <w:wordWrap w:val="0"/>
              <w:jc w:val="center"/>
              <w:outlineLvl w:val="2"/>
              <w:rPr>
                <w:rFonts w:hint="eastAsia" w:ascii="仿宋" w:hAnsi="仿宋" w:eastAsia="仿宋" w:cs="仿宋"/>
                <w:b/>
                <w:color w:val="auto"/>
                <w:kern w:val="0"/>
                <w:sz w:val="32"/>
                <w:szCs w:val="32"/>
                <w:highlight w:val="none"/>
              </w:rPr>
            </w:pPr>
          </w:p>
        </w:tc>
        <w:tc>
          <w:tcPr>
            <w:tcW w:w="731" w:type="dxa"/>
          </w:tcPr>
          <w:p>
            <w:pPr>
              <w:wordWrap w:val="0"/>
              <w:jc w:val="center"/>
              <w:outlineLvl w:val="2"/>
              <w:rPr>
                <w:rFonts w:hint="eastAsia" w:ascii="仿宋" w:hAnsi="仿宋" w:eastAsia="仿宋" w:cs="仿宋"/>
                <w:b/>
                <w:color w:val="auto"/>
                <w:kern w:val="0"/>
                <w:sz w:val="32"/>
                <w:szCs w:val="32"/>
                <w:highlight w:val="none"/>
              </w:rPr>
            </w:pPr>
          </w:p>
        </w:tc>
        <w:tc>
          <w:tcPr>
            <w:tcW w:w="1067" w:type="dxa"/>
          </w:tcPr>
          <w:p>
            <w:pPr>
              <w:wordWrap w:val="0"/>
              <w:jc w:val="center"/>
              <w:outlineLvl w:val="2"/>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32"/>
                <w:szCs w:val="32"/>
                <w:highlight w:val="none"/>
              </w:rPr>
            </w:pPr>
          </w:p>
        </w:tc>
        <w:tc>
          <w:tcPr>
            <w:tcW w:w="1218" w:type="dxa"/>
          </w:tcPr>
          <w:p>
            <w:pPr>
              <w:wordWrap w:val="0"/>
              <w:jc w:val="center"/>
              <w:outlineLvl w:val="2"/>
              <w:rPr>
                <w:rFonts w:hint="eastAsia" w:ascii="仿宋" w:hAnsi="仿宋" w:eastAsia="仿宋" w:cs="仿宋"/>
                <w:b/>
                <w:color w:val="auto"/>
                <w:kern w:val="0"/>
                <w:sz w:val="32"/>
                <w:szCs w:val="32"/>
                <w:highlight w:val="none"/>
              </w:rPr>
            </w:pPr>
          </w:p>
        </w:tc>
        <w:tc>
          <w:tcPr>
            <w:tcW w:w="698" w:type="dxa"/>
          </w:tcPr>
          <w:p>
            <w:pPr>
              <w:wordWrap w:val="0"/>
              <w:jc w:val="center"/>
              <w:outlineLvl w:val="2"/>
              <w:rPr>
                <w:rFonts w:hint="eastAsia" w:ascii="仿宋" w:hAnsi="仿宋" w:eastAsia="仿宋" w:cs="仿宋"/>
                <w:b/>
                <w:color w:val="auto"/>
                <w:kern w:val="0"/>
                <w:sz w:val="32"/>
                <w:szCs w:val="32"/>
                <w:highlight w:val="none"/>
              </w:rPr>
            </w:pPr>
          </w:p>
        </w:tc>
        <w:tc>
          <w:tcPr>
            <w:tcW w:w="1244" w:type="dxa"/>
          </w:tcPr>
          <w:p>
            <w:pPr>
              <w:wordWrap w:val="0"/>
              <w:jc w:val="center"/>
              <w:outlineLvl w:val="2"/>
              <w:rPr>
                <w:rFonts w:hint="eastAsia" w:ascii="仿宋" w:hAnsi="仿宋" w:eastAsia="仿宋" w:cs="仿宋"/>
                <w:b/>
                <w:color w:val="auto"/>
                <w:kern w:val="0"/>
                <w:sz w:val="32"/>
                <w:szCs w:val="32"/>
                <w:highlight w:val="none"/>
              </w:rPr>
            </w:pPr>
          </w:p>
        </w:tc>
        <w:tc>
          <w:tcPr>
            <w:tcW w:w="1011" w:type="dxa"/>
          </w:tcPr>
          <w:p>
            <w:pPr>
              <w:wordWrap w:val="0"/>
              <w:jc w:val="center"/>
              <w:outlineLvl w:val="2"/>
              <w:rPr>
                <w:rFonts w:hint="eastAsia" w:ascii="仿宋" w:hAnsi="仿宋" w:eastAsia="仿宋" w:cs="仿宋"/>
                <w:b/>
                <w:color w:val="auto"/>
                <w:kern w:val="0"/>
                <w:sz w:val="32"/>
                <w:szCs w:val="32"/>
                <w:highlight w:val="none"/>
              </w:rPr>
            </w:pPr>
          </w:p>
        </w:tc>
        <w:tc>
          <w:tcPr>
            <w:tcW w:w="1773" w:type="dxa"/>
          </w:tcPr>
          <w:p>
            <w:pPr>
              <w:wordWrap w:val="0"/>
              <w:jc w:val="center"/>
              <w:outlineLvl w:val="2"/>
              <w:rPr>
                <w:rFonts w:hint="eastAsia" w:ascii="仿宋" w:hAnsi="仿宋" w:eastAsia="仿宋" w:cs="仿宋"/>
                <w:b/>
                <w:color w:val="auto"/>
                <w:kern w:val="0"/>
                <w:sz w:val="32"/>
                <w:szCs w:val="32"/>
                <w:highlight w:val="none"/>
              </w:rPr>
            </w:pPr>
          </w:p>
        </w:tc>
        <w:tc>
          <w:tcPr>
            <w:tcW w:w="625" w:type="dxa"/>
          </w:tcPr>
          <w:p>
            <w:pPr>
              <w:wordWrap w:val="0"/>
              <w:jc w:val="center"/>
              <w:outlineLvl w:val="2"/>
              <w:rPr>
                <w:rFonts w:hint="eastAsia" w:ascii="仿宋" w:hAnsi="仿宋" w:eastAsia="仿宋" w:cs="仿宋"/>
                <w:b/>
                <w:color w:val="auto"/>
                <w:kern w:val="0"/>
                <w:sz w:val="32"/>
                <w:szCs w:val="32"/>
                <w:highlight w:val="none"/>
              </w:rPr>
            </w:pPr>
          </w:p>
        </w:tc>
        <w:tc>
          <w:tcPr>
            <w:tcW w:w="731" w:type="dxa"/>
          </w:tcPr>
          <w:p>
            <w:pPr>
              <w:wordWrap w:val="0"/>
              <w:jc w:val="center"/>
              <w:outlineLvl w:val="2"/>
              <w:rPr>
                <w:rFonts w:hint="eastAsia" w:ascii="仿宋" w:hAnsi="仿宋" w:eastAsia="仿宋" w:cs="仿宋"/>
                <w:b/>
                <w:color w:val="auto"/>
                <w:kern w:val="0"/>
                <w:sz w:val="32"/>
                <w:szCs w:val="32"/>
                <w:highlight w:val="none"/>
              </w:rPr>
            </w:pPr>
          </w:p>
        </w:tc>
        <w:tc>
          <w:tcPr>
            <w:tcW w:w="1067" w:type="dxa"/>
          </w:tcPr>
          <w:p>
            <w:pPr>
              <w:wordWrap w:val="0"/>
              <w:jc w:val="center"/>
              <w:outlineLvl w:val="2"/>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32"/>
                <w:szCs w:val="32"/>
                <w:highlight w:val="none"/>
              </w:rPr>
            </w:pPr>
          </w:p>
        </w:tc>
        <w:tc>
          <w:tcPr>
            <w:tcW w:w="1218" w:type="dxa"/>
          </w:tcPr>
          <w:p>
            <w:pPr>
              <w:wordWrap w:val="0"/>
              <w:jc w:val="center"/>
              <w:outlineLvl w:val="2"/>
              <w:rPr>
                <w:rFonts w:hint="eastAsia" w:ascii="仿宋" w:hAnsi="仿宋" w:eastAsia="仿宋" w:cs="仿宋"/>
                <w:b/>
                <w:color w:val="auto"/>
                <w:kern w:val="0"/>
                <w:sz w:val="32"/>
                <w:szCs w:val="32"/>
                <w:highlight w:val="none"/>
              </w:rPr>
            </w:pPr>
          </w:p>
        </w:tc>
        <w:tc>
          <w:tcPr>
            <w:tcW w:w="698" w:type="dxa"/>
          </w:tcPr>
          <w:p>
            <w:pPr>
              <w:wordWrap w:val="0"/>
              <w:jc w:val="center"/>
              <w:outlineLvl w:val="2"/>
              <w:rPr>
                <w:rFonts w:hint="eastAsia" w:ascii="仿宋" w:hAnsi="仿宋" w:eastAsia="仿宋" w:cs="仿宋"/>
                <w:b/>
                <w:color w:val="auto"/>
                <w:kern w:val="0"/>
                <w:sz w:val="32"/>
                <w:szCs w:val="32"/>
                <w:highlight w:val="none"/>
              </w:rPr>
            </w:pPr>
          </w:p>
        </w:tc>
        <w:tc>
          <w:tcPr>
            <w:tcW w:w="1244" w:type="dxa"/>
          </w:tcPr>
          <w:p>
            <w:pPr>
              <w:wordWrap w:val="0"/>
              <w:jc w:val="center"/>
              <w:outlineLvl w:val="2"/>
              <w:rPr>
                <w:rFonts w:hint="eastAsia" w:ascii="仿宋" w:hAnsi="仿宋" w:eastAsia="仿宋" w:cs="仿宋"/>
                <w:b/>
                <w:color w:val="auto"/>
                <w:kern w:val="0"/>
                <w:sz w:val="32"/>
                <w:szCs w:val="32"/>
                <w:highlight w:val="none"/>
              </w:rPr>
            </w:pPr>
          </w:p>
        </w:tc>
        <w:tc>
          <w:tcPr>
            <w:tcW w:w="1011" w:type="dxa"/>
          </w:tcPr>
          <w:p>
            <w:pPr>
              <w:wordWrap w:val="0"/>
              <w:jc w:val="center"/>
              <w:outlineLvl w:val="2"/>
              <w:rPr>
                <w:rFonts w:hint="eastAsia" w:ascii="仿宋" w:hAnsi="仿宋" w:eastAsia="仿宋" w:cs="仿宋"/>
                <w:b/>
                <w:color w:val="auto"/>
                <w:kern w:val="0"/>
                <w:sz w:val="32"/>
                <w:szCs w:val="32"/>
                <w:highlight w:val="none"/>
              </w:rPr>
            </w:pPr>
          </w:p>
        </w:tc>
        <w:tc>
          <w:tcPr>
            <w:tcW w:w="1773" w:type="dxa"/>
          </w:tcPr>
          <w:p>
            <w:pPr>
              <w:wordWrap w:val="0"/>
              <w:jc w:val="center"/>
              <w:outlineLvl w:val="2"/>
              <w:rPr>
                <w:rFonts w:hint="eastAsia" w:ascii="仿宋" w:hAnsi="仿宋" w:eastAsia="仿宋" w:cs="仿宋"/>
                <w:b/>
                <w:color w:val="auto"/>
                <w:kern w:val="0"/>
                <w:sz w:val="32"/>
                <w:szCs w:val="32"/>
                <w:highlight w:val="none"/>
              </w:rPr>
            </w:pPr>
          </w:p>
        </w:tc>
        <w:tc>
          <w:tcPr>
            <w:tcW w:w="625" w:type="dxa"/>
          </w:tcPr>
          <w:p>
            <w:pPr>
              <w:wordWrap w:val="0"/>
              <w:jc w:val="center"/>
              <w:outlineLvl w:val="2"/>
              <w:rPr>
                <w:rFonts w:hint="eastAsia" w:ascii="仿宋" w:hAnsi="仿宋" w:eastAsia="仿宋" w:cs="仿宋"/>
                <w:b/>
                <w:color w:val="auto"/>
                <w:kern w:val="0"/>
                <w:sz w:val="32"/>
                <w:szCs w:val="32"/>
                <w:highlight w:val="none"/>
              </w:rPr>
            </w:pPr>
          </w:p>
        </w:tc>
        <w:tc>
          <w:tcPr>
            <w:tcW w:w="731" w:type="dxa"/>
          </w:tcPr>
          <w:p>
            <w:pPr>
              <w:wordWrap w:val="0"/>
              <w:jc w:val="center"/>
              <w:outlineLvl w:val="2"/>
              <w:rPr>
                <w:rFonts w:hint="eastAsia" w:ascii="仿宋" w:hAnsi="仿宋" w:eastAsia="仿宋" w:cs="仿宋"/>
                <w:b/>
                <w:color w:val="auto"/>
                <w:kern w:val="0"/>
                <w:sz w:val="32"/>
                <w:szCs w:val="32"/>
                <w:highlight w:val="none"/>
              </w:rPr>
            </w:pPr>
          </w:p>
        </w:tc>
        <w:tc>
          <w:tcPr>
            <w:tcW w:w="1067" w:type="dxa"/>
          </w:tcPr>
          <w:p>
            <w:pPr>
              <w:wordWrap w:val="0"/>
              <w:jc w:val="center"/>
              <w:outlineLvl w:val="2"/>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32"/>
                <w:szCs w:val="32"/>
                <w:highlight w:val="none"/>
              </w:rPr>
            </w:pPr>
          </w:p>
        </w:tc>
        <w:tc>
          <w:tcPr>
            <w:tcW w:w="1218" w:type="dxa"/>
          </w:tcPr>
          <w:p>
            <w:pPr>
              <w:wordWrap w:val="0"/>
              <w:jc w:val="center"/>
              <w:outlineLvl w:val="2"/>
              <w:rPr>
                <w:rFonts w:hint="eastAsia" w:ascii="仿宋" w:hAnsi="仿宋" w:eastAsia="仿宋" w:cs="仿宋"/>
                <w:b/>
                <w:color w:val="auto"/>
                <w:kern w:val="0"/>
                <w:sz w:val="32"/>
                <w:szCs w:val="32"/>
                <w:highlight w:val="none"/>
              </w:rPr>
            </w:pPr>
          </w:p>
        </w:tc>
        <w:tc>
          <w:tcPr>
            <w:tcW w:w="698" w:type="dxa"/>
          </w:tcPr>
          <w:p>
            <w:pPr>
              <w:wordWrap w:val="0"/>
              <w:jc w:val="center"/>
              <w:outlineLvl w:val="2"/>
              <w:rPr>
                <w:rFonts w:hint="eastAsia" w:ascii="仿宋" w:hAnsi="仿宋" w:eastAsia="仿宋" w:cs="仿宋"/>
                <w:b/>
                <w:color w:val="auto"/>
                <w:kern w:val="0"/>
                <w:sz w:val="32"/>
                <w:szCs w:val="32"/>
                <w:highlight w:val="none"/>
              </w:rPr>
            </w:pPr>
          </w:p>
        </w:tc>
        <w:tc>
          <w:tcPr>
            <w:tcW w:w="1244" w:type="dxa"/>
          </w:tcPr>
          <w:p>
            <w:pPr>
              <w:wordWrap w:val="0"/>
              <w:jc w:val="center"/>
              <w:outlineLvl w:val="2"/>
              <w:rPr>
                <w:rFonts w:hint="eastAsia" w:ascii="仿宋" w:hAnsi="仿宋" w:eastAsia="仿宋" w:cs="仿宋"/>
                <w:b/>
                <w:color w:val="auto"/>
                <w:kern w:val="0"/>
                <w:sz w:val="32"/>
                <w:szCs w:val="32"/>
                <w:highlight w:val="none"/>
              </w:rPr>
            </w:pPr>
          </w:p>
        </w:tc>
        <w:tc>
          <w:tcPr>
            <w:tcW w:w="1011" w:type="dxa"/>
          </w:tcPr>
          <w:p>
            <w:pPr>
              <w:wordWrap w:val="0"/>
              <w:jc w:val="center"/>
              <w:outlineLvl w:val="2"/>
              <w:rPr>
                <w:rFonts w:hint="eastAsia" w:ascii="仿宋" w:hAnsi="仿宋" w:eastAsia="仿宋" w:cs="仿宋"/>
                <w:b/>
                <w:color w:val="auto"/>
                <w:kern w:val="0"/>
                <w:sz w:val="32"/>
                <w:szCs w:val="32"/>
                <w:highlight w:val="none"/>
              </w:rPr>
            </w:pPr>
          </w:p>
        </w:tc>
        <w:tc>
          <w:tcPr>
            <w:tcW w:w="1773" w:type="dxa"/>
          </w:tcPr>
          <w:p>
            <w:pPr>
              <w:wordWrap w:val="0"/>
              <w:jc w:val="center"/>
              <w:outlineLvl w:val="2"/>
              <w:rPr>
                <w:rFonts w:hint="eastAsia" w:ascii="仿宋" w:hAnsi="仿宋" w:eastAsia="仿宋" w:cs="仿宋"/>
                <w:b/>
                <w:color w:val="auto"/>
                <w:kern w:val="0"/>
                <w:sz w:val="32"/>
                <w:szCs w:val="32"/>
                <w:highlight w:val="none"/>
              </w:rPr>
            </w:pPr>
          </w:p>
        </w:tc>
        <w:tc>
          <w:tcPr>
            <w:tcW w:w="625" w:type="dxa"/>
          </w:tcPr>
          <w:p>
            <w:pPr>
              <w:wordWrap w:val="0"/>
              <w:jc w:val="center"/>
              <w:outlineLvl w:val="2"/>
              <w:rPr>
                <w:rFonts w:hint="eastAsia" w:ascii="仿宋" w:hAnsi="仿宋" w:eastAsia="仿宋" w:cs="仿宋"/>
                <w:b/>
                <w:color w:val="auto"/>
                <w:kern w:val="0"/>
                <w:sz w:val="32"/>
                <w:szCs w:val="32"/>
                <w:highlight w:val="none"/>
              </w:rPr>
            </w:pPr>
          </w:p>
        </w:tc>
        <w:tc>
          <w:tcPr>
            <w:tcW w:w="731" w:type="dxa"/>
          </w:tcPr>
          <w:p>
            <w:pPr>
              <w:wordWrap w:val="0"/>
              <w:jc w:val="center"/>
              <w:outlineLvl w:val="2"/>
              <w:rPr>
                <w:rFonts w:hint="eastAsia" w:ascii="仿宋" w:hAnsi="仿宋" w:eastAsia="仿宋" w:cs="仿宋"/>
                <w:b/>
                <w:color w:val="auto"/>
                <w:kern w:val="0"/>
                <w:sz w:val="32"/>
                <w:szCs w:val="32"/>
                <w:highlight w:val="none"/>
              </w:rPr>
            </w:pPr>
          </w:p>
        </w:tc>
        <w:tc>
          <w:tcPr>
            <w:tcW w:w="1067" w:type="dxa"/>
          </w:tcPr>
          <w:p>
            <w:pPr>
              <w:wordWrap w:val="0"/>
              <w:jc w:val="center"/>
              <w:outlineLvl w:val="2"/>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32"/>
                <w:szCs w:val="32"/>
                <w:highlight w:val="none"/>
              </w:rPr>
            </w:pPr>
          </w:p>
        </w:tc>
        <w:tc>
          <w:tcPr>
            <w:tcW w:w="1218" w:type="dxa"/>
          </w:tcPr>
          <w:p>
            <w:pPr>
              <w:wordWrap w:val="0"/>
              <w:jc w:val="center"/>
              <w:outlineLvl w:val="2"/>
              <w:rPr>
                <w:rFonts w:hint="eastAsia" w:ascii="仿宋" w:hAnsi="仿宋" w:eastAsia="仿宋" w:cs="仿宋"/>
                <w:b/>
                <w:color w:val="auto"/>
                <w:kern w:val="0"/>
                <w:sz w:val="32"/>
                <w:szCs w:val="32"/>
                <w:highlight w:val="none"/>
              </w:rPr>
            </w:pPr>
          </w:p>
        </w:tc>
        <w:tc>
          <w:tcPr>
            <w:tcW w:w="698" w:type="dxa"/>
          </w:tcPr>
          <w:p>
            <w:pPr>
              <w:wordWrap w:val="0"/>
              <w:jc w:val="center"/>
              <w:outlineLvl w:val="2"/>
              <w:rPr>
                <w:rFonts w:hint="eastAsia" w:ascii="仿宋" w:hAnsi="仿宋" w:eastAsia="仿宋" w:cs="仿宋"/>
                <w:b/>
                <w:color w:val="auto"/>
                <w:kern w:val="0"/>
                <w:sz w:val="32"/>
                <w:szCs w:val="32"/>
                <w:highlight w:val="none"/>
              </w:rPr>
            </w:pPr>
          </w:p>
        </w:tc>
        <w:tc>
          <w:tcPr>
            <w:tcW w:w="1244" w:type="dxa"/>
          </w:tcPr>
          <w:p>
            <w:pPr>
              <w:wordWrap w:val="0"/>
              <w:jc w:val="center"/>
              <w:outlineLvl w:val="2"/>
              <w:rPr>
                <w:rFonts w:hint="eastAsia" w:ascii="仿宋" w:hAnsi="仿宋" w:eastAsia="仿宋" w:cs="仿宋"/>
                <w:b/>
                <w:color w:val="auto"/>
                <w:kern w:val="0"/>
                <w:sz w:val="32"/>
                <w:szCs w:val="32"/>
                <w:highlight w:val="none"/>
              </w:rPr>
            </w:pPr>
          </w:p>
        </w:tc>
        <w:tc>
          <w:tcPr>
            <w:tcW w:w="1011" w:type="dxa"/>
          </w:tcPr>
          <w:p>
            <w:pPr>
              <w:wordWrap w:val="0"/>
              <w:jc w:val="center"/>
              <w:outlineLvl w:val="2"/>
              <w:rPr>
                <w:rFonts w:hint="eastAsia" w:ascii="仿宋" w:hAnsi="仿宋" w:eastAsia="仿宋" w:cs="仿宋"/>
                <w:b/>
                <w:color w:val="auto"/>
                <w:kern w:val="0"/>
                <w:sz w:val="32"/>
                <w:szCs w:val="32"/>
                <w:highlight w:val="none"/>
              </w:rPr>
            </w:pPr>
          </w:p>
        </w:tc>
        <w:tc>
          <w:tcPr>
            <w:tcW w:w="1773" w:type="dxa"/>
          </w:tcPr>
          <w:p>
            <w:pPr>
              <w:wordWrap w:val="0"/>
              <w:jc w:val="center"/>
              <w:outlineLvl w:val="2"/>
              <w:rPr>
                <w:rFonts w:hint="eastAsia" w:ascii="仿宋" w:hAnsi="仿宋" w:eastAsia="仿宋" w:cs="仿宋"/>
                <w:b/>
                <w:color w:val="auto"/>
                <w:kern w:val="0"/>
                <w:sz w:val="32"/>
                <w:szCs w:val="32"/>
                <w:highlight w:val="none"/>
              </w:rPr>
            </w:pPr>
          </w:p>
        </w:tc>
        <w:tc>
          <w:tcPr>
            <w:tcW w:w="625" w:type="dxa"/>
          </w:tcPr>
          <w:p>
            <w:pPr>
              <w:wordWrap w:val="0"/>
              <w:jc w:val="center"/>
              <w:outlineLvl w:val="2"/>
              <w:rPr>
                <w:rFonts w:hint="eastAsia" w:ascii="仿宋" w:hAnsi="仿宋" w:eastAsia="仿宋" w:cs="仿宋"/>
                <w:b/>
                <w:color w:val="auto"/>
                <w:kern w:val="0"/>
                <w:sz w:val="32"/>
                <w:szCs w:val="32"/>
                <w:highlight w:val="none"/>
              </w:rPr>
            </w:pPr>
          </w:p>
        </w:tc>
        <w:tc>
          <w:tcPr>
            <w:tcW w:w="731" w:type="dxa"/>
          </w:tcPr>
          <w:p>
            <w:pPr>
              <w:wordWrap w:val="0"/>
              <w:jc w:val="center"/>
              <w:outlineLvl w:val="2"/>
              <w:rPr>
                <w:rFonts w:hint="eastAsia" w:ascii="仿宋" w:hAnsi="仿宋" w:eastAsia="仿宋" w:cs="仿宋"/>
                <w:b/>
                <w:color w:val="auto"/>
                <w:kern w:val="0"/>
                <w:sz w:val="32"/>
                <w:szCs w:val="32"/>
                <w:highlight w:val="none"/>
              </w:rPr>
            </w:pPr>
          </w:p>
        </w:tc>
        <w:tc>
          <w:tcPr>
            <w:tcW w:w="1067" w:type="dxa"/>
          </w:tcPr>
          <w:p>
            <w:pPr>
              <w:wordWrap w:val="0"/>
              <w:jc w:val="center"/>
              <w:outlineLvl w:val="2"/>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32"/>
                <w:szCs w:val="32"/>
                <w:highlight w:val="none"/>
              </w:rPr>
            </w:pPr>
          </w:p>
        </w:tc>
        <w:tc>
          <w:tcPr>
            <w:tcW w:w="1218" w:type="dxa"/>
          </w:tcPr>
          <w:p>
            <w:pPr>
              <w:wordWrap w:val="0"/>
              <w:jc w:val="center"/>
              <w:outlineLvl w:val="2"/>
              <w:rPr>
                <w:rFonts w:hint="eastAsia" w:ascii="仿宋" w:hAnsi="仿宋" w:eastAsia="仿宋" w:cs="仿宋"/>
                <w:b/>
                <w:color w:val="auto"/>
                <w:kern w:val="0"/>
                <w:sz w:val="32"/>
                <w:szCs w:val="32"/>
                <w:highlight w:val="none"/>
              </w:rPr>
            </w:pPr>
          </w:p>
        </w:tc>
        <w:tc>
          <w:tcPr>
            <w:tcW w:w="698" w:type="dxa"/>
          </w:tcPr>
          <w:p>
            <w:pPr>
              <w:wordWrap w:val="0"/>
              <w:jc w:val="center"/>
              <w:outlineLvl w:val="2"/>
              <w:rPr>
                <w:rFonts w:hint="eastAsia" w:ascii="仿宋" w:hAnsi="仿宋" w:eastAsia="仿宋" w:cs="仿宋"/>
                <w:b/>
                <w:color w:val="auto"/>
                <w:kern w:val="0"/>
                <w:sz w:val="32"/>
                <w:szCs w:val="32"/>
                <w:highlight w:val="none"/>
              </w:rPr>
            </w:pPr>
          </w:p>
        </w:tc>
        <w:tc>
          <w:tcPr>
            <w:tcW w:w="1244" w:type="dxa"/>
          </w:tcPr>
          <w:p>
            <w:pPr>
              <w:wordWrap w:val="0"/>
              <w:jc w:val="center"/>
              <w:outlineLvl w:val="2"/>
              <w:rPr>
                <w:rFonts w:hint="eastAsia" w:ascii="仿宋" w:hAnsi="仿宋" w:eastAsia="仿宋" w:cs="仿宋"/>
                <w:b/>
                <w:color w:val="auto"/>
                <w:kern w:val="0"/>
                <w:sz w:val="32"/>
                <w:szCs w:val="32"/>
                <w:highlight w:val="none"/>
              </w:rPr>
            </w:pPr>
          </w:p>
        </w:tc>
        <w:tc>
          <w:tcPr>
            <w:tcW w:w="1011" w:type="dxa"/>
          </w:tcPr>
          <w:p>
            <w:pPr>
              <w:wordWrap w:val="0"/>
              <w:jc w:val="center"/>
              <w:outlineLvl w:val="2"/>
              <w:rPr>
                <w:rFonts w:hint="eastAsia" w:ascii="仿宋" w:hAnsi="仿宋" w:eastAsia="仿宋" w:cs="仿宋"/>
                <w:b/>
                <w:color w:val="auto"/>
                <w:kern w:val="0"/>
                <w:sz w:val="32"/>
                <w:szCs w:val="32"/>
                <w:highlight w:val="none"/>
              </w:rPr>
            </w:pPr>
          </w:p>
        </w:tc>
        <w:tc>
          <w:tcPr>
            <w:tcW w:w="1773" w:type="dxa"/>
          </w:tcPr>
          <w:p>
            <w:pPr>
              <w:wordWrap w:val="0"/>
              <w:jc w:val="center"/>
              <w:outlineLvl w:val="2"/>
              <w:rPr>
                <w:rFonts w:hint="eastAsia" w:ascii="仿宋" w:hAnsi="仿宋" w:eastAsia="仿宋" w:cs="仿宋"/>
                <w:b/>
                <w:color w:val="auto"/>
                <w:kern w:val="0"/>
                <w:sz w:val="32"/>
                <w:szCs w:val="32"/>
                <w:highlight w:val="none"/>
              </w:rPr>
            </w:pPr>
          </w:p>
        </w:tc>
        <w:tc>
          <w:tcPr>
            <w:tcW w:w="625" w:type="dxa"/>
          </w:tcPr>
          <w:p>
            <w:pPr>
              <w:wordWrap w:val="0"/>
              <w:jc w:val="center"/>
              <w:outlineLvl w:val="2"/>
              <w:rPr>
                <w:rFonts w:hint="eastAsia" w:ascii="仿宋" w:hAnsi="仿宋" w:eastAsia="仿宋" w:cs="仿宋"/>
                <w:b/>
                <w:color w:val="auto"/>
                <w:kern w:val="0"/>
                <w:sz w:val="32"/>
                <w:szCs w:val="32"/>
                <w:highlight w:val="none"/>
              </w:rPr>
            </w:pPr>
          </w:p>
        </w:tc>
        <w:tc>
          <w:tcPr>
            <w:tcW w:w="731" w:type="dxa"/>
          </w:tcPr>
          <w:p>
            <w:pPr>
              <w:wordWrap w:val="0"/>
              <w:jc w:val="center"/>
              <w:outlineLvl w:val="2"/>
              <w:rPr>
                <w:rFonts w:hint="eastAsia" w:ascii="仿宋" w:hAnsi="仿宋" w:eastAsia="仿宋" w:cs="仿宋"/>
                <w:b/>
                <w:color w:val="auto"/>
                <w:kern w:val="0"/>
                <w:sz w:val="32"/>
                <w:szCs w:val="32"/>
                <w:highlight w:val="none"/>
              </w:rPr>
            </w:pPr>
          </w:p>
        </w:tc>
        <w:tc>
          <w:tcPr>
            <w:tcW w:w="1067" w:type="dxa"/>
          </w:tcPr>
          <w:p>
            <w:pPr>
              <w:wordWrap w:val="0"/>
              <w:jc w:val="center"/>
              <w:outlineLvl w:val="2"/>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Pr>
          <w:p>
            <w:pPr>
              <w:wordWrap w:val="0"/>
              <w:jc w:val="center"/>
              <w:outlineLvl w:val="2"/>
              <w:rPr>
                <w:rFonts w:hint="eastAsia" w:ascii="仿宋" w:hAnsi="仿宋" w:eastAsia="仿宋" w:cs="仿宋"/>
                <w:b/>
                <w:color w:val="auto"/>
                <w:kern w:val="0"/>
                <w:sz w:val="32"/>
                <w:szCs w:val="32"/>
                <w:highlight w:val="none"/>
              </w:rPr>
            </w:pPr>
          </w:p>
        </w:tc>
        <w:tc>
          <w:tcPr>
            <w:tcW w:w="1218" w:type="dxa"/>
          </w:tcPr>
          <w:p>
            <w:pPr>
              <w:wordWrap w:val="0"/>
              <w:jc w:val="center"/>
              <w:outlineLvl w:val="2"/>
              <w:rPr>
                <w:rFonts w:hint="eastAsia" w:ascii="仿宋" w:hAnsi="仿宋" w:eastAsia="仿宋" w:cs="仿宋"/>
                <w:b/>
                <w:color w:val="auto"/>
                <w:kern w:val="0"/>
                <w:sz w:val="32"/>
                <w:szCs w:val="32"/>
                <w:highlight w:val="none"/>
              </w:rPr>
            </w:pPr>
          </w:p>
        </w:tc>
        <w:tc>
          <w:tcPr>
            <w:tcW w:w="698" w:type="dxa"/>
          </w:tcPr>
          <w:p>
            <w:pPr>
              <w:wordWrap w:val="0"/>
              <w:jc w:val="center"/>
              <w:outlineLvl w:val="2"/>
              <w:rPr>
                <w:rFonts w:hint="eastAsia" w:ascii="仿宋" w:hAnsi="仿宋" w:eastAsia="仿宋" w:cs="仿宋"/>
                <w:b/>
                <w:color w:val="auto"/>
                <w:kern w:val="0"/>
                <w:sz w:val="32"/>
                <w:szCs w:val="32"/>
                <w:highlight w:val="none"/>
              </w:rPr>
            </w:pPr>
          </w:p>
        </w:tc>
        <w:tc>
          <w:tcPr>
            <w:tcW w:w="1244" w:type="dxa"/>
          </w:tcPr>
          <w:p>
            <w:pPr>
              <w:wordWrap w:val="0"/>
              <w:jc w:val="center"/>
              <w:outlineLvl w:val="2"/>
              <w:rPr>
                <w:rFonts w:hint="eastAsia" w:ascii="仿宋" w:hAnsi="仿宋" w:eastAsia="仿宋" w:cs="仿宋"/>
                <w:b/>
                <w:color w:val="auto"/>
                <w:kern w:val="0"/>
                <w:sz w:val="32"/>
                <w:szCs w:val="32"/>
                <w:highlight w:val="none"/>
              </w:rPr>
            </w:pPr>
          </w:p>
        </w:tc>
        <w:tc>
          <w:tcPr>
            <w:tcW w:w="1011" w:type="dxa"/>
          </w:tcPr>
          <w:p>
            <w:pPr>
              <w:wordWrap w:val="0"/>
              <w:jc w:val="center"/>
              <w:outlineLvl w:val="2"/>
              <w:rPr>
                <w:rFonts w:hint="eastAsia" w:ascii="仿宋" w:hAnsi="仿宋" w:eastAsia="仿宋" w:cs="仿宋"/>
                <w:b/>
                <w:color w:val="auto"/>
                <w:kern w:val="0"/>
                <w:sz w:val="32"/>
                <w:szCs w:val="32"/>
                <w:highlight w:val="none"/>
              </w:rPr>
            </w:pPr>
          </w:p>
        </w:tc>
        <w:tc>
          <w:tcPr>
            <w:tcW w:w="1773" w:type="dxa"/>
          </w:tcPr>
          <w:p>
            <w:pPr>
              <w:wordWrap w:val="0"/>
              <w:jc w:val="center"/>
              <w:outlineLvl w:val="2"/>
              <w:rPr>
                <w:rFonts w:hint="eastAsia" w:ascii="仿宋" w:hAnsi="仿宋" w:eastAsia="仿宋" w:cs="仿宋"/>
                <w:b/>
                <w:color w:val="auto"/>
                <w:kern w:val="0"/>
                <w:sz w:val="32"/>
                <w:szCs w:val="32"/>
                <w:highlight w:val="none"/>
              </w:rPr>
            </w:pPr>
          </w:p>
        </w:tc>
        <w:tc>
          <w:tcPr>
            <w:tcW w:w="625" w:type="dxa"/>
          </w:tcPr>
          <w:p>
            <w:pPr>
              <w:wordWrap w:val="0"/>
              <w:jc w:val="center"/>
              <w:outlineLvl w:val="2"/>
              <w:rPr>
                <w:rFonts w:hint="eastAsia" w:ascii="仿宋" w:hAnsi="仿宋" w:eastAsia="仿宋" w:cs="仿宋"/>
                <w:b/>
                <w:color w:val="auto"/>
                <w:kern w:val="0"/>
                <w:sz w:val="32"/>
                <w:szCs w:val="32"/>
                <w:highlight w:val="none"/>
              </w:rPr>
            </w:pPr>
          </w:p>
        </w:tc>
        <w:tc>
          <w:tcPr>
            <w:tcW w:w="731" w:type="dxa"/>
          </w:tcPr>
          <w:p>
            <w:pPr>
              <w:wordWrap w:val="0"/>
              <w:jc w:val="center"/>
              <w:outlineLvl w:val="2"/>
              <w:rPr>
                <w:rFonts w:hint="eastAsia" w:ascii="仿宋" w:hAnsi="仿宋" w:eastAsia="仿宋" w:cs="仿宋"/>
                <w:b/>
                <w:color w:val="auto"/>
                <w:kern w:val="0"/>
                <w:sz w:val="32"/>
                <w:szCs w:val="32"/>
                <w:highlight w:val="none"/>
              </w:rPr>
            </w:pPr>
          </w:p>
        </w:tc>
        <w:tc>
          <w:tcPr>
            <w:tcW w:w="1067" w:type="dxa"/>
          </w:tcPr>
          <w:p>
            <w:pPr>
              <w:wordWrap w:val="0"/>
              <w:jc w:val="center"/>
              <w:outlineLvl w:val="2"/>
              <w:rPr>
                <w:rFonts w:hint="eastAsia" w:ascii="仿宋" w:hAnsi="仿宋" w:eastAsia="仿宋" w:cs="仿宋"/>
                <w:b/>
                <w:color w:val="auto"/>
                <w:kern w:val="0"/>
                <w:sz w:val="32"/>
                <w:szCs w:val="32"/>
                <w:highlight w:val="none"/>
              </w:rPr>
            </w:pPr>
          </w:p>
        </w:tc>
      </w:tr>
    </w:tbl>
    <w:p>
      <w:pPr>
        <w:wordWrap w:val="0"/>
        <w:autoSpaceDE w:val="0"/>
        <w:autoSpaceDN w:val="0"/>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注：</w:t>
      </w:r>
      <w:r>
        <w:rPr>
          <w:rFonts w:hint="eastAsia" w:ascii="仿宋" w:hAnsi="仿宋" w:eastAsia="仿宋" w:cs="仿宋"/>
          <w:color w:val="auto"/>
          <w:kern w:val="0"/>
          <w:sz w:val="24"/>
          <w:highlight w:val="none"/>
        </w:rPr>
        <w:t>本项目不允许采购进口产品。</w:t>
      </w:r>
    </w:p>
    <w:p>
      <w:pPr>
        <w:wordWrap w:val="0"/>
        <w:autoSpaceDE w:val="0"/>
        <w:autoSpaceDN w:val="0"/>
        <w:spacing w:line="360" w:lineRule="auto"/>
        <w:rPr>
          <w:rFonts w:hint="eastAsia" w:ascii="仿宋" w:hAnsi="仿宋" w:eastAsia="仿宋" w:cs="仿宋"/>
          <w:b/>
          <w:color w:val="auto"/>
          <w:sz w:val="24"/>
          <w:highlight w:val="none"/>
        </w:rPr>
      </w:pPr>
    </w:p>
    <w:p>
      <w:pPr>
        <w:wordWrap w:val="0"/>
        <w:autoSpaceDE w:val="0"/>
        <w:autoSpaceDN w:val="0"/>
        <w:spacing w:line="360" w:lineRule="auto"/>
        <w:rPr>
          <w:rFonts w:hint="eastAsia" w:ascii="仿宋" w:hAnsi="仿宋" w:eastAsia="仿宋" w:cs="仿宋"/>
          <w:color w:val="auto"/>
          <w:sz w:val="24"/>
          <w:highlight w:val="none"/>
        </w:rPr>
      </w:pPr>
    </w:p>
    <w:p>
      <w:pPr>
        <w:pStyle w:val="33"/>
        <w:wordWrap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p>
    <w:p>
      <w:pPr>
        <w:pStyle w:val="33"/>
        <w:wordWrap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pPr>
        <w:wordWrap w:val="0"/>
        <w:jc w:val="center"/>
        <w:rPr>
          <w:rFonts w:hint="eastAsia" w:ascii="仿宋" w:hAnsi="仿宋" w:eastAsia="仿宋" w:cs="仿宋"/>
          <w:b/>
          <w:color w:val="auto"/>
          <w:kern w:val="0"/>
          <w:sz w:val="32"/>
          <w:szCs w:val="32"/>
          <w:highlight w:val="none"/>
        </w:rPr>
      </w:pPr>
    </w:p>
    <w:p>
      <w:pPr>
        <w:wordWrap w:val="0"/>
        <w:jc w:val="center"/>
        <w:outlineLvl w:val="4"/>
        <w:rPr>
          <w:rFonts w:hint="eastAsia" w:ascii="仿宋" w:hAnsi="仿宋" w:eastAsia="仿宋" w:cs="仿宋"/>
          <w:b/>
          <w:color w:val="auto"/>
          <w:kern w:val="0"/>
          <w:sz w:val="32"/>
          <w:szCs w:val="32"/>
          <w:highlight w:val="none"/>
        </w:rPr>
        <w:sectPr>
          <w:pgSz w:w="11905" w:h="16838"/>
          <w:pgMar w:top="652" w:right="1417" w:bottom="680" w:left="1417" w:header="539" w:footer="425" w:gutter="0"/>
          <w:cols w:space="0" w:num="1"/>
          <w:titlePg/>
          <w:docGrid w:linePitch="312" w:charSpace="0"/>
        </w:sectPr>
      </w:pPr>
    </w:p>
    <w:p>
      <w:pPr>
        <w:wordWrap w:val="0"/>
        <w:outlineLvl w:val="4"/>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w:t>
      </w: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lang w:val="zh-CN"/>
        </w:rPr>
        <w:t>）投标人为完成本项目组建的项目组人员名单</w:t>
      </w:r>
    </w:p>
    <w:p>
      <w:pPr>
        <w:wordWrap w:val="0"/>
        <w:autoSpaceDE w:val="0"/>
        <w:autoSpaceDN w:val="0"/>
        <w:spacing w:line="360" w:lineRule="auto"/>
        <w:ind w:firstLine="477"/>
        <w:rPr>
          <w:rFonts w:hint="eastAsia" w:ascii="仿宋" w:hAnsi="仿宋" w:eastAsia="仿宋" w:cs="仿宋"/>
          <w:b/>
          <w:color w:val="auto"/>
          <w:sz w:val="24"/>
          <w:highlight w:val="none"/>
        </w:rPr>
      </w:pPr>
    </w:p>
    <w:p>
      <w:pPr>
        <w:wordWrap w:val="0"/>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w:t>
      </w:r>
      <w:r>
        <w:rPr>
          <w:rFonts w:hint="eastAsia" w:ascii="仿宋" w:hAnsi="仿宋" w:eastAsia="仿宋" w:cs="仿宋"/>
          <w:b/>
          <w:color w:val="auto"/>
          <w:sz w:val="24"/>
          <w:highlight w:val="none"/>
          <w:lang w:eastAsia="zh-CN"/>
        </w:rPr>
        <w:t>项目负责人</w:t>
      </w:r>
      <w:r>
        <w:rPr>
          <w:rFonts w:hint="eastAsia" w:ascii="仿宋" w:hAnsi="仿宋" w:eastAsia="仿宋" w:cs="仿宋"/>
          <w:b/>
          <w:color w:val="auto"/>
          <w:sz w:val="24"/>
          <w:highlight w:val="none"/>
        </w:rPr>
        <w:t>情况表</w:t>
      </w:r>
    </w:p>
    <w:tbl>
      <w:tblPr>
        <w:tblStyle w:val="62"/>
        <w:tblW w:w="7793" w:type="dxa"/>
        <w:jc w:val="center"/>
        <w:tblLayout w:type="fixed"/>
        <w:tblCellMar>
          <w:top w:w="0" w:type="dxa"/>
          <w:left w:w="108" w:type="dxa"/>
          <w:bottom w:w="0" w:type="dxa"/>
          <w:right w:w="108" w:type="dxa"/>
        </w:tblCellMar>
      </w:tblPr>
      <w:tblGrid>
        <w:gridCol w:w="2160"/>
        <w:gridCol w:w="1486"/>
        <w:gridCol w:w="4147"/>
      </w:tblGrid>
      <w:tr>
        <w:tblPrEx>
          <w:tblCellMar>
            <w:top w:w="0" w:type="dxa"/>
            <w:left w:w="108" w:type="dxa"/>
            <w:bottom w:w="0" w:type="dxa"/>
            <w:right w:w="108" w:type="dxa"/>
          </w:tblCellMar>
        </w:tblPrEx>
        <w:trPr>
          <w:trHeight w:val="604"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近3年业绩及承担的主要工作情况，曾担任</w:t>
            </w:r>
            <w:r>
              <w:rPr>
                <w:rFonts w:hint="eastAsia" w:ascii="仿宋" w:hAnsi="仿宋" w:eastAsia="仿宋" w:cs="仿宋"/>
                <w:color w:val="auto"/>
                <w:sz w:val="24"/>
                <w:highlight w:val="none"/>
                <w:lang w:eastAsia="zh-CN"/>
              </w:rPr>
              <w:t>项目负责人</w:t>
            </w:r>
            <w:r>
              <w:rPr>
                <w:rFonts w:hint="eastAsia" w:ascii="仿宋" w:hAnsi="仿宋" w:eastAsia="仿宋" w:cs="仿宋"/>
                <w:color w:val="auto"/>
                <w:sz w:val="24"/>
                <w:highlight w:val="none"/>
              </w:rPr>
              <w:t>的项目应列明细</w:t>
            </w:r>
          </w:p>
        </w:tc>
      </w:tr>
      <w:tr>
        <w:tblPrEx>
          <w:tblCellMar>
            <w:top w:w="0" w:type="dxa"/>
            <w:left w:w="108" w:type="dxa"/>
            <w:bottom w:w="0" w:type="dxa"/>
            <w:right w:w="108" w:type="dxa"/>
          </w:tblCellMar>
        </w:tblPrEx>
        <w:trPr>
          <w:cantSplit/>
          <w:trHeight w:val="345"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585"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572"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73" w:hRule="atLeast"/>
          <w:jc w:val="center"/>
        </w:trPr>
        <w:tc>
          <w:tcPr>
            <w:tcW w:w="21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486"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p>
        </w:tc>
      </w:tr>
    </w:tbl>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注：须随表提交相应的证明材料（证明材料以资格要求和评标办法要求为准）并注明所在页码。</w:t>
      </w:r>
    </w:p>
    <w:p>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附表B:本项目的其它服务工作人员配备表</w:t>
      </w:r>
      <w:r>
        <w:rPr>
          <w:rFonts w:hint="eastAsia" w:ascii="仿宋" w:hAnsi="仿宋" w:eastAsia="仿宋" w:cs="仿宋"/>
          <w:color w:val="auto"/>
          <w:sz w:val="24"/>
          <w:highlight w:val="none"/>
        </w:rPr>
        <w:t xml:space="preserve"> </w:t>
      </w:r>
    </w:p>
    <w:tbl>
      <w:tblPr>
        <w:tblStyle w:val="62"/>
        <w:tblW w:w="8519" w:type="dxa"/>
        <w:jc w:val="center"/>
        <w:tblLayout w:type="fixed"/>
        <w:tblCellMar>
          <w:top w:w="0" w:type="dxa"/>
          <w:left w:w="108" w:type="dxa"/>
          <w:bottom w:w="0" w:type="dxa"/>
          <w:right w:w="108" w:type="dxa"/>
        </w:tblCellMar>
      </w:tblPr>
      <w:tblGrid>
        <w:gridCol w:w="771"/>
        <w:gridCol w:w="1215"/>
        <w:gridCol w:w="787"/>
        <w:gridCol w:w="758"/>
        <w:gridCol w:w="817"/>
        <w:gridCol w:w="945"/>
        <w:gridCol w:w="990"/>
        <w:gridCol w:w="855"/>
        <w:gridCol w:w="1381"/>
      </w:tblGrid>
      <w:tr>
        <w:tblPrEx>
          <w:tblCellMar>
            <w:top w:w="0" w:type="dxa"/>
            <w:left w:w="108" w:type="dxa"/>
            <w:bottom w:w="0" w:type="dxa"/>
            <w:right w:w="108" w:type="dxa"/>
          </w:tblCellMar>
        </w:tblPrEx>
        <w:trPr>
          <w:jc w:val="center"/>
        </w:trPr>
        <w:tc>
          <w:tcPr>
            <w:tcW w:w="77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758"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1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94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99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5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38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工作经验</w:t>
            </w:r>
          </w:p>
        </w:tc>
      </w:tr>
      <w:tr>
        <w:tblPrEx>
          <w:tblCellMar>
            <w:top w:w="0" w:type="dxa"/>
            <w:left w:w="108" w:type="dxa"/>
            <w:bottom w:w="0" w:type="dxa"/>
            <w:right w:w="108" w:type="dxa"/>
          </w:tblCellMar>
        </w:tblPrEx>
        <w:trPr>
          <w:trHeight w:val="460" w:hRule="atLeast"/>
          <w:jc w:val="center"/>
        </w:trPr>
        <w:tc>
          <w:tcPr>
            <w:tcW w:w="77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1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4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38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95" w:hRule="atLeast"/>
          <w:jc w:val="center"/>
        </w:trPr>
        <w:tc>
          <w:tcPr>
            <w:tcW w:w="77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1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4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38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505" w:hRule="atLeast"/>
          <w:jc w:val="center"/>
        </w:trPr>
        <w:tc>
          <w:tcPr>
            <w:tcW w:w="77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1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4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38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21" w:hRule="atLeast"/>
          <w:jc w:val="center"/>
        </w:trPr>
        <w:tc>
          <w:tcPr>
            <w:tcW w:w="77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lef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1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4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38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60" w:hRule="atLeast"/>
          <w:jc w:val="center"/>
        </w:trPr>
        <w:tc>
          <w:tcPr>
            <w:tcW w:w="77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lef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1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4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38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15" w:hRule="atLeast"/>
          <w:jc w:val="center"/>
        </w:trPr>
        <w:tc>
          <w:tcPr>
            <w:tcW w:w="77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lef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kern w:val="0"/>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1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4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38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45" w:hRule="atLeast"/>
          <w:jc w:val="center"/>
        </w:trPr>
        <w:tc>
          <w:tcPr>
            <w:tcW w:w="77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lef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kern w:val="0"/>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75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1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4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8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c>
          <w:tcPr>
            <w:tcW w:w="138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hint="eastAsia" w:ascii="仿宋" w:hAnsi="仿宋" w:eastAsia="仿宋" w:cs="仿宋"/>
                <w:color w:val="auto"/>
                <w:sz w:val="24"/>
                <w:highlight w:val="none"/>
              </w:rPr>
            </w:pPr>
          </w:p>
        </w:tc>
      </w:tr>
    </w:tbl>
    <w:p>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注：须随表提交相应的证明材料（证明材料以资格要求和评标办法要求为准）并注明所在页码。</w:t>
      </w:r>
    </w:p>
    <w:p>
      <w:pPr>
        <w:wordWrap w:val="0"/>
        <w:ind w:firstLine="480" w:firstLineChars="200"/>
        <w:rPr>
          <w:rFonts w:hint="eastAsia" w:ascii="仿宋" w:hAnsi="仿宋" w:eastAsia="仿宋" w:cs="仿宋"/>
          <w:color w:val="auto"/>
          <w:sz w:val="24"/>
          <w:highlight w:val="none"/>
        </w:rPr>
      </w:pPr>
    </w:p>
    <w:p>
      <w:pPr>
        <w:pStyle w:val="61"/>
        <w:wordWrap w:val="0"/>
        <w:ind w:left="0" w:leftChars="0" w:firstLine="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w:t>
      </w:r>
    </w:p>
    <w:p>
      <w:pPr>
        <w:pStyle w:val="61"/>
        <w:wordWrap w:val="0"/>
        <w:ind w:left="0" w:leftChars="0" w:firstLine="480"/>
        <w:rPr>
          <w:rFonts w:hint="eastAsia" w:ascii="仿宋" w:hAnsi="仿宋" w:eastAsia="仿宋" w:cs="仿宋"/>
          <w:color w:val="auto"/>
          <w:highlight w:val="none"/>
        </w:rPr>
        <w:sectPr>
          <w:pgSz w:w="11905" w:h="16838"/>
          <w:pgMar w:top="652" w:right="1417" w:bottom="680" w:left="1417" w:header="539" w:footer="425" w:gutter="0"/>
          <w:cols w:space="0" w:num="1"/>
          <w:titlePg/>
          <w:docGrid w:linePitch="312" w:charSpace="0"/>
        </w:sect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p>
    <w:p>
      <w:pPr>
        <w:wordWrap w:val="0"/>
        <w:outlineLvl w:val="4"/>
        <w:rPr>
          <w:rFonts w:hint="eastAsia" w:ascii="仿宋" w:hAnsi="仿宋" w:eastAsia="仿宋" w:cs="仿宋"/>
          <w:b/>
          <w:color w:val="auto"/>
          <w:kern w:val="0"/>
          <w:sz w:val="32"/>
          <w:szCs w:val="32"/>
          <w:highlight w:val="none"/>
        </w:rPr>
      </w:pPr>
      <w:bookmarkStart w:id="545" w:name="_Toc9403"/>
      <w:bookmarkStart w:id="546" w:name="_Toc11318"/>
      <w:bookmarkStart w:id="547" w:name="_Toc3004"/>
      <w:bookmarkStart w:id="548" w:name="_Toc14279"/>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bookmarkEnd w:id="545"/>
      <w:bookmarkEnd w:id="546"/>
      <w:bookmarkEnd w:id="547"/>
      <w:bookmarkEnd w:id="548"/>
    </w:p>
    <w:p>
      <w:pPr>
        <w:numPr>
          <w:ilvl w:val="255"/>
          <w:numId w:val="0"/>
        </w:numPr>
        <w:wordWrap w:val="0"/>
        <w:jc w:val="left"/>
        <w:rPr>
          <w:rFonts w:hint="eastAsia" w:ascii="仿宋" w:hAnsi="仿宋" w:eastAsia="仿宋" w:cs="仿宋"/>
          <w:b/>
          <w:color w:val="auto"/>
          <w:kern w:val="0"/>
          <w:sz w:val="32"/>
          <w:szCs w:val="32"/>
          <w:highlight w:val="none"/>
        </w:rPr>
      </w:pPr>
    </w:p>
    <w:p>
      <w:pPr>
        <w:numPr>
          <w:ilvl w:val="255"/>
          <w:numId w:val="0"/>
        </w:numPr>
        <w:wordWrap w:val="0"/>
        <w:jc w:val="center"/>
        <w:outlineLvl w:val="4"/>
        <w:rPr>
          <w:rFonts w:hint="eastAsia" w:ascii="仿宋" w:hAnsi="仿宋" w:eastAsia="仿宋" w:cs="仿宋"/>
          <w:b/>
          <w:color w:val="auto"/>
          <w:kern w:val="0"/>
          <w:sz w:val="32"/>
          <w:szCs w:val="32"/>
          <w:highlight w:val="none"/>
        </w:rPr>
      </w:pPr>
      <w:bookmarkStart w:id="549" w:name="_Toc1061"/>
      <w:r>
        <w:rPr>
          <w:rFonts w:hint="eastAsia" w:ascii="仿宋" w:hAnsi="仿宋" w:eastAsia="仿宋" w:cs="仿宋"/>
          <w:b/>
          <w:color w:val="auto"/>
          <w:kern w:val="0"/>
          <w:sz w:val="32"/>
          <w:szCs w:val="32"/>
          <w:highlight w:val="none"/>
        </w:rPr>
        <w:t>商务偏离表</w:t>
      </w:r>
      <w:bookmarkEnd w:id="549"/>
    </w:p>
    <w:p>
      <w:pPr>
        <w:numPr>
          <w:ilvl w:val="255"/>
          <w:numId w:val="0"/>
        </w:numPr>
        <w:wordWrap w:val="0"/>
        <w:rPr>
          <w:rFonts w:hint="eastAsia" w:ascii="仿宋" w:hAnsi="仿宋" w:eastAsia="仿宋" w:cs="仿宋"/>
          <w:b/>
          <w:color w:val="auto"/>
          <w:kern w:val="0"/>
          <w:sz w:val="32"/>
          <w:szCs w:val="32"/>
          <w:highlight w:val="none"/>
        </w:rPr>
      </w:pPr>
    </w:p>
    <w:tbl>
      <w:tblPr>
        <w:tblStyle w:val="63"/>
        <w:tblW w:w="8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678"/>
        <w:gridCol w:w="4993"/>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65" w:type="dxa"/>
          </w:tcPr>
          <w:p>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678" w:type="dxa"/>
          </w:tcPr>
          <w:p>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4993" w:type="dxa"/>
          </w:tcPr>
          <w:p>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430" w:type="dxa"/>
          </w:tcPr>
          <w:p>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65" w:type="dxa"/>
            <w:vAlign w:val="center"/>
          </w:tcPr>
          <w:p>
            <w:pPr>
              <w:wordWrap w:val="0"/>
              <w:jc w:val="center"/>
              <w:rPr>
                <w:rFonts w:hint="eastAsia" w:ascii="仿宋" w:hAnsi="仿宋" w:eastAsia="仿宋" w:cs="仿宋"/>
                <w:color w:val="auto"/>
                <w:kern w:val="0"/>
                <w:sz w:val="24"/>
                <w:highlight w:val="none"/>
              </w:rPr>
            </w:pPr>
          </w:p>
        </w:tc>
        <w:tc>
          <w:tcPr>
            <w:tcW w:w="1678" w:type="dxa"/>
            <w:vAlign w:val="center"/>
          </w:tcPr>
          <w:p>
            <w:pPr>
              <w:wordWrap w:val="0"/>
              <w:jc w:val="center"/>
              <w:rPr>
                <w:rFonts w:hint="eastAsia" w:ascii="仿宋" w:hAnsi="仿宋" w:eastAsia="仿宋" w:cs="仿宋"/>
                <w:b/>
                <w:color w:val="auto"/>
                <w:kern w:val="0"/>
                <w:sz w:val="32"/>
                <w:szCs w:val="32"/>
                <w:highlight w:val="none"/>
              </w:rPr>
            </w:pPr>
          </w:p>
        </w:tc>
        <w:tc>
          <w:tcPr>
            <w:tcW w:w="4993" w:type="dxa"/>
          </w:tcPr>
          <w:p>
            <w:pPr>
              <w:wordWrap w:val="0"/>
              <w:spacing w:line="360" w:lineRule="auto"/>
              <w:outlineLvl w:val="1"/>
              <w:rPr>
                <w:rFonts w:hint="eastAsia" w:ascii="仿宋" w:hAnsi="仿宋" w:eastAsia="仿宋" w:cs="仿宋"/>
                <w:b/>
                <w:color w:val="auto"/>
                <w:kern w:val="0"/>
                <w:szCs w:val="21"/>
                <w:highlight w:val="none"/>
              </w:rPr>
            </w:pPr>
          </w:p>
        </w:tc>
        <w:tc>
          <w:tcPr>
            <w:tcW w:w="1430"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65" w:type="dxa"/>
            <w:vAlign w:val="center"/>
          </w:tcPr>
          <w:p>
            <w:pPr>
              <w:wordWrap w:val="0"/>
              <w:jc w:val="center"/>
              <w:rPr>
                <w:rFonts w:hint="eastAsia" w:ascii="仿宋" w:hAnsi="仿宋" w:eastAsia="仿宋" w:cs="仿宋"/>
                <w:color w:val="auto"/>
                <w:kern w:val="0"/>
                <w:sz w:val="24"/>
                <w:highlight w:val="none"/>
              </w:rPr>
            </w:pPr>
          </w:p>
        </w:tc>
        <w:tc>
          <w:tcPr>
            <w:tcW w:w="1678" w:type="dxa"/>
            <w:vAlign w:val="center"/>
          </w:tcPr>
          <w:p>
            <w:pPr>
              <w:wordWrap w:val="0"/>
              <w:jc w:val="center"/>
              <w:rPr>
                <w:rFonts w:hint="eastAsia" w:ascii="仿宋" w:hAnsi="仿宋" w:eastAsia="仿宋" w:cs="仿宋"/>
                <w:b/>
                <w:color w:val="auto"/>
                <w:kern w:val="0"/>
                <w:sz w:val="32"/>
                <w:szCs w:val="32"/>
                <w:highlight w:val="none"/>
              </w:rPr>
            </w:pPr>
          </w:p>
        </w:tc>
        <w:tc>
          <w:tcPr>
            <w:tcW w:w="4993" w:type="dxa"/>
          </w:tcPr>
          <w:p>
            <w:pPr>
              <w:wordWrap w:val="0"/>
              <w:spacing w:line="360" w:lineRule="auto"/>
              <w:outlineLvl w:val="2"/>
              <w:rPr>
                <w:rFonts w:hint="eastAsia" w:ascii="仿宋" w:hAnsi="仿宋" w:eastAsia="仿宋" w:cs="仿宋"/>
                <w:b/>
                <w:color w:val="auto"/>
                <w:kern w:val="0"/>
                <w:szCs w:val="21"/>
                <w:highlight w:val="none"/>
              </w:rPr>
            </w:pPr>
          </w:p>
        </w:tc>
        <w:tc>
          <w:tcPr>
            <w:tcW w:w="1430"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65" w:type="dxa"/>
            <w:vAlign w:val="center"/>
          </w:tcPr>
          <w:p>
            <w:pPr>
              <w:wordWrap w:val="0"/>
              <w:jc w:val="center"/>
              <w:rPr>
                <w:rFonts w:hint="eastAsia" w:ascii="仿宋" w:hAnsi="仿宋" w:eastAsia="仿宋" w:cs="仿宋"/>
                <w:color w:val="auto"/>
                <w:kern w:val="0"/>
                <w:sz w:val="24"/>
                <w:highlight w:val="none"/>
              </w:rPr>
            </w:pPr>
          </w:p>
        </w:tc>
        <w:tc>
          <w:tcPr>
            <w:tcW w:w="1678" w:type="dxa"/>
            <w:vAlign w:val="center"/>
          </w:tcPr>
          <w:p>
            <w:pPr>
              <w:wordWrap w:val="0"/>
              <w:jc w:val="center"/>
              <w:rPr>
                <w:rFonts w:hint="eastAsia" w:ascii="仿宋" w:hAnsi="仿宋" w:eastAsia="仿宋" w:cs="仿宋"/>
                <w:b/>
                <w:color w:val="auto"/>
                <w:kern w:val="0"/>
                <w:sz w:val="32"/>
                <w:szCs w:val="32"/>
                <w:highlight w:val="none"/>
              </w:rPr>
            </w:pPr>
          </w:p>
        </w:tc>
        <w:tc>
          <w:tcPr>
            <w:tcW w:w="4993" w:type="dxa"/>
          </w:tcPr>
          <w:p>
            <w:pPr>
              <w:wordWrap w:val="0"/>
              <w:spacing w:line="360" w:lineRule="auto"/>
              <w:rPr>
                <w:rFonts w:hint="eastAsia" w:ascii="仿宋" w:hAnsi="仿宋" w:eastAsia="仿宋" w:cs="仿宋"/>
                <w:b/>
                <w:color w:val="auto"/>
                <w:kern w:val="0"/>
                <w:szCs w:val="21"/>
                <w:highlight w:val="none"/>
              </w:rPr>
            </w:pPr>
          </w:p>
        </w:tc>
        <w:tc>
          <w:tcPr>
            <w:tcW w:w="1430"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65" w:type="dxa"/>
            <w:vAlign w:val="center"/>
          </w:tcPr>
          <w:p>
            <w:pPr>
              <w:wordWrap w:val="0"/>
              <w:jc w:val="center"/>
              <w:rPr>
                <w:rFonts w:hint="eastAsia" w:ascii="仿宋" w:hAnsi="仿宋" w:eastAsia="仿宋" w:cs="仿宋"/>
                <w:color w:val="auto"/>
                <w:kern w:val="0"/>
                <w:sz w:val="24"/>
                <w:highlight w:val="none"/>
              </w:rPr>
            </w:pPr>
          </w:p>
        </w:tc>
        <w:tc>
          <w:tcPr>
            <w:tcW w:w="1678" w:type="dxa"/>
            <w:vAlign w:val="center"/>
          </w:tcPr>
          <w:p>
            <w:pPr>
              <w:wordWrap w:val="0"/>
              <w:jc w:val="center"/>
              <w:rPr>
                <w:rFonts w:hint="eastAsia" w:ascii="仿宋" w:hAnsi="仿宋" w:eastAsia="仿宋" w:cs="仿宋"/>
                <w:b/>
                <w:color w:val="auto"/>
                <w:kern w:val="0"/>
                <w:sz w:val="32"/>
                <w:szCs w:val="32"/>
                <w:highlight w:val="none"/>
              </w:rPr>
            </w:pPr>
          </w:p>
        </w:tc>
        <w:tc>
          <w:tcPr>
            <w:tcW w:w="4993" w:type="dxa"/>
          </w:tcPr>
          <w:p>
            <w:pPr>
              <w:wordWrap w:val="0"/>
              <w:snapToGrid w:val="0"/>
              <w:spacing w:line="360" w:lineRule="auto"/>
              <w:rPr>
                <w:rFonts w:hint="eastAsia" w:ascii="仿宋" w:hAnsi="仿宋" w:eastAsia="仿宋" w:cs="仿宋"/>
                <w:b/>
                <w:color w:val="auto"/>
                <w:kern w:val="0"/>
                <w:szCs w:val="21"/>
                <w:highlight w:val="none"/>
              </w:rPr>
            </w:pPr>
          </w:p>
        </w:tc>
        <w:tc>
          <w:tcPr>
            <w:tcW w:w="1430"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65" w:type="dxa"/>
            <w:vAlign w:val="center"/>
          </w:tcPr>
          <w:p>
            <w:pPr>
              <w:wordWrap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1678" w:type="dxa"/>
            <w:vAlign w:val="center"/>
          </w:tcPr>
          <w:p>
            <w:pPr>
              <w:wordWrap w:val="0"/>
              <w:jc w:val="center"/>
              <w:rPr>
                <w:rFonts w:hint="eastAsia" w:ascii="仿宋" w:hAnsi="仿宋" w:eastAsia="仿宋" w:cs="仿宋"/>
                <w:b/>
                <w:color w:val="auto"/>
                <w:kern w:val="0"/>
                <w:sz w:val="32"/>
                <w:szCs w:val="32"/>
                <w:highlight w:val="none"/>
              </w:rPr>
            </w:pPr>
          </w:p>
        </w:tc>
        <w:tc>
          <w:tcPr>
            <w:tcW w:w="4993" w:type="dxa"/>
          </w:tcPr>
          <w:p>
            <w:pPr>
              <w:wordWrap w:val="0"/>
              <w:jc w:val="center"/>
              <w:rPr>
                <w:rFonts w:hint="eastAsia" w:ascii="仿宋" w:hAnsi="仿宋" w:eastAsia="仿宋" w:cs="仿宋"/>
                <w:b/>
                <w:color w:val="auto"/>
                <w:kern w:val="0"/>
                <w:sz w:val="32"/>
                <w:szCs w:val="32"/>
                <w:highlight w:val="none"/>
              </w:rPr>
            </w:pPr>
          </w:p>
        </w:tc>
        <w:tc>
          <w:tcPr>
            <w:tcW w:w="1430" w:type="dxa"/>
          </w:tcPr>
          <w:p>
            <w:pPr>
              <w:wordWrap w:val="0"/>
              <w:jc w:val="center"/>
              <w:rPr>
                <w:rFonts w:hint="eastAsia" w:ascii="仿宋" w:hAnsi="仿宋" w:eastAsia="仿宋" w:cs="仿宋"/>
                <w:b/>
                <w:color w:val="auto"/>
                <w:kern w:val="0"/>
                <w:sz w:val="32"/>
                <w:szCs w:val="32"/>
                <w:highlight w:val="none"/>
              </w:rPr>
            </w:pPr>
          </w:p>
        </w:tc>
      </w:tr>
    </w:tbl>
    <w:p>
      <w:pPr>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注：1.投标人保证：除商务偏离表列出的偏离外，投标人响应招标文件的全部要求。</w:t>
      </w:r>
    </w:p>
    <w:p>
      <w:pPr>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2.未填写的视为响应招标文件的全部要求。</w:t>
      </w:r>
    </w:p>
    <w:p>
      <w:pPr>
        <w:numPr>
          <w:ilvl w:val="255"/>
          <w:numId w:val="0"/>
        </w:numPr>
        <w:wordWrap w:val="0"/>
        <w:jc w:val="left"/>
        <w:rPr>
          <w:rFonts w:hint="eastAsia" w:ascii="仿宋" w:hAnsi="仿宋" w:eastAsia="仿宋" w:cs="仿宋"/>
          <w:b/>
          <w:color w:val="auto"/>
          <w:kern w:val="0"/>
          <w:sz w:val="32"/>
          <w:szCs w:val="32"/>
          <w:highlight w:val="none"/>
        </w:rPr>
      </w:pPr>
    </w:p>
    <w:p>
      <w:pPr>
        <w:numPr>
          <w:ilvl w:val="255"/>
          <w:numId w:val="0"/>
        </w:numPr>
        <w:wordWrap w:val="0"/>
        <w:jc w:val="left"/>
        <w:rPr>
          <w:rFonts w:hint="eastAsia" w:ascii="仿宋" w:hAnsi="仿宋" w:eastAsia="仿宋" w:cs="仿宋"/>
          <w:b/>
          <w:color w:val="auto"/>
          <w:kern w:val="0"/>
          <w:sz w:val="32"/>
          <w:szCs w:val="32"/>
          <w:highlight w:val="none"/>
        </w:rPr>
      </w:pPr>
    </w:p>
    <w:p>
      <w:pPr>
        <w:numPr>
          <w:ilvl w:val="255"/>
          <w:numId w:val="0"/>
        </w:numPr>
        <w:wordWrap w:val="0"/>
        <w:jc w:val="left"/>
        <w:rPr>
          <w:rFonts w:hint="eastAsia" w:ascii="仿宋" w:hAnsi="仿宋" w:eastAsia="仿宋" w:cs="仿宋"/>
          <w:b/>
          <w:color w:val="auto"/>
          <w:kern w:val="0"/>
          <w:sz w:val="32"/>
          <w:szCs w:val="32"/>
          <w:highlight w:val="none"/>
        </w:rPr>
      </w:pPr>
    </w:p>
    <w:p>
      <w:pPr>
        <w:numPr>
          <w:ilvl w:val="255"/>
          <w:numId w:val="0"/>
        </w:numPr>
        <w:wordWrap w:val="0"/>
        <w:jc w:val="left"/>
        <w:rPr>
          <w:rFonts w:hint="eastAsia" w:ascii="仿宋" w:hAnsi="仿宋" w:eastAsia="仿宋" w:cs="仿宋"/>
          <w:b/>
          <w:color w:val="auto"/>
          <w:kern w:val="0"/>
          <w:sz w:val="32"/>
          <w:szCs w:val="32"/>
          <w:highlight w:val="none"/>
        </w:rPr>
      </w:pPr>
    </w:p>
    <w:p>
      <w:pPr>
        <w:numPr>
          <w:ilvl w:val="255"/>
          <w:numId w:val="0"/>
        </w:numPr>
        <w:wordWrap w:val="0"/>
        <w:jc w:val="left"/>
        <w:rPr>
          <w:rFonts w:hint="eastAsia" w:ascii="仿宋" w:hAnsi="仿宋" w:eastAsia="仿宋" w:cs="仿宋"/>
          <w:b/>
          <w:color w:val="auto"/>
          <w:kern w:val="0"/>
          <w:sz w:val="32"/>
          <w:szCs w:val="32"/>
          <w:highlight w:val="none"/>
        </w:rPr>
      </w:pPr>
    </w:p>
    <w:p>
      <w:pPr>
        <w:numPr>
          <w:ilvl w:val="255"/>
          <w:numId w:val="0"/>
        </w:numPr>
        <w:wordWrap w:val="0"/>
        <w:jc w:val="center"/>
        <w:outlineLvl w:val="2"/>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技术偏离表</w:t>
      </w:r>
    </w:p>
    <w:p>
      <w:pPr>
        <w:pStyle w:val="61"/>
        <w:numPr>
          <w:ilvl w:val="255"/>
          <w:numId w:val="0"/>
        </w:numPr>
        <w:wordWrap w:val="0"/>
        <w:rPr>
          <w:rFonts w:hint="eastAsia" w:ascii="仿宋" w:hAnsi="仿宋" w:eastAsia="仿宋" w:cs="仿宋"/>
          <w:color w:val="auto"/>
          <w:highlight w:val="none"/>
        </w:rPr>
      </w:pPr>
    </w:p>
    <w:tbl>
      <w:tblPr>
        <w:tblStyle w:val="63"/>
        <w:tblW w:w="9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667"/>
        <w:gridCol w:w="2147"/>
        <w:gridCol w:w="2000"/>
        <w:gridCol w:w="128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54" w:type="dxa"/>
            <w:vAlign w:val="top"/>
          </w:tcPr>
          <w:p>
            <w:pPr>
              <w:wordWrap w:val="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序号</w:t>
            </w:r>
          </w:p>
        </w:tc>
        <w:tc>
          <w:tcPr>
            <w:tcW w:w="1667" w:type="dxa"/>
            <w:vAlign w:val="top"/>
          </w:tcPr>
          <w:p>
            <w:pPr>
              <w:wordWrap w:val="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招标文件</w:t>
            </w:r>
            <w:r>
              <w:rPr>
                <w:rFonts w:hint="eastAsia" w:ascii="仿宋" w:hAnsi="仿宋" w:eastAsia="仿宋" w:cs="仿宋"/>
                <w:b/>
                <w:bCs/>
                <w:color w:val="auto"/>
                <w:sz w:val="24"/>
                <w:szCs w:val="24"/>
                <w:highlight w:val="none"/>
                <w:lang w:val="en-US" w:eastAsia="zh-CN"/>
              </w:rPr>
              <w:t>具体章节</w:t>
            </w:r>
          </w:p>
        </w:tc>
        <w:tc>
          <w:tcPr>
            <w:tcW w:w="2147" w:type="dxa"/>
            <w:vAlign w:val="top"/>
          </w:tcPr>
          <w:p>
            <w:pPr>
              <w:wordWrap w:val="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具体内容</w:t>
            </w:r>
          </w:p>
        </w:tc>
        <w:tc>
          <w:tcPr>
            <w:tcW w:w="2000" w:type="dxa"/>
            <w:vAlign w:val="top"/>
          </w:tcPr>
          <w:p>
            <w:pPr>
              <w:wordWrap w:val="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投标文件章节及具体内容</w:t>
            </w:r>
          </w:p>
        </w:tc>
        <w:tc>
          <w:tcPr>
            <w:tcW w:w="1288" w:type="dxa"/>
            <w:vAlign w:val="top"/>
          </w:tcPr>
          <w:p>
            <w:pPr>
              <w:wordWrap w:val="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偏离说明</w:t>
            </w:r>
          </w:p>
        </w:tc>
        <w:tc>
          <w:tcPr>
            <w:tcW w:w="1461" w:type="dxa"/>
            <w:vAlign w:val="top"/>
          </w:tcPr>
          <w:p>
            <w:pPr>
              <w:wordWrap w:val="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54" w:type="dxa"/>
            <w:vAlign w:val="center"/>
          </w:tcPr>
          <w:p>
            <w:pPr>
              <w:wordWrap w:val="0"/>
              <w:jc w:val="center"/>
              <w:rPr>
                <w:rFonts w:hint="eastAsia" w:ascii="仿宋" w:hAnsi="仿宋" w:eastAsia="仿宋" w:cs="仿宋"/>
                <w:b/>
                <w:bCs/>
                <w:color w:val="auto"/>
                <w:kern w:val="2"/>
                <w:sz w:val="15"/>
                <w:szCs w:val="15"/>
                <w:highlight w:val="none"/>
                <w:lang w:val="en-US" w:eastAsia="zh-CN" w:bidi="ar-SA"/>
              </w:rPr>
            </w:pPr>
          </w:p>
        </w:tc>
        <w:tc>
          <w:tcPr>
            <w:tcW w:w="1667" w:type="dxa"/>
            <w:vAlign w:val="center"/>
          </w:tcPr>
          <w:p>
            <w:pPr>
              <w:jc w:val="center"/>
              <w:rPr>
                <w:rFonts w:hint="eastAsia" w:ascii="仿宋" w:hAnsi="仿宋" w:eastAsia="仿宋" w:cs="仿宋"/>
                <w:b/>
                <w:bCs/>
                <w:color w:val="auto"/>
                <w:kern w:val="2"/>
                <w:sz w:val="15"/>
                <w:szCs w:val="15"/>
                <w:highlight w:val="none"/>
                <w:lang w:val="en-US" w:eastAsia="zh-CN" w:bidi="ar-SA"/>
              </w:rPr>
            </w:pPr>
          </w:p>
        </w:tc>
        <w:tc>
          <w:tcPr>
            <w:tcW w:w="2147" w:type="dxa"/>
          </w:tcPr>
          <w:p>
            <w:pPr>
              <w:pStyle w:val="3"/>
              <w:wordWrap w:val="0"/>
              <w:rPr>
                <w:rFonts w:hint="eastAsia" w:ascii="仿宋" w:hAnsi="仿宋" w:eastAsia="仿宋" w:cs="仿宋"/>
                <w:b/>
                <w:color w:val="auto"/>
                <w:kern w:val="0"/>
                <w:sz w:val="21"/>
                <w:highlight w:val="none"/>
              </w:rPr>
            </w:pPr>
          </w:p>
        </w:tc>
        <w:tc>
          <w:tcPr>
            <w:tcW w:w="2000" w:type="dxa"/>
          </w:tcPr>
          <w:p>
            <w:pPr>
              <w:wordWrap w:val="0"/>
              <w:jc w:val="center"/>
              <w:rPr>
                <w:rFonts w:hint="eastAsia" w:ascii="仿宋" w:hAnsi="仿宋" w:eastAsia="仿宋" w:cs="仿宋"/>
                <w:b/>
                <w:color w:val="auto"/>
                <w:kern w:val="0"/>
                <w:sz w:val="32"/>
                <w:szCs w:val="32"/>
                <w:highlight w:val="none"/>
              </w:rPr>
            </w:pPr>
          </w:p>
        </w:tc>
        <w:tc>
          <w:tcPr>
            <w:tcW w:w="1288" w:type="dxa"/>
          </w:tcPr>
          <w:p>
            <w:pPr>
              <w:wordWrap w:val="0"/>
              <w:jc w:val="center"/>
              <w:rPr>
                <w:rFonts w:hint="eastAsia" w:ascii="仿宋" w:hAnsi="仿宋" w:eastAsia="仿宋" w:cs="仿宋"/>
                <w:b/>
                <w:color w:val="auto"/>
                <w:kern w:val="0"/>
                <w:sz w:val="32"/>
                <w:szCs w:val="32"/>
                <w:highlight w:val="none"/>
              </w:rPr>
            </w:pPr>
          </w:p>
        </w:tc>
        <w:tc>
          <w:tcPr>
            <w:tcW w:w="1461"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54" w:type="dxa"/>
            <w:vAlign w:val="center"/>
          </w:tcPr>
          <w:p>
            <w:pPr>
              <w:wordWrap w:val="0"/>
              <w:jc w:val="center"/>
              <w:rPr>
                <w:rFonts w:hint="eastAsia" w:ascii="仿宋" w:hAnsi="仿宋" w:eastAsia="仿宋" w:cs="仿宋"/>
                <w:color w:val="auto"/>
                <w:kern w:val="0"/>
                <w:sz w:val="15"/>
                <w:szCs w:val="15"/>
                <w:highlight w:val="none"/>
                <w:lang w:val="en-US" w:eastAsia="zh-CN" w:bidi="ar-SA"/>
              </w:rPr>
            </w:pPr>
          </w:p>
        </w:tc>
        <w:tc>
          <w:tcPr>
            <w:tcW w:w="1667" w:type="dxa"/>
            <w:vAlign w:val="center"/>
          </w:tcPr>
          <w:p>
            <w:pPr>
              <w:wordWrap w:val="0"/>
              <w:jc w:val="center"/>
              <w:rPr>
                <w:rFonts w:hint="eastAsia" w:ascii="仿宋" w:hAnsi="仿宋" w:eastAsia="仿宋" w:cs="仿宋"/>
                <w:b/>
                <w:color w:val="auto"/>
                <w:kern w:val="0"/>
                <w:sz w:val="15"/>
                <w:szCs w:val="15"/>
                <w:highlight w:val="none"/>
                <w:lang w:val="en-US" w:eastAsia="zh-CN" w:bidi="ar-SA"/>
              </w:rPr>
            </w:pPr>
          </w:p>
        </w:tc>
        <w:tc>
          <w:tcPr>
            <w:tcW w:w="2147" w:type="dxa"/>
          </w:tcPr>
          <w:p>
            <w:pPr>
              <w:wordWrap w:val="0"/>
              <w:spacing w:line="360" w:lineRule="auto"/>
              <w:rPr>
                <w:rFonts w:hint="eastAsia" w:ascii="仿宋" w:hAnsi="仿宋" w:eastAsia="仿宋" w:cs="仿宋"/>
                <w:b/>
                <w:color w:val="auto"/>
                <w:kern w:val="0"/>
                <w:szCs w:val="21"/>
                <w:highlight w:val="none"/>
              </w:rPr>
            </w:pPr>
          </w:p>
        </w:tc>
        <w:tc>
          <w:tcPr>
            <w:tcW w:w="2000" w:type="dxa"/>
          </w:tcPr>
          <w:p>
            <w:pPr>
              <w:wordWrap w:val="0"/>
              <w:jc w:val="center"/>
              <w:rPr>
                <w:rFonts w:hint="eastAsia" w:ascii="仿宋" w:hAnsi="仿宋" w:eastAsia="仿宋" w:cs="仿宋"/>
                <w:b/>
                <w:color w:val="auto"/>
                <w:kern w:val="0"/>
                <w:sz w:val="32"/>
                <w:szCs w:val="32"/>
                <w:highlight w:val="none"/>
              </w:rPr>
            </w:pPr>
          </w:p>
        </w:tc>
        <w:tc>
          <w:tcPr>
            <w:tcW w:w="1288" w:type="dxa"/>
          </w:tcPr>
          <w:p>
            <w:pPr>
              <w:wordWrap w:val="0"/>
              <w:jc w:val="center"/>
              <w:rPr>
                <w:rFonts w:hint="eastAsia" w:ascii="仿宋" w:hAnsi="仿宋" w:eastAsia="仿宋" w:cs="仿宋"/>
                <w:b/>
                <w:color w:val="auto"/>
                <w:kern w:val="0"/>
                <w:sz w:val="32"/>
                <w:szCs w:val="32"/>
                <w:highlight w:val="none"/>
              </w:rPr>
            </w:pPr>
          </w:p>
        </w:tc>
        <w:tc>
          <w:tcPr>
            <w:tcW w:w="1461"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54" w:type="dxa"/>
            <w:vAlign w:val="center"/>
          </w:tcPr>
          <w:p>
            <w:pPr>
              <w:wordWrap w:val="0"/>
              <w:jc w:val="center"/>
              <w:rPr>
                <w:rFonts w:hint="eastAsia" w:ascii="仿宋" w:hAnsi="仿宋" w:eastAsia="仿宋" w:cs="仿宋"/>
                <w:color w:val="auto"/>
                <w:kern w:val="0"/>
                <w:sz w:val="15"/>
                <w:szCs w:val="15"/>
                <w:highlight w:val="none"/>
                <w:lang w:val="en-US" w:eastAsia="zh-CN" w:bidi="ar-SA"/>
              </w:rPr>
            </w:pPr>
          </w:p>
        </w:tc>
        <w:tc>
          <w:tcPr>
            <w:tcW w:w="1667" w:type="dxa"/>
            <w:vAlign w:val="center"/>
          </w:tcPr>
          <w:p>
            <w:pPr>
              <w:wordWrap w:val="0"/>
              <w:jc w:val="center"/>
              <w:rPr>
                <w:rFonts w:hint="eastAsia" w:ascii="仿宋" w:hAnsi="仿宋" w:eastAsia="仿宋" w:cs="仿宋"/>
                <w:b/>
                <w:bCs/>
                <w:color w:val="auto"/>
                <w:kern w:val="2"/>
                <w:sz w:val="15"/>
                <w:szCs w:val="15"/>
                <w:highlight w:val="none"/>
                <w:lang w:val="en-US" w:eastAsia="zh-CN" w:bidi="ar-SA"/>
              </w:rPr>
            </w:pPr>
          </w:p>
        </w:tc>
        <w:tc>
          <w:tcPr>
            <w:tcW w:w="2147" w:type="dxa"/>
          </w:tcPr>
          <w:p>
            <w:pPr>
              <w:wordWrap w:val="0"/>
              <w:spacing w:line="360" w:lineRule="auto"/>
              <w:rPr>
                <w:rFonts w:hint="eastAsia" w:ascii="仿宋" w:hAnsi="仿宋" w:eastAsia="仿宋" w:cs="仿宋"/>
                <w:color w:val="auto"/>
                <w:szCs w:val="21"/>
                <w:highlight w:val="none"/>
              </w:rPr>
            </w:pPr>
          </w:p>
        </w:tc>
        <w:tc>
          <w:tcPr>
            <w:tcW w:w="2000" w:type="dxa"/>
          </w:tcPr>
          <w:p>
            <w:pPr>
              <w:wordWrap w:val="0"/>
              <w:jc w:val="center"/>
              <w:rPr>
                <w:rFonts w:hint="eastAsia" w:ascii="仿宋" w:hAnsi="仿宋" w:eastAsia="仿宋" w:cs="仿宋"/>
                <w:b/>
                <w:color w:val="auto"/>
                <w:kern w:val="0"/>
                <w:sz w:val="32"/>
                <w:szCs w:val="32"/>
                <w:highlight w:val="none"/>
              </w:rPr>
            </w:pPr>
          </w:p>
        </w:tc>
        <w:tc>
          <w:tcPr>
            <w:tcW w:w="1288" w:type="dxa"/>
          </w:tcPr>
          <w:p>
            <w:pPr>
              <w:wordWrap w:val="0"/>
              <w:jc w:val="center"/>
              <w:rPr>
                <w:rFonts w:hint="eastAsia" w:ascii="仿宋" w:hAnsi="仿宋" w:eastAsia="仿宋" w:cs="仿宋"/>
                <w:b/>
                <w:color w:val="auto"/>
                <w:kern w:val="0"/>
                <w:sz w:val="32"/>
                <w:szCs w:val="32"/>
                <w:highlight w:val="none"/>
              </w:rPr>
            </w:pPr>
          </w:p>
        </w:tc>
        <w:tc>
          <w:tcPr>
            <w:tcW w:w="1461"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54" w:type="dxa"/>
            <w:vAlign w:val="top"/>
          </w:tcPr>
          <w:p>
            <w:pPr>
              <w:wordWrap w:val="0"/>
              <w:jc w:val="center"/>
              <w:rPr>
                <w:rFonts w:hint="eastAsia" w:ascii="仿宋" w:hAnsi="仿宋" w:eastAsia="仿宋" w:cs="仿宋"/>
                <w:color w:val="auto"/>
                <w:kern w:val="0"/>
                <w:sz w:val="15"/>
                <w:szCs w:val="15"/>
                <w:highlight w:val="none"/>
                <w:lang w:val="en-US" w:eastAsia="zh-CN" w:bidi="ar-SA"/>
              </w:rPr>
            </w:pPr>
          </w:p>
        </w:tc>
        <w:tc>
          <w:tcPr>
            <w:tcW w:w="1667" w:type="dxa"/>
            <w:vAlign w:val="top"/>
          </w:tcPr>
          <w:p>
            <w:pPr>
              <w:wordWrap w:val="0"/>
              <w:jc w:val="center"/>
              <w:rPr>
                <w:rFonts w:hint="eastAsia" w:ascii="仿宋" w:hAnsi="仿宋" w:eastAsia="仿宋" w:cs="仿宋"/>
                <w:b/>
                <w:color w:val="auto"/>
                <w:kern w:val="0"/>
                <w:sz w:val="15"/>
                <w:szCs w:val="15"/>
                <w:highlight w:val="none"/>
                <w:lang w:val="en-US" w:eastAsia="zh-CN" w:bidi="ar-SA"/>
              </w:rPr>
            </w:pPr>
          </w:p>
        </w:tc>
        <w:tc>
          <w:tcPr>
            <w:tcW w:w="2147" w:type="dxa"/>
          </w:tcPr>
          <w:p>
            <w:pPr>
              <w:wordWrap w:val="0"/>
              <w:spacing w:line="360" w:lineRule="auto"/>
              <w:jc w:val="center"/>
              <w:rPr>
                <w:rFonts w:hint="eastAsia" w:ascii="仿宋" w:hAnsi="仿宋" w:eastAsia="仿宋" w:cs="仿宋"/>
                <w:b/>
                <w:color w:val="auto"/>
                <w:kern w:val="0"/>
                <w:sz w:val="32"/>
                <w:szCs w:val="32"/>
                <w:highlight w:val="none"/>
              </w:rPr>
            </w:pPr>
          </w:p>
        </w:tc>
        <w:tc>
          <w:tcPr>
            <w:tcW w:w="2000" w:type="dxa"/>
          </w:tcPr>
          <w:p>
            <w:pPr>
              <w:wordWrap w:val="0"/>
              <w:jc w:val="center"/>
              <w:rPr>
                <w:rFonts w:hint="eastAsia" w:ascii="仿宋" w:hAnsi="仿宋" w:eastAsia="仿宋" w:cs="仿宋"/>
                <w:b/>
                <w:color w:val="auto"/>
                <w:kern w:val="0"/>
                <w:sz w:val="32"/>
                <w:szCs w:val="32"/>
                <w:highlight w:val="none"/>
              </w:rPr>
            </w:pPr>
          </w:p>
        </w:tc>
        <w:tc>
          <w:tcPr>
            <w:tcW w:w="1288" w:type="dxa"/>
          </w:tcPr>
          <w:p>
            <w:pPr>
              <w:wordWrap w:val="0"/>
              <w:jc w:val="center"/>
              <w:rPr>
                <w:rFonts w:hint="eastAsia" w:ascii="仿宋" w:hAnsi="仿宋" w:eastAsia="仿宋" w:cs="仿宋"/>
                <w:b/>
                <w:color w:val="auto"/>
                <w:kern w:val="0"/>
                <w:sz w:val="32"/>
                <w:szCs w:val="32"/>
                <w:highlight w:val="none"/>
              </w:rPr>
            </w:pPr>
          </w:p>
        </w:tc>
        <w:tc>
          <w:tcPr>
            <w:tcW w:w="1461"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54" w:type="dxa"/>
            <w:vAlign w:val="top"/>
          </w:tcPr>
          <w:p>
            <w:pPr>
              <w:wordWrap w:val="0"/>
              <w:jc w:val="both"/>
              <w:rPr>
                <w:rFonts w:hint="eastAsia" w:ascii="仿宋" w:hAnsi="仿宋" w:eastAsia="仿宋" w:cs="仿宋"/>
                <w:color w:val="auto"/>
                <w:kern w:val="0"/>
                <w:sz w:val="15"/>
                <w:szCs w:val="15"/>
                <w:highlight w:val="none"/>
                <w:lang w:val="en-US" w:eastAsia="zh-CN" w:bidi="ar-SA"/>
              </w:rPr>
            </w:pPr>
          </w:p>
        </w:tc>
        <w:tc>
          <w:tcPr>
            <w:tcW w:w="1667" w:type="dxa"/>
            <w:vAlign w:val="top"/>
          </w:tcPr>
          <w:p>
            <w:pPr>
              <w:wordWrap w:val="0"/>
              <w:jc w:val="center"/>
              <w:rPr>
                <w:rFonts w:hint="eastAsia" w:ascii="仿宋" w:hAnsi="仿宋" w:eastAsia="仿宋" w:cs="仿宋"/>
                <w:b/>
                <w:color w:val="auto"/>
                <w:kern w:val="0"/>
                <w:sz w:val="15"/>
                <w:szCs w:val="15"/>
                <w:highlight w:val="none"/>
                <w:lang w:val="en-US" w:eastAsia="zh-CN" w:bidi="ar-SA"/>
              </w:rPr>
            </w:pPr>
          </w:p>
        </w:tc>
        <w:tc>
          <w:tcPr>
            <w:tcW w:w="2147" w:type="dxa"/>
          </w:tcPr>
          <w:p>
            <w:pPr>
              <w:wordWrap w:val="0"/>
              <w:spacing w:line="360" w:lineRule="auto"/>
              <w:jc w:val="center"/>
              <w:rPr>
                <w:rFonts w:hint="eastAsia" w:ascii="仿宋" w:hAnsi="仿宋" w:eastAsia="仿宋" w:cs="仿宋"/>
                <w:b/>
                <w:color w:val="auto"/>
                <w:kern w:val="0"/>
                <w:sz w:val="32"/>
                <w:szCs w:val="32"/>
                <w:highlight w:val="none"/>
              </w:rPr>
            </w:pPr>
          </w:p>
        </w:tc>
        <w:tc>
          <w:tcPr>
            <w:tcW w:w="2000" w:type="dxa"/>
          </w:tcPr>
          <w:p>
            <w:pPr>
              <w:wordWrap w:val="0"/>
              <w:jc w:val="center"/>
              <w:rPr>
                <w:rFonts w:hint="eastAsia" w:ascii="仿宋" w:hAnsi="仿宋" w:eastAsia="仿宋" w:cs="仿宋"/>
                <w:b/>
                <w:color w:val="auto"/>
                <w:kern w:val="0"/>
                <w:sz w:val="32"/>
                <w:szCs w:val="32"/>
                <w:highlight w:val="none"/>
              </w:rPr>
            </w:pPr>
          </w:p>
        </w:tc>
        <w:tc>
          <w:tcPr>
            <w:tcW w:w="1288" w:type="dxa"/>
          </w:tcPr>
          <w:p>
            <w:pPr>
              <w:wordWrap w:val="0"/>
              <w:jc w:val="center"/>
              <w:rPr>
                <w:rFonts w:hint="eastAsia" w:ascii="仿宋" w:hAnsi="仿宋" w:eastAsia="仿宋" w:cs="仿宋"/>
                <w:b/>
                <w:color w:val="auto"/>
                <w:kern w:val="0"/>
                <w:sz w:val="32"/>
                <w:szCs w:val="32"/>
                <w:highlight w:val="none"/>
              </w:rPr>
            </w:pPr>
          </w:p>
        </w:tc>
        <w:tc>
          <w:tcPr>
            <w:tcW w:w="1461" w:type="dxa"/>
          </w:tcPr>
          <w:p>
            <w:pPr>
              <w:wordWrap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54" w:type="dxa"/>
          </w:tcPr>
          <w:p>
            <w:pPr>
              <w:wordWrap w:val="0"/>
              <w:jc w:val="center"/>
              <w:rPr>
                <w:rFonts w:hint="eastAsia" w:ascii="仿宋" w:hAnsi="仿宋" w:eastAsia="仿宋" w:cs="仿宋"/>
                <w:color w:val="auto"/>
                <w:kern w:val="0"/>
                <w:sz w:val="24"/>
                <w:highlight w:val="none"/>
              </w:rPr>
            </w:pPr>
          </w:p>
        </w:tc>
        <w:tc>
          <w:tcPr>
            <w:tcW w:w="1667" w:type="dxa"/>
          </w:tcPr>
          <w:p>
            <w:pPr>
              <w:wordWrap w:val="0"/>
              <w:jc w:val="center"/>
              <w:rPr>
                <w:rFonts w:hint="eastAsia" w:ascii="仿宋" w:hAnsi="仿宋" w:eastAsia="仿宋" w:cs="仿宋"/>
                <w:b/>
                <w:color w:val="auto"/>
                <w:kern w:val="0"/>
                <w:sz w:val="32"/>
                <w:szCs w:val="32"/>
                <w:highlight w:val="none"/>
              </w:rPr>
            </w:pPr>
          </w:p>
        </w:tc>
        <w:tc>
          <w:tcPr>
            <w:tcW w:w="2147" w:type="dxa"/>
          </w:tcPr>
          <w:p>
            <w:pPr>
              <w:wordWrap w:val="0"/>
              <w:spacing w:line="360" w:lineRule="auto"/>
              <w:jc w:val="center"/>
              <w:rPr>
                <w:rFonts w:hint="eastAsia" w:ascii="仿宋" w:hAnsi="仿宋" w:eastAsia="仿宋" w:cs="仿宋"/>
                <w:b/>
                <w:color w:val="auto"/>
                <w:kern w:val="0"/>
                <w:sz w:val="32"/>
                <w:szCs w:val="32"/>
                <w:highlight w:val="none"/>
              </w:rPr>
            </w:pPr>
          </w:p>
        </w:tc>
        <w:tc>
          <w:tcPr>
            <w:tcW w:w="2000" w:type="dxa"/>
          </w:tcPr>
          <w:p>
            <w:pPr>
              <w:wordWrap w:val="0"/>
              <w:jc w:val="center"/>
              <w:rPr>
                <w:rFonts w:hint="eastAsia" w:ascii="仿宋" w:hAnsi="仿宋" w:eastAsia="仿宋" w:cs="仿宋"/>
                <w:b/>
                <w:color w:val="auto"/>
                <w:kern w:val="0"/>
                <w:sz w:val="32"/>
                <w:szCs w:val="32"/>
                <w:highlight w:val="none"/>
              </w:rPr>
            </w:pPr>
          </w:p>
        </w:tc>
        <w:tc>
          <w:tcPr>
            <w:tcW w:w="1288" w:type="dxa"/>
          </w:tcPr>
          <w:p>
            <w:pPr>
              <w:wordWrap w:val="0"/>
              <w:jc w:val="center"/>
              <w:rPr>
                <w:rFonts w:hint="eastAsia" w:ascii="仿宋" w:hAnsi="仿宋" w:eastAsia="仿宋" w:cs="仿宋"/>
                <w:b/>
                <w:color w:val="auto"/>
                <w:kern w:val="0"/>
                <w:sz w:val="32"/>
                <w:szCs w:val="32"/>
                <w:highlight w:val="none"/>
              </w:rPr>
            </w:pPr>
          </w:p>
        </w:tc>
        <w:tc>
          <w:tcPr>
            <w:tcW w:w="1461" w:type="dxa"/>
          </w:tcPr>
          <w:p>
            <w:pPr>
              <w:wordWrap w:val="0"/>
              <w:jc w:val="center"/>
              <w:rPr>
                <w:rFonts w:hint="eastAsia" w:ascii="仿宋" w:hAnsi="仿宋" w:eastAsia="仿宋" w:cs="仿宋"/>
                <w:b/>
                <w:color w:val="auto"/>
                <w:kern w:val="0"/>
                <w:sz w:val="32"/>
                <w:szCs w:val="32"/>
                <w:highlight w:val="none"/>
              </w:rPr>
            </w:pPr>
          </w:p>
        </w:tc>
      </w:tr>
    </w:tbl>
    <w:p>
      <w:pPr>
        <w:wordWrap w:val="0"/>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t>注：</w:t>
      </w:r>
      <w:r>
        <w:rPr>
          <w:rFonts w:hint="eastAsia" w:ascii="仿宋" w:hAnsi="仿宋" w:eastAsia="仿宋" w:cs="仿宋"/>
          <w:color w:val="auto"/>
          <w:kern w:val="0"/>
          <w:sz w:val="24"/>
          <w:highlight w:val="none"/>
        </w:rPr>
        <w:t>1.投标人保证：除技术偏离表列出的偏离外，投标人响应招标文件的全部要求。</w:t>
      </w:r>
    </w:p>
    <w:p>
      <w:pPr>
        <w:wordWrap w:val="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未</w:t>
      </w:r>
      <w:r>
        <w:rPr>
          <w:rFonts w:hint="eastAsia" w:ascii="仿宋" w:hAnsi="仿宋" w:eastAsia="仿宋" w:cs="仿宋"/>
          <w:color w:val="auto"/>
          <w:kern w:val="0"/>
          <w:sz w:val="24"/>
          <w:highlight w:val="none"/>
        </w:rPr>
        <w:t>填写</w:t>
      </w:r>
      <w:r>
        <w:rPr>
          <w:rFonts w:hint="eastAsia" w:ascii="仿宋" w:hAnsi="仿宋" w:eastAsia="仿宋" w:cs="仿宋"/>
          <w:color w:val="auto"/>
          <w:kern w:val="0"/>
          <w:sz w:val="24"/>
          <w:highlight w:val="none"/>
          <w:lang w:val="en-US" w:eastAsia="zh-CN"/>
        </w:rPr>
        <w:t>本表</w:t>
      </w:r>
      <w:r>
        <w:rPr>
          <w:rFonts w:hint="eastAsia" w:ascii="仿宋" w:hAnsi="仿宋" w:eastAsia="仿宋" w:cs="仿宋"/>
          <w:color w:val="auto"/>
          <w:kern w:val="0"/>
          <w:sz w:val="24"/>
          <w:highlight w:val="none"/>
        </w:rPr>
        <w:t>的视为响应招标文件的全部要求</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若</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项目采购清单和参数要求</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表要求</w:t>
      </w:r>
    </w:p>
    <w:p>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提供证明材料</w:t>
      </w:r>
      <w:r>
        <w:rPr>
          <w:rFonts w:hint="eastAsia" w:ascii="仿宋" w:hAnsi="仿宋" w:eastAsia="仿宋" w:cs="仿宋"/>
          <w:color w:val="auto"/>
          <w:kern w:val="0"/>
          <w:sz w:val="24"/>
          <w:highlight w:val="none"/>
          <w:lang w:val="en-US" w:eastAsia="zh-CN"/>
        </w:rPr>
        <w:t>的</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则应附表后，否则视为负偏离。</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wordWrap w:val="0"/>
        <w:outlineLvl w:val="4"/>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（六）质保及售后服务承诺</w:t>
      </w:r>
    </w:p>
    <w:p>
      <w:pPr>
        <w:wordWrap w:val="0"/>
        <w:snapToGrid w:val="0"/>
        <w:spacing w:line="360" w:lineRule="auto"/>
        <w:jc w:val="center"/>
        <w:rPr>
          <w:rFonts w:hint="eastAsia" w:ascii="仿宋" w:hAnsi="仿宋" w:eastAsia="仿宋" w:cs="仿宋"/>
          <w:b/>
          <w:color w:val="auto"/>
          <w:kern w:val="0"/>
          <w:sz w:val="32"/>
          <w:szCs w:val="32"/>
          <w:highlight w:val="none"/>
          <w:lang w:val="en-US" w:eastAsia="zh-CN"/>
        </w:rPr>
      </w:pPr>
    </w:p>
    <w:p>
      <w:pPr>
        <w:wordWrap w:val="0"/>
        <w:snapToGrid w:val="0"/>
        <w:spacing w:line="360" w:lineRule="auto"/>
        <w:jc w:val="center"/>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kern w:val="0"/>
          <w:sz w:val="32"/>
          <w:szCs w:val="32"/>
          <w:highlight w:val="none"/>
          <w:lang w:val="en-US" w:eastAsia="zh-CN"/>
        </w:rPr>
        <w:t>质保及售后服务承诺函</w:t>
      </w: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杭州贯今工程咨询有限公司</w:t>
      </w:r>
      <w:r>
        <w:rPr>
          <w:rFonts w:hint="eastAsia" w:ascii="仿宋" w:hAnsi="仿宋" w:eastAsia="仿宋" w:cs="仿宋"/>
          <w:color w:val="auto"/>
          <w:kern w:val="0"/>
          <w:sz w:val="24"/>
          <w:highlight w:val="none"/>
          <w:lang w:val="zh-CN"/>
        </w:rPr>
        <w:t>：</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eastAsia="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本项目所有产品质保期从</w:t>
      </w:r>
      <w:r>
        <w:rPr>
          <w:rFonts w:hint="eastAsia" w:ascii="仿宋" w:hAnsi="仿宋" w:eastAsia="仿宋" w:cs="仿宋"/>
          <w:color w:val="auto"/>
          <w:kern w:val="0"/>
          <w:sz w:val="24"/>
          <w:highlight w:val="none"/>
          <w:lang w:val="zh-CN" w:eastAsia="zh-CN"/>
        </w:rPr>
        <w:t>终</w:t>
      </w:r>
      <w:r>
        <w:rPr>
          <w:rFonts w:hint="eastAsia" w:ascii="仿宋" w:hAnsi="仿宋" w:eastAsia="仿宋" w:cs="仿宋"/>
          <w:color w:val="auto"/>
          <w:kern w:val="0"/>
          <w:sz w:val="24"/>
          <w:highlight w:val="none"/>
          <w:lang w:val="zh-CN"/>
        </w:rPr>
        <w:t>验收合格之日起（</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lang w:val="zh-CN" w:eastAsia="zh-CN"/>
        </w:rPr>
        <w:t>，</w:t>
      </w:r>
      <w:r>
        <w:rPr>
          <w:rFonts w:hint="eastAsia" w:ascii="仿宋" w:hAnsi="仿宋" w:eastAsia="仿宋" w:cs="仿宋"/>
          <w:color w:val="auto"/>
          <w:kern w:val="0"/>
          <w:sz w:val="24"/>
          <w:highlight w:val="none"/>
          <w:lang w:val="zh-CN"/>
        </w:rPr>
        <w:t>原厂质保大于（</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）年的按原厂质保</w:t>
      </w:r>
      <w:r>
        <w:rPr>
          <w:rFonts w:hint="eastAsia" w:ascii="仿宋" w:hAnsi="仿宋" w:eastAsia="仿宋" w:cs="仿宋"/>
          <w:color w:val="auto"/>
          <w:kern w:val="0"/>
          <w:sz w:val="24"/>
          <w:highlight w:val="none"/>
          <w:lang w:val="zh-CN" w:eastAsia="zh-CN"/>
        </w:rPr>
        <w:t>。</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2.其他承诺：</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en-US" w:eastAsia="zh-CN"/>
        </w:rPr>
        <w:t xml:space="preserve"> </w:t>
      </w:r>
    </w:p>
    <w:p>
      <w:pPr>
        <w:autoSpaceDE w:val="0"/>
        <w:autoSpaceDN w:val="0"/>
        <w:spacing w:line="360" w:lineRule="auto"/>
        <w:ind w:right="1120"/>
        <w:jc w:val="right"/>
        <w:rPr>
          <w:rFonts w:hint="eastAsia" w:ascii="仿宋" w:hAnsi="仿宋" w:eastAsia="仿宋" w:cs="仿宋"/>
          <w:color w:val="auto"/>
          <w:kern w:val="0"/>
          <w:sz w:val="24"/>
          <w:highlight w:val="none"/>
          <w:lang w:val="zh-CN"/>
        </w:rPr>
      </w:pPr>
    </w:p>
    <w:p>
      <w:pPr>
        <w:autoSpaceDE w:val="0"/>
        <w:autoSpaceDN w:val="0"/>
        <w:spacing w:line="360" w:lineRule="auto"/>
        <w:ind w:right="112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                                                         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ordWrap w:val="0"/>
        <w:ind w:firstLine="1911" w:firstLineChars="595"/>
        <w:outlineLvl w:val="4"/>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w:t>
      </w:r>
      <w:r>
        <w:rPr>
          <w:rFonts w:hint="eastAsia" w:ascii="仿宋" w:hAnsi="仿宋" w:eastAsia="仿宋" w:cs="仿宋"/>
          <w:b/>
          <w:color w:val="auto"/>
          <w:kern w:val="0"/>
          <w:sz w:val="32"/>
          <w:szCs w:val="32"/>
          <w:highlight w:val="none"/>
          <w:lang w:val="zh-CN"/>
        </w:rPr>
        <w:t>政府采购供应商廉洁自律承诺书</w:t>
      </w:r>
    </w:p>
    <w:p>
      <w:pPr>
        <w:wordWrap w:val="0"/>
        <w:snapToGrid w:val="0"/>
        <w:spacing w:line="360" w:lineRule="auto"/>
        <w:rPr>
          <w:rFonts w:hint="eastAsia" w:ascii="仿宋" w:hAnsi="仿宋" w:eastAsia="仿宋" w:cs="仿宋"/>
          <w:color w:val="auto"/>
          <w:sz w:val="24"/>
          <w:highlight w:val="none"/>
        </w:rPr>
      </w:pPr>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杭州贯今工程咨询有限公司</w:t>
      </w:r>
      <w:r>
        <w:rPr>
          <w:rFonts w:hint="eastAsia" w:ascii="仿宋" w:hAnsi="仿宋" w:eastAsia="仿宋" w:cs="仿宋"/>
          <w:color w:val="auto"/>
          <w:kern w:val="0"/>
          <w:sz w:val="24"/>
          <w:highlight w:val="none"/>
          <w:lang w:val="zh-CN"/>
        </w:rPr>
        <w:t>：</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wordWrap w:val="0"/>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wordWrap w:val="0"/>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numPr>
          <w:ilvl w:val="0"/>
          <w:numId w:val="12"/>
        </w:numPr>
        <w:wordWrap w:val="0"/>
        <w:autoSpaceDE w:val="0"/>
        <w:autoSpaceDN w:val="0"/>
        <w:spacing w:line="360" w:lineRule="auto"/>
        <w:ind w:left="481" w:leftChars="229"/>
        <w:jc w:val="lef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lang w:val="zh-CN"/>
        </w:rPr>
        <w:t>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w:t>
      </w:r>
    </w:p>
    <w:p>
      <w:pPr>
        <w:wordWrap w:val="0"/>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wordWrap w:val="0"/>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进行项目建设或其他经营活动，并通报财政局。由此引起的相应损失均由我单位承担。</w:t>
      </w:r>
    </w:p>
    <w:p>
      <w:pPr>
        <w:wordWrap w:val="0"/>
        <w:autoSpaceDE w:val="0"/>
        <w:autoSpaceDN w:val="0"/>
        <w:spacing w:line="360" w:lineRule="auto"/>
        <w:ind w:left="2"/>
        <w:jc w:val="left"/>
        <w:rPr>
          <w:rFonts w:hint="eastAsia" w:ascii="仿宋" w:hAnsi="仿宋" w:eastAsia="仿宋" w:cs="仿宋"/>
          <w:color w:val="auto"/>
          <w:kern w:val="0"/>
          <w:sz w:val="24"/>
          <w:highlight w:val="none"/>
          <w:lang w:val="zh-CN"/>
        </w:rPr>
      </w:pPr>
    </w:p>
    <w:p>
      <w:pPr>
        <w:wordWrap w:val="0"/>
        <w:autoSpaceDE w:val="0"/>
        <w:autoSpaceDN w:val="0"/>
        <w:spacing w:line="360" w:lineRule="auto"/>
        <w:ind w:left="2"/>
        <w:jc w:val="left"/>
        <w:rPr>
          <w:rFonts w:hint="eastAsia" w:ascii="仿宋" w:hAnsi="仿宋" w:eastAsia="仿宋" w:cs="仿宋"/>
          <w:color w:val="auto"/>
          <w:kern w:val="0"/>
          <w:sz w:val="24"/>
          <w:highlight w:val="none"/>
          <w:lang w:val="zh-CN"/>
        </w:rPr>
      </w:pPr>
    </w:p>
    <w:p>
      <w:pPr>
        <w:wordWrap w:val="0"/>
        <w:autoSpaceDE w:val="0"/>
        <w:autoSpaceDN w:val="0"/>
        <w:spacing w:line="360" w:lineRule="auto"/>
        <w:ind w:left="2"/>
        <w:jc w:val="right"/>
        <w:rPr>
          <w:rFonts w:hint="eastAsia" w:ascii="仿宋" w:hAnsi="仿宋" w:eastAsia="仿宋" w:cs="仿宋"/>
          <w:color w:val="auto"/>
          <w:kern w:val="0"/>
          <w:sz w:val="24"/>
          <w:highlight w:val="none"/>
          <w:lang w:val="zh-CN"/>
        </w:rPr>
      </w:pPr>
    </w:p>
    <w:p>
      <w:pPr>
        <w:autoSpaceDE w:val="0"/>
        <w:autoSpaceDN w:val="0"/>
        <w:spacing w:line="360" w:lineRule="auto"/>
        <w:ind w:right="112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kern w:val="0"/>
          <w:sz w:val="24"/>
          <w:highlight w:val="none"/>
        </w:rPr>
        <w:t>电子签名</w:t>
      </w:r>
      <w:r>
        <w:rPr>
          <w:rFonts w:hint="eastAsia" w:ascii="仿宋" w:hAnsi="仿宋" w:eastAsia="仿宋" w:cs="仿宋"/>
          <w:color w:val="auto"/>
          <w:kern w:val="0"/>
          <w:sz w:val="24"/>
          <w:highlight w:val="none"/>
          <w:lang w:val="zh-CN"/>
        </w:rPr>
        <w:t>）：                                                         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wordWrap w:val="0"/>
        <w:spacing w:line="360" w:lineRule="auto"/>
        <w:jc w:val="center"/>
        <w:rPr>
          <w:rFonts w:hint="eastAsia" w:ascii="仿宋" w:hAnsi="仿宋" w:eastAsia="仿宋" w:cs="仿宋"/>
          <w:b/>
          <w:bCs/>
          <w:color w:val="auto"/>
          <w:sz w:val="24"/>
          <w:highlight w:val="none"/>
        </w:rPr>
      </w:pPr>
    </w:p>
    <w:p>
      <w:pPr>
        <w:wordWrap w:val="0"/>
        <w:spacing w:line="360" w:lineRule="auto"/>
        <w:jc w:val="center"/>
        <w:rPr>
          <w:rFonts w:hint="eastAsia" w:ascii="仿宋" w:hAnsi="仿宋" w:eastAsia="仿宋" w:cs="仿宋"/>
          <w:b/>
          <w:bCs/>
          <w:color w:val="auto"/>
          <w:sz w:val="24"/>
          <w:highlight w:val="none"/>
        </w:rPr>
        <w:sectPr>
          <w:pgSz w:w="11905" w:h="16838"/>
          <w:pgMar w:top="652" w:right="1417" w:bottom="680" w:left="1417" w:header="539" w:footer="425" w:gutter="0"/>
          <w:cols w:space="0" w:num="1"/>
          <w:titlePg/>
          <w:docGrid w:linePitch="312" w:charSpace="0"/>
        </w:sectPr>
      </w:pPr>
    </w:p>
    <w:p>
      <w:pPr>
        <w:wordWrap w:val="0"/>
        <w:spacing w:line="360" w:lineRule="auto"/>
        <w:jc w:val="center"/>
        <w:rPr>
          <w:rFonts w:hint="eastAsia" w:ascii="仿宋" w:hAnsi="仿宋" w:eastAsia="仿宋" w:cs="仿宋"/>
          <w:b/>
          <w:color w:val="auto"/>
          <w:kern w:val="0"/>
          <w:sz w:val="36"/>
          <w:szCs w:val="36"/>
          <w:highlight w:val="none"/>
        </w:rPr>
      </w:pPr>
    </w:p>
    <w:p>
      <w:pPr>
        <w:wordWrap w:val="0"/>
        <w:spacing w:line="360" w:lineRule="auto"/>
        <w:jc w:val="center"/>
        <w:outlineLvl w:val="4"/>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wordWrap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numPr>
          <w:ilvl w:val="255"/>
          <w:numId w:val="0"/>
        </w:numPr>
        <w:adjustRightInd/>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（2）报价情况说明（如供应商报价低于最高限价50%的，应当提交本文档，详细阐述不影响服务质量或者诚信履约的具体原因）………………………………………（页码）</w:t>
      </w:r>
    </w:p>
    <w:p>
      <w:pPr>
        <w:numPr>
          <w:ilvl w:val="255"/>
          <w:numId w:val="0"/>
        </w:numPr>
        <w:adjustRightInd/>
        <w:snapToGrid w:val="0"/>
        <w:spacing w:line="360" w:lineRule="auto"/>
        <w:jc w:val="left"/>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）供应商针对报价需要说明的其他文件和说明………………………………（页码）</w:t>
      </w: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wordWrap w:val="0"/>
        <w:snapToGrid w:val="0"/>
        <w:spacing w:line="360" w:lineRule="auto"/>
        <w:ind w:right="480"/>
        <w:jc w:val="center"/>
        <w:rPr>
          <w:rFonts w:hint="eastAsia" w:ascii="仿宋" w:hAnsi="仿宋" w:eastAsia="仿宋" w:cs="仿宋"/>
          <w:b/>
          <w:color w:val="auto"/>
          <w:kern w:val="0"/>
          <w:sz w:val="32"/>
          <w:szCs w:val="32"/>
          <w:highlight w:val="none"/>
        </w:rPr>
      </w:pPr>
    </w:p>
    <w:p>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kern w:val="2"/>
          <w:sz w:val="32"/>
          <w:szCs w:val="32"/>
          <w:highlight w:val="none"/>
        </w:rPr>
        <w:sectPr>
          <w:headerReference r:id="rId16" w:type="first"/>
          <w:footerReference r:id="rId18" w:type="first"/>
          <w:headerReference r:id="rId15" w:type="default"/>
          <w:footerReference r:id="rId17" w:type="default"/>
          <w:pgSz w:w="11905" w:h="16838"/>
          <w:pgMar w:top="652" w:right="1417" w:bottom="680" w:left="1417" w:header="539" w:footer="425" w:gutter="0"/>
          <w:cols w:space="0" w:num="1"/>
          <w:titlePg/>
          <w:docGrid w:linePitch="312" w:charSpace="0"/>
        </w:sectPr>
      </w:pPr>
    </w:p>
    <w:p>
      <w:pPr>
        <w:pStyle w:val="694"/>
        <w:keepNext w:val="0"/>
        <w:tabs>
          <w:tab w:val="clear" w:pos="720"/>
        </w:tabs>
        <w:wordWrap w:val="0"/>
        <w:snapToGrid w:val="0"/>
        <w:spacing w:before="120" w:after="120"/>
        <w:ind w:firstLine="643"/>
        <w:outlineLvl w:val="4"/>
        <w:rPr>
          <w:rFonts w:hint="eastAsia" w:ascii="仿宋" w:hAnsi="仿宋" w:eastAsia="仿宋" w:cs="仿宋"/>
          <w:color w:val="auto"/>
          <w:kern w:val="2"/>
          <w:sz w:val="32"/>
          <w:szCs w:val="32"/>
          <w:highlight w:val="none"/>
        </w:rPr>
      </w:pPr>
      <w:bookmarkStart w:id="550" w:name="_Toc11634"/>
      <w:bookmarkStart w:id="551" w:name="_Toc22252"/>
      <w:bookmarkStart w:id="552" w:name="_Toc7330"/>
      <w:bookmarkStart w:id="553" w:name="_Toc23456"/>
      <w:bookmarkStart w:id="554" w:name="_Toc14192"/>
      <w:bookmarkStart w:id="555" w:name="_Toc8787"/>
      <w:bookmarkStart w:id="556" w:name="_Toc4763"/>
      <w:bookmarkStart w:id="557" w:name="_Toc10436"/>
      <w:bookmarkStart w:id="558" w:name="_Toc4192"/>
      <w:r>
        <w:rPr>
          <w:rFonts w:hint="eastAsia" w:ascii="仿宋" w:hAnsi="仿宋" w:eastAsia="仿宋" w:cs="仿宋"/>
          <w:color w:val="auto"/>
          <w:kern w:val="2"/>
          <w:sz w:val="32"/>
          <w:szCs w:val="32"/>
          <w:highlight w:val="none"/>
        </w:rPr>
        <w:t>一、开标一览表（报价表）</w:t>
      </w:r>
      <w:bookmarkEnd w:id="550"/>
      <w:bookmarkEnd w:id="551"/>
      <w:bookmarkEnd w:id="552"/>
      <w:bookmarkEnd w:id="553"/>
      <w:bookmarkEnd w:id="554"/>
      <w:bookmarkEnd w:id="555"/>
      <w:bookmarkEnd w:id="556"/>
      <w:bookmarkEnd w:id="557"/>
      <w:bookmarkEnd w:id="558"/>
    </w:p>
    <w:p>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杭州学军中学桐庐学校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杭州贯今工程咨询有限公司</w:t>
      </w:r>
      <w:r>
        <w:rPr>
          <w:rFonts w:hint="eastAsia" w:ascii="仿宋" w:hAnsi="仿宋" w:eastAsia="仿宋" w:cs="仿宋"/>
          <w:color w:val="auto"/>
          <w:kern w:val="0"/>
          <w:sz w:val="24"/>
          <w:highlight w:val="none"/>
          <w:lang w:val="zh-CN"/>
        </w:rPr>
        <w:t>：</w:t>
      </w:r>
    </w:p>
    <w:p>
      <w:pPr>
        <w:wordWrap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w:t>
      </w:r>
    </w:p>
    <w:p>
      <w:pPr>
        <w:wordWrap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如你方接受本投标，我方承诺按照如下开标一览表（报价表）的价格完成</w:t>
      </w:r>
      <w:r>
        <w:rPr>
          <w:rFonts w:hint="eastAsia" w:ascii="仿宋" w:hAnsi="仿宋" w:eastAsia="仿宋" w:cs="仿宋"/>
          <w:color w:val="auto"/>
          <w:kern w:val="0"/>
          <w:sz w:val="24"/>
          <w:highlight w:val="none"/>
          <w:u w:val="single"/>
          <w:lang w:val="zh-CN"/>
        </w:rPr>
        <w:t>杭州学军中学桐庐学校竣工配套设施设备（体育设施及器材）项目【</w:t>
      </w:r>
      <w:r>
        <w:rPr>
          <w:rFonts w:hint="eastAsia" w:ascii="仿宋" w:hAnsi="仿宋" w:eastAsia="仿宋" w:cs="仿宋"/>
          <w:color w:val="auto"/>
          <w:kern w:val="0"/>
          <w:sz w:val="24"/>
          <w:highlight w:val="none"/>
          <w:u w:val="single"/>
        </w:rPr>
        <w:t>项目</w:t>
      </w:r>
      <w:r>
        <w:rPr>
          <w:rFonts w:hint="eastAsia" w:ascii="仿宋" w:hAnsi="仿宋" w:eastAsia="仿宋" w:cs="仿宋"/>
          <w:color w:val="auto"/>
          <w:kern w:val="0"/>
          <w:sz w:val="24"/>
          <w:highlight w:val="none"/>
          <w:u w:val="single"/>
          <w:lang w:val="zh-CN"/>
        </w:rPr>
        <w:t>编号：HZGJ-XJZX2024-05</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wordWrap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kern w:val="0"/>
          <w:sz w:val="24"/>
          <w:highlight w:val="none"/>
          <w:lang w:val="zh-CN"/>
        </w:rPr>
        <w:t>(单位均为人民币元)</w:t>
      </w:r>
    </w:p>
    <w:tbl>
      <w:tblPr>
        <w:tblStyle w:val="62"/>
        <w:tblW w:w="5091" w:type="pct"/>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914"/>
        <w:gridCol w:w="586"/>
        <w:gridCol w:w="1218"/>
        <w:gridCol w:w="978"/>
        <w:gridCol w:w="993"/>
        <w:gridCol w:w="2077"/>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72" w:type="pct"/>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012" w:type="pct"/>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10" w:type="pct"/>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w:t>
            </w:r>
          </w:p>
        </w:tc>
        <w:tc>
          <w:tcPr>
            <w:tcW w:w="642" w:type="pct"/>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517" w:type="pct"/>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525" w:type="pct"/>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098" w:type="pct"/>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w:t>
            </w:r>
          </w:p>
        </w:tc>
        <w:tc>
          <w:tcPr>
            <w:tcW w:w="620" w:type="pct"/>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72" w:type="pct"/>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012" w:type="pct"/>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杭州学军中学桐庐学校竣工配套设施设备（体育设施及器材）项目</w:t>
            </w:r>
          </w:p>
        </w:tc>
        <w:tc>
          <w:tcPr>
            <w:tcW w:w="1995" w:type="pct"/>
            <w:gridSpan w:val="4"/>
            <w:vAlign w:val="center"/>
          </w:tcPr>
          <w:p>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分项报价详见附表</w:t>
            </w:r>
            <w:r>
              <w:rPr>
                <w:rFonts w:hint="eastAsia" w:ascii="仿宋" w:hAnsi="仿宋" w:eastAsia="仿宋" w:cs="仿宋"/>
                <w:color w:val="auto"/>
                <w:sz w:val="24"/>
                <w:highlight w:val="none"/>
                <w:lang w:val="en-US" w:eastAsia="zh-CN"/>
              </w:rPr>
              <w:t>-投标报价明细表</w:t>
            </w:r>
          </w:p>
        </w:tc>
        <w:tc>
          <w:tcPr>
            <w:tcW w:w="1098" w:type="pct"/>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小写</w:t>
            </w:r>
            <w:r>
              <w:rPr>
                <w:rFonts w:hint="eastAsia" w:ascii="仿宋" w:hAnsi="仿宋" w:eastAsia="仿宋" w:cs="仿宋"/>
                <w:b/>
                <w:color w:val="auto"/>
                <w:sz w:val="24"/>
                <w:highlight w:val="none"/>
                <w:lang w:eastAsia="zh-CN"/>
              </w:rPr>
              <w:t>：</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大写</w:t>
            </w:r>
            <w:r>
              <w:rPr>
                <w:rFonts w:hint="eastAsia" w:ascii="仿宋" w:hAnsi="仿宋" w:eastAsia="仿宋" w:cs="仿宋"/>
                <w:b/>
                <w:color w:val="auto"/>
                <w:sz w:val="24"/>
                <w:highlight w:val="none"/>
                <w:lang w:eastAsia="zh-CN"/>
              </w:rPr>
              <w:t>：</w:t>
            </w:r>
          </w:p>
        </w:tc>
        <w:tc>
          <w:tcPr>
            <w:tcW w:w="620" w:type="pct"/>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238" w:type="pct"/>
            <w:gridSpan w:val="4"/>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核心产品</w:t>
            </w:r>
            <w:r>
              <w:rPr>
                <w:rFonts w:hint="eastAsia" w:ascii="仿宋" w:hAnsi="仿宋" w:eastAsia="仿宋" w:cs="仿宋"/>
                <w:b/>
                <w:color w:val="auto"/>
                <w:sz w:val="24"/>
                <w:highlight w:val="none"/>
                <w:u w:val="none"/>
                <w:lang w:eastAsia="zh-CN"/>
              </w:rPr>
              <w:t>（电动悬空篮球架）</w:t>
            </w:r>
            <w:r>
              <w:rPr>
                <w:rFonts w:hint="eastAsia" w:ascii="仿宋" w:hAnsi="仿宋" w:eastAsia="仿宋" w:cs="仿宋"/>
                <w:b/>
                <w:color w:val="auto"/>
                <w:sz w:val="24"/>
                <w:highlight w:val="none"/>
                <w:lang w:eastAsia="zh-CN"/>
              </w:rPr>
              <w:t>品牌</w:t>
            </w:r>
          </w:p>
        </w:tc>
        <w:tc>
          <w:tcPr>
            <w:tcW w:w="2761" w:type="pct"/>
            <w:gridSpan w:val="4"/>
            <w:vAlign w:val="center"/>
          </w:tcPr>
          <w:p>
            <w:pPr>
              <w:spacing w:line="360" w:lineRule="auto"/>
              <w:jc w:val="center"/>
              <w:rPr>
                <w:rFonts w:hint="eastAsia" w:ascii="仿宋" w:hAnsi="仿宋" w:eastAsia="仿宋" w:cs="仿宋"/>
                <w:color w:val="auto"/>
                <w:sz w:val="24"/>
                <w:highlight w:val="none"/>
              </w:rPr>
            </w:pPr>
          </w:p>
        </w:tc>
      </w:tr>
    </w:tbl>
    <w:p>
      <w:pPr>
        <w:wordWrap w:val="0"/>
        <w:snapToGrid w:val="0"/>
        <w:spacing w:line="360" w:lineRule="auto"/>
        <w:ind w:left="48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eepNext w:val="0"/>
        <w:keepLines w:val="0"/>
        <w:pageBreakBefore w:val="0"/>
        <w:widowControl w:val="0"/>
        <w:kinsoku/>
        <w:wordWrap w:val="0"/>
        <w:overflowPunct/>
        <w:topLinePunct w:val="0"/>
        <w:autoSpaceDE/>
        <w:autoSpaceDN/>
        <w:bidi w:val="0"/>
        <w:spacing w:line="336"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1、投标人需按本表格式填写，格式、已列内容不得自行更改。</w:t>
      </w:r>
    </w:p>
    <w:p>
      <w:pPr>
        <w:keepNext w:val="0"/>
        <w:keepLines w:val="0"/>
        <w:pageBreakBefore w:val="0"/>
        <w:widowControl w:val="0"/>
        <w:kinsoku/>
        <w:wordWrap w:val="0"/>
        <w:overflowPunct/>
        <w:topLinePunct w:val="0"/>
        <w:autoSpaceDE/>
        <w:autoSpaceDN/>
        <w:bidi w:val="0"/>
        <w:spacing w:line="336" w:lineRule="auto"/>
        <w:ind w:left="-2" w:leftChars="-1"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仿宋" w:hAnsi="仿宋" w:eastAsia="仿宋" w:cs="仿宋"/>
          <w:b w:val="0"/>
          <w:bCs/>
          <w:color w:val="auto"/>
          <w:kern w:val="0"/>
          <w:sz w:val="24"/>
          <w:highlight w:val="none"/>
          <w:lang w:val="zh-CN"/>
        </w:rPr>
        <w:t>。</w:t>
      </w:r>
    </w:p>
    <w:p>
      <w:pPr>
        <w:keepNext w:val="0"/>
        <w:keepLines w:val="0"/>
        <w:pageBreakBefore w:val="0"/>
        <w:widowControl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3、以上表格要求细分项目及报价，在“规格型号（或具体服务）”一栏中，</w:t>
      </w:r>
      <w:r>
        <w:rPr>
          <w:rFonts w:hint="eastAsia" w:ascii="仿宋" w:hAnsi="仿宋" w:eastAsia="仿宋" w:cs="仿宋"/>
          <w:color w:val="auto"/>
          <w:kern w:val="0"/>
          <w:sz w:val="24"/>
          <w:highlight w:val="none"/>
          <w:lang w:val="zh-CN"/>
        </w:rPr>
        <w:sym w:font="Wingdings" w:char="00FE"/>
      </w:r>
      <w:r>
        <w:rPr>
          <w:rFonts w:hint="eastAsia" w:ascii="仿宋" w:hAnsi="仿宋" w:eastAsia="仿宋" w:cs="仿宋"/>
          <w:color w:val="auto"/>
          <w:kern w:val="0"/>
          <w:sz w:val="24"/>
          <w:highlight w:val="none"/>
          <w:lang w:val="zh-CN"/>
        </w:rPr>
        <w:t>货物类项目填写规格型号，</w:t>
      </w:r>
      <w:r>
        <w:rPr>
          <w:rFonts w:hint="eastAsia" w:ascii="仿宋" w:hAnsi="仿宋" w:eastAsia="仿宋" w:cs="仿宋"/>
          <w:color w:val="auto"/>
          <w:kern w:val="0"/>
          <w:sz w:val="24"/>
          <w:highlight w:val="none"/>
          <w:lang w:val="zh-CN"/>
        </w:rPr>
        <w:sym w:font="Wingdings" w:char="00A8"/>
      </w:r>
      <w:r>
        <w:rPr>
          <w:rFonts w:hint="eastAsia" w:ascii="仿宋" w:hAnsi="仿宋" w:eastAsia="仿宋" w:cs="仿宋"/>
          <w:color w:val="auto"/>
          <w:kern w:val="0"/>
          <w:sz w:val="24"/>
          <w:highlight w:val="none"/>
          <w:lang w:val="zh-CN"/>
        </w:rPr>
        <w:t>服务类项目填写具体服务。</w:t>
      </w:r>
    </w:p>
    <w:p>
      <w:pPr>
        <w:keepNext w:val="0"/>
        <w:keepLines w:val="0"/>
        <w:pageBreakBefore w:val="0"/>
        <w:widowControl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4、特别提示：采购代理机构将对项目名称和项目编号，中标供应商名称、地址和中标金额，主要中标标的的名称、规格型号、数量、单价、服务要求等予以公示。</w:t>
      </w:r>
    </w:p>
    <w:p>
      <w:pPr>
        <w:pStyle w:val="61"/>
        <w:keepNext w:val="0"/>
        <w:keepLines w:val="0"/>
        <w:pageBreakBefore w:val="0"/>
        <w:widowControl w:val="0"/>
        <w:kinsoku/>
        <w:wordWrap w:val="0"/>
        <w:overflowPunct/>
        <w:topLinePunct w:val="0"/>
        <w:autoSpaceDE/>
        <w:autoSpaceDN/>
        <w:bidi w:val="0"/>
        <w:spacing w:after="0" w:line="336" w:lineRule="auto"/>
        <w:ind w:left="0" w:leftChars="0" w:firstLine="48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sym w:font="Wingdings" w:char="00A8"/>
      </w:r>
      <w:r>
        <w:rPr>
          <w:rFonts w:hint="eastAsia" w:ascii="仿宋" w:hAnsi="仿宋" w:eastAsia="仿宋" w:cs="仿宋"/>
          <w:color w:val="auto"/>
          <w:kern w:val="0"/>
          <w:sz w:val="24"/>
          <w:szCs w:val="22"/>
          <w:highlight w:val="none"/>
          <w:lang w:val="zh-CN"/>
        </w:rPr>
        <w:t>5、</w:t>
      </w:r>
      <w:r>
        <w:rPr>
          <w:rFonts w:hint="eastAsia" w:ascii="仿宋" w:hAnsi="仿宋" w:eastAsia="仿宋" w:cs="仿宋"/>
          <w:b/>
          <w:bCs/>
          <w:color w:val="auto"/>
          <w:kern w:val="0"/>
          <w:sz w:val="24"/>
          <w:szCs w:val="22"/>
          <w:highlight w:val="none"/>
          <w:lang w:val="zh-CN"/>
        </w:rPr>
        <w:t>本项目</w:t>
      </w:r>
      <w:r>
        <w:rPr>
          <w:rFonts w:hint="eastAsia" w:ascii="仿宋" w:hAnsi="仿宋" w:eastAsia="仿宋" w:cs="仿宋"/>
          <w:b/>
          <w:bCs/>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1"/>
        <w:keepNext w:val="0"/>
        <w:keepLines w:val="0"/>
        <w:pageBreakBefore w:val="0"/>
        <w:widowControl w:val="0"/>
        <w:kinsoku/>
        <w:wordWrap w:val="0"/>
        <w:overflowPunct/>
        <w:topLinePunct w:val="0"/>
        <w:autoSpaceDE/>
        <w:autoSpaceDN/>
        <w:bidi w:val="0"/>
        <w:spacing w:after="0" w:line="336" w:lineRule="auto"/>
        <w:ind w:left="0" w:leftChars="0" w:firstLine="48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pStyle w:val="61"/>
        <w:keepNext w:val="0"/>
        <w:keepLines w:val="0"/>
        <w:pageBreakBefore w:val="0"/>
        <w:widowControl w:val="0"/>
        <w:kinsoku/>
        <w:wordWrap w:val="0"/>
        <w:overflowPunct/>
        <w:topLinePunct w:val="0"/>
        <w:autoSpaceDE/>
        <w:autoSpaceDN/>
        <w:bidi w:val="0"/>
        <w:spacing w:after="0" w:line="336" w:lineRule="auto"/>
        <w:ind w:left="0" w:leftChars="0" w:firstLine="48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p>
    <w:p>
      <w:pPr>
        <w:wordWrap/>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br w:type="page"/>
      </w:r>
    </w:p>
    <w:p>
      <w:pPr>
        <w:wordWrap/>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附表</w:t>
      </w:r>
      <w:r>
        <w:rPr>
          <w:rFonts w:hint="eastAsia" w:ascii="仿宋" w:hAnsi="仿宋" w:eastAsia="仿宋" w:cs="仿宋"/>
          <w:color w:val="auto"/>
          <w:sz w:val="24"/>
          <w:highlight w:val="none"/>
          <w:lang w:val="en-US" w:eastAsia="zh-CN"/>
        </w:rPr>
        <w:t>-投标报价明细表</w:t>
      </w:r>
    </w:p>
    <w:tbl>
      <w:tblPr>
        <w:tblStyle w:val="62"/>
        <w:tblW w:w="9244" w:type="dxa"/>
        <w:tblInd w:w="-10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5"/>
        <w:gridCol w:w="1447"/>
        <w:gridCol w:w="1410"/>
        <w:gridCol w:w="1656"/>
        <w:gridCol w:w="684"/>
        <w:gridCol w:w="725"/>
        <w:gridCol w:w="523"/>
        <w:gridCol w:w="764"/>
        <w:gridCol w:w="700"/>
        <w:gridCol w:w="6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rPr>
            </w:pPr>
            <w:r>
              <w:rPr>
                <w:rFonts w:hint="eastAsia" w:ascii="仿宋" w:hAnsi="仿宋" w:eastAsia="仿宋" w:cs="仿宋"/>
                <w:color w:val="auto"/>
                <w:sz w:val="21"/>
                <w:szCs w:val="21"/>
                <w:highlight w:val="none"/>
              </w:rPr>
              <w:t>序号</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174" w:firstLineChars="83"/>
              <w:jc w:val="center"/>
              <w:rPr>
                <w:rFonts w:hint="eastAsia" w:ascii="仿宋" w:hAnsi="仿宋" w:eastAsia="仿宋" w:cs="仿宋"/>
                <w:color w:val="auto"/>
                <w:spacing w:val="20"/>
                <w:sz w:val="21"/>
                <w:szCs w:val="21"/>
                <w:highlight w:val="none"/>
              </w:rPr>
            </w:pPr>
            <w:r>
              <w:rPr>
                <w:rFonts w:hint="eastAsia" w:ascii="仿宋" w:hAnsi="仿宋" w:eastAsia="仿宋" w:cs="仿宋"/>
                <w:color w:val="auto"/>
                <w:sz w:val="21"/>
                <w:szCs w:val="21"/>
                <w:highlight w:val="none"/>
              </w:rPr>
              <w:t>名称</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105" w:firstLineChars="50"/>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品牌（如有）</w:t>
            </w:r>
          </w:p>
        </w:tc>
        <w:tc>
          <w:tcPr>
            <w:tcW w:w="165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0" w:firstLineChars="0"/>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制造商规模（中、小、微）</w:t>
            </w:r>
          </w:p>
        </w:tc>
        <w:tc>
          <w:tcPr>
            <w:tcW w:w="684"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0" w:firstLineChars="0"/>
              <w:rPr>
                <w:rFonts w:hint="eastAsia" w:ascii="仿宋" w:hAnsi="仿宋" w:eastAsia="仿宋" w:cs="仿宋"/>
                <w:color w:val="auto"/>
                <w:spacing w:val="20"/>
                <w:sz w:val="21"/>
                <w:szCs w:val="21"/>
                <w:highlight w:val="none"/>
                <w:lang w:eastAsia="zh-CN"/>
              </w:rPr>
            </w:pPr>
            <w:r>
              <w:rPr>
                <w:rFonts w:hint="eastAsia" w:ascii="仿宋" w:hAnsi="仿宋" w:eastAsia="仿宋" w:cs="仿宋"/>
                <w:b/>
                <w:color w:val="auto"/>
                <w:sz w:val="21"/>
                <w:szCs w:val="21"/>
                <w:highlight w:val="none"/>
              </w:rPr>
              <w:t>规格</w:t>
            </w:r>
            <w:r>
              <w:rPr>
                <w:rFonts w:hint="eastAsia" w:ascii="仿宋" w:hAnsi="仿宋" w:eastAsia="仿宋" w:cs="仿宋"/>
                <w:b/>
                <w:color w:val="auto"/>
                <w:sz w:val="21"/>
                <w:szCs w:val="21"/>
                <w:highlight w:val="none"/>
                <w:lang w:eastAsia="zh-CN"/>
              </w:rPr>
              <w:t>型号</w:t>
            </w:r>
          </w:p>
        </w:tc>
        <w:tc>
          <w:tcPr>
            <w:tcW w:w="72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0" w:firstLineChars="0"/>
              <w:jc w:val="center"/>
              <w:rPr>
                <w:rFonts w:hint="eastAsia" w:ascii="仿宋" w:hAnsi="仿宋" w:eastAsia="仿宋" w:cs="仿宋"/>
                <w:color w:val="auto"/>
                <w:spacing w:val="20"/>
                <w:sz w:val="21"/>
                <w:szCs w:val="21"/>
                <w:highlight w:val="none"/>
              </w:rPr>
            </w:pPr>
            <w:r>
              <w:rPr>
                <w:rFonts w:hint="eastAsia" w:ascii="仿宋" w:hAnsi="仿宋" w:eastAsia="仿宋" w:cs="仿宋"/>
                <w:b/>
                <w:color w:val="auto"/>
                <w:sz w:val="21"/>
                <w:szCs w:val="21"/>
                <w:highlight w:val="none"/>
              </w:rPr>
              <w:t>数量</w:t>
            </w:r>
          </w:p>
        </w:tc>
        <w:tc>
          <w:tcPr>
            <w:tcW w:w="523"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0" w:firstLineChars="0"/>
              <w:rPr>
                <w:rFonts w:hint="eastAsia" w:ascii="仿宋" w:hAnsi="仿宋" w:eastAsia="仿宋" w:cs="仿宋"/>
                <w:color w:val="auto"/>
                <w:spacing w:val="20"/>
                <w:sz w:val="21"/>
                <w:szCs w:val="21"/>
                <w:highlight w:val="none"/>
              </w:rPr>
            </w:pPr>
            <w:r>
              <w:rPr>
                <w:rFonts w:hint="eastAsia" w:ascii="仿宋" w:hAnsi="仿宋" w:eastAsia="仿宋" w:cs="仿宋"/>
                <w:b/>
                <w:color w:val="auto"/>
                <w:sz w:val="21"/>
                <w:szCs w:val="21"/>
                <w:highlight w:val="none"/>
              </w:rPr>
              <w:t>单位</w:t>
            </w:r>
          </w:p>
        </w:tc>
        <w:tc>
          <w:tcPr>
            <w:tcW w:w="764"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105" w:firstLineChars="50"/>
              <w:rPr>
                <w:rFonts w:hint="eastAsia" w:ascii="仿宋" w:hAnsi="仿宋" w:eastAsia="仿宋" w:cs="仿宋"/>
                <w:color w:val="auto"/>
                <w:spacing w:val="20"/>
                <w:sz w:val="21"/>
                <w:szCs w:val="21"/>
                <w:highlight w:val="none"/>
              </w:rPr>
            </w:pPr>
            <w:r>
              <w:rPr>
                <w:rFonts w:hint="eastAsia" w:ascii="仿宋" w:hAnsi="仿宋" w:eastAsia="仿宋" w:cs="仿宋"/>
                <w:color w:val="auto"/>
                <w:sz w:val="21"/>
                <w:szCs w:val="21"/>
                <w:highlight w:val="none"/>
              </w:rPr>
              <w:t>单价</w:t>
            </w:r>
          </w:p>
        </w:tc>
        <w:tc>
          <w:tcPr>
            <w:tcW w:w="70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0" w:firstLineChars="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合计</w:t>
            </w:r>
          </w:p>
        </w:tc>
        <w:tc>
          <w:tcPr>
            <w:tcW w:w="62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460" w:lineRule="exact"/>
              <w:ind w:firstLine="0" w:firstLineChars="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zh-CN" w:eastAsia="zh-CN" w:bidi="ar-SA"/>
              </w:rPr>
            </w:pPr>
            <w:r>
              <w:rPr>
                <w:rFonts w:hint="eastAsia" w:ascii="仿宋" w:hAnsi="仿宋" w:eastAsia="仿宋" w:cs="仿宋"/>
                <w:i w:val="0"/>
                <w:iCs w:val="0"/>
                <w:color w:val="000000"/>
                <w:kern w:val="0"/>
                <w:sz w:val="21"/>
                <w:szCs w:val="21"/>
                <w:highlight w:val="none"/>
                <w:u w:val="none"/>
                <w:lang w:val="en-US" w:eastAsia="zh-CN" w:bidi="ar"/>
              </w:rPr>
              <w:t>1</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i w:val="0"/>
                <w:iCs w:val="0"/>
                <w:color w:val="000000"/>
                <w:kern w:val="0"/>
                <w:sz w:val="21"/>
                <w:szCs w:val="21"/>
                <w:highlight w:val="none"/>
                <w:u w:val="none"/>
                <w:lang w:val="en-US" w:eastAsia="zh-CN" w:bidi="ar"/>
              </w:rPr>
              <w:t>电动悬空篮球架</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color w:val="auto"/>
                <w:spacing w:val="20"/>
                <w:kern w:val="2"/>
                <w:sz w:val="21"/>
                <w:szCs w:val="21"/>
                <w:highlight w:val="none"/>
                <w:lang w:val="en-US" w:eastAsia="zh-CN" w:bidi="ar-SA"/>
              </w:rPr>
            </w:pPr>
            <w:r>
              <w:rPr>
                <w:rFonts w:hint="eastAsia" w:ascii="仿宋" w:hAnsi="仿宋" w:eastAsia="仿宋" w:cs="仿宋"/>
                <w:color w:val="auto"/>
                <w:spacing w:val="20"/>
                <w:kern w:val="2"/>
                <w:sz w:val="21"/>
                <w:szCs w:val="21"/>
                <w:highlight w:val="none"/>
                <w:lang w:val="en-US" w:eastAsia="zh-CN" w:bidi="ar-SA"/>
              </w:rPr>
              <w:t>2</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kern w:val="2"/>
                <w:sz w:val="21"/>
                <w:szCs w:val="21"/>
                <w:highlight w:val="none"/>
                <w:lang w:val="en-US" w:eastAsia="zh-CN" w:bidi="ar-SA"/>
              </w:rPr>
            </w:pPr>
            <w:r>
              <w:rPr>
                <w:rFonts w:hint="eastAsia" w:ascii="仿宋" w:hAnsi="仿宋" w:eastAsia="仿宋" w:cs="仿宋"/>
                <w:color w:val="auto"/>
                <w:spacing w:val="20"/>
                <w:kern w:val="2"/>
                <w:sz w:val="21"/>
                <w:szCs w:val="21"/>
                <w:highlight w:val="none"/>
                <w:lang w:val="en-US" w:eastAsia="zh-CN" w:bidi="ar-SA"/>
              </w:rPr>
              <w:t>副</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计时，二十四秒显示器</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篮球发球权显示器</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篮球赛全队犯规器</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篮球赛记录员讯响器</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篮球队员犯规次数牌</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篮球示教板</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篮球赛计分器</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组合式球类推车</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8</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配重拆卸式排球柱（配小推车）</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11</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排球标志杆</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12</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排球换人牌</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排球讯响器</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14</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排球网高丈量尺</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根</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15</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排球计分器</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16</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移动式羽毛球柱</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17</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羽毛球地胶</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18</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乒乓球桌</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10</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19</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乒乓球翻分牌</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10</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乒乓球场地挡板</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50</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21</w:t>
            </w:r>
          </w:p>
        </w:tc>
        <w:tc>
          <w:tcPr>
            <w:tcW w:w="1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海绵垫</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10</w:t>
            </w:r>
          </w:p>
        </w:tc>
        <w:tc>
          <w:tcPr>
            <w:tcW w:w="523"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折叠海绵垫</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立定跳远垫</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4</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高级比赛跳高架</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比赛跳高架</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跳高横杆</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根</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横杆运输车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辆</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跳高丈量尺</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根</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跳高海绵垫</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跳高海绵垫底架</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跳高海绵垫防护棚</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起跳板</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起跳板底座</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起跳板盖板</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橡皮泥板</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铝合金平沙板</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把</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跳板显示牌</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跳远测量牌</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高级男子铅球（7.26kg）</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高级男子铅球（6kg）</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高级男少铅球（5kg）</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高级女子铅球（4kg）</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高级女少铅球（3kg）</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铅球架</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铅球投掷远度牌</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铅球抵趾板</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发令台</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发令烟屏</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49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终点裁判台（伸缩型）</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道次墩</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8</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起跑器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8</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起跑器运送车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比赛跨栏架</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40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栏高检验尺</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根</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跨栏架搬运车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接力棒</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发令器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把</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发令弹</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盒</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59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记圈牌</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移动式终点柱</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终点铜钟</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发奖台</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单道划线车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场地小推车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海绵垫搬运车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场地道牙</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固定单臂篮球架</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6</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钢管足球门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69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五人制足球门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足球战术板</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插地式排球柱</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4</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普通高单杠</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8</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普通单杠</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普通双杠</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室外云梯</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双格肋木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排球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7号篮球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6号篮球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7号篮球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40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排球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5号足球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羽毛球拍</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副</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Hans" w:bidi="ar-SA"/>
              </w:rPr>
            </w:pPr>
            <w:r>
              <w:rPr>
                <w:rFonts w:hint="eastAsia" w:ascii="仿宋" w:hAnsi="仿宋" w:eastAsia="仿宋" w:cs="仿宋"/>
                <w:i w:val="0"/>
                <w:iCs w:val="0"/>
                <w:color w:val="000000"/>
                <w:kern w:val="0"/>
                <w:sz w:val="21"/>
                <w:szCs w:val="21"/>
                <w:highlight w:val="none"/>
                <w:u w:val="none"/>
                <w:lang w:val="en-US" w:eastAsia="zh-CN" w:bidi="ar"/>
              </w:rPr>
              <w:t>羽毛球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箱</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乒乓球拍(横/直）</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付</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乒乓球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100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套</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中亚口哨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50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拔河绳</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根</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89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2公斤实心球</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20</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只</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跑步机</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3</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椭圆机</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卧式健身车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sz w:val="21"/>
                <w:szCs w:val="21"/>
                <w:highlight w:val="none"/>
                <w:u w:val="none"/>
                <w:lang w:val="en-US" w:eastAsia="zh-CN"/>
              </w:rPr>
              <w:t>93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坐姿推胸训练器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坐姿推肩训练器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大腿内外侧训练器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坐姿踢腿训练器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夹胸、提肩训练器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坐姿二头肌弯举训练器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99</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商用综合训练器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拉筋训练器</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101</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动感单车</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102</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腹肌板</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103</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史密斯机</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104</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奥杆</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根</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105</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双层哑铃架</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106</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哑铃</w:t>
            </w:r>
          </w:p>
          <w:p>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2.5-25KG,间隔2.5KG</w:t>
            </w:r>
          </w:p>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（10副，共计：275kg）</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275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kg</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107</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杠铃片</w:t>
            </w:r>
          </w:p>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（2.5\5\10\15\20KG，各2片，共计：105kg)</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105</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kg</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15"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108</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按摩椅</w:t>
            </w:r>
          </w:p>
        </w:tc>
        <w:tc>
          <w:tcPr>
            <w:tcW w:w="141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8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25"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1</w:t>
            </w:r>
          </w:p>
        </w:tc>
        <w:tc>
          <w:tcPr>
            <w:tcW w:w="523"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jc w:val="center"/>
              <w:rPr>
                <w:rFonts w:hint="default" w:ascii="仿宋" w:hAnsi="仿宋" w:eastAsia="仿宋" w:cs="仿宋"/>
                <w:color w:val="auto"/>
                <w:spacing w:val="20"/>
                <w:sz w:val="21"/>
                <w:szCs w:val="21"/>
                <w:highlight w:val="none"/>
                <w:lang w:val="en-US" w:eastAsia="zh-CN"/>
              </w:rPr>
            </w:pPr>
            <w:r>
              <w:rPr>
                <w:rFonts w:hint="eastAsia" w:ascii="仿宋" w:hAnsi="仿宋" w:eastAsia="仿宋" w:cs="仿宋"/>
                <w:color w:val="auto"/>
                <w:spacing w:val="20"/>
                <w:sz w:val="21"/>
                <w:szCs w:val="21"/>
                <w:highlight w:val="none"/>
                <w:lang w:val="en-US" w:eastAsia="zh-CN"/>
              </w:rPr>
              <w:t>台</w:t>
            </w:r>
          </w:p>
        </w:tc>
        <w:tc>
          <w:tcPr>
            <w:tcW w:w="764"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700" w:type="dxa"/>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620" w:type="dxa"/>
            <w:tcBorders>
              <w:top w:val="single" w:color="auto" w:sz="4" w:space="0"/>
              <w:left w:val="single" w:color="auto" w:sz="4" w:space="0"/>
              <w:bottom w:val="single" w:color="auto" w:sz="4" w:space="0"/>
            </w:tcBorders>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2162" w:type="dxa"/>
            <w:gridSpan w:val="2"/>
            <w:vMerge w:val="restart"/>
            <w:tcBorders>
              <w:top w:val="single" w:color="auto" w:sz="4" w:space="0"/>
              <w:left w:val="single" w:color="auto" w:sz="4" w:space="0"/>
              <w:right w:val="single" w:color="auto" w:sz="4" w:space="0"/>
            </w:tcBorders>
            <w:noWrap w:val="0"/>
            <w:vAlign w:val="center"/>
          </w:tcPr>
          <w:p>
            <w:pPr>
              <w:tabs>
                <w:tab w:val="left" w:pos="1418"/>
              </w:tabs>
              <w:snapToGrid w:val="0"/>
              <w:spacing w:before="50" w:after="50" w:line="460" w:lineRule="exact"/>
              <w:jc w:val="center"/>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总  价</w:t>
            </w: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4016" w:type="dxa"/>
            <w:gridSpan w:val="6"/>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 w:hRule="atLeast"/>
        </w:trPr>
        <w:tc>
          <w:tcPr>
            <w:tcW w:w="2162" w:type="dxa"/>
            <w:gridSpan w:val="2"/>
            <w:vMerge w:val="continue"/>
            <w:tcBorders>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rPr>
                <w:rFonts w:hint="eastAsia" w:ascii="仿宋" w:hAnsi="仿宋" w:eastAsia="仿宋" w:cs="仿宋"/>
                <w:color w:val="auto"/>
                <w:spacing w:val="20"/>
                <w:sz w:val="21"/>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jc w:val="center"/>
              <w:rPr>
                <w:rFonts w:hint="eastAsia" w:ascii="仿宋" w:hAnsi="仿宋" w:eastAsia="仿宋" w:cs="仿宋"/>
                <w:color w:val="auto"/>
                <w:spacing w:val="20"/>
                <w:sz w:val="21"/>
                <w:szCs w:val="21"/>
                <w:highlight w:val="none"/>
              </w:rPr>
            </w:pPr>
          </w:p>
        </w:tc>
        <w:tc>
          <w:tcPr>
            <w:tcW w:w="4016" w:type="dxa"/>
            <w:gridSpan w:val="6"/>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460" w:lineRule="exact"/>
              <w:ind w:firstLine="56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大写：</w:t>
            </w:r>
          </w:p>
        </w:tc>
      </w:tr>
    </w:tbl>
    <w:p>
      <w:pPr>
        <w:pStyle w:val="61"/>
        <w:keepNext w:val="0"/>
        <w:keepLines w:val="0"/>
        <w:pageBreakBefore w:val="0"/>
        <w:widowControl w:val="0"/>
        <w:kinsoku/>
        <w:wordWrap w:val="0"/>
        <w:overflowPunct/>
        <w:topLinePunct w:val="0"/>
        <w:autoSpaceDE/>
        <w:autoSpaceDN/>
        <w:bidi w:val="0"/>
        <w:spacing w:after="0" w:line="336" w:lineRule="auto"/>
        <w:ind w:left="0" w:leftChars="0" w:firstLine="0" w:firstLineChars="0"/>
        <w:jc w:val="both"/>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备注：本项目</w:t>
      </w:r>
      <w:r>
        <w:rPr>
          <w:rFonts w:hint="eastAsia" w:ascii="仿宋" w:hAnsi="仿宋" w:eastAsia="仿宋" w:cs="仿宋"/>
          <w:color w:val="auto"/>
          <w:sz w:val="24"/>
          <w:highlight w:val="none"/>
        </w:rPr>
        <w:t>货物全部由符合政策要求的中小企业制造，</w:t>
      </w:r>
      <w:r>
        <w:rPr>
          <w:rFonts w:hint="eastAsia" w:ascii="仿宋" w:hAnsi="仿宋" w:eastAsia="仿宋" w:cs="仿宋"/>
          <w:color w:val="auto"/>
          <w:sz w:val="24"/>
          <w:highlight w:val="none"/>
          <w:lang w:val="en-US" w:eastAsia="zh-CN"/>
        </w:rPr>
        <w:t>其中小微企业的合同份额须达到合同总金额30%及以上。制造商规模以中小企业声明函为准，小微企业合同份额累计额以本表计算为准。</w:t>
      </w:r>
    </w:p>
    <w:p>
      <w:pPr>
        <w:pStyle w:val="61"/>
        <w:keepNext w:val="0"/>
        <w:keepLines w:val="0"/>
        <w:pageBreakBefore w:val="0"/>
        <w:widowControl w:val="0"/>
        <w:kinsoku/>
        <w:wordWrap w:val="0"/>
        <w:overflowPunct/>
        <w:topLinePunct w:val="0"/>
        <w:autoSpaceDE/>
        <w:autoSpaceDN/>
        <w:bidi w:val="0"/>
        <w:spacing w:after="0" w:line="336" w:lineRule="auto"/>
        <w:ind w:left="0" w:leftChars="0" w:firstLine="0" w:firstLineChars="0"/>
        <w:jc w:val="both"/>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pStyle w:val="79"/>
        <w:ind w:firstLine="0" w:firstLineChars="0"/>
        <w:rPr>
          <w:rFonts w:hint="eastAsia" w:ascii="仿宋" w:hAnsi="仿宋" w:eastAsia="仿宋" w:cs="仿宋"/>
          <w:color w:val="auto"/>
          <w:highlight w:val="none"/>
          <w:lang w:val="zh-CN"/>
        </w:rPr>
      </w:pPr>
      <w:r>
        <w:rPr>
          <w:rFonts w:hint="eastAsia" w:ascii="仿宋" w:hAnsi="仿宋" w:eastAsia="仿宋" w:cs="仿宋"/>
          <w:color w:val="auto"/>
          <w:kern w:val="0"/>
          <w:sz w:val="24"/>
          <w:highlight w:val="none"/>
          <w:lang w:val="zh-CN"/>
        </w:rPr>
        <w:t>日期：</w:t>
      </w:r>
    </w:p>
    <w:p>
      <w:pPr>
        <w:pStyle w:val="694"/>
        <w:keepNext w:val="0"/>
        <w:tabs>
          <w:tab w:val="clear" w:pos="720"/>
        </w:tabs>
        <w:wordWrap w:val="0"/>
        <w:snapToGrid w:val="0"/>
        <w:spacing w:before="120" w:after="120"/>
        <w:ind w:firstLine="643"/>
        <w:outlineLvl w:val="4"/>
        <w:rPr>
          <w:rFonts w:hint="eastAsia" w:ascii="仿宋" w:hAnsi="仿宋" w:eastAsia="仿宋" w:cs="仿宋"/>
          <w:color w:val="auto"/>
          <w:sz w:val="32"/>
          <w:szCs w:val="32"/>
          <w:highlight w:val="none"/>
        </w:rPr>
      </w:pPr>
      <w:bookmarkStart w:id="559" w:name="_Toc10965"/>
      <w:bookmarkStart w:id="560" w:name="_Toc15901"/>
      <w:bookmarkStart w:id="561" w:name="_Toc16669"/>
      <w:bookmarkStart w:id="562" w:name="_Toc19744"/>
      <w:bookmarkStart w:id="563" w:name="_Toc24377"/>
      <w:bookmarkStart w:id="564" w:name="_Toc16528"/>
      <w:bookmarkStart w:id="565" w:name="_Toc16525"/>
      <w:bookmarkStart w:id="566" w:name="_Toc29327"/>
      <w:bookmarkStart w:id="567" w:name="_Toc26887"/>
      <w:r>
        <w:rPr>
          <w:rFonts w:hint="eastAsia" w:ascii="仿宋" w:hAnsi="仿宋" w:eastAsia="仿宋" w:cs="仿宋"/>
          <w:color w:val="auto"/>
          <w:kern w:val="2"/>
          <w:sz w:val="32"/>
          <w:szCs w:val="32"/>
          <w:highlight w:val="none"/>
        </w:rPr>
        <w:sym w:font="Wingdings" w:char="00A8"/>
      </w: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End w:id="559"/>
      <w:bookmarkEnd w:id="560"/>
      <w:bookmarkEnd w:id="561"/>
      <w:bookmarkEnd w:id="562"/>
      <w:bookmarkEnd w:id="563"/>
      <w:bookmarkEnd w:id="564"/>
      <w:bookmarkEnd w:id="565"/>
      <w:bookmarkEnd w:id="566"/>
      <w:bookmarkEnd w:id="567"/>
    </w:p>
    <w:p>
      <w:pPr>
        <w:widowControl/>
        <w:wordWrap w:val="0"/>
        <w:spacing w:line="360" w:lineRule="auto"/>
        <w:ind w:firstLine="120" w:firstLineChars="50"/>
        <w:jc w:val="left"/>
        <w:rPr>
          <w:rFonts w:hint="eastAsia" w:ascii="仿宋" w:hAnsi="仿宋" w:eastAsia="仿宋" w:cs="仿宋"/>
          <w:b/>
          <w:color w:val="auto"/>
          <w:sz w:val="24"/>
          <w:highlight w:val="none"/>
        </w:rPr>
      </w:pPr>
    </w:p>
    <w:p>
      <w:pPr>
        <w:widowControl/>
        <w:wordWrap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本项目落实政府采购政策需满足的资格要求为“无”，即本项目未预留份额专门面向中小企业，符合《政府采购促进中小企业发展管理办法》规定的小微企业拟享受价格扣除政策的，需在报价文件中提供中小企业声明函（附件5）。]</w:t>
      </w:r>
    </w:p>
    <w:p>
      <w:pPr>
        <w:widowControl/>
        <w:wordWrap w:val="0"/>
        <w:spacing w:line="360" w:lineRule="auto"/>
        <w:ind w:firstLine="120" w:firstLineChars="50"/>
        <w:jc w:val="left"/>
        <w:rPr>
          <w:rFonts w:hint="eastAsia" w:ascii="仿宋" w:hAnsi="仿宋" w:eastAsia="仿宋" w:cs="仿宋"/>
          <w:b/>
          <w:color w:val="auto"/>
          <w:sz w:val="24"/>
          <w:highlight w:val="none"/>
        </w:rPr>
      </w:pPr>
    </w:p>
    <w:p>
      <w:pPr>
        <w:widowControl/>
        <w:wordWrap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本项目落实政府采购政策需满足的资格要求为“专门面向中小企业”，即本项目为预留份额专门面向中小企业，符合《政府采购促进中小企业发展管理办法》规定的中小企业应在资格文件部分提供中小企业声明函，报价文件中无需重复提供。]</w:t>
      </w:r>
    </w:p>
    <w:p>
      <w:pPr>
        <w:wordWrap w:val="0"/>
        <w:spacing w:line="360" w:lineRule="auto"/>
        <w:ind w:right="420" w:firstLine="2409" w:firstLineChars="1000"/>
        <w:rPr>
          <w:rFonts w:hint="eastAsia" w:ascii="仿宋" w:hAnsi="仿宋" w:eastAsia="仿宋" w:cs="仿宋"/>
          <w:b/>
          <w:color w:val="auto"/>
          <w:kern w:val="0"/>
          <w:sz w:val="24"/>
          <w:szCs w:val="24"/>
          <w:highlight w:val="none"/>
        </w:rPr>
      </w:pPr>
    </w:p>
    <w:p>
      <w:pPr>
        <w:widowControl/>
        <w:wordWrap w:val="0"/>
        <w:spacing w:line="360" w:lineRule="auto"/>
        <w:ind w:right="0" w:firstLine="120" w:firstLineChars="50"/>
        <w:jc w:val="both"/>
        <w:rPr>
          <w:rFonts w:hint="eastAsia" w:ascii="仿宋" w:hAnsi="仿宋" w:eastAsia="仿宋" w:cs="仿宋"/>
          <w:b/>
          <w:color w:val="auto"/>
          <w:kern w:val="2"/>
          <w:sz w:val="24"/>
          <w:szCs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[本项目落实政府采购政策需满足的资格要求以联合体形式参加的，提供联合协议（附件6）和中小企业声明函（附件5），联合协议中</w:t>
      </w:r>
      <w:r>
        <w:rPr>
          <w:rFonts w:hint="eastAsia" w:ascii="仿宋" w:hAnsi="仿宋" w:eastAsia="仿宋" w:cs="仿宋"/>
          <w:b/>
          <w:color w:val="auto"/>
          <w:sz w:val="24"/>
          <w:highlight w:val="none"/>
          <w:lang w:eastAsia="zh-CN"/>
        </w:rPr>
        <w:t>中小企业</w:t>
      </w:r>
      <w:r>
        <w:rPr>
          <w:rFonts w:hint="eastAsia" w:ascii="仿宋" w:hAnsi="仿宋" w:eastAsia="仿宋" w:cs="仿宋"/>
          <w:b/>
          <w:color w:val="auto"/>
          <w:sz w:val="24"/>
          <w:highlight w:val="none"/>
        </w:rPr>
        <w:t>合同金额应当达到招标公告载明的比例；如果供应商本身提供所有标的均由</w:t>
      </w:r>
      <w:r>
        <w:rPr>
          <w:rFonts w:hint="eastAsia" w:ascii="仿宋" w:hAnsi="仿宋" w:eastAsia="仿宋" w:cs="仿宋"/>
          <w:b/>
          <w:color w:val="auto"/>
          <w:sz w:val="24"/>
          <w:highlight w:val="none"/>
          <w:lang w:eastAsia="zh-CN"/>
        </w:rPr>
        <w:t>中小企业</w:t>
      </w:r>
      <w:r>
        <w:rPr>
          <w:rFonts w:hint="eastAsia" w:ascii="仿宋" w:hAnsi="仿宋" w:eastAsia="仿宋" w:cs="仿宋"/>
          <w:b/>
          <w:color w:val="auto"/>
          <w:sz w:val="24"/>
          <w:highlight w:val="none"/>
        </w:rPr>
        <w:t>承接的，视同符合了资格条件，无需再与其他</w:t>
      </w:r>
      <w:r>
        <w:rPr>
          <w:rFonts w:hint="eastAsia" w:ascii="仿宋" w:hAnsi="仿宋" w:eastAsia="仿宋" w:cs="仿宋"/>
          <w:b/>
          <w:color w:val="auto"/>
          <w:sz w:val="24"/>
          <w:highlight w:val="none"/>
          <w:lang w:eastAsia="zh-CN"/>
        </w:rPr>
        <w:t>中小企业</w:t>
      </w:r>
      <w:r>
        <w:rPr>
          <w:rFonts w:hint="eastAsia" w:ascii="仿宋" w:hAnsi="仿宋" w:eastAsia="仿宋" w:cs="仿宋"/>
          <w:b/>
          <w:color w:val="auto"/>
          <w:sz w:val="24"/>
          <w:highlight w:val="none"/>
        </w:rPr>
        <w:t>组成联合体参加政府采购活动，无需提供联合协议。]</w:t>
      </w:r>
    </w:p>
    <w:p>
      <w:pPr>
        <w:widowControl/>
        <w:wordWrap w:val="0"/>
        <w:spacing w:line="360" w:lineRule="auto"/>
        <w:ind w:right="0" w:firstLine="120" w:firstLineChars="50"/>
        <w:jc w:val="both"/>
        <w:rPr>
          <w:rFonts w:hint="eastAsia" w:ascii="仿宋" w:hAnsi="仿宋" w:eastAsia="仿宋" w:cs="仿宋"/>
          <w:b/>
          <w:color w:val="auto"/>
          <w:sz w:val="24"/>
          <w:highlight w:val="none"/>
        </w:rPr>
      </w:pPr>
    </w:p>
    <w:p>
      <w:pPr>
        <w:widowControl/>
        <w:wordWrap w:val="0"/>
        <w:spacing w:line="360" w:lineRule="auto"/>
        <w:ind w:right="0" w:firstLine="120" w:firstLineChars="50"/>
        <w:jc w:val="both"/>
        <w:rPr>
          <w:rFonts w:hint="eastAsia" w:ascii="仿宋" w:hAnsi="仿宋" w:eastAsia="仿宋" w:cs="仿宋"/>
          <w:b/>
          <w:color w:val="auto"/>
          <w:kern w:val="2"/>
          <w:sz w:val="24"/>
          <w:szCs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本项目落实政府采购政策需满足的资格要求合同分包的，提供分包意向协议（附件7）和中小企业声明函（附件5），分包意向协议中中小企业合同金额应当达到招标公告载明的比例；如果供应商本身提供所有标的均由中小企业承接，视同符合了资格条件，无需再向中小企业分包，无需提供分包意向协议。]</w:t>
      </w:r>
    </w:p>
    <w:p>
      <w:pPr>
        <w:wordWrap w:val="0"/>
        <w:spacing w:line="360" w:lineRule="auto"/>
        <w:ind w:right="420" w:firstLine="3614" w:firstLineChars="1000"/>
        <w:rPr>
          <w:rFonts w:hint="eastAsia" w:ascii="仿宋" w:hAnsi="仿宋" w:eastAsia="仿宋" w:cs="仿宋"/>
          <w:b/>
          <w:color w:val="auto"/>
          <w:kern w:val="0"/>
          <w:sz w:val="36"/>
          <w:szCs w:val="36"/>
          <w:highlight w:val="none"/>
        </w:rPr>
      </w:pPr>
    </w:p>
    <w:p>
      <w:pPr>
        <w:wordWrap w:val="0"/>
        <w:spacing w:line="360" w:lineRule="auto"/>
        <w:ind w:right="420" w:firstLine="3614" w:firstLineChars="1000"/>
        <w:rPr>
          <w:rFonts w:hint="eastAsia" w:ascii="仿宋" w:hAnsi="仿宋" w:eastAsia="仿宋" w:cs="仿宋"/>
          <w:b/>
          <w:color w:val="auto"/>
          <w:kern w:val="0"/>
          <w:sz w:val="36"/>
          <w:szCs w:val="36"/>
          <w:highlight w:val="none"/>
        </w:rPr>
      </w:pPr>
    </w:p>
    <w:p>
      <w:pPr>
        <w:wordWrap w:val="0"/>
        <w:spacing w:line="360" w:lineRule="auto"/>
        <w:ind w:right="420" w:firstLine="3614" w:firstLineChars="1000"/>
        <w:rPr>
          <w:rFonts w:hint="eastAsia" w:ascii="仿宋" w:hAnsi="仿宋" w:eastAsia="仿宋" w:cs="仿宋"/>
          <w:b/>
          <w:color w:val="auto"/>
          <w:kern w:val="0"/>
          <w:sz w:val="36"/>
          <w:szCs w:val="36"/>
          <w:highlight w:val="none"/>
        </w:rPr>
      </w:pPr>
    </w:p>
    <w:p>
      <w:pPr>
        <w:pStyle w:val="6"/>
        <w:rPr>
          <w:rFonts w:hint="eastAsia" w:ascii="仿宋" w:hAnsi="仿宋" w:eastAsia="仿宋" w:cs="仿宋"/>
          <w:color w:val="auto"/>
          <w:highlight w:val="none"/>
        </w:rPr>
        <w:sectPr>
          <w:footerReference r:id="rId22" w:type="first"/>
          <w:headerReference r:id="rId19" w:type="default"/>
          <w:footerReference r:id="rId20" w:type="default"/>
          <w:footerReference r:id="rId21" w:type="even"/>
          <w:pgSz w:w="11905" w:h="16838"/>
          <w:pgMar w:top="652" w:right="1417" w:bottom="680" w:left="1417" w:header="539" w:footer="425" w:gutter="0"/>
          <w:cols w:space="0" w:num="1"/>
          <w:titlePg/>
          <w:docGrid w:linePitch="312" w:charSpace="0"/>
        </w:sectPr>
      </w:pPr>
      <w:bookmarkStart w:id="568" w:name="_Toc19385"/>
      <w:bookmarkStart w:id="569" w:name="_Toc11681"/>
      <w:bookmarkStart w:id="570" w:name="_Toc21803"/>
      <w:bookmarkStart w:id="571" w:name="_Toc465665161"/>
      <w:bookmarkStart w:id="572" w:name="_Toc29548"/>
      <w:bookmarkStart w:id="573" w:name="_Toc18247"/>
    </w:p>
    <w:p>
      <w:pPr>
        <w:pStyle w:val="4"/>
        <w:keepNext w:val="0"/>
        <w:keepLines w:val="0"/>
        <w:widowControl/>
        <w:wordWrap w:val="0"/>
        <w:spacing w:before="100" w:beforeAutospacing="1" w:after="100" w:afterAutospacing="1" w:line="360" w:lineRule="auto"/>
        <w:rPr>
          <w:rFonts w:hint="eastAsia" w:ascii="仿宋" w:hAnsi="仿宋" w:eastAsia="仿宋" w:cs="仿宋"/>
          <w:color w:val="auto"/>
          <w:highlight w:val="none"/>
        </w:rPr>
      </w:pPr>
      <w:bookmarkStart w:id="574" w:name="_Toc1812"/>
      <w:bookmarkStart w:id="575" w:name="_Toc19751"/>
      <w:r>
        <w:rPr>
          <w:rFonts w:hint="eastAsia" w:ascii="仿宋" w:hAnsi="仿宋" w:eastAsia="仿宋" w:cs="仿宋"/>
          <w:color w:val="auto"/>
          <w:highlight w:val="none"/>
        </w:rPr>
        <w:t>附件</w:t>
      </w:r>
      <w:bookmarkEnd w:id="568"/>
      <w:bookmarkEnd w:id="569"/>
      <w:bookmarkEnd w:id="570"/>
      <w:bookmarkEnd w:id="571"/>
      <w:bookmarkEnd w:id="572"/>
      <w:bookmarkEnd w:id="573"/>
      <w:bookmarkEnd w:id="574"/>
      <w:bookmarkEnd w:id="575"/>
    </w:p>
    <w:p>
      <w:pPr>
        <w:wordWrap w:val="0"/>
        <w:spacing w:line="360" w:lineRule="auto"/>
        <w:outlineLvl w:val="0"/>
        <w:rPr>
          <w:rFonts w:hint="eastAsia" w:ascii="仿宋" w:hAnsi="仿宋" w:eastAsia="仿宋" w:cs="仿宋"/>
          <w:b/>
          <w:color w:val="auto"/>
          <w:spacing w:val="6"/>
          <w:sz w:val="32"/>
          <w:szCs w:val="32"/>
          <w:highlight w:val="none"/>
        </w:rPr>
      </w:pPr>
      <w:bookmarkStart w:id="576" w:name="_Toc25826"/>
      <w:bookmarkStart w:id="577" w:name="_Toc31021"/>
      <w:bookmarkStart w:id="578" w:name="_Toc14817"/>
      <w:bookmarkStart w:id="579" w:name="_Toc4640"/>
      <w:bookmarkStart w:id="580" w:name="_Toc19435"/>
      <w:bookmarkStart w:id="581" w:name="_Toc24540"/>
      <w:bookmarkStart w:id="582" w:name="_Toc7886"/>
      <w:bookmarkStart w:id="583" w:name="_Toc7995"/>
      <w:bookmarkStart w:id="584" w:name="_Toc9886"/>
      <w:r>
        <w:rPr>
          <w:rFonts w:hint="eastAsia" w:ascii="仿宋" w:hAnsi="仿宋" w:eastAsia="仿宋" w:cs="仿宋"/>
          <w:b/>
          <w:color w:val="auto"/>
          <w:spacing w:val="6"/>
          <w:sz w:val="32"/>
          <w:szCs w:val="32"/>
          <w:highlight w:val="none"/>
        </w:rPr>
        <w:t>附件1：</w:t>
      </w:r>
      <w:bookmarkEnd w:id="576"/>
      <w:bookmarkEnd w:id="577"/>
      <w:bookmarkEnd w:id="578"/>
      <w:bookmarkEnd w:id="579"/>
      <w:bookmarkEnd w:id="580"/>
      <w:bookmarkEnd w:id="581"/>
      <w:bookmarkEnd w:id="582"/>
      <w:bookmarkEnd w:id="583"/>
      <w:bookmarkEnd w:id="584"/>
    </w:p>
    <w:p>
      <w:pPr>
        <w:wordWrap w:val="0"/>
        <w:spacing w:line="360" w:lineRule="auto"/>
        <w:jc w:val="center"/>
        <w:rPr>
          <w:rFonts w:hint="eastAsia" w:ascii="仿宋" w:hAnsi="仿宋" w:eastAsia="仿宋" w:cs="仿宋"/>
          <w:b/>
          <w:color w:val="auto"/>
          <w:spacing w:val="6"/>
          <w:sz w:val="32"/>
          <w:szCs w:val="32"/>
          <w:highlight w:val="none"/>
        </w:rPr>
      </w:pPr>
      <w:bookmarkStart w:id="585" w:name="OLE_LINK13"/>
      <w:bookmarkStart w:id="586" w:name="OLE_LINK14"/>
      <w:r>
        <w:rPr>
          <w:rFonts w:hint="eastAsia" w:ascii="仿宋" w:hAnsi="仿宋" w:eastAsia="仿宋" w:cs="仿宋"/>
          <w:b/>
          <w:color w:val="auto"/>
          <w:spacing w:val="6"/>
          <w:sz w:val="32"/>
          <w:szCs w:val="32"/>
          <w:highlight w:val="none"/>
        </w:rPr>
        <w:t>残疾人福利性单位声明函</w:t>
      </w:r>
    </w:p>
    <w:bookmarkEnd w:id="585"/>
    <w:bookmarkEnd w:id="586"/>
    <w:p>
      <w:pPr>
        <w:wordWrap w:val="0"/>
        <w:spacing w:line="360" w:lineRule="auto"/>
        <w:rPr>
          <w:rFonts w:hint="eastAsia" w:ascii="仿宋" w:hAnsi="仿宋" w:eastAsia="仿宋" w:cs="仿宋"/>
          <w:b/>
          <w:color w:val="auto"/>
          <w:spacing w:val="6"/>
          <w:sz w:val="30"/>
          <w:szCs w:val="30"/>
          <w:highlight w:val="none"/>
        </w:rPr>
      </w:pP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采购活动提供本单位</w:t>
      </w: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制造的货物</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本单位承担工程</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本单位提供服务），或者提供其他残疾人福利性单位制造的货物（不包括使用非残疾人福利性单位注册商标的货物）。</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wordWrap w:val="0"/>
        <w:spacing w:line="360" w:lineRule="auto"/>
        <w:ind w:firstLine="480" w:firstLineChars="200"/>
        <w:rPr>
          <w:rFonts w:hint="eastAsia" w:ascii="仿宋" w:hAnsi="仿宋" w:eastAsia="仿宋" w:cs="仿宋"/>
          <w:color w:val="auto"/>
          <w:sz w:val="24"/>
          <w:highlight w:val="none"/>
        </w:rPr>
      </w:pPr>
    </w:p>
    <w:p>
      <w:pPr>
        <w:wordWrap w:val="0"/>
        <w:spacing w:line="360" w:lineRule="auto"/>
        <w:ind w:firstLine="480" w:firstLineChars="200"/>
        <w:rPr>
          <w:rFonts w:hint="eastAsia" w:ascii="仿宋" w:hAnsi="仿宋" w:eastAsia="仿宋" w:cs="仿宋"/>
          <w:color w:val="auto"/>
          <w:sz w:val="24"/>
          <w:highlight w:val="none"/>
        </w:rPr>
      </w:pPr>
    </w:p>
    <w:p>
      <w:pPr>
        <w:tabs>
          <w:tab w:val="left" w:pos="4860"/>
        </w:tabs>
        <w:wordWrap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wordWrap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wordWrap w:val="0"/>
        <w:spacing w:line="360" w:lineRule="auto"/>
        <w:ind w:firstLine="480" w:firstLineChars="200"/>
        <w:rPr>
          <w:rFonts w:hint="eastAsia" w:ascii="仿宋" w:hAnsi="仿宋" w:eastAsia="仿宋" w:cs="仿宋"/>
          <w:color w:val="auto"/>
          <w:sz w:val="24"/>
          <w:highlight w:val="none"/>
        </w:rPr>
      </w:pPr>
    </w:p>
    <w:p>
      <w:pPr>
        <w:wordWrap w:val="0"/>
        <w:spacing w:line="360" w:lineRule="auto"/>
        <w:ind w:firstLine="420" w:firstLineChars="200"/>
        <w:rPr>
          <w:rFonts w:hint="eastAsia" w:ascii="仿宋" w:hAnsi="仿宋" w:eastAsia="仿宋" w:cs="仿宋"/>
          <w:color w:val="auto"/>
          <w:highlight w:val="none"/>
        </w:rPr>
      </w:pPr>
    </w:p>
    <w:p>
      <w:pPr>
        <w:wordWrap w:val="0"/>
        <w:spacing w:line="360" w:lineRule="auto"/>
        <w:ind w:firstLine="420" w:firstLineChars="200"/>
        <w:rPr>
          <w:rFonts w:hint="eastAsia" w:ascii="仿宋" w:hAnsi="仿宋" w:eastAsia="仿宋" w:cs="仿宋"/>
          <w:color w:val="auto"/>
          <w:highlight w:val="none"/>
        </w:rPr>
      </w:pPr>
    </w:p>
    <w:p>
      <w:pPr>
        <w:wordWrap w:val="0"/>
        <w:spacing w:line="360" w:lineRule="auto"/>
        <w:ind w:firstLine="420" w:firstLineChars="200"/>
        <w:rPr>
          <w:rFonts w:hint="eastAsia" w:ascii="仿宋" w:hAnsi="仿宋" w:eastAsia="仿宋" w:cs="仿宋"/>
          <w:color w:val="auto"/>
          <w:highlight w:val="none"/>
        </w:rPr>
      </w:pPr>
    </w:p>
    <w:p>
      <w:pPr>
        <w:wordWrap w:val="0"/>
        <w:spacing w:line="360" w:lineRule="auto"/>
        <w:ind w:firstLine="420" w:firstLineChars="200"/>
        <w:rPr>
          <w:rFonts w:hint="eastAsia" w:ascii="仿宋" w:hAnsi="仿宋" w:eastAsia="仿宋" w:cs="仿宋"/>
          <w:color w:val="auto"/>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spacing w:line="360" w:lineRule="auto"/>
        <w:rPr>
          <w:rFonts w:hint="eastAsia" w:ascii="仿宋" w:hAnsi="仿宋" w:eastAsia="仿宋" w:cs="仿宋"/>
          <w:b/>
          <w:color w:val="auto"/>
          <w:sz w:val="24"/>
          <w:highlight w:val="none"/>
        </w:rPr>
      </w:pPr>
    </w:p>
    <w:p>
      <w:pPr>
        <w:wordWrap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wordWrap w:val="0"/>
        <w:spacing w:line="360" w:lineRule="auto"/>
        <w:jc w:val="left"/>
        <w:outlineLvl w:val="0"/>
        <w:rPr>
          <w:rFonts w:hint="eastAsia" w:ascii="仿宋" w:hAnsi="仿宋" w:eastAsia="仿宋" w:cs="仿宋"/>
          <w:b/>
          <w:color w:val="auto"/>
          <w:spacing w:val="6"/>
          <w:sz w:val="32"/>
          <w:szCs w:val="32"/>
          <w:highlight w:val="none"/>
        </w:rPr>
      </w:pPr>
      <w:bookmarkStart w:id="587" w:name="_Toc3891"/>
      <w:bookmarkStart w:id="588" w:name="_Toc22640"/>
      <w:bookmarkStart w:id="589" w:name="_Toc21976"/>
      <w:bookmarkStart w:id="590" w:name="_Toc25285"/>
      <w:bookmarkStart w:id="591" w:name="_Toc16946"/>
      <w:bookmarkStart w:id="592" w:name="_Toc19664"/>
      <w:bookmarkStart w:id="593" w:name="_Toc16744"/>
      <w:bookmarkStart w:id="594" w:name="_Toc10405"/>
      <w:bookmarkStart w:id="595" w:name="_Toc10890"/>
      <w:r>
        <w:rPr>
          <w:rFonts w:hint="eastAsia" w:ascii="仿宋" w:hAnsi="仿宋" w:eastAsia="仿宋" w:cs="仿宋"/>
          <w:b/>
          <w:color w:val="auto"/>
          <w:spacing w:val="6"/>
          <w:sz w:val="32"/>
          <w:szCs w:val="32"/>
          <w:highlight w:val="none"/>
        </w:rPr>
        <w:t>附件2：质疑函范本及制作说明</w:t>
      </w:r>
      <w:bookmarkEnd w:id="587"/>
      <w:bookmarkEnd w:id="588"/>
      <w:bookmarkEnd w:id="589"/>
      <w:bookmarkEnd w:id="590"/>
      <w:bookmarkEnd w:id="591"/>
      <w:bookmarkEnd w:id="592"/>
      <w:bookmarkEnd w:id="593"/>
      <w:bookmarkEnd w:id="594"/>
      <w:bookmarkEnd w:id="595"/>
    </w:p>
    <w:p>
      <w:pPr>
        <w:wordWrap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wordWrap w:val="0"/>
        <w:snapToGrid w:val="0"/>
        <w:spacing w:before="240" w:beforeLines="1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wordWrap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wordWrap w:val="0"/>
        <w:snapToGrid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wordWrap w:val="0"/>
        <w:snapToGrid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wordWrap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hint="eastAsia" w:ascii="仿宋" w:hAnsi="仿宋" w:eastAsia="仿宋" w:cs="仿宋"/>
          <w:color w:val="auto"/>
          <w:sz w:val="30"/>
          <w:szCs w:val="30"/>
          <w:highlight w:val="none"/>
        </w:rPr>
      </w:pPr>
    </w:p>
    <w:p>
      <w:pPr>
        <w:wordWrap w:val="0"/>
        <w:spacing w:line="360" w:lineRule="auto"/>
        <w:jc w:val="center"/>
        <w:rPr>
          <w:rFonts w:hint="eastAsia" w:ascii="仿宋" w:hAnsi="仿宋" w:eastAsia="仿宋" w:cs="仿宋"/>
          <w:b/>
          <w:color w:val="auto"/>
          <w:spacing w:val="6"/>
          <w:sz w:val="32"/>
          <w:szCs w:val="32"/>
          <w:highlight w:val="none"/>
        </w:rPr>
      </w:pPr>
    </w:p>
    <w:p>
      <w:pPr>
        <w:wordWrap w:val="0"/>
        <w:spacing w:line="360" w:lineRule="auto"/>
        <w:jc w:val="center"/>
        <w:rPr>
          <w:rFonts w:hint="eastAsia" w:ascii="仿宋" w:hAnsi="仿宋" w:eastAsia="仿宋" w:cs="仿宋"/>
          <w:b/>
          <w:color w:val="auto"/>
          <w:spacing w:val="6"/>
          <w:sz w:val="32"/>
          <w:szCs w:val="32"/>
          <w:highlight w:val="none"/>
        </w:rPr>
      </w:pPr>
    </w:p>
    <w:p>
      <w:pPr>
        <w:wordWrap w:val="0"/>
        <w:spacing w:line="360" w:lineRule="auto"/>
        <w:jc w:val="center"/>
        <w:rPr>
          <w:rFonts w:hint="eastAsia" w:ascii="仿宋" w:hAnsi="仿宋" w:eastAsia="仿宋" w:cs="仿宋"/>
          <w:b/>
          <w:color w:val="auto"/>
          <w:spacing w:val="6"/>
          <w:sz w:val="32"/>
          <w:szCs w:val="32"/>
          <w:highlight w:val="none"/>
        </w:rPr>
      </w:pPr>
    </w:p>
    <w:p>
      <w:pPr>
        <w:wordWrap w:val="0"/>
        <w:spacing w:line="360" w:lineRule="auto"/>
        <w:jc w:val="center"/>
        <w:rPr>
          <w:rFonts w:hint="eastAsia" w:ascii="仿宋" w:hAnsi="仿宋" w:eastAsia="仿宋" w:cs="仿宋"/>
          <w:b/>
          <w:color w:val="auto"/>
          <w:spacing w:val="6"/>
          <w:sz w:val="32"/>
          <w:szCs w:val="32"/>
          <w:highlight w:val="none"/>
        </w:rPr>
      </w:pPr>
    </w:p>
    <w:p>
      <w:pPr>
        <w:wordWrap w:val="0"/>
        <w:spacing w:line="360" w:lineRule="auto"/>
        <w:jc w:val="left"/>
        <w:outlineLvl w:val="0"/>
        <w:rPr>
          <w:rFonts w:hint="eastAsia" w:ascii="仿宋" w:hAnsi="仿宋" w:eastAsia="仿宋" w:cs="仿宋"/>
          <w:b/>
          <w:color w:val="auto"/>
          <w:spacing w:val="6"/>
          <w:sz w:val="32"/>
          <w:szCs w:val="32"/>
          <w:highlight w:val="none"/>
        </w:rPr>
      </w:pPr>
      <w:bookmarkStart w:id="596" w:name="_Toc1796"/>
      <w:bookmarkStart w:id="597" w:name="_Toc26395"/>
      <w:bookmarkStart w:id="598" w:name="_Toc13719"/>
      <w:bookmarkStart w:id="599" w:name="_Toc19370"/>
      <w:bookmarkStart w:id="600" w:name="_Toc23740"/>
      <w:bookmarkStart w:id="601" w:name="_Toc5259"/>
      <w:bookmarkStart w:id="602" w:name="_Toc14739"/>
      <w:bookmarkStart w:id="603" w:name="_Toc15183"/>
      <w:bookmarkStart w:id="604" w:name="_Toc4759"/>
      <w:r>
        <w:rPr>
          <w:rFonts w:hint="eastAsia" w:ascii="仿宋" w:hAnsi="仿宋" w:eastAsia="仿宋" w:cs="仿宋"/>
          <w:b/>
          <w:color w:val="auto"/>
          <w:spacing w:val="6"/>
          <w:sz w:val="32"/>
          <w:szCs w:val="32"/>
          <w:highlight w:val="none"/>
        </w:rPr>
        <w:t>附件3：投诉书范本及制作说明</w:t>
      </w:r>
      <w:bookmarkEnd w:id="596"/>
      <w:bookmarkEnd w:id="597"/>
      <w:bookmarkEnd w:id="598"/>
      <w:bookmarkEnd w:id="599"/>
      <w:bookmarkEnd w:id="600"/>
      <w:bookmarkEnd w:id="601"/>
      <w:bookmarkEnd w:id="602"/>
      <w:bookmarkEnd w:id="603"/>
      <w:bookmarkEnd w:id="604"/>
    </w:p>
    <w:p>
      <w:pPr>
        <w:wordWrap w:val="0"/>
        <w:spacing w:line="360" w:lineRule="auto"/>
        <w:jc w:val="center"/>
        <w:rPr>
          <w:rFonts w:hint="eastAsia" w:ascii="仿宋" w:hAnsi="仿宋" w:eastAsia="仿宋" w:cs="仿宋"/>
          <w:b/>
          <w:color w:val="auto"/>
          <w:sz w:val="24"/>
          <w:highlight w:val="none"/>
        </w:rPr>
      </w:pPr>
    </w:p>
    <w:p>
      <w:pPr>
        <w:wordWrap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wordWrap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wordWrap w:val="0"/>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wordWrap w:val="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pPr>
        <w:wordWrap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pPr>
        <w:wordWrap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wordWrap w:val="0"/>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wordWrap w:val="0"/>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wordWrap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wordWrap w:val="0"/>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wordWrap w:val="0"/>
        <w:spacing w:line="360" w:lineRule="auto"/>
        <w:rPr>
          <w:rFonts w:hint="eastAsia" w:ascii="仿宋" w:hAnsi="仿宋" w:eastAsia="仿宋" w:cs="仿宋"/>
          <w:b/>
          <w:color w:val="auto"/>
          <w:sz w:val="24"/>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wordWrap w:val="0"/>
        <w:autoSpaceDE w:val="0"/>
        <w:autoSpaceDN w:val="0"/>
        <w:jc w:val="left"/>
        <w:outlineLvl w:val="0"/>
        <w:rPr>
          <w:rFonts w:hint="eastAsia" w:ascii="仿宋" w:hAnsi="仿宋" w:eastAsia="仿宋" w:cs="仿宋"/>
          <w:b/>
          <w:bCs/>
          <w:color w:val="auto"/>
          <w:sz w:val="32"/>
          <w:szCs w:val="32"/>
          <w:highlight w:val="none"/>
        </w:rPr>
      </w:pPr>
      <w:bookmarkStart w:id="605" w:name="_Toc30199"/>
      <w:bookmarkStart w:id="606" w:name="_Toc28414"/>
      <w:bookmarkStart w:id="607" w:name="_Toc25068"/>
      <w:bookmarkStart w:id="608" w:name="_Toc19508"/>
      <w:bookmarkStart w:id="609" w:name="_Toc13943"/>
      <w:bookmarkStart w:id="610" w:name="_Toc1784"/>
      <w:bookmarkStart w:id="611" w:name="_Toc6620"/>
      <w:bookmarkStart w:id="612" w:name="_Toc14277"/>
      <w:bookmarkStart w:id="613" w:name="_Toc31326"/>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bookmarkEnd w:id="605"/>
      <w:bookmarkEnd w:id="606"/>
      <w:bookmarkEnd w:id="607"/>
      <w:bookmarkEnd w:id="608"/>
      <w:bookmarkEnd w:id="609"/>
      <w:bookmarkEnd w:id="610"/>
      <w:bookmarkEnd w:id="611"/>
      <w:bookmarkEnd w:id="612"/>
      <w:bookmarkEnd w:id="613"/>
    </w:p>
    <w:p>
      <w:pPr>
        <w:wordWrap w:val="0"/>
        <w:spacing w:line="360" w:lineRule="auto"/>
        <w:rPr>
          <w:rFonts w:hint="eastAsia" w:ascii="仿宋" w:hAnsi="仿宋" w:eastAsia="仿宋" w:cs="仿宋"/>
          <w:color w:val="auto"/>
          <w:sz w:val="24"/>
          <w:highlight w:val="none"/>
          <w:u w:val="single"/>
        </w:rPr>
      </w:pPr>
    </w:p>
    <w:p>
      <w:pPr>
        <w:wordWrap w:val="0"/>
        <w:spacing w:line="360" w:lineRule="auto"/>
        <w:rPr>
          <w:rFonts w:hint="eastAsia" w:ascii="仿宋" w:hAnsi="仿宋" w:eastAsia="仿宋" w:cs="仿宋"/>
          <w:color w:val="auto"/>
          <w:sz w:val="24"/>
          <w:highlight w:val="none"/>
          <w:u w:val="single"/>
        </w:rPr>
      </w:pPr>
    </w:p>
    <w:p>
      <w:pPr>
        <w:wordWrap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杭州贯今工程咨询有限公司</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wordWrap w:val="0"/>
        <w:spacing w:line="360" w:lineRule="auto"/>
        <w:ind w:firstLine="494"/>
        <w:rPr>
          <w:rFonts w:hint="eastAsia" w:ascii="仿宋" w:hAnsi="仿宋" w:eastAsia="仿宋" w:cs="仿宋"/>
          <w:color w:val="auto"/>
          <w:sz w:val="24"/>
          <w:highlight w:val="none"/>
        </w:rPr>
      </w:pPr>
    </w:p>
    <w:p>
      <w:pPr>
        <w:wordWrap w:val="0"/>
        <w:spacing w:line="360" w:lineRule="auto"/>
        <w:ind w:firstLine="494"/>
        <w:rPr>
          <w:rFonts w:hint="eastAsia" w:ascii="仿宋" w:hAnsi="仿宋" w:eastAsia="仿宋" w:cs="仿宋"/>
          <w:color w:val="auto"/>
          <w:sz w:val="24"/>
          <w:highlight w:val="none"/>
        </w:rPr>
      </w:pPr>
    </w:p>
    <w:p>
      <w:pPr>
        <w:wordWrap w:val="0"/>
        <w:spacing w:line="360" w:lineRule="auto"/>
        <w:ind w:firstLine="494"/>
        <w:rPr>
          <w:rFonts w:hint="eastAsia" w:ascii="仿宋" w:hAnsi="仿宋" w:eastAsia="仿宋" w:cs="仿宋"/>
          <w:color w:val="auto"/>
          <w:sz w:val="24"/>
          <w:highlight w:val="none"/>
        </w:rPr>
      </w:pPr>
    </w:p>
    <w:p>
      <w:pPr>
        <w:wordWrap w:val="0"/>
        <w:spacing w:line="360" w:lineRule="auto"/>
        <w:ind w:firstLine="494"/>
        <w:rPr>
          <w:rFonts w:hint="eastAsia" w:ascii="仿宋" w:hAnsi="仿宋" w:eastAsia="仿宋" w:cs="仿宋"/>
          <w:color w:val="auto"/>
          <w:sz w:val="24"/>
          <w:highlight w:val="none"/>
        </w:rPr>
      </w:pPr>
    </w:p>
    <w:p>
      <w:pPr>
        <w:wordWrap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wordWrap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wordWrap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autoSpaceDE w:val="0"/>
        <w:autoSpaceDN w:val="0"/>
        <w:jc w:val="center"/>
        <w:rPr>
          <w:rFonts w:hint="eastAsia" w:ascii="仿宋" w:hAnsi="仿宋" w:eastAsia="仿宋" w:cs="仿宋"/>
          <w:b/>
          <w:color w:val="auto"/>
          <w:spacing w:val="6"/>
          <w:sz w:val="32"/>
          <w:szCs w:val="32"/>
          <w:highlight w:val="none"/>
        </w:rPr>
      </w:pPr>
    </w:p>
    <w:p>
      <w:pPr>
        <w:wordWrap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wordWrap w:val="0"/>
        <w:autoSpaceDE w:val="0"/>
        <w:autoSpaceDN w:val="0"/>
        <w:outlineLvl w:val="0"/>
        <w:rPr>
          <w:rFonts w:hint="eastAsia" w:ascii="仿宋" w:hAnsi="仿宋" w:eastAsia="仿宋" w:cs="仿宋"/>
          <w:b/>
          <w:bCs/>
          <w:color w:val="auto"/>
          <w:sz w:val="32"/>
          <w:szCs w:val="32"/>
          <w:highlight w:val="none"/>
        </w:rPr>
      </w:pPr>
      <w:bookmarkStart w:id="614" w:name="_Toc18469"/>
      <w:bookmarkStart w:id="615" w:name="_Toc13051"/>
      <w:bookmarkStart w:id="616" w:name="_Toc29318"/>
      <w:bookmarkStart w:id="617" w:name="_Toc23962"/>
      <w:bookmarkStart w:id="618" w:name="_Toc23867"/>
      <w:bookmarkStart w:id="619" w:name="_Toc10529"/>
      <w:bookmarkStart w:id="620" w:name="_Toc1904"/>
      <w:bookmarkStart w:id="621" w:name="_Toc31030"/>
      <w:bookmarkStart w:id="622" w:name="_Toc25308"/>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sz w:val="32"/>
          <w:szCs w:val="32"/>
          <w:highlight w:val="none"/>
        </w:rPr>
        <w:t>中小企业声明函</w:t>
      </w:r>
      <w:bookmarkEnd w:id="614"/>
      <w:bookmarkEnd w:id="615"/>
      <w:bookmarkEnd w:id="616"/>
      <w:bookmarkEnd w:id="617"/>
      <w:bookmarkEnd w:id="618"/>
      <w:bookmarkEnd w:id="619"/>
      <w:bookmarkEnd w:id="620"/>
      <w:bookmarkEnd w:id="621"/>
      <w:bookmarkEnd w:id="622"/>
    </w:p>
    <w:p>
      <w:pPr>
        <w:wordWrap w:val="0"/>
        <w:spacing w:line="360" w:lineRule="auto"/>
        <w:jc w:val="center"/>
        <w:rPr>
          <w:rFonts w:hint="eastAsia" w:ascii="仿宋" w:hAnsi="仿宋" w:eastAsia="仿宋" w:cs="仿宋"/>
          <w:color w:val="auto"/>
          <w:sz w:val="24"/>
          <w:highlight w:val="none"/>
          <w:u w:val="single"/>
        </w:rPr>
      </w:pPr>
    </w:p>
    <w:p>
      <w:pPr>
        <w:wordWrap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Cs/>
          <w:color w:val="auto"/>
          <w:sz w:val="24"/>
          <w:highlight w:val="none"/>
        </w:rPr>
        <w:sym w:font="Wingdings" w:char="00FE"/>
      </w:r>
      <w:r>
        <w:rPr>
          <w:rFonts w:hint="eastAsia" w:ascii="仿宋" w:hAnsi="仿宋" w:eastAsia="仿宋" w:cs="仿宋"/>
          <w:b/>
          <w:color w:val="auto"/>
          <w:sz w:val="32"/>
          <w:szCs w:val="32"/>
          <w:highlight w:val="none"/>
        </w:rPr>
        <w:t>中小企业声明函（</w:t>
      </w:r>
      <w:r>
        <w:rPr>
          <w:rFonts w:hint="eastAsia" w:ascii="仿宋" w:hAnsi="仿宋" w:eastAsia="仿宋" w:cs="仿宋"/>
          <w:b/>
          <w:color w:val="auto"/>
          <w:sz w:val="32"/>
          <w:szCs w:val="32"/>
          <w:highlight w:val="none"/>
          <w:lang w:eastAsia="zh-CN"/>
        </w:rPr>
        <w:t>货物</w:t>
      </w:r>
      <w:r>
        <w:rPr>
          <w:rFonts w:hint="eastAsia" w:ascii="仿宋" w:hAnsi="仿宋" w:eastAsia="仿宋" w:cs="仿宋"/>
          <w:b/>
          <w:color w:val="auto"/>
          <w:sz w:val="32"/>
          <w:szCs w:val="32"/>
          <w:highlight w:val="none"/>
        </w:rPr>
        <w:t>）</w:t>
      </w:r>
    </w:p>
    <w:p>
      <w:pPr>
        <w:wordWrap w:val="0"/>
        <w:spacing w:line="360" w:lineRule="auto"/>
        <w:ind w:firstLine="600" w:firstLineChars="2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w:t>
      </w:r>
      <w:r>
        <w:rPr>
          <w:rFonts w:hint="eastAsia" w:ascii="仿宋" w:hAnsi="仿宋" w:eastAsia="仿宋" w:cs="仿宋"/>
          <w:color w:val="auto"/>
          <w:sz w:val="24"/>
          <w:highlight w:val="none"/>
          <w:u w:val="single"/>
        </w:rPr>
        <w:t>（填写单位名称。联合体参加的，联合体所有成员名称）</w:t>
      </w:r>
      <w:r>
        <w:rPr>
          <w:rFonts w:hint="eastAsia" w:ascii="仿宋" w:hAnsi="仿宋" w:eastAsia="仿宋" w:cs="仿宋"/>
          <w:color w:val="auto"/>
          <w:sz w:val="24"/>
          <w:highlight w:val="none"/>
        </w:rPr>
        <w:t xml:space="preserve">参加 </w:t>
      </w:r>
      <w:r>
        <w:rPr>
          <w:rFonts w:hint="eastAsia" w:ascii="仿宋" w:hAnsi="仿宋" w:eastAsia="仿宋" w:cs="仿宋"/>
          <w:color w:val="auto"/>
          <w:sz w:val="24"/>
          <w:highlight w:val="none"/>
          <w:u w:val="single"/>
          <w:lang w:eastAsia="zh-CN"/>
        </w:rPr>
        <w:t>杭州学军中学桐庐学校</w:t>
      </w:r>
      <w:r>
        <w:rPr>
          <w:rFonts w:hint="eastAsia" w:ascii="仿宋" w:hAnsi="仿宋" w:eastAsia="仿宋" w:cs="仿宋"/>
          <w:color w:val="auto"/>
          <w:sz w:val="24"/>
          <w:highlight w:val="none"/>
        </w:rPr>
        <w:t xml:space="preserve"> 的 </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rPr>
        <w:t>采购活动，提供的货物全部由符合政策要求的中小企业制造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其中小微企业的合同份额达到合同总金额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。相关企业（</w:t>
      </w:r>
      <w:r>
        <w:rPr>
          <w:rFonts w:hint="eastAsia" w:ascii="仿宋" w:hAnsi="仿宋" w:eastAsia="仿宋" w:cs="仿宋"/>
          <w:b/>
          <w:bCs/>
          <w:color w:val="auto"/>
          <w:sz w:val="24"/>
          <w:highlight w:val="none"/>
        </w:rPr>
        <w:t>含联合体中的中小企业、签订分包意向协议的中小企业</w:t>
      </w:r>
      <w:r>
        <w:rPr>
          <w:rFonts w:hint="eastAsia" w:ascii="仿宋" w:hAnsi="仿宋" w:eastAsia="仿宋" w:cs="仿宋"/>
          <w:color w:val="auto"/>
          <w:sz w:val="24"/>
          <w:highlight w:val="none"/>
        </w:rPr>
        <w:t>）的具体情况如下：</w:t>
      </w:r>
    </w:p>
    <w:p>
      <w:pPr>
        <w:numPr>
          <w:ilvl w:val="0"/>
          <w:numId w:val="13"/>
        </w:num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en-US" w:eastAsia="zh-CN"/>
        </w:rPr>
        <w:t xml:space="preserve"> （标的/货物名称）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工业（制造业）</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制造商</w:t>
      </w:r>
      <w:r>
        <w:rPr>
          <w:rFonts w:hint="eastAsia" w:ascii="仿宋" w:hAnsi="仿宋" w:eastAsia="仿宋" w:cs="仿宋"/>
          <w:color w:val="auto"/>
          <w:sz w:val="24"/>
          <w:highlight w:val="none"/>
        </w:rPr>
        <w:t xml:space="preserve">为 </w:t>
      </w:r>
      <w:r>
        <w:rPr>
          <w:rFonts w:hint="eastAsia" w:ascii="仿宋" w:hAnsi="仿宋" w:eastAsia="仿宋" w:cs="仿宋"/>
          <w:color w:val="auto"/>
          <w:sz w:val="24"/>
          <w:highlight w:val="none"/>
          <w:u w:val="single"/>
        </w:rPr>
        <w:t>（填写</w:t>
      </w:r>
      <w:r>
        <w:rPr>
          <w:rFonts w:hint="eastAsia" w:ascii="仿宋" w:hAnsi="仿宋" w:eastAsia="仿宋" w:cs="仿宋"/>
          <w:color w:val="auto"/>
          <w:sz w:val="24"/>
          <w:highlight w:val="none"/>
          <w:u w:val="single"/>
          <w:lang w:eastAsia="zh-CN"/>
        </w:rPr>
        <w:t>制造商</w:t>
      </w:r>
      <w:r>
        <w:rPr>
          <w:rFonts w:hint="eastAsia" w:ascii="仿宋" w:hAnsi="仿宋" w:eastAsia="仿宋" w:cs="仿宋"/>
          <w:color w:val="auto"/>
          <w:sz w:val="24"/>
          <w:highlight w:val="none"/>
          <w:u w:val="single"/>
        </w:rPr>
        <w:t>单位名称）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中型企业、</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小型企业、</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 xml:space="preserve">微型企业） </w:t>
      </w:r>
      <w:r>
        <w:rPr>
          <w:rFonts w:hint="eastAsia" w:ascii="仿宋" w:hAnsi="仿宋" w:eastAsia="仿宋" w:cs="仿宋"/>
          <w:color w:val="auto"/>
          <w:sz w:val="24"/>
          <w:highlight w:val="none"/>
        </w:rPr>
        <w:t>；</w:t>
      </w:r>
    </w:p>
    <w:p>
      <w:pPr>
        <w:numPr>
          <w:ilvl w:val="0"/>
          <w:numId w:val="13"/>
        </w:num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en-US" w:eastAsia="zh-CN"/>
        </w:rPr>
        <w:t xml:space="preserve"> （标的/货物名称）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工业（制造业）</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制造商</w:t>
      </w:r>
      <w:r>
        <w:rPr>
          <w:rFonts w:hint="eastAsia" w:ascii="仿宋" w:hAnsi="仿宋" w:eastAsia="仿宋" w:cs="仿宋"/>
          <w:color w:val="auto"/>
          <w:sz w:val="24"/>
          <w:highlight w:val="none"/>
        </w:rPr>
        <w:t xml:space="preserve">为 </w:t>
      </w:r>
      <w:r>
        <w:rPr>
          <w:rFonts w:hint="eastAsia" w:ascii="仿宋" w:hAnsi="仿宋" w:eastAsia="仿宋" w:cs="仿宋"/>
          <w:color w:val="auto"/>
          <w:sz w:val="24"/>
          <w:highlight w:val="none"/>
          <w:u w:val="single"/>
        </w:rPr>
        <w:t>（填写</w:t>
      </w:r>
      <w:r>
        <w:rPr>
          <w:rFonts w:hint="eastAsia" w:ascii="仿宋" w:hAnsi="仿宋" w:eastAsia="仿宋" w:cs="仿宋"/>
          <w:color w:val="auto"/>
          <w:sz w:val="24"/>
          <w:highlight w:val="none"/>
          <w:u w:val="single"/>
          <w:lang w:eastAsia="zh-CN"/>
        </w:rPr>
        <w:t>制造商</w:t>
      </w:r>
      <w:r>
        <w:rPr>
          <w:rFonts w:hint="eastAsia" w:ascii="仿宋" w:hAnsi="仿宋" w:eastAsia="仿宋" w:cs="仿宋"/>
          <w:color w:val="auto"/>
          <w:sz w:val="24"/>
          <w:highlight w:val="none"/>
          <w:u w:val="single"/>
        </w:rPr>
        <w:t>单位名称）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中型企业、</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小型企业、</w:t>
      </w:r>
      <w:r>
        <w:rPr>
          <w:rFonts w:hint="eastAsia" w:ascii="仿宋" w:hAnsi="仿宋" w:eastAsia="仿宋" w:cs="仿宋"/>
          <w:color w:val="auto"/>
          <w:sz w:val="24"/>
          <w:highlight w:val="none"/>
          <w:u w:val="single"/>
        </w:rPr>
        <w:sym w:font="Wingdings" w:char="00A8"/>
      </w:r>
      <w:r>
        <w:rPr>
          <w:rFonts w:hint="eastAsia" w:ascii="仿宋" w:hAnsi="仿宋" w:eastAsia="仿宋" w:cs="仿宋"/>
          <w:color w:val="auto"/>
          <w:sz w:val="24"/>
          <w:highlight w:val="none"/>
          <w:u w:val="single"/>
        </w:rPr>
        <w:t xml:space="preserve">微型企业） </w:t>
      </w:r>
      <w:r>
        <w:rPr>
          <w:rFonts w:hint="eastAsia" w:ascii="仿宋" w:hAnsi="仿宋" w:eastAsia="仿宋" w:cs="仿宋"/>
          <w:color w:val="auto"/>
          <w:sz w:val="24"/>
          <w:highlight w:val="none"/>
        </w:rPr>
        <w:t>；</w:t>
      </w:r>
    </w:p>
    <w:p>
      <w:pPr>
        <w:wordWrap w:val="0"/>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p>
    <w:p>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wordWrap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wordWrap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wordWrap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wordWrap w:val="0"/>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注：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r>
        <w:rPr>
          <w:rFonts w:hint="eastAsia" w:ascii="宋体" w:hAnsi="宋体" w:eastAsia="宋体" w:cs="宋体"/>
          <w:color w:val="auto"/>
          <w:sz w:val="24"/>
          <w:highlight w:val="none"/>
        </w:rPr>
        <w:t>⑤</w:t>
      </w:r>
      <w:r>
        <w:rPr>
          <w:rFonts w:hint="eastAsia" w:ascii="仿宋" w:hAnsi="仿宋" w:eastAsia="仿宋" w:cs="仿宋"/>
          <w:color w:val="auto"/>
          <w:sz w:val="24"/>
          <w:highlight w:val="none"/>
          <w:lang w:val="en-US" w:eastAsia="zh-CN"/>
        </w:rPr>
        <w:t>同个制造商生产的，可合并填写。</w:t>
      </w:r>
    </w:p>
    <w:p>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ordWrap w:val="0"/>
        <w:spacing w:line="360" w:lineRule="auto"/>
        <w:ind w:firstLine="482" w:firstLineChars="200"/>
        <w:rPr>
          <w:rFonts w:hint="eastAsia" w:ascii="仿宋" w:hAnsi="仿宋" w:eastAsia="仿宋" w:cs="仿宋"/>
          <w:b/>
          <w:bCs/>
          <w:color w:val="auto"/>
          <w:sz w:val="24"/>
          <w:highlight w:val="none"/>
          <w:u w:val="none"/>
          <w:lang w:val="en-US" w:eastAsia="zh-CN"/>
        </w:rPr>
      </w:pPr>
      <w:r>
        <w:rPr>
          <w:rFonts w:hint="eastAsia" w:ascii="仿宋" w:hAnsi="仿宋" w:eastAsia="仿宋" w:cs="仿宋"/>
          <w:b/>
          <w:bCs/>
          <w:color w:val="auto"/>
          <w:sz w:val="24"/>
          <w:highlight w:val="none"/>
          <w:u w:val="none"/>
          <w:lang w:val="en-US" w:eastAsia="zh-CN"/>
        </w:rPr>
        <w:t>3.</w:t>
      </w:r>
      <w:r>
        <w:rPr>
          <w:rFonts w:hint="eastAsia" w:ascii="仿宋" w:hAnsi="仿宋" w:eastAsia="仿宋" w:cs="仿宋"/>
          <w:color w:val="auto"/>
          <w:sz w:val="24"/>
          <w:highlight w:val="none"/>
        </w:rPr>
        <w:t>标的所属行业中小企业划分标准：</w:t>
      </w:r>
      <w:r>
        <w:rPr>
          <w:rFonts w:hint="eastAsia" w:ascii="仿宋" w:hAnsi="仿宋" w:eastAsia="仿宋" w:cs="仿宋"/>
          <w:b/>
          <w:bCs/>
          <w:color w:val="auto"/>
          <w:sz w:val="24"/>
          <w:highlight w:val="none"/>
        </w:rPr>
        <w:t>工业（制造业）</w:t>
      </w:r>
      <w:r>
        <w:rPr>
          <w:rFonts w:hint="eastAsia" w:ascii="仿宋" w:hAnsi="仿宋" w:eastAsia="仿宋" w:cs="仿宋"/>
          <w:color w:val="auto"/>
          <w:sz w:val="24"/>
          <w:highlight w:val="none"/>
        </w:rPr>
        <w:t>。从业人员1000人以下或营业收入40000万元以下的为中小微型企业。</w:t>
      </w:r>
      <w:r>
        <w:rPr>
          <w:rFonts w:hint="eastAsia" w:ascii="仿宋" w:hAnsi="仿宋" w:eastAsia="仿宋" w:cs="仿宋"/>
          <w:b/>
          <w:bCs/>
          <w:color w:val="auto"/>
          <w:sz w:val="24"/>
          <w:highlight w:val="none"/>
        </w:rPr>
        <w:t>其中，从业人员300人及以上，且营业收入2000万元及以上的为中型企业；从业人员20人及以上，且营业收入300万元及以上的为小型企业；从业人员20人以下或营业收入300万元以下的为微型企业。</w:t>
      </w:r>
    </w:p>
    <w:p>
      <w:pPr>
        <w:wordWrap w:val="0"/>
        <w:spacing w:line="360" w:lineRule="auto"/>
        <w:ind w:firstLine="482" w:firstLineChars="200"/>
        <w:rPr>
          <w:rFonts w:hint="eastAsia" w:ascii="仿宋" w:hAnsi="仿宋" w:eastAsia="仿宋" w:cs="仿宋"/>
          <w:b/>
          <w:bCs/>
          <w:color w:val="auto"/>
          <w:sz w:val="24"/>
          <w:highlight w:val="none"/>
          <w:u w:val="none"/>
          <w:lang w:val="en-US" w:eastAsia="zh-CN"/>
        </w:rPr>
      </w:pPr>
      <w:r>
        <w:rPr>
          <w:rFonts w:hint="eastAsia" w:ascii="仿宋" w:hAnsi="仿宋" w:eastAsia="仿宋" w:cs="仿宋"/>
          <w:b/>
          <w:bCs/>
          <w:color w:val="auto"/>
          <w:sz w:val="24"/>
          <w:highlight w:val="none"/>
        </w:rPr>
        <w:t>4.</w:t>
      </w:r>
      <w:r>
        <w:rPr>
          <w:rFonts w:hint="eastAsia" w:ascii="仿宋" w:hAnsi="仿宋" w:eastAsia="仿宋" w:cs="仿宋"/>
          <w:b/>
          <w:bCs/>
          <w:color w:val="auto"/>
          <w:sz w:val="24"/>
          <w:highlight w:val="none"/>
          <w:u w:val="none"/>
          <w:lang w:val="en-US" w:eastAsia="zh-CN"/>
        </w:rPr>
        <w:t>招标文件提供的货物清单中每样货物（配件、辅料等材料除外）的制造商均要求为中小企业，即每样货物（配件、辅料等材料除外）的制造商均应在声明中分别填写。</w:t>
      </w:r>
    </w:p>
    <w:p>
      <w:pPr>
        <w:wordWrap w:val="0"/>
        <w:spacing w:line="360" w:lineRule="auto"/>
        <w:ind w:firstLine="482" w:firstLineChars="200"/>
        <w:rPr>
          <w:rFonts w:hint="eastAsia" w:ascii="仿宋" w:hAnsi="仿宋" w:eastAsia="仿宋" w:cs="仿宋"/>
          <w:b/>
          <w:bCs/>
          <w:color w:val="auto"/>
          <w:sz w:val="24"/>
          <w:highlight w:val="none"/>
          <w:u w:val="none"/>
          <w:lang w:val="en-US" w:eastAsia="zh-CN"/>
        </w:rPr>
      </w:pPr>
      <w:r>
        <w:rPr>
          <w:rFonts w:hint="eastAsia" w:ascii="仿宋" w:hAnsi="仿宋" w:eastAsia="仿宋" w:cs="仿宋"/>
          <w:b/>
          <w:bCs/>
          <w:color w:val="auto"/>
          <w:sz w:val="24"/>
          <w:highlight w:val="none"/>
          <w:u w:val="none"/>
          <w:lang w:val="en-US" w:eastAsia="zh-CN"/>
        </w:rPr>
        <w:t>5.在货物采购项目中，货物由中小企业制造，即货物由中小企业生产且使用该中小企业商号或者注册商标；投标人提供的货物既有中小企业制造货物，也有大型企业制造货物的，不享受中小企业扶持政策。</w:t>
      </w:r>
    </w:p>
    <w:p>
      <w:pPr>
        <w:wordWrap w:val="0"/>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u w:val="none"/>
          <w:lang w:val="en-US" w:eastAsia="zh-CN"/>
        </w:rPr>
        <w:t>6.</w:t>
      </w:r>
      <w:r>
        <w:rPr>
          <w:rFonts w:hint="eastAsia" w:ascii="仿宋" w:hAnsi="仿宋" w:eastAsia="仿宋" w:cs="仿宋"/>
          <w:b/>
          <w:bCs/>
          <w:color w:val="auto"/>
          <w:sz w:val="24"/>
          <w:highlight w:val="none"/>
        </w:rPr>
        <w:t>事业单位、社会组织等非企业单位提供的货物、工程、服务，暂不享受政府采购支持中小企业的相关政策。</w:t>
      </w:r>
    </w:p>
    <w:p>
      <w:pPr>
        <w:pStyle w:val="61"/>
        <w:wordWrap w:val="0"/>
        <w:ind w:firstLine="420"/>
        <w:rPr>
          <w:rFonts w:hint="eastAsia" w:ascii="仿宋" w:hAnsi="仿宋" w:eastAsia="仿宋" w:cs="仿宋"/>
          <w:color w:val="auto"/>
          <w:highlight w:val="none"/>
        </w:rPr>
      </w:pPr>
    </w:p>
    <w:p>
      <w:pPr>
        <w:wordWrap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ordWrap w:val="0"/>
        <w:snapToGrid w:val="0"/>
        <w:spacing w:before="50" w:after="50" w:line="360" w:lineRule="auto"/>
        <w:outlineLvl w:val="0"/>
        <w:rPr>
          <w:rFonts w:hint="eastAsia" w:ascii="仿宋" w:hAnsi="仿宋" w:eastAsia="仿宋" w:cs="仿宋"/>
          <w:b/>
          <w:color w:val="auto"/>
          <w:kern w:val="0"/>
          <w:sz w:val="32"/>
          <w:szCs w:val="32"/>
          <w:highlight w:val="none"/>
        </w:rPr>
      </w:pPr>
      <w:bookmarkStart w:id="623" w:name="_Toc16741"/>
      <w:bookmarkStart w:id="624" w:name="_Toc8013"/>
      <w:bookmarkStart w:id="625" w:name="_Toc15498"/>
      <w:bookmarkStart w:id="626" w:name="_Toc13984"/>
      <w:bookmarkStart w:id="627" w:name="_Toc15843"/>
      <w:bookmarkStart w:id="628" w:name="_Toc25620"/>
      <w:bookmarkStart w:id="629" w:name="_Toc28870"/>
      <w:bookmarkStart w:id="630" w:name="_Toc19779"/>
      <w:bookmarkStart w:id="631" w:name="_Toc2500"/>
      <w:r>
        <w:rPr>
          <w:rFonts w:hint="eastAsia" w:ascii="仿宋" w:hAnsi="仿宋" w:eastAsia="仿宋" w:cs="仿宋"/>
          <w:b/>
          <w:color w:val="auto"/>
          <w:kern w:val="0"/>
          <w:sz w:val="32"/>
          <w:szCs w:val="32"/>
          <w:highlight w:val="none"/>
        </w:rPr>
        <w:t>附件6</w:t>
      </w:r>
      <w:bookmarkEnd w:id="623"/>
      <w:bookmarkEnd w:id="624"/>
      <w:bookmarkEnd w:id="625"/>
      <w:r>
        <w:rPr>
          <w:rFonts w:hint="eastAsia" w:ascii="仿宋" w:hAnsi="仿宋" w:eastAsia="仿宋" w:cs="仿宋"/>
          <w:b/>
          <w:color w:val="auto"/>
          <w:kern w:val="0"/>
          <w:sz w:val="32"/>
          <w:szCs w:val="32"/>
          <w:highlight w:val="none"/>
        </w:rPr>
        <w:t xml:space="preserve"> </w:t>
      </w:r>
      <w:bookmarkEnd w:id="626"/>
      <w:bookmarkEnd w:id="627"/>
      <w:bookmarkEnd w:id="628"/>
      <w:r>
        <w:rPr>
          <w:rFonts w:hint="eastAsia" w:ascii="仿宋" w:hAnsi="仿宋" w:eastAsia="仿宋" w:cs="仿宋"/>
          <w:b/>
          <w:color w:val="auto"/>
          <w:kern w:val="0"/>
          <w:sz w:val="32"/>
          <w:szCs w:val="32"/>
          <w:highlight w:val="none"/>
        </w:rPr>
        <w:t>联合协议</w:t>
      </w:r>
      <w:bookmarkEnd w:id="629"/>
      <w:bookmarkEnd w:id="630"/>
      <w:bookmarkEnd w:id="631"/>
    </w:p>
    <w:p>
      <w:pPr>
        <w:widowControl/>
        <w:wordWrap w:val="0"/>
        <w:spacing w:line="360" w:lineRule="auto"/>
        <w:ind w:firstLine="643" w:firstLineChars="20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widowControl/>
        <w:wordWrap w:val="0"/>
        <w:spacing w:line="360" w:lineRule="auto"/>
        <w:ind w:firstLine="482" w:firstLineChars="20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wordWrap w:val="0"/>
        <w:snapToGrid w:val="0"/>
        <w:ind w:firstLine="578"/>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r>
        <w:rPr>
          <w:rFonts w:hint="eastAsia" w:ascii="仿宋" w:hAnsi="仿宋" w:eastAsia="仿宋" w:cs="仿宋"/>
          <w:color w:val="auto"/>
          <w:kern w:val="0"/>
          <w:sz w:val="24"/>
          <w:highlight w:val="none"/>
        </w:rPr>
        <w:t xml:space="preserve">    </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（填写联合体成员单位名称）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三、本项目项目负责人</w:t>
      </w:r>
      <w:r>
        <w:rPr>
          <w:rFonts w:hint="eastAsia" w:ascii="仿宋" w:hAnsi="仿宋" w:eastAsia="仿宋" w:cs="仿宋"/>
          <w:color w:val="auto"/>
          <w:kern w:val="0"/>
          <w:sz w:val="24"/>
          <w:highlight w:val="none"/>
          <w:u w:val="single"/>
          <w:lang w:val="zh-CN"/>
        </w:rPr>
        <w:t>（</w:t>
      </w:r>
      <w:r>
        <w:rPr>
          <w:rFonts w:hint="eastAsia" w:ascii="仿宋" w:hAnsi="仿宋" w:eastAsia="仿宋" w:cs="仿宋"/>
          <w:color w:val="auto"/>
          <w:kern w:val="0"/>
          <w:sz w:val="24"/>
          <w:highlight w:val="none"/>
          <w:u w:val="single"/>
        </w:rPr>
        <w:t xml:space="preserve">   填写</w:t>
      </w:r>
      <w:r>
        <w:rPr>
          <w:rFonts w:hint="eastAsia" w:ascii="仿宋" w:hAnsi="仿宋" w:eastAsia="仿宋" w:cs="仿宋"/>
          <w:color w:val="auto"/>
          <w:kern w:val="0"/>
          <w:sz w:val="24"/>
          <w:highlight w:val="none"/>
          <w:u w:val="single"/>
          <w:lang w:val="zh-CN"/>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 xml:space="preserve">由 </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single"/>
        </w:rPr>
        <w:t>填写单位名称）</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方派遣。</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四、</w:t>
      </w:r>
      <w:r>
        <w:rPr>
          <w:rFonts w:hint="eastAsia" w:ascii="仿宋" w:hAnsi="仿宋" w:eastAsia="仿宋" w:cs="仿宋"/>
          <w:color w:val="auto"/>
          <w:kern w:val="0"/>
          <w:sz w:val="24"/>
          <w:highlight w:val="none"/>
          <w:lang w:val="zh-CN"/>
        </w:rPr>
        <w:t>本次联合投标中，分工如下：</w:t>
      </w:r>
      <w:r>
        <w:rPr>
          <w:rFonts w:hint="eastAsia" w:ascii="仿宋" w:hAnsi="仿宋" w:eastAsia="仿宋" w:cs="仿宋"/>
          <w:color w:val="auto"/>
          <w:kern w:val="0"/>
          <w:sz w:val="24"/>
          <w:highlight w:val="none"/>
          <w:u w:val="single"/>
        </w:rPr>
        <w:t>（填写联合体其中一方成员名称）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（填写联合体其中一方成员名称）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五</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牵头人</w:t>
      </w:r>
      <w:r>
        <w:rPr>
          <w:rFonts w:hint="eastAsia" w:ascii="仿宋" w:hAnsi="仿宋" w:eastAsia="仿宋" w:cs="仿宋"/>
          <w:color w:val="auto"/>
          <w:sz w:val="24"/>
          <w:highlight w:val="none"/>
        </w:rPr>
        <w:t>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%（应超过50%）。</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六</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七</w:t>
      </w:r>
      <w:r>
        <w:rPr>
          <w:rFonts w:hint="eastAsia" w:ascii="仿宋" w:hAnsi="仿宋" w:eastAsia="仿宋" w:cs="仿宋"/>
          <w:color w:val="auto"/>
          <w:kern w:val="0"/>
          <w:sz w:val="24"/>
          <w:highlight w:val="none"/>
          <w:lang w:val="zh-CN"/>
        </w:rPr>
        <w:t>、有关本次联合投标的其他事宜：</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wordWrap w:val="0"/>
        <w:snapToGrid w:val="0"/>
        <w:ind w:firstLine="578"/>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4、其他联合体双方约定的事项：</w:t>
      </w:r>
      <w:r>
        <w:rPr>
          <w:rFonts w:hint="eastAsia" w:ascii="仿宋" w:hAnsi="仿宋" w:eastAsia="仿宋" w:cs="仿宋"/>
          <w:color w:val="auto"/>
          <w:kern w:val="0"/>
          <w:sz w:val="24"/>
          <w:highlight w:val="none"/>
          <w:u w:val="single"/>
          <w:lang w:bidi="ar"/>
        </w:rPr>
        <w:t xml:space="preserve">                             </w:t>
      </w:r>
    </w:p>
    <w:p>
      <w:pPr>
        <w:wordWrap w:val="0"/>
        <w:snapToGrid w:val="0"/>
        <w:spacing w:line="276" w:lineRule="auto"/>
        <w:ind w:firstLine="578"/>
        <w:rPr>
          <w:rFonts w:hint="eastAsia" w:ascii="仿宋" w:hAnsi="仿宋" w:eastAsia="仿宋" w:cs="仿宋"/>
          <w:color w:val="auto"/>
          <w:kern w:val="0"/>
          <w:sz w:val="24"/>
          <w:highlight w:val="none"/>
          <w:lang w:val="zh-CN"/>
        </w:rPr>
      </w:pPr>
    </w:p>
    <w:p>
      <w:pPr>
        <w:wordWrap w:val="0"/>
        <w:spacing w:line="276" w:lineRule="auto"/>
        <w:ind w:right="420"/>
        <w:rPr>
          <w:rFonts w:hint="eastAsia" w:ascii="仿宋" w:hAnsi="仿宋" w:eastAsia="仿宋" w:cs="仿宋"/>
          <w:color w:val="auto"/>
          <w:sz w:val="24"/>
          <w:highlight w:val="none"/>
        </w:rPr>
      </w:pPr>
    </w:p>
    <w:p>
      <w:pPr>
        <w:wordWrap w:val="0"/>
        <w:spacing w:line="276" w:lineRule="auto"/>
        <w:ind w:right="420"/>
        <w:rPr>
          <w:rFonts w:hint="eastAsia" w:ascii="仿宋" w:hAnsi="仿宋" w:eastAsia="仿宋" w:cs="仿宋"/>
          <w:color w:val="auto"/>
          <w:sz w:val="24"/>
          <w:highlight w:val="none"/>
        </w:rPr>
      </w:pPr>
    </w:p>
    <w:p>
      <w:pPr>
        <w:wordWrap w:val="0"/>
        <w:spacing w:line="276"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注：1.按本格式和要求提供。</w:t>
      </w:r>
    </w:p>
    <w:p>
      <w:pPr>
        <w:wordWrap w:val="0"/>
        <w:snapToGrid w:val="0"/>
        <w:spacing w:line="276"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联合体牵头人名称</w:t>
      </w:r>
    </w:p>
    <w:p>
      <w:pPr>
        <w:wordWrap w:val="0"/>
        <w:snapToGrid w:val="0"/>
        <w:spacing w:line="276"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76"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p>
    <w:p>
      <w:pPr>
        <w:wordWrap w:val="0"/>
        <w:snapToGrid w:val="0"/>
        <w:spacing w:line="276"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76"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pPr>
        <w:wordWrap w:val="0"/>
        <w:snapToGrid w:val="0"/>
        <w:spacing w:line="360" w:lineRule="auto"/>
        <w:outlineLvl w:val="0"/>
        <w:rPr>
          <w:rFonts w:hint="eastAsia" w:ascii="仿宋" w:hAnsi="仿宋" w:eastAsia="仿宋" w:cs="仿宋"/>
          <w:b/>
          <w:color w:val="auto"/>
          <w:kern w:val="0"/>
          <w:sz w:val="32"/>
          <w:szCs w:val="32"/>
          <w:highlight w:val="none"/>
        </w:rPr>
      </w:pPr>
      <w:bookmarkStart w:id="632" w:name="_Toc32513"/>
      <w:bookmarkStart w:id="633" w:name="_Toc3992"/>
      <w:bookmarkStart w:id="634" w:name="_Toc30868"/>
      <w:bookmarkStart w:id="635" w:name="_Toc3962"/>
      <w:bookmarkStart w:id="636" w:name="_Toc29153"/>
      <w:bookmarkStart w:id="637" w:name="_Toc2793"/>
      <w:bookmarkStart w:id="638" w:name="_Toc31060"/>
      <w:bookmarkStart w:id="639" w:name="_Toc7222"/>
      <w:bookmarkStart w:id="640" w:name="_Toc26897"/>
      <w:r>
        <w:rPr>
          <w:rFonts w:hint="eastAsia" w:ascii="仿宋" w:hAnsi="仿宋" w:eastAsia="仿宋" w:cs="仿宋"/>
          <w:b/>
          <w:color w:val="auto"/>
          <w:kern w:val="0"/>
          <w:sz w:val="32"/>
          <w:szCs w:val="32"/>
          <w:highlight w:val="none"/>
        </w:rPr>
        <w:t>附件7</w:t>
      </w:r>
      <w:bookmarkEnd w:id="632"/>
      <w:bookmarkEnd w:id="633"/>
      <w:bookmarkEnd w:id="634"/>
      <w:r>
        <w:rPr>
          <w:rFonts w:hint="eastAsia" w:ascii="仿宋" w:hAnsi="仿宋" w:eastAsia="仿宋" w:cs="仿宋"/>
          <w:b/>
          <w:color w:val="auto"/>
          <w:kern w:val="0"/>
          <w:sz w:val="32"/>
          <w:szCs w:val="32"/>
          <w:highlight w:val="none"/>
        </w:rPr>
        <w:t xml:space="preserve"> 分包意向协议</w:t>
      </w:r>
      <w:bookmarkEnd w:id="635"/>
      <w:bookmarkEnd w:id="636"/>
      <w:bookmarkEnd w:id="637"/>
      <w:bookmarkEnd w:id="638"/>
      <w:bookmarkEnd w:id="639"/>
      <w:bookmarkEnd w:id="640"/>
    </w:p>
    <w:p>
      <w:pPr>
        <w:wordWrap w:val="0"/>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ordWrap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（每个分包商单独提供）</w:t>
      </w:r>
    </w:p>
    <w:p>
      <w:pPr>
        <w:widowControl/>
        <w:wordWrap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同意将非主体、非关键性的资料制作工作分包。若非主体、非关键性工作已由联合体成员承担的，则不允许分包。分包份额不得超过总包单位。投标人中标后以分包方式履行合同的，提供分包意向协议；不以分包方式履行合同的，则无需提供。）</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杭州学军中学桐庐学校竣工配套设施设备（体育设施及器材）项目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HZGJ-XJZX2024-05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（填写投标人名称）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（填写分包供应商名称）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（填写投标人名称）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XX工作内容 </w:t>
      </w:r>
      <w:r>
        <w:rPr>
          <w:rFonts w:hint="eastAsia" w:ascii="仿宋" w:hAnsi="仿宋" w:eastAsia="仿宋" w:cs="仿宋"/>
          <w:color w:val="auto"/>
          <w:highlight w:val="none"/>
          <w:u w:val="single"/>
        </w:rPr>
        <w:t xml:space="preserve">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（填写分包供应商名称）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（填写分包供应商名称）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wordWrap w:val="0"/>
        <w:snapToGrid w:val="0"/>
        <w:spacing w:line="288"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wordWrap w:val="0"/>
        <w:snapToGrid w:val="0"/>
        <w:spacing w:line="288"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288"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wordWrap w:val="0"/>
        <w:snapToGrid w:val="0"/>
        <w:spacing w:line="360" w:lineRule="auto"/>
        <w:ind w:firstLine="720" w:firstLineChars="3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1.中小企业合同金额达到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wordWrap w:val="0"/>
        <w:snapToGrid w:val="0"/>
        <w:spacing w:line="288"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wordWrap w:val="0"/>
        <w:snapToGrid w:val="0"/>
        <w:spacing w:line="288" w:lineRule="auto"/>
        <w:ind w:left="5746" w:leftChars="2622" w:hanging="240" w:hanging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88"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w:t>
      </w:r>
      <w:r>
        <w:rPr>
          <w:rFonts w:hint="eastAsia" w:ascii="仿宋" w:hAnsi="仿宋" w:eastAsia="仿宋" w:cs="仿宋"/>
          <w:color w:val="auto"/>
          <w:kern w:val="0"/>
          <w:sz w:val="24"/>
          <w:highlight w:val="none"/>
        </w:rPr>
        <w:t>电子签名/物理公章</w:t>
      </w:r>
      <w:r>
        <w:rPr>
          <w:rFonts w:hint="eastAsia" w:ascii="仿宋" w:hAnsi="仿宋" w:eastAsia="仿宋" w:cs="仿宋"/>
          <w:color w:val="auto"/>
          <w:kern w:val="0"/>
          <w:sz w:val="24"/>
          <w:highlight w:val="none"/>
          <w:lang w:val="zh-CN"/>
        </w:rPr>
        <w:t>）：</w:t>
      </w:r>
    </w:p>
    <w:p>
      <w:pPr>
        <w:wordWrap w:val="0"/>
        <w:snapToGrid w:val="0"/>
        <w:spacing w:line="288"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Style w:val="61"/>
        <w:wordWrap w:val="0"/>
        <w:spacing w:after="0" w:line="288" w:lineRule="auto"/>
        <w:ind w:firstLine="48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 xml:space="preserve">                                        日期：  年  月   日</w:t>
      </w:r>
    </w:p>
    <w:p>
      <w:pPr>
        <w:wordWrap w:val="0"/>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注：按本格式和要求提供。</w:t>
      </w:r>
    </w:p>
    <w:p>
      <w:pPr>
        <w:rPr>
          <w:rFonts w:hint="eastAsia" w:ascii="仿宋" w:hAnsi="仿宋" w:eastAsia="仿宋" w:cs="仿宋"/>
          <w:color w:val="auto"/>
          <w:highlight w:val="none"/>
        </w:rPr>
      </w:pPr>
    </w:p>
    <w:sectPr>
      <w:pgSz w:w="11905" w:h="16838"/>
      <w:pgMar w:top="652" w:right="1417" w:bottom="680" w:left="1417" w:header="539" w:footer="425"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decorative"/>
    <w:pitch w:val="default"/>
    <w:sig w:usb0="00000000" w:usb1="00000000" w:usb2="0000000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modern"/>
    <w:pitch w:val="default"/>
    <w:sig w:usb0="E00006FF" w:usb1="420024FF" w:usb2="02000000" w:usb3="00000000" w:csb0="2000019F" w:csb1="00000000"/>
  </w:font>
  <w:font w:name="微软雅黑">
    <w:panose1 w:val="020B0503020204020204"/>
    <w:charset w:val="86"/>
    <w:family w:val="roman"/>
    <w:pitch w:val="default"/>
    <w:sig w:usb0="80000287" w:usb1="2ACF3C50" w:usb2="00000016" w:usb3="00000000" w:csb0="0004001F" w:csb1="00000000"/>
  </w:font>
  <w:font w:name="隶书">
    <w:panose1 w:val="02010509060101010101"/>
    <w:charset w:val="86"/>
    <w:family w:val="decorative"/>
    <w:pitch w:val="default"/>
    <w:sig w:usb0="00000001" w:usb1="080E0000" w:usb2="00000000" w:usb3="00000000" w:csb0="00040000" w:csb1="00000000"/>
  </w:font>
  <w:font w:name="楷体_GB2312">
    <w:altName w:val="楷体"/>
    <w:panose1 w:val="00000000000000000000"/>
    <w:charset w:val="86"/>
    <w:family w:val="decorative"/>
    <w:pitch w:val="default"/>
    <w:sig w:usb0="00000000" w:usb1="00000000" w:usb2="00000000" w:usb3="00000000" w:csb0="00040000" w:csb1="00000000"/>
  </w:font>
  <w:font w:name="Helvetica">
    <w:altName w:val="Arial"/>
    <w:panose1 w:val="020B0504020202030204"/>
    <w:charset w:val="00"/>
    <w:family w:val="roman"/>
    <w:pitch w:val="default"/>
    <w:sig w:usb0="00000000" w:usb1="00000000" w:usb2="00000000" w:usb3="00000000" w:csb0="00000093" w:csb1="00000000"/>
  </w:font>
  <w:font w:name="Futura Bk">
    <w:altName w:val="Segoe Print"/>
    <w:panose1 w:val="00000000000000000000"/>
    <w:charset w:val="00"/>
    <w:family w:val="roman"/>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roman"/>
    <w:pitch w:val="default"/>
    <w:sig w:usb0="E1002EFF" w:usb1="C000605B" w:usb2="00000029" w:usb3="00000000" w:csb0="200101FF" w:csb1="20280000"/>
  </w:font>
  <w:font w:name="MS Sans Serif">
    <w:altName w:val="Segoe Print"/>
    <w:panose1 w:val="00000000000000000000"/>
    <w:charset w:val="00"/>
    <w:family w:val="roman"/>
    <w:pitch w:val="default"/>
    <w:sig w:usb0="00000000" w:usb1="00000000" w:usb2="00000000" w:usb3="00000000" w:csb0="00000001" w:csb1="00000000"/>
  </w:font>
  <w:font w:name="Lucida Sans">
    <w:panose1 w:val="020B0602040502020204"/>
    <w:charset w:val="00"/>
    <w:family w:val="roman"/>
    <w:pitch w:val="default"/>
    <w:sig w:usb0="8100AAF7" w:usb1="0000807B" w:usb2="00000008" w:usb3="00000000" w:csb0="6000009F" w:csb1="FFFF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roman"/>
    <w:pitch w:val="default"/>
    <w:sig w:usb0="A00006FF" w:usb1="4000205B" w:usb2="00000010" w:usb3="00000000" w:csb0="2000019F" w:csb1="00000000"/>
  </w:font>
  <w:font w:name="ˎ̥">
    <w:altName w:val="微软雅黑"/>
    <w:panose1 w:val="00000000000000000000"/>
    <w:charset w:val="00"/>
    <w:family w:val="swiss"/>
    <w:pitch w:val="default"/>
    <w:sig w:usb0="00000000" w:usb1="00000000" w:usb2="00000000" w:usb3="00000000" w:csb0="00040001" w:csb1="00000000"/>
  </w:font>
  <w:font w:name="幼圆">
    <w:panose1 w:val="02010509060101010101"/>
    <w:charset w:val="86"/>
    <w:family w:val="decorative"/>
    <w:pitch w:val="default"/>
    <w:sig w:usb0="00000001" w:usb1="080E0000" w:usb2="00000000" w:usb3="00000000" w:csb0="00040000" w:csb1="00000000"/>
  </w:font>
  <w:font w:name="Arial Narrow">
    <w:panose1 w:val="020B0606020202030204"/>
    <w:charset w:val="00"/>
    <w:family w:val="roman"/>
    <w:pitch w:val="default"/>
    <w:sig w:usb0="00000287" w:usb1="00000800" w:usb2="00000000" w:usb3="00000000" w:csb0="2000009F" w:csb1="DFD70000"/>
  </w:font>
  <w:font w:name="FHLHE E+ Futura Bk">
    <w:altName w:val="宋体"/>
    <w:panose1 w:val="00000000000000000000"/>
    <w:charset w:val="86"/>
    <w:family w:val="roman"/>
    <w:pitch w:val="default"/>
    <w:sig w:usb0="00000000" w:usb1="00000000" w:usb2="00000010" w:usb3="00000000" w:csb0="00040000" w:csb1="00000000"/>
  </w:font>
  <w:font w:name="Arial (W1)">
    <w:altName w:val="Arial"/>
    <w:panose1 w:val="00000000000000000000"/>
    <w:charset w:val="00"/>
    <w:family w:val="roman"/>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Cumberland">
    <w:altName w:val="微软雅黑"/>
    <w:panose1 w:val="00000000000000000000"/>
    <w:charset w:val="00"/>
    <w:family w:val="decorative"/>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roman"/>
    <w:pitch w:val="default"/>
    <w:sig w:usb0="00000000" w:usb1="00000000" w:usb2="00000000" w:usb3="00000000" w:csb0="000001FB" w:csb1="00000000"/>
  </w:font>
  <w:font w:name="Segoe UI">
    <w:panose1 w:val="020B0502040204020203"/>
    <w:charset w:val="00"/>
    <w:family w:val="roman"/>
    <w:pitch w:val="default"/>
    <w:sig w:usb0="E4002EFF" w:usb1="C000E47F" w:usb2="00000009" w:usb3="00000000" w:csb0="200001FF" w:csb1="00000000"/>
  </w:font>
  <w:font w:name="Latha">
    <w:altName w:val="Segoe Print"/>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decorative"/>
    <w:pitch w:val="default"/>
    <w:sig w:usb0="00000203" w:usb1="288F0000" w:usb2="00000006" w:usb3="00000000" w:csb0="00040001" w:csb1="00000000"/>
  </w:font>
  <w:font w:name="楷体">
    <w:panose1 w:val="02010609060101010101"/>
    <w:charset w:val="86"/>
    <w:family w:val="decorative"/>
    <w:pitch w:val="default"/>
    <w:sig w:usb0="800002BF" w:usb1="38CF7CFA" w:usb2="00000016" w:usb3="00000000" w:csb0="00040001" w:csb1="00000000"/>
  </w:font>
  <w:font w:name="Lucida Sans Unicode">
    <w:panose1 w:val="020B0602030504020204"/>
    <w:charset w:val="00"/>
    <w:family w:val="roman"/>
    <w:pitch w:val="default"/>
    <w:sig w:usb0="80001AFF" w:usb1="0000396B" w:usb2="00000000" w:usb3="00000000" w:csb0="200000BF" w:csb1="D7F70000"/>
  </w:font>
  <w:font w:name="Century Gothic">
    <w:panose1 w:val="020B0502020202020204"/>
    <w:charset w:val="00"/>
    <w:family w:val="roman"/>
    <w:pitch w:val="default"/>
    <w:sig w:usb0="00000287" w:usb1="00000000" w:usb2="00000000" w:usb3="00000000" w:csb0="2000009F" w:csb1="DFD70000"/>
  </w:font>
  <w:font w:name="Aldine401 BT">
    <w:altName w:val="Segoe Print"/>
    <w:panose1 w:val="00000000000000000000"/>
    <w:charset w:val="00"/>
    <w:family w:val="swiss"/>
    <w:pitch w:val="default"/>
    <w:sig w:usb0="00000000" w:usb1="00000000" w:usb2="00000000" w:usb3="00000000" w:csb0="00000011" w:csb1="00000000"/>
  </w:font>
  <w:font w:name=".PingFang SC">
    <w:altName w:val="宋体"/>
    <w:panose1 w:val="00000000000000000000"/>
    <w:charset w:val="86"/>
    <w:family w:val="decorative"/>
    <w:pitch w:val="default"/>
    <w:sig w:usb0="00000000" w:usb1="00000000" w:usb2="00000000" w:usb3="00000000" w:csb0="00040001" w:csb1="00000000"/>
  </w:font>
  <w:font w:name="Wingdings 2">
    <w:panose1 w:val="05020102010507070707"/>
    <w:charset w:val="02"/>
    <w:family w:val="swiss"/>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separate"/>
    </w:r>
    <w:r>
      <w:rPr>
        <w:rStyle w:val="72"/>
      </w:rPr>
      <w:t>35</w: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hint="eastAsia"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641" w:name="_Toc36110187"/>
    <w:bookmarkStart w:id="642" w:name="_Toc131845147"/>
    <w:bookmarkStart w:id="643" w:name="_Toc91899912"/>
    <w:bookmarkStart w:id="644" w:name="_Toc164085800"/>
    <w:r>
      <w:rPr>
        <w:rFonts w:hint="eastAsia" w:ascii="仿宋_GB2312" w:eastAsia="仿宋_GB2312"/>
        <w:kern w:val="0"/>
        <w:szCs w:val="21"/>
      </w:rPr>
      <w:t xml:space="preserve"> 页</w:t>
    </w:r>
    <w:bookmarkEnd w:id="641"/>
    <w:bookmarkEnd w:id="642"/>
    <w:bookmarkEnd w:id="643"/>
    <w:bookmarkEnd w:id="64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hint="eastAsia"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4"/>
      </w:pBdr>
      <w:jc w:val="right"/>
      <w:rPr>
        <w:rFonts w:ascii="仿宋_GB2312" w:eastAsia="仿宋_GB2312"/>
        <w:i/>
        <w:u w:val="single"/>
      </w:rP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enter" w:pos="4535"/>
        <w:tab w:val="right" w:pos="9070"/>
        <w:tab w:val="clear" w:pos="4153"/>
        <w:tab w:val="clear" w:pos="8306"/>
      </w:tabs>
      <w:jc w:val="right"/>
    </w:pP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ind w:firstLine="420"/>
    </w:pP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u w:val="single"/>
      </w:rPr>
    </w:pPr>
    <w:r>
      <w:rPr>
        <w:rFonts w:hint="eastAsia"/>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24E00"/>
    <w:multiLevelType w:val="singleLevel"/>
    <w:tmpl w:val="87B24E00"/>
    <w:lvl w:ilvl="0" w:tentative="0">
      <w:start w:val="12"/>
      <w:numFmt w:val="decimal"/>
      <w:suff w:val="space"/>
      <w:lvlText w:val="%1."/>
      <w:lvlJc w:val="left"/>
    </w:lvl>
  </w:abstractNum>
  <w:abstractNum w:abstractNumId="1">
    <w:nsid w:val="8FFEE030"/>
    <w:multiLevelType w:val="singleLevel"/>
    <w:tmpl w:val="8FFEE030"/>
    <w:lvl w:ilvl="0" w:tentative="0">
      <w:start w:val="1"/>
      <w:numFmt w:val="decimal"/>
      <w:suff w:val="nothing"/>
      <w:lvlText w:val="%1．"/>
      <w:lvlJc w:val="left"/>
      <w:pPr>
        <w:ind w:left="0" w:firstLine="400"/>
      </w:pPr>
      <w:rPr>
        <w:rFonts w:hint="default"/>
      </w:rPr>
    </w:lvl>
  </w:abstractNum>
  <w:abstractNum w:abstractNumId="2">
    <w:nsid w:val="AC5C8EA9"/>
    <w:multiLevelType w:val="singleLevel"/>
    <w:tmpl w:val="AC5C8EA9"/>
    <w:lvl w:ilvl="0" w:tentative="0">
      <w:start w:val="1"/>
      <w:numFmt w:val="decimal"/>
      <w:suff w:val="nothing"/>
      <w:lvlText w:val="%1、"/>
      <w:lvlJc w:val="left"/>
    </w:lvl>
  </w:abstractNum>
  <w:abstractNum w:abstractNumId="3">
    <w:nsid w:val="AD2EE9C4"/>
    <w:multiLevelType w:val="singleLevel"/>
    <w:tmpl w:val="AD2EE9C4"/>
    <w:lvl w:ilvl="0" w:tentative="0">
      <w:start w:val="20"/>
      <w:numFmt w:val="decimal"/>
      <w:suff w:val="space"/>
      <w:lvlText w:val="%1."/>
      <w:lvlJc w:val="left"/>
    </w:lvl>
  </w:abstractNum>
  <w:abstractNum w:abstractNumId="4">
    <w:nsid w:val="BB0368BF"/>
    <w:multiLevelType w:val="singleLevel"/>
    <w:tmpl w:val="BB0368BF"/>
    <w:lvl w:ilvl="0" w:tentative="0">
      <w:start w:val="1"/>
      <w:numFmt w:val="decimal"/>
      <w:suff w:val="nothing"/>
      <w:lvlText w:val="%1、"/>
      <w:lvlJc w:val="left"/>
    </w:lvl>
  </w:abstractNum>
  <w:abstractNum w:abstractNumId="5">
    <w:nsid w:val="C6C902EB"/>
    <w:multiLevelType w:val="singleLevel"/>
    <w:tmpl w:val="C6C902EB"/>
    <w:lvl w:ilvl="0" w:tentative="0">
      <w:start w:val="16"/>
      <w:numFmt w:val="decimal"/>
      <w:suff w:val="space"/>
      <w:lvlText w:val="%1."/>
      <w:lvlJc w:val="left"/>
    </w:lvl>
  </w:abstractNum>
  <w:abstractNum w:abstractNumId="6">
    <w:nsid w:val="E5D9C392"/>
    <w:multiLevelType w:val="singleLevel"/>
    <w:tmpl w:val="E5D9C392"/>
    <w:lvl w:ilvl="0" w:tentative="0">
      <w:start w:val="1"/>
      <w:numFmt w:val="decimal"/>
      <w:suff w:val="nothing"/>
      <w:lvlText w:val="（%1）"/>
      <w:lvlJc w:val="left"/>
    </w:lvl>
  </w:abstractNum>
  <w:abstractNum w:abstractNumId="7">
    <w:nsid w:val="EEBCB84E"/>
    <w:multiLevelType w:val="singleLevel"/>
    <w:tmpl w:val="EEBCB84E"/>
    <w:lvl w:ilvl="0" w:tentative="0">
      <w:start w:val="1"/>
      <w:numFmt w:val="chineseCounting"/>
      <w:suff w:val="nothing"/>
      <w:lvlText w:val="%1、"/>
      <w:lvlJc w:val="left"/>
      <w:rPr>
        <w:rFonts w:hint="eastAsia"/>
      </w:rPr>
    </w:lvl>
  </w:abstractNum>
  <w:abstractNum w:abstractNumId="8">
    <w:nsid w:val="FE000763"/>
    <w:multiLevelType w:val="singleLevel"/>
    <w:tmpl w:val="FE000763"/>
    <w:lvl w:ilvl="0" w:tentative="0">
      <w:start w:val="8"/>
      <w:numFmt w:val="decimal"/>
      <w:suff w:val="space"/>
      <w:lvlText w:val="%1."/>
      <w:lvlJc w:val="left"/>
    </w:lvl>
  </w:abstractNum>
  <w:abstractNum w:abstractNumId="9">
    <w:nsid w:val="02082302"/>
    <w:multiLevelType w:val="singleLevel"/>
    <w:tmpl w:val="02082302"/>
    <w:lvl w:ilvl="0" w:tentative="0">
      <w:start w:val="1"/>
      <w:numFmt w:val="decimal"/>
      <w:suff w:val="space"/>
      <w:lvlText w:val="%1."/>
      <w:lvlJc w:val="left"/>
    </w:lvl>
  </w:abstractNum>
  <w:abstractNum w:abstractNumId="10">
    <w:nsid w:val="14892990"/>
    <w:multiLevelType w:val="singleLevel"/>
    <w:tmpl w:val="14892990"/>
    <w:lvl w:ilvl="0" w:tentative="0">
      <w:start w:val="1"/>
      <w:numFmt w:val="decimal"/>
      <w:suff w:val="nothing"/>
      <w:lvlText w:val="%1、"/>
      <w:lvlJc w:val="left"/>
    </w:lvl>
  </w:abstractNum>
  <w:abstractNum w:abstractNumId="11">
    <w:nsid w:val="7625C79A"/>
    <w:multiLevelType w:val="singleLevel"/>
    <w:tmpl w:val="7625C79A"/>
    <w:lvl w:ilvl="0" w:tentative="0">
      <w:start w:val="2"/>
      <w:numFmt w:val="decimal"/>
      <w:suff w:val="space"/>
      <w:lvlText w:val="%1."/>
      <w:lvlJc w:val="left"/>
    </w:lvl>
  </w:abstractNum>
  <w:abstractNum w:abstractNumId="12">
    <w:nsid w:val="792045E3"/>
    <w:multiLevelType w:val="singleLevel"/>
    <w:tmpl w:val="792045E3"/>
    <w:lvl w:ilvl="0" w:tentative="0">
      <w:start w:val="6"/>
      <w:numFmt w:val="chineseCounting"/>
      <w:suff w:val="nothing"/>
      <w:lvlText w:val="%1、"/>
      <w:lvlJc w:val="left"/>
      <w:rPr>
        <w:rFonts w:hint="eastAsia"/>
      </w:rPr>
    </w:lvl>
  </w:abstractNum>
  <w:num w:numId="1">
    <w:abstractNumId w:val="11"/>
  </w:num>
  <w:num w:numId="2">
    <w:abstractNumId w:val="8"/>
  </w:num>
  <w:num w:numId="3">
    <w:abstractNumId w:val="0"/>
  </w:num>
  <w:num w:numId="4">
    <w:abstractNumId w:val="5"/>
  </w:num>
  <w:num w:numId="5">
    <w:abstractNumId w:val="3"/>
  </w:num>
  <w:num w:numId="6">
    <w:abstractNumId w:val="2"/>
  </w:num>
  <w:num w:numId="7">
    <w:abstractNumId w:val="4"/>
  </w:num>
  <w:num w:numId="8">
    <w:abstractNumId w:val="10"/>
  </w:num>
  <w:num w:numId="9">
    <w:abstractNumId w:val="6"/>
  </w:num>
  <w:num w:numId="10">
    <w:abstractNumId w:val="7"/>
  </w:num>
  <w:num w:numId="11">
    <w:abstractNumId w:val="1"/>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3YmIxMWNkMzNiMDQ2MjRkMTFkOTBmYzRkOGZkOWYifQ=="/>
    <w:docVar w:name="KSO_WPS_MARK_KEY" w:val="4162c88e-7a97-4f8a-914e-66eeeef13e78"/>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EC2"/>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37AA"/>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1A9"/>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C5B"/>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2D0"/>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1DB4"/>
    <w:rsid w:val="00C332D4"/>
    <w:rsid w:val="00C33A66"/>
    <w:rsid w:val="00C33E51"/>
    <w:rsid w:val="00C34AC4"/>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C72"/>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373D"/>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099"/>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6E70"/>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2CE"/>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BED"/>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072720"/>
    <w:rsid w:val="01121285"/>
    <w:rsid w:val="011F6449"/>
    <w:rsid w:val="01236AFB"/>
    <w:rsid w:val="019F7441"/>
    <w:rsid w:val="01B37585"/>
    <w:rsid w:val="01C240D6"/>
    <w:rsid w:val="01D55165"/>
    <w:rsid w:val="01DF6BF8"/>
    <w:rsid w:val="01EB4811"/>
    <w:rsid w:val="01EC2C57"/>
    <w:rsid w:val="02392050"/>
    <w:rsid w:val="02612DE7"/>
    <w:rsid w:val="026B2E25"/>
    <w:rsid w:val="02824D4D"/>
    <w:rsid w:val="02C7057E"/>
    <w:rsid w:val="02DA6776"/>
    <w:rsid w:val="02DC4B10"/>
    <w:rsid w:val="02DD76CE"/>
    <w:rsid w:val="02F36323"/>
    <w:rsid w:val="02F5619C"/>
    <w:rsid w:val="03193606"/>
    <w:rsid w:val="03222B47"/>
    <w:rsid w:val="0326446A"/>
    <w:rsid w:val="032D5555"/>
    <w:rsid w:val="033301DC"/>
    <w:rsid w:val="0336740B"/>
    <w:rsid w:val="036634D2"/>
    <w:rsid w:val="03885263"/>
    <w:rsid w:val="03B629A7"/>
    <w:rsid w:val="03C75283"/>
    <w:rsid w:val="03DA27A3"/>
    <w:rsid w:val="03DD35E4"/>
    <w:rsid w:val="03FC5F2A"/>
    <w:rsid w:val="04076900"/>
    <w:rsid w:val="041A5A3B"/>
    <w:rsid w:val="0421121E"/>
    <w:rsid w:val="042311BA"/>
    <w:rsid w:val="04267B2D"/>
    <w:rsid w:val="042B157A"/>
    <w:rsid w:val="043E286E"/>
    <w:rsid w:val="04596E97"/>
    <w:rsid w:val="046C5C2A"/>
    <w:rsid w:val="048F763B"/>
    <w:rsid w:val="049F330E"/>
    <w:rsid w:val="04AA775C"/>
    <w:rsid w:val="04AF1889"/>
    <w:rsid w:val="04EA0355"/>
    <w:rsid w:val="04F66F48"/>
    <w:rsid w:val="05065269"/>
    <w:rsid w:val="0522318E"/>
    <w:rsid w:val="05251E14"/>
    <w:rsid w:val="052845F3"/>
    <w:rsid w:val="05560C2A"/>
    <w:rsid w:val="0559183C"/>
    <w:rsid w:val="055D2919"/>
    <w:rsid w:val="05A16594"/>
    <w:rsid w:val="05A7762D"/>
    <w:rsid w:val="060E5941"/>
    <w:rsid w:val="06110FAF"/>
    <w:rsid w:val="062803FD"/>
    <w:rsid w:val="06493CA7"/>
    <w:rsid w:val="065110EC"/>
    <w:rsid w:val="065A6178"/>
    <w:rsid w:val="06623713"/>
    <w:rsid w:val="066F1CF3"/>
    <w:rsid w:val="06930BB8"/>
    <w:rsid w:val="069F3F4E"/>
    <w:rsid w:val="069F594B"/>
    <w:rsid w:val="06B75E22"/>
    <w:rsid w:val="06C748BA"/>
    <w:rsid w:val="06D620B4"/>
    <w:rsid w:val="07245D42"/>
    <w:rsid w:val="07264C62"/>
    <w:rsid w:val="0730481D"/>
    <w:rsid w:val="075D5082"/>
    <w:rsid w:val="0779354C"/>
    <w:rsid w:val="077A1300"/>
    <w:rsid w:val="07FE23B9"/>
    <w:rsid w:val="08061376"/>
    <w:rsid w:val="08163393"/>
    <w:rsid w:val="08306ECC"/>
    <w:rsid w:val="08452D77"/>
    <w:rsid w:val="084B690D"/>
    <w:rsid w:val="086401F8"/>
    <w:rsid w:val="08751CAA"/>
    <w:rsid w:val="087E4C40"/>
    <w:rsid w:val="08A2245D"/>
    <w:rsid w:val="08C16487"/>
    <w:rsid w:val="08D66AD6"/>
    <w:rsid w:val="08DA33A3"/>
    <w:rsid w:val="08E80F13"/>
    <w:rsid w:val="09265ED9"/>
    <w:rsid w:val="09335624"/>
    <w:rsid w:val="0944690F"/>
    <w:rsid w:val="09535675"/>
    <w:rsid w:val="095F057D"/>
    <w:rsid w:val="09642282"/>
    <w:rsid w:val="09733572"/>
    <w:rsid w:val="09772C16"/>
    <w:rsid w:val="097F75FA"/>
    <w:rsid w:val="098353B5"/>
    <w:rsid w:val="099C619C"/>
    <w:rsid w:val="09A92330"/>
    <w:rsid w:val="09B06B87"/>
    <w:rsid w:val="09BD5DBE"/>
    <w:rsid w:val="09C13146"/>
    <w:rsid w:val="09C851E3"/>
    <w:rsid w:val="09E04166"/>
    <w:rsid w:val="0A0E0E57"/>
    <w:rsid w:val="0A1C0718"/>
    <w:rsid w:val="0A3E7710"/>
    <w:rsid w:val="0A5B7E63"/>
    <w:rsid w:val="0A67494D"/>
    <w:rsid w:val="0A99714B"/>
    <w:rsid w:val="0AA374A5"/>
    <w:rsid w:val="0AAB7649"/>
    <w:rsid w:val="0ABC5606"/>
    <w:rsid w:val="0B30404E"/>
    <w:rsid w:val="0B4C6C14"/>
    <w:rsid w:val="0B5252C5"/>
    <w:rsid w:val="0B5E5DFE"/>
    <w:rsid w:val="0B631A88"/>
    <w:rsid w:val="0B683D45"/>
    <w:rsid w:val="0B7F3F11"/>
    <w:rsid w:val="0B884417"/>
    <w:rsid w:val="0B941820"/>
    <w:rsid w:val="0BA45310"/>
    <w:rsid w:val="0BEB5CB3"/>
    <w:rsid w:val="0BF6188C"/>
    <w:rsid w:val="0BF73C91"/>
    <w:rsid w:val="0C170175"/>
    <w:rsid w:val="0C571A41"/>
    <w:rsid w:val="0C5C1171"/>
    <w:rsid w:val="0C5E1CBC"/>
    <w:rsid w:val="0C615B50"/>
    <w:rsid w:val="0C812B51"/>
    <w:rsid w:val="0C8445DA"/>
    <w:rsid w:val="0C87121B"/>
    <w:rsid w:val="0CB007AA"/>
    <w:rsid w:val="0CC007F7"/>
    <w:rsid w:val="0CCE74AD"/>
    <w:rsid w:val="0CD53211"/>
    <w:rsid w:val="0CFE707A"/>
    <w:rsid w:val="0D063BDA"/>
    <w:rsid w:val="0D08375F"/>
    <w:rsid w:val="0D184CFB"/>
    <w:rsid w:val="0D4A7419"/>
    <w:rsid w:val="0D7875D9"/>
    <w:rsid w:val="0D7B7F6B"/>
    <w:rsid w:val="0D827401"/>
    <w:rsid w:val="0D84094E"/>
    <w:rsid w:val="0D8A00E9"/>
    <w:rsid w:val="0D8D589E"/>
    <w:rsid w:val="0DA01C73"/>
    <w:rsid w:val="0DAD2613"/>
    <w:rsid w:val="0DD63300"/>
    <w:rsid w:val="0DF50604"/>
    <w:rsid w:val="0DF702FE"/>
    <w:rsid w:val="0E060E51"/>
    <w:rsid w:val="0E5604B2"/>
    <w:rsid w:val="0E6D5D79"/>
    <w:rsid w:val="0E9D0089"/>
    <w:rsid w:val="0EB803EE"/>
    <w:rsid w:val="0EF94D4B"/>
    <w:rsid w:val="0F12144F"/>
    <w:rsid w:val="0F267E50"/>
    <w:rsid w:val="0F2928DC"/>
    <w:rsid w:val="0F4958DC"/>
    <w:rsid w:val="0F4E001C"/>
    <w:rsid w:val="0F515DF7"/>
    <w:rsid w:val="0F596BA8"/>
    <w:rsid w:val="0F6248D2"/>
    <w:rsid w:val="0F6600DC"/>
    <w:rsid w:val="0F693536"/>
    <w:rsid w:val="0F7B0511"/>
    <w:rsid w:val="0F7B76D9"/>
    <w:rsid w:val="0F816ACD"/>
    <w:rsid w:val="0F9832DB"/>
    <w:rsid w:val="0FBF3FD2"/>
    <w:rsid w:val="0FBF7FF3"/>
    <w:rsid w:val="0FF21D8D"/>
    <w:rsid w:val="10150A56"/>
    <w:rsid w:val="10646583"/>
    <w:rsid w:val="10770C3A"/>
    <w:rsid w:val="107D4B15"/>
    <w:rsid w:val="108A3C80"/>
    <w:rsid w:val="10A17219"/>
    <w:rsid w:val="10A673BF"/>
    <w:rsid w:val="10AF7152"/>
    <w:rsid w:val="10C26171"/>
    <w:rsid w:val="10F33360"/>
    <w:rsid w:val="10FC16EA"/>
    <w:rsid w:val="1107421C"/>
    <w:rsid w:val="110745F5"/>
    <w:rsid w:val="110F1D40"/>
    <w:rsid w:val="11266F33"/>
    <w:rsid w:val="115E6AF7"/>
    <w:rsid w:val="116374F7"/>
    <w:rsid w:val="118963A1"/>
    <w:rsid w:val="1190351D"/>
    <w:rsid w:val="11916802"/>
    <w:rsid w:val="11C6522A"/>
    <w:rsid w:val="11CC0423"/>
    <w:rsid w:val="11E104CC"/>
    <w:rsid w:val="11E20309"/>
    <w:rsid w:val="12255233"/>
    <w:rsid w:val="12530213"/>
    <w:rsid w:val="12594386"/>
    <w:rsid w:val="126A32DB"/>
    <w:rsid w:val="127723A9"/>
    <w:rsid w:val="12862074"/>
    <w:rsid w:val="1288040F"/>
    <w:rsid w:val="12883966"/>
    <w:rsid w:val="129E45B4"/>
    <w:rsid w:val="12A96255"/>
    <w:rsid w:val="12CA5B28"/>
    <w:rsid w:val="12D22C2E"/>
    <w:rsid w:val="12D81596"/>
    <w:rsid w:val="12D9489C"/>
    <w:rsid w:val="12FB0490"/>
    <w:rsid w:val="13072A44"/>
    <w:rsid w:val="131E5E73"/>
    <w:rsid w:val="133B576B"/>
    <w:rsid w:val="135F4BE2"/>
    <w:rsid w:val="13785533"/>
    <w:rsid w:val="139B1A0A"/>
    <w:rsid w:val="139D25C7"/>
    <w:rsid w:val="13BF3CE4"/>
    <w:rsid w:val="141008D8"/>
    <w:rsid w:val="14125FE6"/>
    <w:rsid w:val="144E2788"/>
    <w:rsid w:val="146D271E"/>
    <w:rsid w:val="147B1ABD"/>
    <w:rsid w:val="14931BE5"/>
    <w:rsid w:val="14982588"/>
    <w:rsid w:val="149A5AD9"/>
    <w:rsid w:val="149A6BEA"/>
    <w:rsid w:val="14A7619D"/>
    <w:rsid w:val="14AA11A2"/>
    <w:rsid w:val="14AF0AF1"/>
    <w:rsid w:val="150536C3"/>
    <w:rsid w:val="150C1963"/>
    <w:rsid w:val="151447A0"/>
    <w:rsid w:val="154A6454"/>
    <w:rsid w:val="15611DD0"/>
    <w:rsid w:val="15620C93"/>
    <w:rsid w:val="156F6E5A"/>
    <w:rsid w:val="15762120"/>
    <w:rsid w:val="1592490D"/>
    <w:rsid w:val="15AB4DC5"/>
    <w:rsid w:val="15C50FB0"/>
    <w:rsid w:val="15C5115E"/>
    <w:rsid w:val="15D51305"/>
    <w:rsid w:val="16106893"/>
    <w:rsid w:val="16331AEA"/>
    <w:rsid w:val="163B6E92"/>
    <w:rsid w:val="1667132F"/>
    <w:rsid w:val="167B4954"/>
    <w:rsid w:val="16822B68"/>
    <w:rsid w:val="16A8729C"/>
    <w:rsid w:val="16B33193"/>
    <w:rsid w:val="16B33777"/>
    <w:rsid w:val="16B8356E"/>
    <w:rsid w:val="16BC70A7"/>
    <w:rsid w:val="16C6339E"/>
    <w:rsid w:val="17125209"/>
    <w:rsid w:val="172C16AC"/>
    <w:rsid w:val="172F2D79"/>
    <w:rsid w:val="17557BEF"/>
    <w:rsid w:val="179C00EE"/>
    <w:rsid w:val="17B337FE"/>
    <w:rsid w:val="17CB6794"/>
    <w:rsid w:val="17D349C1"/>
    <w:rsid w:val="17EA5838"/>
    <w:rsid w:val="17EF7DDE"/>
    <w:rsid w:val="1830729E"/>
    <w:rsid w:val="18651017"/>
    <w:rsid w:val="186E0562"/>
    <w:rsid w:val="1870062C"/>
    <w:rsid w:val="18817102"/>
    <w:rsid w:val="18830A15"/>
    <w:rsid w:val="18852B28"/>
    <w:rsid w:val="188B5321"/>
    <w:rsid w:val="18D55226"/>
    <w:rsid w:val="19110EF4"/>
    <w:rsid w:val="19786FBD"/>
    <w:rsid w:val="19932372"/>
    <w:rsid w:val="19A20DD5"/>
    <w:rsid w:val="19AE03F1"/>
    <w:rsid w:val="19B33B02"/>
    <w:rsid w:val="19B962C2"/>
    <w:rsid w:val="19C80964"/>
    <w:rsid w:val="19CA4296"/>
    <w:rsid w:val="19DA04BD"/>
    <w:rsid w:val="1A071A03"/>
    <w:rsid w:val="1A1F16AE"/>
    <w:rsid w:val="1A3B5C77"/>
    <w:rsid w:val="1A4735B7"/>
    <w:rsid w:val="1A80435A"/>
    <w:rsid w:val="1A984BAD"/>
    <w:rsid w:val="1AB772D9"/>
    <w:rsid w:val="1AB8220E"/>
    <w:rsid w:val="1ADE66E9"/>
    <w:rsid w:val="1AE4166C"/>
    <w:rsid w:val="1AE85900"/>
    <w:rsid w:val="1AE86A6B"/>
    <w:rsid w:val="1AF06CFB"/>
    <w:rsid w:val="1AF11B8D"/>
    <w:rsid w:val="1B11359C"/>
    <w:rsid w:val="1B2A271F"/>
    <w:rsid w:val="1B530544"/>
    <w:rsid w:val="1B5643DD"/>
    <w:rsid w:val="1B713184"/>
    <w:rsid w:val="1BA209CF"/>
    <w:rsid w:val="1BB4777D"/>
    <w:rsid w:val="1BD2431D"/>
    <w:rsid w:val="1BD75AB8"/>
    <w:rsid w:val="1C0459C2"/>
    <w:rsid w:val="1C0B5645"/>
    <w:rsid w:val="1C144B00"/>
    <w:rsid w:val="1C1B3B4A"/>
    <w:rsid w:val="1C88086E"/>
    <w:rsid w:val="1CD86393"/>
    <w:rsid w:val="1D266CE1"/>
    <w:rsid w:val="1D2A7003"/>
    <w:rsid w:val="1D3963AF"/>
    <w:rsid w:val="1D44232E"/>
    <w:rsid w:val="1D602818"/>
    <w:rsid w:val="1D632D08"/>
    <w:rsid w:val="1D660E3D"/>
    <w:rsid w:val="1D6A673C"/>
    <w:rsid w:val="1D716DB9"/>
    <w:rsid w:val="1D915479"/>
    <w:rsid w:val="1D9247AE"/>
    <w:rsid w:val="1D9C4A28"/>
    <w:rsid w:val="1DA653E3"/>
    <w:rsid w:val="1DB567EC"/>
    <w:rsid w:val="1DC026CA"/>
    <w:rsid w:val="1DCA7323"/>
    <w:rsid w:val="1DF51A98"/>
    <w:rsid w:val="1DFF1443"/>
    <w:rsid w:val="1E127EB1"/>
    <w:rsid w:val="1E320C20"/>
    <w:rsid w:val="1E3D060F"/>
    <w:rsid w:val="1E3F7D2E"/>
    <w:rsid w:val="1E4134E4"/>
    <w:rsid w:val="1E4F2E30"/>
    <w:rsid w:val="1E5062B3"/>
    <w:rsid w:val="1E523514"/>
    <w:rsid w:val="1E714A66"/>
    <w:rsid w:val="1E802593"/>
    <w:rsid w:val="1E87091A"/>
    <w:rsid w:val="1EA703CC"/>
    <w:rsid w:val="1EAD3B2E"/>
    <w:rsid w:val="1EAF519E"/>
    <w:rsid w:val="1EB202A6"/>
    <w:rsid w:val="1EB7330C"/>
    <w:rsid w:val="1EE8744A"/>
    <w:rsid w:val="1EF503D0"/>
    <w:rsid w:val="1F0A0FF3"/>
    <w:rsid w:val="1F2B5C6B"/>
    <w:rsid w:val="1F5771FF"/>
    <w:rsid w:val="1F772AAB"/>
    <w:rsid w:val="1F986864"/>
    <w:rsid w:val="1FAC5F93"/>
    <w:rsid w:val="1FAF184C"/>
    <w:rsid w:val="1FB160A1"/>
    <w:rsid w:val="1FC94A03"/>
    <w:rsid w:val="1FE868A9"/>
    <w:rsid w:val="20034907"/>
    <w:rsid w:val="20173E4B"/>
    <w:rsid w:val="204E48BC"/>
    <w:rsid w:val="207C5953"/>
    <w:rsid w:val="207F7224"/>
    <w:rsid w:val="208921B3"/>
    <w:rsid w:val="20973DEB"/>
    <w:rsid w:val="209844B3"/>
    <w:rsid w:val="20A16773"/>
    <w:rsid w:val="20B26522"/>
    <w:rsid w:val="20B44310"/>
    <w:rsid w:val="210229B5"/>
    <w:rsid w:val="21030097"/>
    <w:rsid w:val="210D7DE1"/>
    <w:rsid w:val="211116EB"/>
    <w:rsid w:val="211C715B"/>
    <w:rsid w:val="212239F9"/>
    <w:rsid w:val="21450F01"/>
    <w:rsid w:val="215356BC"/>
    <w:rsid w:val="21570452"/>
    <w:rsid w:val="216133FC"/>
    <w:rsid w:val="21746EB6"/>
    <w:rsid w:val="21A5330F"/>
    <w:rsid w:val="21B87027"/>
    <w:rsid w:val="21BE7C0F"/>
    <w:rsid w:val="21D56769"/>
    <w:rsid w:val="21E52EF3"/>
    <w:rsid w:val="21E855F1"/>
    <w:rsid w:val="21FB5D7B"/>
    <w:rsid w:val="220601CB"/>
    <w:rsid w:val="220B1C3D"/>
    <w:rsid w:val="221D1D20"/>
    <w:rsid w:val="22334A87"/>
    <w:rsid w:val="224A1D93"/>
    <w:rsid w:val="22565A1B"/>
    <w:rsid w:val="229A5E96"/>
    <w:rsid w:val="22BE6801"/>
    <w:rsid w:val="22D503AD"/>
    <w:rsid w:val="22E1605C"/>
    <w:rsid w:val="22E51E1F"/>
    <w:rsid w:val="233500BF"/>
    <w:rsid w:val="23377FF7"/>
    <w:rsid w:val="235B7AB5"/>
    <w:rsid w:val="236B425F"/>
    <w:rsid w:val="23836192"/>
    <w:rsid w:val="23901F29"/>
    <w:rsid w:val="239602ED"/>
    <w:rsid w:val="239C0061"/>
    <w:rsid w:val="23B908A4"/>
    <w:rsid w:val="23BA47E3"/>
    <w:rsid w:val="23CE5CC8"/>
    <w:rsid w:val="23D909ED"/>
    <w:rsid w:val="23E95BEF"/>
    <w:rsid w:val="23FD0064"/>
    <w:rsid w:val="23FD24E3"/>
    <w:rsid w:val="240E37A9"/>
    <w:rsid w:val="241966AF"/>
    <w:rsid w:val="245375B0"/>
    <w:rsid w:val="24547947"/>
    <w:rsid w:val="24642C0A"/>
    <w:rsid w:val="246F32AE"/>
    <w:rsid w:val="24B22173"/>
    <w:rsid w:val="24B95AD9"/>
    <w:rsid w:val="24BE24DA"/>
    <w:rsid w:val="24CF5825"/>
    <w:rsid w:val="24D663E6"/>
    <w:rsid w:val="24D77F2B"/>
    <w:rsid w:val="250A6257"/>
    <w:rsid w:val="25216ABD"/>
    <w:rsid w:val="25415818"/>
    <w:rsid w:val="258B00E2"/>
    <w:rsid w:val="25A917A6"/>
    <w:rsid w:val="25AA7E15"/>
    <w:rsid w:val="25BE27CC"/>
    <w:rsid w:val="25C920A9"/>
    <w:rsid w:val="25F74A5C"/>
    <w:rsid w:val="2609679C"/>
    <w:rsid w:val="261C7718"/>
    <w:rsid w:val="26213859"/>
    <w:rsid w:val="2628662C"/>
    <w:rsid w:val="262D45DE"/>
    <w:rsid w:val="263B60F2"/>
    <w:rsid w:val="26421B0D"/>
    <w:rsid w:val="26747CA0"/>
    <w:rsid w:val="26871DAD"/>
    <w:rsid w:val="268D73B5"/>
    <w:rsid w:val="26A53EF9"/>
    <w:rsid w:val="26A94201"/>
    <w:rsid w:val="26AC274F"/>
    <w:rsid w:val="26B67F49"/>
    <w:rsid w:val="26F6447D"/>
    <w:rsid w:val="27044A29"/>
    <w:rsid w:val="27070A20"/>
    <w:rsid w:val="271816CB"/>
    <w:rsid w:val="271D34C8"/>
    <w:rsid w:val="272116A0"/>
    <w:rsid w:val="27466D3F"/>
    <w:rsid w:val="27476D19"/>
    <w:rsid w:val="27517D61"/>
    <w:rsid w:val="276142BF"/>
    <w:rsid w:val="27655C3D"/>
    <w:rsid w:val="27783712"/>
    <w:rsid w:val="27907362"/>
    <w:rsid w:val="27C44DE4"/>
    <w:rsid w:val="28020919"/>
    <w:rsid w:val="28333E1D"/>
    <w:rsid w:val="28454BD6"/>
    <w:rsid w:val="28455253"/>
    <w:rsid w:val="28551971"/>
    <w:rsid w:val="285B1C53"/>
    <w:rsid w:val="28632BF0"/>
    <w:rsid w:val="289F7086"/>
    <w:rsid w:val="28A31469"/>
    <w:rsid w:val="28B523C7"/>
    <w:rsid w:val="28C32028"/>
    <w:rsid w:val="28CC490F"/>
    <w:rsid w:val="28D24C7D"/>
    <w:rsid w:val="28DE40AA"/>
    <w:rsid w:val="28F45EEB"/>
    <w:rsid w:val="29345E77"/>
    <w:rsid w:val="294C65AD"/>
    <w:rsid w:val="294F28E5"/>
    <w:rsid w:val="295F74AB"/>
    <w:rsid w:val="29631B1C"/>
    <w:rsid w:val="29806583"/>
    <w:rsid w:val="298505A2"/>
    <w:rsid w:val="298B3C4C"/>
    <w:rsid w:val="29A141F3"/>
    <w:rsid w:val="29B84A64"/>
    <w:rsid w:val="29D67219"/>
    <w:rsid w:val="29F26D24"/>
    <w:rsid w:val="2A15033F"/>
    <w:rsid w:val="2A1662C1"/>
    <w:rsid w:val="2A1C7367"/>
    <w:rsid w:val="2A2815FA"/>
    <w:rsid w:val="2A287D69"/>
    <w:rsid w:val="2A5610E8"/>
    <w:rsid w:val="2A6D6092"/>
    <w:rsid w:val="2A7D76B4"/>
    <w:rsid w:val="2ABF7205"/>
    <w:rsid w:val="2ACB77CC"/>
    <w:rsid w:val="2AD43590"/>
    <w:rsid w:val="2AE92DF1"/>
    <w:rsid w:val="2B261369"/>
    <w:rsid w:val="2B437463"/>
    <w:rsid w:val="2B7807EE"/>
    <w:rsid w:val="2BBF00EC"/>
    <w:rsid w:val="2BC04E47"/>
    <w:rsid w:val="2BC37CFD"/>
    <w:rsid w:val="2BD5237F"/>
    <w:rsid w:val="2BE31C98"/>
    <w:rsid w:val="2BE536CE"/>
    <w:rsid w:val="2BE758D9"/>
    <w:rsid w:val="2C09049E"/>
    <w:rsid w:val="2C0A653C"/>
    <w:rsid w:val="2C191F85"/>
    <w:rsid w:val="2C873291"/>
    <w:rsid w:val="2CB0513C"/>
    <w:rsid w:val="2CB34CDD"/>
    <w:rsid w:val="2CB66EF8"/>
    <w:rsid w:val="2CE82D6F"/>
    <w:rsid w:val="2D1F486A"/>
    <w:rsid w:val="2D343236"/>
    <w:rsid w:val="2D3D3639"/>
    <w:rsid w:val="2D606C7D"/>
    <w:rsid w:val="2D676811"/>
    <w:rsid w:val="2D7C3A6A"/>
    <w:rsid w:val="2DD15014"/>
    <w:rsid w:val="2DE85F18"/>
    <w:rsid w:val="2DF72DE4"/>
    <w:rsid w:val="2E0220AF"/>
    <w:rsid w:val="2E372A37"/>
    <w:rsid w:val="2E4525DD"/>
    <w:rsid w:val="2E4B082A"/>
    <w:rsid w:val="2E5D4E86"/>
    <w:rsid w:val="2E5D790B"/>
    <w:rsid w:val="2E6D798E"/>
    <w:rsid w:val="2E7B397B"/>
    <w:rsid w:val="2E9A3C18"/>
    <w:rsid w:val="2EBB0FEE"/>
    <w:rsid w:val="2EC63002"/>
    <w:rsid w:val="2ECD0C29"/>
    <w:rsid w:val="2EE03233"/>
    <w:rsid w:val="2F0A6B38"/>
    <w:rsid w:val="2F4851D0"/>
    <w:rsid w:val="2F647F8F"/>
    <w:rsid w:val="2F794269"/>
    <w:rsid w:val="2F946CCB"/>
    <w:rsid w:val="2FD25781"/>
    <w:rsid w:val="2FFD7934"/>
    <w:rsid w:val="2FFE2851"/>
    <w:rsid w:val="300967B6"/>
    <w:rsid w:val="30695D8C"/>
    <w:rsid w:val="30733ACD"/>
    <w:rsid w:val="308C3862"/>
    <w:rsid w:val="309379D8"/>
    <w:rsid w:val="30A270F7"/>
    <w:rsid w:val="30DF1478"/>
    <w:rsid w:val="30EB428D"/>
    <w:rsid w:val="30EC586F"/>
    <w:rsid w:val="31360D5D"/>
    <w:rsid w:val="3146752E"/>
    <w:rsid w:val="316B33A9"/>
    <w:rsid w:val="317362BD"/>
    <w:rsid w:val="319C6071"/>
    <w:rsid w:val="31AB5907"/>
    <w:rsid w:val="31AC3820"/>
    <w:rsid w:val="31AC537E"/>
    <w:rsid w:val="31C111F3"/>
    <w:rsid w:val="31E3679B"/>
    <w:rsid w:val="31E732FD"/>
    <w:rsid w:val="31FA3F13"/>
    <w:rsid w:val="323104BD"/>
    <w:rsid w:val="32517576"/>
    <w:rsid w:val="328D434A"/>
    <w:rsid w:val="32BE5C2C"/>
    <w:rsid w:val="32FB6478"/>
    <w:rsid w:val="332054B8"/>
    <w:rsid w:val="33263B3F"/>
    <w:rsid w:val="335A2AA0"/>
    <w:rsid w:val="336963EB"/>
    <w:rsid w:val="33816EEB"/>
    <w:rsid w:val="339A5965"/>
    <w:rsid w:val="33AC51E6"/>
    <w:rsid w:val="33BE302F"/>
    <w:rsid w:val="33E06F7D"/>
    <w:rsid w:val="33EB55CD"/>
    <w:rsid w:val="33EC4C02"/>
    <w:rsid w:val="33FF3B9B"/>
    <w:rsid w:val="340D2360"/>
    <w:rsid w:val="3410665D"/>
    <w:rsid w:val="34211214"/>
    <w:rsid w:val="342E63AB"/>
    <w:rsid w:val="34401C96"/>
    <w:rsid w:val="34444A19"/>
    <w:rsid w:val="344D14A1"/>
    <w:rsid w:val="347D6A46"/>
    <w:rsid w:val="34950E68"/>
    <w:rsid w:val="34986E94"/>
    <w:rsid w:val="34A727F1"/>
    <w:rsid w:val="34AF62C9"/>
    <w:rsid w:val="34CB4388"/>
    <w:rsid w:val="34E04C25"/>
    <w:rsid w:val="34EF3AF5"/>
    <w:rsid w:val="34FA6E12"/>
    <w:rsid w:val="35177D3B"/>
    <w:rsid w:val="358C308A"/>
    <w:rsid w:val="358D5588"/>
    <w:rsid w:val="35A8283F"/>
    <w:rsid w:val="35A82B78"/>
    <w:rsid w:val="35AA049C"/>
    <w:rsid w:val="35B11087"/>
    <w:rsid w:val="35B97034"/>
    <w:rsid w:val="35CD6CF1"/>
    <w:rsid w:val="35DA2866"/>
    <w:rsid w:val="360A2C3B"/>
    <w:rsid w:val="363A3B40"/>
    <w:rsid w:val="36434B96"/>
    <w:rsid w:val="365302AE"/>
    <w:rsid w:val="36590585"/>
    <w:rsid w:val="36607A0A"/>
    <w:rsid w:val="366E227C"/>
    <w:rsid w:val="366F2E0D"/>
    <w:rsid w:val="367B6A5C"/>
    <w:rsid w:val="36814A92"/>
    <w:rsid w:val="36827AAB"/>
    <w:rsid w:val="36970FAC"/>
    <w:rsid w:val="36A74ADA"/>
    <w:rsid w:val="36AD60D5"/>
    <w:rsid w:val="36B224F9"/>
    <w:rsid w:val="36EC0CC9"/>
    <w:rsid w:val="37066EB4"/>
    <w:rsid w:val="371E6696"/>
    <w:rsid w:val="373F410B"/>
    <w:rsid w:val="37B15B33"/>
    <w:rsid w:val="37BE68BC"/>
    <w:rsid w:val="37E33308"/>
    <w:rsid w:val="37EE7094"/>
    <w:rsid w:val="381E1201"/>
    <w:rsid w:val="38296B3F"/>
    <w:rsid w:val="38296C89"/>
    <w:rsid w:val="383002EB"/>
    <w:rsid w:val="38433B03"/>
    <w:rsid w:val="38463C1A"/>
    <w:rsid w:val="38586797"/>
    <w:rsid w:val="385C64C8"/>
    <w:rsid w:val="387951BA"/>
    <w:rsid w:val="38966328"/>
    <w:rsid w:val="389F5630"/>
    <w:rsid w:val="38AD2F51"/>
    <w:rsid w:val="38B87D9D"/>
    <w:rsid w:val="38BC0149"/>
    <w:rsid w:val="38D87D1C"/>
    <w:rsid w:val="38FA6453"/>
    <w:rsid w:val="391024DC"/>
    <w:rsid w:val="394E6C03"/>
    <w:rsid w:val="394F5D07"/>
    <w:rsid w:val="39636459"/>
    <w:rsid w:val="396B7F6C"/>
    <w:rsid w:val="397035D3"/>
    <w:rsid w:val="397E4E7D"/>
    <w:rsid w:val="398C132C"/>
    <w:rsid w:val="39B17B68"/>
    <w:rsid w:val="39B40F9E"/>
    <w:rsid w:val="39B417A9"/>
    <w:rsid w:val="39FC5695"/>
    <w:rsid w:val="3A006D8E"/>
    <w:rsid w:val="3A053765"/>
    <w:rsid w:val="3A2B170B"/>
    <w:rsid w:val="3A3651E5"/>
    <w:rsid w:val="3A56271C"/>
    <w:rsid w:val="3A744481"/>
    <w:rsid w:val="3A8C7BEF"/>
    <w:rsid w:val="3A906246"/>
    <w:rsid w:val="3AC26D0D"/>
    <w:rsid w:val="3B00217F"/>
    <w:rsid w:val="3B046D3A"/>
    <w:rsid w:val="3B2349B7"/>
    <w:rsid w:val="3B616CFF"/>
    <w:rsid w:val="3B6259F6"/>
    <w:rsid w:val="3B683019"/>
    <w:rsid w:val="3B6B6A15"/>
    <w:rsid w:val="3B720250"/>
    <w:rsid w:val="3B870D7E"/>
    <w:rsid w:val="3B8F24B5"/>
    <w:rsid w:val="3B976654"/>
    <w:rsid w:val="3B98175C"/>
    <w:rsid w:val="3BA90120"/>
    <w:rsid w:val="3BC01EFC"/>
    <w:rsid w:val="3BCA786A"/>
    <w:rsid w:val="3BD31E2F"/>
    <w:rsid w:val="3BF15831"/>
    <w:rsid w:val="3C014684"/>
    <w:rsid w:val="3C105946"/>
    <w:rsid w:val="3C297A7F"/>
    <w:rsid w:val="3C34279E"/>
    <w:rsid w:val="3C464D77"/>
    <w:rsid w:val="3C471448"/>
    <w:rsid w:val="3C510DFF"/>
    <w:rsid w:val="3C5850B9"/>
    <w:rsid w:val="3C5F759A"/>
    <w:rsid w:val="3C6C525A"/>
    <w:rsid w:val="3C7637CB"/>
    <w:rsid w:val="3C8666B4"/>
    <w:rsid w:val="3C8F3836"/>
    <w:rsid w:val="3CA86DA1"/>
    <w:rsid w:val="3CB678A5"/>
    <w:rsid w:val="3CC1149A"/>
    <w:rsid w:val="3CCE23CB"/>
    <w:rsid w:val="3CD17D17"/>
    <w:rsid w:val="3CD23A6A"/>
    <w:rsid w:val="3D0512A8"/>
    <w:rsid w:val="3D330CF2"/>
    <w:rsid w:val="3D3C7F39"/>
    <w:rsid w:val="3D440F09"/>
    <w:rsid w:val="3D4504A0"/>
    <w:rsid w:val="3D8734BB"/>
    <w:rsid w:val="3D8A7C0D"/>
    <w:rsid w:val="3D9A11D4"/>
    <w:rsid w:val="3DA16D89"/>
    <w:rsid w:val="3DA364BE"/>
    <w:rsid w:val="3DB42C81"/>
    <w:rsid w:val="3DE041CB"/>
    <w:rsid w:val="3E0D48F6"/>
    <w:rsid w:val="3E1868B4"/>
    <w:rsid w:val="3E21649B"/>
    <w:rsid w:val="3E306F1E"/>
    <w:rsid w:val="3E377251"/>
    <w:rsid w:val="3E42664B"/>
    <w:rsid w:val="3E5A7334"/>
    <w:rsid w:val="3E7B5D6B"/>
    <w:rsid w:val="3E843E66"/>
    <w:rsid w:val="3E8F51FE"/>
    <w:rsid w:val="3E926F87"/>
    <w:rsid w:val="3E9A59DE"/>
    <w:rsid w:val="3EAF4836"/>
    <w:rsid w:val="3EC33DFA"/>
    <w:rsid w:val="3EC67C9B"/>
    <w:rsid w:val="3ED74DCE"/>
    <w:rsid w:val="3EE63F33"/>
    <w:rsid w:val="3F060E16"/>
    <w:rsid w:val="3F173D45"/>
    <w:rsid w:val="3F1D1096"/>
    <w:rsid w:val="3F2F0234"/>
    <w:rsid w:val="3F6363FE"/>
    <w:rsid w:val="3F756B8F"/>
    <w:rsid w:val="3F95482B"/>
    <w:rsid w:val="3FD3304A"/>
    <w:rsid w:val="4019356B"/>
    <w:rsid w:val="40592157"/>
    <w:rsid w:val="406D3E12"/>
    <w:rsid w:val="406E1CAE"/>
    <w:rsid w:val="40A0133A"/>
    <w:rsid w:val="40C31A53"/>
    <w:rsid w:val="40E750BB"/>
    <w:rsid w:val="40E83499"/>
    <w:rsid w:val="40FF545D"/>
    <w:rsid w:val="410067C8"/>
    <w:rsid w:val="412D5350"/>
    <w:rsid w:val="4137139D"/>
    <w:rsid w:val="414E562C"/>
    <w:rsid w:val="418F0D2A"/>
    <w:rsid w:val="41916141"/>
    <w:rsid w:val="41B810BD"/>
    <w:rsid w:val="41C007E7"/>
    <w:rsid w:val="41D01505"/>
    <w:rsid w:val="42095F6E"/>
    <w:rsid w:val="424172D1"/>
    <w:rsid w:val="42474939"/>
    <w:rsid w:val="424C3C57"/>
    <w:rsid w:val="42613FF3"/>
    <w:rsid w:val="42660D96"/>
    <w:rsid w:val="428667D2"/>
    <w:rsid w:val="42891389"/>
    <w:rsid w:val="42920521"/>
    <w:rsid w:val="42975168"/>
    <w:rsid w:val="42A12863"/>
    <w:rsid w:val="42CD1CE0"/>
    <w:rsid w:val="42E1381E"/>
    <w:rsid w:val="42ED6459"/>
    <w:rsid w:val="42FE58DD"/>
    <w:rsid w:val="43174B3D"/>
    <w:rsid w:val="434B790E"/>
    <w:rsid w:val="4360274F"/>
    <w:rsid w:val="43977AB6"/>
    <w:rsid w:val="43A3342B"/>
    <w:rsid w:val="43C77C27"/>
    <w:rsid w:val="43DE09EE"/>
    <w:rsid w:val="44002FAD"/>
    <w:rsid w:val="446905C0"/>
    <w:rsid w:val="44781916"/>
    <w:rsid w:val="449101DD"/>
    <w:rsid w:val="44B800F6"/>
    <w:rsid w:val="44C164DB"/>
    <w:rsid w:val="44DB5F60"/>
    <w:rsid w:val="44DE1391"/>
    <w:rsid w:val="451B225C"/>
    <w:rsid w:val="452410C9"/>
    <w:rsid w:val="45317DFB"/>
    <w:rsid w:val="454113CA"/>
    <w:rsid w:val="45436274"/>
    <w:rsid w:val="456D3CE4"/>
    <w:rsid w:val="4579042C"/>
    <w:rsid w:val="457F0571"/>
    <w:rsid w:val="45851176"/>
    <w:rsid w:val="45950612"/>
    <w:rsid w:val="45C63B94"/>
    <w:rsid w:val="45D249E5"/>
    <w:rsid w:val="45F538A0"/>
    <w:rsid w:val="460E7DA5"/>
    <w:rsid w:val="462907DC"/>
    <w:rsid w:val="463257DE"/>
    <w:rsid w:val="46422483"/>
    <w:rsid w:val="464500CB"/>
    <w:rsid w:val="4659254A"/>
    <w:rsid w:val="465B0637"/>
    <w:rsid w:val="465E3F0D"/>
    <w:rsid w:val="466A16E6"/>
    <w:rsid w:val="46841EB6"/>
    <w:rsid w:val="46893F2B"/>
    <w:rsid w:val="46BA4EE4"/>
    <w:rsid w:val="46C4686E"/>
    <w:rsid w:val="46DB2620"/>
    <w:rsid w:val="46E75F49"/>
    <w:rsid w:val="46EB42AF"/>
    <w:rsid w:val="46F21269"/>
    <w:rsid w:val="473723B0"/>
    <w:rsid w:val="47567C2A"/>
    <w:rsid w:val="477B778F"/>
    <w:rsid w:val="478203EC"/>
    <w:rsid w:val="47B025FA"/>
    <w:rsid w:val="47C73432"/>
    <w:rsid w:val="47D96F7B"/>
    <w:rsid w:val="4809698F"/>
    <w:rsid w:val="4811697D"/>
    <w:rsid w:val="48733940"/>
    <w:rsid w:val="487A3E25"/>
    <w:rsid w:val="488B5503"/>
    <w:rsid w:val="48937E21"/>
    <w:rsid w:val="489A0361"/>
    <w:rsid w:val="48B94FF3"/>
    <w:rsid w:val="48E37AAB"/>
    <w:rsid w:val="48FD4B4C"/>
    <w:rsid w:val="490A68E0"/>
    <w:rsid w:val="491055FE"/>
    <w:rsid w:val="495F5B3E"/>
    <w:rsid w:val="496F3FF2"/>
    <w:rsid w:val="496F77D7"/>
    <w:rsid w:val="497654FD"/>
    <w:rsid w:val="499C4B8B"/>
    <w:rsid w:val="49B64211"/>
    <w:rsid w:val="49E459A1"/>
    <w:rsid w:val="49F6167F"/>
    <w:rsid w:val="49F64374"/>
    <w:rsid w:val="4A064FA0"/>
    <w:rsid w:val="4A0B01F8"/>
    <w:rsid w:val="4A16615C"/>
    <w:rsid w:val="4A2A05D0"/>
    <w:rsid w:val="4A3F0A96"/>
    <w:rsid w:val="4A4424D7"/>
    <w:rsid w:val="4A571ACA"/>
    <w:rsid w:val="4A8F0121"/>
    <w:rsid w:val="4AA85A47"/>
    <w:rsid w:val="4AAA236F"/>
    <w:rsid w:val="4AB77EE6"/>
    <w:rsid w:val="4AB82D0F"/>
    <w:rsid w:val="4AEB7664"/>
    <w:rsid w:val="4AF075E8"/>
    <w:rsid w:val="4AFD7C19"/>
    <w:rsid w:val="4B0567D1"/>
    <w:rsid w:val="4B195314"/>
    <w:rsid w:val="4B236AAE"/>
    <w:rsid w:val="4B4136B7"/>
    <w:rsid w:val="4B456459"/>
    <w:rsid w:val="4B5C6BE0"/>
    <w:rsid w:val="4B707271"/>
    <w:rsid w:val="4B721531"/>
    <w:rsid w:val="4B852CC4"/>
    <w:rsid w:val="4B9739F7"/>
    <w:rsid w:val="4B9911E8"/>
    <w:rsid w:val="4BEE2503"/>
    <w:rsid w:val="4C134EA5"/>
    <w:rsid w:val="4C245A30"/>
    <w:rsid w:val="4C964049"/>
    <w:rsid w:val="4CB6685F"/>
    <w:rsid w:val="4CC367FE"/>
    <w:rsid w:val="4CE03BBE"/>
    <w:rsid w:val="4D077F3C"/>
    <w:rsid w:val="4D123355"/>
    <w:rsid w:val="4D2A3B31"/>
    <w:rsid w:val="4D312C52"/>
    <w:rsid w:val="4D363554"/>
    <w:rsid w:val="4D8F41D8"/>
    <w:rsid w:val="4D905305"/>
    <w:rsid w:val="4D964A72"/>
    <w:rsid w:val="4D9C1254"/>
    <w:rsid w:val="4DE54634"/>
    <w:rsid w:val="4DFE7535"/>
    <w:rsid w:val="4E6C5709"/>
    <w:rsid w:val="4E72304A"/>
    <w:rsid w:val="4E793892"/>
    <w:rsid w:val="4E800872"/>
    <w:rsid w:val="4E94015D"/>
    <w:rsid w:val="4EB370CB"/>
    <w:rsid w:val="4EC569ED"/>
    <w:rsid w:val="4ED50EA1"/>
    <w:rsid w:val="4EEC050C"/>
    <w:rsid w:val="4F104EC3"/>
    <w:rsid w:val="4F376B26"/>
    <w:rsid w:val="4F47354A"/>
    <w:rsid w:val="4F8B7ADC"/>
    <w:rsid w:val="4F911C54"/>
    <w:rsid w:val="4FCE4FD0"/>
    <w:rsid w:val="4FD53136"/>
    <w:rsid w:val="4FE625E0"/>
    <w:rsid w:val="50037267"/>
    <w:rsid w:val="501B67F5"/>
    <w:rsid w:val="5021480F"/>
    <w:rsid w:val="505205C4"/>
    <w:rsid w:val="50962ECB"/>
    <w:rsid w:val="50A42E38"/>
    <w:rsid w:val="50A4577F"/>
    <w:rsid w:val="50B73D1F"/>
    <w:rsid w:val="50BD5BC9"/>
    <w:rsid w:val="50C11EEE"/>
    <w:rsid w:val="50CB47D7"/>
    <w:rsid w:val="50D66C31"/>
    <w:rsid w:val="50E2040B"/>
    <w:rsid w:val="50E97CFC"/>
    <w:rsid w:val="50FA4028"/>
    <w:rsid w:val="510D65B7"/>
    <w:rsid w:val="511157AB"/>
    <w:rsid w:val="511C66F4"/>
    <w:rsid w:val="51333D03"/>
    <w:rsid w:val="5142540C"/>
    <w:rsid w:val="518832C8"/>
    <w:rsid w:val="519D31E6"/>
    <w:rsid w:val="51A0432A"/>
    <w:rsid w:val="51A86090"/>
    <w:rsid w:val="51B7396D"/>
    <w:rsid w:val="51B7477A"/>
    <w:rsid w:val="51F8550C"/>
    <w:rsid w:val="52010A9E"/>
    <w:rsid w:val="52170CBE"/>
    <w:rsid w:val="5220355B"/>
    <w:rsid w:val="522E4CC3"/>
    <w:rsid w:val="52320EAC"/>
    <w:rsid w:val="5244713B"/>
    <w:rsid w:val="52615633"/>
    <w:rsid w:val="52977FD4"/>
    <w:rsid w:val="529F1132"/>
    <w:rsid w:val="52A25790"/>
    <w:rsid w:val="52A96B6F"/>
    <w:rsid w:val="52B45975"/>
    <w:rsid w:val="52C00EF1"/>
    <w:rsid w:val="52CA3BE0"/>
    <w:rsid w:val="52D94AA4"/>
    <w:rsid w:val="52EA3A62"/>
    <w:rsid w:val="52F50BB8"/>
    <w:rsid w:val="53097272"/>
    <w:rsid w:val="535005D4"/>
    <w:rsid w:val="53544462"/>
    <w:rsid w:val="536A49D0"/>
    <w:rsid w:val="539262C5"/>
    <w:rsid w:val="5397158E"/>
    <w:rsid w:val="53A416DB"/>
    <w:rsid w:val="54013861"/>
    <w:rsid w:val="54487265"/>
    <w:rsid w:val="544D6070"/>
    <w:rsid w:val="54605E1E"/>
    <w:rsid w:val="5473672B"/>
    <w:rsid w:val="54B3506A"/>
    <w:rsid w:val="54B42E62"/>
    <w:rsid w:val="54CA0D16"/>
    <w:rsid w:val="54CB4559"/>
    <w:rsid w:val="54DD4057"/>
    <w:rsid w:val="54E7490F"/>
    <w:rsid w:val="550377CD"/>
    <w:rsid w:val="550764A4"/>
    <w:rsid w:val="550B2BF6"/>
    <w:rsid w:val="550F3998"/>
    <w:rsid w:val="55214EB5"/>
    <w:rsid w:val="552F69B4"/>
    <w:rsid w:val="55354CFB"/>
    <w:rsid w:val="55364EFD"/>
    <w:rsid w:val="555D4828"/>
    <w:rsid w:val="5562483A"/>
    <w:rsid w:val="55653950"/>
    <w:rsid w:val="557645ED"/>
    <w:rsid w:val="557A4C8B"/>
    <w:rsid w:val="558403B2"/>
    <w:rsid w:val="558931E1"/>
    <w:rsid w:val="55923347"/>
    <w:rsid w:val="55925180"/>
    <w:rsid w:val="55983B1B"/>
    <w:rsid w:val="55A014EF"/>
    <w:rsid w:val="55A01DB5"/>
    <w:rsid w:val="55A8376B"/>
    <w:rsid w:val="55DC29B6"/>
    <w:rsid w:val="55DD4241"/>
    <w:rsid w:val="55E136A5"/>
    <w:rsid w:val="5618423F"/>
    <w:rsid w:val="566B6D1E"/>
    <w:rsid w:val="56796849"/>
    <w:rsid w:val="567D7CFD"/>
    <w:rsid w:val="56A60C14"/>
    <w:rsid w:val="56A63783"/>
    <w:rsid w:val="56E31D66"/>
    <w:rsid w:val="56FC60D5"/>
    <w:rsid w:val="57032A2C"/>
    <w:rsid w:val="570F5219"/>
    <w:rsid w:val="57150236"/>
    <w:rsid w:val="571F7486"/>
    <w:rsid w:val="5741255F"/>
    <w:rsid w:val="575D12B5"/>
    <w:rsid w:val="57610A87"/>
    <w:rsid w:val="57745268"/>
    <w:rsid w:val="577B1140"/>
    <w:rsid w:val="577B7F21"/>
    <w:rsid w:val="577F181B"/>
    <w:rsid w:val="57921984"/>
    <w:rsid w:val="579737F0"/>
    <w:rsid w:val="579F789B"/>
    <w:rsid w:val="57AB7B30"/>
    <w:rsid w:val="57AF5251"/>
    <w:rsid w:val="57B26373"/>
    <w:rsid w:val="57B63F04"/>
    <w:rsid w:val="57CD20C2"/>
    <w:rsid w:val="57D03845"/>
    <w:rsid w:val="57D573DB"/>
    <w:rsid w:val="57D675AB"/>
    <w:rsid w:val="57D95FDD"/>
    <w:rsid w:val="57E5652D"/>
    <w:rsid w:val="57F85B5E"/>
    <w:rsid w:val="585B44F2"/>
    <w:rsid w:val="58917D2F"/>
    <w:rsid w:val="5894085C"/>
    <w:rsid w:val="58AE4F0C"/>
    <w:rsid w:val="58B85899"/>
    <w:rsid w:val="58C36E39"/>
    <w:rsid w:val="58D91717"/>
    <w:rsid w:val="58E363A9"/>
    <w:rsid w:val="59254A57"/>
    <w:rsid w:val="592E25D7"/>
    <w:rsid w:val="595277EA"/>
    <w:rsid w:val="595E1678"/>
    <w:rsid w:val="596A4811"/>
    <w:rsid w:val="596D5BD4"/>
    <w:rsid w:val="597E0ADA"/>
    <w:rsid w:val="597E3DD8"/>
    <w:rsid w:val="59C141BA"/>
    <w:rsid w:val="59C52C01"/>
    <w:rsid w:val="59DC694C"/>
    <w:rsid w:val="59F80043"/>
    <w:rsid w:val="5A09252F"/>
    <w:rsid w:val="5A0B2778"/>
    <w:rsid w:val="5A170A2A"/>
    <w:rsid w:val="5A2606E9"/>
    <w:rsid w:val="5A2A7C7B"/>
    <w:rsid w:val="5A3E2560"/>
    <w:rsid w:val="5A5D3B6E"/>
    <w:rsid w:val="5A637A76"/>
    <w:rsid w:val="5A6656E5"/>
    <w:rsid w:val="5A6A482A"/>
    <w:rsid w:val="5A6D33BA"/>
    <w:rsid w:val="5A753B98"/>
    <w:rsid w:val="5A792B1F"/>
    <w:rsid w:val="5A874767"/>
    <w:rsid w:val="5AAD6F28"/>
    <w:rsid w:val="5AD10710"/>
    <w:rsid w:val="5AD63A24"/>
    <w:rsid w:val="5B2E1A1D"/>
    <w:rsid w:val="5B413A7A"/>
    <w:rsid w:val="5B843A1C"/>
    <w:rsid w:val="5B873E3F"/>
    <w:rsid w:val="5BD164BB"/>
    <w:rsid w:val="5BD445A4"/>
    <w:rsid w:val="5C02690E"/>
    <w:rsid w:val="5C196DA7"/>
    <w:rsid w:val="5C220A3A"/>
    <w:rsid w:val="5C2A048C"/>
    <w:rsid w:val="5C355252"/>
    <w:rsid w:val="5C6C4CCA"/>
    <w:rsid w:val="5C6E0D96"/>
    <w:rsid w:val="5C80234E"/>
    <w:rsid w:val="5C8A680C"/>
    <w:rsid w:val="5C8B5AFD"/>
    <w:rsid w:val="5CA55DCD"/>
    <w:rsid w:val="5D0C4701"/>
    <w:rsid w:val="5D0F0395"/>
    <w:rsid w:val="5D221076"/>
    <w:rsid w:val="5D353B38"/>
    <w:rsid w:val="5D397964"/>
    <w:rsid w:val="5D491257"/>
    <w:rsid w:val="5D5A391C"/>
    <w:rsid w:val="5D5F10C0"/>
    <w:rsid w:val="5D891B7B"/>
    <w:rsid w:val="5D8B7162"/>
    <w:rsid w:val="5DA94ECA"/>
    <w:rsid w:val="5DAD38EE"/>
    <w:rsid w:val="5E006862"/>
    <w:rsid w:val="5E0207B9"/>
    <w:rsid w:val="5E13292D"/>
    <w:rsid w:val="5E1834A1"/>
    <w:rsid w:val="5E1E4087"/>
    <w:rsid w:val="5E261785"/>
    <w:rsid w:val="5E423E1E"/>
    <w:rsid w:val="5E4A7017"/>
    <w:rsid w:val="5E552BBA"/>
    <w:rsid w:val="5E611C10"/>
    <w:rsid w:val="5EB84A02"/>
    <w:rsid w:val="5ED7545C"/>
    <w:rsid w:val="5EFC7377"/>
    <w:rsid w:val="5F06174D"/>
    <w:rsid w:val="5F071B9D"/>
    <w:rsid w:val="5F13300F"/>
    <w:rsid w:val="5F3A3602"/>
    <w:rsid w:val="5F4B53D7"/>
    <w:rsid w:val="5F57701B"/>
    <w:rsid w:val="5F5F1052"/>
    <w:rsid w:val="5F6277C6"/>
    <w:rsid w:val="5F660ABA"/>
    <w:rsid w:val="5F6D0B1D"/>
    <w:rsid w:val="5F8D0B82"/>
    <w:rsid w:val="5FC3334C"/>
    <w:rsid w:val="5FCC5339"/>
    <w:rsid w:val="5FE078E0"/>
    <w:rsid w:val="5FE34A5B"/>
    <w:rsid w:val="5FFE1E36"/>
    <w:rsid w:val="60232584"/>
    <w:rsid w:val="60326087"/>
    <w:rsid w:val="603E64A5"/>
    <w:rsid w:val="60576DBD"/>
    <w:rsid w:val="60674F9A"/>
    <w:rsid w:val="607330CE"/>
    <w:rsid w:val="607A419E"/>
    <w:rsid w:val="608027CF"/>
    <w:rsid w:val="60820DBC"/>
    <w:rsid w:val="60825176"/>
    <w:rsid w:val="609C0BE0"/>
    <w:rsid w:val="609F2AC4"/>
    <w:rsid w:val="60B65B72"/>
    <w:rsid w:val="60FA2EE8"/>
    <w:rsid w:val="60FE42AA"/>
    <w:rsid w:val="61054A27"/>
    <w:rsid w:val="610A52BC"/>
    <w:rsid w:val="611D2366"/>
    <w:rsid w:val="61421856"/>
    <w:rsid w:val="614E5DAA"/>
    <w:rsid w:val="615227C4"/>
    <w:rsid w:val="61562109"/>
    <w:rsid w:val="61646F94"/>
    <w:rsid w:val="61654E3F"/>
    <w:rsid w:val="61663732"/>
    <w:rsid w:val="6182292A"/>
    <w:rsid w:val="619117A1"/>
    <w:rsid w:val="61937B14"/>
    <w:rsid w:val="619F7F92"/>
    <w:rsid w:val="61A30FEA"/>
    <w:rsid w:val="61F94C26"/>
    <w:rsid w:val="62000E56"/>
    <w:rsid w:val="62227AC4"/>
    <w:rsid w:val="6235536F"/>
    <w:rsid w:val="624F3E49"/>
    <w:rsid w:val="62632286"/>
    <w:rsid w:val="62716C4E"/>
    <w:rsid w:val="62851EC8"/>
    <w:rsid w:val="62885958"/>
    <w:rsid w:val="62D83031"/>
    <w:rsid w:val="62F40B65"/>
    <w:rsid w:val="62FC2CFE"/>
    <w:rsid w:val="63024505"/>
    <w:rsid w:val="63133CBC"/>
    <w:rsid w:val="633F0CD0"/>
    <w:rsid w:val="635B1DB5"/>
    <w:rsid w:val="63711FED"/>
    <w:rsid w:val="63880DDC"/>
    <w:rsid w:val="638D750D"/>
    <w:rsid w:val="63AC6CC0"/>
    <w:rsid w:val="63D45E62"/>
    <w:rsid w:val="64055776"/>
    <w:rsid w:val="64240056"/>
    <w:rsid w:val="643E143A"/>
    <w:rsid w:val="64523490"/>
    <w:rsid w:val="64525048"/>
    <w:rsid w:val="645A7CF9"/>
    <w:rsid w:val="648B6EEF"/>
    <w:rsid w:val="64C158BF"/>
    <w:rsid w:val="64CE2EAA"/>
    <w:rsid w:val="64CF06AB"/>
    <w:rsid w:val="64E61C88"/>
    <w:rsid w:val="653C3090"/>
    <w:rsid w:val="65421E67"/>
    <w:rsid w:val="654900FB"/>
    <w:rsid w:val="654B52DC"/>
    <w:rsid w:val="6583677A"/>
    <w:rsid w:val="65854376"/>
    <w:rsid w:val="658767BE"/>
    <w:rsid w:val="65892531"/>
    <w:rsid w:val="65A36C7B"/>
    <w:rsid w:val="65AB6C70"/>
    <w:rsid w:val="65D04673"/>
    <w:rsid w:val="65E25E59"/>
    <w:rsid w:val="65F8345E"/>
    <w:rsid w:val="6602511D"/>
    <w:rsid w:val="66195831"/>
    <w:rsid w:val="662E75B1"/>
    <w:rsid w:val="66342C2E"/>
    <w:rsid w:val="663E784C"/>
    <w:rsid w:val="665B62E7"/>
    <w:rsid w:val="668B6A45"/>
    <w:rsid w:val="669F7E18"/>
    <w:rsid w:val="66A54239"/>
    <w:rsid w:val="66B01071"/>
    <w:rsid w:val="66BF7F84"/>
    <w:rsid w:val="66D95049"/>
    <w:rsid w:val="66DC49FB"/>
    <w:rsid w:val="67272539"/>
    <w:rsid w:val="672F3F24"/>
    <w:rsid w:val="673E055F"/>
    <w:rsid w:val="67551CE3"/>
    <w:rsid w:val="6772060E"/>
    <w:rsid w:val="67A22552"/>
    <w:rsid w:val="67B22DCC"/>
    <w:rsid w:val="67B67C39"/>
    <w:rsid w:val="67BE71AA"/>
    <w:rsid w:val="67D16BCF"/>
    <w:rsid w:val="67D40535"/>
    <w:rsid w:val="67D90273"/>
    <w:rsid w:val="67D96698"/>
    <w:rsid w:val="67DE5875"/>
    <w:rsid w:val="67E55852"/>
    <w:rsid w:val="67EB1AB4"/>
    <w:rsid w:val="67FA1285"/>
    <w:rsid w:val="68263E9E"/>
    <w:rsid w:val="68464DC5"/>
    <w:rsid w:val="68551F4F"/>
    <w:rsid w:val="6869514A"/>
    <w:rsid w:val="687C10C9"/>
    <w:rsid w:val="68840C16"/>
    <w:rsid w:val="688549D0"/>
    <w:rsid w:val="68876EFB"/>
    <w:rsid w:val="68884654"/>
    <w:rsid w:val="68895855"/>
    <w:rsid w:val="689F444F"/>
    <w:rsid w:val="68A20B90"/>
    <w:rsid w:val="68B96DBB"/>
    <w:rsid w:val="68CA2805"/>
    <w:rsid w:val="68D321AA"/>
    <w:rsid w:val="68E937A3"/>
    <w:rsid w:val="691B0869"/>
    <w:rsid w:val="693E15D3"/>
    <w:rsid w:val="69627681"/>
    <w:rsid w:val="696F140C"/>
    <w:rsid w:val="6977531D"/>
    <w:rsid w:val="69CC2BFF"/>
    <w:rsid w:val="69D976BF"/>
    <w:rsid w:val="69ED641D"/>
    <w:rsid w:val="69FD55B8"/>
    <w:rsid w:val="6A0B1C62"/>
    <w:rsid w:val="6A206786"/>
    <w:rsid w:val="6A21712D"/>
    <w:rsid w:val="6A2406C8"/>
    <w:rsid w:val="6A42336B"/>
    <w:rsid w:val="6A4A0458"/>
    <w:rsid w:val="6A7D274A"/>
    <w:rsid w:val="6AB00311"/>
    <w:rsid w:val="6AD846D7"/>
    <w:rsid w:val="6ADC381B"/>
    <w:rsid w:val="6ADE0BD1"/>
    <w:rsid w:val="6AE96859"/>
    <w:rsid w:val="6B147746"/>
    <w:rsid w:val="6B1C0AB8"/>
    <w:rsid w:val="6B2460A8"/>
    <w:rsid w:val="6B24787C"/>
    <w:rsid w:val="6B573233"/>
    <w:rsid w:val="6B5B6274"/>
    <w:rsid w:val="6B6001CE"/>
    <w:rsid w:val="6B6E4E2E"/>
    <w:rsid w:val="6B935D53"/>
    <w:rsid w:val="6BAD2F42"/>
    <w:rsid w:val="6BBF0A8F"/>
    <w:rsid w:val="6BBF5E5E"/>
    <w:rsid w:val="6BD86FC5"/>
    <w:rsid w:val="6BDD2706"/>
    <w:rsid w:val="6BFD39ED"/>
    <w:rsid w:val="6C07131A"/>
    <w:rsid w:val="6C196F71"/>
    <w:rsid w:val="6C226FCB"/>
    <w:rsid w:val="6C31226F"/>
    <w:rsid w:val="6C552F0B"/>
    <w:rsid w:val="6C7A3314"/>
    <w:rsid w:val="6C8C67B7"/>
    <w:rsid w:val="6C9D166B"/>
    <w:rsid w:val="6C9D744C"/>
    <w:rsid w:val="6CD91762"/>
    <w:rsid w:val="6CFA6D0C"/>
    <w:rsid w:val="6D167928"/>
    <w:rsid w:val="6D26299B"/>
    <w:rsid w:val="6D2F659C"/>
    <w:rsid w:val="6D4772EC"/>
    <w:rsid w:val="6D604233"/>
    <w:rsid w:val="6D8141C3"/>
    <w:rsid w:val="6D90672C"/>
    <w:rsid w:val="6D9078AF"/>
    <w:rsid w:val="6D9E2FAE"/>
    <w:rsid w:val="6DAA3FEF"/>
    <w:rsid w:val="6DB91EF9"/>
    <w:rsid w:val="6DC0172B"/>
    <w:rsid w:val="6DCB690C"/>
    <w:rsid w:val="6DD41A5B"/>
    <w:rsid w:val="6DF43C2E"/>
    <w:rsid w:val="6DF51CA3"/>
    <w:rsid w:val="6E24348E"/>
    <w:rsid w:val="6E25722B"/>
    <w:rsid w:val="6E4E6782"/>
    <w:rsid w:val="6E692757"/>
    <w:rsid w:val="6E6E43D9"/>
    <w:rsid w:val="6E8335BD"/>
    <w:rsid w:val="6E8E12EF"/>
    <w:rsid w:val="6E972936"/>
    <w:rsid w:val="6ED446C5"/>
    <w:rsid w:val="6F046601"/>
    <w:rsid w:val="6F2A7D94"/>
    <w:rsid w:val="6F4B2014"/>
    <w:rsid w:val="6F59792B"/>
    <w:rsid w:val="6F6963A5"/>
    <w:rsid w:val="6F8331F1"/>
    <w:rsid w:val="6FAE1A09"/>
    <w:rsid w:val="6FB302B1"/>
    <w:rsid w:val="6FD75BF8"/>
    <w:rsid w:val="6FE72DDB"/>
    <w:rsid w:val="7015480C"/>
    <w:rsid w:val="701A2DBF"/>
    <w:rsid w:val="707723D0"/>
    <w:rsid w:val="70F5661B"/>
    <w:rsid w:val="70FA031E"/>
    <w:rsid w:val="71283699"/>
    <w:rsid w:val="71345422"/>
    <w:rsid w:val="71360107"/>
    <w:rsid w:val="713B688E"/>
    <w:rsid w:val="7170522D"/>
    <w:rsid w:val="71805602"/>
    <w:rsid w:val="71BD31F7"/>
    <w:rsid w:val="71D43752"/>
    <w:rsid w:val="71EE501B"/>
    <w:rsid w:val="71F1796A"/>
    <w:rsid w:val="72154626"/>
    <w:rsid w:val="72262B5D"/>
    <w:rsid w:val="72283FF7"/>
    <w:rsid w:val="722E7212"/>
    <w:rsid w:val="723A0474"/>
    <w:rsid w:val="723F6B0D"/>
    <w:rsid w:val="725923E4"/>
    <w:rsid w:val="72864BF7"/>
    <w:rsid w:val="729023FC"/>
    <w:rsid w:val="72A423C8"/>
    <w:rsid w:val="72AD22E1"/>
    <w:rsid w:val="72B372E1"/>
    <w:rsid w:val="72FF762F"/>
    <w:rsid w:val="731742D0"/>
    <w:rsid w:val="733A0FB4"/>
    <w:rsid w:val="73472C17"/>
    <w:rsid w:val="73C0646E"/>
    <w:rsid w:val="73E059CF"/>
    <w:rsid w:val="73E060CE"/>
    <w:rsid w:val="73F222E5"/>
    <w:rsid w:val="742222F5"/>
    <w:rsid w:val="74476126"/>
    <w:rsid w:val="746066F5"/>
    <w:rsid w:val="74633091"/>
    <w:rsid w:val="74706664"/>
    <w:rsid w:val="747F3682"/>
    <w:rsid w:val="749C4185"/>
    <w:rsid w:val="75067759"/>
    <w:rsid w:val="752E6DCD"/>
    <w:rsid w:val="75374EE7"/>
    <w:rsid w:val="7551380D"/>
    <w:rsid w:val="75565028"/>
    <w:rsid w:val="75600BE5"/>
    <w:rsid w:val="7564475C"/>
    <w:rsid w:val="756615CF"/>
    <w:rsid w:val="7583797F"/>
    <w:rsid w:val="758E3908"/>
    <w:rsid w:val="75AF25A8"/>
    <w:rsid w:val="75CF75AB"/>
    <w:rsid w:val="75D20F1D"/>
    <w:rsid w:val="75DA2C18"/>
    <w:rsid w:val="75E713C0"/>
    <w:rsid w:val="75EE03DC"/>
    <w:rsid w:val="75F54412"/>
    <w:rsid w:val="75FD084B"/>
    <w:rsid w:val="761D08E0"/>
    <w:rsid w:val="76357D00"/>
    <w:rsid w:val="765D347C"/>
    <w:rsid w:val="76787555"/>
    <w:rsid w:val="76826699"/>
    <w:rsid w:val="76C87133"/>
    <w:rsid w:val="76CD08D5"/>
    <w:rsid w:val="76D127D4"/>
    <w:rsid w:val="76DB4B92"/>
    <w:rsid w:val="77017403"/>
    <w:rsid w:val="77052AA4"/>
    <w:rsid w:val="77136511"/>
    <w:rsid w:val="77340A39"/>
    <w:rsid w:val="77351FD0"/>
    <w:rsid w:val="77472422"/>
    <w:rsid w:val="77533854"/>
    <w:rsid w:val="77790C2D"/>
    <w:rsid w:val="777F31F2"/>
    <w:rsid w:val="77930DBD"/>
    <w:rsid w:val="77D1700D"/>
    <w:rsid w:val="77DB48EE"/>
    <w:rsid w:val="77EC04CC"/>
    <w:rsid w:val="77EF5AEB"/>
    <w:rsid w:val="77F83E94"/>
    <w:rsid w:val="78006D3F"/>
    <w:rsid w:val="781A1DFC"/>
    <w:rsid w:val="787521F4"/>
    <w:rsid w:val="78775729"/>
    <w:rsid w:val="78A42DB0"/>
    <w:rsid w:val="78A656AB"/>
    <w:rsid w:val="78B2245C"/>
    <w:rsid w:val="78E172CC"/>
    <w:rsid w:val="78EA1D1F"/>
    <w:rsid w:val="78F93394"/>
    <w:rsid w:val="78FD6DDA"/>
    <w:rsid w:val="7904172F"/>
    <w:rsid w:val="790F7E27"/>
    <w:rsid w:val="792A231A"/>
    <w:rsid w:val="79316829"/>
    <w:rsid w:val="796717C9"/>
    <w:rsid w:val="79715C01"/>
    <w:rsid w:val="797E66A9"/>
    <w:rsid w:val="79A97383"/>
    <w:rsid w:val="79D21CD2"/>
    <w:rsid w:val="79D242B3"/>
    <w:rsid w:val="79DD2640"/>
    <w:rsid w:val="79E27E8B"/>
    <w:rsid w:val="79F850CE"/>
    <w:rsid w:val="79FD443C"/>
    <w:rsid w:val="7A0E370F"/>
    <w:rsid w:val="7A1D1975"/>
    <w:rsid w:val="7A3C6C9B"/>
    <w:rsid w:val="7A3E5150"/>
    <w:rsid w:val="7A4670D6"/>
    <w:rsid w:val="7A4C24CB"/>
    <w:rsid w:val="7A4F2AA8"/>
    <w:rsid w:val="7A534B63"/>
    <w:rsid w:val="7A615382"/>
    <w:rsid w:val="7A67303B"/>
    <w:rsid w:val="7AAB1D04"/>
    <w:rsid w:val="7ABA4368"/>
    <w:rsid w:val="7AD05746"/>
    <w:rsid w:val="7B113533"/>
    <w:rsid w:val="7B257FFD"/>
    <w:rsid w:val="7B343476"/>
    <w:rsid w:val="7B3A5073"/>
    <w:rsid w:val="7B3F7158"/>
    <w:rsid w:val="7B5A2978"/>
    <w:rsid w:val="7B5A7E4C"/>
    <w:rsid w:val="7B667AF9"/>
    <w:rsid w:val="7B7468F8"/>
    <w:rsid w:val="7BB3231A"/>
    <w:rsid w:val="7BB6739F"/>
    <w:rsid w:val="7BEE0103"/>
    <w:rsid w:val="7C0A0FE4"/>
    <w:rsid w:val="7C254906"/>
    <w:rsid w:val="7C590818"/>
    <w:rsid w:val="7C7037C2"/>
    <w:rsid w:val="7C764345"/>
    <w:rsid w:val="7C7C10F6"/>
    <w:rsid w:val="7C853BEA"/>
    <w:rsid w:val="7C881368"/>
    <w:rsid w:val="7CE27788"/>
    <w:rsid w:val="7CE56A95"/>
    <w:rsid w:val="7D0C32F1"/>
    <w:rsid w:val="7D0F408D"/>
    <w:rsid w:val="7D491C6C"/>
    <w:rsid w:val="7D5429C0"/>
    <w:rsid w:val="7D6E6D43"/>
    <w:rsid w:val="7D8B2C3C"/>
    <w:rsid w:val="7DAC3CA8"/>
    <w:rsid w:val="7DB57A34"/>
    <w:rsid w:val="7DD2306B"/>
    <w:rsid w:val="7DD77101"/>
    <w:rsid w:val="7DE60973"/>
    <w:rsid w:val="7DE75AA1"/>
    <w:rsid w:val="7DEE13E8"/>
    <w:rsid w:val="7DEE5506"/>
    <w:rsid w:val="7DEF0916"/>
    <w:rsid w:val="7E0368A3"/>
    <w:rsid w:val="7E1E5218"/>
    <w:rsid w:val="7E3E195D"/>
    <w:rsid w:val="7E6B60AA"/>
    <w:rsid w:val="7E9A4E1F"/>
    <w:rsid w:val="7EA7723A"/>
    <w:rsid w:val="7EF56FBB"/>
    <w:rsid w:val="7EFA002D"/>
    <w:rsid w:val="7F0768EB"/>
    <w:rsid w:val="7F143BEC"/>
    <w:rsid w:val="7F1A7159"/>
    <w:rsid w:val="7F715AF2"/>
    <w:rsid w:val="7F886E69"/>
    <w:rsid w:val="7F8F7E3F"/>
    <w:rsid w:val="7F977A1B"/>
    <w:rsid w:val="7FF87E3A"/>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unhideWhenUsed/>
    <w:qFormat/>
    <w:uiPriority w:val="1"/>
  </w:style>
  <w:style w:type="table" w:default="1" w:styleId="62">
    <w:name w:val="Normal Table"/>
    <w:autoRedefine/>
    <w:unhideWhenUsed/>
    <w:qFormat/>
    <w:uiPriority w:val="99"/>
    <w:tblPr>
      <w:tblCellMar>
        <w:top w:w="0" w:type="dxa"/>
        <w:left w:w="108" w:type="dxa"/>
        <w:bottom w:w="0" w:type="dxa"/>
        <w:right w:w="108" w:type="dxa"/>
      </w:tblCellMar>
    </w:tblPr>
  </w:style>
  <w:style w:type="paragraph" w:styleId="2">
    <w:name w:val="Body Text First Indent"/>
    <w:basedOn w:val="3"/>
    <w:link w:val="322"/>
    <w:autoRedefine/>
    <w:qFormat/>
    <w:uiPriority w:val="0"/>
    <w:pPr>
      <w:ind w:firstLine="420"/>
    </w:pPr>
    <w:rPr>
      <w:rFonts w:hAnsi="Calibri"/>
      <w:szCs w:val="20"/>
    </w:rPr>
  </w:style>
  <w:style w:type="paragraph" w:styleId="3">
    <w:name w:val="Body Text"/>
    <w:basedOn w:val="1"/>
    <w:next w:val="2"/>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30"/>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3"/>
    <w:autoRedefine/>
    <w:qFormat/>
    <w:uiPriority w:val="0"/>
    <w:pPr>
      <w:shd w:val="clear" w:color="auto" w:fill="000080"/>
    </w:pPr>
  </w:style>
  <w:style w:type="paragraph" w:styleId="21">
    <w:name w:val="annotation text"/>
    <w:basedOn w:val="1"/>
    <w:link w:val="345"/>
    <w:autoRedefine/>
    <w:qFormat/>
    <w:uiPriority w:val="99"/>
    <w:pPr>
      <w:jc w:val="left"/>
    </w:pPr>
  </w:style>
  <w:style w:type="paragraph" w:styleId="22">
    <w:name w:val="Salutation"/>
    <w:basedOn w:val="1"/>
    <w:next w:val="1"/>
    <w:link w:val="299"/>
    <w:autoRedefine/>
    <w:qFormat/>
    <w:uiPriority w:val="0"/>
    <w:rPr>
      <w:rFonts w:ascii="仿宋_GB2312" w:eastAsia="仿宋_GB2312"/>
      <w:sz w:val="28"/>
      <w:szCs w:val="20"/>
    </w:rPr>
  </w:style>
  <w:style w:type="paragraph" w:styleId="23">
    <w:name w:val="Body Text 3"/>
    <w:basedOn w:val="1"/>
    <w:link w:val="331"/>
    <w:autoRedefine/>
    <w:qFormat/>
    <w:uiPriority w:val="0"/>
    <w:pPr>
      <w:jc w:val="center"/>
    </w:pPr>
    <w:rPr>
      <w:szCs w:val="20"/>
    </w:rPr>
  </w:style>
  <w:style w:type="paragraph" w:styleId="24">
    <w:name w:val="List Bullet 3"/>
    <w:basedOn w:val="1"/>
    <w:autoRedefine/>
    <w:unhideWhenUsed/>
    <w:qFormat/>
    <w:uiPriority w:val="0"/>
    <w:pPr>
      <w:snapToGrid w:val="0"/>
      <w:spacing w:line="360" w:lineRule="auto"/>
      <w:ind w:left="360" w:right="238" w:hanging="360"/>
      <w:contextualSpacing/>
    </w:pPr>
    <w:rPr>
      <w:sz w:val="24"/>
    </w:rPr>
  </w:style>
  <w:style w:type="paragraph" w:styleId="25">
    <w:name w:val="Body Text Indent"/>
    <w:basedOn w:val="1"/>
    <w:next w:val="17"/>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3"/>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39"/>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7"/>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7"/>
    <w:autoRedefine/>
    <w:qFormat/>
    <w:uiPriority w:val="0"/>
    <w:rPr>
      <w:b/>
      <w:bCs/>
    </w:rPr>
  </w:style>
  <w:style w:type="paragraph" w:styleId="61">
    <w:name w:val="Body Text First Indent 2"/>
    <w:basedOn w:val="25"/>
    <w:link w:val="122"/>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basedOn w:val="69"/>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空2字"/>
    <w:basedOn w:val="80"/>
    <w:autoRedefine/>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autoRedefine/>
    <w:qFormat/>
    <w:uiPriority w:val="99"/>
    <w:rPr>
      <w:rFonts w:ascii="Calibri" w:hAnsi="Calibri" w:eastAsia="仿宋_GB2312" w:cs="Calibri"/>
      <w:kern w:val="2"/>
      <w:sz w:val="32"/>
      <w:szCs w:val="32"/>
      <w:lang w:val="en-US" w:eastAsia="zh-CN" w:bidi="ar-SA"/>
    </w:rPr>
  </w:style>
  <w:style w:type="paragraph" w:customStyle="1" w:styleId="81">
    <w:name w:val="[Normal]"/>
    <w:autoRedefine/>
    <w:qFormat/>
    <w:uiPriority w:val="0"/>
    <w:rPr>
      <w:rFonts w:ascii="宋体" w:hAnsi="宋体" w:eastAsia="宋体" w:cs="Times New Roman"/>
      <w:sz w:val="24"/>
      <w:szCs w:val="22"/>
      <w:lang w:val="zh-CN" w:eastAsia="zh-CN" w:bidi="ar-SA"/>
    </w:rPr>
  </w:style>
  <w:style w:type="paragraph" w:customStyle="1" w:styleId="8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locked/>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semiHidden/>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字符"/>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
    <w:autoRedefine/>
    <w:qFormat/>
    <w:locked/>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字符"/>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semiHidden/>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locked/>
    <w:uiPriority w:val="0"/>
    <w:rPr>
      <w:rFonts w:eastAsia="宋体"/>
      <w:kern w:val="2"/>
      <w:sz w:val="21"/>
      <w:szCs w:val="24"/>
      <w:lang w:val="en-US" w:eastAsia="zh-CN" w:bidi="ar-SA"/>
    </w:rPr>
  </w:style>
  <w:style w:type="character" w:customStyle="1" w:styleId="147">
    <w:name w:val="font41"/>
    <w:basedOn w:val="69"/>
    <w:autoRedefine/>
    <w:qFormat/>
    <w:uiPriority w:val="0"/>
    <w:rPr>
      <w:rFonts w:hint="eastAsia" w:ascii="仿宋_GB2312" w:eastAsia="仿宋_GB2312" w:cs="仿宋_GB2312"/>
      <w:color w:val="000000"/>
      <w:sz w:val="22"/>
      <w:szCs w:val="22"/>
      <w:u w:val="none"/>
    </w:rPr>
  </w:style>
  <w:style w:type="character" w:customStyle="1" w:styleId="148">
    <w:name w:val="标题 6 字符"/>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locked/>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locked/>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5"/>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semiHidden/>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semiHidden/>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字符"/>
    <w:link w:val="36"/>
    <w:autoRedefine/>
    <w:qFormat/>
    <w:uiPriority w:val="0"/>
    <w:rPr>
      <w:rFonts w:ascii="宋体"/>
      <w:kern w:val="2"/>
      <w:sz w:val="24"/>
      <w:szCs w:val="21"/>
      <w:lang w:val="zh-CN"/>
    </w:rPr>
  </w:style>
  <w:style w:type="character" w:customStyle="1" w:styleId="183">
    <w:name w:val="标题 9 字符"/>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semiHidden/>
    <w:qFormat/>
    <w:uiPriority w:val="99"/>
    <w:rPr>
      <w:rFonts w:ascii="Times New Roman" w:hAnsi="Times New Roman" w:eastAsia="宋体" w:cs="Times New Roman"/>
      <w:szCs w:val="24"/>
    </w:rPr>
  </w:style>
  <w:style w:type="character" w:customStyle="1" w:styleId="189">
    <w:name w:val="批注框文本 字符1"/>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locked/>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7"/>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字符"/>
    <w:link w:val="20"/>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semiHidden/>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字符"/>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autoRedefine/>
    <w:qFormat/>
    <w:locked/>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字符"/>
    <w:link w:val="18"/>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236"/>
    <w:autoRedefine/>
    <w:qFormat/>
    <w:uiPriority w:val="0"/>
    <w:rPr>
      <w:rFonts w:ascii="仿宋_GB2312" w:eastAsia="仿宋_GB2312" w:cs="仿宋_GB2312"/>
      <w:color w:val="000000"/>
      <w:sz w:val="24"/>
      <w:szCs w:val="24"/>
      <w:lang w:val="en-US" w:eastAsia="zh-CN" w:bidi="ar-SA"/>
    </w:rPr>
  </w:style>
  <w:style w:type="paragraph" w:customStyle="1" w:styleId="236">
    <w:name w:val="Default"/>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semiHidden/>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locked/>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semiHidden/>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
    <w:autoRedefine/>
    <w:qFormat/>
    <w:locked/>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4"/>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59"/>
    <w:autoRedefine/>
    <w:qFormat/>
    <w:uiPriority w:val="10"/>
    <w:rPr>
      <w:b/>
      <w:sz w:val="24"/>
      <w:lang w:val="en-GB"/>
    </w:rPr>
  </w:style>
  <w:style w:type="character" w:customStyle="1" w:styleId="288">
    <w:name w:val="font81"/>
    <w:basedOn w:val="69"/>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2"/>
    <w:autoRedefine/>
    <w:qFormat/>
    <w:uiPriority w:val="0"/>
    <w:rPr>
      <w:rFonts w:ascii="仿宋_GB2312" w:eastAsia="仿宋_GB2312"/>
      <w:kern w:val="2"/>
      <w:sz w:val="28"/>
    </w:rPr>
  </w:style>
  <w:style w:type="character" w:customStyle="1" w:styleId="300">
    <w:name w:val="文本正文 Char Char"/>
    <w:autoRedefine/>
    <w:qFormat/>
    <w:locked/>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7"/>
    <w:autoRedefine/>
    <w:qFormat/>
    <w:uiPriority w:val="0"/>
    <w:rPr>
      <w:rFonts w:ascii="黑体" w:hAnsi="Courier New" w:eastAsia="黑体"/>
    </w:rPr>
  </w:style>
  <w:style w:type="character" w:customStyle="1" w:styleId="303">
    <w:name w:val="正文文本 2 字符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3"/>
    <w:autoRedefine/>
    <w:qFormat/>
    <w:uiPriority w:val="0"/>
    <w:rPr>
      <w:kern w:val="2"/>
      <w:sz w:val="21"/>
    </w:rPr>
  </w:style>
  <w:style w:type="character" w:customStyle="1" w:styleId="332">
    <w:name w:val="font31"/>
    <w:basedOn w:val="69"/>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1"/>
    <w:autoRedefine/>
    <w:qFormat/>
    <w:uiPriority w:val="0"/>
    <w:rPr>
      <w:kern w:val="2"/>
      <w:sz w:val="21"/>
      <w:szCs w:val="24"/>
    </w:rPr>
  </w:style>
  <w:style w:type="character" w:customStyle="1" w:styleId="346">
    <w:name w:val="签名 字符"/>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semiHidden/>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basedOn w:val="69"/>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3"/>
    <w:autoRedefine/>
    <w:qFormat/>
    <w:uiPriority w:val="0"/>
    <w:rPr>
      <w:kern w:val="2"/>
      <w:sz w:val="24"/>
    </w:rPr>
  </w:style>
  <w:style w:type="character" w:customStyle="1" w:styleId="377">
    <w:name w:val="日期 Char1"/>
    <w:autoRedefine/>
    <w:semiHidden/>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locked/>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69"/>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17"/>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69"/>
    <w:autoRedefine/>
    <w:qFormat/>
    <w:uiPriority w:val="0"/>
    <w:rPr>
      <w:rFonts w:ascii="Arial" w:hAnsi="Arial" w:eastAsia="黑体" w:cs="Arial"/>
      <w:snapToGrid w:val="0"/>
      <w:kern w:val="0"/>
      <w:szCs w:val="21"/>
    </w:rPr>
  </w:style>
  <w:style w:type="character" w:customStyle="1" w:styleId="433">
    <w:name w:val="hui"/>
    <w:basedOn w:val="69"/>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440"/>
    <w:next w:val="440"/>
    <w:autoRedefine/>
    <w:qFormat/>
    <w:uiPriority w:val="0"/>
    <w:pPr>
      <w:autoSpaceDE w:val="0"/>
      <w:autoSpaceDN w:val="0"/>
      <w:spacing w:before="566" w:after="544" w:line="566" w:lineRule="atLeast"/>
      <w:ind w:firstLine="419" w:firstLineChars="200"/>
    </w:pPr>
    <w:rPr>
      <w:rFonts w:ascii="Arial" w:hAnsi="Arial"/>
      <w:color w:val="000000"/>
      <w:spacing w:val="565"/>
      <w:kern w:val="0"/>
      <w:sz w:val="54"/>
      <w:szCs w:val="54"/>
    </w:rPr>
  </w:style>
  <w:style w:type="paragraph" w:customStyle="1" w:styleId="440">
    <w:name w:val="第一部分"/>
    <w:basedOn w:val="1"/>
    <w:autoRedefine/>
    <w:qFormat/>
    <w:uiPriority w:val="0"/>
    <w:pPr>
      <w:jc w:val="center"/>
    </w:pPr>
    <w:rPr>
      <w:b/>
      <w:sz w:val="36"/>
    </w:rPr>
  </w:style>
  <w:style w:type="paragraph" w:customStyle="1" w:styleId="44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autoRedefine/>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autoRedefine/>
    <w:qFormat/>
    <w:uiPriority w:val="0"/>
    <w:pPr>
      <w:spacing w:before="120" w:line="360" w:lineRule="auto"/>
      <w:ind w:firstLine="567"/>
    </w:pPr>
    <w:rPr>
      <w:rFonts w:ascii="Arial" w:hAnsi="Arial"/>
      <w:sz w:val="20"/>
      <w:szCs w:val="20"/>
    </w:rPr>
  </w:style>
  <w:style w:type="paragraph" w:customStyle="1" w:styleId="44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autoRedefine/>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autoRedefine/>
    <w:qFormat/>
    <w:uiPriority w:val="0"/>
    <w:pPr>
      <w:adjustRightInd/>
      <w:ind w:firstLine="200" w:firstLineChars="200"/>
    </w:pPr>
    <w:rPr>
      <w:rFonts w:ascii="Tahoma" w:hAnsi="Tahoma"/>
      <w:sz w:val="24"/>
      <w:szCs w:val="20"/>
    </w:rPr>
  </w:style>
  <w:style w:type="paragraph" w:customStyle="1" w:styleId="455">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autoRedefine/>
    <w:qFormat/>
    <w:uiPriority w:val="0"/>
    <w:pPr>
      <w:tabs>
        <w:tab w:val="left" w:pos="360"/>
      </w:tabs>
    </w:pPr>
    <w:rPr>
      <w:sz w:val="24"/>
      <w:szCs w:val="20"/>
    </w:rPr>
  </w:style>
  <w:style w:type="paragraph" w:customStyle="1" w:styleId="458">
    <w:name w:val="Char Char11 Char Char Char"/>
    <w:basedOn w:val="1"/>
    <w:autoRedefine/>
    <w:qFormat/>
    <w:uiPriority w:val="0"/>
    <w:pPr>
      <w:spacing w:line="360" w:lineRule="auto"/>
    </w:pPr>
    <w:rPr>
      <w:szCs w:val="20"/>
    </w:rPr>
  </w:style>
  <w:style w:type="paragraph" w:customStyle="1" w:styleId="459">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autoRedefine/>
    <w:qFormat/>
    <w:uiPriority w:val="0"/>
    <w:pPr>
      <w:tabs>
        <w:tab w:val="left" w:pos="2790"/>
        <w:tab w:val="left" w:pos="4230"/>
      </w:tabs>
      <w:spacing w:before="312" w:beforeLines="100"/>
      <w:jc w:val="left"/>
    </w:pPr>
  </w:style>
  <w:style w:type="paragraph" w:customStyle="1" w:styleId="462">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autoRedefine/>
    <w:qFormat/>
    <w:uiPriority w:val="0"/>
    <w:pPr>
      <w:tabs>
        <w:tab w:val="left" w:pos="840"/>
      </w:tabs>
      <w:ind w:left="840" w:hanging="420"/>
    </w:pPr>
    <w:rPr>
      <w:rFonts w:ascii="Tahoma" w:hAnsi="Tahoma"/>
      <w:sz w:val="24"/>
    </w:rPr>
  </w:style>
  <w:style w:type="paragraph" w:customStyle="1" w:styleId="464">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5"/>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autoRedefine/>
    <w:qFormat/>
    <w:uiPriority w:val="0"/>
    <w:pPr>
      <w:adjustRightInd/>
      <w:spacing w:before="156" w:line="360" w:lineRule="auto"/>
      <w:ind w:firstLine="510" w:firstLineChars="200"/>
    </w:pPr>
    <w:rPr>
      <w:sz w:val="24"/>
      <w:szCs w:val="20"/>
    </w:rPr>
  </w:style>
  <w:style w:type="paragraph" w:customStyle="1" w:styleId="468">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autoRedefine/>
    <w:qFormat/>
    <w:uiPriority w:val="0"/>
    <w:rPr>
      <w:rFonts w:ascii="仿宋_GB2312" w:eastAsia="仿宋_GB2312"/>
      <w:b/>
      <w:sz w:val="32"/>
      <w:szCs w:val="32"/>
    </w:rPr>
  </w:style>
  <w:style w:type="paragraph" w:customStyle="1" w:styleId="471">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3">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4">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autoRedefine/>
    <w:qFormat/>
    <w:uiPriority w:val="0"/>
    <w:pPr>
      <w:keepNext/>
      <w:tabs>
        <w:tab w:val="left" w:pos="360"/>
      </w:tabs>
      <w:spacing w:before="0" w:after="0"/>
      <w:outlineLvl w:val="5"/>
    </w:pPr>
  </w:style>
  <w:style w:type="paragraph" w:customStyle="1" w:styleId="476">
    <w:name w:val="5级标题"/>
    <w:basedOn w:val="477"/>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9">
    <w:name w:val="Char2 Char Char"/>
    <w:basedOn w:val="1"/>
    <w:autoRedefine/>
    <w:qFormat/>
    <w:uiPriority w:val="0"/>
    <w:pPr>
      <w:adjustRightInd/>
    </w:pPr>
    <w:rPr>
      <w:rFonts w:ascii="Tahoma" w:hAnsi="Tahoma"/>
      <w:sz w:val="24"/>
      <w:szCs w:val="20"/>
    </w:rPr>
  </w:style>
  <w:style w:type="paragraph" w:customStyle="1" w:styleId="480">
    <w:name w:val="_Style 11"/>
    <w:basedOn w:val="1"/>
    <w:autoRedefine/>
    <w:qFormat/>
    <w:uiPriority w:val="34"/>
    <w:pPr>
      <w:adjustRightInd/>
      <w:ind w:firstLine="420" w:firstLineChars="200"/>
    </w:pPr>
    <w:rPr>
      <w:rFonts w:eastAsia="仿宋_GB2312"/>
      <w:sz w:val="28"/>
    </w:rPr>
  </w:style>
  <w:style w:type="paragraph" w:customStyle="1" w:styleId="481">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autoRedefine/>
    <w:qFormat/>
    <w:uiPriority w:val="0"/>
    <w:rPr>
      <w:rFonts w:ascii="Tahoma" w:hAnsi="Tahoma"/>
      <w:sz w:val="24"/>
      <w:szCs w:val="20"/>
    </w:rPr>
  </w:style>
  <w:style w:type="paragraph" w:customStyle="1" w:styleId="483">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4">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next w:val="1"/>
    <w:link w:val="934"/>
    <w:autoRedefine/>
    <w:qFormat/>
    <w:uiPriority w:val="99"/>
    <w:rPr>
      <w:szCs w:val="22"/>
    </w:rPr>
  </w:style>
  <w:style w:type="paragraph" w:customStyle="1" w:styleId="486">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autoRedefine/>
    <w:qFormat/>
    <w:uiPriority w:val="6"/>
    <w:rPr>
      <w:rFonts w:ascii="Tahoma" w:hAnsi="Tahoma" w:cs="仿宋_GB2312"/>
      <w:sz w:val="24"/>
      <w:szCs w:val="20"/>
    </w:rPr>
  </w:style>
  <w:style w:type="paragraph" w:customStyle="1" w:styleId="488">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5"/>
    <w:autoRedefine/>
    <w:qFormat/>
    <w:uiPriority w:val="0"/>
    <w:pPr>
      <w:tabs>
        <w:tab w:val="left" w:pos="1260"/>
      </w:tabs>
      <w:ind w:left="1260" w:hanging="420"/>
    </w:pPr>
    <w:rPr>
      <w:rFonts w:ascii="Arial" w:hAnsi="Arial" w:eastAsia="黑体"/>
      <w:lang w:val="en-US"/>
    </w:rPr>
  </w:style>
  <w:style w:type="paragraph" w:customStyle="1" w:styleId="492">
    <w:name w:val="五级无标题条"/>
    <w:basedOn w:val="1"/>
    <w:autoRedefine/>
    <w:qFormat/>
    <w:uiPriority w:val="0"/>
    <w:pPr>
      <w:adjustRightInd/>
    </w:pPr>
  </w:style>
  <w:style w:type="paragraph" w:customStyle="1" w:styleId="493">
    <w:name w:val="Char5"/>
    <w:basedOn w:val="1"/>
    <w:autoRedefine/>
    <w:qFormat/>
    <w:uiPriority w:val="0"/>
    <w:rPr>
      <w:rFonts w:ascii="仿宋_GB2312" w:eastAsia="仿宋_GB2312"/>
      <w:b/>
      <w:sz w:val="32"/>
      <w:szCs w:val="32"/>
    </w:rPr>
  </w:style>
  <w:style w:type="paragraph" w:customStyle="1" w:styleId="494">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autoRedefine/>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autoRedefine/>
    <w:qFormat/>
    <w:uiPriority w:val="0"/>
    <w:rPr>
      <w:rFonts w:ascii="仿宋_GB2312" w:eastAsia="仿宋_GB2312"/>
      <w:b/>
      <w:sz w:val="32"/>
      <w:szCs w:val="32"/>
    </w:rPr>
  </w:style>
  <w:style w:type="paragraph" w:customStyle="1" w:styleId="498">
    <w:name w:val="数字标题3"/>
    <w:basedOn w:val="6"/>
    <w:next w:val="1"/>
    <w:autoRedefine/>
    <w:qFormat/>
    <w:uiPriority w:val="0"/>
    <w:pPr>
      <w:spacing w:line="240" w:lineRule="auto"/>
    </w:pPr>
    <w:rPr>
      <w:sz w:val="28"/>
      <w:szCs w:val="28"/>
    </w:rPr>
  </w:style>
  <w:style w:type="paragraph" w:customStyle="1" w:styleId="499">
    <w:name w:val="FA正文"/>
    <w:basedOn w:val="1"/>
    <w:autoRedefine/>
    <w:qFormat/>
    <w:uiPriority w:val="0"/>
    <w:pPr>
      <w:spacing w:line="360" w:lineRule="auto"/>
      <w:ind w:firstLine="480" w:firstLineChars="200"/>
    </w:pPr>
    <w:rPr>
      <w:rFonts w:hAnsi="宋体"/>
      <w:sz w:val="24"/>
      <w:szCs w:val="20"/>
    </w:rPr>
  </w:style>
  <w:style w:type="paragraph" w:customStyle="1" w:styleId="500">
    <w:name w:val="MM Topic 5"/>
    <w:basedOn w:val="8"/>
    <w:autoRedefine/>
    <w:qFormat/>
    <w:uiPriority w:val="0"/>
    <w:pPr>
      <w:tabs>
        <w:tab w:val="left" w:pos="2520"/>
      </w:tabs>
      <w:adjustRightInd/>
      <w:ind w:left="2520" w:hanging="420"/>
    </w:pPr>
  </w:style>
  <w:style w:type="paragraph" w:customStyle="1" w:styleId="501">
    <w:name w:val="Char Char Char Char Char Char Char Char Char Char1"/>
    <w:basedOn w:val="1"/>
    <w:autoRedefine/>
    <w:qFormat/>
    <w:uiPriority w:val="0"/>
    <w:rPr>
      <w:rFonts w:ascii="仿宋_GB2312" w:eastAsia="仿宋_GB2312"/>
      <w:b/>
      <w:sz w:val="32"/>
      <w:szCs w:val="32"/>
    </w:rPr>
  </w:style>
  <w:style w:type="paragraph" w:customStyle="1" w:styleId="50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autoRedefine/>
    <w:qFormat/>
    <w:uiPriority w:val="0"/>
    <w:rPr>
      <w:rFonts w:ascii="仿宋_GB2312" w:eastAsia="仿宋_GB2312"/>
      <w:b/>
      <w:sz w:val="32"/>
      <w:szCs w:val="32"/>
    </w:rPr>
  </w:style>
  <w:style w:type="paragraph" w:customStyle="1" w:styleId="505">
    <w:name w:val="Char2 Char Char Char1"/>
    <w:basedOn w:val="1"/>
    <w:autoRedefine/>
    <w:qFormat/>
    <w:uiPriority w:val="6"/>
    <w:rPr>
      <w:rFonts w:ascii="仿宋_GB2312" w:eastAsia="仿宋_GB2312"/>
      <w:b/>
      <w:sz w:val="32"/>
      <w:szCs w:val="32"/>
    </w:rPr>
  </w:style>
  <w:style w:type="paragraph" w:customStyle="1" w:styleId="506">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6"/>
    <w:autoRedefine/>
    <w:qFormat/>
    <w:uiPriority w:val="0"/>
    <w:pPr>
      <w:tabs>
        <w:tab w:val="left" w:pos="1680"/>
      </w:tabs>
      <w:adjustRightInd/>
      <w:ind w:left="1680" w:hanging="420"/>
    </w:pPr>
  </w:style>
  <w:style w:type="paragraph" w:customStyle="1" w:styleId="510">
    <w:name w:val="标准小四"/>
    <w:basedOn w:val="1"/>
    <w:autoRedefine/>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autoRedefine/>
    <w:qFormat/>
    <w:uiPriority w:val="0"/>
    <w:pPr>
      <w:adjustRightInd/>
      <w:snapToGrid w:val="0"/>
      <w:spacing w:line="300" w:lineRule="auto"/>
    </w:pPr>
    <w:rPr>
      <w:rFonts w:eastAsia="仿宋"/>
      <w:szCs w:val="21"/>
    </w:rPr>
  </w:style>
  <w:style w:type="paragraph" w:customStyle="1" w:styleId="513">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autoRedefine/>
    <w:qFormat/>
    <w:uiPriority w:val="6"/>
    <w:pPr>
      <w:adjustRightInd/>
    </w:pPr>
    <w:rPr>
      <w:rFonts w:ascii="Tahoma" w:hAnsi="Tahoma"/>
      <w:sz w:val="24"/>
      <w:szCs w:val="20"/>
    </w:rPr>
  </w:style>
  <w:style w:type="paragraph" w:customStyle="1" w:styleId="515">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33"/>
    <w:next w:val="3"/>
    <w:autoRedefine/>
    <w:qFormat/>
    <w:uiPriority w:val="0"/>
    <w:pPr>
      <w:adjustRightInd/>
      <w:ind w:firstLine="200" w:firstLineChars="200"/>
    </w:pPr>
    <w:rPr>
      <w:rFonts w:ascii="Arial" w:hAnsi="Arial"/>
      <w:spacing w:val="-5"/>
      <w:kern w:val="0"/>
      <w:sz w:val="24"/>
      <w:szCs w:val="20"/>
    </w:rPr>
  </w:style>
  <w:style w:type="paragraph" w:customStyle="1" w:styleId="51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4"/>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autoRedefine/>
    <w:qFormat/>
    <w:uiPriority w:val="0"/>
    <w:pPr>
      <w:adjustRightInd/>
      <w:ind w:firstLine="420" w:firstLineChars="200"/>
    </w:pPr>
    <w:rPr>
      <w:rFonts w:eastAsia="仿宋_GB2312"/>
      <w:sz w:val="28"/>
    </w:rPr>
  </w:style>
  <w:style w:type="paragraph" w:customStyle="1" w:styleId="52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
    <w:autoRedefine/>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6">
    <w:name w:val="左对齐表格文字"/>
    <w:basedOn w:val="1"/>
    <w:autoRedefine/>
    <w:qFormat/>
    <w:uiPriority w:val="0"/>
    <w:pPr>
      <w:adjustRightInd/>
      <w:ind w:firstLine="200" w:firstLineChars="200"/>
      <w:jc w:val="right"/>
    </w:pPr>
  </w:style>
  <w:style w:type="paragraph" w:customStyle="1" w:styleId="527">
    <w:name w:val="Char Char11 Char Char Char Char Char Char Char Char Char"/>
    <w:basedOn w:val="1"/>
    <w:autoRedefine/>
    <w:qFormat/>
    <w:uiPriority w:val="0"/>
    <w:pPr>
      <w:spacing w:line="360" w:lineRule="auto"/>
    </w:pPr>
    <w:rPr>
      <w:szCs w:val="20"/>
    </w:rPr>
  </w:style>
  <w:style w:type="paragraph" w:customStyle="1" w:styleId="528">
    <w:name w:val="正文1.25"/>
    <w:basedOn w:val="1"/>
    <w:autoRedefine/>
    <w:qFormat/>
    <w:uiPriority w:val="0"/>
    <w:pPr>
      <w:adjustRightInd/>
      <w:spacing w:line="300" w:lineRule="auto"/>
      <w:ind w:firstLine="480" w:firstLineChars="200"/>
    </w:pPr>
    <w:rPr>
      <w:sz w:val="24"/>
      <w:szCs w:val="20"/>
    </w:rPr>
  </w:style>
  <w:style w:type="paragraph" w:customStyle="1" w:styleId="529">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autoRedefine/>
    <w:qFormat/>
    <w:uiPriority w:val="6"/>
    <w:rPr>
      <w:rFonts w:ascii="仿宋_GB2312" w:eastAsia="仿宋_GB2312"/>
      <w:b/>
      <w:sz w:val="32"/>
      <w:szCs w:val="20"/>
    </w:rPr>
  </w:style>
  <w:style w:type="paragraph" w:customStyle="1" w:styleId="533">
    <w:name w:val="列出段落2"/>
    <w:basedOn w:val="1"/>
    <w:autoRedefine/>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autoRedefine/>
    <w:qFormat/>
    <w:uiPriority w:val="0"/>
    <w:rPr>
      <w:rFonts w:eastAsia="仿宋_GB2312"/>
      <w:sz w:val="28"/>
      <w:szCs w:val="20"/>
    </w:rPr>
  </w:style>
  <w:style w:type="paragraph" w:customStyle="1" w:styleId="535">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autoRedefine/>
    <w:qFormat/>
    <w:uiPriority w:val="0"/>
    <w:pPr>
      <w:widowControl/>
      <w:jc w:val="left"/>
    </w:pPr>
    <w:rPr>
      <w:rFonts w:cs="宋体"/>
      <w:sz w:val="24"/>
      <w:szCs w:val="20"/>
    </w:rPr>
  </w:style>
  <w:style w:type="paragraph" w:customStyle="1" w:styleId="537">
    <w:name w:val="彩色列表 - 强调文字颜色 11"/>
    <w:basedOn w:val="1"/>
    <w:autoRedefine/>
    <w:qFormat/>
    <w:uiPriority w:val="0"/>
    <w:pPr>
      <w:adjustRightInd/>
      <w:ind w:firstLine="420" w:firstLineChars="200"/>
    </w:pPr>
    <w:rPr>
      <w:rFonts w:ascii="Calibri" w:hAnsi="Calibri"/>
      <w:szCs w:val="22"/>
    </w:rPr>
  </w:style>
  <w:style w:type="paragraph" w:customStyle="1" w:styleId="538">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autoRedefine/>
    <w:qFormat/>
    <w:uiPriority w:val="6"/>
    <w:rPr>
      <w:szCs w:val="20"/>
    </w:rPr>
  </w:style>
  <w:style w:type="paragraph" w:customStyle="1" w:styleId="542">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36"/>
    <w:next w:val="236"/>
    <w:autoRedefine/>
    <w:qFormat/>
    <w:uiPriority w:val="0"/>
    <w:pPr>
      <w:spacing w:after="68"/>
    </w:pPr>
    <w:rPr>
      <w:rFonts w:ascii="FHLHE E+ Futura Bk" w:eastAsia="FHLHE E+ Futura Bk" w:cs="Times New Roman"/>
      <w:color w:val="auto"/>
    </w:rPr>
  </w:style>
  <w:style w:type="paragraph" w:customStyle="1" w:styleId="548">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236"/>
    <w:next w:val="236"/>
    <w:autoRedefine/>
    <w:qFormat/>
    <w:uiPriority w:val="0"/>
    <w:rPr>
      <w:rFonts w:ascii="宋体" w:eastAsia="宋体" w:cs="Times New Roman"/>
      <w:color w:val="auto"/>
    </w:rPr>
  </w:style>
  <w:style w:type="paragraph" w:customStyle="1" w:styleId="552">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autoRedefine/>
    <w:qFormat/>
    <w:uiPriority w:val="0"/>
    <w:rPr>
      <w:rFonts w:ascii="仿宋_GB2312" w:eastAsia="仿宋_GB2312"/>
      <w:b/>
      <w:sz w:val="32"/>
      <w:szCs w:val="32"/>
    </w:rPr>
  </w:style>
  <w:style w:type="paragraph" w:customStyle="1" w:styleId="554">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autoRedefine/>
    <w:qFormat/>
    <w:uiPriority w:val="0"/>
    <w:pPr>
      <w:spacing w:line="360" w:lineRule="auto"/>
    </w:pPr>
    <w:rPr>
      <w:szCs w:val="20"/>
    </w:rPr>
  </w:style>
  <w:style w:type="paragraph" w:customStyle="1" w:styleId="557">
    <w:name w:val="Char"/>
    <w:basedOn w:val="1"/>
    <w:autoRedefine/>
    <w:qFormat/>
    <w:uiPriority w:val="0"/>
    <w:rPr>
      <w:rFonts w:ascii="仿宋_GB2312" w:eastAsia="仿宋_GB2312"/>
      <w:b/>
      <w:sz w:val="32"/>
      <w:szCs w:val="32"/>
    </w:rPr>
  </w:style>
  <w:style w:type="paragraph" w:customStyle="1" w:styleId="558">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autoRedefine/>
    <w:qFormat/>
    <w:uiPriority w:val="0"/>
    <w:rPr>
      <w:szCs w:val="20"/>
    </w:rPr>
  </w:style>
  <w:style w:type="paragraph" w:customStyle="1" w:styleId="561">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1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autoRedefine/>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6">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autoRedefine/>
    <w:qFormat/>
    <w:uiPriority w:val="0"/>
    <w:rPr>
      <w:szCs w:val="20"/>
    </w:rPr>
  </w:style>
  <w:style w:type="paragraph" w:customStyle="1" w:styleId="584">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autoRedefine/>
    <w:qFormat/>
    <w:uiPriority w:val="0"/>
    <w:rPr>
      <w:rFonts w:ascii="Tahoma" w:hAnsi="Tahoma"/>
      <w:sz w:val="24"/>
      <w:szCs w:val="20"/>
    </w:rPr>
  </w:style>
  <w:style w:type="paragraph" w:customStyle="1" w:styleId="586">
    <w:name w:val="标题五"/>
    <w:basedOn w:val="1"/>
    <w:autoRedefine/>
    <w:qFormat/>
    <w:uiPriority w:val="0"/>
    <w:pPr>
      <w:adjustRightInd/>
      <w:spacing w:before="156" w:beforeLines="50" w:line="360" w:lineRule="auto"/>
    </w:pPr>
    <w:rPr>
      <w:b/>
      <w:sz w:val="24"/>
    </w:rPr>
  </w:style>
  <w:style w:type="paragraph" w:customStyle="1" w:styleId="587">
    <w:name w:val="Char Char1101"/>
    <w:basedOn w:val="1"/>
    <w:autoRedefine/>
    <w:qFormat/>
    <w:uiPriority w:val="0"/>
    <w:pPr>
      <w:spacing w:line="360" w:lineRule="auto"/>
    </w:pPr>
    <w:rPr>
      <w:rFonts w:ascii="Tahoma" w:hAnsi="Tahoma"/>
      <w:sz w:val="24"/>
      <w:szCs w:val="20"/>
    </w:rPr>
  </w:style>
  <w:style w:type="paragraph" w:customStyle="1" w:styleId="588">
    <w:name w:val="Char Char Char Char Char Char Char Char1"/>
    <w:basedOn w:val="1"/>
    <w:autoRedefine/>
    <w:qFormat/>
    <w:uiPriority w:val="0"/>
    <w:pPr>
      <w:tabs>
        <w:tab w:val="left" w:pos="360"/>
      </w:tabs>
    </w:pPr>
    <w:rPr>
      <w:sz w:val="24"/>
      <w:szCs w:val="20"/>
    </w:rPr>
  </w:style>
  <w:style w:type="paragraph" w:customStyle="1" w:styleId="589">
    <w:name w:val="Char Char Char 字元 字元"/>
    <w:basedOn w:val="1"/>
    <w:autoRedefine/>
    <w:qFormat/>
    <w:uiPriority w:val="0"/>
    <w:pPr>
      <w:adjustRightInd/>
      <w:spacing w:line="360" w:lineRule="auto"/>
      <w:ind w:firstLine="200" w:firstLineChars="200"/>
    </w:pPr>
    <w:rPr>
      <w:szCs w:val="20"/>
    </w:rPr>
  </w:style>
  <w:style w:type="paragraph" w:customStyle="1" w:styleId="590">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autoRedefine/>
    <w:qFormat/>
    <w:uiPriority w:val="0"/>
    <w:rPr>
      <w:rFonts w:ascii="仿宋_GB2312" w:eastAsia="仿宋_GB2312"/>
      <w:b/>
      <w:sz w:val="32"/>
      <w:szCs w:val="32"/>
    </w:rPr>
  </w:style>
  <w:style w:type="paragraph" w:customStyle="1" w:styleId="59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5"/>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autoRedefine/>
    <w:qFormat/>
    <w:uiPriority w:val="0"/>
    <w:pPr>
      <w:adjustRightInd/>
    </w:pPr>
    <w:rPr>
      <w:sz w:val="18"/>
      <w:szCs w:val="20"/>
    </w:rPr>
  </w:style>
  <w:style w:type="paragraph" w:customStyle="1" w:styleId="597">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2">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autoRedefine/>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autoRedefine/>
    <w:qFormat/>
    <w:uiPriority w:val="0"/>
    <w:pPr>
      <w:snapToGrid w:val="0"/>
      <w:spacing w:line="360" w:lineRule="auto"/>
    </w:pPr>
    <w:rPr>
      <w:rFonts w:ascii="宋体"/>
      <w:b/>
      <w:sz w:val="24"/>
      <w:szCs w:val="20"/>
    </w:rPr>
  </w:style>
  <w:style w:type="paragraph" w:customStyle="1" w:styleId="607">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autoRedefine/>
    <w:qFormat/>
    <w:uiPriority w:val="7"/>
    <w:pPr>
      <w:adjustRightInd/>
    </w:pPr>
    <w:rPr>
      <w:rFonts w:ascii="宋体" w:hAnsi="Courier New"/>
    </w:rPr>
  </w:style>
  <w:style w:type="paragraph" w:customStyle="1" w:styleId="610">
    <w:name w:val="Char3"/>
    <w:basedOn w:val="1"/>
    <w:autoRedefine/>
    <w:qFormat/>
    <w:uiPriority w:val="0"/>
    <w:pPr>
      <w:adjustRightInd/>
    </w:pPr>
    <w:rPr>
      <w:rFonts w:ascii="仿宋_GB2312" w:eastAsia="仿宋_GB2312"/>
      <w:b/>
      <w:sz w:val="32"/>
      <w:szCs w:val="32"/>
    </w:rPr>
  </w:style>
  <w:style w:type="paragraph" w:customStyle="1" w:styleId="611">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autoRedefine/>
    <w:qFormat/>
    <w:uiPriority w:val="0"/>
    <w:pPr>
      <w:widowControl/>
      <w:adjustRightInd/>
      <w:spacing w:after="160" w:line="240" w:lineRule="exact"/>
      <w:jc w:val="left"/>
    </w:pPr>
    <w:rPr>
      <w:szCs w:val="20"/>
    </w:rPr>
  </w:style>
  <w:style w:type="paragraph" w:customStyle="1" w:styleId="619">
    <w:name w:val="表格标题2"/>
    <w:basedOn w:val="620"/>
    <w:autoRedefine/>
    <w:qFormat/>
    <w:uiPriority w:val="0"/>
    <w:rPr>
      <w:b/>
    </w:rPr>
  </w:style>
  <w:style w:type="paragraph" w:customStyle="1" w:styleId="620">
    <w:name w:val="表格内文"/>
    <w:basedOn w:val="1"/>
    <w:autoRedefine/>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autoRedefine/>
    <w:qFormat/>
    <w:uiPriority w:val="0"/>
    <w:rPr>
      <w:rFonts w:ascii="仿宋_GB2312" w:eastAsia="仿宋_GB2312"/>
      <w:b/>
      <w:sz w:val="32"/>
      <w:szCs w:val="32"/>
    </w:rPr>
  </w:style>
  <w:style w:type="paragraph" w:customStyle="1" w:styleId="62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autoRedefine/>
    <w:qFormat/>
    <w:uiPriority w:val="0"/>
    <w:pPr>
      <w:spacing w:line="360" w:lineRule="auto"/>
    </w:pPr>
    <w:rPr>
      <w:szCs w:val="20"/>
    </w:rPr>
  </w:style>
  <w:style w:type="paragraph" w:customStyle="1" w:styleId="625">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7">
    <w:name w:val="MM Topic 1"/>
    <w:basedOn w:val="4"/>
    <w:autoRedefine/>
    <w:qFormat/>
    <w:uiPriority w:val="0"/>
    <w:pPr>
      <w:tabs>
        <w:tab w:val="left" w:pos="840"/>
      </w:tabs>
      <w:adjustRightInd/>
      <w:ind w:left="840" w:hanging="420"/>
    </w:pPr>
  </w:style>
  <w:style w:type="paragraph" w:customStyle="1" w:styleId="628">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autoRedefine/>
    <w:qFormat/>
    <w:uiPriority w:val="0"/>
    <w:pPr>
      <w:spacing w:line="360" w:lineRule="auto"/>
      <w:ind w:firstLine="200" w:firstLineChars="200"/>
    </w:pPr>
    <w:rPr>
      <w:kern w:val="0"/>
      <w:sz w:val="24"/>
      <w:szCs w:val="20"/>
    </w:rPr>
  </w:style>
  <w:style w:type="paragraph" w:customStyle="1" w:styleId="630">
    <w:name w:val="表格"/>
    <w:basedOn w:val="1"/>
    <w:autoRedefine/>
    <w:qFormat/>
    <w:uiPriority w:val="0"/>
    <w:pPr>
      <w:snapToGrid w:val="0"/>
      <w:ind w:firstLine="42" w:firstLineChars="21"/>
    </w:pPr>
    <w:rPr>
      <w:rFonts w:ascii="宋体" w:hAnsi="宋体"/>
      <w:kern w:val="0"/>
      <w:sz w:val="20"/>
      <w:szCs w:val="20"/>
    </w:rPr>
  </w:style>
  <w:style w:type="paragraph" w:customStyle="1" w:styleId="631">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autoRedefine/>
    <w:qFormat/>
    <w:uiPriority w:val="0"/>
    <w:pPr>
      <w:adjustRightInd/>
      <w:spacing w:line="300" w:lineRule="auto"/>
      <w:jc w:val="center"/>
    </w:pPr>
  </w:style>
  <w:style w:type="paragraph" w:customStyle="1" w:styleId="636">
    <w:name w:val="_Style 6"/>
    <w:basedOn w:val="1"/>
    <w:autoRedefine/>
    <w:qFormat/>
    <w:uiPriority w:val="34"/>
    <w:pPr>
      <w:adjustRightInd/>
      <w:ind w:firstLine="420" w:firstLineChars="200"/>
    </w:pPr>
    <w:rPr>
      <w:rFonts w:eastAsia="仿宋_GB2312"/>
      <w:sz w:val="28"/>
    </w:rPr>
  </w:style>
  <w:style w:type="paragraph" w:customStyle="1" w:styleId="637">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autoRedefine/>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autoRedefine/>
    <w:qFormat/>
    <w:uiPriority w:val="0"/>
    <w:rPr>
      <w:rFonts w:ascii="仿宋_GB2312" w:eastAsia="仿宋_GB2312"/>
      <w:b/>
      <w:sz w:val="32"/>
      <w:szCs w:val="20"/>
    </w:rPr>
  </w:style>
  <w:style w:type="paragraph" w:customStyle="1" w:styleId="647">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autoRedefine/>
    <w:qFormat/>
    <w:uiPriority w:val="0"/>
    <w:pPr>
      <w:adjustRightInd/>
      <w:ind w:firstLine="200" w:firstLineChars="200"/>
    </w:pPr>
    <w:rPr>
      <w:rFonts w:ascii="Tahoma" w:hAnsi="Tahoma"/>
      <w:sz w:val="24"/>
      <w:szCs w:val="20"/>
    </w:rPr>
  </w:style>
  <w:style w:type="paragraph" w:customStyle="1" w:styleId="649">
    <w:name w:val="a1"/>
    <w:basedOn w:val="1"/>
    <w:autoRedefine/>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autoRedefine/>
    <w:qFormat/>
    <w:uiPriority w:val="0"/>
    <w:pPr>
      <w:spacing w:after="156" w:afterLines="50"/>
      <w:jc w:val="left"/>
      <w:outlineLvl w:val="3"/>
    </w:pPr>
    <w:rPr>
      <w:sz w:val="24"/>
      <w:szCs w:val="24"/>
    </w:rPr>
  </w:style>
  <w:style w:type="paragraph" w:customStyle="1" w:styleId="651">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autoRedefine/>
    <w:qFormat/>
    <w:uiPriority w:val="0"/>
    <w:pPr>
      <w:adjustRightInd/>
    </w:pPr>
    <w:rPr>
      <w:rFonts w:ascii="Tahoma" w:hAnsi="Tahoma"/>
      <w:sz w:val="24"/>
      <w:szCs w:val="20"/>
    </w:rPr>
  </w:style>
  <w:style w:type="paragraph" w:customStyle="1" w:styleId="656">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autoRedefine/>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autoRedefine/>
    <w:qFormat/>
    <w:uiPriority w:val="0"/>
    <w:pPr>
      <w:tabs>
        <w:tab w:val="left" w:pos="1260"/>
        <w:tab w:val="left" w:pos="1680"/>
        <w:tab w:val="left" w:pos="2100"/>
      </w:tabs>
      <w:ind w:left="0"/>
      <w:outlineLvl w:val="3"/>
    </w:pPr>
  </w:style>
  <w:style w:type="paragraph" w:customStyle="1" w:styleId="659">
    <w:name w:val="一级条标题"/>
    <w:basedOn w:val="660"/>
    <w:next w:val="642"/>
    <w:autoRedefine/>
    <w:qFormat/>
    <w:uiPriority w:val="0"/>
    <w:pPr>
      <w:tabs>
        <w:tab w:val="left" w:pos="1260"/>
        <w:tab w:val="left" w:pos="1680"/>
      </w:tabs>
      <w:spacing w:before="0" w:beforeLines="0" w:after="0" w:afterLines="0"/>
      <w:ind w:left="1680"/>
      <w:outlineLvl w:val="2"/>
    </w:pPr>
  </w:style>
  <w:style w:type="paragraph" w:customStyle="1" w:styleId="660">
    <w:name w:val="章标题"/>
    <w:next w:val="642"/>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autoRedefine/>
    <w:qFormat/>
    <w:uiPriority w:val="0"/>
    <w:pPr>
      <w:tabs>
        <w:tab w:val="left" w:pos="840"/>
      </w:tabs>
      <w:spacing w:after="0"/>
      <w:ind w:left="900"/>
    </w:pPr>
  </w:style>
  <w:style w:type="paragraph" w:customStyle="1" w:styleId="668">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autoRedefine/>
    <w:qFormat/>
    <w:uiPriority w:val="6"/>
    <w:pPr>
      <w:widowControl/>
      <w:adjustRightInd/>
      <w:ind w:left="720" w:hanging="720"/>
    </w:pPr>
    <w:rPr>
      <w:color w:val="000000"/>
      <w:kern w:val="0"/>
      <w:sz w:val="24"/>
      <w:szCs w:val="20"/>
      <w:lang w:val="en-GB"/>
    </w:rPr>
  </w:style>
  <w:style w:type="paragraph" w:customStyle="1" w:styleId="670">
    <w:name w:val="表1"/>
    <w:basedOn w:val="1"/>
    <w:autoRedefine/>
    <w:qFormat/>
    <w:uiPriority w:val="0"/>
    <w:pPr>
      <w:tabs>
        <w:tab w:val="left" w:pos="703"/>
      </w:tabs>
      <w:adjustRightInd/>
      <w:spacing w:line="360" w:lineRule="auto"/>
      <w:ind w:left="703"/>
      <w:jc w:val="center"/>
    </w:pPr>
  </w:style>
  <w:style w:type="paragraph" w:customStyle="1" w:styleId="671">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9"/>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71">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6"/>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2"/>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autoRedefine/>
    <w:qFormat/>
    <w:uiPriority w:val="0"/>
    <w:pPr>
      <w:tabs>
        <w:tab w:val="left" w:pos="2940"/>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6"/>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20"/>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40"/>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4"/>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autoRedefine/>
    <w:qFormat/>
    <w:uiPriority w:val="0"/>
    <w:pPr>
      <w:tabs>
        <w:tab w:val="left" w:pos="1080"/>
      </w:tabs>
      <w:ind w:left="1080" w:hanging="1080"/>
    </w:pPr>
  </w:style>
  <w:style w:type="paragraph" w:customStyle="1" w:styleId="898">
    <w:name w:val="数字标题1"/>
    <w:basedOn w:val="4"/>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5"/>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locked/>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8"/>
    <w:autoRedefine/>
    <w:qFormat/>
    <w:uiPriority w:val="0"/>
    <w:rPr>
      <w:kern w:val="2"/>
      <w:sz w:val="21"/>
      <w:szCs w:val="24"/>
      <w:lang w:val="zh-CN"/>
    </w:rPr>
  </w:style>
  <w:style w:type="character" w:customStyle="1" w:styleId="934">
    <w:name w:val="无间隔 字符"/>
    <w:link w:val="485"/>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59"/>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大标题"/>
    <w:basedOn w:val="439"/>
    <w:autoRedefine/>
    <w:qFormat/>
    <w:uiPriority w:val="0"/>
    <w:rPr>
      <w:szCs w:val="36"/>
    </w:rPr>
  </w:style>
  <w:style w:type="paragraph" w:customStyle="1" w:styleId="966">
    <w:name w:val="WPSOffice手动目录 1"/>
    <w:autoRedefine/>
    <w:qFormat/>
    <w:uiPriority w:val="0"/>
    <w:rPr>
      <w:rFonts w:ascii="Times New Roman" w:hAnsi="Times New Roman" w:eastAsia="宋体" w:cs="Times New Roman"/>
      <w:lang w:val="en-US" w:eastAsia="zh-CN" w:bidi="ar-SA"/>
    </w:rPr>
  </w:style>
  <w:style w:type="paragraph" w:customStyle="1" w:styleId="967">
    <w:name w:val="Style1"/>
    <w:autoRedefine/>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 w:type="paragraph" w:customStyle="1" w:styleId="968">
    <w:name w:val="Body text|1"/>
    <w:basedOn w:val="1"/>
    <w:autoRedefine/>
    <w:qFormat/>
    <w:uiPriority w:val="0"/>
    <w:pPr>
      <w:spacing w:line="480" w:lineRule="auto"/>
      <w:ind w:firstLine="140"/>
    </w:pPr>
    <w:rPr>
      <w:rFonts w:ascii="宋体" w:hAnsi="宋体" w:cs="宋体"/>
      <w:sz w:val="22"/>
      <w:szCs w:val="22"/>
      <w:lang w:val="zh-TW" w:eastAsia="zh-TW" w:bidi="zh-TW"/>
    </w:rPr>
  </w:style>
  <w:style w:type="character" w:customStyle="1" w:styleId="969">
    <w:name w:val="标题 2 字符1"/>
    <w:autoRedefine/>
    <w:qFormat/>
    <w:uiPriority w:val="0"/>
    <w:rPr>
      <w:rFonts w:ascii="Arial" w:hAnsi="Arial" w:eastAsia="宋体"/>
      <w:b/>
      <w:bCs/>
      <w:kern w:val="2"/>
      <w:sz w:val="28"/>
      <w:szCs w:val="32"/>
      <w:lang w:val="en-US" w:eastAsia="zh-CN" w:bidi="ar-SA"/>
    </w:rPr>
  </w:style>
  <w:style w:type="character" w:customStyle="1" w:styleId="970">
    <w:name w:val="font161"/>
    <w:basedOn w:val="69"/>
    <w:autoRedefine/>
    <w:qFormat/>
    <w:uiPriority w:val="0"/>
    <w:rPr>
      <w:rFonts w:hint="eastAsia" w:ascii="宋体" w:hAnsi="宋体" w:eastAsia="宋体" w:cs="宋体"/>
      <w:color w:val="FF0000"/>
      <w:sz w:val="20"/>
      <w:szCs w:val="20"/>
      <w:u w:val="none"/>
    </w:rPr>
  </w:style>
  <w:style w:type="character" w:customStyle="1" w:styleId="971">
    <w:name w:val="style13"/>
    <w:autoRedefine/>
    <w:qFormat/>
    <w:uiPriority w:val="0"/>
  </w:style>
  <w:style w:type="paragraph" w:customStyle="1" w:styleId="972">
    <w:name w:val="一级标题"/>
    <w:basedOn w:val="1"/>
    <w:autoRedefine/>
    <w:qFormat/>
    <w:uiPriority w:val="0"/>
    <w:pPr>
      <w:widowControl w:val="0"/>
      <w:spacing w:line="360" w:lineRule="auto"/>
      <w:jc w:val="both"/>
      <w:outlineLvl w:val="0"/>
    </w:pPr>
    <w:rPr>
      <w:rFonts w:ascii="仿宋" w:hAnsi="仿宋" w:eastAsia="仿宋" w:cs="仿宋_GB2312"/>
      <w:b/>
      <w:sz w:val="32"/>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4.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header" Target="header3.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footer" Target="foot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9" Type="http://schemas.openxmlformats.org/officeDocument/2006/relationships/fontTable" Target="fontTable.xml"/><Relationship Id="rId128" Type="http://schemas.openxmlformats.org/officeDocument/2006/relationships/customXml" Target="../customXml/item2.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D673C5-822B-4AEE-A3EE-95BD67B2128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44868</Words>
  <Characters>48007</Characters>
  <Lines>403</Lines>
  <Paragraphs>113</Paragraphs>
  <TotalTime>146</TotalTime>
  <ScaleCrop>false</ScaleCrop>
  <LinksUpToDate>false</LinksUpToDate>
  <CharactersWithSpaces>53213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2023-05-04T01:25:00Z</dcterms:created>
  <dc:creator>玥</dc:creator>
  <cp:lastModifiedBy>求求</cp:lastModifiedBy>
  <cp:lastPrinted>2024-03-29T02:58:00Z</cp:lastPrinted>
  <dcterms:modified xsi:type="dcterms:W3CDTF">2024-03-29T12:08:16Z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6EE2C750A85744008F1CB0A60EC16014_13</vt:lpwstr>
  </property>
</Properties>
</file>