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4"/>
        <w:tblW w:w="8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40"/>
      </w:tblGrid>
      <w:tr w14:paraId="04285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7A99236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48"/>
                <w:szCs w:val="48"/>
                <w:highlight w:val="none"/>
                <w:vertAlign w:val="baseline"/>
              </w:rPr>
            </w:pPr>
            <w:bookmarkStart w:id="0" w:name="_Hlt74707423"/>
            <w:bookmarkEnd w:id="0"/>
            <w:bookmarkStart w:id="1" w:name="_Hlt74649545"/>
            <w:bookmarkEnd w:id="1"/>
            <w:bookmarkStart w:id="2" w:name="_Hlt74728647"/>
            <w:bookmarkEnd w:id="2"/>
            <w:bookmarkStart w:id="3" w:name="_Hlt74729822"/>
            <w:bookmarkEnd w:id="3"/>
            <w:bookmarkStart w:id="4" w:name="第二部分"/>
            <w:bookmarkStart w:id="5" w:name="_Toc91899870"/>
            <w:bookmarkStart w:id="6" w:name="_Toc91899871"/>
          </w:p>
        </w:tc>
      </w:tr>
      <w:tr w14:paraId="6B8BF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6F4E21D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48"/>
                <w:szCs w:val="48"/>
                <w:highlight w:val="none"/>
                <w:vertAlign w:val="baseline"/>
              </w:rPr>
            </w:pPr>
            <w:r>
              <w:rPr>
                <w:rFonts w:hint="eastAsia" w:ascii="仿宋" w:hAnsi="仿宋" w:eastAsia="仿宋" w:cs="仿宋"/>
                <w:color w:val="auto"/>
                <w:sz w:val="48"/>
                <w:szCs w:val="48"/>
                <w:highlight w:val="none"/>
                <w:vertAlign w:val="baseline"/>
                <w:lang w:val="en-US" w:eastAsia="zh-CN"/>
              </w:rPr>
              <w:t>2025年义蓬街道交通设施更新维修项目</w:t>
            </w:r>
          </w:p>
        </w:tc>
      </w:tr>
      <w:tr w14:paraId="6797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65BD18F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14:paraId="19340D7D">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highlight w:val="none"/>
              </w:rPr>
            </w:pPr>
            <w:r>
              <w:rPr>
                <w:rFonts w:hint="eastAsia" w:ascii="仿宋" w:hAnsi="仿宋" w:eastAsia="仿宋" w:cs="仿宋"/>
                <w:b/>
                <w:color w:val="auto"/>
                <w:sz w:val="44"/>
                <w:szCs w:val="44"/>
                <w:highlight w:val="none"/>
              </w:rPr>
              <w:t>（电子招投标）</w:t>
            </w:r>
          </w:p>
        </w:tc>
      </w:tr>
      <w:tr w14:paraId="388E2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4" w:hRule="atLeast"/>
          <w:jc w:val="center"/>
        </w:trPr>
        <w:tc>
          <w:tcPr>
            <w:tcW w:w="8440" w:type="dxa"/>
          </w:tcPr>
          <w:p w14:paraId="33529717">
            <w:pPr>
              <w:pStyle w:val="4"/>
              <w:jc w:val="center"/>
              <w:rPr>
                <w:rFonts w:hint="eastAsia" w:ascii="仿宋" w:hAnsi="仿宋" w:eastAsia="仿宋" w:cs="仿宋"/>
                <w:color w:val="auto"/>
                <w:highlight w:val="none"/>
                <w:lang w:eastAsia="zh-CN"/>
              </w:rPr>
            </w:pPr>
            <w:r>
              <w:rPr>
                <w:rFonts w:hint="eastAsia" w:ascii="仿宋" w:hAnsi="仿宋" w:eastAsia="仿宋" w:cs="仿宋"/>
                <w:color w:val="auto"/>
                <w:sz w:val="30"/>
                <w:szCs w:val="30"/>
                <w:highlight w:val="none"/>
              </w:rPr>
              <w:t>编号:</w:t>
            </w:r>
            <w:r>
              <w:rPr>
                <w:rFonts w:hint="eastAsia" w:ascii="仿宋" w:eastAsia="仿宋" w:cs="仿宋"/>
                <w:color w:val="auto"/>
                <w:sz w:val="30"/>
                <w:szCs w:val="30"/>
                <w:highlight w:val="none"/>
                <w:lang w:val="en-US" w:eastAsia="zh-CN"/>
              </w:rPr>
              <w:t xml:space="preserve"> QTCG-GK-2025-104</w:t>
            </w:r>
          </w:p>
        </w:tc>
      </w:tr>
      <w:tr w14:paraId="3F70F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9" w:hRule="atLeast"/>
          <w:jc w:val="center"/>
        </w:trPr>
        <w:tc>
          <w:tcPr>
            <w:tcW w:w="8440" w:type="dxa"/>
          </w:tcPr>
          <w:p w14:paraId="7EB531B5">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仿宋" w:hAnsi="仿宋" w:eastAsia="仿宋" w:cs="仿宋"/>
                <w:color w:val="auto"/>
                <w:sz w:val="48"/>
                <w:szCs w:val="48"/>
                <w:highlight w:val="none"/>
                <w:vertAlign w:val="baseline"/>
              </w:rPr>
            </w:pPr>
          </w:p>
        </w:tc>
      </w:tr>
      <w:tr w14:paraId="300FD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9" w:hRule="atLeast"/>
          <w:jc w:val="center"/>
        </w:trPr>
        <w:tc>
          <w:tcPr>
            <w:tcW w:w="8440" w:type="dxa"/>
          </w:tcPr>
          <w:p w14:paraId="2A478F29">
            <w:pPr>
              <w:snapToGrid w:val="0"/>
              <w:spacing w:line="360" w:lineRule="auto"/>
              <w:jc w:val="center"/>
              <w:rPr>
                <w:rFonts w:hint="eastAsia" w:ascii="仿宋" w:hAnsi="仿宋" w:eastAsia="仿宋" w:cs="仿宋"/>
                <w:color w:val="auto"/>
                <w:sz w:val="32"/>
                <w:szCs w:val="32"/>
                <w:highlight w:val="none"/>
                <w:lang w:eastAsia="zh-CN"/>
              </w:rPr>
            </w:pPr>
          </w:p>
          <w:p w14:paraId="1ABF4897">
            <w:pPr>
              <w:snapToGrid w:val="0"/>
              <w:spacing w:line="360" w:lineRule="auto"/>
              <w:jc w:val="center"/>
              <w:rPr>
                <w:rFonts w:hint="eastAsia" w:ascii="仿宋" w:hAnsi="仿宋" w:eastAsia="仿宋" w:cs="仿宋"/>
                <w:color w:val="auto"/>
                <w:sz w:val="48"/>
                <w:szCs w:val="48"/>
                <w:highlight w:val="none"/>
                <w:vertAlign w:val="baseline"/>
                <w:lang w:eastAsia="zh-CN"/>
              </w:rPr>
            </w:pPr>
            <w:r>
              <w:rPr>
                <w:rFonts w:hint="eastAsia" w:ascii="仿宋" w:hAnsi="仿宋" w:eastAsia="仿宋" w:cs="仿宋"/>
                <w:color w:val="auto"/>
                <w:sz w:val="32"/>
                <w:szCs w:val="32"/>
                <w:highlight w:val="none"/>
                <w:lang w:eastAsia="zh-CN"/>
              </w:rPr>
              <w:t>杭州市钱塘区人民政府义蓬街道办事处</w:t>
            </w:r>
          </w:p>
        </w:tc>
      </w:tr>
      <w:tr w14:paraId="6B2DA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6" w:hRule="atLeast"/>
          <w:jc w:val="center"/>
        </w:trPr>
        <w:tc>
          <w:tcPr>
            <w:tcW w:w="8440" w:type="dxa"/>
          </w:tcPr>
          <w:p w14:paraId="0A26C6D7">
            <w:pPr>
              <w:snapToGrid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浙江华夏工程管理有限公司</w:t>
            </w:r>
          </w:p>
          <w:p w14:paraId="3F7D6EAB">
            <w:pPr>
              <w:snapToGrid w:val="0"/>
              <w:spacing w:line="360" w:lineRule="auto"/>
              <w:jc w:val="center"/>
              <w:rPr>
                <w:rFonts w:hint="eastAsia" w:ascii="仿宋" w:hAnsi="仿宋" w:eastAsia="仿宋" w:cs="仿宋"/>
                <w:color w:val="auto"/>
                <w:sz w:val="48"/>
                <w:szCs w:val="48"/>
                <w:highlight w:val="none"/>
                <w:vertAlign w:val="baseline"/>
              </w:rPr>
            </w:pPr>
            <w:r>
              <w:rPr>
                <w:rFonts w:hint="eastAsia" w:ascii="仿宋" w:hAnsi="仿宋" w:eastAsia="仿宋" w:cs="仿宋"/>
                <w:bCs/>
                <w:color w:val="auto"/>
                <w:sz w:val="32"/>
                <w:szCs w:val="32"/>
                <w:highlight w:val="none"/>
                <w:lang w:val="en-US" w:eastAsia="zh-CN"/>
              </w:rPr>
              <w:t>2025</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07</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09</w:t>
            </w:r>
            <w:r>
              <w:rPr>
                <w:rFonts w:hint="eastAsia" w:ascii="仿宋" w:hAnsi="仿宋" w:eastAsia="仿宋" w:cs="仿宋"/>
                <w:bCs/>
                <w:color w:val="auto"/>
                <w:sz w:val="32"/>
                <w:szCs w:val="32"/>
                <w:highlight w:val="none"/>
              </w:rPr>
              <w:t>日</w:t>
            </w:r>
          </w:p>
        </w:tc>
      </w:tr>
    </w:tbl>
    <w:p w14:paraId="2CF72A37">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D97F2AC">
      <w:pPr>
        <w:spacing w:line="360" w:lineRule="auto"/>
        <w:jc w:val="center"/>
        <w:rPr>
          <w:rFonts w:hint="eastAsia" w:ascii="仿宋" w:hAnsi="仿宋" w:eastAsia="仿宋" w:cs="仿宋"/>
          <w:b/>
          <w:color w:val="auto"/>
          <w:sz w:val="48"/>
          <w:szCs w:val="48"/>
          <w:highlight w:val="none"/>
        </w:rPr>
      </w:pPr>
    </w:p>
    <w:p w14:paraId="2567590B">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2EB63D14">
      <w:pPr>
        <w:spacing w:line="360" w:lineRule="auto"/>
        <w:rPr>
          <w:rFonts w:hint="eastAsia" w:ascii="仿宋" w:hAnsi="仿宋" w:eastAsia="仿宋" w:cs="仿宋"/>
          <w:color w:val="auto"/>
          <w:sz w:val="32"/>
          <w:szCs w:val="32"/>
          <w:highlight w:val="none"/>
        </w:rPr>
      </w:pPr>
    </w:p>
    <w:p w14:paraId="2F39E600">
      <w:pPr>
        <w:spacing w:line="360" w:lineRule="auto"/>
        <w:rPr>
          <w:rFonts w:hint="eastAsia" w:ascii="仿宋" w:hAnsi="仿宋" w:eastAsia="仿宋" w:cs="仿宋"/>
          <w:color w:val="auto"/>
          <w:sz w:val="32"/>
          <w:szCs w:val="32"/>
          <w:highlight w:val="none"/>
        </w:rPr>
      </w:pPr>
    </w:p>
    <w:p w14:paraId="73A53A6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5D72B60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09FD54F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38813F0D">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2838E6C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77B44A99">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01DDBEA8">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41CE13C4">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447697E8">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4ED312AB">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2025年义蓬街道交通设施更新维修项目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kern w:val="2"/>
          <w:sz w:val="24"/>
          <w:szCs w:val="24"/>
          <w:highlight w:val="none"/>
        </w:rPr>
        <w:t>https://www.zcygov.cn/）获取（下载）招标文件，并于</w:t>
      </w:r>
      <w:r>
        <w:rPr>
          <w:rStyle w:val="77"/>
          <w:rFonts w:hint="eastAsia" w:ascii="仿宋" w:hAnsi="仿宋" w:eastAsia="仿宋" w:cs="仿宋"/>
          <w:snapToGrid/>
          <w:color w:val="auto"/>
          <w:kern w:val="2"/>
          <w:sz w:val="24"/>
          <w:szCs w:val="24"/>
          <w:highlight w:val="none"/>
          <w:lang w:val="en-US" w:eastAsia="zh-CN"/>
        </w:rPr>
        <w:t>2025</w:t>
      </w:r>
      <w:r>
        <w:rPr>
          <w:rStyle w:val="77"/>
          <w:rFonts w:hint="eastAsia" w:ascii="仿宋" w:hAnsi="仿宋" w:eastAsia="仿宋" w:cs="仿宋"/>
          <w:snapToGrid/>
          <w:color w:val="auto"/>
          <w:kern w:val="2"/>
          <w:sz w:val="24"/>
          <w:szCs w:val="24"/>
          <w:highlight w:val="none"/>
        </w:rPr>
        <w:t>年</w:t>
      </w:r>
      <w:r>
        <w:rPr>
          <w:rStyle w:val="77"/>
          <w:rFonts w:hint="eastAsia" w:ascii="仿宋" w:hAnsi="仿宋" w:eastAsia="仿宋" w:cs="仿宋"/>
          <w:snapToGrid/>
          <w:color w:val="auto"/>
          <w:kern w:val="2"/>
          <w:sz w:val="24"/>
          <w:szCs w:val="24"/>
          <w:highlight w:val="none"/>
          <w:lang w:val="en-US" w:eastAsia="zh-CN"/>
        </w:rPr>
        <w:t>7</w:t>
      </w:r>
      <w:r>
        <w:rPr>
          <w:rStyle w:val="77"/>
          <w:rFonts w:hint="eastAsia" w:ascii="仿宋" w:hAnsi="仿宋" w:eastAsia="仿宋" w:cs="仿宋"/>
          <w:snapToGrid/>
          <w:color w:val="auto"/>
          <w:kern w:val="2"/>
          <w:sz w:val="24"/>
          <w:szCs w:val="24"/>
          <w:highlight w:val="none"/>
        </w:rPr>
        <w:t>月</w:t>
      </w:r>
      <w:r>
        <w:rPr>
          <w:rStyle w:val="77"/>
          <w:rFonts w:hint="eastAsia" w:ascii="仿宋" w:hAnsi="仿宋" w:eastAsia="仿宋" w:cs="仿宋"/>
          <w:snapToGrid/>
          <w:color w:val="auto"/>
          <w:kern w:val="2"/>
          <w:sz w:val="24"/>
          <w:szCs w:val="24"/>
          <w:highlight w:val="none"/>
          <w:lang w:val="en-US" w:eastAsia="zh-CN"/>
        </w:rPr>
        <w:t>30</w:t>
      </w:r>
      <w:r>
        <w:rPr>
          <w:rStyle w:val="77"/>
          <w:rFonts w:hint="eastAsia" w:ascii="仿宋" w:hAnsi="仿宋" w:eastAsia="仿宋" w:cs="仿宋"/>
          <w:snapToGrid/>
          <w:color w:val="auto"/>
          <w:kern w:val="2"/>
          <w:sz w:val="24"/>
          <w:szCs w:val="24"/>
          <w:highlight w:val="none"/>
        </w:rPr>
        <w:t>日</w:t>
      </w:r>
      <w:r>
        <w:rPr>
          <w:rStyle w:val="77"/>
          <w:rFonts w:hint="eastAsia" w:ascii="仿宋" w:hAnsi="仿宋" w:eastAsia="仿宋" w:cs="仿宋"/>
          <w:snapToGrid/>
          <w:color w:val="auto"/>
          <w:kern w:val="2"/>
          <w:sz w:val="24"/>
          <w:szCs w:val="24"/>
          <w:highlight w:val="none"/>
          <w:lang w:val="en-US" w:eastAsia="zh-CN"/>
        </w:rPr>
        <w:t>09</w:t>
      </w:r>
      <w:r>
        <w:rPr>
          <w:rStyle w:val="77"/>
          <w:rFonts w:hint="eastAsia" w:ascii="仿宋" w:hAnsi="仿宋" w:eastAsia="仿宋" w:cs="仿宋"/>
          <w:snapToGrid/>
          <w:color w:val="auto"/>
          <w:kern w:val="2"/>
          <w:sz w:val="24"/>
          <w:szCs w:val="24"/>
          <w:highlight w:val="none"/>
        </w:rPr>
        <w:t>点</w:t>
      </w:r>
      <w:r>
        <w:rPr>
          <w:rStyle w:val="77"/>
          <w:rFonts w:hint="eastAsia" w:ascii="仿宋" w:hAnsi="仿宋" w:eastAsia="仿宋" w:cs="仿宋"/>
          <w:snapToGrid/>
          <w:color w:val="auto"/>
          <w:kern w:val="2"/>
          <w:sz w:val="24"/>
          <w:szCs w:val="24"/>
          <w:highlight w:val="none"/>
          <w:lang w:val="en-US" w:eastAsia="zh-CN"/>
        </w:rPr>
        <w:t>30</w:t>
      </w:r>
      <w:r>
        <w:rPr>
          <w:rStyle w:val="77"/>
          <w:rFonts w:hint="eastAsia" w:ascii="仿宋" w:hAnsi="仿宋" w:eastAsia="仿宋" w:cs="仿宋"/>
          <w:snapToGrid/>
          <w:color w:val="auto"/>
          <w:kern w:val="2"/>
          <w:sz w:val="24"/>
          <w:szCs w:val="24"/>
          <w:highlight w:val="none"/>
        </w:rPr>
        <w:t>分</w:t>
      </w:r>
      <w:r>
        <w:rPr>
          <w:rStyle w:val="77"/>
          <w:rFonts w:hint="eastAsia" w:ascii="仿宋" w:hAnsi="仿宋" w:eastAsia="仿宋" w:cs="仿宋"/>
          <w:bCs/>
          <w:snapToGrid/>
          <w:color w:val="auto"/>
          <w:kern w:val="2"/>
          <w:sz w:val="24"/>
          <w:szCs w:val="24"/>
          <w:highlight w:val="none"/>
        </w:rPr>
        <w:t>00秒</w:t>
      </w:r>
      <w:r>
        <w:rPr>
          <w:rStyle w:val="77"/>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7C4F3E3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7630B3BA">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项目编号：QTCG-GK-2025-104</w:t>
      </w:r>
      <w:r>
        <w:rPr>
          <w:rFonts w:hint="eastAsia" w:ascii="仿宋" w:hAnsi="仿宋" w:eastAsia="仿宋" w:cs="仿宋"/>
          <w:color w:val="auto"/>
          <w:sz w:val="24"/>
          <w:highlight w:val="none"/>
          <w:lang w:val="en-US" w:eastAsia="zh-CN"/>
        </w:rPr>
        <w:t xml:space="preserve"> </w:t>
      </w:r>
    </w:p>
    <w:p w14:paraId="48B203F5">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lang w:eastAsia="zh-CN"/>
        </w:rPr>
        <w:t>2025年义蓬街道交通设施更新维修项目</w:t>
      </w:r>
    </w:p>
    <w:p w14:paraId="7C7400AB">
      <w:pPr>
        <w:spacing w:line="360" w:lineRule="auto"/>
        <w:rPr>
          <w:rFonts w:hint="default" w:ascii="仿宋" w:hAnsi="仿宋" w:eastAsia="仿宋" w:cs="仿宋"/>
          <w:b w:val="0"/>
          <w:bCs w:val="0"/>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w:t>
      </w:r>
      <w:r>
        <w:rPr>
          <w:rFonts w:hint="eastAsia" w:ascii="仿宋" w:hAnsi="仿宋" w:eastAsia="仿宋" w:cs="仿宋"/>
          <w:b w:val="0"/>
          <w:bCs w:val="0"/>
          <w:color w:val="auto"/>
          <w:sz w:val="24"/>
          <w:highlight w:val="none"/>
        </w:rPr>
        <w:t>预算金额（元）：</w:t>
      </w:r>
      <w:r>
        <w:rPr>
          <w:rFonts w:hint="eastAsia" w:ascii="仿宋" w:hAnsi="仿宋" w:cs="仿宋"/>
          <w:b w:val="0"/>
          <w:bCs w:val="0"/>
          <w:color w:val="auto"/>
          <w:sz w:val="24"/>
          <w:highlight w:val="none"/>
          <w:lang w:val="en-US" w:eastAsia="zh-CN"/>
        </w:rPr>
        <w:t>1000000.00</w:t>
      </w:r>
    </w:p>
    <w:p w14:paraId="4FA03883">
      <w:pPr>
        <w:spacing w:line="360" w:lineRule="auto"/>
        <w:ind w:left="420" w:leftChars="200"/>
        <w:jc w:val="left"/>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最高限价</w:t>
      </w:r>
      <w:r>
        <w:rPr>
          <w:rFonts w:hint="eastAsia" w:ascii="仿宋" w:hAnsi="仿宋" w:eastAsia="仿宋" w:cs="仿宋"/>
          <w:color w:val="auto"/>
          <w:sz w:val="24"/>
          <w:szCs w:val="28"/>
          <w:highlight w:val="none"/>
          <w:lang w:eastAsia="zh-CN"/>
        </w:rPr>
        <w:t>（元）</w:t>
      </w:r>
      <w:r>
        <w:rPr>
          <w:rFonts w:hint="eastAsia" w:ascii="仿宋" w:hAnsi="仿宋" w:eastAsia="仿宋" w:cs="仿宋"/>
          <w:color w:val="auto"/>
          <w:sz w:val="24"/>
          <w:szCs w:val="28"/>
          <w:highlight w:val="none"/>
        </w:rPr>
        <w:t>：</w:t>
      </w:r>
      <w:r>
        <w:rPr>
          <w:rFonts w:hint="eastAsia" w:ascii="仿宋" w:hAnsi="仿宋" w:eastAsia="仿宋" w:cs="仿宋"/>
          <w:color w:val="auto"/>
          <w:sz w:val="24"/>
          <w:szCs w:val="28"/>
          <w:highlight w:val="none"/>
          <w:lang w:val="en-US" w:eastAsia="zh-CN"/>
        </w:rPr>
        <w:t>1000000.00</w:t>
      </w:r>
    </w:p>
    <w:p w14:paraId="56C86FBB">
      <w:pPr>
        <w:ind w:left="420" w:leftChars="200"/>
        <w:jc w:val="left"/>
        <w:rPr>
          <w:rFonts w:hint="eastAsia" w:ascii="仿宋" w:hAnsi="仿宋" w:eastAsia="仿宋" w:cs="仿宋"/>
          <w:b w:val="0"/>
          <w:bCs/>
          <w:snapToGrid/>
          <w:color w:val="auto"/>
          <w:kern w:val="2"/>
          <w:sz w:val="24"/>
          <w:szCs w:val="24"/>
          <w:highlight w:val="none"/>
        </w:rPr>
      </w:pPr>
      <w:r>
        <w:rPr>
          <w:rFonts w:hint="eastAsia" w:ascii="仿宋" w:hAnsi="仿宋" w:eastAsia="仿宋" w:cs="仿宋"/>
          <w:color w:val="auto"/>
          <w:sz w:val="24"/>
          <w:szCs w:val="28"/>
          <w:highlight w:val="none"/>
        </w:rPr>
        <w:t>采购需求：</w:t>
      </w:r>
      <w:r>
        <w:rPr>
          <w:rFonts w:hint="eastAsia" w:ascii="仿宋" w:hAnsi="仿宋" w:eastAsia="仿宋" w:cs="仿宋"/>
          <w:color w:val="auto"/>
          <w:sz w:val="24"/>
          <w:highlight w:val="none"/>
          <w:lang w:eastAsia="zh-CN"/>
        </w:rPr>
        <w:t>2025年义蓬街道交通设施更新维修项目，</w:t>
      </w:r>
      <w:r>
        <w:rPr>
          <w:rFonts w:hint="eastAsia" w:ascii="仿宋" w:hAnsi="仿宋" w:eastAsia="仿宋" w:cs="仿宋"/>
          <w:b w:val="0"/>
          <w:bCs/>
          <w:snapToGrid/>
          <w:color w:val="auto"/>
          <w:kern w:val="2"/>
          <w:sz w:val="24"/>
          <w:szCs w:val="24"/>
          <w:highlight w:val="none"/>
        </w:rPr>
        <w:t>简要规格描述或项目基本概况介绍、用途</w:t>
      </w:r>
      <w:r>
        <w:rPr>
          <w:rFonts w:hint="eastAsia" w:ascii="仿宋" w:hAnsi="仿宋" w:eastAsia="仿宋" w:cs="仿宋"/>
          <w:b w:val="0"/>
          <w:bCs/>
          <w:snapToGrid/>
          <w:color w:val="auto"/>
          <w:kern w:val="2"/>
          <w:sz w:val="24"/>
          <w:szCs w:val="24"/>
          <w:highlight w:val="none"/>
          <w:lang w:eastAsia="zh-CN"/>
        </w:rPr>
        <w:t>：</w:t>
      </w:r>
      <w:r>
        <w:rPr>
          <w:rFonts w:hint="eastAsia" w:ascii="仿宋" w:hAnsi="仿宋" w:eastAsia="仿宋" w:cs="仿宋"/>
          <w:b w:val="0"/>
          <w:bCs/>
          <w:snapToGrid/>
          <w:color w:val="auto"/>
          <w:kern w:val="2"/>
          <w:sz w:val="24"/>
          <w:szCs w:val="24"/>
          <w:highlight w:val="none"/>
        </w:rPr>
        <w:t>详见招标文件第三部分采购需求。</w:t>
      </w:r>
    </w:p>
    <w:p w14:paraId="0A696F68">
      <w:pPr>
        <w:pStyle w:val="129"/>
        <w:ind w:firstLine="482"/>
        <w:outlineLvl w:val="2"/>
        <w:rPr>
          <w:rFonts w:hint="eastAsia" w:ascii="仿宋" w:hAnsi="仿宋" w:eastAsia="仿宋" w:cs="仿宋"/>
          <w:color w:val="auto"/>
          <w:highlight w:val="none"/>
          <w:lang w:eastAsia="zh-CN"/>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val="en-US" w:eastAsia="zh-CN"/>
        </w:rPr>
        <w:t>2年，</w:t>
      </w:r>
      <w:r>
        <w:rPr>
          <w:rFonts w:hint="eastAsia" w:ascii="仿宋" w:hAnsi="仿宋" w:eastAsia="仿宋" w:cs="仿宋"/>
          <w:b/>
          <w:color w:val="auto"/>
          <w:highlight w:val="none"/>
          <w:lang w:eastAsia="zh-CN"/>
        </w:rPr>
        <w:t>详见招标文件</w:t>
      </w:r>
    </w:p>
    <w:p w14:paraId="01CBF5D9">
      <w:pPr>
        <w:pStyle w:val="6"/>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4648"/>
          <w14:checkbox>
            <w14:checked w14:val="1"/>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Wingdings" w:hAnsi="Wingdings" w:eastAsia="仿宋" w:cs="仿宋"/>
              <w:snapToGrid/>
              <w:color w:val="auto"/>
              <w:kern w:val="2"/>
              <w:sz w:val="24"/>
              <w:szCs w:val="24"/>
              <w:highlight w:val="none"/>
              <w:lang w:val="en-US" w:eastAsia="zh-CN" w:bidi="ar-SA"/>
            </w:rPr>
            <w:t>þ</w:t>
          </w:r>
        </w:sdtContent>
      </w:sdt>
      <w:r>
        <w:rPr>
          <w:rFonts w:hint="eastAsia" w:ascii="仿宋" w:hAnsi="仿宋" w:eastAsia="仿宋" w:cs="仿宋"/>
          <w:snapToGrid/>
          <w:color w:val="auto"/>
          <w:kern w:val="2"/>
          <w:sz w:val="24"/>
          <w:szCs w:val="24"/>
          <w:highlight w:val="none"/>
        </w:rPr>
        <w:t xml:space="preserve"> </w:t>
      </w:r>
      <w:r>
        <w:rPr>
          <w:rFonts w:hint="eastAsia" w:ascii="仿宋" w:hAnsi="仿宋" w:eastAsia="仿宋" w:cs="仿宋"/>
          <w:b w:val="0"/>
          <w:snapToGrid/>
          <w:color w:val="auto"/>
          <w:kern w:val="2"/>
          <w:sz w:val="24"/>
          <w:szCs w:val="24"/>
          <w:highlight w:val="none"/>
          <w:lang w:val="en-US" w:eastAsia="zh-CN"/>
        </w:rPr>
        <w:t>是；</w:t>
      </w:r>
      <w:sdt>
        <w:sdtPr>
          <w:rPr>
            <w:rFonts w:hint="eastAsia" w:ascii="仿宋" w:hAnsi="仿宋" w:eastAsia="仿宋" w:cs="仿宋"/>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仿宋" w:hAnsi="仿宋" w:eastAsia="仿宋" w:cs="仿宋"/>
              <w:snapToGrid/>
              <w:color w:val="auto"/>
              <w:kern w:val="2"/>
              <w:sz w:val="24"/>
              <w:szCs w:val="24"/>
              <w:highlight w:val="none"/>
            </w:rPr>
            <w:t>☐</w:t>
          </w:r>
        </w:sdtContent>
      </w:sdt>
      <w:r>
        <w:rPr>
          <w:rFonts w:hint="eastAsia" w:ascii="仿宋" w:hAnsi="仿宋" w:eastAsia="仿宋" w:cs="仿宋"/>
          <w:snapToGrid/>
          <w:color w:val="auto"/>
          <w:kern w:val="2"/>
          <w:sz w:val="24"/>
          <w:szCs w:val="24"/>
          <w:highlight w:val="none"/>
        </w:rPr>
        <w:t xml:space="preserve"> </w:t>
      </w:r>
      <w:r>
        <w:rPr>
          <w:rFonts w:hint="eastAsia" w:ascii="仿宋" w:hAnsi="仿宋" w:eastAsia="仿宋" w:cs="仿宋"/>
          <w:b w:val="0"/>
          <w:snapToGrid/>
          <w:color w:val="auto"/>
          <w:kern w:val="2"/>
          <w:sz w:val="24"/>
          <w:szCs w:val="24"/>
          <w:highlight w:val="none"/>
          <w:lang w:val="en-US" w:eastAsia="zh-CN"/>
        </w:rPr>
        <w:t>否</w:t>
      </w:r>
    </w:p>
    <w:p w14:paraId="6A63F9D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72C0EA1B">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14DCCA3">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29AE197D">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0B69001F">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41BD8B58">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48B3E8ED">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6743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w:t>
      </w:r>
      <w:r>
        <w:rPr>
          <w:rFonts w:hint="eastAsia" w:ascii="仿宋" w:hAnsi="仿宋" w:eastAsia="仿宋" w:cs="仿宋"/>
          <w:color w:val="auto"/>
          <w:sz w:val="24"/>
          <w:szCs w:val="24"/>
          <w:highlight w:val="none"/>
        </w:rPr>
        <w:t>中小微</w:t>
      </w:r>
      <w:r>
        <w:rPr>
          <w:rFonts w:hint="eastAsia" w:ascii="仿宋" w:hAnsi="仿宋" w:eastAsia="仿宋" w:cs="仿宋"/>
          <w:color w:val="auto"/>
          <w:sz w:val="24"/>
          <w:highlight w:val="none"/>
        </w:rPr>
        <w:t>企业承接，提供中小企业声明函；</w:t>
      </w:r>
    </w:p>
    <w:p w14:paraId="637206F7">
      <w:pPr>
        <w:spacing w:line="360" w:lineRule="auto"/>
        <w:ind w:firstLine="897" w:firstLineChars="374"/>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w:t>
      </w:r>
      <w:r>
        <w:rPr>
          <w:rFonts w:hint="eastAsia" w:ascii="仿宋" w:hAnsi="仿宋" w:eastAsia="仿宋" w:cs="仿宋"/>
          <w:color w:val="auto"/>
          <w:sz w:val="24"/>
          <w:szCs w:val="24"/>
          <w:highlight w:val="none"/>
        </w:rPr>
        <w:t>小微</w:t>
      </w:r>
      <w:r>
        <w:rPr>
          <w:rFonts w:hint="eastAsia" w:ascii="仿宋" w:hAnsi="仿宋" w:eastAsia="仿宋" w:cs="仿宋"/>
          <w:color w:val="auto"/>
          <w:sz w:val="24"/>
          <w:highlight w:val="none"/>
        </w:rPr>
        <w:t>企业承接，提供中小企业声明函；</w:t>
      </w:r>
    </w:p>
    <w:p w14:paraId="2A577CA7">
      <w:pPr>
        <w:spacing w:line="360" w:lineRule="auto"/>
        <w:ind w:firstLine="480" w:firstLineChars="200"/>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bookmarkStart w:id="7" w:name="_Hlk101132524"/>
        </w:sdtContent>
      </w:sdt>
      <w:r>
        <w:rPr>
          <w:rFonts w:hint="eastAsia" w:ascii="仿宋" w:hAnsi="仿宋" w:eastAsia="仿宋" w:cs="仿宋"/>
          <w:color w:val="auto"/>
          <w:kern w:val="2"/>
          <w:sz w:val="24"/>
          <w:szCs w:val="24"/>
          <w:highlight w:val="none"/>
        </w:rPr>
        <w:t>供应商应</w:t>
      </w:r>
      <w:r>
        <w:rPr>
          <w:rFonts w:hint="eastAsia" w:ascii="仿宋" w:hAnsi="仿宋" w:eastAsia="仿宋" w:cs="仿宋"/>
          <w:color w:val="auto"/>
          <w:sz w:val="24"/>
          <w:szCs w:val="24"/>
          <w:highlight w:val="none"/>
        </w:rPr>
        <w:t>以联合体形式参加，并按要求提供联合协议和中小企业声明函，联合协议中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中小企业合同金额应当达到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%，其中小微企业合同金额应当达到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pacing w:val="8"/>
          <w:kern w:val="0"/>
          <w:sz w:val="24"/>
          <w:szCs w:val="24"/>
          <w:highlight w:val="none"/>
        </w:rPr>
        <w:t>如果供应商提供</w:t>
      </w:r>
      <w:r>
        <w:rPr>
          <w:rFonts w:hint="eastAsia" w:ascii="仿宋" w:hAnsi="仿宋" w:eastAsia="仿宋" w:cs="仿宋"/>
          <w:color w:val="auto"/>
          <w:spacing w:val="8"/>
          <w:kern w:val="0"/>
          <w:sz w:val="24"/>
          <w:szCs w:val="24"/>
          <w:highlight w:val="none"/>
          <w:lang w:val="en-US" w:eastAsia="zh-CN"/>
        </w:rPr>
        <w:t>的</w:t>
      </w:r>
      <w:r>
        <w:rPr>
          <w:rFonts w:hint="eastAsia" w:ascii="仿宋" w:hAnsi="仿宋" w:eastAsia="仿宋" w:cs="仿宋"/>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仿宋" w:hAnsi="仿宋" w:eastAsia="仿宋" w:cs="仿宋"/>
          <w:color w:val="auto"/>
          <w:spacing w:val="0"/>
          <w:kern w:val="2"/>
          <w:sz w:val="24"/>
          <w:szCs w:val="24"/>
          <w:highlight w:val="none"/>
        </w:rPr>
        <w:t>按要求提供</w:t>
      </w:r>
      <w:r>
        <w:rPr>
          <w:rFonts w:hint="eastAsia" w:ascii="仿宋" w:hAnsi="仿宋" w:eastAsia="仿宋" w:cs="仿宋"/>
          <w:color w:val="auto"/>
          <w:sz w:val="24"/>
          <w:szCs w:val="24"/>
          <w:highlight w:val="none"/>
        </w:rPr>
        <w:t>中小企业声明函；</w:t>
      </w:r>
    </w:p>
    <w:bookmarkEnd w:id="7"/>
    <w:p w14:paraId="4149159F">
      <w:pPr>
        <w:spacing w:line="360" w:lineRule="auto"/>
        <w:ind w:firstLine="480" w:firstLineChars="200"/>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2"/>
          <w:sz w:val="24"/>
          <w:szCs w:val="24"/>
          <w:highlight w:val="none"/>
        </w:rPr>
        <w:t>供应商应</w:t>
      </w:r>
      <w:r>
        <w:rPr>
          <w:rFonts w:hint="eastAsia" w:ascii="仿宋" w:hAnsi="仿宋" w:eastAsia="仿宋" w:cs="仿宋"/>
          <w:color w:val="auto"/>
          <w:kern w:val="2"/>
          <w:sz w:val="24"/>
          <w:szCs w:val="24"/>
          <w:highlight w:val="none"/>
          <w:lang w:val="en-US" w:eastAsia="zh-CN"/>
        </w:rPr>
        <w:t>以</w:t>
      </w:r>
      <w:r>
        <w:rPr>
          <w:rFonts w:hint="eastAsia" w:ascii="仿宋" w:hAnsi="仿宋" w:eastAsia="仿宋" w:cs="仿宋"/>
          <w:color w:val="auto"/>
          <w:sz w:val="24"/>
          <w:szCs w:val="24"/>
          <w:highlight w:val="none"/>
        </w:rPr>
        <w:t>合同分包形式参加，并按要求提供分包意向协议和中小企业声明函，分包意向协议中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中小企业合同金额应当达到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，其中小微企业合同金额应当达到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w:t>
      </w:r>
      <w:r>
        <w:rPr>
          <w:rFonts w:hint="eastAsia" w:ascii="仿宋" w:hAnsi="仿宋" w:eastAsia="仿宋" w:cs="仿宋"/>
          <w:color w:val="auto"/>
          <w:spacing w:val="8"/>
          <w:kern w:val="0"/>
          <w:sz w:val="24"/>
          <w:szCs w:val="24"/>
          <w:highlight w:val="none"/>
        </w:rPr>
        <w:t>如果供应商提供</w:t>
      </w:r>
      <w:r>
        <w:rPr>
          <w:rFonts w:hint="eastAsia" w:ascii="仿宋" w:hAnsi="仿宋" w:eastAsia="仿宋" w:cs="仿宋"/>
          <w:color w:val="auto"/>
          <w:spacing w:val="8"/>
          <w:kern w:val="0"/>
          <w:sz w:val="24"/>
          <w:szCs w:val="24"/>
          <w:highlight w:val="none"/>
          <w:lang w:val="en-US" w:eastAsia="zh-CN"/>
        </w:rPr>
        <w:t>的</w:t>
      </w:r>
      <w:r>
        <w:rPr>
          <w:rFonts w:hint="eastAsia" w:ascii="仿宋" w:hAnsi="仿宋" w:eastAsia="仿宋" w:cs="仿宋"/>
          <w:color w:val="auto"/>
          <w:spacing w:val="8"/>
          <w:kern w:val="0"/>
          <w:sz w:val="24"/>
          <w:szCs w:val="24"/>
          <w:highlight w:val="none"/>
        </w:rPr>
        <w:t>所有标的均由中小企业制造、承建或承接，并相应达到了前述比例要求，无需再向中小企业分包，</w:t>
      </w:r>
      <w:r>
        <w:rPr>
          <w:rFonts w:hint="eastAsia" w:ascii="仿宋" w:hAnsi="仿宋" w:eastAsia="仿宋" w:cs="仿宋"/>
          <w:color w:val="auto"/>
          <w:spacing w:val="0"/>
          <w:kern w:val="2"/>
          <w:sz w:val="24"/>
          <w:szCs w:val="24"/>
          <w:highlight w:val="none"/>
        </w:rPr>
        <w:t>按要求提供</w:t>
      </w:r>
      <w:r>
        <w:rPr>
          <w:rFonts w:hint="eastAsia" w:ascii="仿宋" w:hAnsi="仿宋" w:eastAsia="仿宋" w:cs="仿宋"/>
          <w:color w:val="auto"/>
          <w:sz w:val="24"/>
          <w:szCs w:val="24"/>
          <w:highlight w:val="none"/>
        </w:rPr>
        <w:t>中小企业声明函；</w:t>
      </w:r>
    </w:p>
    <w:p w14:paraId="49DF3D8C">
      <w:pPr>
        <w:numPr>
          <w:ilvl w:val="0"/>
          <w:numId w:val="1"/>
        </w:num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本项目的特定资格要求：</w:t>
      </w:r>
    </w:p>
    <w:p w14:paraId="45098293">
      <w:pPr>
        <w:spacing w:line="360" w:lineRule="auto"/>
        <w:rPr>
          <w:rFonts w:hint="eastAsia" w:ascii="仿宋" w:hAnsi="仿宋" w:eastAsia="仿宋" w:cs="仿宋"/>
          <w:color w:val="auto"/>
          <w:sz w:val="24"/>
          <w:szCs w:val="24"/>
          <w:highlight w:val="none"/>
          <w:lang w:val="en-US" w:eastAsia="zh-CN"/>
        </w:rPr>
      </w:pPr>
      <w:sdt>
        <w:sdtPr>
          <w:rPr>
            <w:rFonts w:hint="eastAsia" w:ascii="仿宋" w:hAnsi="仿宋" w:eastAsia="仿宋" w:cs="仿宋"/>
            <w:color w:val="auto"/>
            <w:sz w:val="24"/>
            <w:szCs w:val="24"/>
            <w:highlight w:val="none"/>
          </w:rPr>
          <w:id w:val="4656"/>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sz w:val="24"/>
          <w:szCs w:val="24"/>
          <w:highlight w:val="none"/>
          <w:lang w:val="en-US" w:eastAsia="zh-CN"/>
        </w:rPr>
        <w:t>无。</w:t>
      </w:r>
    </w:p>
    <w:p w14:paraId="02523CFC">
      <w:pPr>
        <w:spacing w:line="360" w:lineRule="auto"/>
        <w:rPr>
          <w:rFonts w:hint="eastAsia" w:ascii="仿宋" w:hAnsi="仿宋" w:eastAsia="仿宋" w:cs="仿宋"/>
          <w:color w:val="auto"/>
          <w:highlight w:val="none"/>
        </w:rPr>
      </w:pPr>
      <w:sdt>
        <w:sdtPr>
          <w:rPr>
            <w:rFonts w:hint="eastAsia" w:ascii="仿宋" w:hAnsi="仿宋" w:eastAsia="仿宋" w:cs="仿宋"/>
            <w:color w:val="auto"/>
            <w:sz w:val="24"/>
            <w:szCs w:val="24"/>
            <w:highlight w:val="none"/>
          </w:rPr>
          <w:id w:val="4657"/>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kern w:val="2"/>
              <w:sz w:val="24"/>
              <w:szCs w:val="24"/>
              <w:highlight w:val="none"/>
              <w:lang w:val="en-US" w:eastAsia="zh-CN" w:bidi="ar-SA"/>
            </w:rPr>
            <w:t>☐</w:t>
          </w:r>
        </w:sdtContent>
      </w:sdt>
      <w:r>
        <w:rPr>
          <w:rFonts w:hint="eastAsia" w:ascii="仿宋" w:hAnsi="仿宋" w:eastAsia="仿宋" w:cs="仿宋"/>
          <w:color w:val="auto"/>
          <w:sz w:val="24"/>
          <w:szCs w:val="24"/>
          <w:highlight w:val="none"/>
        </w:rPr>
        <w:t>有特定资格要求：               ，该特定条件的法律法规据：             。</w:t>
      </w:r>
    </w:p>
    <w:p w14:paraId="0105576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4B8FA5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571E15D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val="en-US" w:eastAsia="zh-CN"/>
        </w:rPr>
        <w:t>2025年7月30日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098132F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7A3E895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1B85B62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2975164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55EE67B0">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Style w:val="77"/>
          <w:rFonts w:hint="eastAsia" w:ascii="仿宋" w:hAnsi="仿宋" w:eastAsia="仿宋" w:cs="仿宋"/>
          <w:snapToGrid/>
          <w:color w:val="auto"/>
          <w:kern w:val="2"/>
          <w:sz w:val="24"/>
          <w:szCs w:val="24"/>
          <w:highlight w:val="none"/>
          <w:lang w:val="en-US" w:eastAsia="zh-CN"/>
        </w:rPr>
        <w:t>2025</w:t>
      </w:r>
      <w:r>
        <w:rPr>
          <w:rStyle w:val="77"/>
          <w:rFonts w:hint="eastAsia" w:ascii="仿宋" w:hAnsi="仿宋" w:eastAsia="仿宋" w:cs="仿宋"/>
          <w:snapToGrid/>
          <w:color w:val="auto"/>
          <w:kern w:val="2"/>
          <w:sz w:val="24"/>
          <w:szCs w:val="24"/>
          <w:highlight w:val="none"/>
        </w:rPr>
        <w:t>年</w:t>
      </w:r>
      <w:r>
        <w:rPr>
          <w:rStyle w:val="77"/>
          <w:rFonts w:hint="eastAsia" w:ascii="仿宋" w:hAnsi="仿宋" w:eastAsia="仿宋" w:cs="仿宋"/>
          <w:snapToGrid/>
          <w:color w:val="auto"/>
          <w:kern w:val="2"/>
          <w:sz w:val="24"/>
          <w:szCs w:val="24"/>
          <w:highlight w:val="none"/>
          <w:lang w:val="en-US" w:eastAsia="zh-CN"/>
        </w:rPr>
        <w:t>7</w:t>
      </w:r>
      <w:r>
        <w:rPr>
          <w:rStyle w:val="77"/>
          <w:rFonts w:hint="eastAsia" w:ascii="仿宋" w:hAnsi="仿宋" w:eastAsia="仿宋" w:cs="仿宋"/>
          <w:snapToGrid/>
          <w:color w:val="auto"/>
          <w:kern w:val="2"/>
          <w:sz w:val="24"/>
          <w:szCs w:val="24"/>
          <w:highlight w:val="none"/>
        </w:rPr>
        <w:t>月</w:t>
      </w:r>
      <w:r>
        <w:rPr>
          <w:rStyle w:val="77"/>
          <w:rFonts w:hint="eastAsia" w:ascii="仿宋" w:hAnsi="仿宋" w:eastAsia="仿宋" w:cs="仿宋"/>
          <w:snapToGrid/>
          <w:color w:val="auto"/>
          <w:kern w:val="2"/>
          <w:sz w:val="24"/>
          <w:szCs w:val="24"/>
          <w:highlight w:val="none"/>
          <w:lang w:val="en-US" w:eastAsia="zh-CN"/>
        </w:rPr>
        <w:t>30</w:t>
      </w:r>
      <w:r>
        <w:rPr>
          <w:rStyle w:val="77"/>
          <w:rFonts w:hint="eastAsia" w:ascii="仿宋" w:hAnsi="仿宋" w:eastAsia="仿宋" w:cs="仿宋"/>
          <w:snapToGrid/>
          <w:color w:val="auto"/>
          <w:kern w:val="2"/>
          <w:sz w:val="24"/>
          <w:szCs w:val="24"/>
          <w:highlight w:val="none"/>
        </w:rPr>
        <w:t>日</w:t>
      </w:r>
      <w:r>
        <w:rPr>
          <w:rStyle w:val="77"/>
          <w:rFonts w:hint="eastAsia" w:ascii="仿宋" w:hAnsi="仿宋" w:eastAsia="仿宋" w:cs="仿宋"/>
          <w:snapToGrid/>
          <w:color w:val="auto"/>
          <w:kern w:val="2"/>
          <w:sz w:val="24"/>
          <w:szCs w:val="24"/>
          <w:highlight w:val="none"/>
          <w:lang w:val="en-US" w:eastAsia="zh-CN"/>
        </w:rPr>
        <w:t>09</w:t>
      </w:r>
      <w:r>
        <w:rPr>
          <w:rStyle w:val="77"/>
          <w:rFonts w:hint="eastAsia" w:ascii="仿宋" w:hAnsi="仿宋" w:eastAsia="仿宋" w:cs="仿宋"/>
          <w:snapToGrid/>
          <w:color w:val="auto"/>
          <w:kern w:val="2"/>
          <w:sz w:val="24"/>
          <w:szCs w:val="24"/>
          <w:highlight w:val="none"/>
        </w:rPr>
        <w:t>点</w:t>
      </w:r>
      <w:r>
        <w:rPr>
          <w:rStyle w:val="77"/>
          <w:rFonts w:hint="eastAsia" w:ascii="仿宋" w:hAnsi="仿宋" w:eastAsia="仿宋" w:cs="仿宋"/>
          <w:snapToGrid/>
          <w:color w:val="auto"/>
          <w:kern w:val="2"/>
          <w:sz w:val="24"/>
          <w:szCs w:val="24"/>
          <w:highlight w:val="none"/>
          <w:lang w:val="en-US" w:eastAsia="zh-CN"/>
        </w:rPr>
        <w:t>30</w:t>
      </w:r>
      <w:r>
        <w:rPr>
          <w:rStyle w:val="77"/>
          <w:rFonts w:hint="eastAsia" w:ascii="仿宋" w:hAnsi="仿宋" w:eastAsia="仿宋" w:cs="仿宋"/>
          <w:snapToGrid/>
          <w:color w:val="auto"/>
          <w:kern w:val="2"/>
          <w:sz w:val="24"/>
          <w:szCs w:val="24"/>
          <w:highlight w:val="none"/>
        </w:rPr>
        <w:t>分</w:t>
      </w:r>
      <w:r>
        <w:rPr>
          <w:rStyle w:val="77"/>
          <w:rFonts w:hint="eastAsia" w:ascii="仿宋" w:hAnsi="仿宋" w:eastAsia="仿宋" w:cs="仿宋"/>
          <w:bCs/>
          <w:snapToGrid/>
          <w:color w:val="auto"/>
          <w:kern w:val="2"/>
          <w:sz w:val="24"/>
          <w:szCs w:val="24"/>
          <w:highlight w:val="none"/>
        </w:rPr>
        <w:t>00秒</w:t>
      </w:r>
      <w:r>
        <w:rPr>
          <w:rFonts w:hint="eastAsia" w:ascii="仿宋" w:hAnsi="仿宋" w:eastAsia="仿宋" w:cs="仿宋"/>
          <w:color w:val="auto"/>
          <w:sz w:val="24"/>
          <w:highlight w:val="none"/>
        </w:rPr>
        <w:t>（北京时间）</w:t>
      </w:r>
    </w:p>
    <w:p w14:paraId="52CDA218">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2674A133">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Style w:val="77"/>
          <w:rFonts w:hint="eastAsia" w:ascii="仿宋" w:hAnsi="仿宋" w:eastAsia="仿宋" w:cs="仿宋"/>
          <w:snapToGrid/>
          <w:color w:val="auto"/>
          <w:kern w:val="2"/>
          <w:sz w:val="24"/>
          <w:szCs w:val="24"/>
          <w:highlight w:val="none"/>
          <w:lang w:val="en-US" w:eastAsia="zh-CN"/>
        </w:rPr>
        <w:t>2025</w:t>
      </w:r>
      <w:r>
        <w:rPr>
          <w:rStyle w:val="77"/>
          <w:rFonts w:hint="eastAsia" w:ascii="仿宋" w:hAnsi="仿宋" w:eastAsia="仿宋" w:cs="仿宋"/>
          <w:snapToGrid/>
          <w:color w:val="auto"/>
          <w:kern w:val="2"/>
          <w:sz w:val="24"/>
          <w:szCs w:val="24"/>
          <w:highlight w:val="none"/>
        </w:rPr>
        <w:t>年</w:t>
      </w:r>
      <w:r>
        <w:rPr>
          <w:rStyle w:val="77"/>
          <w:rFonts w:hint="eastAsia" w:ascii="仿宋" w:hAnsi="仿宋" w:eastAsia="仿宋" w:cs="仿宋"/>
          <w:snapToGrid/>
          <w:color w:val="auto"/>
          <w:kern w:val="2"/>
          <w:sz w:val="24"/>
          <w:szCs w:val="24"/>
          <w:highlight w:val="none"/>
          <w:lang w:val="en-US" w:eastAsia="zh-CN"/>
        </w:rPr>
        <w:t>7</w:t>
      </w:r>
      <w:r>
        <w:rPr>
          <w:rStyle w:val="77"/>
          <w:rFonts w:hint="eastAsia" w:ascii="仿宋" w:hAnsi="仿宋" w:eastAsia="仿宋" w:cs="仿宋"/>
          <w:snapToGrid/>
          <w:color w:val="auto"/>
          <w:kern w:val="2"/>
          <w:sz w:val="24"/>
          <w:szCs w:val="24"/>
          <w:highlight w:val="none"/>
        </w:rPr>
        <w:t>月</w:t>
      </w:r>
      <w:r>
        <w:rPr>
          <w:rStyle w:val="77"/>
          <w:rFonts w:hint="eastAsia" w:ascii="仿宋" w:hAnsi="仿宋" w:eastAsia="仿宋" w:cs="仿宋"/>
          <w:snapToGrid/>
          <w:color w:val="auto"/>
          <w:kern w:val="2"/>
          <w:sz w:val="24"/>
          <w:szCs w:val="24"/>
          <w:highlight w:val="none"/>
          <w:lang w:val="en-US" w:eastAsia="zh-CN"/>
        </w:rPr>
        <w:t>30</w:t>
      </w:r>
      <w:r>
        <w:rPr>
          <w:rStyle w:val="77"/>
          <w:rFonts w:hint="eastAsia" w:ascii="仿宋" w:hAnsi="仿宋" w:eastAsia="仿宋" w:cs="仿宋"/>
          <w:snapToGrid/>
          <w:color w:val="auto"/>
          <w:kern w:val="2"/>
          <w:sz w:val="24"/>
          <w:szCs w:val="24"/>
          <w:highlight w:val="none"/>
        </w:rPr>
        <w:t>日</w:t>
      </w:r>
      <w:r>
        <w:rPr>
          <w:rStyle w:val="77"/>
          <w:rFonts w:hint="eastAsia" w:ascii="仿宋" w:hAnsi="仿宋" w:eastAsia="仿宋" w:cs="仿宋"/>
          <w:snapToGrid/>
          <w:color w:val="auto"/>
          <w:kern w:val="2"/>
          <w:sz w:val="24"/>
          <w:szCs w:val="24"/>
          <w:highlight w:val="none"/>
          <w:lang w:val="en-US" w:eastAsia="zh-CN"/>
        </w:rPr>
        <w:t>09</w:t>
      </w:r>
      <w:r>
        <w:rPr>
          <w:rStyle w:val="77"/>
          <w:rFonts w:hint="eastAsia" w:ascii="仿宋" w:hAnsi="仿宋" w:eastAsia="仿宋" w:cs="仿宋"/>
          <w:snapToGrid/>
          <w:color w:val="auto"/>
          <w:kern w:val="2"/>
          <w:sz w:val="24"/>
          <w:szCs w:val="24"/>
          <w:highlight w:val="none"/>
        </w:rPr>
        <w:t>点</w:t>
      </w:r>
      <w:r>
        <w:rPr>
          <w:rStyle w:val="77"/>
          <w:rFonts w:hint="eastAsia" w:ascii="仿宋" w:hAnsi="仿宋" w:eastAsia="仿宋" w:cs="仿宋"/>
          <w:snapToGrid/>
          <w:color w:val="auto"/>
          <w:kern w:val="2"/>
          <w:sz w:val="24"/>
          <w:szCs w:val="24"/>
          <w:highlight w:val="none"/>
          <w:lang w:val="en-US" w:eastAsia="zh-CN"/>
        </w:rPr>
        <w:t>30</w:t>
      </w:r>
      <w:r>
        <w:rPr>
          <w:rStyle w:val="77"/>
          <w:rFonts w:hint="eastAsia" w:ascii="仿宋" w:hAnsi="仿宋" w:eastAsia="仿宋" w:cs="仿宋"/>
          <w:snapToGrid/>
          <w:color w:val="auto"/>
          <w:kern w:val="2"/>
          <w:sz w:val="24"/>
          <w:szCs w:val="24"/>
          <w:highlight w:val="none"/>
        </w:rPr>
        <w:t>分</w:t>
      </w:r>
      <w:r>
        <w:rPr>
          <w:rStyle w:val="77"/>
          <w:rFonts w:hint="eastAsia" w:ascii="仿宋" w:hAnsi="仿宋" w:eastAsia="仿宋" w:cs="仿宋"/>
          <w:bCs/>
          <w:snapToGrid/>
          <w:color w:val="auto"/>
          <w:kern w:val="2"/>
          <w:sz w:val="24"/>
          <w:szCs w:val="24"/>
          <w:highlight w:val="none"/>
        </w:rPr>
        <w:t>00秒</w:t>
      </w:r>
      <w:r>
        <w:rPr>
          <w:rFonts w:hint="eastAsia" w:ascii="仿宋" w:hAnsi="仿宋" w:eastAsia="仿宋" w:cs="仿宋"/>
          <w:color w:val="auto"/>
          <w:sz w:val="24"/>
          <w:highlight w:val="none"/>
        </w:rPr>
        <w:t>（北京时间）</w:t>
      </w:r>
    </w:p>
    <w:p w14:paraId="48CD535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14A3231E">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5750FF3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21A619F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59FB2E9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A658FB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458258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E067F5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A700B7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15E4BF6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73F1726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eastAsia="zh-CN"/>
        </w:rPr>
        <w:t>杭州市钱塘区人民政府义蓬街道办事处</w:t>
      </w:r>
      <w:r>
        <w:rPr>
          <w:rFonts w:hint="eastAsia" w:ascii="仿宋" w:hAnsi="仿宋" w:eastAsia="仿宋" w:cs="仿宋"/>
          <w:color w:val="auto"/>
          <w:sz w:val="24"/>
          <w:highlight w:val="none"/>
        </w:rPr>
        <w:t xml:space="preserve"> </w:t>
      </w:r>
    </w:p>
    <w:p w14:paraId="71A315E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址：杭州市钱塘区义府大街668号</w:t>
      </w:r>
    </w:p>
    <w:p w14:paraId="0EA79246">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7CCB322F">
      <w:pPr>
        <w:spacing w:line="360" w:lineRule="auto"/>
        <w:ind w:firstLine="480" w:firstLineChars="200"/>
        <w:jc w:val="left"/>
        <w:rPr>
          <w:rFonts w:hint="eastAsia" w:ascii="仿宋" w:hAnsi="仿宋" w:cs="仿宋"/>
          <w:color w:val="auto"/>
          <w:sz w:val="24"/>
          <w:szCs w:val="28"/>
          <w:highlight w:val="none"/>
          <w:lang w:val="en-US" w:eastAsia="zh-CN"/>
        </w:rPr>
      </w:pPr>
      <w:r>
        <w:rPr>
          <w:rFonts w:hint="eastAsia" w:ascii="仿宋" w:hAnsi="仿宋" w:eastAsia="仿宋" w:cs="仿宋"/>
          <w:color w:val="auto"/>
          <w:sz w:val="24"/>
          <w:szCs w:val="28"/>
          <w:highlight w:val="none"/>
        </w:rPr>
        <w:t>项目联系人（询问）：</w:t>
      </w:r>
      <w:r>
        <w:rPr>
          <w:rFonts w:hint="eastAsia" w:ascii="仿宋" w:hAnsi="仿宋" w:eastAsia="仿宋" w:cs="仿宋"/>
          <w:color w:val="auto"/>
          <w:sz w:val="24"/>
          <w:szCs w:val="28"/>
          <w:highlight w:val="none"/>
          <w:lang w:val="en-US" w:eastAsia="zh-CN"/>
        </w:rPr>
        <w:t>王军伟</w:t>
      </w:r>
    </w:p>
    <w:p w14:paraId="49CB8B55">
      <w:pPr>
        <w:spacing w:line="36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项目联系方式（询问）：</w:t>
      </w:r>
      <w:r>
        <w:rPr>
          <w:rFonts w:hint="eastAsia" w:ascii="仿宋" w:hAnsi="仿宋" w:cs="仿宋"/>
          <w:color w:val="auto"/>
          <w:sz w:val="24"/>
          <w:szCs w:val="28"/>
          <w:highlight w:val="none"/>
          <w:lang w:val="en-US" w:eastAsia="zh-CN"/>
        </w:rPr>
        <w:t>0571-82193765</w:t>
      </w:r>
    </w:p>
    <w:p w14:paraId="15CBEC8B">
      <w:pPr>
        <w:spacing w:line="360" w:lineRule="auto"/>
        <w:ind w:firstLine="480" w:firstLineChars="200"/>
        <w:jc w:val="left"/>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 xml:space="preserve">质疑联系人：马凯 </w:t>
      </w:r>
      <w:r>
        <w:rPr>
          <w:rFonts w:hint="eastAsia" w:ascii="仿宋" w:hAnsi="仿宋" w:eastAsia="仿宋" w:cs="仿宋"/>
          <w:color w:val="auto"/>
          <w:sz w:val="24"/>
          <w:szCs w:val="28"/>
          <w:highlight w:val="none"/>
          <w:lang w:val="en-US" w:eastAsia="zh-CN"/>
        </w:rPr>
        <w:t xml:space="preserve"> </w:t>
      </w:r>
    </w:p>
    <w:p w14:paraId="5811DCC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质疑联系方式：0571-82193765</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val="en-US" w:eastAsia="zh-CN"/>
        </w:rPr>
        <w:t>请通过以下路径在线提起质疑：政采云-项目采购-询问质疑投诉-质疑列表）</w:t>
      </w:r>
    </w:p>
    <w:p w14:paraId="0B9B485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56C09D70">
      <w:pPr>
        <w:wordWrap/>
        <w:topLinePunct w:val="0"/>
        <w:bidi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浙江华夏工程管理有限公司</w:t>
      </w:r>
    </w:p>
    <w:p w14:paraId="3E4DBC8C">
      <w:pPr>
        <w:wordWrap/>
        <w:topLinePunct w:val="0"/>
        <w:bidi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萧山区金城路540号心意广场3幢1802室</w:t>
      </w:r>
    </w:p>
    <w:p w14:paraId="566BD39F">
      <w:pP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传    真：/             </w:t>
      </w:r>
    </w:p>
    <w:p w14:paraId="6C1DC0F9">
      <w:pPr>
        <w:shd w:val="clear"/>
        <w:wordWrap/>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冯雅琳</w:t>
      </w:r>
      <w:r>
        <w:rPr>
          <w:rFonts w:hint="eastAsia" w:ascii="仿宋" w:hAnsi="仿宋" w:eastAsia="仿宋" w:cs="仿宋"/>
          <w:color w:val="auto"/>
          <w:sz w:val="24"/>
          <w:highlight w:val="none"/>
        </w:rPr>
        <w:t>     　　　　　　　　　　</w:t>
      </w:r>
    </w:p>
    <w:p w14:paraId="05064113">
      <w:pPr>
        <w:shd w:val="clear"/>
        <w:wordWrap/>
        <w:topLinePunct w:val="0"/>
        <w:bidi w:val="0"/>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15858274344</w:t>
      </w:r>
    </w:p>
    <w:p w14:paraId="23DB74B7">
      <w:pPr>
        <w:spacing w:line="360" w:lineRule="auto"/>
        <w:ind w:firstLine="480"/>
        <w:rPr>
          <w:rFonts w:hint="eastAsia" w:ascii="仿宋" w:hAnsi="仿宋" w:eastAsia="仿宋" w:cs="仿宋"/>
          <w:sz w:val="24"/>
          <w:highlight w:val="none"/>
          <w:lang w:val="en-US" w:eastAsia="zh-CN"/>
        </w:rPr>
      </w:pPr>
      <w:bookmarkStart w:id="8" w:name="OLE_LINK3"/>
      <w:r>
        <w:rPr>
          <w:rFonts w:hint="eastAsia" w:ascii="仿宋" w:hAnsi="仿宋" w:eastAsia="仿宋" w:cs="仿宋"/>
          <w:sz w:val="24"/>
          <w:highlight w:val="none"/>
          <w:lang w:eastAsia="zh-CN"/>
        </w:rPr>
        <w:t>质疑联系人：</w:t>
      </w:r>
      <w:r>
        <w:rPr>
          <w:rFonts w:hint="eastAsia" w:ascii="仿宋" w:hAnsi="仿宋" w:eastAsia="仿宋" w:cs="仿宋"/>
          <w:sz w:val="24"/>
          <w:highlight w:val="none"/>
          <w:lang w:val="en-US" w:eastAsia="zh-CN"/>
        </w:rPr>
        <w:t>傅翔</w:t>
      </w:r>
    </w:p>
    <w:p w14:paraId="2E51B363">
      <w:pPr>
        <w:adjustRightInd/>
        <w:spacing w:line="360" w:lineRule="auto"/>
        <w:ind w:firstLine="480" w:firstLineChars="200"/>
        <w:rPr>
          <w:rFonts w:hint="default" w:ascii="仿宋" w:hAnsi="仿宋" w:cs="仿宋"/>
          <w:color w:val="auto"/>
          <w:sz w:val="24"/>
          <w:szCs w:val="28"/>
          <w:highlight w:val="none"/>
          <w:lang w:val="en-US" w:eastAsia="zh-CN"/>
        </w:rPr>
      </w:pPr>
      <w:r>
        <w:rPr>
          <w:rFonts w:hint="eastAsia" w:ascii="仿宋" w:hAnsi="仿宋" w:eastAsia="仿宋" w:cs="仿宋"/>
          <w:color w:val="auto"/>
          <w:sz w:val="24"/>
          <w:szCs w:val="28"/>
          <w:highlight w:val="none"/>
        </w:rPr>
        <w:t>质疑联系方式：</w:t>
      </w:r>
      <w:r>
        <w:rPr>
          <w:rFonts w:hint="eastAsia" w:ascii="仿宋" w:hAnsi="仿宋" w:cs="仿宋"/>
          <w:color w:val="auto"/>
          <w:sz w:val="24"/>
          <w:szCs w:val="28"/>
          <w:highlight w:val="none"/>
          <w:lang w:val="en-US" w:eastAsia="zh-CN"/>
        </w:rPr>
        <w:t>0571-57572683</w:t>
      </w:r>
    </w:p>
    <w:bookmarkEnd w:id="8"/>
    <w:p w14:paraId="3E80F72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（请通过以下路径在线提起质疑：政采云-项目采购-询问质疑投诉-质疑列表）</w:t>
      </w:r>
    </w:p>
    <w:p w14:paraId="0C3BA3D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同级政府采购监督管理部门            </w:t>
      </w:r>
    </w:p>
    <w:p w14:paraId="777D989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称：萧山区财政局</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浙江省政府采购行政裁决服务中心（杭州）</w:t>
      </w:r>
    </w:p>
    <w:p w14:paraId="04B7104F">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杭州市上城区清泰街549号城建综合大楼11楼</w:t>
      </w:r>
      <w:r>
        <w:rPr>
          <w:rFonts w:hint="eastAsia" w:ascii="仿宋" w:hAnsi="仿宋" w:eastAsia="仿宋" w:cs="仿宋"/>
          <w:color w:val="auto"/>
          <w:sz w:val="24"/>
          <w:highlight w:val="none"/>
        </w:rPr>
        <w:t>（快递仅限ems或顺丰）</w:t>
      </w:r>
    </w:p>
    <w:p w14:paraId="355844B7">
      <w:pPr>
        <w:spacing w:line="360" w:lineRule="auto"/>
        <w:ind w:left="237" w:leftChars="113" w:firstLine="180" w:firstLineChars="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lang w:val="en-US" w:eastAsia="zh-CN"/>
        </w:rPr>
        <w:t>/</w:t>
      </w:r>
    </w:p>
    <w:p w14:paraId="17BED05B">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w:t>
      </w:r>
      <w:r>
        <w:rPr>
          <w:rFonts w:hint="eastAsia" w:ascii="仿宋" w:hAnsi="仿宋" w:eastAsia="仿宋" w:cs="仿宋"/>
          <w:color w:val="auto"/>
          <w:sz w:val="24"/>
          <w:highlight w:val="none"/>
          <w:lang w:val="en-US" w:eastAsia="zh-CN"/>
        </w:rPr>
        <w:t>匡老师</w:t>
      </w:r>
    </w:p>
    <w:p w14:paraId="58D43391">
      <w:pPr>
        <w:spacing w:line="360" w:lineRule="auto"/>
        <w:ind w:left="237" w:leftChars="113" w:firstLine="180" w:firstLineChars="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监督投诉电话：0571-87807798</w:t>
      </w:r>
    </w:p>
    <w:p w14:paraId="205BF1D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BC6DDF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2199D581">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325EE717">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4"/>
      <w:r>
        <w:rPr>
          <w:rFonts w:hint="eastAsia" w:ascii="仿宋" w:hAnsi="仿宋" w:eastAsia="仿宋" w:cs="仿宋"/>
          <w:b/>
          <w:color w:val="auto"/>
          <w:sz w:val="36"/>
          <w:szCs w:val="20"/>
          <w:highlight w:val="none"/>
        </w:rPr>
        <w:t xml:space="preserve"> 投标人须知</w:t>
      </w:r>
      <w:bookmarkEnd w:id="5"/>
    </w:p>
    <w:p w14:paraId="1A572E88">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B1A57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14:paraId="1FF61AD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3C9BB43">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87C1EB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66E595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7" w:hRule="atLeast"/>
        </w:trPr>
        <w:tc>
          <w:tcPr>
            <w:tcW w:w="629" w:type="dxa"/>
            <w:tcBorders>
              <w:top w:val="single" w:color="auto" w:sz="4" w:space="0"/>
              <w:left w:val="single" w:color="auto" w:sz="4" w:space="0"/>
              <w:bottom w:val="single" w:color="auto" w:sz="4" w:space="0"/>
              <w:right w:val="single" w:color="auto" w:sz="4" w:space="0"/>
            </w:tcBorders>
            <w:vAlign w:val="center"/>
          </w:tcPr>
          <w:p w14:paraId="3798F5C2">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2C52E0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2D2DC7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314B6C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8" w:hRule="atLeast"/>
        </w:trPr>
        <w:tc>
          <w:tcPr>
            <w:tcW w:w="629" w:type="dxa"/>
            <w:tcBorders>
              <w:top w:val="single" w:color="auto" w:sz="4" w:space="0"/>
              <w:left w:val="single" w:color="auto" w:sz="4" w:space="0"/>
              <w:bottom w:val="single" w:color="auto" w:sz="4" w:space="0"/>
              <w:right w:val="single" w:color="auto" w:sz="4" w:space="0"/>
            </w:tcBorders>
            <w:vAlign w:val="center"/>
          </w:tcPr>
          <w:p w14:paraId="4946E7AE">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A88422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278B2D6">
            <w:pPr>
              <w:snapToGrid w:val="0"/>
              <w:spacing w:line="360" w:lineRule="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（1）标的一：</w:t>
            </w:r>
            <w:r>
              <w:rPr>
                <w:rFonts w:hint="eastAsia" w:ascii="仿宋" w:hAnsi="仿宋" w:eastAsia="仿宋" w:cs="仿宋"/>
                <w:color w:val="auto"/>
                <w:sz w:val="24"/>
                <w:highlight w:val="none"/>
                <w:u w:val="none"/>
                <w:lang w:eastAsia="zh-CN"/>
              </w:rPr>
              <w:t>2025年义蓬街道交通设施更新维修项目，</w:t>
            </w:r>
            <w:r>
              <w:rPr>
                <w:rFonts w:hint="eastAsia" w:ascii="仿宋" w:hAnsi="仿宋" w:eastAsia="仿宋" w:cs="仿宋"/>
                <w:color w:val="auto"/>
                <w:sz w:val="24"/>
                <w:highlight w:val="none"/>
                <w:u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其他未列明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行业；</w:t>
            </w:r>
          </w:p>
          <w:p w14:paraId="398B8C19">
            <w:pPr>
              <w:rPr>
                <w:rFonts w:hint="eastAsia" w:ascii="仿宋" w:hAnsi="仿宋" w:eastAsia="仿宋" w:cs="仿宋"/>
                <w:color w:val="auto"/>
                <w:highlight w:val="none"/>
              </w:rPr>
            </w:pPr>
            <w:r>
              <w:rPr>
                <w:rFonts w:hint="eastAsia" w:ascii="仿宋" w:hAnsi="仿宋" w:eastAsia="仿宋" w:cs="仿宋"/>
                <w:b w:val="0"/>
                <w:color w:val="auto"/>
                <w:sz w:val="24"/>
                <w:szCs w:val="24"/>
                <w:highlight w:val="none"/>
                <w:lang w:val="en-US" w:eastAsia="zh-CN"/>
              </w:rPr>
              <w:t>注：</w:t>
            </w:r>
            <w:r>
              <w:rPr>
                <w:rFonts w:hint="eastAsia" w:ascii="仿宋" w:hAnsi="仿宋" w:eastAsia="仿宋" w:cs="仿宋"/>
                <w:b w:val="0"/>
                <w:color w:val="auto"/>
                <w:sz w:val="24"/>
                <w:szCs w:val="24"/>
                <w:highlight w:val="none"/>
              </w:rPr>
              <w:t>中小企业</w:t>
            </w:r>
            <w:r>
              <w:rPr>
                <w:rFonts w:hint="eastAsia" w:ascii="仿宋" w:hAnsi="仿宋" w:eastAsia="仿宋" w:cs="仿宋"/>
                <w:b w:val="0"/>
                <w:color w:val="auto"/>
                <w:sz w:val="24"/>
                <w:szCs w:val="24"/>
                <w:highlight w:val="none"/>
                <w:lang w:val="en-US" w:eastAsia="zh-CN"/>
              </w:rPr>
              <w:t>划型标准详见</w:t>
            </w:r>
            <w:r>
              <w:rPr>
                <w:rFonts w:hint="eastAsia" w:ascii="仿宋" w:hAnsi="仿宋" w:eastAsia="仿宋" w:cs="仿宋"/>
                <w:b w:val="0"/>
                <w:color w:val="auto"/>
                <w:sz w:val="24"/>
                <w:szCs w:val="24"/>
                <w:highlight w:val="none"/>
              </w:rPr>
              <w:t>附件</w:t>
            </w:r>
            <w:r>
              <w:rPr>
                <w:rFonts w:hint="eastAsia" w:ascii="仿宋" w:hAnsi="仿宋" w:eastAsia="仿宋" w:cs="仿宋"/>
                <w:b w:val="0"/>
                <w:color w:val="auto"/>
                <w:sz w:val="24"/>
                <w:szCs w:val="24"/>
                <w:highlight w:val="none"/>
                <w:lang w:val="en-US" w:eastAsia="zh-CN"/>
              </w:rPr>
              <w:t>8。</w:t>
            </w:r>
          </w:p>
        </w:tc>
      </w:tr>
      <w:tr w14:paraId="7802E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1" w:hRule="atLeast"/>
        </w:trPr>
        <w:tc>
          <w:tcPr>
            <w:tcW w:w="629" w:type="dxa"/>
            <w:tcBorders>
              <w:top w:val="single" w:color="auto" w:sz="4" w:space="0"/>
              <w:left w:val="single" w:color="auto" w:sz="4" w:space="0"/>
              <w:bottom w:val="single" w:color="auto" w:sz="4" w:space="0"/>
              <w:right w:val="single" w:color="auto" w:sz="4" w:space="0"/>
            </w:tcBorders>
            <w:vAlign w:val="center"/>
          </w:tcPr>
          <w:p w14:paraId="1E3B2BAD">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A21E98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C20D0FD">
            <w:pPr>
              <w:bidi w:val="0"/>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58"/>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color w:val="auto"/>
                <w:sz w:val="24"/>
                <w:szCs w:val="24"/>
                <w:highlight w:val="none"/>
              </w:rPr>
              <w:t>本项目不允许采购进口产品。</w:t>
            </w:r>
          </w:p>
          <w:p w14:paraId="222121E5">
            <w:pPr>
              <w:bidi w:val="0"/>
              <w:rPr>
                <w:rFonts w:hint="eastAsia" w:ascii="仿宋" w:hAnsi="仿宋" w:eastAsia="仿宋" w:cs="仿宋"/>
                <w:color w:val="auto"/>
                <w:highlight w:val="none"/>
              </w:rPr>
            </w:pPr>
            <w:sdt>
              <w:sdtPr>
                <w:rPr>
                  <w:rFonts w:hint="eastAsia" w:ascii="仿宋" w:hAnsi="仿宋" w:eastAsia="仿宋" w:cs="仿宋"/>
                  <w:color w:val="auto"/>
                  <w:sz w:val="24"/>
                  <w:szCs w:val="24"/>
                  <w:highlight w:val="none"/>
                </w:rPr>
                <w:id w:val="4659"/>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可以就    采购进口产品。</w:t>
            </w:r>
            <w:r>
              <w:rPr>
                <w:rFonts w:hint="eastAsia" w:ascii="仿宋" w:hAnsi="仿宋" w:eastAsia="仿宋" w:cs="仿宋"/>
                <w:color w:val="auto"/>
                <w:kern w:val="0"/>
                <w:sz w:val="24"/>
                <w:szCs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szCs w:val="24"/>
                <w:highlight w:val="none"/>
                <w:u w:val="single"/>
              </w:rPr>
              <w:t>评分标准</w:t>
            </w:r>
            <w:r>
              <w:rPr>
                <w:rFonts w:hint="eastAsia" w:ascii="仿宋" w:hAnsi="仿宋" w:eastAsia="仿宋" w:cs="仿宋"/>
                <w:color w:val="auto"/>
                <w:kern w:val="0"/>
                <w:sz w:val="24"/>
                <w:szCs w:val="24"/>
                <w:highlight w:val="none"/>
              </w:rPr>
              <w:t>。</w:t>
            </w:r>
          </w:p>
        </w:tc>
      </w:tr>
      <w:tr w14:paraId="07D9AA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0" w:hRule="atLeast"/>
        </w:trPr>
        <w:tc>
          <w:tcPr>
            <w:tcW w:w="629" w:type="dxa"/>
            <w:tcBorders>
              <w:top w:val="single" w:color="auto" w:sz="4" w:space="0"/>
              <w:left w:val="single" w:color="auto" w:sz="4" w:space="0"/>
              <w:bottom w:val="single" w:color="auto" w:sz="4" w:space="0"/>
              <w:right w:val="single" w:color="auto" w:sz="4" w:space="0"/>
            </w:tcBorders>
            <w:vAlign w:val="center"/>
          </w:tcPr>
          <w:p w14:paraId="564AA7E3">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7A8C60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A15D558">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60"/>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 xml:space="preserve"> A</w:t>
            </w:r>
            <w:r>
              <w:rPr>
                <w:rFonts w:hint="eastAsia" w:ascii="仿宋" w:hAnsi="仿宋" w:eastAsia="仿宋" w:cs="仿宋"/>
                <w:color w:val="auto"/>
                <w:sz w:val="24"/>
                <w:szCs w:val="24"/>
                <w:highlight w:val="none"/>
              </w:rPr>
              <w:t>同意将非主体、非关键性的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工作分包。</w:t>
            </w:r>
            <w:sdt>
              <w:sdtPr>
                <w:rPr>
                  <w:rFonts w:hint="eastAsia" w:ascii="仿宋" w:hAnsi="仿宋" w:eastAsia="仿宋" w:cs="仿宋"/>
                  <w:color w:val="auto"/>
                  <w:kern w:val="0"/>
                  <w:sz w:val="24"/>
                  <w:szCs w:val="24"/>
                  <w:highlight w:val="none"/>
                </w:rPr>
                <w:id w:val="466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 xml:space="preserve"> B</w:t>
            </w:r>
            <w:r>
              <w:rPr>
                <w:rFonts w:hint="eastAsia" w:ascii="仿宋" w:hAnsi="仿宋" w:eastAsia="仿宋" w:cs="仿宋"/>
                <w:color w:val="auto"/>
                <w:sz w:val="24"/>
                <w:szCs w:val="24"/>
                <w:highlight w:val="none"/>
              </w:rPr>
              <w:t>不同意分包。</w:t>
            </w:r>
          </w:p>
          <w:p w14:paraId="05C95D1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注：不得限制大中型企业向小微企业合理分包。</w:t>
            </w:r>
          </w:p>
        </w:tc>
      </w:tr>
      <w:tr w14:paraId="619F4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49" w:hRule="atLeast"/>
        </w:trPr>
        <w:tc>
          <w:tcPr>
            <w:tcW w:w="629" w:type="dxa"/>
            <w:tcBorders>
              <w:top w:val="single" w:color="auto" w:sz="4" w:space="0"/>
              <w:left w:val="single" w:color="auto" w:sz="4" w:space="0"/>
              <w:bottom w:val="single" w:color="auto" w:sz="4" w:space="0"/>
              <w:right w:val="single" w:color="auto" w:sz="4" w:space="0"/>
            </w:tcBorders>
            <w:vAlign w:val="center"/>
          </w:tcPr>
          <w:p w14:paraId="304E28C7">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A00057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221EB0D">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5387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4A8B111B">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4745228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4489E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0" w:hRule="atLeast"/>
        </w:trPr>
        <w:tc>
          <w:tcPr>
            <w:tcW w:w="629" w:type="dxa"/>
            <w:tcBorders>
              <w:top w:val="single" w:color="auto" w:sz="4" w:space="0"/>
              <w:left w:val="single" w:color="auto" w:sz="4" w:space="0"/>
              <w:bottom w:val="single" w:color="auto" w:sz="4" w:space="0"/>
              <w:right w:val="single" w:color="auto" w:sz="4" w:space="0"/>
            </w:tcBorders>
            <w:vAlign w:val="center"/>
          </w:tcPr>
          <w:p w14:paraId="5130E670">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B1DD91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850B54E">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64"/>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sz w:val="24"/>
                <w:szCs w:val="24"/>
                <w:highlight w:val="none"/>
              </w:rPr>
              <w:t>A不要求提供。</w:t>
            </w:r>
          </w:p>
          <w:p w14:paraId="1C30ADD6">
            <w:pPr>
              <w:spacing w:line="360" w:lineRule="auto"/>
              <w:rPr>
                <w:rFonts w:hint="eastAsia" w:ascii="仿宋" w:hAnsi="仿宋" w:eastAsia="仿宋" w:cs="仿宋"/>
                <w:color w:val="auto"/>
                <w:highlight w:val="none"/>
              </w:rPr>
            </w:pPr>
            <w:sdt>
              <w:sdtPr>
                <w:rPr>
                  <w:rFonts w:hint="eastAsia" w:ascii="仿宋" w:hAnsi="仿宋" w:eastAsia="仿宋" w:cs="仿宋"/>
                  <w:color w:val="auto"/>
                  <w:sz w:val="24"/>
                  <w:szCs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B要求提供</w:t>
            </w:r>
            <w:r>
              <w:rPr>
                <w:rFonts w:hint="eastAsia" w:ascii="仿宋" w:hAnsi="仿宋" w:eastAsia="仿宋" w:cs="仿宋"/>
                <w:color w:val="auto"/>
                <w:kern w:val="0"/>
                <w:sz w:val="24"/>
                <w:szCs w:val="24"/>
                <w:highlight w:val="none"/>
              </w:rPr>
              <w:t>（未提供样品或提供样品不满足采购需求实质性条件的供应商，投标无效）</w:t>
            </w:r>
          </w:p>
        </w:tc>
      </w:tr>
      <w:tr w14:paraId="5B3D0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0" w:hRule="atLeast"/>
        </w:trPr>
        <w:tc>
          <w:tcPr>
            <w:tcW w:w="629" w:type="dxa"/>
            <w:tcBorders>
              <w:top w:val="single" w:color="auto" w:sz="4" w:space="0"/>
              <w:left w:val="single" w:color="auto" w:sz="4" w:space="0"/>
              <w:bottom w:val="single" w:color="auto" w:sz="4" w:space="0"/>
              <w:right w:val="single" w:color="auto" w:sz="4" w:space="0"/>
            </w:tcBorders>
            <w:vAlign w:val="center"/>
          </w:tcPr>
          <w:p w14:paraId="6FF6C347">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7D89049">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3EEA502">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70"/>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71A7C379">
            <w:pPr>
              <w:spacing w:line="360" w:lineRule="auto"/>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B组织。</w:t>
            </w:r>
          </w:p>
        </w:tc>
      </w:tr>
      <w:tr w14:paraId="3A17A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469C8E51">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06A9593">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323629E">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14:paraId="43CF5117">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14:paraId="2A05E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rPr>
        <w:tc>
          <w:tcPr>
            <w:tcW w:w="629" w:type="dxa"/>
            <w:vMerge w:val="continue"/>
            <w:tcBorders>
              <w:left w:val="single" w:color="auto" w:sz="4" w:space="0"/>
              <w:bottom w:val="single" w:color="auto" w:sz="4" w:space="0"/>
              <w:right w:val="single" w:color="auto" w:sz="4" w:space="0"/>
            </w:tcBorders>
            <w:vAlign w:val="center"/>
          </w:tcPr>
          <w:p w14:paraId="0E606F2E">
            <w:pPr>
              <w:snapToGrid w:val="0"/>
              <w:spacing w:line="360" w:lineRule="auto"/>
              <w:jc w:val="center"/>
              <w:rPr>
                <w:rFonts w:hint="eastAsia" w:ascii="仿宋" w:hAnsi="仿宋" w:eastAsia="仿宋" w:cs="仿宋"/>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B35442F">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DED9EB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（2）资信证明文件：根据招标文件第四部分评标标准提供</w:t>
            </w:r>
            <w:r>
              <w:rPr>
                <w:rFonts w:hint="eastAsia" w:ascii="仿宋" w:hAnsi="仿宋" w:eastAsia="仿宋" w:cs="仿宋"/>
                <w:color w:val="auto"/>
                <w:sz w:val="24"/>
                <w:highlight w:val="none"/>
                <w:u w:val="single"/>
                <w:lang w:val="en-US" w:eastAsia="zh-CN"/>
              </w:rPr>
              <w:t>有效的</w:t>
            </w:r>
            <w:r>
              <w:rPr>
                <w:rFonts w:hint="eastAsia" w:ascii="仿宋" w:hAnsi="仿宋" w:eastAsia="仿宋" w:cs="仿宋"/>
                <w:color w:val="auto"/>
                <w:sz w:val="24"/>
                <w:highlight w:val="none"/>
                <w:u w:val="single"/>
              </w:rPr>
              <w:t>资信证明文件</w:t>
            </w:r>
            <w:r>
              <w:rPr>
                <w:rFonts w:hint="eastAsia" w:ascii="仿宋" w:hAnsi="仿宋" w:eastAsia="仿宋" w:cs="仿宋"/>
                <w:color w:val="auto"/>
                <w:sz w:val="24"/>
                <w:szCs w:val="24"/>
                <w:highlight w:val="none"/>
                <w:u w:val="single"/>
              </w:rPr>
              <w:t>。</w:t>
            </w:r>
          </w:p>
        </w:tc>
      </w:tr>
      <w:tr w14:paraId="37D3C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8F3A62B">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473894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DF0462A">
            <w:pPr>
              <w:snapToGrid/>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78771A20">
            <w:pPr>
              <w:pStyle w:val="963"/>
              <w:pageBreakBefore w:val="0"/>
              <w:kinsoku/>
              <w:wordWrap/>
              <w:overflowPunct/>
              <w:topLinePunct w:val="0"/>
              <w:bidi w:val="0"/>
              <w:snapToGrid/>
              <w:spacing w:line="360" w:lineRule="auto"/>
              <w:jc w:val="both"/>
              <w:textAlignment w:val="auto"/>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仿宋" w:hAnsi="仿宋" w:eastAsia="仿宋" w:cs="仿宋"/>
                  <w:color w:val="auto"/>
                  <w:kern w:val="2"/>
                  <w:sz w:val="24"/>
                  <w:szCs w:val="24"/>
                  <w:highlight w:val="none"/>
                  <w:lang w:val="en-US" w:eastAsia="zh-CN" w:bidi="ar-SA"/>
                </w:rPr>
              </w:sdtEndPr>
              <w:sdtContent>
                <w:r>
                  <w:rPr>
                    <w:rFonts w:hint="eastAsia" w:ascii="仿宋" w:hAnsi="仿宋" w:eastAsia="仿宋" w:cs="仿宋"/>
                    <w:color w:val="auto"/>
                    <w:kern w:val="2"/>
                    <w:sz w:val="24"/>
                    <w:szCs w:val="24"/>
                    <w:highlight w:val="none"/>
                    <w:lang w:val="en-US" w:eastAsia="zh-CN" w:bidi="ar-SA"/>
                  </w:rPr>
                  <w:t>☐</w:t>
                </w:r>
              </w:sdtContent>
            </w:sdt>
            <w:r>
              <w:rPr>
                <w:rFonts w:hint="eastAsia" w:ascii="仿宋" w:hAnsi="仿宋" w:eastAsia="仿宋" w:cs="仿宋"/>
                <w:color w:val="auto"/>
                <w:kern w:val="2"/>
                <w:sz w:val="24"/>
                <w:szCs w:val="24"/>
                <w:highlight w:val="none"/>
                <w:lang w:val="en-US" w:eastAsia="zh-CN" w:bidi="ar-SA"/>
              </w:rPr>
              <w:t>强制采购。产品：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对实施政府强制采购，</w:t>
            </w:r>
            <w:r>
              <w:rPr>
                <w:rFonts w:hint="eastAsia" w:ascii="仿宋" w:hAnsi="仿宋" w:eastAsia="仿宋" w:cs="仿宋"/>
                <w:b/>
                <w:bCs/>
                <w:color w:val="auto"/>
                <w:kern w:val="0"/>
                <w:sz w:val="24"/>
                <w:highlight w:val="none"/>
                <w:lang w:val="zh-CN"/>
              </w:rPr>
              <w:t>投标人</w:t>
            </w:r>
            <w:r>
              <w:rPr>
                <w:rFonts w:hint="eastAsia" w:ascii="仿宋" w:hAnsi="仿宋" w:eastAsia="仿宋" w:cs="仿宋"/>
                <w:b/>
                <w:bCs/>
                <w:color w:val="auto"/>
                <w:kern w:val="0"/>
                <w:sz w:val="24"/>
                <w:highlight w:val="none"/>
              </w:rPr>
              <w:t>就</w:t>
            </w:r>
            <w:r>
              <w:rPr>
                <w:rFonts w:hint="eastAsia" w:ascii="仿宋" w:hAnsi="仿宋" w:eastAsia="仿宋" w:cs="仿宋"/>
                <w:b/>
                <w:bCs/>
                <w:color w:val="auto"/>
                <w:kern w:val="0"/>
                <w:sz w:val="24"/>
                <w:highlight w:val="none"/>
                <w:lang w:val="zh-CN"/>
              </w:rPr>
              <w:t>相应的投标产品未</w:t>
            </w:r>
            <w:r>
              <w:rPr>
                <w:rFonts w:hint="eastAsia" w:ascii="仿宋" w:hAnsi="仿宋" w:eastAsia="仿宋" w:cs="仿宋"/>
                <w:b/>
                <w:bCs/>
                <w:color w:val="auto"/>
                <w:kern w:val="0"/>
                <w:sz w:val="24"/>
                <w:highlight w:val="none"/>
              </w:rPr>
              <w:t>提供</w:t>
            </w:r>
            <w:r>
              <w:rPr>
                <w:rFonts w:hint="eastAsia" w:ascii="仿宋" w:hAnsi="仿宋" w:eastAsia="仿宋" w:cs="仿宋"/>
                <w:b/>
                <w:bCs/>
                <w:color w:val="auto"/>
                <w:kern w:val="0"/>
                <w:sz w:val="24"/>
                <w:highlight w:val="none"/>
                <w:lang w:val="zh-CN"/>
              </w:rPr>
              <w:t>国家确定的认证机构出具的、处于有效期之内的节能产品认证证书的，投标无效</w:t>
            </w:r>
            <w:r>
              <w:rPr>
                <w:rFonts w:hint="eastAsia" w:ascii="仿宋" w:hAnsi="仿宋" w:eastAsia="仿宋" w:cs="仿宋"/>
                <w:color w:val="auto"/>
                <w:kern w:val="0"/>
                <w:sz w:val="24"/>
                <w:highlight w:val="none"/>
                <w:lang w:val="zh-CN"/>
              </w:rPr>
              <w:t>。</w:t>
            </w:r>
          </w:p>
          <w:p w14:paraId="387F559A">
            <w:pPr>
              <w:pStyle w:val="963"/>
              <w:pageBreakBefore w:val="0"/>
              <w:kinsoku/>
              <w:wordWrap/>
              <w:overflowPunct/>
              <w:topLinePunct w:val="0"/>
              <w:bidi w:val="0"/>
              <w:snapToGrid/>
              <w:spacing w:line="360" w:lineRule="auto"/>
              <w:jc w:val="both"/>
              <w:textAlignment w:val="auto"/>
              <w:rPr>
                <w:rFonts w:hint="eastAsia" w:ascii="仿宋" w:hAnsi="仿宋" w:eastAsia="仿宋" w:cs="仿宋"/>
                <w:color w:val="auto"/>
                <w:kern w:val="2"/>
                <w:sz w:val="24"/>
                <w:szCs w:val="24"/>
                <w:highlight w:val="none"/>
                <w:u w:val="single"/>
                <w:shd w:val="clear" w:color="FFFFFF" w:fill="D9D9D9"/>
                <w:lang w:val="en-US" w:eastAsia="zh-CN" w:bidi="ar-SA"/>
              </w:rPr>
            </w:pPr>
            <w:r>
              <w:rPr>
                <w:rFonts w:hint="eastAsia" w:ascii="仿宋" w:hAnsi="仿宋" w:eastAsia="仿宋" w:cs="仿宋"/>
                <w:color w:val="auto"/>
                <w:kern w:val="2"/>
                <w:sz w:val="24"/>
                <w:szCs w:val="24"/>
                <w:highlight w:val="none"/>
                <w:lang w:val="en-US" w:eastAsia="zh-CN" w:bidi="ar-SA"/>
              </w:rPr>
              <w:t>□优先采购节能产品。产品：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p>
          <w:p w14:paraId="56BD6D36">
            <w:pPr>
              <w:pStyle w:val="963"/>
              <w:pageBreakBefore w:val="0"/>
              <w:kinsoku/>
              <w:wordWrap/>
              <w:overflowPunct/>
              <w:topLinePunct w:val="0"/>
              <w:bidi w:val="0"/>
              <w:snapToGrid/>
              <w:spacing w:line="360" w:lineRule="auto"/>
              <w:jc w:val="both"/>
              <w:textAlignment w:val="auto"/>
              <w:rPr>
                <w:rFonts w:hint="eastAsia" w:ascii="仿宋" w:hAnsi="仿宋" w:eastAsia="仿宋" w:cs="仿宋"/>
                <w:color w:val="auto"/>
                <w:kern w:val="2"/>
                <w:sz w:val="24"/>
                <w:szCs w:val="24"/>
                <w:highlight w:val="none"/>
                <w:u w:val="single"/>
                <w:shd w:val="clear" w:color="FFFFFF" w:fill="D9D9D9"/>
                <w:lang w:val="en-US" w:eastAsia="zh-CN" w:bidi="ar-SA"/>
              </w:rPr>
            </w:pPr>
            <w:r>
              <w:rPr>
                <w:rFonts w:hint="eastAsia" w:ascii="仿宋" w:hAnsi="仿宋" w:eastAsia="仿宋" w:cs="仿宋"/>
                <w:color w:val="auto"/>
                <w:kern w:val="2"/>
                <w:sz w:val="24"/>
                <w:szCs w:val="24"/>
                <w:highlight w:val="none"/>
                <w:lang w:val="en-US" w:eastAsia="zh-CN" w:bidi="ar-SA"/>
              </w:rPr>
              <w:t>□优先采购环保产品。产品：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p>
          <w:p w14:paraId="05007C77">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☑无。</w:t>
            </w:r>
          </w:p>
        </w:tc>
      </w:tr>
      <w:tr w14:paraId="30F89F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BFE63B2">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01C3433">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27AD800">
            <w:pPr>
              <w:snapToGrid w:val="0"/>
              <w:spacing w:line="36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szCs w:val="24"/>
                <w:highlight w:val="none"/>
                <w:lang w:val="zh-CN"/>
              </w:rPr>
              <w:t>提醒：验收时检测费用由采购人承担，不包含在投标总价中。</w:t>
            </w:r>
          </w:p>
          <w:p w14:paraId="7163A774">
            <w:pPr>
              <w:snapToGrid w:val="0"/>
              <w:spacing w:line="36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14:paraId="45831FB2">
            <w:pPr>
              <w:snapToGrid w:val="0"/>
              <w:spacing w:line="360" w:lineRule="auto"/>
              <w:ind w:firstLine="241" w:firstLineChars="100"/>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14:paraId="710F0D27">
            <w:pPr>
              <w:snapToGrid w:val="0"/>
              <w:spacing w:line="360" w:lineRule="auto"/>
              <w:ind w:firstLine="241" w:firstLineChars="100"/>
              <w:jc w:val="left"/>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14:paraId="45C5117C">
            <w:pPr>
              <w:spacing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75540752">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14:paraId="60D164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rPr>
        <w:tc>
          <w:tcPr>
            <w:tcW w:w="629" w:type="dxa"/>
            <w:vMerge w:val="restart"/>
            <w:tcBorders>
              <w:top w:val="single" w:color="auto" w:sz="4" w:space="0"/>
              <w:left w:val="single" w:color="000000" w:sz="8" w:space="0"/>
              <w:right w:val="single" w:color="000000" w:sz="2" w:space="0"/>
            </w:tcBorders>
            <w:vAlign w:val="center"/>
          </w:tcPr>
          <w:p w14:paraId="1D05A808">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14:paraId="14748A9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C65E2C1">
            <w:pPr>
              <w:adjustRightInd w:val="0"/>
              <w:snapToGrid w:val="0"/>
              <w:spacing w:line="400" w:lineRule="exact"/>
              <w:ind w:firstLine="480" w:firstLineChars="200"/>
              <w:rPr>
                <w:rFonts w:hint="eastAsia" w:ascii="仿宋" w:hAnsi="仿宋" w:eastAsia="仿宋" w:cs="仿宋"/>
                <w:color w:val="auto"/>
                <w:sz w:val="24"/>
                <w:highlight w:val="none"/>
              </w:rPr>
            </w:pPr>
            <w:r>
              <w:rPr>
                <w:rFonts w:hint="eastAsia" w:ascii="仿宋_GB2312" w:hAnsi="仿宋" w:eastAsia="仿宋_GB2312" w:cs="仿宋"/>
                <w:sz w:val="24"/>
                <w:highlight w:val="none"/>
              </w:rPr>
              <w:t>为支持和促进中小企业发展，进一步发挥政府采购政策功能，根据《杭州市政府采购支持中小企业信用融资管理办法》和《关于钱塘区政府采购支持中小企业信用融资有关事项的通知》，供应商若有融资意向，详见本采购文件尾页《关于钱塘区政府采购支持中小企业信用融资相关事项通知》，或登录杭州钱塘区管理委员会官网查看信用融资相关政策及各相关银行服务方案、联系方式。</w:t>
            </w:r>
          </w:p>
        </w:tc>
      </w:tr>
      <w:tr w14:paraId="3A7207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vMerge w:val="continue"/>
            <w:tcBorders>
              <w:left w:val="single" w:color="000000" w:sz="8" w:space="0"/>
              <w:bottom w:val="single" w:color="auto" w:sz="4" w:space="0"/>
              <w:right w:val="single" w:color="000000" w:sz="2" w:space="0"/>
            </w:tcBorders>
            <w:vAlign w:val="center"/>
          </w:tcPr>
          <w:p w14:paraId="1F5481BF">
            <w:pPr>
              <w:snapToGrid w:val="0"/>
              <w:spacing w:line="360" w:lineRule="auto"/>
              <w:jc w:val="center"/>
              <w:rPr>
                <w:rFonts w:hint="eastAsia" w:ascii="仿宋" w:hAnsi="仿宋" w:eastAsia="仿宋" w:cs="仿宋"/>
                <w:color w:val="auto"/>
                <w:sz w:val="24"/>
                <w:szCs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5D4B6607">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96C680C">
            <w:pPr>
              <w:adjustRightInd w:val="0"/>
              <w:snapToGrid w:val="0"/>
              <w:spacing w:line="400" w:lineRule="exact"/>
              <w:ind w:firstLine="480" w:firstLineChars="200"/>
              <w:rPr>
                <w:rFonts w:hint="eastAsia" w:ascii="仿宋" w:hAnsi="仿宋" w:eastAsia="仿宋" w:cs="仿宋"/>
                <w:color w:val="auto"/>
                <w:kern w:val="28"/>
                <w:sz w:val="24"/>
                <w:szCs w:val="24"/>
                <w:highlight w:val="none"/>
              </w:rPr>
            </w:pPr>
            <w:r>
              <w:rPr>
                <w:rFonts w:hint="eastAsia" w:ascii="仿宋_GB2312" w:hAnsi="仿宋" w:eastAsia="仿宋_GB2312" w:cs="仿宋"/>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1E848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89189C3">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A5E020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3248DE3A">
            <w:pPr>
              <w:pStyle w:val="35"/>
              <w:spacing w:line="360" w:lineRule="auto"/>
              <w:rPr>
                <w:rFonts w:hint="eastAsia" w:ascii="仿宋" w:hAnsi="仿宋" w:eastAsia="仿宋" w:cs="仿宋"/>
                <w:color w:val="auto"/>
                <w:kern w:val="28"/>
                <w:sz w:val="24"/>
                <w:szCs w:val="24"/>
                <w:highlight w:val="none"/>
                <w:u w:val="single"/>
                <w:lang w:val="en-US" w:eastAsia="zh-CN"/>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lang w:val="en-US" w:eastAsia="zh-CN"/>
              </w:rPr>
              <w:t>不收取</w:t>
            </w:r>
            <w:r>
              <w:rPr>
                <w:rFonts w:hint="eastAsia" w:ascii="仿宋" w:hAnsi="仿宋" w:eastAsia="仿宋" w:cs="仿宋"/>
                <w:color w:val="auto"/>
                <w:kern w:val="28"/>
                <w:sz w:val="24"/>
                <w:szCs w:val="24"/>
                <w:highlight w:val="none"/>
                <w:u w:val="single"/>
                <w:lang w:val="en-US" w:eastAsia="zh-CN"/>
              </w:rPr>
              <w:t>。</w:t>
            </w:r>
          </w:p>
          <w:p w14:paraId="47CC300D">
            <w:pPr>
              <w:pStyle w:val="35"/>
              <w:spacing w:line="360" w:lineRule="auto"/>
              <w:rPr>
                <w:rFonts w:hint="eastAsia"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采购人、采购机构不强制或变相强制投标人提交备份投标文件。</w:t>
            </w:r>
          </w:p>
        </w:tc>
      </w:tr>
      <w:tr w14:paraId="47CC5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7"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AEC16E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4295A7B">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1F40C8F7">
            <w:pPr>
              <w:spacing w:after="0"/>
              <w:rPr>
                <w:rFonts w:hint="eastAsia" w:ascii="仿宋" w:hAnsi="仿宋" w:eastAsia="仿宋" w:cs="仿宋"/>
                <w:color w:val="auto"/>
                <w:kern w:val="28"/>
                <w:sz w:val="24"/>
                <w:highlight w:val="none"/>
                <w:lang w:eastAsia="zh-CN"/>
              </w:rPr>
            </w:pPr>
            <w:r>
              <w:rPr>
                <w:rFonts w:hint="eastAsia" w:ascii="仿宋" w:hAnsi="仿宋" w:eastAsia="仿宋" w:cs="仿宋"/>
                <w:color w:val="auto"/>
                <w:kern w:val="28"/>
                <w:sz w:val="24"/>
                <w:highlight w:val="none"/>
                <w:lang w:val="en-US" w:eastAsia="zh-CN"/>
              </w:rPr>
              <w:t xml:space="preserve"> 代理费用以中标价为基数，根据《招标代理服务收费管理暂行办法》(计价格[2002]1980号)规定的收费标准，结合中标折扣率40%计算。单个项目实际费用不足 2000 元，按 2000元计取。(代理服务费由各招标项目中标(成交)单位支付)</w:t>
            </w:r>
          </w:p>
        </w:tc>
      </w:tr>
      <w:tr w14:paraId="0B980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5"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EFBFF4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694A664F">
            <w:pPr>
              <w:jc w:val="center"/>
              <w:rPr>
                <w:rFonts w:hint="eastAsia" w:ascii="仿宋" w:hAnsi="仿宋" w:eastAsia="仿宋" w:cs="仿宋"/>
                <w:color w:val="auto"/>
                <w:highlight w:val="none"/>
              </w:rPr>
            </w:pPr>
            <w:r>
              <w:rPr>
                <w:rFonts w:hint="eastAsia" w:ascii="仿宋" w:hAnsi="仿宋" w:eastAsia="仿宋"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57E38D27">
            <w:pPr>
              <w:spacing w:after="0"/>
              <w:rPr>
                <w:rFonts w:hint="eastAsia" w:ascii="仿宋" w:hAnsi="仿宋" w:eastAsia="仿宋" w:cs="仿宋"/>
                <w:color w:val="auto"/>
                <w:highlight w:val="none"/>
              </w:rPr>
            </w:pPr>
            <w:r>
              <w:rPr>
                <w:rFonts w:hint="eastAsia" w:ascii="仿宋" w:hAnsi="仿宋" w:eastAsia="仿宋" w:cs="仿宋"/>
                <w:color w:val="auto"/>
                <w:sz w:val="24"/>
                <w:szCs w:val="24"/>
                <w:highlight w:val="none"/>
              </w:rPr>
              <w:t>本项目由采购人进行资格文件及信用信息查询。</w:t>
            </w:r>
          </w:p>
        </w:tc>
      </w:tr>
      <w:tr w14:paraId="7BF52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55"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670CCB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7712C238">
            <w:pPr>
              <w:jc w:val="center"/>
              <w:rPr>
                <w:rFonts w:hint="eastAsia" w:ascii="仿宋" w:hAnsi="仿宋" w:eastAsia="仿宋" w:cs="仿宋"/>
                <w:b/>
                <w:color w:val="auto"/>
                <w:sz w:val="22"/>
                <w:highlight w:val="none"/>
              </w:rPr>
            </w:pPr>
            <w:r>
              <w:rPr>
                <w:rFonts w:hint="eastAsia" w:ascii="仿宋" w:hAnsi="仿宋" w:eastAsia="仿宋"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583D7211">
            <w:pPr>
              <w:snapToGrid w:val="0"/>
              <w:spacing w:after="0"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采购人、采购机构质疑接收人、联系方式：详见公告</w:t>
            </w:r>
          </w:p>
          <w:p w14:paraId="70D4EBB0">
            <w:pPr>
              <w:snapToGrid w:val="0"/>
              <w:spacing w:after="0"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线上提交质疑方式：政采云线上质疑路径：项目采购-询问质疑投诉-质疑列表。请使用ca签章在每一页质疑文件中加盖电子公章，上传完整附件。</w:t>
            </w:r>
          </w:p>
          <w:p w14:paraId="3828787C">
            <w:pPr>
              <w:snapToGrid w:val="0"/>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本项目涉及资格条件、采购需求、评分办法及采购过程中有关现场考察或开标前答疑会等事项由</w:t>
            </w:r>
            <w:r>
              <w:rPr>
                <w:rFonts w:hint="eastAsia" w:ascii="仿宋" w:hAnsi="仿宋" w:eastAsia="仿宋" w:cs="仿宋"/>
                <w:b/>
                <w:bCs/>
                <w:color w:val="auto"/>
                <w:sz w:val="24"/>
                <w:szCs w:val="24"/>
                <w:highlight w:val="none"/>
              </w:rPr>
              <w:t>采购人</w:t>
            </w:r>
            <w:r>
              <w:rPr>
                <w:rFonts w:hint="eastAsia" w:ascii="仿宋" w:hAnsi="仿宋" w:eastAsia="仿宋" w:cs="仿宋"/>
                <w:color w:val="auto"/>
                <w:sz w:val="24"/>
                <w:szCs w:val="24"/>
                <w:highlight w:val="none"/>
              </w:rPr>
              <w:t>进行答复。</w:t>
            </w:r>
          </w:p>
          <w:p w14:paraId="24195623">
            <w:pPr>
              <w:spacing w:after="0"/>
              <w:rPr>
                <w:rFonts w:hint="eastAsia" w:ascii="仿宋" w:hAnsi="仿宋" w:eastAsia="仿宋" w:cs="仿宋"/>
                <w:color w:val="auto"/>
                <w:sz w:val="22"/>
                <w:highlight w:val="none"/>
              </w:rPr>
            </w:pPr>
            <w:r>
              <w:rPr>
                <w:rFonts w:hint="eastAsia" w:ascii="仿宋" w:hAnsi="仿宋" w:eastAsia="仿宋" w:cs="仿宋"/>
                <w:color w:val="auto"/>
                <w:sz w:val="24"/>
                <w:szCs w:val="24"/>
                <w:highlight w:val="none"/>
              </w:rPr>
              <w:t>涉及流程规范性、组织程序等相关事项，由</w:t>
            </w:r>
            <w:r>
              <w:rPr>
                <w:rFonts w:hint="eastAsia" w:ascii="仿宋" w:hAnsi="仿宋" w:eastAsia="仿宋" w:cs="仿宋"/>
                <w:b/>
                <w:bCs/>
                <w:color w:val="auto"/>
                <w:sz w:val="24"/>
                <w:szCs w:val="24"/>
                <w:highlight w:val="none"/>
              </w:rPr>
              <w:t>采购</w:t>
            </w:r>
            <w:r>
              <w:rPr>
                <w:rFonts w:hint="eastAsia" w:ascii="仿宋" w:hAnsi="仿宋" w:eastAsia="仿宋" w:cs="仿宋"/>
                <w:b/>
                <w:bCs/>
                <w:color w:val="auto"/>
                <w:sz w:val="24"/>
                <w:szCs w:val="24"/>
                <w:highlight w:val="none"/>
                <w:lang w:eastAsia="zh-CN"/>
              </w:rPr>
              <w:t>代理</w:t>
            </w:r>
            <w:r>
              <w:rPr>
                <w:rFonts w:hint="eastAsia" w:ascii="仿宋" w:hAnsi="仿宋" w:eastAsia="仿宋" w:cs="仿宋"/>
                <w:b/>
                <w:bCs/>
                <w:color w:val="auto"/>
                <w:sz w:val="24"/>
                <w:szCs w:val="24"/>
                <w:highlight w:val="none"/>
              </w:rPr>
              <w:t>机构</w:t>
            </w:r>
            <w:r>
              <w:rPr>
                <w:rFonts w:hint="eastAsia" w:ascii="仿宋" w:hAnsi="仿宋" w:eastAsia="仿宋" w:cs="仿宋"/>
                <w:color w:val="auto"/>
                <w:sz w:val="24"/>
                <w:szCs w:val="24"/>
                <w:highlight w:val="none"/>
              </w:rPr>
              <w:t>进行答复。</w:t>
            </w:r>
          </w:p>
        </w:tc>
      </w:tr>
      <w:tr w14:paraId="742A0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14:paraId="323CA089">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p>
        </w:tc>
        <w:tc>
          <w:tcPr>
            <w:tcW w:w="1843" w:type="dxa"/>
            <w:vMerge w:val="restart"/>
            <w:tcBorders>
              <w:top w:val="single" w:color="000000" w:sz="8" w:space="0"/>
              <w:left w:val="single" w:color="000000" w:sz="2" w:space="0"/>
              <w:right w:val="single" w:color="000000" w:sz="8" w:space="0"/>
            </w:tcBorders>
            <w:vAlign w:val="center"/>
          </w:tcPr>
          <w:p w14:paraId="64C55D6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DB9924A">
            <w:pPr>
              <w:pStyle w:val="4"/>
              <w:ind w:left="0" w:leftChars="0" w:firstLine="0" w:firstLineChars="0"/>
              <w:rPr>
                <w:rFonts w:hint="eastAsia" w:ascii="仿宋" w:hAnsi="仿宋" w:eastAsia="仿宋" w:cs="仿宋"/>
                <w:snapToGrid w:val="0"/>
                <w:color w:val="auto"/>
                <w:kern w:val="28"/>
                <w:sz w:val="24"/>
                <w:highlight w:val="none"/>
              </w:rPr>
            </w:pPr>
            <w:r>
              <w:rPr>
                <w:rFonts w:hint="eastAsia" w:ascii="仿宋" w:hAnsi="仿宋" w:eastAsia="仿宋" w:cs="仿宋"/>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39D9D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right w:val="single" w:color="000000" w:sz="2" w:space="0"/>
            </w:tcBorders>
          </w:tcPr>
          <w:p w14:paraId="25AB98A8">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right w:val="single" w:color="000000" w:sz="8" w:space="0"/>
            </w:tcBorders>
            <w:vAlign w:val="center"/>
          </w:tcPr>
          <w:p w14:paraId="4A02107A">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CFA5822">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72"/>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联合体投标的，联合体各方均需按招标文件第四部分评标标准要求提供资信证明文件，否则视为不符合相关要求。</w:t>
            </w:r>
          </w:p>
          <w:p w14:paraId="0391520F">
            <w:pPr>
              <w:pStyle w:val="4"/>
              <w:ind w:left="0" w:leftChars="0" w:firstLine="0" w:firstLineChars="0"/>
              <w:rPr>
                <w:rFonts w:hint="eastAsia" w:ascii="仿宋" w:hAnsi="仿宋" w:eastAsia="仿宋" w:cs="仿宋"/>
                <w:color w:val="auto"/>
                <w:highlight w:val="none"/>
              </w:rPr>
            </w:pPr>
            <w:sdt>
              <w:sdtPr>
                <w:rPr>
                  <w:rFonts w:hint="eastAsia" w:ascii="仿宋" w:hAnsi="仿宋" w:eastAsia="仿宋" w:cs="仿宋"/>
                  <w:color w:val="auto"/>
                  <w:sz w:val="24"/>
                  <w:szCs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b w:val="0"/>
                  <w:bCs w:val="0"/>
                  <w:snapToGrid w:val="0"/>
                  <w:color w:val="auto"/>
                  <w:kern w:val="28"/>
                  <w:sz w:val="24"/>
                  <w:szCs w:val="24"/>
                  <w:highlight w:val="none"/>
                  <w:lang w:val="en-US" w:eastAsia="zh-CN" w:bidi="ar-SA"/>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b w:val="0"/>
                <w:bCs w:val="0"/>
                <w:snapToGrid w:val="0"/>
                <w:color w:val="auto"/>
                <w:kern w:val="28"/>
                <w:sz w:val="24"/>
                <w:szCs w:val="24"/>
                <w:highlight w:val="none"/>
                <w:lang w:val="en-US" w:eastAsia="zh-CN" w:bidi="ar-SA"/>
              </w:rPr>
              <w:t>联合体投标的，联合体中有一方或者联合体成员根据分工按招标文件第四部分评标标准要求提供资信证明文件的，视为符合了相关要求。</w:t>
            </w:r>
          </w:p>
        </w:tc>
      </w:tr>
      <w:tr w14:paraId="73A2FE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bottom w:val="single" w:color="auto" w:sz="4" w:space="0"/>
              <w:right w:val="single" w:color="000000" w:sz="2" w:space="0"/>
            </w:tcBorders>
          </w:tcPr>
          <w:p w14:paraId="671FABCE">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40AFBC6D">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AA1A3AB">
            <w:pPr>
              <w:spacing w:line="360" w:lineRule="auto"/>
              <w:rPr>
                <w:rFonts w:hint="eastAsia" w:ascii="仿宋" w:hAnsi="仿宋" w:eastAsia="仿宋" w:cs="仿宋"/>
                <w:b/>
                <w:bCs/>
                <w:color w:val="auto"/>
                <w:highlight w:val="none"/>
              </w:rPr>
            </w:pPr>
            <w:r>
              <w:rPr>
                <w:rFonts w:hint="eastAsia" w:ascii="仿宋" w:hAnsi="仿宋" w:eastAsia="仿宋" w:cs="仿宋"/>
                <w:color w:val="auto"/>
                <w:kern w:val="0"/>
                <w:sz w:val="24"/>
                <w:highlight w:val="none"/>
              </w:rPr>
              <w:t>招标文件第四部分评审因素对应的要求及第五部分采购合同的内容视为采购需求的一部分。</w:t>
            </w:r>
          </w:p>
        </w:tc>
      </w:tr>
      <w:bookmarkEnd w:id="6"/>
    </w:tbl>
    <w:p w14:paraId="528FF5A8">
      <w:pPr>
        <w:rPr>
          <w:rFonts w:hint="eastAsia" w:ascii="仿宋" w:hAnsi="仿宋" w:eastAsia="仿宋" w:cs="仿宋"/>
          <w:b/>
          <w:color w:val="auto"/>
          <w:sz w:val="32"/>
          <w:szCs w:val="20"/>
          <w:highlight w:val="none"/>
        </w:rPr>
      </w:pPr>
      <w:bookmarkStart w:id="9" w:name="_Toc164416483"/>
      <w:bookmarkStart w:id="10" w:name="第三部分"/>
      <w:r>
        <w:rPr>
          <w:rFonts w:hint="eastAsia" w:ascii="仿宋" w:hAnsi="仿宋" w:eastAsia="仿宋" w:cs="仿宋"/>
          <w:b/>
          <w:color w:val="auto"/>
          <w:sz w:val="32"/>
          <w:szCs w:val="20"/>
          <w:highlight w:val="none"/>
        </w:rPr>
        <w:br w:type="page"/>
      </w:r>
      <w:bookmarkStart w:id="507" w:name="_GoBack"/>
      <w:bookmarkEnd w:id="507"/>
    </w:p>
    <w:p w14:paraId="7527EF1A">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14A8C4D1">
      <w:pPr>
        <w:snapToGrid w:val="0"/>
        <w:spacing w:line="360" w:lineRule="auto"/>
        <w:jc w:val="left"/>
        <w:outlineLvl w:val="1"/>
        <w:rPr>
          <w:rFonts w:hint="eastAsia" w:ascii="仿宋" w:hAnsi="仿宋" w:eastAsia="仿宋" w:cs="仿宋"/>
          <w:b/>
          <w:color w:val="auto"/>
          <w:sz w:val="24"/>
          <w:highlight w:val="none"/>
        </w:rPr>
      </w:pPr>
      <w:bookmarkStart w:id="11" w:name="_Toc91899903"/>
      <w:r>
        <w:rPr>
          <w:rFonts w:hint="eastAsia" w:ascii="仿宋" w:hAnsi="仿宋" w:eastAsia="仿宋" w:cs="仿宋"/>
          <w:b/>
          <w:color w:val="auto"/>
          <w:sz w:val="24"/>
          <w:highlight w:val="none"/>
        </w:rPr>
        <w:t>1. 适用范围</w:t>
      </w:r>
    </w:p>
    <w:p w14:paraId="7FFF1162">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5A4BF5B4">
      <w:pPr>
        <w:numPr>
          <w:ilvl w:val="0"/>
          <w:numId w:val="2"/>
        </w:num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定义</w:t>
      </w:r>
    </w:p>
    <w:p w14:paraId="6D9A91D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391FF6A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3A06779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29DC37C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2910206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B70F23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10F2A1B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74AEAAC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1CCB05EA">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18936E29">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522E1F86">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D07068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30C552A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2" w:name="_Hlk107568539"/>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581A7F0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2"/>
    </w:p>
    <w:p w14:paraId="5B389905">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支持中小企业发展</w:t>
      </w:r>
    </w:p>
    <w:p w14:paraId="6BC1FB1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5DDF2D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092B16E0">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A23D426">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7D6972E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给予20%的扣除），用扣除后的价格参与评审。接受大中型企业与小微企业组成联合体或者允许大中型企业向一家或者多家小微企业分包的政府采购货物项目，对于</w:t>
      </w:r>
      <w:bookmarkStart w:id="13"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3"/>
      <w:r>
        <w:rPr>
          <w:rFonts w:hint="eastAsia" w:ascii="仿宋" w:hAnsi="仿宋" w:eastAsia="仿宋" w:cs="仿宋"/>
          <w:color w:val="auto"/>
          <w:sz w:val="24"/>
          <w:highlight w:val="none"/>
        </w:rPr>
        <w:t>，对联合体或者大中型企业的报价给予4%-6%（</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155FCF5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35B7E6B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2C0DB7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w:t>
      </w:r>
      <w:r>
        <w:rPr>
          <w:rFonts w:hint="eastAsia" w:ascii="仿宋" w:hAnsi="仿宋" w:eastAsia="仿宋" w:cs="仿宋"/>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color w:val="auto"/>
          <w:sz w:val="24"/>
          <w:highlight w:val="none"/>
        </w:rPr>
        <w:t>。</w:t>
      </w:r>
    </w:p>
    <w:p w14:paraId="1E43602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5BA94970">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 </w:t>
      </w:r>
      <w:r>
        <w:rPr>
          <w:rFonts w:hint="eastAsia" w:ascii="仿宋" w:hAnsi="仿宋" w:eastAsia="仿宋" w:cs="仿宋"/>
          <w:bCs/>
          <w:color w:val="auto"/>
          <w:sz w:val="24"/>
          <w:highlight w:val="none"/>
        </w:rPr>
        <w:t>支持创新发展</w:t>
      </w:r>
    </w:p>
    <w:p w14:paraId="3389F89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3.4.1 </w:t>
      </w:r>
      <w:r>
        <w:rPr>
          <w:rFonts w:hint="eastAsia" w:ascii="仿宋" w:hAnsi="仿宋" w:eastAsia="仿宋" w:cs="仿宋"/>
          <w:color w:val="auto"/>
          <w:sz w:val="24"/>
          <w:highlight w:val="none"/>
          <w:lang w:eastAsia="zh-CN"/>
        </w:rPr>
        <w:t>首台套、“制造精品”、“专精特新”等创新产品按规定享受政府采购支持政策</w:t>
      </w:r>
      <w:r>
        <w:rPr>
          <w:rFonts w:hint="eastAsia" w:ascii="仿宋" w:hAnsi="仿宋" w:eastAsia="仿宋" w:cs="仿宋"/>
          <w:color w:val="auto"/>
          <w:sz w:val="24"/>
          <w:highlight w:val="none"/>
        </w:rPr>
        <w:t>。</w:t>
      </w:r>
    </w:p>
    <w:p w14:paraId="35007CA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w:t>
      </w:r>
      <w:r>
        <w:rPr>
          <w:rFonts w:hint="eastAsia" w:ascii="仿宋" w:hAnsi="仿宋" w:eastAsia="仿宋" w:cs="仿宋"/>
          <w:b w:val="0"/>
          <w:bCs w:val="0"/>
          <w:color w:val="auto"/>
          <w:sz w:val="24"/>
          <w:szCs w:val="24"/>
          <w:highlight w:val="none"/>
          <w:lang w:val="en-US" w:eastAsia="zh-CN"/>
        </w:rPr>
        <w:t>采购人应当贯彻落实知识产权保护相关法律法规，</w:t>
      </w:r>
      <w:r>
        <w:rPr>
          <w:rFonts w:hint="eastAsia" w:ascii="仿宋" w:hAnsi="仿宋" w:eastAsia="仿宋" w:cs="仿宋"/>
          <w:b w:val="0"/>
          <w:bCs w:val="0"/>
          <w:color w:val="auto"/>
          <w:sz w:val="24"/>
          <w:szCs w:val="24"/>
          <w:highlight w:val="none"/>
          <w:lang w:val="en-US"/>
        </w:rPr>
        <w:t>应当采购使用正版软件。</w:t>
      </w:r>
    </w:p>
    <w:p w14:paraId="49B9B2C0">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3.5</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平等对待内外资企业和符合条件的破产重整企业</w:t>
      </w:r>
    </w:p>
    <w:p w14:paraId="2572E1E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1B18F210">
      <w:pPr>
        <w:spacing w:line="360" w:lineRule="auto"/>
        <w:rPr>
          <w:rFonts w:hint="eastAsia" w:ascii="仿宋" w:hAnsi="仿宋" w:eastAsia="仿宋" w:cs="仿宋"/>
          <w:b/>
          <w:color w:val="auto"/>
          <w:highlight w:val="none"/>
        </w:rPr>
      </w:pPr>
      <w:r>
        <w:rPr>
          <w:rFonts w:hint="eastAsia" w:ascii="仿宋" w:hAnsi="仿宋" w:eastAsia="仿宋" w:cs="仿宋"/>
          <w:b/>
          <w:color w:val="auto"/>
          <w:sz w:val="24"/>
          <w:highlight w:val="none"/>
        </w:rPr>
        <w:t>4. 询问、质疑、投诉</w:t>
      </w:r>
    </w:p>
    <w:p w14:paraId="52334529">
      <w:pPr>
        <w:spacing w:line="360" w:lineRule="auto"/>
        <w:ind w:firstLine="240" w:firstLineChars="1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4.1</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在线询问、质疑、投诉</w:t>
      </w:r>
    </w:p>
    <w:p w14:paraId="2DF92E79">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5703C8">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供应商询问</w:t>
      </w:r>
    </w:p>
    <w:p w14:paraId="74C8E8C4">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196EC75">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供应商质疑</w:t>
      </w:r>
    </w:p>
    <w:p w14:paraId="5015A3F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30F38DB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D9DF04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4.3.2.1对招标文件提出质疑的，质疑期限为供应商获得招标文件之日或者招标文件公告期限届满之日起计算。</w:t>
      </w:r>
    </w:p>
    <w:p w14:paraId="0FBBFCF4">
      <w:pPr>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017BE7E8">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345FC6E6">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4.3.3.1供应商的姓名或者名称、地址、邮编、联系人及联系电话；</w:t>
      </w:r>
    </w:p>
    <w:p w14:paraId="361AFEC9">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4.3.3.2质疑项目的名称、编号；</w:t>
      </w:r>
    </w:p>
    <w:p w14:paraId="0129B542">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4.3.3.3具体、明确的质疑事项和与质疑事项相关的请求；</w:t>
      </w:r>
    </w:p>
    <w:p w14:paraId="7A232635">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4.3.3.4事实依据；</w:t>
      </w:r>
    </w:p>
    <w:p w14:paraId="24C98A90">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4.3.3.5必要的法律依据；</w:t>
      </w:r>
    </w:p>
    <w:p w14:paraId="5E22F9AF">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4.3.3.6提出质疑的日期。</w:t>
      </w:r>
    </w:p>
    <w:p w14:paraId="54B2BA43">
      <w:pPr>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76C854A7">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4.3.4对同一采购程序环节的质疑，供应商须在法定质疑期内一次性提出。</w:t>
      </w:r>
    </w:p>
    <w:p w14:paraId="04D5957B">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CECEC9C">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4.3.6询问或者质疑事项可能影响采购结果的，采购人应当暂停签订合同，已经签订合同的，应当中止履行合同。</w:t>
      </w:r>
    </w:p>
    <w:p w14:paraId="1A1B3EBD">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供应商投诉</w:t>
      </w:r>
    </w:p>
    <w:p w14:paraId="43DD44C9">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1C7B0AB4">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4.4.2供应商投诉的事项不得超出已质疑事项的范围，基于质疑答复内容提出的投诉事项除外。</w:t>
      </w:r>
    </w:p>
    <w:p w14:paraId="091932FD">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4.4.3供应商投诉应当有明确的请求和必要的证明材料。</w:t>
      </w:r>
    </w:p>
    <w:p w14:paraId="037FC7B8">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4.4.4 以联合体形式参加政府采购活动的，其投诉应当由组成联合体的所有供应商共同提出。</w:t>
      </w:r>
    </w:p>
    <w:p w14:paraId="7A872F55">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w:t>
      </w:r>
      <w:r>
        <w:rPr>
          <w:rFonts w:hint="eastAsia" w:ascii="仿宋" w:hAnsi="仿宋" w:eastAsia="仿宋" w:cs="仿宋"/>
          <w:color w:val="auto"/>
          <w:highlight w:val="none"/>
          <w:lang w:eastAsia="zh-CN"/>
        </w:rPr>
        <w:t>及各区、县（市）</w:t>
      </w:r>
      <w:r>
        <w:rPr>
          <w:rFonts w:hint="eastAsia" w:ascii="仿宋" w:hAnsi="仿宋" w:eastAsia="仿宋" w:cs="仿宋"/>
          <w:color w:val="auto"/>
          <w:highlight w:val="none"/>
        </w:rPr>
        <w:t>政府采购项目投诉材料可寄送浙江省政府采购行政裁决服务中心（杭州），地址：</w:t>
      </w:r>
      <w:r>
        <w:rPr>
          <w:rFonts w:hint="eastAsia" w:ascii="仿宋" w:hAnsi="仿宋" w:eastAsia="仿宋" w:cs="仿宋"/>
          <w:color w:val="auto"/>
          <w:highlight w:val="none"/>
          <w:lang w:eastAsia="zh-CN"/>
        </w:rPr>
        <w:t>杭州市上城区清泰街549号城建综合大楼11楼</w:t>
      </w:r>
      <w:r>
        <w:rPr>
          <w:rFonts w:hint="eastAsia" w:ascii="仿宋" w:hAnsi="仿宋" w:eastAsia="仿宋" w:cs="仿宋"/>
          <w:color w:val="auto"/>
          <w:highlight w:val="none"/>
        </w:rPr>
        <w:t>（快递仅限ems或顺丰）</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收件人：朱女士、王女士，电话：0571-8</w:t>
      </w:r>
      <w:r>
        <w:rPr>
          <w:rFonts w:hint="eastAsia" w:ascii="仿宋" w:hAnsi="仿宋" w:eastAsia="仿宋" w:cs="仿宋"/>
          <w:color w:val="auto"/>
          <w:highlight w:val="none"/>
          <w:lang w:val="en-US" w:eastAsia="zh-CN"/>
        </w:rPr>
        <w:t>7227671,0571-87800218</w:t>
      </w:r>
      <w:r>
        <w:rPr>
          <w:rFonts w:hint="eastAsia" w:ascii="仿宋" w:hAnsi="仿宋" w:eastAsia="仿宋" w:cs="仿宋"/>
          <w:color w:val="auto"/>
          <w:highlight w:val="none"/>
        </w:rPr>
        <w:t>。</w:t>
      </w:r>
    </w:p>
    <w:p w14:paraId="1BAD7273">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4.5 补偿救济</w:t>
      </w:r>
    </w:p>
    <w:p w14:paraId="5D296BFF">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采购人因政策变化、规划调整而不履行政府采购合同的，供应商可依据《杭州市涉企补偿救济实施办法（试行）》向采购人提起补偿申请。</w:t>
      </w:r>
    </w:p>
    <w:p w14:paraId="58562017">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投诉书范本及制作说明详见附件3。</w:t>
      </w:r>
    </w:p>
    <w:p w14:paraId="453532F8">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523E2BB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招标文件的构成</w:t>
      </w:r>
    </w:p>
    <w:p w14:paraId="129A1E49">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5.1 招标文件包括下列文件及附件：</w:t>
      </w:r>
    </w:p>
    <w:p w14:paraId="1E12FF4E">
      <w:pPr>
        <w:pStyle w:val="35"/>
        <w:tabs>
          <w:tab w:val="left" w:pos="840"/>
        </w:tabs>
        <w:spacing w:line="360" w:lineRule="auto"/>
        <w:ind w:firstLine="960" w:firstLineChars="400"/>
        <w:rPr>
          <w:rFonts w:hint="eastAsia"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5.1.1招标公告；</w:t>
      </w:r>
    </w:p>
    <w:p w14:paraId="60AC5CCD">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snapToGrid/>
          <w:color w:val="auto"/>
          <w:sz w:val="24"/>
          <w:szCs w:val="24"/>
          <w:highlight w:val="none"/>
          <w:lang w:val="zh-CN"/>
        </w:rPr>
        <w:t>.1.2投标人须知</w:t>
      </w:r>
      <w:r>
        <w:rPr>
          <w:rFonts w:hint="eastAsia" w:ascii="仿宋" w:hAnsi="仿宋" w:eastAsia="仿宋" w:cs="仿宋"/>
          <w:color w:val="auto"/>
          <w:sz w:val="24"/>
          <w:szCs w:val="24"/>
          <w:highlight w:val="none"/>
        </w:rPr>
        <w:t>；</w:t>
      </w:r>
    </w:p>
    <w:p w14:paraId="58429A44">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5C96B0A2">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761E8FFE">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222A7E33">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4E5937A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74BFFFC8">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53E030A5">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535591B0">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B1DEA65">
      <w:pPr>
        <w:adjustRightInd/>
        <w:spacing w:line="360" w:lineRule="auto"/>
        <w:jc w:val="center"/>
        <w:outlineLvl w:val="0"/>
        <w:rPr>
          <w:rFonts w:hint="eastAsia" w:ascii="仿宋" w:hAnsi="仿宋" w:eastAsia="仿宋" w:cs="仿宋"/>
          <w:b/>
          <w:color w:val="auto"/>
          <w:sz w:val="32"/>
          <w:szCs w:val="21"/>
          <w:highlight w:val="none"/>
        </w:rPr>
      </w:pPr>
      <w:r>
        <w:rPr>
          <w:rFonts w:hint="eastAsia" w:ascii="仿宋" w:hAnsi="仿宋" w:eastAsia="仿宋" w:cs="仿宋"/>
          <w:b/>
          <w:color w:val="auto"/>
          <w:sz w:val="32"/>
          <w:szCs w:val="21"/>
          <w:highlight w:val="none"/>
        </w:rPr>
        <w:t>三、投标</w:t>
      </w:r>
    </w:p>
    <w:p w14:paraId="5A60141E">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59CDAC9A">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458943F0">
      <w:pPr>
        <w:pStyle w:val="35"/>
        <w:numPr>
          <w:ilvl w:val="0"/>
          <w:numId w:val="3"/>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p w14:paraId="60DC1665">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7A3BC331">
      <w:pPr>
        <w:pStyle w:val="35"/>
        <w:numPr>
          <w:ilvl w:val="0"/>
          <w:numId w:val="3"/>
        </w:numPr>
        <w:spacing w:line="360" w:lineRule="auto"/>
        <w:ind w:left="0" w:leftChars="0"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投标保证金</w:t>
      </w:r>
    </w:p>
    <w:p w14:paraId="2165DAC2">
      <w:pPr>
        <w:pStyle w:val="6"/>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18C768F9">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1AE19996">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11A74330">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6B68E925">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snapToGrid w:val="0"/>
          <w:color w:val="auto"/>
          <w:sz w:val="24"/>
          <w:highlight w:val="none"/>
        </w:rPr>
        <w:t>▲投标文件至少应包括以下文件。</w:t>
      </w:r>
    </w:p>
    <w:p w14:paraId="02D7290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5EE7274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2BFCB30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bookmarkStart w:id="14" w:name="_Hlk101259339"/>
      <w:r>
        <w:rPr>
          <w:rFonts w:hint="eastAsia" w:ascii="仿宋" w:hAnsi="仿宋" w:eastAsia="仿宋" w:cs="仿宋"/>
          <w:snapToGrid w:val="0"/>
          <w:color w:val="auto"/>
          <w:kern w:val="28"/>
          <w:sz w:val="24"/>
          <w:szCs w:val="20"/>
          <w:highlight w:val="none"/>
        </w:rPr>
        <w:t>联合协议</w:t>
      </w:r>
      <w:bookmarkEnd w:id="14"/>
      <w:r>
        <w:rPr>
          <w:rFonts w:hint="eastAsia" w:ascii="仿宋" w:hAnsi="仿宋" w:eastAsia="仿宋" w:cs="仿宋"/>
          <w:snapToGrid w:val="0"/>
          <w:color w:val="auto"/>
          <w:kern w:val="28"/>
          <w:sz w:val="24"/>
          <w:szCs w:val="20"/>
          <w:highlight w:val="none"/>
        </w:rPr>
        <w:t>（如果有)；</w:t>
      </w:r>
    </w:p>
    <w:p w14:paraId="566A8AA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A4BDA7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4CA94632">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072F8D3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4D64185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43A043F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4BE0897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003A1EA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7E77987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30E95B5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0BE47F20">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283603E6">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6814033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535598DF">
      <w:pPr>
        <w:pStyle w:val="964"/>
        <w:adjustRightInd w:val="0"/>
        <w:spacing w:line="360" w:lineRule="auto"/>
        <w:ind w:firstLine="960" w:firstLineChars="400"/>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rPr>
        <w:t>11.3.</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p>
    <w:p w14:paraId="16DEEF9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w:t>
      </w:r>
    </w:p>
    <w:p w14:paraId="51BFC204">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70F67212">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70AF70F7">
      <w:pPr>
        <w:spacing w:line="360" w:lineRule="auto"/>
        <w:ind w:firstLine="720" w:firstLineChars="300"/>
        <w:rPr>
          <w:rFonts w:hint="eastAsia" w:ascii="仿宋" w:hAnsi="仿宋" w:eastAsia="仿宋" w:cs="仿宋"/>
          <w:color w:val="auto"/>
          <w:highlight w:val="none"/>
        </w:rPr>
      </w:pPr>
      <w:r>
        <w:rPr>
          <w:rFonts w:hint="eastAsia" w:ascii="仿宋" w:hAnsi="仿宋" w:eastAsia="仿宋" w:cs="仿宋"/>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77C5B6B3">
      <w:pPr>
        <w:pStyle w:val="129"/>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54B6826A">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4C999370">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5A26305">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2361057">
      <w:pPr>
        <w:numPr>
          <w:ilvl w:val="0"/>
          <w:numId w:val="4"/>
        </w:num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投标文件的签署、盖章</w:t>
      </w:r>
    </w:p>
    <w:p w14:paraId="6D025D9E">
      <w:pPr>
        <w:pStyle w:val="129"/>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0BEDCC68">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47D0F0B">
      <w:pPr>
        <w:pStyle w:val="12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76DF23F6">
      <w:pPr>
        <w:pStyle w:val="12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35F938CF">
      <w:pPr>
        <w:pStyle w:val="129"/>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7D2A7F5D">
      <w:pPr>
        <w:pStyle w:val="129"/>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120BD9A">
      <w:pPr>
        <w:pStyle w:val="129"/>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0D5EA0F">
      <w:pPr>
        <w:pStyle w:val="35"/>
        <w:numPr>
          <w:ilvl w:val="0"/>
          <w:numId w:val="5"/>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w:t>
      </w:r>
    </w:p>
    <w:p w14:paraId="4820C2CC">
      <w:pPr>
        <w:pStyle w:val="35"/>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34011EB5">
      <w:pPr>
        <w:pStyle w:val="35"/>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6167B14B">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15124F10">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54A368D4">
      <w:pPr>
        <w:pStyle w:val="35"/>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7D6D110A">
      <w:pPr>
        <w:pStyle w:val="129"/>
        <w:numPr>
          <w:ilvl w:val="0"/>
          <w:numId w:val="6"/>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投标文件的无效处理</w:t>
      </w:r>
    </w:p>
    <w:p w14:paraId="08274229">
      <w:pPr>
        <w:pStyle w:val="27"/>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22B86752">
      <w:pPr>
        <w:pStyle w:val="129"/>
        <w:numPr>
          <w:ilvl w:val="0"/>
          <w:numId w:val="6"/>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投标有效期</w:t>
      </w:r>
    </w:p>
    <w:p w14:paraId="6A65D462">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13CD4CF5">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3783118B">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CF041A1">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17.4在投标截止时间起至投标有效期届满，供应商投标文件不可撤销。</w:t>
      </w:r>
    </w:p>
    <w:p w14:paraId="32C7D782">
      <w:pPr>
        <w:pStyle w:val="129"/>
        <w:spacing w:before="0"/>
        <w:ind w:left="0" w:leftChars="0"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w:t>
      </w:r>
    </w:p>
    <w:p w14:paraId="597B68A8">
      <w:pPr>
        <w:pStyle w:val="555"/>
        <w:spacing w:before="0" w:line="360" w:lineRule="auto"/>
        <w:ind w:left="0" w:leftChars="0" w:firstLine="0" w:firstLineChars="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开标</w:t>
      </w:r>
      <w:r>
        <w:rPr>
          <w:rFonts w:hint="eastAsia" w:ascii="仿宋" w:hAnsi="仿宋" w:eastAsia="仿宋" w:cs="仿宋"/>
          <w:color w:val="auto"/>
          <w:sz w:val="24"/>
          <w:highlight w:val="none"/>
        </w:rPr>
        <w:t xml:space="preserve"> </w:t>
      </w:r>
    </w:p>
    <w:p w14:paraId="69D51A93">
      <w:pPr>
        <w:pStyle w:val="555"/>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15130A80">
      <w:pPr>
        <w:pStyle w:val="555"/>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1859EC06">
      <w:pPr>
        <w:pStyle w:val="555"/>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243D2AB1">
      <w:pPr>
        <w:pStyle w:val="129"/>
        <w:spacing w:before="0"/>
        <w:ind w:left="0" w:leftChars="0" w:firstLine="0" w:firstLineChars="0"/>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lang w:eastAsia="zh-CN"/>
        </w:rPr>
        <w:t>五</w:t>
      </w:r>
      <w:r>
        <w:rPr>
          <w:rFonts w:hint="eastAsia" w:ascii="仿宋" w:hAnsi="仿宋" w:eastAsia="仿宋" w:cs="仿宋"/>
          <w:b/>
          <w:color w:val="auto"/>
          <w:sz w:val="32"/>
          <w:highlight w:val="none"/>
        </w:rPr>
        <w:t>、</w:t>
      </w:r>
      <w:r>
        <w:rPr>
          <w:rFonts w:hint="eastAsia" w:ascii="仿宋" w:hAnsi="仿宋" w:eastAsia="仿宋" w:cs="仿宋"/>
          <w:b/>
          <w:color w:val="auto"/>
          <w:sz w:val="32"/>
          <w:highlight w:val="none"/>
          <w:lang w:eastAsia="zh-CN"/>
        </w:rPr>
        <w:t>资格审查</w:t>
      </w:r>
    </w:p>
    <w:p w14:paraId="0F653B14">
      <w:pPr>
        <w:widowControl/>
        <w:numPr>
          <w:ilvl w:val="0"/>
          <w:numId w:val="7"/>
        </w:numPr>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资格审查</w:t>
      </w:r>
    </w:p>
    <w:p w14:paraId="5A96FE3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采购人或采购代理机构依据法律法规和招标文件的规定，对投标人的资格进行审查。</w:t>
      </w:r>
    </w:p>
    <w:p w14:paraId="7406BD01">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5C2E9D8F">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3对未通过资格审查的投标人，采购人或采购代理机构告知其未通过的原因。</w:t>
      </w:r>
    </w:p>
    <w:p w14:paraId="35C7777C">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76A6CE12">
      <w:pPr>
        <w:pStyle w:val="129"/>
        <w:numPr>
          <w:ilvl w:val="0"/>
          <w:numId w:val="7"/>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信用信息查询</w:t>
      </w:r>
    </w:p>
    <w:p w14:paraId="3FC3F0BD">
      <w:pPr>
        <w:pStyle w:val="12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26DF52D0">
      <w:pPr>
        <w:pStyle w:val="12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6D06CC7F">
      <w:pPr>
        <w:pStyle w:val="12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BCC00DB">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62CAF32B">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六</w:t>
      </w:r>
      <w:r>
        <w:rPr>
          <w:rFonts w:hint="eastAsia" w:ascii="仿宋" w:hAnsi="仿宋" w:eastAsia="仿宋" w:cs="仿宋"/>
          <w:b/>
          <w:color w:val="auto"/>
          <w:sz w:val="32"/>
          <w:szCs w:val="32"/>
          <w:highlight w:val="none"/>
        </w:rPr>
        <w:t>、评标</w:t>
      </w:r>
    </w:p>
    <w:p w14:paraId="6A51776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1A07BAA7">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七</w:t>
      </w:r>
      <w:r>
        <w:rPr>
          <w:rFonts w:hint="eastAsia" w:ascii="仿宋" w:hAnsi="仿宋" w:eastAsia="仿宋" w:cs="仿宋"/>
          <w:b/>
          <w:color w:val="auto"/>
          <w:sz w:val="32"/>
          <w:szCs w:val="32"/>
          <w:highlight w:val="none"/>
        </w:rPr>
        <w:t>、定标</w:t>
      </w:r>
    </w:p>
    <w:p w14:paraId="245AE523">
      <w:pPr>
        <w:pStyle w:val="2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310A0734">
      <w:pPr>
        <w:pStyle w:val="129"/>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为提高政府采购效率，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确定中标或者成交供应商。中标、成交通知书和中标、成交结果公告应当在规定时间内同时发出。</w:t>
      </w:r>
    </w:p>
    <w:p w14:paraId="3C203BE2">
      <w:pPr>
        <w:pStyle w:val="129"/>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3B08EE8D">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7A5EAF0A">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86B0ACA">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5B0A52A6">
      <w:pPr>
        <w:pStyle w:val="4"/>
        <w:tabs>
          <w:tab w:val="clear" w:pos="432"/>
        </w:tabs>
        <w:ind w:left="12" w:hanging="12"/>
        <w:rPr>
          <w:rFonts w:hint="eastAsia" w:ascii="仿宋" w:hAnsi="仿宋" w:eastAsia="仿宋" w:cs="仿宋"/>
          <w:color w:val="auto"/>
          <w:highlight w:val="none"/>
        </w:rPr>
      </w:pPr>
      <w:r>
        <w:rPr>
          <w:rFonts w:hint="eastAsia" w:ascii="仿宋" w:hAnsi="仿宋" w:eastAsia="仿宋" w:cs="仿宋"/>
          <w:b/>
          <w:bCs/>
          <w:color w:val="auto"/>
          <w:kern w:val="2"/>
          <w:sz w:val="24"/>
          <w:szCs w:val="24"/>
          <w:highlight w:val="none"/>
          <w:lang w:val="zh-CN" w:eastAsia="zh-CN" w:bidi="ar-SA"/>
        </w:rPr>
        <w:t>24.</w:t>
      </w:r>
      <w:r>
        <w:rPr>
          <w:rFonts w:hint="eastAsia" w:ascii="仿宋" w:hAnsi="仿宋" w:eastAsia="仿宋" w:cs="仿宋"/>
          <w:b/>
          <w:bCs/>
          <w:color w:val="auto"/>
          <w:kern w:val="2"/>
          <w:sz w:val="24"/>
          <w:szCs w:val="24"/>
          <w:highlight w:val="none"/>
          <w:lang w:val="zh-CN" w:eastAsia="zh-CN"/>
        </w:rPr>
        <w:t>及时复核供应商材料。</w:t>
      </w:r>
      <w:r>
        <w:rPr>
          <w:rFonts w:hint="eastAsia" w:ascii="仿宋" w:hAnsi="仿宋" w:eastAsia="仿宋" w:cs="仿宋"/>
          <w:b w:val="0"/>
          <w:bCs w:val="0"/>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66298FDC">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lang w:eastAsia="zh-CN"/>
        </w:rPr>
        <w:t>八</w:t>
      </w:r>
      <w:r>
        <w:rPr>
          <w:rFonts w:hint="eastAsia" w:ascii="仿宋" w:hAnsi="仿宋" w:eastAsia="仿宋" w:cs="仿宋"/>
          <w:b/>
          <w:color w:val="auto"/>
          <w:sz w:val="32"/>
          <w:highlight w:val="none"/>
        </w:rPr>
        <w:t>、合同授予</w:t>
      </w:r>
    </w:p>
    <w:p w14:paraId="56D9DC6F">
      <w:pPr>
        <w:pStyle w:val="2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5</w:t>
      </w:r>
      <w:r>
        <w:rPr>
          <w:rFonts w:hint="eastAsia" w:ascii="仿宋" w:hAnsi="仿宋" w:eastAsia="仿宋" w:cs="仿宋"/>
          <w:b/>
          <w:color w:val="auto"/>
          <w:highlight w:val="none"/>
        </w:rPr>
        <w:t xml:space="preserve">. </w:t>
      </w:r>
      <w:r>
        <w:rPr>
          <w:rFonts w:hint="eastAsia" w:ascii="仿宋" w:hAnsi="仿宋" w:eastAsia="仿宋" w:cs="仿宋"/>
          <w:color w:val="auto"/>
          <w:highlight w:val="none"/>
        </w:rPr>
        <w:t>合同主要条款详见第五部分拟签订的合同文本。</w:t>
      </w:r>
    </w:p>
    <w:p w14:paraId="2F277B96">
      <w:pPr>
        <w:pStyle w:val="2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 合同的签订</w:t>
      </w:r>
    </w:p>
    <w:p w14:paraId="5A9C6CB5">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496910C">
      <w:pPr>
        <w:pStyle w:val="129"/>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lang w:val="en-US" w:eastAsia="zh-CN"/>
        </w:rPr>
        <w:t>6</w:t>
      </w:r>
      <w:r>
        <w:rPr>
          <w:rFonts w:hint="eastAsia" w:ascii="仿宋" w:hAnsi="仿宋" w:eastAsia="仿宋" w:cs="仿宋"/>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69BEC06F">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.3如签订合同并生效后，供应商无故拒绝或延期，除按照合同条款处理外，列入不良行为记录一次，并给予通报。</w:t>
      </w:r>
    </w:p>
    <w:p w14:paraId="0BE370F2">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.4中标供应商拒绝与采购人签订合同的，采购人可以按照评审报告推荐的中标或者成交候选人名单排序，确定下一候选人为中标供应商，也可以重新开展政府采购活动。</w:t>
      </w:r>
    </w:p>
    <w:p w14:paraId="1D9E325D">
      <w:pPr>
        <w:pStyle w:val="129"/>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.5采购合同由采购人与中标供应商根据招标文件、投标文件等内容通过政府采购电子交易平台在线签订，自动备案。</w:t>
      </w:r>
    </w:p>
    <w:p w14:paraId="5AF84B3B">
      <w:pPr>
        <w:pStyle w:val="2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7</w:t>
      </w:r>
      <w:r>
        <w:rPr>
          <w:rFonts w:hint="eastAsia" w:ascii="仿宋" w:hAnsi="仿宋" w:eastAsia="仿宋" w:cs="仿宋"/>
          <w:b/>
          <w:color w:val="auto"/>
          <w:highlight w:val="none"/>
        </w:rPr>
        <w:t>. 履约保证金</w:t>
      </w:r>
    </w:p>
    <w:p w14:paraId="4BB8FE8C">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w:t>
      </w:r>
      <w:r>
        <w:rPr>
          <w:rFonts w:hint="eastAsia" w:ascii="仿宋" w:hAnsi="仿宋" w:eastAsia="仿宋" w:cs="仿宋"/>
          <w:color w:val="auto"/>
          <w:kern w:val="2"/>
          <w:sz w:val="24"/>
          <w:highlight w:val="none"/>
        </w:rPr>
        <w:t>鼓励根据项目特点、供应商诚信等因素免收履约保证金或降低缴纳比例。</w:t>
      </w:r>
      <w:r>
        <w:rPr>
          <w:rFonts w:hint="eastAsia" w:ascii="仿宋" w:hAnsi="仿宋" w:eastAsia="仿宋" w:cs="仿宋"/>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10CED6BD">
      <w:pPr>
        <w:tabs>
          <w:tab w:val="left" w:pos="0"/>
        </w:tabs>
        <w:spacing w:line="360" w:lineRule="auto"/>
        <w:ind w:firstLine="482"/>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b w:val="0"/>
          <w:bCs w:val="0"/>
          <w:snapToGrid w:val="0"/>
          <w:color w:val="auto"/>
          <w:kern w:val="28"/>
          <w:sz w:val="24"/>
          <w:highlight w:val="none"/>
          <w:lang w:val="en-US" w:eastAsia="zh-CN"/>
        </w:rPr>
        <w:t>95763</w:t>
      </w:r>
      <w:r>
        <w:rPr>
          <w:rFonts w:hint="eastAsia" w:ascii="仿宋" w:hAnsi="仿宋" w:eastAsia="仿宋" w:cs="仿宋"/>
          <w:b w:val="0"/>
          <w:bCs w:val="0"/>
          <w:snapToGrid w:val="0"/>
          <w:color w:val="auto"/>
          <w:kern w:val="28"/>
          <w:sz w:val="24"/>
          <w:highlight w:val="none"/>
        </w:rPr>
        <w:t>。</w:t>
      </w:r>
    </w:p>
    <w:p w14:paraId="26E5783E">
      <w:pPr>
        <w:pStyle w:val="4"/>
        <w:numPr>
          <w:ilvl w:val="0"/>
          <w:numId w:val="0"/>
        </w:numPr>
        <w:ind w:leftChars="0"/>
        <w:rPr>
          <w:rFonts w:hint="eastAsia" w:ascii="仿宋" w:hAnsi="仿宋" w:eastAsia="仿宋" w:cs="仿宋"/>
          <w:color w:val="auto"/>
          <w:highlight w:val="none"/>
        </w:rPr>
      </w:pPr>
      <w:r>
        <w:rPr>
          <w:rFonts w:hint="eastAsia" w:ascii="仿宋" w:hAnsi="仿宋" w:eastAsia="仿宋" w:cs="仿宋"/>
          <w:b/>
          <w:bCs/>
          <w:color w:val="auto"/>
          <w:kern w:val="2"/>
          <w:sz w:val="24"/>
          <w:szCs w:val="32"/>
          <w:highlight w:val="none"/>
          <w:lang w:val="en-US" w:eastAsia="zh-CN"/>
        </w:rPr>
        <w:t>28.</w:t>
      </w:r>
      <w:r>
        <w:rPr>
          <w:rFonts w:hint="eastAsia" w:ascii="仿宋" w:hAnsi="仿宋" w:eastAsia="仿宋" w:cs="仿宋"/>
          <w:b/>
          <w:bCs/>
          <w:color w:val="auto"/>
          <w:kern w:val="2"/>
          <w:sz w:val="24"/>
          <w:szCs w:val="32"/>
          <w:highlight w:val="none"/>
          <w:lang w:val="en-US"/>
        </w:rPr>
        <w:t>预付款</w:t>
      </w:r>
    </w:p>
    <w:p w14:paraId="48796246">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4"/>
          <w:highlight w:val="none"/>
        </w:rPr>
        <w:t>不低于</w:t>
      </w:r>
      <w:r>
        <w:rPr>
          <w:rFonts w:hint="eastAsia" w:ascii="仿宋" w:hAnsi="仿宋" w:eastAsia="仿宋" w:cs="仿宋"/>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kern w:val="2"/>
          <w:sz w:val="24"/>
          <w:highlight w:val="none"/>
          <w:lang w:val="en-US" w:eastAsia="zh-CN"/>
        </w:rPr>
        <w:t>95763</w:t>
      </w:r>
      <w:r>
        <w:rPr>
          <w:rFonts w:hint="eastAsia" w:ascii="仿宋" w:hAnsi="仿宋" w:eastAsia="仿宋" w:cs="仿宋"/>
          <w:color w:val="auto"/>
          <w:kern w:val="2"/>
          <w:sz w:val="24"/>
          <w:highlight w:val="none"/>
        </w:rPr>
        <w:t>。</w:t>
      </w:r>
    </w:p>
    <w:p w14:paraId="7723A37C">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lang w:eastAsia="zh-CN"/>
        </w:rPr>
        <w:t>九</w:t>
      </w:r>
      <w:r>
        <w:rPr>
          <w:rFonts w:hint="eastAsia" w:ascii="仿宋" w:hAnsi="仿宋" w:eastAsia="仿宋" w:cs="仿宋"/>
          <w:b/>
          <w:color w:val="auto"/>
          <w:sz w:val="32"/>
          <w:highlight w:val="none"/>
        </w:rPr>
        <w:t>、电子交易活动的中止</w:t>
      </w:r>
    </w:p>
    <w:p w14:paraId="318EBF15">
      <w:pPr>
        <w:pStyle w:val="129"/>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kern w:val="2"/>
          <w:sz w:val="24"/>
          <w:szCs w:val="20"/>
          <w:highlight w:val="none"/>
        </w:rPr>
        <w:t>2</w:t>
      </w:r>
      <w:r>
        <w:rPr>
          <w:rFonts w:hint="eastAsia" w:ascii="仿宋" w:hAnsi="仿宋" w:eastAsia="仿宋" w:cs="仿宋"/>
          <w:b/>
          <w:bCs/>
          <w:color w:val="auto"/>
          <w:kern w:val="2"/>
          <w:sz w:val="24"/>
          <w:szCs w:val="24"/>
          <w:highlight w:val="none"/>
          <w:lang w:val="en-US" w:eastAsia="zh-CN"/>
        </w:rPr>
        <w:t>9</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29597736">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.1电子交易平台发生故障而无法登录访问的； </w:t>
      </w:r>
    </w:p>
    <w:p w14:paraId="16A87C0C">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.2电子交易平台应用或数据库出现错误，不能进行正常操作的；</w:t>
      </w:r>
    </w:p>
    <w:p w14:paraId="6EDB365D">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.3电子交易平台发现严重安全漏洞，有潜在泄密危险的；</w:t>
      </w:r>
    </w:p>
    <w:p w14:paraId="7D1449AB">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.4病毒发作导致不能进行正常操作的； </w:t>
      </w:r>
    </w:p>
    <w:p w14:paraId="6FC92232">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.5其他无法保证电子交易的公平、公正和安全的情况。</w:t>
      </w:r>
    </w:p>
    <w:p w14:paraId="0BE13020">
      <w:pPr>
        <w:pStyle w:val="129"/>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27EAD519">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lang w:eastAsia="zh-CN"/>
        </w:rPr>
        <w:t>十</w:t>
      </w:r>
      <w:r>
        <w:rPr>
          <w:rFonts w:hint="eastAsia" w:ascii="仿宋" w:hAnsi="仿宋" w:eastAsia="仿宋" w:cs="仿宋"/>
          <w:b/>
          <w:color w:val="auto"/>
          <w:sz w:val="32"/>
          <w:highlight w:val="none"/>
        </w:rPr>
        <w:t>、验收</w:t>
      </w:r>
    </w:p>
    <w:p w14:paraId="26360C32">
      <w:pPr>
        <w:pStyle w:val="27"/>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w:t>
      </w:r>
      <w:r>
        <w:rPr>
          <w:rFonts w:hint="eastAsia" w:ascii="仿宋" w:hAnsi="仿宋" w:eastAsia="仿宋" w:cs="仿宋"/>
          <w:b/>
          <w:color w:val="auto"/>
          <w:highlight w:val="none"/>
          <w:lang w:val="en-US" w:eastAsia="zh-CN"/>
        </w:rPr>
        <w:t>1</w:t>
      </w:r>
      <w:r>
        <w:rPr>
          <w:rFonts w:hint="eastAsia" w:ascii="仿宋" w:hAnsi="仿宋" w:eastAsia="仿宋" w:cs="仿宋"/>
          <w:b/>
          <w:color w:val="auto"/>
          <w:highlight w:val="none"/>
        </w:rPr>
        <w:t>.</w:t>
      </w:r>
      <w:r>
        <w:rPr>
          <w:rFonts w:hint="eastAsia" w:ascii="仿宋" w:hAnsi="仿宋" w:eastAsia="仿宋" w:cs="仿宋"/>
          <w:b/>
          <w:color w:val="auto"/>
          <w:highlight w:val="none"/>
          <w:lang w:val="en-US" w:eastAsia="zh-CN"/>
        </w:rPr>
        <w:t xml:space="preserve"> </w:t>
      </w:r>
      <w:r>
        <w:rPr>
          <w:rFonts w:hint="eastAsia" w:ascii="仿宋" w:hAnsi="仿宋" w:eastAsia="仿宋" w:cs="仿宋"/>
          <w:b/>
          <w:color w:val="auto"/>
          <w:highlight w:val="none"/>
        </w:rPr>
        <w:t>验收</w:t>
      </w:r>
    </w:p>
    <w:p w14:paraId="0F8E8350">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4B7D7DA">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.2采购人可以邀请参加本项目的其他投标人或者第三方机构参与验收。参与验收的投标人或者第三方机构的意见作为验收书的参考资料一并存档。</w:t>
      </w:r>
    </w:p>
    <w:p w14:paraId="1D99D259">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E189D46">
      <w:pPr>
        <w:tabs>
          <w:tab w:val="left" w:pos="0"/>
        </w:tabs>
        <w:spacing w:line="360" w:lineRule="auto"/>
        <w:ind w:firstLine="48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仿宋" w:hAnsi="仿宋" w:eastAsia="仿宋" w:cs="仿宋"/>
          <w:color w:val="auto"/>
          <w:kern w:val="0"/>
          <w:sz w:val="24"/>
          <w:highlight w:val="none"/>
          <w:lang w:eastAsia="zh-CN"/>
        </w:rPr>
        <w:t>。</w:t>
      </w:r>
    </w:p>
    <w:p w14:paraId="65623E37">
      <w:pPr>
        <w:pStyle w:val="964"/>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18"/>
          <w:szCs w:val="18"/>
          <w:highlight w:val="none"/>
        </w:rPr>
      </w:pPr>
      <w:r>
        <w:rPr>
          <w:rFonts w:hint="eastAsia" w:ascii="仿宋" w:hAnsi="仿宋" w:eastAsia="仿宋" w:cs="仿宋"/>
          <w:b w:val="0"/>
          <w:bCs w:val="0"/>
          <w:color w:val="auto"/>
          <w:kern w:val="0"/>
          <w:sz w:val="24"/>
          <w:szCs w:val="24"/>
          <w:highlight w:val="none"/>
          <w:lang w:val="en-US"/>
        </w:rPr>
        <w:t>3</w:t>
      </w:r>
      <w:r>
        <w:rPr>
          <w:rFonts w:hint="eastAsia" w:ascii="仿宋" w:hAnsi="仿宋" w:eastAsia="仿宋" w:cs="仿宋"/>
          <w:b w:val="0"/>
          <w:bCs w:val="0"/>
          <w:color w:val="auto"/>
          <w:kern w:val="0"/>
          <w:sz w:val="24"/>
          <w:szCs w:val="24"/>
          <w:highlight w:val="none"/>
          <w:lang w:val="en-US" w:eastAsia="zh-CN"/>
        </w:rPr>
        <w:t>1</w:t>
      </w:r>
      <w:r>
        <w:rPr>
          <w:rFonts w:hint="eastAsia" w:ascii="仿宋" w:hAnsi="仿宋" w:eastAsia="仿宋" w:cs="仿宋"/>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仿宋" w:hAnsi="仿宋" w:eastAsia="仿宋" w:cs="仿宋"/>
          <w:b w:val="0"/>
          <w:bCs w:val="0"/>
          <w:color w:val="auto"/>
          <w:kern w:val="0"/>
          <w:sz w:val="24"/>
          <w:szCs w:val="24"/>
          <w:highlight w:val="none"/>
          <w:lang w:val="en-US" w:eastAsia="zh-CN"/>
        </w:rPr>
        <w:t>合同管理</w:t>
      </w:r>
      <w:r>
        <w:rPr>
          <w:rFonts w:hint="eastAsia" w:ascii="仿宋" w:hAnsi="仿宋" w:eastAsia="仿宋" w:cs="仿宋"/>
          <w:b w:val="0"/>
          <w:bCs w:val="0"/>
          <w:color w:val="auto"/>
          <w:kern w:val="0"/>
          <w:sz w:val="24"/>
          <w:szCs w:val="24"/>
          <w:highlight w:val="none"/>
          <w:lang w:val="en-US"/>
        </w:rPr>
        <w:t>-支付管理。对于供应商提起在线支付申请的，采购</w:t>
      </w:r>
      <w:r>
        <w:rPr>
          <w:rFonts w:hint="eastAsia" w:ascii="仿宋" w:hAnsi="仿宋" w:eastAsia="仿宋" w:cs="仿宋"/>
          <w:b w:val="0"/>
          <w:bCs w:val="0"/>
          <w:color w:val="auto"/>
          <w:kern w:val="0"/>
          <w:sz w:val="24"/>
          <w:szCs w:val="24"/>
          <w:highlight w:val="none"/>
          <w:lang w:val="en-US" w:eastAsia="zh-CN"/>
        </w:rPr>
        <w:t>人</w:t>
      </w:r>
      <w:r>
        <w:rPr>
          <w:rFonts w:hint="eastAsia" w:ascii="仿宋" w:hAnsi="仿宋" w:eastAsia="仿宋" w:cs="仿宋"/>
          <w:b w:val="0"/>
          <w:bCs w:val="0"/>
          <w:color w:val="auto"/>
          <w:kern w:val="0"/>
          <w:sz w:val="24"/>
          <w:szCs w:val="24"/>
          <w:highlight w:val="none"/>
          <w:lang w:val="en-US"/>
        </w:rPr>
        <w:t>应当</w:t>
      </w:r>
      <w:r>
        <w:rPr>
          <w:rFonts w:hint="eastAsia" w:ascii="仿宋" w:hAnsi="仿宋" w:eastAsia="仿宋" w:cs="仿宋"/>
          <w:b w:val="0"/>
          <w:bCs w:val="0"/>
          <w:color w:val="auto"/>
          <w:kern w:val="0"/>
          <w:sz w:val="24"/>
          <w:szCs w:val="24"/>
          <w:highlight w:val="none"/>
          <w:lang w:val="en-US" w:eastAsia="zh-CN"/>
        </w:rPr>
        <w:t>按规定</w:t>
      </w:r>
      <w:r>
        <w:rPr>
          <w:rFonts w:hint="eastAsia" w:ascii="仿宋" w:hAnsi="仿宋" w:eastAsia="仿宋" w:cs="仿宋"/>
          <w:b w:val="0"/>
          <w:bCs w:val="0"/>
          <w:color w:val="auto"/>
          <w:kern w:val="0"/>
          <w:sz w:val="24"/>
          <w:szCs w:val="24"/>
          <w:highlight w:val="none"/>
          <w:lang w:val="en-US"/>
        </w:rPr>
        <w:t>做好审核并完成支付。</w:t>
      </w:r>
    </w:p>
    <w:bookmarkEnd w:id="9"/>
    <w:bookmarkEnd w:id="10"/>
    <w:bookmarkEnd w:id="11"/>
    <w:p w14:paraId="456697F3">
      <w:pPr>
        <w:widowControl/>
        <w:adjustRightInd/>
        <w:jc w:val="left"/>
        <w:rPr>
          <w:rFonts w:hint="eastAsia" w:ascii="仿宋" w:hAnsi="仿宋" w:eastAsia="仿宋" w:cs="仿宋"/>
          <w:color w:val="auto"/>
          <w:kern w:val="0"/>
          <w:sz w:val="24"/>
          <w:highlight w:val="none"/>
        </w:rPr>
      </w:pPr>
      <w:bookmarkStart w:id="15" w:name="_Hlt68403820"/>
      <w:bookmarkEnd w:id="15"/>
      <w:bookmarkStart w:id="16" w:name="_Hlt75236011"/>
      <w:bookmarkEnd w:id="16"/>
      <w:bookmarkStart w:id="17" w:name="_Hlt74730295"/>
      <w:bookmarkEnd w:id="17"/>
      <w:bookmarkStart w:id="18" w:name="_Hlt74707468"/>
      <w:bookmarkEnd w:id="18"/>
      <w:bookmarkStart w:id="19" w:name="_Hlt75236290"/>
      <w:bookmarkEnd w:id="19"/>
      <w:bookmarkStart w:id="20" w:name="_Hlt68072990"/>
      <w:bookmarkEnd w:id="20"/>
      <w:bookmarkStart w:id="21" w:name="_Hlt75236101"/>
      <w:bookmarkEnd w:id="21"/>
      <w:bookmarkStart w:id="22" w:name="_Hlt68073093"/>
      <w:bookmarkEnd w:id="22"/>
      <w:bookmarkStart w:id="23" w:name="_Hlt68057669"/>
      <w:bookmarkEnd w:id="23"/>
      <w:bookmarkStart w:id="24" w:name="_Hlt74714665"/>
      <w:bookmarkEnd w:id="24"/>
      <w:bookmarkStart w:id="25" w:name="_Hlt68072998"/>
      <w:bookmarkEnd w:id="25"/>
      <w:bookmarkStart w:id="26" w:name="_Hlt74729768"/>
      <w:bookmarkEnd w:id="26"/>
      <w:bookmarkStart w:id="27" w:name="第四部分"/>
      <w:r>
        <w:rPr>
          <w:rFonts w:hint="eastAsia" w:ascii="仿宋" w:hAnsi="仿宋" w:eastAsia="仿宋" w:cs="仿宋"/>
          <w:color w:val="auto"/>
          <w:kern w:val="0"/>
          <w:sz w:val="24"/>
          <w:highlight w:val="none"/>
        </w:rPr>
        <w:br w:type="page"/>
      </w:r>
    </w:p>
    <w:p w14:paraId="5438AC1E">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14:paraId="05B31E36">
      <w:pPr>
        <w:snapToGrid w:val="0"/>
        <w:rPr>
          <w:rStyle w:val="962"/>
          <w:rFonts w:hint="eastAsia" w:ascii="仿宋" w:hAnsi="仿宋" w:eastAsia="仿宋" w:cs="仿宋"/>
          <w:i w:val="0"/>
          <w:iCs w:val="0"/>
          <w:color w:val="auto"/>
          <w:highlight w:val="none"/>
        </w:rPr>
      </w:pPr>
      <w:r>
        <w:rPr>
          <w:rStyle w:val="962"/>
          <w:rFonts w:hint="eastAsia" w:ascii="仿宋" w:hAnsi="仿宋" w:eastAsia="仿宋" w:cs="仿宋"/>
          <w:i w:val="0"/>
          <w:iCs w:val="0"/>
          <w:color w:val="auto"/>
          <w:highlight w:val="none"/>
        </w:rPr>
        <w:t>属于实质性要求条款的，请用符号“▲”标明，否则属于非实质性要求。“★”系产品采购项目中单一产品或核心产品。</w:t>
      </w:r>
    </w:p>
    <w:p w14:paraId="39548F94">
      <w:pPr>
        <w:pStyle w:val="4"/>
        <w:numPr>
          <w:ilvl w:val="0"/>
          <w:numId w:val="8"/>
        </w:numPr>
        <w:jc w:val="center"/>
        <w:rPr>
          <w:rFonts w:hint="eastAsia" w:ascii="仿宋" w:hAnsi="仿宋" w:eastAsia="仿宋" w:cs="仿宋"/>
          <w:color w:val="auto"/>
          <w:highlight w:val="none"/>
        </w:rPr>
      </w:pPr>
      <w:r>
        <w:rPr>
          <w:rFonts w:hint="eastAsia" w:ascii="仿宋" w:hAnsi="仿宋" w:eastAsia="仿宋" w:cs="仿宋"/>
          <w:color w:val="auto"/>
          <w:highlight w:val="none"/>
        </w:rPr>
        <w:t>招标一览表</w:t>
      </w:r>
    </w:p>
    <w:tbl>
      <w:tblPr>
        <w:tblStyle w:val="63"/>
        <w:tblpPr w:leftFromText="180" w:rightFromText="180" w:vertAnchor="text" w:horzAnchor="page" w:tblpX="1557" w:tblpY="457"/>
        <w:tblOverlap w:val="never"/>
        <w:tblW w:w="8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9"/>
        <w:gridCol w:w="4390"/>
        <w:gridCol w:w="1538"/>
        <w:gridCol w:w="577"/>
        <w:gridCol w:w="699"/>
        <w:gridCol w:w="774"/>
      </w:tblGrid>
      <w:tr w14:paraId="6A57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89" w:hRule="atLeast"/>
        </w:trPr>
        <w:tc>
          <w:tcPr>
            <w:tcW w:w="7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B7BBC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标项号</w:t>
            </w:r>
          </w:p>
        </w:tc>
        <w:tc>
          <w:tcPr>
            <w:tcW w:w="439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466714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53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CB8FB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规格型号与参数</w:t>
            </w:r>
          </w:p>
        </w:tc>
        <w:tc>
          <w:tcPr>
            <w:tcW w:w="57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FE874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69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6F7F45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774" w:type="dxa"/>
            <w:tcBorders>
              <w:top w:val="single" w:color="auto" w:sz="4" w:space="0"/>
              <w:left w:val="single" w:color="auto" w:sz="4" w:space="0"/>
              <w:bottom w:val="single" w:color="auto" w:sz="4" w:space="0"/>
              <w:right w:val="single" w:color="auto" w:sz="4" w:space="0"/>
            </w:tcBorders>
            <w:noWrap w:val="0"/>
            <w:vAlign w:val="center"/>
          </w:tcPr>
          <w:p w14:paraId="33BA314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5C934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17" w:hRule="atLeast"/>
        </w:trPr>
        <w:tc>
          <w:tcPr>
            <w:tcW w:w="7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8CEAC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39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4EBFC2A">
            <w:pPr>
              <w:widowControl/>
              <w:adjustRightInd/>
              <w:spacing w:before="75" w:after="75"/>
              <w:jc w:val="center"/>
              <w:rPr>
                <w:rFonts w:hint="eastAsia" w:ascii="仿宋" w:hAnsi="仿宋" w:eastAsia="仿宋" w:cs="仿宋"/>
                <w:color w:val="auto"/>
                <w:kern w:val="0"/>
                <w:sz w:val="24"/>
                <w:highlight w:val="none"/>
              </w:rPr>
            </w:pPr>
            <w:r>
              <w:rPr>
                <w:rFonts w:hint="eastAsia" w:ascii="仿宋" w:hAnsi="仿宋" w:eastAsia="仿宋" w:cs="仿宋"/>
                <w:color w:val="auto"/>
                <w:sz w:val="24"/>
                <w:szCs w:val="28"/>
                <w:highlight w:val="none"/>
                <w:lang w:eastAsia="zh-CN"/>
              </w:rPr>
              <w:t>2025年义蓬街道交通设施更新维修项目</w:t>
            </w:r>
          </w:p>
        </w:tc>
        <w:tc>
          <w:tcPr>
            <w:tcW w:w="153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520C6E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详见招标需求</w:t>
            </w:r>
          </w:p>
        </w:tc>
        <w:tc>
          <w:tcPr>
            <w:tcW w:w="57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69773F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w:t>
            </w:r>
          </w:p>
        </w:tc>
        <w:tc>
          <w:tcPr>
            <w:tcW w:w="69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C2354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74" w:type="dxa"/>
            <w:tcBorders>
              <w:top w:val="single" w:color="auto" w:sz="4" w:space="0"/>
              <w:left w:val="single" w:color="auto" w:sz="4" w:space="0"/>
              <w:bottom w:val="single" w:color="auto" w:sz="4" w:space="0"/>
              <w:right w:val="single" w:color="auto" w:sz="4" w:space="0"/>
            </w:tcBorders>
            <w:noWrap w:val="0"/>
            <w:vAlign w:val="center"/>
          </w:tcPr>
          <w:p w14:paraId="78487702">
            <w:pPr>
              <w:jc w:val="center"/>
              <w:rPr>
                <w:rFonts w:hint="eastAsia" w:ascii="仿宋" w:hAnsi="仿宋" w:eastAsia="仿宋" w:cs="仿宋"/>
                <w:color w:val="auto"/>
                <w:sz w:val="24"/>
                <w:highlight w:val="none"/>
              </w:rPr>
            </w:pPr>
          </w:p>
        </w:tc>
      </w:tr>
    </w:tbl>
    <w:p w14:paraId="5DB389C6">
      <w:pPr>
        <w:snapToGrid w:val="0"/>
        <w:spacing w:line="360" w:lineRule="auto"/>
        <w:jc w:val="center"/>
        <w:rPr>
          <w:rFonts w:hint="eastAsia" w:ascii="仿宋" w:hAnsi="仿宋" w:eastAsia="仿宋" w:cs="仿宋"/>
          <w:b/>
          <w:color w:val="auto"/>
          <w:sz w:val="36"/>
          <w:szCs w:val="36"/>
          <w:highlight w:val="none"/>
        </w:rPr>
      </w:pPr>
    </w:p>
    <w:p w14:paraId="070772C2">
      <w:pPr>
        <w:pStyle w:val="83"/>
        <w:numPr>
          <w:ilvl w:val="0"/>
          <w:numId w:val="9"/>
        </w:numPr>
        <w:ind w:left="0" w:leftChars="0" w:firstLine="0" w:firstLineChars="0"/>
        <w:jc w:val="center"/>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招标需求</w:t>
      </w:r>
    </w:p>
    <w:p w14:paraId="740B6241">
      <w:pPr>
        <w:bidi w:val="0"/>
        <w:spacing w:line="360" w:lineRule="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1、技术需求</w:t>
      </w:r>
    </w:p>
    <w:p w14:paraId="4EECB19B">
      <w:pPr>
        <w:bidi w:val="0"/>
        <w:spacing w:line="36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一、项目概况</w:t>
      </w:r>
    </w:p>
    <w:p w14:paraId="55A6B9F0">
      <w:pPr>
        <w:bidi w:val="0"/>
        <w:spacing w:line="360" w:lineRule="auto"/>
        <w:rPr>
          <w:rFonts w:hint="eastAsia" w:ascii="仿宋" w:hAnsi="仿宋" w:eastAsia="仿宋" w:cs="仿宋"/>
          <w:sz w:val="24"/>
          <w:szCs w:val="24"/>
          <w:highlight w:val="none"/>
          <w:lang w:eastAsia="zh-CN"/>
        </w:rPr>
      </w:pPr>
      <w:r>
        <w:rPr>
          <w:rFonts w:hint="eastAsia" w:ascii="仿宋" w:hAnsi="仿宋" w:eastAsia="仿宋" w:cs="仿宋"/>
          <w:b/>
          <w:bCs/>
          <w:sz w:val="24"/>
          <w:szCs w:val="24"/>
          <w:highlight w:val="none"/>
        </w:rPr>
        <w:t>1、</w:t>
      </w:r>
      <w:r>
        <w:rPr>
          <w:rFonts w:hint="eastAsia" w:ascii="仿宋" w:hAnsi="仿宋" w:eastAsia="仿宋" w:cs="仿宋"/>
          <w:b/>
          <w:bCs/>
          <w:sz w:val="24"/>
          <w:szCs w:val="24"/>
          <w:highlight w:val="none"/>
          <w:lang w:val="en-US" w:eastAsia="zh-Hans"/>
        </w:rPr>
        <w:t>项目</w:t>
      </w:r>
      <w:r>
        <w:rPr>
          <w:rFonts w:hint="eastAsia" w:ascii="仿宋" w:hAnsi="仿宋" w:eastAsia="仿宋" w:cs="仿宋"/>
          <w:b/>
          <w:bCs/>
          <w:sz w:val="24"/>
          <w:szCs w:val="24"/>
          <w:highlight w:val="none"/>
        </w:rPr>
        <w:t>名称</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2025年义蓬街道交通设施更新维修项目；</w:t>
      </w:r>
    </w:p>
    <w:p w14:paraId="3DA4C1D3">
      <w:pPr>
        <w:bidi w:val="0"/>
        <w:spacing w:line="360" w:lineRule="auto"/>
        <w:rPr>
          <w:rFonts w:hint="eastAsia" w:ascii="仿宋" w:hAnsi="仿宋" w:eastAsia="仿宋" w:cs="仿宋"/>
          <w:sz w:val="24"/>
          <w:szCs w:val="24"/>
          <w:highlight w:val="none"/>
          <w:lang w:eastAsia="zh-CN"/>
        </w:rPr>
      </w:pPr>
      <w:r>
        <w:rPr>
          <w:rFonts w:hint="eastAsia" w:ascii="仿宋" w:hAnsi="仿宋" w:eastAsia="仿宋" w:cs="仿宋"/>
          <w:b/>
          <w:bCs/>
          <w:sz w:val="24"/>
          <w:szCs w:val="24"/>
          <w:highlight w:val="none"/>
        </w:rPr>
        <w:t>2、项目地点</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Hans"/>
        </w:rPr>
        <w:t>本项目位于杭州市钱塘区</w:t>
      </w:r>
      <w:r>
        <w:rPr>
          <w:rFonts w:hint="eastAsia" w:ascii="仿宋" w:hAnsi="仿宋" w:eastAsia="仿宋" w:cs="仿宋"/>
          <w:sz w:val="24"/>
          <w:szCs w:val="24"/>
          <w:highlight w:val="none"/>
          <w:lang w:val="en-US" w:eastAsia="zh-CN"/>
        </w:rPr>
        <w:t>义蓬</w:t>
      </w:r>
      <w:r>
        <w:rPr>
          <w:rFonts w:hint="eastAsia" w:ascii="仿宋" w:hAnsi="仿宋" w:eastAsia="仿宋" w:cs="仿宋"/>
          <w:sz w:val="24"/>
          <w:szCs w:val="24"/>
          <w:highlight w:val="none"/>
          <w:lang w:eastAsia="zh-CN"/>
        </w:rPr>
        <w:t>街道；</w:t>
      </w:r>
    </w:p>
    <w:p w14:paraId="78DD0597">
      <w:pPr>
        <w:bidi w:val="0"/>
        <w:spacing w:line="360" w:lineRule="auto"/>
        <w:rPr>
          <w:rFonts w:hint="eastAsia" w:ascii="仿宋" w:hAnsi="仿宋" w:eastAsia="仿宋" w:cs="仿宋"/>
          <w:sz w:val="24"/>
          <w:szCs w:val="24"/>
          <w:highlight w:val="none"/>
          <w:lang w:val="en-US" w:eastAsia="zh-Hans"/>
        </w:rPr>
      </w:pPr>
      <w:r>
        <w:rPr>
          <w:rFonts w:hint="eastAsia" w:ascii="仿宋" w:hAnsi="仿宋" w:eastAsia="仿宋" w:cs="仿宋"/>
          <w:b/>
          <w:bCs/>
          <w:sz w:val="24"/>
          <w:szCs w:val="24"/>
          <w:highlight w:val="none"/>
          <w:lang w:eastAsia="zh-CN"/>
        </w:rPr>
        <w:t>3</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最高限价</w:t>
      </w:r>
      <w:r>
        <w:rPr>
          <w:rFonts w:hint="eastAsia" w:ascii="仿宋" w:hAnsi="仿宋" w:eastAsia="仿宋" w:cs="仿宋"/>
          <w:sz w:val="24"/>
          <w:szCs w:val="24"/>
          <w:highlight w:val="none"/>
          <w:lang w:val="en-US" w:eastAsia="zh-CN"/>
        </w:rPr>
        <w:t>：1000000元；</w:t>
      </w:r>
    </w:p>
    <w:p w14:paraId="2718EC17">
      <w:pPr>
        <w:bidi w:val="0"/>
        <w:spacing w:line="360" w:lineRule="auto"/>
        <w:rPr>
          <w:rFonts w:hint="eastAsia" w:ascii="仿宋" w:hAnsi="仿宋" w:eastAsia="仿宋" w:cs="仿宋"/>
          <w:sz w:val="24"/>
          <w:szCs w:val="24"/>
          <w:highlight w:val="none"/>
          <w:lang w:val="en-US" w:eastAsia="zh-Hans"/>
        </w:rPr>
      </w:pPr>
      <w:r>
        <w:rPr>
          <w:rFonts w:hint="eastAsia" w:ascii="仿宋" w:hAnsi="仿宋" w:eastAsia="仿宋" w:cs="仿宋"/>
          <w:b/>
          <w:bCs/>
          <w:sz w:val="24"/>
          <w:szCs w:val="24"/>
          <w:highlight w:val="none"/>
          <w:lang w:eastAsia="zh-Hans"/>
        </w:rPr>
        <w:t>4、项目</w:t>
      </w:r>
      <w:r>
        <w:rPr>
          <w:rFonts w:hint="eastAsia" w:ascii="仿宋" w:hAnsi="仿宋" w:eastAsia="仿宋" w:cs="仿宋"/>
          <w:b/>
          <w:bCs/>
          <w:sz w:val="24"/>
          <w:szCs w:val="24"/>
          <w:highlight w:val="none"/>
          <w:lang w:val="en-US" w:eastAsia="zh-CN"/>
        </w:rPr>
        <w:t>基本情况</w:t>
      </w:r>
      <w:r>
        <w:rPr>
          <w:rFonts w:hint="eastAsia" w:ascii="仿宋" w:hAnsi="仿宋" w:eastAsia="仿宋" w:cs="仿宋"/>
          <w:b/>
          <w:bCs/>
          <w:sz w:val="24"/>
          <w:szCs w:val="24"/>
          <w:highlight w:val="none"/>
          <w:lang w:eastAsia="zh-CN"/>
        </w:rPr>
        <w:t>：</w:t>
      </w:r>
      <w:r>
        <w:rPr>
          <w:rFonts w:hint="eastAsia" w:ascii="仿宋" w:hAnsi="仿宋" w:eastAsia="仿宋" w:cs="仿宋"/>
          <w:sz w:val="24"/>
          <w:szCs w:val="24"/>
          <w:highlight w:val="none"/>
          <w:lang w:val="en-US" w:eastAsia="zh-Hans"/>
        </w:rPr>
        <w:t>1、</w:t>
      </w:r>
      <w:r>
        <w:rPr>
          <w:rFonts w:hint="eastAsia" w:ascii="仿宋" w:hAnsi="仿宋" w:eastAsia="仿宋" w:cs="仿宋"/>
          <w:sz w:val="24"/>
          <w:szCs w:val="24"/>
          <w:highlight w:val="none"/>
          <w:lang w:val="en-US" w:eastAsia="zh-CN"/>
        </w:rPr>
        <w:t>本项目费用的</w:t>
      </w:r>
      <w:r>
        <w:rPr>
          <w:rFonts w:hint="eastAsia" w:ascii="仿宋" w:hAnsi="仿宋" w:eastAsia="仿宋" w:cs="仿宋"/>
          <w:sz w:val="24"/>
          <w:szCs w:val="24"/>
          <w:highlight w:val="none"/>
          <w:lang w:val="en-US" w:eastAsia="zh-Hans"/>
        </w:rPr>
        <w:t>主要内容包括货</w:t>
      </w:r>
      <w:r>
        <w:rPr>
          <w:rFonts w:hint="eastAsia" w:ascii="仿宋" w:hAnsi="仿宋" w:eastAsia="仿宋" w:cs="仿宋"/>
          <w:sz w:val="24"/>
          <w:szCs w:val="24"/>
          <w:highlight w:val="none"/>
          <w:lang w:val="en-US" w:eastAsia="zh-CN"/>
        </w:rPr>
        <w:t>款</w:t>
      </w:r>
      <w:r>
        <w:rPr>
          <w:rFonts w:hint="eastAsia" w:ascii="仿宋" w:hAnsi="仿宋" w:eastAsia="仿宋" w:cs="仿宋"/>
          <w:sz w:val="24"/>
          <w:szCs w:val="24"/>
          <w:highlight w:val="none"/>
          <w:lang w:val="en-US" w:eastAsia="zh-Hans"/>
        </w:rPr>
        <w:t>、完成施工、标准附件、备品备件、专用工具、包装、运输、装卸、保险、利润、货到就位及安装、调试和试运行、保修、竣工验收、养护、巡查、备品备件、技术培训、售后服务及其他所需的所有税金和费用。</w:t>
      </w:r>
    </w:p>
    <w:p w14:paraId="2A8578F8">
      <w:pPr>
        <w:bidi w:val="0"/>
        <w:spacing w:line="360" w:lineRule="auto"/>
        <w:ind w:firstLine="480" w:firstLineChars="200"/>
        <w:rPr>
          <w:rFonts w:hint="eastAsia" w:ascii="仿宋" w:hAnsi="仿宋" w:eastAsia="仿宋" w:cs="仿宋"/>
          <w:sz w:val="24"/>
          <w:szCs w:val="24"/>
          <w:highlight w:val="none"/>
          <w:lang w:val="en-US" w:eastAsia="zh-Hans"/>
        </w:rPr>
      </w:pPr>
      <w:r>
        <w:rPr>
          <w:rFonts w:hint="eastAsia" w:ascii="仿宋" w:hAnsi="仿宋" w:eastAsia="仿宋" w:cs="仿宋"/>
          <w:sz w:val="24"/>
          <w:szCs w:val="24"/>
          <w:highlight w:val="none"/>
          <w:lang w:val="en-US" w:eastAsia="zh-Hans"/>
        </w:rPr>
        <w:t>2、投标时，按招标文件提供的货物清单进行折扣率报价。如中标，项目最终实施的数量根据现场实际发生情况或采购人的需求进行确定,合同的最终结算金额=每一项限价*实际的工程量*中标</w:t>
      </w:r>
      <w:r>
        <w:rPr>
          <w:rFonts w:hint="eastAsia" w:ascii="仿宋" w:hAnsi="仿宋" w:eastAsia="仿宋" w:cs="仿宋"/>
          <w:sz w:val="24"/>
          <w:szCs w:val="24"/>
          <w:highlight w:val="none"/>
          <w:lang w:val="en-US" w:eastAsia="zh-CN"/>
        </w:rPr>
        <w:t>折扣</w:t>
      </w:r>
      <w:r>
        <w:rPr>
          <w:rFonts w:hint="eastAsia" w:ascii="仿宋" w:hAnsi="仿宋" w:eastAsia="仿宋" w:cs="仿宋"/>
          <w:sz w:val="24"/>
          <w:szCs w:val="24"/>
          <w:highlight w:val="none"/>
          <w:lang w:val="en-US" w:eastAsia="zh-Hans"/>
        </w:rPr>
        <w:t>率予以支付。</w:t>
      </w:r>
      <w:r>
        <w:rPr>
          <w:rFonts w:hint="eastAsia" w:ascii="仿宋" w:hAnsi="仿宋" w:eastAsia="仿宋" w:cs="仿宋"/>
          <w:sz w:val="24"/>
          <w:szCs w:val="24"/>
          <w:highlight w:val="none"/>
          <w:lang w:val="en-US" w:eastAsia="zh-CN"/>
        </w:rPr>
        <w:t>供应商最终结算服务费用总额</w:t>
      </w:r>
      <w:r>
        <w:rPr>
          <w:rFonts w:hint="eastAsia" w:ascii="仿宋" w:hAnsi="仿宋" w:eastAsia="仿宋" w:cs="仿宋"/>
          <w:sz w:val="24"/>
          <w:szCs w:val="24"/>
          <w:highlight w:val="none"/>
          <w:lang w:val="en-US" w:eastAsia="zh-Hans"/>
        </w:rPr>
        <w:t>不能超过</w:t>
      </w:r>
      <w:r>
        <w:rPr>
          <w:rFonts w:hint="eastAsia" w:ascii="仿宋" w:hAnsi="仿宋" w:eastAsia="仿宋" w:cs="仿宋"/>
          <w:sz w:val="24"/>
          <w:szCs w:val="24"/>
          <w:highlight w:val="none"/>
          <w:lang w:val="en-US" w:eastAsia="zh-CN"/>
        </w:rPr>
        <w:t>标项</w:t>
      </w:r>
      <w:r>
        <w:rPr>
          <w:rFonts w:hint="eastAsia" w:ascii="仿宋" w:hAnsi="仿宋" w:eastAsia="仿宋" w:cs="仿宋"/>
          <w:sz w:val="24"/>
          <w:szCs w:val="24"/>
          <w:highlight w:val="none"/>
          <w:lang w:val="en-US" w:eastAsia="zh-Hans"/>
        </w:rPr>
        <w:t>预算</w:t>
      </w:r>
      <w:r>
        <w:rPr>
          <w:rFonts w:hint="eastAsia" w:ascii="仿宋" w:hAnsi="仿宋" w:eastAsia="仿宋" w:cs="仿宋"/>
          <w:sz w:val="24"/>
          <w:szCs w:val="24"/>
          <w:highlight w:val="none"/>
          <w:lang w:val="en-US" w:eastAsia="zh-CN"/>
        </w:rPr>
        <w:t>金额</w:t>
      </w:r>
      <w:r>
        <w:rPr>
          <w:rFonts w:hint="eastAsia" w:ascii="仿宋" w:hAnsi="仿宋" w:eastAsia="仿宋" w:cs="仿宋"/>
          <w:sz w:val="24"/>
          <w:szCs w:val="24"/>
          <w:highlight w:val="none"/>
          <w:lang w:val="en-US" w:eastAsia="zh-Hans"/>
        </w:rPr>
        <w:t>。中标</w:t>
      </w:r>
      <w:r>
        <w:rPr>
          <w:rFonts w:hint="eastAsia" w:ascii="仿宋" w:hAnsi="仿宋" w:eastAsia="仿宋" w:cs="仿宋"/>
          <w:sz w:val="24"/>
          <w:szCs w:val="24"/>
          <w:highlight w:val="none"/>
          <w:lang w:val="en-US" w:eastAsia="zh-CN"/>
        </w:rPr>
        <w:t>人</w:t>
      </w:r>
      <w:r>
        <w:rPr>
          <w:rFonts w:hint="eastAsia" w:ascii="仿宋" w:hAnsi="仿宋" w:eastAsia="仿宋" w:cs="仿宋"/>
          <w:sz w:val="24"/>
          <w:szCs w:val="24"/>
          <w:highlight w:val="none"/>
          <w:lang w:val="en-US" w:eastAsia="zh-Hans"/>
        </w:rPr>
        <w:t>应该做好所承接业务的总结算金额的统计工作，如果总结算金额超过供应商中标标项预算，中标</w:t>
      </w:r>
      <w:r>
        <w:rPr>
          <w:rFonts w:hint="eastAsia" w:ascii="仿宋" w:hAnsi="仿宋" w:eastAsia="仿宋" w:cs="仿宋"/>
          <w:sz w:val="24"/>
          <w:szCs w:val="24"/>
          <w:highlight w:val="none"/>
          <w:lang w:val="en-US" w:eastAsia="zh-CN"/>
        </w:rPr>
        <w:t>人</w:t>
      </w:r>
      <w:r>
        <w:rPr>
          <w:rFonts w:hint="eastAsia" w:ascii="仿宋" w:hAnsi="仿宋" w:eastAsia="仿宋" w:cs="仿宋"/>
          <w:sz w:val="24"/>
          <w:szCs w:val="24"/>
          <w:highlight w:val="none"/>
          <w:lang w:val="en-US" w:eastAsia="zh-Hans"/>
        </w:rPr>
        <w:t>应及时自行终止承接甲方的委托任务和甲方合同，超过标项预算的费用采购人将不予支付，中标</w:t>
      </w:r>
      <w:r>
        <w:rPr>
          <w:rFonts w:hint="eastAsia" w:ascii="仿宋" w:hAnsi="仿宋" w:eastAsia="仿宋" w:cs="仿宋"/>
          <w:sz w:val="24"/>
          <w:szCs w:val="24"/>
          <w:highlight w:val="none"/>
          <w:lang w:val="en-US" w:eastAsia="zh-CN"/>
        </w:rPr>
        <w:t>人</w:t>
      </w:r>
      <w:r>
        <w:rPr>
          <w:rFonts w:hint="eastAsia" w:ascii="仿宋" w:hAnsi="仿宋" w:eastAsia="仿宋" w:cs="仿宋"/>
          <w:sz w:val="24"/>
          <w:szCs w:val="24"/>
          <w:highlight w:val="none"/>
          <w:lang w:val="en-US" w:eastAsia="zh-Hans"/>
        </w:rPr>
        <w:t>需自行承担相关风险。</w:t>
      </w:r>
    </w:p>
    <w:p w14:paraId="7E35A611">
      <w:pPr>
        <w:bidi w:val="0"/>
        <w:spacing w:line="360" w:lineRule="auto"/>
        <w:ind w:firstLine="480" w:firstLineChars="200"/>
        <w:rPr>
          <w:rFonts w:hint="eastAsia" w:ascii="仿宋" w:hAnsi="仿宋" w:eastAsia="仿宋" w:cs="仿宋"/>
          <w:sz w:val="24"/>
          <w:szCs w:val="24"/>
          <w:highlight w:val="none"/>
          <w:lang w:val="en-US" w:eastAsia="zh-Hans"/>
        </w:rPr>
      </w:pPr>
      <w:r>
        <w:rPr>
          <w:rFonts w:hint="eastAsia" w:ascii="仿宋" w:hAnsi="仿宋" w:eastAsia="仿宋" w:cs="仿宋"/>
          <w:sz w:val="24"/>
          <w:szCs w:val="24"/>
          <w:highlight w:val="none"/>
          <w:lang w:val="en-US" w:eastAsia="zh-Hans"/>
        </w:rPr>
        <w:t>注：</w:t>
      </w:r>
    </w:p>
    <w:p w14:paraId="244A7E06">
      <w:pPr>
        <w:bidi w:val="0"/>
        <w:spacing w:line="360" w:lineRule="auto"/>
        <w:ind w:firstLine="480" w:firstLineChars="200"/>
        <w:rPr>
          <w:rFonts w:hint="eastAsia" w:ascii="仿宋" w:hAnsi="仿宋" w:eastAsia="仿宋" w:cs="仿宋"/>
          <w:sz w:val="24"/>
          <w:szCs w:val="24"/>
          <w:highlight w:val="none"/>
          <w:lang w:val="en-US" w:eastAsia="zh-Hans"/>
        </w:rPr>
      </w:pPr>
      <w:r>
        <w:rPr>
          <w:rFonts w:hint="eastAsia" w:ascii="仿宋" w:hAnsi="仿宋" w:eastAsia="仿宋" w:cs="仿宋"/>
          <w:sz w:val="24"/>
          <w:szCs w:val="24"/>
          <w:highlight w:val="none"/>
          <w:lang w:val="en-US" w:eastAsia="zh-Hans"/>
        </w:rPr>
        <w:t>①完成所有产品供货及履行所有规定服务所产生的全部费用；</w:t>
      </w:r>
    </w:p>
    <w:p w14:paraId="6363E296">
      <w:pPr>
        <w:numPr>
          <w:ilvl w:val="0"/>
          <w:numId w:val="0"/>
        </w:numPr>
        <w:spacing w:line="360" w:lineRule="auto"/>
        <w:ind w:leftChars="19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Hans"/>
        </w:rPr>
        <w:t>②投标采用</w:t>
      </w:r>
      <w:r>
        <w:rPr>
          <w:rFonts w:hint="eastAsia" w:ascii="仿宋" w:hAnsi="仿宋" w:eastAsia="仿宋" w:cs="仿宋"/>
          <w:sz w:val="24"/>
          <w:szCs w:val="24"/>
          <w:highlight w:val="none"/>
          <w:lang w:val="en-US" w:eastAsia="zh-CN"/>
        </w:rPr>
        <w:t>折扣率</w:t>
      </w:r>
      <w:r>
        <w:rPr>
          <w:rFonts w:hint="eastAsia" w:ascii="仿宋" w:hAnsi="仿宋" w:eastAsia="仿宋" w:cs="仿宋"/>
          <w:sz w:val="24"/>
          <w:szCs w:val="24"/>
          <w:highlight w:val="none"/>
          <w:lang w:val="en-US" w:eastAsia="zh-Hans"/>
        </w:rPr>
        <w:t>报价（</w:t>
      </w:r>
      <w:r>
        <w:rPr>
          <w:rFonts w:hint="eastAsia" w:ascii="仿宋" w:hAnsi="仿宋" w:eastAsia="仿宋" w:cs="仿宋"/>
          <w:color w:val="auto"/>
          <w:kern w:val="0"/>
          <w:sz w:val="24"/>
          <w:highlight w:val="none"/>
          <w:lang w:val="zh-CN"/>
        </w:rPr>
        <w:t>如下浮10%，则折扣率报价为90.00%</w:t>
      </w:r>
      <w:r>
        <w:rPr>
          <w:rFonts w:hint="eastAsia" w:ascii="仿宋" w:hAnsi="仿宋" w:eastAsia="仿宋" w:cs="仿宋"/>
          <w:sz w:val="24"/>
          <w:szCs w:val="24"/>
          <w:highlight w:val="none"/>
          <w:lang w:val="en-US" w:eastAsia="zh-Hans"/>
        </w:rPr>
        <w:t>）</w:t>
      </w:r>
      <w:r>
        <w:rPr>
          <w:rFonts w:hint="eastAsia" w:ascii="仿宋" w:hAnsi="仿宋" w:eastAsia="仿宋" w:cs="仿宋"/>
          <w:sz w:val="24"/>
          <w:szCs w:val="24"/>
          <w:highlight w:val="none"/>
          <w:lang w:val="en-US" w:eastAsia="zh-CN"/>
        </w:rPr>
        <w:t>，</w:t>
      </w:r>
      <w:r>
        <w:rPr>
          <w:rFonts w:hint="eastAsia" w:ascii="仿宋" w:hAnsi="仿宋" w:eastAsia="仿宋" w:cs="仿宋"/>
          <w:color w:val="auto"/>
          <w:kern w:val="0"/>
          <w:sz w:val="24"/>
          <w:highlight w:val="none"/>
          <w:lang w:val="zh-CN"/>
        </w:rPr>
        <w:t>折扣率报价需保留到小数点后二位。折扣率报价不得高于100%，否则按无效报价处理。</w:t>
      </w:r>
    </w:p>
    <w:p w14:paraId="655885CE">
      <w:pPr>
        <w:bidi w:val="0"/>
        <w:spacing w:line="360" w:lineRule="auto"/>
        <w:ind w:firstLine="480" w:firstLineChars="200"/>
        <w:rPr>
          <w:rFonts w:hint="eastAsia" w:ascii="仿宋" w:hAnsi="仿宋" w:eastAsia="仿宋" w:cs="仿宋"/>
          <w:b/>
          <w:bCs/>
          <w:sz w:val="24"/>
          <w:szCs w:val="24"/>
          <w:highlight w:val="none"/>
          <w:lang w:val="en-US" w:eastAsia="zh-Hans"/>
        </w:rPr>
      </w:pPr>
      <w:r>
        <w:rPr>
          <w:rFonts w:hint="eastAsia" w:ascii="仿宋" w:hAnsi="仿宋" w:eastAsia="仿宋" w:cs="仿宋"/>
          <w:sz w:val="24"/>
          <w:szCs w:val="24"/>
          <w:highlight w:val="none"/>
          <w:lang w:val="en-US" w:eastAsia="zh-Hans"/>
        </w:rPr>
        <w:t>▲</w:t>
      </w:r>
      <w:r>
        <w:rPr>
          <w:rFonts w:hint="eastAsia" w:ascii="仿宋" w:hAnsi="仿宋" w:eastAsia="仿宋" w:cs="仿宋"/>
          <w:b/>
          <w:bCs/>
          <w:sz w:val="24"/>
          <w:szCs w:val="24"/>
          <w:highlight w:val="none"/>
          <w:lang w:val="en-US" w:eastAsia="zh-Hans"/>
        </w:rPr>
        <w:t>③投标报价采用所有货物清单统一折扣率，若有各单项的折扣率不一致的，将被视为投标无效。</w:t>
      </w:r>
    </w:p>
    <w:p w14:paraId="45EB6E8E">
      <w:pPr>
        <w:numPr>
          <w:ilvl w:val="0"/>
          <w:numId w:val="10"/>
        </w:numPr>
        <w:snapToGrid w:val="0"/>
        <w:spacing w:line="360" w:lineRule="auto"/>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服务要求</w:t>
      </w:r>
    </w:p>
    <w:p w14:paraId="33D36283">
      <w:pPr>
        <w:bidi w:val="0"/>
        <w:spacing w:line="360" w:lineRule="auto"/>
        <w:ind w:firstLine="480" w:firstLineChars="200"/>
        <w:rPr>
          <w:rFonts w:hint="eastAsia" w:ascii="仿宋" w:hAnsi="仿宋" w:eastAsia="仿宋" w:cs="仿宋"/>
          <w:sz w:val="24"/>
          <w:szCs w:val="24"/>
          <w:highlight w:val="none"/>
          <w:lang w:val="en-US" w:eastAsia="zh-Hans"/>
        </w:rPr>
      </w:pPr>
      <w:r>
        <w:rPr>
          <w:rFonts w:hint="eastAsia" w:ascii="仿宋" w:hAnsi="仿宋" w:eastAsia="仿宋" w:cs="仿宋"/>
          <w:sz w:val="24"/>
          <w:szCs w:val="24"/>
          <w:highlight w:val="none"/>
          <w:lang w:val="en-US" w:eastAsia="zh-Hans"/>
        </w:rPr>
        <w:t>1、货物质保期：验收合格并交付使用后12个月（易耗品易耗件除外）；</w:t>
      </w:r>
    </w:p>
    <w:p w14:paraId="04F7E68C">
      <w:pPr>
        <w:bidi w:val="0"/>
        <w:spacing w:line="360" w:lineRule="auto"/>
        <w:ind w:firstLine="480" w:firstLineChars="200"/>
        <w:rPr>
          <w:rFonts w:hint="eastAsia" w:ascii="仿宋" w:hAnsi="仿宋" w:eastAsia="仿宋" w:cs="仿宋"/>
          <w:sz w:val="24"/>
          <w:szCs w:val="24"/>
          <w:highlight w:val="none"/>
          <w:lang w:val="en-US" w:eastAsia="zh-Hans"/>
        </w:rPr>
      </w:pPr>
      <w:r>
        <w:rPr>
          <w:rFonts w:hint="eastAsia" w:ascii="仿宋" w:hAnsi="仿宋" w:eastAsia="仿宋" w:cs="仿宋"/>
          <w:sz w:val="24"/>
          <w:szCs w:val="24"/>
          <w:highlight w:val="none"/>
          <w:lang w:val="en-US" w:eastAsia="zh-Hans"/>
        </w:rPr>
        <w:t>2、服务标准：</w:t>
      </w:r>
    </w:p>
    <w:p w14:paraId="788DEF7B">
      <w:pPr>
        <w:bidi w:val="0"/>
        <w:spacing w:line="360" w:lineRule="auto"/>
        <w:ind w:firstLine="480" w:firstLineChars="200"/>
        <w:rPr>
          <w:rFonts w:hint="eastAsia" w:ascii="仿宋" w:hAnsi="仿宋" w:eastAsia="仿宋" w:cs="仿宋"/>
          <w:sz w:val="24"/>
          <w:szCs w:val="24"/>
          <w:highlight w:val="none"/>
          <w:lang w:val="en-US" w:eastAsia="zh-Hans"/>
        </w:rPr>
      </w:pPr>
      <w:r>
        <w:rPr>
          <w:rFonts w:hint="eastAsia" w:ascii="仿宋" w:hAnsi="仿宋" w:eastAsia="仿宋" w:cs="仿宋"/>
          <w:sz w:val="24"/>
          <w:szCs w:val="24"/>
          <w:highlight w:val="none"/>
          <w:lang w:val="en-US" w:eastAsia="zh-Hans"/>
        </w:rPr>
        <w:t>1）、质保期内因不能排除的故障而影响工作的情况每发生一次，其质保期相应延长60天，质保期内因货物本身缺陷造成各种故障应由中标人免费予以更换，否则将扣除相应的履约保证金作为对采购人的补偿。质保期满后，</w:t>
      </w:r>
      <w:r>
        <w:rPr>
          <w:rFonts w:hint="eastAsia" w:ascii="仿宋" w:hAnsi="仿宋" w:eastAsia="仿宋" w:cs="仿宋"/>
          <w:sz w:val="24"/>
          <w:szCs w:val="24"/>
          <w:highlight w:val="none"/>
          <w:lang w:val="en-US" w:eastAsia="zh-CN"/>
        </w:rPr>
        <w:t>设备维修</w:t>
      </w:r>
      <w:r>
        <w:rPr>
          <w:rFonts w:hint="eastAsia" w:ascii="仿宋" w:hAnsi="仿宋" w:eastAsia="仿宋" w:cs="仿宋"/>
          <w:sz w:val="24"/>
          <w:szCs w:val="24"/>
          <w:highlight w:val="none"/>
          <w:lang w:val="en-US" w:eastAsia="zh-Hans"/>
        </w:rPr>
        <w:t>仅收取零配件成本费用，免人工费、差旅费，所涉及软件终身免费升级。</w:t>
      </w:r>
    </w:p>
    <w:p w14:paraId="51BBE731">
      <w:pPr>
        <w:bidi w:val="0"/>
        <w:spacing w:line="360" w:lineRule="auto"/>
        <w:ind w:firstLine="480" w:firstLineChars="200"/>
        <w:rPr>
          <w:rFonts w:hint="eastAsia" w:ascii="仿宋" w:hAnsi="仿宋" w:eastAsia="仿宋" w:cs="仿宋"/>
          <w:sz w:val="24"/>
          <w:szCs w:val="24"/>
          <w:highlight w:val="none"/>
          <w:lang w:val="en-US" w:eastAsia="zh-Hans"/>
        </w:rPr>
      </w:pPr>
      <w:r>
        <w:rPr>
          <w:rFonts w:hint="eastAsia" w:ascii="仿宋" w:hAnsi="仿宋" w:eastAsia="仿宋" w:cs="仿宋"/>
          <w:sz w:val="24"/>
          <w:szCs w:val="24"/>
          <w:highlight w:val="none"/>
          <w:lang w:val="en-US" w:eastAsia="zh-Hans"/>
        </w:rPr>
        <w:t>2）、投标人应配置至少1名管理人员，维修点须设在采购人附近15公里范围内，以上处理所有的维修服务，须提供24小时服务。</w:t>
      </w:r>
    </w:p>
    <w:p w14:paraId="12F09557">
      <w:pPr>
        <w:bidi w:val="0"/>
        <w:spacing w:line="360" w:lineRule="auto"/>
        <w:ind w:firstLine="480" w:firstLineChars="200"/>
        <w:rPr>
          <w:rFonts w:hint="eastAsia" w:ascii="仿宋" w:hAnsi="仿宋" w:eastAsia="仿宋" w:cs="仿宋"/>
          <w:sz w:val="24"/>
          <w:szCs w:val="24"/>
          <w:highlight w:val="none"/>
          <w:lang w:val="en-US" w:eastAsia="zh-Hans"/>
        </w:rPr>
      </w:pPr>
      <w:r>
        <w:rPr>
          <w:rFonts w:hint="eastAsia" w:ascii="仿宋" w:hAnsi="仿宋" w:eastAsia="仿宋" w:cs="仿宋"/>
          <w:sz w:val="24"/>
          <w:szCs w:val="24"/>
          <w:highlight w:val="none"/>
          <w:lang w:val="en-US" w:eastAsia="zh-Hans"/>
        </w:rPr>
        <w:t>3）、如因产品质量不合格、放置、搬运、安装不到位、施工过程中、维护不到位（含临时移动信号灯维护不当）等一切因中标人原因</w:t>
      </w:r>
      <w:r>
        <w:rPr>
          <w:rFonts w:hint="eastAsia" w:ascii="仿宋" w:hAnsi="仿宋" w:eastAsia="仿宋" w:cs="仿宋"/>
          <w:sz w:val="24"/>
          <w:szCs w:val="24"/>
          <w:highlight w:val="none"/>
          <w:lang w:val="en-US" w:eastAsia="zh-CN"/>
        </w:rPr>
        <w:t>对招标人、第三方</w:t>
      </w:r>
      <w:r>
        <w:rPr>
          <w:rFonts w:hint="eastAsia" w:ascii="仿宋" w:hAnsi="仿宋" w:eastAsia="仿宋" w:cs="仿宋"/>
          <w:sz w:val="24"/>
          <w:szCs w:val="24"/>
          <w:highlight w:val="none"/>
          <w:lang w:val="en-US" w:eastAsia="zh-Hans"/>
        </w:rPr>
        <w:t>造成的人</w:t>
      </w:r>
      <w:r>
        <w:rPr>
          <w:rFonts w:hint="eastAsia" w:ascii="仿宋" w:hAnsi="仿宋" w:eastAsia="仿宋" w:cs="仿宋"/>
          <w:sz w:val="24"/>
          <w:szCs w:val="24"/>
          <w:highlight w:val="none"/>
          <w:lang w:val="en-US" w:eastAsia="zh-CN"/>
        </w:rPr>
        <w:t>身</w:t>
      </w:r>
      <w:r>
        <w:rPr>
          <w:rFonts w:hint="eastAsia" w:ascii="仿宋" w:hAnsi="仿宋" w:eastAsia="仿宋" w:cs="仿宋"/>
          <w:sz w:val="24"/>
          <w:szCs w:val="24"/>
          <w:highlight w:val="none"/>
          <w:lang w:val="en-US" w:eastAsia="zh-Hans"/>
        </w:rPr>
        <w:t>或财产安全等</w:t>
      </w:r>
      <w:r>
        <w:rPr>
          <w:rFonts w:hint="eastAsia" w:ascii="仿宋" w:hAnsi="仿宋" w:eastAsia="仿宋" w:cs="仿宋"/>
          <w:sz w:val="24"/>
          <w:szCs w:val="24"/>
          <w:highlight w:val="none"/>
          <w:lang w:val="en-US" w:eastAsia="zh-CN"/>
        </w:rPr>
        <w:t>造成损害的，</w:t>
      </w:r>
      <w:r>
        <w:rPr>
          <w:rFonts w:hint="eastAsia" w:ascii="仿宋" w:hAnsi="仿宋" w:eastAsia="仿宋" w:cs="仿宋"/>
          <w:sz w:val="24"/>
          <w:szCs w:val="24"/>
          <w:highlight w:val="none"/>
          <w:lang w:val="en-US" w:eastAsia="zh-Hans"/>
        </w:rPr>
        <w:t>所有后果与责任均由中标人承担。</w:t>
      </w:r>
    </w:p>
    <w:p w14:paraId="46FD5238">
      <w:pPr>
        <w:bidi w:val="0"/>
        <w:spacing w:line="360" w:lineRule="auto"/>
        <w:ind w:firstLine="480" w:firstLineChars="200"/>
        <w:rPr>
          <w:rFonts w:hint="eastAsia" w:ascii="仿宋" w:hAnsi="仿宋" w:eastAsia="仿宋" w:cs="仿宋"/>
          <w:sz w:val="24"/>
          <w:szCs w:val="24"/>
          <w:highlight w:val="none"/>
          <w:lang w:val="en-US" w:eastAsia="zh-Hans"/>
        </w:rPr>
      </w:pPr>
      <w:r>
        <w:rPr>
          <w:rFonts w:hint="eastAsia" w:ascii="仿宋" w:hAnsi="仿宋" w:eastAsia="仿宋" w:cs="仿宋"/>
          <w:sz w:val="24"/>
          <w:szCs w:val="24"/>
          <w:highlight w:val="none"/>
          <w:lang w:val="en-US" w:eastAsia="zh-Hans"/>
        </w:rPr>
        <w:t>4）、由于外力原因造成的损坏，需中标人负责维修，维修费用如发生重复索赔1次以上情况，一经发现中标人须向采购人支付索赔金额的2-5倍的罚款。</w:t>
      </w:r>
    </w:p>
    <w:p w14:paraId="05C745FB">
      <w:pPr>
        <w:bidi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val="en-US" w:eastAsia="zh-Hans"/>
        </w:rPr>
        <w:t>）、项目管理人员一旦确定，人员不得变更（除不可抗力外），因不可抗力需要更换项目管理人员的，其名单须事先征得招标人书面同意</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eastAsia="zh-Hans"/>
        </w:rPr>
        <w:t>更换人员必须与被换人员具有相同的资质和经验，应当做好工作交接，确保项目能够顺利进行</w:t>
      </w:r>
      <w:r>
        <w:rPr>
          <w:rFonts w:hint="eastAsia" w:ascii="仿宋" w:hAnsi="仿宋" w:eastAsia="仿宋" w:cs="仿宋"/>
          <w:sz w:val="24"/>
          <w:szCs w:val="24"/>
          <w:highlight w:val="none"/>
          <w:lang w:val="en-US" w:eastAsia="zh-CN"/>
        </w:rPr>
        <w:t>。因上述原因更换人员，中标人未做好工作交接造成项目工作未能按时完成等后果的，招标人有权要求中标人承担相应的违约责任，并要求中标人赔偿招标人因此所受全部损失。</w:t>
      </w:r>
    </w:p>
    <w:p w14:paraId="50629259">
      <w:pPr>
        <w:bidi w:val="0"/>
        <w:spacing w:line="360" w:lineRule="auto"/>
        <w:ind w:firstLine="480" w:firstLineChars="200"/>
        <w:rPr>
          <w:rFonts w:hint="eastAsia" w:ascii="仿宋" w:hAnsi="仿宋" w:eastAsia="仿宋" w:cs="仿宋"/>
          <w:sz w:val="24"/>
          <w:szCs w:val="24"/>
          <w:highlight w:val="none"/>
          <w:lang w:val="en-US" w:eastAsia="zh-Hans"/>
        </w:rPr>
      </w:pPr>
      <w:r>
        <w:rPr>
          <w:rFonts w:hint="eastAsia" w:ascii="仿宋" w:hAnsi="仿宋" w:eastAsia="仿宋" w:cs="仿宋"/>
          <w:sz w:val="24"/>
          <w:szCs w:val="24"/>
          <w:highlight w:val="none"/>
          <w:lang w:val="en-US" w:eastAsia="zh-Hans"/>
        </w:rPr>
        <w:t>3、响应能力</w:t>
      </w:r>
    </w:p>
    <w:p w14:paraId="2B252DB0">
      <w:pPr>
        <w:bidi w:val="0"/>
        <w:spacing w:line="360" w:lineRule="auto"/>
        <w:ind w:firstLine="480" w:firstLineChars="200"/>
        <w:rPr>
          <w:rFonts w:hint="eastAsia" w:ascii="仿宋" w:hAnsi="仿宋" w:eastAsia="仿宋" w:cs="仿宋"/>
          <w:sz w:val="24"/>
          <w:szCs w:val="24"/>
          <w:highlight w:val="none"/>
          <w:lang w:val="en-US" w:eastAsia="zh-Hans"/>
        </w:rPr>
      </w:pPr>
      <w:r>
        <w:rPr>
          <w:rFonts w:hint="eastAsia" w:ascii="仿宋" w:hAnsi="仿宋" w:eastAsia="仿宋" w:cs="仿宋"/>
          <w:sz w:val="24"/>
          <w:szCs w:val="24"/>
          <w:highlight w:val="none"/>
          <w:lang w:val="en-US" w:eastAsia="zh-Hans"/>
        </w:rPr>
        <w:t>中标人维修人员须在接到维修电话后</w:t>
      </w:r>
      <w:r>
        <w:rPr>
          <w:rFonts w:hint="eastAsia" w:ascii="仿宋" w:hAnsi="仿宋" w:eastAsia="仿宋" w:cs="仿宋"/>
          <w:sz w:val="24"/>
          <w:szCs w:val="24"/>
          <w:highlight w:val="none"/>
          <w:lang w:val="en-US" w:eastAsia="zh-CN"/>
        </w:rPr>
        <w:t>30分钟</w:t>
      </w:r>
      <w:r>
        <w:rPr>
          <w:rFonts w:hint="eastAsia" w:ascii="仿宋" w:hAnsi="仿宋" w:eastAsia="仿宋" w:cs="仿宋"/>
          <w:sz w:val="24"/>
          <w:szCs w:val="24"/>
          <w:highlight w:val="none"/>
          <w:lang w:val="en-US" w:eastAsia="zh-Hans"/>
        </w:rPr>
        <w:t>内赶到现场，提供不间断的服务直到结束。要求一般故障在</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val="en-US" w:eastAsia="zh-Hans"/>
        </w:rPr>
        <w:t>小时内、重大故障在48小时内修复。维修点须提供足够的备件以适应采购人维修需求，投标人应在投标时明确维修点的人员配置情况。</w:t>
      </w:r>
    </w:p>
    <w:p w14:paraId="7DF40889">
      <w:pPr>
        <w:bidi w:val="0"/>
        <w:spacing w:line="360" w:lineRule="auto"/>
        <w:ind w:firstLine="480" w:firstLineChars="200"/>
        <w:rPr>
          <w:rFonts w:hint="eastAsia" w:ascii="仿宋" w:hAnsi="仿宋" w:eastAsia="仿宋" w:cs="仿宋"/>
          <w:sz w:val="24"/>
          <w:szCs w:val="24"/>
          <w:highlight w:val="none"/>
          <w:lang w:val="en-US" w:eastAsia="zh-Hans"/>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val="en-US" w:eastAsia="zh-Hans"/>
        </w:rPr>
        <w:t>、验收标准：</w:t>
      </w:r>
    </w:p>
    <w:p w14:paraId="2DA3D885">
      <w:pPr>
        <w:bidi w:val="0"/>
        <w:spacing w:line="360" w:lineRule="auto"/>
        <w:ind w:firstLine="480" w:firstLineChars="200"/>
        <w:rPr>
          <w:rFonts w:hint="eastAsia" w:ascii="仿宋" w:hAnsi="仿宋" w:eastAsia="仿宋" w:cs="仿宋"/>
          <w:sz w:val="24"/>
          <w:szCs w:val="24"/>
          <w:highlight w:val="none"/>
          <w:lang w:val="en-US" w:eastAsia="zh-Hans"/>
        </w:rPr>
      </w:pPr>
      <w:r>
        <w:rPr>
          <w:rFonts w:hint="eastAsia" w:ascii="仿宋" w:hAnsi="仿宋" w:eastAsia="仿宋" w:cs="仿宋"/>
          <w:sz w:val="24"/>
          <w:szCs w:val="24"/>
          <w:highlight w:val="none"/>
          <w:lang w:val="en-US" w:eastAsia="zh-Hans"/>
        </w:rPr>
        <w:t>1）、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14:paraId="3150C915">
      <w:pPr>
        <w:bidi w:val="0"/>
        <w:spacing w:line="360" w:lineRule="auto"/>
        <w:ind w:firstLine="480" w:firstLineChars="200"/>
        <w:rPr>
          <w:rFonts w:hint="eastAsia" w:ascii="仿宋" w:hAnsi="仿宋" w:eastAsia="仿宋" w:cs="仿宋"/>
          <w:sz w:val="24"/>
          <w:szCs w:val="24"/>
          <w:highlight w:val="none"/>
          <w:lang w:val="en-US" w:eastAsia="zh-Hans"/>
        </w:rPr>
      </w:pPr>
      <w:r>
        <w:rPr>
          <w:rFonts w:hint="eastAsia" w:ascii="仿宋" w:hAnsi="仿宋" w:eastAsia="仿宋" w:cs="仿宋"/>
          <w:sz w:val="24"/>
          <w:szCs w:val="24"/>
          <w:highlight w:val="none"/>
          <w:lang w:val="en-US" w:eastAsia="zh-Hans"/>
        </w:rPr>
        <w:t>2）、投标人应于投标文件中提供合同货物的验收标准和检测办法，并在验收中提供采购人认可的相应检测手段，验收标准应符合中国有关的国家、地方、行业的标准，如若中标，经采购人确认后作为验收的依据。</w:t>
      </w:r>
    </w:p>
    <w:p w14:paraId="6F229884">
      <w:pPr>
        <w:bidi w:val="0"/>
        <w:spacing w:line="360" w:lineRule="auto"/>
        <w:ind w:firstLine="480" w:firstLineChars="200"/>
        <w:rPr>
          <w:rFonts w:hint="eastAsia" w:ascii="仿宋" w:hAnsi="仿宋" w:eastAsia="仿宋" w:cs="仿宋"/>
          <w:sz w:val="24"/>
          <w:szCs w:val="24"/>
          <w:highlight w:val="none"/>
          <w:lang w:val="en-US" w:eastAsia="zh-Hans"/>
        </w:rPr>
      </w:pPr>
      <w:r>
        <w:rPr>
          <w:rFonts w:hint="eastAsia" w:ascii="仿宋" w:hAnsi="仿宋" w:eastAsia="仿宋" w:cs="仿宋"/>
          <w:sz w:val="24"/>
          <w:szCs w:val="24"/>
          <w:highlight w:val="none"/>
          <w:lang w:val="en-US" w:eastAsia="zh-Hans"/>
        </w:rPr>
        <w:t>3）、如中标人委托国内代理（或其他机构）负责安装或配合安装，应在签约时指明，但中标人仍要对合同货物及其安装质量负全部责任。</w:t>
      </w:r>
    </w:p>
    <w:p w14:paraId="63FB85D2">
      <w:pPr>
        <w:bidi w:val="0"/>
        <w:spacing w:line="360" w:lineRule="auto"/>
        <w:ind w:firstLine="480" w:firstLineChars="200"/>
        <w:rPr>
          <w:rFonts w:hint="eastAsia" w:ascii="仿宋" w:hAnsi="仿宋" w:eastAsia="仿宋" w:cs="仿宋"/>
          <w:sz w:val="24"/>
          <w:szCs w:val="24"/>
          <w:highlight w:val="none"/>
          <w:lang w:val="en-US" w:eastAsia="zh-Hans"/>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val="en-US" w:eastAsia="zh-Hans"/>
        </w:rPr>
        <w:t>、备品备件及耗材等要求：</w:t>
      </w:r>
    </w:p>
    <w:p w14:paraId="1660E746">
      <w:pPr>
        <w:bidi w:val="0"/>
        <w:spacing w:line="360" w:lineRule="auto"/>
        <w:ind w:firstLine="480" w:firstLineChars="200"/>
        <w:rPr>
          <w:rFonts w:hint="eastAsia" w:ascii="仿宋" w:hAnsi="仿宋" w:eastAsia="仿宋" w:cs="仿宋"/>
          <w:sz w:val="24"/>
          <w:szCs w:val="24"/>
          <w:highlight w:val="none"/>
          <w:lang w:val="en-US" w:eastAsia="zh-Hans"/>
        </w:rPr>
      </w:pPr>
      <w:r>
        <w:rPr>
          <w:rFonts w:hint="eastAsia" w:ascii="仿宋" w:hAnsi="仿宋" w:eastAsia="仿宋" w:cs="仿宋"/>
          <w:sz w:val="24"/>
          <w:szCs w:val="24"/>
          <w:highlight w:val="none"/>
          <w:lang w:val="en-US" w:eastAsia="zh-Hans"/>
        </w:rPr>
        <w:t>移动信号灯备品不少于2台。</w:t>
      </w:r>
    </w:p>
    <w:p w14:paraId="3F3207A2">
      <w:pPr>
        <w:pStyle w:val="966"/>
        <w:numPr>
          <w:ilvl w:val="0"/>
          <w:numId w:val="0"/>
        </w:numPr>
        <w:spacing w:line="360" w:lineRule="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三、技术要求</w:t>
      </w:r>
    </w:p>
    <w:p w14:paraId="5D3B3A8C">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（一）技术规范包括但不限于以下规范</w:t>
      </w:r>
    </w:p>
    <w:p w14:paraId="089C0B15">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1）GB5768—2009《道路交通标志和标线》国家标准。</w:t>
      </w:r>
    </w:p>
    <w:p w14:paraId="30C282BA">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2）DB33/T 818—2010《城市道路交通标志和标线设置规范》省标。</w:t>
      </w:r>
    </w:p>
    <w:p w14:paraId="51A6B1CE">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3）GB/T16311—1996《道路交通标线质量要求和检测方法》国家标准。</w:t>
      </w:r>
    </w:p>
    <w:p w14:paraId="7FAD3545">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4）JTJ001—2003《公路工程技术标准》行业标准。</w:t>
      </w:r>
    </w:p>
    <w:p w14:paraId="0BEB25F0">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5）JT/T279—1995《公路交通标志板技术条件》行业标准。</w:t>
      </w:r>
    </w:p>
    <w:p w14:paraId="199AA777">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6）GB/T18833-2002《公路交通标志反光膜》行业标准。</w:t>
      </w:r>
    </w:p>
    <w:p w14:paraId="4428937D">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7）GAT652—2007《公安交通管理外场设备》行业标准。</w:t>
      </w:r>
    </w:p>
    <w:p w14:paraId="3AEB6716">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8）GB14887—2003《道路交通警示灯》国家标准。</w:t>
      </w:r>
    </w:p>
    <w:p w14:paraId="38145C49">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9）GB7000.1—2003《灯具一般安全要求与试验》国家标准。</w:t>
      </w:r>
    </w:p>
    <w:p w14:paraId="273D9F91">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10）GB/T8417《灯光信号颜色》国家标准。</w:t>
      </w:r>
    </w:p>
    <w:p w14:paraId="31486768">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11）GB/T2423《电工电子产品环境试验》国家标准。</w:t>
      </w:r>
    </w:p>
    <w:p w14:paraId="71C4FDFE">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 xml:space="preserve">12）JT/T751-2009《翻板式可变标志》。 </w:t>
      </w:r>
    </w:p>
    <w:p w14:paraId="1EE3E36B">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13）DBJ08-39-1994《道路交通管理设施设置技术规范》。</w:t>
      </w:r>
    </w:p>
    <w:p w14:paraId="72225798">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14）GB50009-2001《建筑结构荷载规范》。</w:t>
      </w:r>
    </w:p>
    <w:p w14:paraId="4AAEC937">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15）GB50017《钢结构设计规范》。</w:t>
      </w:r>
    </w:p>
    <w:p w14:paraId="4F7D0B86">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16）JTG_F40-2004《公路沥青路面施工技术规范》。</w:t>
      </w:r>
    </w:p>
    <w:p w14:paraId="157B2E14">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17）GB2893-2008《安全色》</w:t>
      </w:r>
    </w:p>
    <w:p w14:paraId="18C50FE1">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18）杭公交〔2010〕129号《杭州市城市道路交通设施设置细则》。</w:t>
      </w:r>
    </w:p>
    <w:p w14:paraId="243ECFDD">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其他有效规范。</w:t>
      </w:r>
    </w:p>
    <w:p w14:paraId="1C2F5F96">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（二）主要原材料要求</w:t>
      </w:r>
    </w:p>
    <w:p w14:paraId="26211FAB">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1.中标人所用主要原材料均需提供质保单或产品质量合格证或权威机构的产品质量报告。</w:t>
      </w:r>
    </w:p>
    <w:p w14:paraId="5DBBCDD5">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2.如涉及交通部核发的交通工程产品批量生产安装准用证书或交通运输部颁发的交通工程施工质量合格证书的，必须无条件满足。</w:t>
      </w:r>
    </w:p>
    <w:p w14:paraId="6DD659B7">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3、除清单项目特征所述外，按国标、省标，各设施至少有如下要求：</w:t>
      </w:r>
    </w:p>
    <w:p w14:paraId="2BDF192D">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（1）标志材料</w:t>
      </w:r>
    </w:p>
    <w:p w14:paraId="72479576">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A．交通标志由标志板和支撑件两部分组成。标志板包括标志面、标志底板、滑槽和铆钉等部件，支撑件包括立柱、横梁、法兰盘、抱箍和紧固件等。交通标志及支撑件的技术要求及检测方法应符合《道路交通标志板及支撑件》（GB/T 23827）中相关规定。</w:t>
      </w:r>
    </w:p>
    <w:p w14:paraId="28B27225">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 xml:space="preserve">B．无论内部照明、外部照明，标志钢构件、支撑灯具的构件等均应进行防腐处理；照明等器件应耐久可靠，性能优良，检修方便。 </w:t>
      </w:r>
    </w:p>
    <w:p w14:paraId="0B0F8D0A">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C．标志底板采用铝合金板材的性能应满足《一般工业用铝及铝合金板、带材第2部分：力学性能》(GB/T 3880.2)规定，采用薄钢板材质性能应符合《冷轧钢板和钢带的尺寸、外形、重量及允许偏差》(GB/T 708)、《连续热镀锌钢板及钢带》(GB/T 2518)、《碳素结构钢冷轧薄钢板及钢带》(GB/T 11253)等有关标准的规定。</w:t>
      </w:r>
    </w:p>
    <w:p w14:paraId="6225D97D">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D．交通标志立柱、H型钢、槽钢、钢管等钢构件材料，应符合现行《碳素结构钢》（GB/T 700）、《结构用无缝钢管》(GB/T 8162)、《直缝电焊钢管》(GB/T 13793)、《热轧H型钢和部分T型钢》(GB/T 11263)等规定的要求。</w:t>
      </w:r>
    </w:p>
    <w:p w14:paraId="515220CD">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（2）标志配件材料</w:t>
      </w:r>
    </w:p>
    <w:p w14:paraId="341D9DDB">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 xml:space="preserve">A．滑槽的材质应选择与标志底板性能相当的同类材料，铆钉材质和性能应符合《沉头铆钉》(GB/T 869)的有关要求，并尽可能与标志底板及滑槽的材质相匹配。 </w:t>
      </w:r>
    </w:p>
    <w:p w14:paraId="4CAC64EE">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B．抱箍和紧固件应采用碳素结构钢或合金结构钢制作。紧固件的外形尺寸和机械性能应符合《紧固件螺栓、螺钉、螺柱和螺母通用技术条件》(GB/T 16938)、《紧固件机械性能》(GB/T 3098)等的规定。</w:t>
      </w:r>
    </w:p>
    <w:p w14:paraId="5F3C021D">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C．交通标志配件应进行防腐处理，防腐层质量应符合《高速公路交通工程钢构件防腐技术条件》(GB/T 18226)的有关规定。</w:t>
      </w:r>
    </w:p>
    <w:p w14:paraId="4CBD301A">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D．按照GB5768.2规定，除另有规定的情况除外，标志面应采用逆反射材料制作或安装照明设施，也可根据地形、日照情况采用发光式。逆反射性能材料包括反光膜、反光涂料和反射器。标志面的逆反射材料主要为反光膜，反光膜的逆反射性能应符合现行《公路交通标志反光膜》(GB/T 18833)规定，并根据反射等级要求选择合适的反光膜颜色。</w:t>
      </w:r>
    </w:p>
    <w:p w14:paraId="28C1CABC">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（3）标线材料</w:t>
      </w:r>
    </w:p>
    <w:p w14:paraId="0E35A2B5">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 xml:space="preserve">A．道路交通标线应采用耐久性、反光性能良好的涂料，根据不同道路等级选取适当的标线材料。为预防交通事故的发生，采用反光标线。 </w:t>
      </w:r>
    </w:p>
    <w:p w14:paraId="5C3A80E8">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 xml:space="preserve">B．路面交通标线涂料可分为溶剂型涂料标线、热熔型涂料标线、水性涂料标线、双组分涂料标线，各种涂料的性能应符合《路面标线涂料》(JT/T 280)规定。 </w:t>
      </w:r>
    </w:p>
    <w:p w14:paraId="6BE295D1">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 xml:space="preserve">C．路面采用彩色防滑标线时，标线涂料的色度性能应符合《安全色》(GB 2893)的要求，反光型路面标线涂料的逆反射系数应符合《道路交通标线质量要求和检测方法》(GB/T 16311)的规定。  </w:t>
      </w:r>
    </w:p>
    <w:p w14:paraId="1C2ECB50">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 xml:space="preserve">D．预成型标线带（粘贴标线、雨夜防滑成型标线）材料由热塑性材料构成，热塑性材料一般为聚合材料、颜料及玻璃的均匀混合物，并在热塑性材料反光表面外嵌入玻璃珠层。 </w:t>
      </w:r>
    </w:p>
    <w:p w14:paraId="6029E620">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E．应在道路交通标线中添加玻璃微珠、雨夜反光陶瓷珠等填充材料，以提升道路安全等级，标线填充材料应符合《路面标线用玻璃珠》(JT 446)的要求。</w:t>
      </w:r>
    </w:p>
    <w:p w14:paraId="7822B0C7">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（4）信号监控设施</w:t>
      </w:r>
    </w:p>
    <w:p w14:paraId="1E349612">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 xml:space="preserve">A．道路交通信号控制机能改变道路交通信号顺序、调节配时并控制道路交通信号灯运行，应具备完备的故障检测和自动诊断功能，发现故障后应采取适当措施以确保交通信号的安全，发出故障警示信号，信号机物理结构性能要求、电源电气装置要求及材料功能要求应符合《道路交通信号控制机》（GA 47）要求。 </w:t>
      </w:r>
    </w:p>
    <w:p w14:paraId="51AEA802">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B．道路交通信号灯按照光源可分为白炽灯、低压卤钨灯、点阵式LED和大功率LED等几种规格类型，信号灯外壳一般采用铁、铝等金属材料或聚碳酸酯工程塑料、玻璃钢或其他工程塑料制成，信号灯的技术要求、试验方法、检验规则、安装要求应符合《道路交通信号灯》(GB14887)、《道路交通信号灯安装规范》(GB14886)规定。</w:t>
      </w:r>
    </w:p>
    <w:p w14:paraId="7B866292">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C．LED可变信息标志的技术要求、产品材质、实验方法等应符合《高速公路LED可变信息标志技术条件》(JT/T 431)、《高速公路LED可变信息标志》(GB/T 23823)的规定，可变信息标志的安装示例参考附录H。</w:t>
      </w:r>
    </w:p>
    <w:p w14:paraId="55434842">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（5）防腐</w:t>
      </w:r>
    </w:p>
    <w:p w14:paraId="0E1EECD4">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A．交通产品防腐技术主要有镀锌处理、纳米防腐处理、热喷铝（锌）复合涂层和喷塑等，防腐层厚度及规格要求满足《公路用防腐蚀粉末涂料及涂层》(JT600.4）中的规定。</w:t>
      </w:r>
    </w:p>
    <w:p w14:paraId="77F82AB7">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B．交通安全设施产品中，所有钢构件均应进行防腐处理，除满足《公路交通安全设施施工技术规范》（JTGF71）的规定外，还应满足《高速公路交通工程钢构件防腐技术条件》（GBT18226）的规定。产品材质为薄钢板的，薄钢板表面的防腐处理应符合《高速公路交通工程钢构件防腐技术条件》(GB/T18226)的要求。</w:t>
      </w:r>
    </w:p>
    <w:p w14:paraId="7238F500">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（6）沥青</w:t>
      </w:r>
    </w:p>
    <w:p w14:paraId="28F7E299">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沥青路面施工应确保安全，有良好的劳动保护。沥青拌和厂应具备防火设施，配制和使用液体石油沥青的全过程严禁烟火。使用煤沥青时应采取措施防止工作人员吸入煤沥青或避免皮肤直接接触煤沥青造成身体伤害。如发生安全事故的，由中标人承担责任。</w:t>
      </w:r>
    </w:p>
    <w:p w14:paraId="34028B01">
      <w:pPr>
        <w:spacing w:line="360" w:lineRule="auto"/>
        <w:ind w:firstLine="480"/>
        <w:rPr>
          <w:rFonts w:hint="eastAsia" w:ascii="仿宋" w:hAnsi="仿宋" w:eastAsia="仿宋" w:cs="仿宋"/>
          <w:b/>
          <w:bCs/>
          <w:color w:val="auto"/>
          <w:sz w:val="24"/>
          <w:highlight w:val="none"/>
          <w:lang w:val="en-US" w:eastAsia="zh-CN"/>
        </w:rPr>
      </w:pPr>
      <w:r>
        <w:rPr>
          <w:rFonts w:hint="eastAsia" w:ascii="仿宋" w:hAnsi="仿宋" w:eastAsia="仿宋" w:cs="仿宋"/>
          <w:kern w:val="2"/>
          <w:sz w:val="24"/>
          <w:szCs w:val="24"/>
          <w:highlight w:val="none"/>
          <w:lang w:val="en-US" w:eastAsia="zh-Hans" w:bidi="ar-SA"/>
        </w:rPr>
        <w:t>4、标准规范问题：中标人所用所有产品须符合国标标准（如标志、标牌字体等一切涉及国标的产品），如因不规范发生无法使用的情况，后期涉及拆除，修改，安装等所有费用由中标人承担。</w:t>
      </w:r>
    </w:p>
    <w:p w14:paraId="36496416">
      <w:pPr>
        <w:spacing w:line="360" w:lineRule="auto"/>
        <w:ind w:firstLine="480"/>
        <w:rPr>
          <w:rFonts w:hint="eastAsia" w:ascii="仿宋" w:hAnsi="仿宋" w:eastAsia="仿宋" w:cs="仿宋"/>
          <w:b/>
          <w:bCs/>
          <w:kern w:val="2"/>
          <w:sz w:val="24"/>
          <w:szCs w:val="24"/>
          <w:highlight w:val="none"/>
          <w:lang w:val="en-US" w:eastAsia="zh-Hans" w:bidi="ar-SA"/>
        </w:rPr>
      </w:pPr>
      <w:bookmarkStart w:id="28" w:name="_Toc392016109"/>
      <w:r>
        <w:rPr>
          <w:rFonts w:hint="eastAsia" w:ascii="仿宋" w:hAnsi="仿宋" w:eastAsia="仿宋" w:cs="仿宋"/>
          <w:b/>
          <w:bCs/>
          <w:kern w:val="2"/>
          <w:sz w:val="24"/>
          <w:szCs w:val="24"/>
          <w:highlight w:val="none"/>
          <w:lang w:val="en-US" w:eastAsia="zh-Hans" w:bidi="ar-SA"/>
        </w:rPr>
        <w:t>（三）对投标人的要求</w:t>
      </w:r>
      <w:bookmarkEnd w:id="28"/>
    </w:p>
    <w:p w14:paraId="39A7E6CA">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1.采购人可以提供的条件。</w:t>
      </w:r>
    </w:p>
    <w:p w14:paraId="2724E275">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（1）负责提供有关资料，做好施工期间协调工作。</w:t>
      </w:r>
    </w:p>
    <w:p w14:paraId="18A9E20C">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（2）按期付款，保证项目建设资金。</w:t>
      </w:r>
    </w:p>
    <w:p w14:paraId="523A8F51">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（3）提供有关技术规范及要求。</w:t>
      </w:r>
    </w:p>
    <w:p w14:paraId="582B703F">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（4）按有关技术规范及要求对中标人施工的质量数量进行验收存档。</w:t>
      </w:r>
    </w:p>
    <w:p w14:paraId="5B9E893A">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（5）如遇管理规定需要调整及设计更改项目，采购人均应以书面形式通知中标人。</w:t>
      </w:r>
    </w:p>
    <w:p w14:paraId="566A46C6">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（6）负责对</w:t>
      </w:r>
      <w:r>
        <w:rPr>
          <w:rFonts w:hint="eastAsia" w:ascii="仿宋" w:hAnsi="仿宋" w:eastAsia="仿宋" w:cs="仿宋"/>
          <w:kern w:val="2"/>
          <w:sz w:val="24"/>
          <w:szCs w:val="24"/>
          <w:highlight w:val="none"/>
          <w:lang w:val="en-US" w:eastAsia="zh-CN" w:bidi="ar-SA"/>
        </w:rPr>
        <w:t>义蓬</w:t>
      </w:r>
      <w:r>
        <w:rPr>
          <w:rFonts w:hint="eastAsia" w:ascii="仿宋" w:hAnsi="仿宋" w:eastAsia="仿宋" w:cs="仿宋"/>
          <w:kern w:val="2"/>
          <w:sz w:val="24"/>
          <w:szCs w:val="24"/>
          <w:highlight w:val="none"/>
          <w:lang w:val="en-US" w:eastAsia="zh-Hans" w:bidi="ar-SA"/>
        </w:rPr>
        <w:t>街道辖区交通安全设施的新增、调整、规划设置的具体指导。</w:t>
      </w:r>
    </w:p>
    <w:p w14:paraId="2B05848D">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（7）负责对原有交通安全设施的维修工作进行具体业务指导。</w:t>
      </w:r>
    </w:p>
    <w:p w14:paraId="450BBDF8">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（8）审核中标人每月的工程量、工作数据和经费决算。</w:t>
      </w:r>
    </w:p>
    <w:p w14:paraId="643E0F49">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（9）审核维护和更新设施材料。</w:t>
      </w:r>
    </w:p>
    <w:p w14:paraId="34FD0EEF">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（10）负责中标人施工质量安全监管。</w:t>
      </w:r>
    </w:p>
    <w:p w14:paraId="3E334E71">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（11）工程任务书的签发、回收、存档。</w:t>
      </w:r>
    </w:p>
    <w:p w14:paraId="7C82D153">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（12）组织每月工作例会，进行讲评。</w:t>
      </w:r>
    </w:p>
    <w:p w14:paraId="660F7343">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2.投标人的义务</w:t>
      </w:r>
    </w:p>
    <w:p w14:paraId="20CF80C6">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（1）按采购人提供的交通设施新增、维护工作任务单及有关技术规范进行施工，确保项目质量。</w:t>
      </w:r>
    </w:p>
    <w:p w14:paraId="31608717">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（2）服从采购人、监理工作的进程安排，及时进场并保证工期。</w:t>
      </w:r>
    </w:p>
    <w:p w14:paraId="1735F440">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（3）接到采购人更改通知时，按更改要求进行工程项目更改，并向监理报备。</w:t>
      </w:r>
    </w:p>
    <w:p w14:paraId="0364045D">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（4）应严格按本次招投标的规定要求履行并承担自己的职责。</w:t>
      </w:r>
    </w:p>
    <w:p w14:paraId="17A73B1A">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（5）按采购人提供的任务要求、合同条款、技术规范和工程量清单和材料的要求，承担项目的设计施工、建成及其缺陷修复工作。</w:t>
      </w:r>
    </w:p>
    <w:p w14:paraId="281E4C16">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（6）所使用的主要原材料均需要提供检测报告或质量保证单。</w:t>
      </w:r>
    </w:p>
    <w:p w14:paraId="3AD8049E">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（7）接受采购人的各项工作业务指导。</w:t>
      </w:r>
    </w:p>
    <w:p w14:paraId="49FF3D14">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（8）负责施工场地的安全文明生产。</w:t>
      </w:r>
    </w:p>
    <w:p w14:paraId="5D62E3D9">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（9）建立项目施工的质量保证体系。</w:t>
      </w:r>
    </w:p>
    <w:p w14:paraId="67618A4F">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（10）负责交通安全设施施工场地、车辆、机械设备、原材料等的施工保障。</w:t>
      </w:r>
    </w:p>
    <w:p w14:paraId="21ED2E8E">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（11）每月向采购人上报当月的工作量、工作数据、工作小结等。</w:t>
      </w:r>
    </w:p>
    <w:p w14:paraId="795949CA">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（12）对区内的交通安全设施无权自行增设与调整。</w:t>
      </w:r>
    </w:p>
    <w:p w14:paraId="01758360">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（13）负责对其管辖范围所有设施检查、维护，发现不安全因素和隐患须及时排除，确保管辖范围的所有设施的正常安全使用。</w:t>
      </w:r>
    </w:p>
    <w:p w14:paraId="5AF955B1">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（14）接受采购人、监理对文明施工、安全施工、质量、施工时效等的监管。</w:t>
      </w:r>
    </w:p>
    <w:p w14:paraId="7DE866C3">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（15）及时反馈联系单。</w:t>
      </w:r>
    </w:p>
    <w:p w14:paraId="4F350C86">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（16）安全检查职责。负责交通设施的安全检查，消除安全隐患。</w:t>
      </w:r>
    </w:p>
    <w:p w14:paraId="19486B8F">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（17）中标人应提供正常维护工作必须的所有人工（包括工种）、机械设备（包括汽车台班）、主要原材料等；</w:t>
      </w:r>
    </w:p>
    <w:p w14:paraId="48E057BE">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（18）中标人必须建立24小时值班制度，并配备相应的人员、车辆及必要的维护工具，接到采购人紧急抢修任务必须30分钟内至现场进行应急处置；</w:t>
      </w:r>
    </w:p>
    <w:p w14:paraId="5123B722">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（19）中标人必须建立接报记录档案，特殊情况须报采购人并取得同意后采用先应急后修复的方式；</w:t>
      </w:r>
    </w:p>
    <w:p w14:paraId="3ABA772B">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（20）新增、调整的设施，必须先行进行图纸设计，经采购人认可后，凭工程任务书实施；任务完成后需经采购人、监理验收后并在联系单上签字后生效，并负责对交通设施维护管理系统基础数据进行录入调整；</w:t>
      </w:r>
    </w:p>
    <w:p w14:paraId="4621557E">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（21）中标人只承担日常维护、抢修及采购人的工程任务书下达的内容任务，中标人不得自行增设、调整各类交通安全设施，如发现上述情形采购人有权终止合同。</w:t>
      </w:r>
    </w:p>
    <w:p w14:paraId="1B7CFCC3">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（22）中标人调整、更换整体材料需事先请示，经采购人、监理验证，同意后实施；</w:t>
      </w:r>
    </w:p>
    <w:p w14:paraId="5CFC871F">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（23）采购人、监理在巡查过程中发现中标人在施工中不按国家有关标准设置，责令返工；</w:t>
      </w:r>
    </w:p>
    <w:p w14:paraId="5656AB45">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（24）施工工程施工结束后由中标人提供完工清单，并经采购人、监理人员验收签字；</w:t>
      </w:r>
    </w:p>
    <w:p w14:paraId="0B0D4A1E">
      <w:pPr>
        <w:spacing w:line="360" w:lineRule="auto"/>
        <w:ind w:firstLine="48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Hans" w:bidi="ar-SA"/>
        </w:rPr>
        <w:t>（25）</w:t>
      </w:r>
      <w:r>
        <w:rPr>
          <w:rFonts w:hint="eastAsia" w:ascii="仿宋" w:hAnsi="仿宋" w:eastAsia="仿宋" w:cs="仿宋"/>
          <w:kern w:val="2"/>
          <w:sz w:val="24"/>
          <w:szCs w:val="24"/>
          <w:highlight w:val="none"/>
          <w:lang w:val="en-US" w:eastAsia="zh-CN" w:bidi="ar-SA"/>
        </w:rPr>
        <w:t>中标人</w:t>
      </w:r>
      <w:r>
        <w:rPr>
          <w:rFonts w:hint="eastAsia" w:ascii="仿宋" w:hAnsi="仿宋" w:eastAsia="仿宋" w:cs="仿宋"/>
          <w:kern w:val="2"/>
          <w:sz w:val="24"/>
          <w:szCs w:val="24"/>
          <w:highlight w:val="none"/>
          <w:lang w:val="en-US" w:eastAsia="zh-Hans" w:bidi="ar-SA"/>
        </w:rPr>
        <w:t>要制定应急预案，配合做好</w:t>
      </w:r>
      <w:r>
        <w:rPr>
          <w:rFonts w:hint="eastAsia" w:ascii="仿宋" w:hAnsi="仿宋" w:eastAsia="仿宋" w:cs="仿宋"/>
          <w:kern w:val="2"/>
          <w:sz w:val="24"/>
          <w:szCs w:val="24"/>
          <w:highlight w:val="none"/>
          <w:lang w:val="en-US" w:eastAsia="zh-CN" w:bidi="ar-SA"/>
        </w:rPr>
        <w:t>交通设施</w:t>
      </w:r>
      <w:r>
        <w:rPr>
          <w:rFonts w:hint="eastAsia" w:ascii="仿宋" w:hAnsi="仿宋" w:eastAsia="仿宋" w:cs="仿宋"/>
          <w:kern w:val="2"/>
          <w:sz w:val="24"/>
          <w:szCs w:val="24"/>
          <w:highlight w:val="none"/>
          <w:lang w:val="en-US" w:eastAsia="zh-Hans" w:bidi="ar-SA"/>
        </w:rPr>
        <w:t>日常维护、抢修</w:t>
      </w:r>
      <w:r>
        <w:rPr>
          <w:rFonts w:hint="eastAsia" w:ascii="仿宋" w:hAnsi="仿宋" w:eastAsia="仿宋" w:cs="仿宋"/>
          <w:kern w:val="2"/>
          <w:sz w:val="24"/>
          <w:szCs w:val="24"/>
          <w:highlight w:val="none"/>
          <w:lang w:val="en-US" w:eastAsia="zh-CN" w:bidi="ar-SA"/>
        </w:rPr>
        <w:t>、</w:t>
      </w:r>
      <w:r>
        <w:rPr>
          <w:rFonts w:hint="eastAsia" w:ascii="仿宋" w:hAnsi="仿宋" w:eastAsia="仿宋" w:cs="仿宋"/>
          <w:kern w:val="2"/>
          <w:sz w:val="24"/>
          <w:szCs w:val="24"/>
          <w:highlight w:val="none"/>
          <w:lang w:val="en-US" w:eastAsia="zh-Hans" w:bidi="ar-SA"/>
        </w:rPr>
        <w:t>养护工作的服务及安全保障工作，并报</w:t>
      </w:r>
      <w:r>
        <w:rPr>
          <w:rFonts w:hint="eastAsia" w:ascii="仿宋" w:hAnsi="仿宋" w:eastAsia="仿宋" w:cs="仿宋"/>
          <w:kern w:val="2"/>
          <w:sz w:val="24"/>
          <w:szCs w:val="24"/>
          <w:highlight w:val="none"/>
          <w:lang w:val="en-US" w:eastAsia="zh-CN" w:bidi="ar-SA"/>
        </w:rPr>
        <w:t>采购人</w:t>
      </w:r>
      <w:r>
        <w:rPr>
          <w:rFonts w:hint="eastAsia" w:ascii="仿宋" w:hAnsi="仿宋" w:eastAsia="仿宋" w:cs="仿宋"/>
          <w:kern w:val="2"/>
          <w:sz w:val="24"/>
          <w:szCs w:val="24"/>
          <w:highlight w:val="none"/>
          <w:lang w:val="en-US" w:eastAsia="zh-Hans" w:bidi="ar-SA"/>
        </w:rPr>
        <w:t>备案</w:t>
      </w:r>
      <w:r>
        <w:rPr>
          <w:rFonts w:hint="eastAsia" w:ascii="仿宋" w:hAnsi="仿宋" w:eastAsia="仿宋" w:cs="仿宋"/>
          <w:kern w:val="2"/>
          <w:sz w:val="24"/>
          <w:szCs w:val="24"/>
          <w:highlight w:val="none"/>
          <w:lang w:val="en-US" w:eastAsia="zh-CN" w:bidi="ar-SA"/>
        </w:rPr>
        <w:t>；</w:t>
      </w:r>
    </w:p>
    <w:p w14:paraId="1989CD8E">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CN" w:bidi="ar-SA"/>
        </w:rPr>
        <w:t>（26）</w:t>
      </w:r>
      <w:r>
        <w:rPr>
          <w:rFonts w:hint="eastAsia" w:ascii="仿宋" w:hAnsi="仿宋" w:eastAsia="仿宋" w:cs="仿宋"/>
          <w:kern w:val="2"/>
          <w:sz w:val="24"/>
          <w:szCs w:val="24"/>
          <w:highlight w:val="none"/>
          <w:lang w:val="en-US" w:eastAsia="zh-Hans" w:bidi="ar-SA"/>
        </w:rPr>
        <w:t>中标人有下列行为之一的，采购人有权终止合同。</w:t>
      </w:r>
    </w:p>
    <w:p w14:paraId="6783BFB9">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A、不符合工程技术标准的；</w:t>
      </w:r>
    </w:p>
    <w:p w14:paraId="6032E636">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B、施工人员不持证上岗（高空作业证、电工证等；包括但不仅限于，含适应岗位的各类证件）；</w:t>
      </w:r>
    </w:p>
    <w:p w14:paraId="1D52063B">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C、偷工减料的；</w:t>
      </w:r>
    </w:p>
    <w:p w14:paraId="088E64D7">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D、不按图施工的；</w:t>
      </w:r>
    </w:p>
    <w:p w14:paraId="4E769E10">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E、造成重特大责任事故的；</w:t>
      </w:r>
    </w:p>
    <w:p w14:paraId="14B337F6">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F、不文明安全施工的；</w:t>
      </w:r>
    </w:p>
    <w:p w14:paraId="28F7AEB3">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G、不服从现场民警指挥的；</w:t>
      </w:r>
    </w:p>
    <w:p w14:paraId="63033BC7">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H、擅自增设或变更交通安全设施的。</w:t>
      </w:r>
    </w:p>
    <w:p w14:paraId="32D0544F">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（2</w:t>
      </w:r>
      <w:r>
        <w:rPr>
          <w:rFonts w:hint="eastAsia" w:ascii="仿宋" w:hAnsi="仿宋" w:eastAsia="仿宋" w:cs="仿宋"/>
          <w:kern w:val="2"/>
          <w:sz w:val="24"/>
          <w:szCs w:val="24"/>
          <w:highlight w:val="none"/>
          <w:lang w:val="en-US" w:eastAsia="zh-CN" w:bidi="ar-SA"/>
        </w:rPr>
        <w:t>7</w:t>
      </w:r>
      <w:r>
        <w:rPr>
          <w:rFonts w:hint="eastAsia" w:ascii="仿宋" w:hAnsi="仿宋" w:eastAsia="仿宋" w:cs="仿宋"/>
          <w:kern w:val="2"/>
          <w:sz w:val="24"/>
          <w:szCs w:val="24"/>
          <w:highlight w:val="none"/>
          <w:lang w:val="en-US" w:eastAsia="zh-Hans" w:bidi="ar-SA"/>
        </w:rPr>
        <w:t>）中标人在施工工程中应先制定完善的施工方案，自行办理道路挖掘手续的审批（含相关费用），尽可能减小因施工对道路通行带来的影响，施工时应服从现场交警的管理及指挥；</w:t>
      </w:r>
    </w:p>
    <w:p w14:paraId="3D4FE0B4">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（2</w:t>
      </w:r>
      <w:r>
        <w:rPr>
          <w:rFonts w:hint="eastAsia" w:ascii="仿宋" w:hAnsi="仿宋" w:eastAsia="仿宋" w:cs="仿宋"/>
          <w:kern w:val="2"/>
          <w:sz w:val="24"/>
          <w:szCs w:val="24"/>
          <w:highlight w:val="none"/>
          <w:lang w:val="en-US" w:eastAsia="zh-CN" w:bidi="ar-SA"/>
        </w:rPr>
        <w:t>8</w:t>
      </w:r>
      <w:r>
        <w:rPr>
          <w:rFonts w:hint="eastAsia" w:ascii="仿宋" w:hAnsi="仿宋" w:eastAsia="仿宋" w:cs="仿宋"/>
          <w:kern w:val="2"/>
          <w:sz w:val="24"/>
          <w:szCs w:val="24"/>
          <w:highlight w:val="none"/>
          <w:lang w:val="en-US" w:eastAsia="zh-Hans" w:bidi="ar-SA"/>
        </w:rPr>
        <w:t>）</w:t>
      </w:r>
      <w:r>
        <w:rPr>
          <w:rFonts w:hint="eastAsia" w:ascii="仿宋" w:hAnsi="仿宋" w:eastAsia="仿宋" w:cs="仿宋"/>
          <w:kern w:val="2"/>
          <w:sz w:val="24"/>
          <w:szCs w:val="24"/>
          <w:highlight w:val="none"/>
          <w:lang w:val="en-US" w:eastAsia="zh-CN" w:bidi="ar-SA"/>
        </w:rPr>
        <w:t>中标人建立健全的安全体制和安全学习制度，不断提高工作人员的安全意识；工作人员必须经过专业培训并持证上岗，并</w:t>
      </w:r>
      <w:r>
        <w:rPr>
          <w:rFonts w:hint="eastAsia" w:ascii="仿宋" w:hAnsi="仿宋" w:eastAsia="仿宋" w:cs="仿宋"/>
          <w:kern w:val="2"/>
          <w:sz w:val="24"/>
          <w:szCs w:val="24"/>
          <w:highlight w:val="none"/>
          <w:lang w:val="en-US" w:eastAsia="zh-Hans" w:bidi="ar-SA"/>
        </w:rPr>
        <w:t>有专门的工作场地、工作人员、车辆、设备及维护工具承担采购人下达的交通安全设施工程任务。</w:t>
      </w:r>
      <w:r>
        <w:rPr>
          <w:rFonts w:hint="eastAsia" w:ascii="仿宋" w:hAnsi="仿宋" w:eastAsia="仿宋" w:cs="仿宋"/>
          <w:kern w:val="2"/>
          <w:sz w:val="24"/>
          <w:szCs w:val="24"/>
          <w:highlight w:val="none"/>
          <w:lang w:val="en-US" w:eastAsia="zh-CN" w:bidi="ar-SA"/>
        </w:rPr>
        <w:t>采购人有权要求中标人撤换工作不能胜任或玩忽职守、工作不负责的人员。</w:t>
      </w:r>
    </w:p>
    <w:p w14:paraId="7181175F">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（2</w:t>
      </w:r>
      <w:r>
        <w:rPr>
          <w:rFonts w:hint="eastAsia" w:ascii="仿宋" w:hAnsi="仿宋" w:eastAsia="仿宋" w:cs="仿宋"/>
          <w:kern w:val="2"/>
          <w:sz w:val="24"/>
          <w:szCs w:val="24"/>
          <w:highlight w:val="none"/>
          <w:lang w:val="en-US" w:eastAsia="zh-CN" w:bidi="ar-SA"/>
        </w:rPr>
        <w:t>9</w:t>
      </w:r>
      <w:r>
        <w:rPr>
          <w:rFonts w:hint="eastAsia" w:ascii="仿宋" w:hAnsi="仿宋" w:eastAsia="仿宋" w:cs="仿宋"/>
          <w:kern w:val="2"/>
          <w:sz w:val="24"/>
          <w:szCs w:val="24"/>
          <w:highlight w:val="none"/>
          <w:lang w:val="en-US" w:eastAsia="zh-Hans" w:bidi="ar-SA"/>
        </w:rPr>
        <w:t>）</w:t>
      </w:r>
      <w:r>
        <w:rPr>
          <w:rFonts w:hint="eastAsia" w:ascii="仿宋" w:hAnsi="仿宋" w:eastAsia="仿宋" w:cs="仿宋"/>
          <w:kern w:val="2"/>
          <w:sz w:val="24"/>
          <w:szCs w:val="24"/>
          <w:highlight w:val="none"/>
          <w:lang w:val="en-US" w:eastAsia="zh-CN" w:bidi="ar-SA"/>
        </w:rPr>
        <w:t>合同期间，由于中标人安全措施不力、养护工作不到位、违反安全操作规程而导致责任事故或第三方人身和财产损失，中标人应负责予以妥善处理，</w:t>
      </w:r>
      <w:r>
        <w:rPr>
          <w:rFonts w:hint="eastAsia" w:ascii="仿宋" w:hAnsi="仿宋" w:eastAsia="仿宋" w:cs="仿宋"/>
          <w:kern w:val="2"/>
          <w:sz w:val="24"/>
          <w:szCs w:val="24"/>
          <w:highlight w:val="none"/>
          <w:lang w:val="en-US" w:eastAsia="zh-Hans" w:bidi="ar-SA"/>
        </w:rPr>
        <w:t>对造成后果除进行赔偿外，</w:t>
      </w:r>
      <w:r>
        <w:rPr>
          <w:rFonts w:hint="eastAsia" w:ascii="仿宋" w:hAnsi="仿宋" w:eastAsia="仿宋" w:cs="仿宋"/>
          <w:kern w:val="2"/>
          <w:sz w:val="24"/>
          <w:szCs w:val="24"/>
          <w:highlight w:val="none"/>
          <w:lang w:val="en-US" w:eastAsia="zh-CN" w:bidi="ar-SA"/>
        </w:rPr>
        <w:t>采购人保留追究责任的权利。如采购人因此遭到第三方索赔的，有权全额向中标方追偿，</w:t>
      </w:r>
      <w:r>
        <w:rPr>
          <w:rFonts w:hint="eastAsia" w:ascii="仿宋" w:hAnsi="仿宋" w:eastAsia="仿宋" w:cs="仿宋"/>
          <w:kern w:val="2"/>
          <w:sz w:val="24"/>
          <w:szCs w:val="24"/>
          <w:highlight w:val="none"/>
          <w:lang w:val="en-US" w:eastAsia="zh-Hans" w:bidi="ar-SA"/>
        </w:rPr>
        <w:t>并</w:t>
      </w:r>
      <w:r>
        <w:rPr>
          <w:rFonts w:hint="eastAsia" w:ascii="仿宋" w:hAnsi="仿宋" w:eastAsia="仿宋" w:cs="仿宋"/>
          <w:kern w:val="2"/>
          <w:sz w:val="24"/>
          <w:szCs w:val="24"/>
          <w:highlight w:val="none"/>
          <w:lang w:val="en-US" w:eastAsia="zh-CN" w:bidi="ar-SA"/>
        </w:rPr>
        <w:t>由其</w:t>
      </w:r>
      <w:r>
        <w:rPr>
          <w:rFonts w:hint="eastAsia" w:ascii="仿宋" w:hAnsi="仿宋" w:eastAsia="仿宋" w:cs="仿宋"/>
          <w:kern w:val="2"/>
          <w:sz w:val="24"/>
          <w:szCs w:val="24"/>
          <w:highlight w:val="none"/>
          <w:lang w:val="en-US" w:eastAsia="zh-Hans" w:bidi="ar-SA"/>
        </w:rPr>
        <w:t>承担相应的法律责任。</w:t>
      </w:r>
    </w:p>
    <w:p w14:paraId="60F04235">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w:t>
      </w:r>
      <w:r>
        <w:rPr>
          <w:rFonts w:hint="eastAsia" w:ascii="仿宋" w:hAnsi="仿宋" w:eastAsia="仿宋" w:cs="仿宋"/>
          <w:kern w:val="2"/>
          <w:sz w:val="24"/>
          <w:szCs w:val="24"/>
          <w:highlight w:val="none"/>
          <w:lang w:val="en-US" w:eastAsia="zh-CN" w:bidi="ar-SA"/>
        </w:rPr>
        <w:t>30</w:t>
      </w:r>
      <w:r>
        <w:rPr>
          <w:rFonts w:hint="eastAsia" w:ascii="仿宋" w:hAnsi="仿宋" w:eastAsia="仿宋" w:cs="仿宋"/>
          <w:kern w:val="2"/>
          <w:sz w:val="24"/>
          <w:szCs w:val="24"/>
          <w:highlight w:val="none"/>
          <w:lang w:val="en-US" w:eastAsia="zh-Hans" w:bidi="ar-SA"/>
        </w:rPr>
        <w:t>）具有较强的本地化服务能力。</w:t>
      </w:r>
    </w:p>
    <w:p w14:paraId="16B6C079">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▲（3</w:t>
      </w:r>
      <w:r>
        <w:rPr>
          <w:rFonts w:hint="eastAsia" w:ascii="仿宋" w:hAnsi="仿宋" w:eastAsia="仿宋" w:cs="仿宋"/>
          <w:kern w:val="2"/>
          <w:sz w:val="24"/>
          <w:szCs w:val="24"/>
          <w:highlight w:val="none"/>
          <w:lang w:val="en-US" w:eastAsia="zh-CN" w:bidi="ar-SA"/>
        </w:rPr>
        <w:t>1</w:t>
      </w:r>
      <w:r>
        <w:rPr>
          <w:rFonts w:hint="eastAsia" w:ascii="仿宋" w:hAnsi="仿宋" w:eastAsia="仿宋" w:cs="仿宋"/>
          <w:kern w:val="2"/>
          <w:sz w:val="24"/>
          <w:szCs w:val="24"/>
          <w:highlight w:val="none"/>
          <w:lang w:val="en-US" w:eastAsia="zh-Hans" w:bidi="ar-SA"/>
        </w:rPr>
        <w:t>）投标人请在服务投标方案内提供中标后购买险种名称（需包含价值人民币100万元第三者责任险、自身险等，如有其他险种请在服务投标方案内写明）保单复印件需在中标公告发出之日起7个工作日提交采购人。未见保单复印件前采购人将不予签订合同。由于施工过程中或产品质量、安装、维护等中标人原因造成的一切人员伤亡、事故伤害，均由中标人承担。</w:t>
      </w:r>
    </w:p>
    <w:p w14:paraId="48581594">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（3</w:t>
      </w:r>
      <w:r>
        <w:rPr>
          <w:rFonts w:hint="eastAsia" w:ascii="仿宋" w:hAnsi="仿宋" w:eastAsia="仿宋" w:cs="仿宋"/>
          <w:kern w:val="2"/>
          <w:sz w:val="24"/>
          <w:szCs w:val="24"/>
          <w:highlight w:val="none"/>
          <w:lang w:val="en-US" w:eastAsia="zh-CN" w:bidi="ar-SA"/>
        </w:rPr>
        <w:t>2</w:t>
      </w:r>
      <w:r>
        <w:rPr>
          <w:rFonts w:hint="eastAsia" w:ascii="仿宋" w:hAnsi="仿宋" w:eastAsia="仿宋" w:cs="仿宋"/>
          <w:kern w:val="2"/>
          <w:sz w:val="24"/>
          <w:szCs w:val="24"/>
          <w:highlight w:val="none"/>
          <w:lang w:val="en-US" w:eastAsia="zh-Hans" w:bidi="ar-SA"/>
        </w:rPr>
        <w:t>）专用设备工具：针对本项目投标人须提供包括吊车、登高车、货车、巡查车辆等，提供自有设备的（投标文件中需提供整套自有设备购买时发票复印件加盖单位公章）。设备需在中标公告发出之日起7个工作日内准备到位。</w:t>
      </w:r>
    </w:p>
    <w:p w14:paraId="36806E65">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3.廉政承诺</w:t>
      </w:r>
    </w:p>
    <w:p w14:paraId="383B7A24">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投标人参加投标需作出廉政承诺并签定《廉政责任书》。</w:t>
      </w:r>
    </w:p>
    <w:p w14:paraId="658265AE">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（四）质量及安全责任</w:t>
      </w:r>
    </w:p>
    <w:p w14:paraId="0D644F29">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1、质量责任</w:t>
      </w:r>
    </w:p>
    <w:p w14:paraId="6B064B28">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施工质量必须达到合格标准。因中标人原因工程质量达不到本项目要求的合格标准，根据相关规定给予相应处罚。中标人须根据本项目要求进场施工。</w:t>
      </w:r>
    </w:p>
    <w:p w14:paraId="3628D9D0">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2、安全责任</w:t>
      </w:r>
    </w:p>
    <w:p w14:paraId="76A8DEA2">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1）为确保安全、文明施工，应该本着“安全第一，预防为主”的原则，中标人须建立安全管理组织体系；严格贯彻国家、省、市和劳动保护、安全生产部门颁发的有关安全生产、消防工作的方针、政策、法规、条例、规定等执行。</w:t>
      </w:r>
    </w:p>
    <w:p w14:paraId="643645FC">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（2）合同期间，由于中标人安全措施不力、日常维护、抢修</w:t>
      </w:r>
      <w:r>
        <w:rPr>
          <w:rFonts w:hint="eastAsia" w:ascii="仿宋" w:hAnsi="仿宋" w:eastAsia="仿宋" w:cs="仿宋"/>
          <w:kern w:val="2"/>
          <w:sz w:val="24"/>
          <w:szCs w:val="24"/>
          <w:highlight w:val="none"/>
          <w:lang w:val="en-US" w:eastAsia="zh-CN" w:bidi="ar-SA"/>
        </w:rPr>
        <w:t>、</w:t>
      </w:r>
      <w:r>
        <w:rPr>
          <w:rFonts w:hint="eastAsia" w:ascii="仿宋" w:hAnsi="仿宋" w:eastAsia="仿宋" w:cs="仿宋"/>
          <w:kern w:val="2"/>
          <w:sz w:val="24"/>
          <w:szCs w:val="24"/>
          <w:highlight w:val="none"/>
          <w:lang w:val="en-US" w:eastAsia="zh-Hans" w:bidi="ar-SA"/>
        </w:rPr>
        <w:t>养护工作不到位、违反安全操作规程而导致责任事故或日常维护、抢修</w:t>
      </w:r>
      <w:r>
        <w:rPr>
          <w:rFonts w:hint="eastAsia" w:ascii="仿宋" w:hAnsi="仿宋" w:eastAsia="仿宋" w:cs="仿宋"/>
          <w:kern w:val="2"/>
          <w:sz w:val="24"/>
          <w:szCs w:val="24"/>
          <w:highlight w:val="none"/>
          <w:lang w:val="en-US" w:eastAsia="zh-CN" w:bidi="ar-SA"/>
        </w:rPr>
        <w:t>、</w:t>
      </w:r>
      <w:r>
        <w:rPr>
          <w:rFonts w:hint="eastAsia" w:ascii="仿宋" w:hAnsi="仿宋" w:eastAsia="仿宋" w:cs="仿宋"/>
          <w:kern w:val="2"/>
          <w:sz w:val="24"/>
          <w:szCs w:val="24"/>
          <w:highlight w:val="none"/>
          <w:lang w:val="en-US" w:eastAsia="zh-Hans" w:bidi="ar-SA"/>
        </w:rPr>
        <w:t>养护工作造成第三方人身财产损失或发生的所有与日常维护、抢修</w:t>
      </w:r>
      <w:r>
        <w:rPr>
          <w:rFonts w:hint="eastAsia" w:ascii="仿宋" w:hAnsi="仿宋" w:eastAsia="仿宋" w:cs="仿宋"/>
          <w:kern w:val="2"/>
          <w:sz w:val="24"/>
          <w:szCs w:val="24"/>
          <w:highlight w:val="none"/>
          <w:lang w:val="en-US" w:eastAsia="zh-CN" w:bidi="ar-SA"/>
        </w:rPr>
        <w:t>、</w:t>
      </w:r>
      <w:r>
        <w:rPr>
          <w:rFonts w:hint="eastAsia" w:ascii="仿宋" w:hAnsi="仿宋" w:eastAsia="仿宋" w:cs="仿宋"/>
          <w:kern w:val="2"/>
          <w:sz w:val="24"/>
          <w:szCs w:val="24"/>
          <w:highlight w:val="none"/>
          <w:lang w:val="en-US" w:eastAsia="zh-Hans" w:bidi="ar-SA"/>
        </w:rPr>
        <w:t>养护工作有关的安全事故，中标人应100%承担责任，所发生的费用均由中标人承担；所有采购人遭到第三方的起诉或索赔的，全部有中标人承担责任并赔偿，采购人保留追究责任的权利。</w:t>
      </w:r>
    </w:p>
    <w:p w14:paraId="404E1183">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（3）中标人必须按照规定办理自身及第三者责任险，承担日常维护、抢修</w:t>
      </w:r>
      <w:r>
        <w:rPr>
          <w:rFonts w:hint="eastAsia" w:ascii="仿宋" w:hAnsi="仿宋" w:eastAsia="仿宋" w:cs="仿宋"/>
          <w:kern w:val="2"/>
          <w:sz w:val="24"/>
          <w:szCs w:val="24"/>
          <w:highlight w:val="none"/>
          <w:lang w:val="en-US" w:eastAsia="zh-CN" w:bidi="ar-SA"/>
        </w:rPr>
        <w:t>、</w:t>
      </w:r>
      <w:r>
        <w:rPr>
          <w:rFonts w:hint="eastAsia" w:ascii="仿宋" w:hAnsi="仿宋" w:eastAsia="仿宋" w:cs="仿宋"/>
          <w:kern w:val="2"/>
          <w:sz w:val="24"/>
          <w:szCs w:val="24"/>
          <w:highlight w:val="none"/>
          <w:lang w:val="en-US" w:eastAsia="zh-Hans" w:bidi="ar-SA"/>
        </w:rPr>
        <w:t>养护期间所有的安全责任并承担相关赔款。</w:t>
      </w:r>
    </w:p>
    <w:p w14:paraId="6B0F0899">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（五）项目清单</w:t>
      </w:r>
    </w:p>
    <w:p w14:paraId="71738D0B">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实际施工时，须按项目特征描述，且不得低于技术规范。</w:t>
      </w:r>
    </w:p>
    <w:p w14:paraId="066FF456">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（六）考核</w:t>
      </w:r>
    </w:p>
    <w:p w14:paraId="05827839">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采购人可按照《交通安全设施养护作业标准及考核办法》、招标文件相关条款及采购人规定的其他条款对中标人实施考核。</w:t>
      </w:r>
    </w:p>
    <w:p w14:paraId="27A7154D">
      <w:pPr>
        <w:spacing w:line="360" w:lineRule="auto"/>
        <w:ind w:firstLine="480"/>
        <w:rPr>
          <w:rFonts w:hint="eastAsia" w:ascii="仿宋" w:hAnsi="仿宋" w:eastAsia="仿宋" w:cs="仿宋"/>
          <w:kern w:val="2"/>
          <w:sz w:val="24"/>
          <w:szCs w:val="24"/>
          <w:highlight w:val="none"/>
          <w:lang w:val="en-US" w:eastAsia="zh-Hans" w:bidi="ar-SA"/>
        </w:rPr>
      </w:pPr>
      <w:r>
        <w:rPr>
          <w:rFonts w:hint="eastAsia" w:ascii="仿宋" w:hAnsi="仿宋" w:eastAsia="仿宋" w:cs="仿宋"/>
          <w:kern w:val="2"/>
          <w:sz w:val="24"/>
          <w:szCs w:val="24"/>
          <w:highlight w:val="none"/>
          <w:lang w:val="en-US" w:eastAsia="zh-Hans" w:bidi="ar-SA"/>
        </w:rPr>
        <w:t>（七）其他重要事项：</w:t>
      </w:r>
    </w:p>
    <w:p w14:paraId="4B253F5A">
      <w:pPr>
        <w:spacing w:line="360" w:lineRule="auto"/>
        <w:ind w:firstLine="240" w:firstLineChars="100"/>
        <w:rPr>
          <w:rFonts w:hint="eastAsia"/>
          <w:highlight w:val="none"/>
        </w:rPr>
      </w:pPr>
      <w:r>
        <w:rPr>
          <w:rFonts w:hint="eastAsia" w:ascii="仿宋" w:hAnsi="仿宋" w:eastAsia="仿宋" w:cs="仿宋"/>
          <w:kern w:val="2"/>
          <w:sz w:val="24"/>
          <w:szCs w:val="24"/>
          <w:highlight w:val="none"/>
          <w:lang w:val="en-US" w:eastAsia="zh-CN" w:bidi="ar-SA"/>
        </w:rPr>
        <w:t>（1）</w:t>
      </w:r>
      <w:r>
        <w:rPr>
          <w:rFonts w:hint="eastAsia" w:ascii="仿宋" w:hAnsi="仿宋" w:eastAsia="仿宋" w:cs="仿宋"/>
          <w:kern w:val="2"/>
          <w:sz w:val="24"/>
          <w:szCs w:val="24"/>
          <w:highlight w:val="none"/>
          <w:lang w:val="en-US" w:eastAsia="zh-Hans" w:bidi="ar-SA"/>
        </w:rPr>
        <w:t>该项目中标后，合同服务期间，日常管理单位为</w:t>
      </w:r>
      <w:r>
        <w:rPr>
          <w:rFonts w:hint="eastAsia" w:ascii="仿宋" w:hAnsi="仿宋" w:eastAsia="仿宋" w:cs="仿宋"/>
          <w:kern w:val="2"/>
          <w:sz w:val="24"/>
          <w:szCs w:val="24"/>
          <w:highlight w:val="none"/>
          <w:lang w:val="en-US" w:eastAsia="zh-CN" w:bidi="ar-SA"/>
        </w:rPr>
        <w:t>义蓬</w:t>
      </w:r>
      <w:r>
        <w:rPr>
          <w:rFonts w:hint="eastAsia" w:ascii="仿宋" w:hAnsi="仿宋" w:eastAsia="仿宋" w:cs="仿宋"/>
          <w:kern w:val="2"/>
          <w:sz w:val="24"/>
          <w:szCs w:val="24"/>
          <w:highlight w:val="none"/>
          <w:lang w:val="en-US" w:eastAsia="zh-Hans" w:bidi="ar-SA"/>
        </w:rPr>
        <w:t>街道平安建设办公室，负责组织中标人进行施工，且及时监督中标人的施工质量和安全文明施工标准，审核施工项目的数量及金额。</w:t>
      </w:r>
      <w:r>
        <w:rPr>
          <w:rFonts w:hint="eastAsia" w:ascii="仿宋" w:hAnsi="仿宋" w:eastAsia="仿宋" w:cs="仿宋"/>
          <w:kern w:val="2"/>
          <w:sz w:val="24"/>
          <w:szCs w:val="24"/>
          <w:highlight w:val="none"/>
          <w:lang w:val="en-US" w:eastAsia="zh-CN" w:bidi="ar-SA"/>
        </w:rPr>
        <w:t>如果遇到三次供应商未及时响应甲方需求的，甲方有权无条件清退供应商，并罚没相应的履约保证金，请投标人自行考虑相关风险。</w:t>
      </w:r>
    </w:p>
    <w:p w14:paraId="7E6DC240">
      <w:pPr>
        <w:pStyle w:val="4"/>
        <w:ind w:left="0" w:firstLine="240" w:firstLineChars="100"/>
        <w:rPr>
          <w:rFonts w:hint="eastAsia" w:ascii="仿宋" w:eastAsia="仿宋" w:cs="仿宋"/>
          <w:b w:val="0"/>
          <w:bCs w:val="0"/>
          <w:sz w:val="24"/>
          <w:szCs w:val="24"/>
          <w:highlight w:val="none"/>
          <w:lang w:val="en-US" w:eastAsia="zh-CN"/>
        </w:rPr>
      </w:pPr>
      <w:r>
        <w:rPr>
          <w:rFonts w:hint="eastAsia" w:ascii="仿宋" w:eastAsia="仿宋" w:cs="仿宋"/>
          <w:b w:val="0"/>
          <w:bCs w:val="0"/>
          <w:sz w:val="24"/>
          <w:szCs w:val="24"/>
          <w:highlight w:val="none"/>
          <w:lang w:val="en-US" w:eastAsia="zh-CN"/>
        </w:rPr>
        <w:t>（2）</w:t>
      </w:r>
      <w:r>
        <w:rPr>
          <w:rFonts w:hint="eastAsia" w:ascii="仿宋" w:eastAsia="仿宋" w:cs="仿宋"/>
          <w:b w:val="0"/>
          <w:bCs w:val="0"/>
          <w:sz w:val="24"/>
          <w:szCs w:val="24"/>
          <w:highlight w:val="none"/>
          <w:lang w:val="en-US" w:eastAsia="zh-Hans"/>
        </w:rPr>
        <w:t>对于不在本次招标清单内的，但采购人确需采购的，具体价格根据预算编制单位报价及市场询价，结合中标折扣率进行结算</w:t>
      </w:r>
      <w:r>
        <w:rPr>
          <w:rFonts w:hint="eastAsia" w:ascii="仿宋" w:eastAsia="仿宋" w:cs="仿宋"/>
          <w:b w:val="0"/>
          <w:bCs w:val="0"/>
          <w:sz w:val="24"/>
          <w:szCs w:val="24"/>
          <w:highlight w:val="none"/>
          <w:lang w:val="en-US" w:eastAsia="zh-CN"/>
        </w:rPr>
        <w:t>。</w:t>
      </w:r>
    </w:p>
    <w:p w14:paraId="5D2E2F28">
      <w:pPr>
        <w:pStyle w:val="4"/>
        <w:rPr>
          <w:rFonts w:hint="eastAsia"/>
          <w:highlight w:val="none"/>
          <w:lang w:val="en-US" w:eastAsia="zh-CN"/>
        </w:rPr>
      </w:pPr>
      <w:r>
        <w:rPr>
          <w:rFonts w:hint="eastAsia"/>
          <w:highlight w:val="none"/>
          <w:lang w:val="en-US" w:eastAsia="zh-CN"/>
        </w:rPr>
        <w:t>（八）所有货物清单《最高限价明细表》</w:t>
      </w:r>
    </w:p>
    <w:tbl>
      <w:tblPr>
        <w:tblStyle w:val="63"/>
        <w:tblW w:w="93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2"/>
        <w:gridCol w:w="1016"/>
        <w:gridCol w:w="5084"/>
        <w:gridCol w:w="619"/>
        <w:gridCol w:w="916"/>
        <w:gridCol w:w="1113"/>
      </w:tblGrid>
      <w:tr w14:paraId="3B82F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627EB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序号</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50F11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项目名称</w:t>
            </w:r>
          </w:p>
        </w:tc>
        <w:tc>
          <w:tcPr>
            <w:tcW w:w="58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DC384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项目特征</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199CF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单位</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74151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数量</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551AF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最高限价（单价/元）</w:t>
            </w:r>
          </w:p>
        </w:tc>
      </w:tr>
      <w:tr w14:paraId="64B76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5FC899">
            <w:pPr>
              <w:jc w:val="center"/>
              <w:rPr>
                <w:rFonts w:hint="eastAsia" w:ascii="仿宋" w:hAnsi="仿宋" w:eastAsia="仿宋" w:cs="仿宋"/>
                <w:i w:val="0"/>
                <w:iCs w:val="0"/>
                <w:color w:val="000000"/>
                <w:sz w:val="20"/>
                <w:szCs w:val="20"/>
                <w:highlight w:val="none"/>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72D429">
            <w:pPr>
              <w:jc w:val="center"/>
              <w:rPr>
                <w:rFonts w:hint="eastAsia" w:ascii="仿宋" w:hAnsi="仿宋" w:eastAsia="仿宋" w:cs="仿宋"/>
                <w:i w:val="0"/>
                <w:iCs w:val="0"/>
                <w:color w:val="000000"/>
                <w:sz w:val="20"/>
                <w:szCs w:val="20"/>
                <w:highlight w:val="none"/>
                <w:u w:val="none"/>
              </w:rPr>
            </w:pPr>
          </w:p>
        </w:tc>
        <w:tc>
          <w:tcPr>
            <w:tcW w:w="5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1DE9D7">
            <w:pPr>
              <w:jc w:val="center"/>
              <w:rPr>
                <w:rFonts w:hint="eastAsia" w:ascii="仿宋" w:hAnsi="仿宋" w:eastAsia="仿宋" w:cs="仿宋"/>
                <w:i w:val="0"/>
                <w:iCs w:val="0"/>
                <w:color w:val="000000"/>
                <w:sz w:val="20"/>
                <w:szCs w:val="20"/>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284702">
            <w:pPr>
              <w:jc w:val="center"/>
              <w:rPr>
                <w:rFonts w:hint="eastAsia" w:ascii="仿宋" w:hAnsi="仿宋" w:eastAsia="仿宋" w:cs="仿宋"/>
                <w:i w:val="0"/>
                <w:iCs w:val="0"/>
                <w:color w:val="000000"/>
                <w:sz w:val="20"/>
                <w:szCs w:val="20"/>
                <w:highlight w:val="none"/>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D41586">
            <w:pPr>
              <w:jc w:val="center"/>
              <w:rPr>
                <w:rFonts w:hint="eastAsia" w:ascii="仿宋" w:hAnsi="仿宋" w:eastAsia="仿宋" w:cs="仿宋"/>
                <w:i w:val="0"/>
                <w:iCs w:val="0"/>
                <w:color w:val="000000"/>
                <w:sz w:val="20"/>
                <w:szCs w:val="20"/>
                <w:highlight w:val="none"/>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935A73">
            <w:pPr>
              <w:jc w:val="center"/>
              <w:rPr>
                <w:rFonts w:hint="eastAsia" w:ascii="仿宋" w:hAnsi="仿宋" w:eastAsia="仿宋" w:cs="仿宋"/>
                <w:i w:val="0"/>
                <w:iCs w:val="0"/>
                <w:color w:val="000000"/>
                <w:sz w:val="20"/>
                <w:szCs w:val="20"/>
                <w:highlight w:val="none"/>
                <w:u w:val="none"/>
              </w:rPr>
            </w:pPr>
          </w:p>
        </w:tc>
      </w:tr>
      <w:tr w14:paraId="785DB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D8B537">
            <w:pPr>
              <w:jc w:val="center"/>
              <w:rPr>
                <w:rFonts w:hint="eastAsia" w:ascii="仿宋" w:hAnsi="仿宋" w:eastAsia="仿宋" w:cs="仿宋"/>
                <w:i w:val="0"/>
                <w:iCs w:val="0"/>
                <w:color w:val="000000"/>
                <w:sz w:val="20"/>
                <w:szCs w:val="20"/>
                <w:highlight w:val="none"/>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B1AC7E">
            <w:pPr>
              <w:jc w:val="center"/>
              <w:rPr>
                <w:rFonts w:hint="eastAsia" w:ascii="仿宋" w:hAnsi="仿宋" w:eastAsia="仿宋" w:cs="仿宋"/>
                <w:i w:val="0"/>
                <w:iCs w:val="0"/>
                <w:color w:val="000000"/>
                <w:sz w:val="20"/>
                <w:szCs w:val="20"/>
                <w:highlight w:val="none"/>
                <w:u w:val="none"/>
              </w:rPr>
            </w:pPr>
          </w:p>
        </w:tc>
        <w:tc>
          <w:tcPr>
            <w:tcW w:w="58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22098C">
            <w:pPr>
              <w:jc w:val="center"/>
              <w:rPr>
                <w:rFonts w:hint="eastAsia" w:ascii="仿宋" w:hAnsi="仿宋" w:eastAsia="仿宋" w:cs="仿宋"/>
                <w:i w:val="0"/>
                <w:iCs w:val="0"/>
                <w:color w:val="000000"/>
                <w:sz w:val="20"/>
                <w:szCs w:val="20"/>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2402D7">
            <w:pPr>
              <w:jc w:val="center"/>
              <w:rPr>
                <w:rFonts w:hint="eastAsia" w:ascii="仿宋" w:hAnsi="仿宋" w:eastAsia="仿宋" w:cs="仿宋"/>
                <w:i w:val="0"/>
                <w:iCs w:val="0"/>
                <w:color w:val="000000"/>
                <w:sz w:val="20"/>
                <w:szCs w:val="20"/>
                <w:highlight w:val="none"/>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4EF5AE">
            <w:pPr>
              <w:jc w:val="center"/>
              <w:rPr>
                <w:rFonts w:hint="eastAsia" w:ascii="仿宋" w:hAnsi="仿宋" w:eastAsia="仿宋" w:cs="仿宋"/>
                <w:i w:val="0"/>
                <w:iCs w:val="0"/>
                <w:color w:val="000000"/>
                <w:sz w:val="20"/>
                <w:szCs w:val="20"/>
                <w:highlight w:val="none"/>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63DF0A">
            <w:pPr>
              <w:jc w:val="center"/>
              <w:rPr>
                <w:rFonts w:hint="eastAsia" w:ascii="仿宋" w:hAnsi="仿宋" w:eastAsia="仿宋" w:cs="仿宋"/>
                <w:i w:val="0"/>
                <w:iCs w:val="0"/>
                <w:color w:val="000000"/>
                <w:sz w:val="20"/>
                <w:szCs w:val="20"/>
                <w:highlight w:val="none"/>
                <w:u w:val="none"/>
              </w:rPr>
            </w:pPr>
          </w:p>
        </w:tc>
      </w:tr>
      <w:tr w14:paraId="149B5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00FC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DEA2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标杆</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2301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类型：Φ377F杆</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1.规格尺寸：Φ203*12*8927mm上横梁无缝钢管，Φ180*12*8597mm下横梁无缝钢管，Φ377*12*9462mm立柱无缝钢管，200*100*6*7400mm方钢管框，Φ121*10*1700@1400mm无缝钢管连接，E800*800*22mm法兰、肋板，M30地脚螺帽，80x80垫片，δ=8mm</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2.C25基础（1800X1600X2400mm）：φ30mm钢筋、基础紧固件接地棒：φ16mm钢筋</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3.油漆品种：热镀锌、油漆颜色根据业主要求</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4.工作内容包括标杆基础基坑开挖、回填、余土清运、基础(垫层)浇捣、基础钢筋、基础铁件、接地、钢制立柱、法兰盘、各种连接件制作、运输、安装等，所有交通设施必须满足交警部门最新要求</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79BA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根</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024D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282E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27302.76</w:t>
            </w:r>
          </w:p>
        </w:tc>
      </w:tr>
      <w:tr w14:paraId="4F9D7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39AB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828D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标杆</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BCC5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类型：Φ325F杆</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1.规格尺寸：Φ168*10*6175mm上横梁无缝钢管，Φ140*10*5425mm下横梁无缝钢管，Φ325*12*8550mm立柱无缝钢管，200*100*6*7400mm方钢管框，Φ121*10*1700@1400mm无缝钢管连接，E800*800*22mm法兰、肋板，M30地脚螺帽，80x80垫片，δ=8mm</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2.C25基础（1800X1600X2400mm）：φ30mm钢筋、基础紧固件接地棒：φ16mm钢筋</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3.油漆品种：热镀锌、油漆颜色根据业主要求</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4.工作内容包括标杆基础基坑开挖、回填、余土清运、基础(垫层)浇捣、基础钢筋、基础铁件、接地、钢制立柱、法兰盘、各种连接件制作、运输、安装等，所有交通设施必须满足交警部门最新要求</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36E1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根</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F2B9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3526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21655.72</w:t>
            </w:r>
          </w:p>
        </w:tc>
      </w:tr>
      <w:tr w14:paraId="70B46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A089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698F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标杆</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DE9F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类型：Φ273F杆</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1.规格尺寸：Φ140*10*7125mm上横梁无缝钢管，Φ121*10*6025mm下横梁无缝钢管，Φ273*10*8400mm立柱无缝钢管，160*80*6*7400mm方钢管框，Φ108*8*1200@1500无缝钢管连接，800*800*20立柱法兰、立柱法兰加固件16厚、80*80*8垫片</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2.C25基础（1500X1500X2000mm）：φ30地脚钢筋、φ12箍筋接地棒：φ16接地钢筋</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3.油漆品种：热镀锌、油漆颜色根据业主要求</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4.工作内容包括标杆基础基坑开挖、回填、余土清运、基础(垫层)浇捣、基础钢筋、基础铁件、接地、钢制立柱、法兰盘、各种连接件制作、运输、安装等，所有交通设施必须满足交警部门最新要求</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433E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根</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611D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BB7A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15414.35</w:t>
            </w:r>
          </w:p>
        </w:tc>
      </w:tr>
      <w:tr w14:paraId="3ED68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0EA6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1526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标杆</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3801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类型：Φ219F杆</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1.规格尺寸：Φ140*10*6190mm上横梁无缝钢管，Φ121*10*5609mm下横梁无缝钢管，Φ219*10*8360mm立柱无缝钢管，160*80*6*7400mm方钢管框，Φ89*6*1000@1200无缝钢管连接</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2.C25基础（1200X1200X1600mm）：φ24地脚钢筋、φ12箍筋接地棒：φ16接地钢筋</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3.油漆品种：热镀锌、油漆颜色根据业主要求</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4.工作内容包括标杆基础基坑开挖、回填、余土清运、基础(垫层)浇捣、基础钢筋、基础铁件、接地、钢制立柱、法兰盘、各种连接件制作、运输、安装等，所有交通设施必须满足交警部门最新要求</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1777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根</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16B7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5FB1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12634.63</w:t>
            </w:r>
          </w:p>
        </w:tc>
      </w:tr>
      <w:tr w14:paraId="26ABC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3683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FD9D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标杆</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6357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类型：双悬挑标志杆</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1.规格尺寸：Φ219*10*7550mm立柱无缝钢管，Φ140*10*3500mm上横梁无缝钢管，Φ121*10*3500mm下横梁无缝钢管</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2.C25基础（1200X1200X1600mm）：φ24地脚钢筋、φ12箍筋接地棒：φ16接地钢筋</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3.油漆品种：热镀锌、油漆颜色根据业主要求</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4.工作内容包括标杆基础基坑开挖、回填、余土清运、基础(垫层)浇捣、基础钢筋、基础铁件、接地、钢制立柱、法兰盘、各种连接件制作、运输、安装等，所有交通设施必须满足交警部门最新要求</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08D0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根</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243E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8368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8191.03</w:t>
            </w:r>
          </w:p>
        </w:tc>
      </w:tr>
      <w:tr w14:paraId="7AFA0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B4E8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CC20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标杆</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5831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φ140直立杆：</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1、Φ140*4.5*3500mm立柱钢管，400*400*10mm肋板</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2、除锈、热镀锌处理、油漆颜色根据业主要求</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3、C25基础（600*600*600mm），φ22钢筋、φ8箍筋接地棒：φ16接地钢筋</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4、工作内容包括标杆基础基坑开挖、回填、余土清运、基础(垫层)浇捣、基础钢筋、基础铁件、接地、钢制立柱、法兰盘、各种连接件制作、运输、安装等，所有交通设施必须满足交警部门最新要求</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3239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根</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E465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A18F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1095.44</w:t>
            </w:r>
          </w:p>
        </w:tc>
      </w:tr>
      <w:tr w14:paraId="75CE7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8A04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3CF3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标杆</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F600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指示标志直立杆φ89*4.5*5150无缝钢管C25砼基础（500*500*500）：φ22钢筋、φ8箍筋400*400*10法兰、立柱法兰加固件包括基础土方开挖、回填、外运等，运距有投标人自行考虑</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8FE3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根</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4D02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2CB5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794.99</w:t>
            </w:r>
          </w:p>
        </w:tc>
      </w:tr>
      <w:tr w14:paraId="20EAE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A4C2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8</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DA66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标杆</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E713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φ273信号灯杆(挑长8米）：</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1、φ273*10*7000mm立柱钢管、横杆：φ140*8*8450mm上横梁无缝钢管、φ121*121*8*8000mm方钢管、100*100*8*650@1500mm横梁连接方钢管具体连接、800*800*20立柱法兰、肋板、80*80*8垫片</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2.C25基础（1200*1200*2000mm）：φ30地脚钢筋、长2000、φ12箍筋，长2600接地棒：φ16接地钢筋</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3.油漆品种：热镀锌、油漆颜色根据业主要求</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4.工作内容包括标杆基础基坑开挖、回填、余土清运、基础(垫层)浇捣、基础钢筋、基础铁件、接地、钢制立柱、法兰盘、各种连接件制作、运输、安装等，所有交通设施必须满足交警部门最新要求</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05DA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根</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5DD2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8330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16256.04</w:t>
            </w:r>
          </w:p>
        </w:tc>
      </w:tr>
      <w:tr w14:paraId="7EC87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5FEA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2907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标杆</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90A8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φ114直立杆：</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1、Φ114*4*4500mm立柱钢管，400*400*10mm肋板</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2、除锈、热镀锌处理、油漆颜色根据业主要求</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3、C25基础（800*800*600mm），φ22钢筋、φ8箍筋接地棒：φ16接地钢筋</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4、工作内容包括标杆基础基坑开挖、回填、余土清运、基础(垫层)浇捣、基础钢筋、基础铁件、接地、钢制立柱、法兰盘、各种连接件制作、运输、安装等，所有交通设施必须满足交警部门最新要求</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A6F8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根</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2274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C5C1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1181.26</w:t>
            </w:r>
          </w:p>
        </w:tc>
      </w:tr>
      <w:tr w14:paraId="1E54F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A957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68A3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标杆</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C89F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φ89直立杆：</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1、Φ89*4*4200mm立柱钢管，400*400*10mm肋板</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2、除锈、热镀锌处理、油漆颜色根据业主要求</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3、C25基础（600*600*600mm），φ22钢筋、φ8箍筋接地棒：φ16接地钢筋</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4、工作内容包括标杆基础基坑开挖、回填、余土清运、基础(垫层)浇捣、基础钢筋、基础铁件、接地、钢制立柱、法兰盘、各种连接件制作、运输、安装等，所有交通设施必须满足交警部门最新要求</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73A5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根</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443C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9966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887.52</w:t>
            </w:r>
          </w:p>
        </w:tc>
      </w:tr>
      <w:tr w14:paraId="186D8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1904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1199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标杆</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AE7F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φ114辅灯直立杆：</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1、Φ114*4*4500mm立柱钢管，400*400*10mm肋板</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2、除锈、热镀锌处理、油漆颜色根据业主要求</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3、C25基础（800*800*800mm），φ22钢筋、φ8箍筋接地棒：φ16接地钢筋</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4、工作内容包括标杆基础基坑开挖、回填、余土清运、基础(垫层)浇捣、基础钢筋、基础铁件、接地、钢制立柱、法兰盘、各种连接件制作、运输、安装等，所有交通设施必须满足交警部门最新要求</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5、接线;系统调试</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2C96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根</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7667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9D79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1254.74</w:t>
            </w:r>
          </w:p>
        </w:tc>
      </w:tr>
      <w:tr w14:paraId="47F9C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82BB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12</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196E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标杆</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8FCE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限高门架：</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1、材料品种：无缝钢管；规格：立柱Φ273*10*5000，横臂Φ165*10000*10mm*2，制作、运输、安装、油漆</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2、C25基础（1400*1400*1400）</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3、工作内容包括标杆基础基坑开挖、回填、余土清运、基础(垫层)浇捣、基础钢筋、基础铁件、接地、钢制立柱、法兰盘、各种连接件制作、运输、安装等，所有交通设施必须满足交警部门最新要求</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5AD7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根</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ED8E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85A8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28607.56</w:t>
            </w:r>
          </w:p>
        </w:tc>
      </w:tr>
      <w:tr w14:paraId="64B82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E07C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95B2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标志板</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ACCA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标志牌：</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1、规格：200×700×1.5mm铝板</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2、底为一级反光膜、字为一级反光膜、含铝槽、抱箍、螺栓、连接件等费用</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8C0E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C377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7A9C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128.73</w:t>
            </w:r>
          </w:p>
        </w:tc>
      </w:tr>
      <w:tr w14:paraId="32E53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8C54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14</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38D8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标志板</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854D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标志牌：</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1、规格：300×600×1.5mm铝板</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2、底为一级反光膜、字为一级反光膜、含铝槽、抱箍、螺栓、连接件等费用</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1427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BDE1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E6F8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141.12</w:t>
            </w:r>
          </w:p>
        </w:tc>
      </w:tr>
      <w:tr w14:paraId="1AD7F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2993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15</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13E4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标志板</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EE81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标志牌：</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1、规格：300×700×1.5mm铝板</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2、底为一级反光膜、字为一级反光膜、含铝槽、抱箍、螺栓、连接件等费用</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8B99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46B5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8062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147.70</w:t>
            </w:r>
          </w:p>
        </w:tc>
      </w:tr>
      <w:tr w14:paraId="4000F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5DDE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16</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3C95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标志板</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7D49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标志牌：</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1、规格：300×800×1.5mm 铝板</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2、底为一级反光膜、字为一级反光膜、含铝槽、抱箍、螺栓、连接件等费用</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B0A4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5C64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B775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170.88</w:t>
            </w:r>
          </w:p>
        </w:tc>
      </w:tr>
      <w:tr w14:paraId="0BBFB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6E4D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17</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CA5F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标志板</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2019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标志牌：</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1、规格：400×600×1.5mm铝板</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2、底为一级反光膜、字为一级反光膜、含铝槽、抱箍、螺栓、连接件等费用</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6FC2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B799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2A52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191.00</w:t>
            </w:r>
          </w:p>
        </w:tc>
      </w:tr>
      <w:tr w14:paraId="23388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1E5C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18</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9425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标志板</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B16D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标志牌：</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1、规格：400×800×1.5mm铝板</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2、底为一级反光膜、字为一级反光膜、含铝槽、抱箍、螺栓、连接件等费用</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9AA7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05E8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95B3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209.19</w:t>
            </w:r>
          </w:p>
        </w:tc>
      </w:tr>
      <w:tr w14:paraId="7C581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C8FC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19</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F10F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标志板</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7BA5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标志牌：</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1、规格：600×800×1.5mm铝板</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2、底为一级反光膜、字为一级反光膜、含铝槽、抱箍、螺栓、连接件等费用</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E3D5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F94E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B1EB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247.12</w:t>
            </w:r>
          </w:p>
        </w:tc>
      </w:tr>
      <w:tr w14:paraId="6C5BB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0AA2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7E65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标志板</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7998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标志牌：</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1、规格：600×1200×1.5mm 铝板</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2、底为一级反光膜、字为一级反光膜、含铝槽、抱箍、螺栓、连接件等费用</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9EEB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F47E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C759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372.38</w:t>
            </w:r>
          </w:p>
        </w:tc>
      </w:tr>
      <w:tr w14:paraId="5C575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66FC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25BF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标志板</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A5EB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标志牌：</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1、规格：600×600×2mm铝板</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2、底为一级反光膜、字为一级反光膜、含铝槽、抱箍、螺栓、连接件等费用</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87B1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2C71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7C3E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259.28</w:t>
            </w:r>
          </w:p>
        </w:tc>
      </w:tr>
      <w:tr w14:paraId="18A89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594E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22</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950E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标志板</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F47F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标志牌：</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1、规格：600×800×2mm铝板</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2、底为一级反光膜、字为一级反光膜、含铝槽、抱箍、螺栓、连接件等费用</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8930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AAFE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BD0E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344.16</w:t>
            </w:r>
          </w:p>
        </w:tc>
      </w:tr>
      <w:tr w14:paraId="44649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87AF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23</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3E06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标志板</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3897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标志牌：</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1、规格：600×1000×2mm铝板</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2、底为一级反光膜、字为一级反光膜、含铝槽、抱箍、螺栓、连接件等费用</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FB92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58F7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881D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364.02</w:t>
            </w:r>
          </w:p>
        </w:tc>
      </w:tr>
      <w:tr w14:paraId="4954C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794E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24</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6A7E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标志板</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ED28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标志牌：</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1、规格：800×1000×2mm铝板</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2、底为高强级、字为超高强级反光膜、含铝槽、抱箍、螺栓、连接件等费用</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2040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E235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573C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465.08</w:t>
            </w:r>
          </w:p>
        </w:tc>
      </w:tr>
      <w:tr w14:paraId="4F855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DD9B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25</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5686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标志板</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EE45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标志牌：</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1、规格：1000×1200×2mm铝板</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2、底为一级反光膜、字为一级反光膜、含铝槽、抱箍、螺栓、连接件等费用</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9AE8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585B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60F1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580.80</w:t>
            </w:r>
          </w:p>
        </w:tc>
      </w:tr>
      <w:tr w14:paraId="5ACB9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4791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26</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5E1C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标志板</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A657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标志牌：</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1、规格：1000×1500×2mm铝板</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2、底为一级反光膜、字为一级反光膜、含铝槽、抱箍、螺栓、连接件等费用</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9F21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1D0D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7132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1037.59</w:t>
            </w:r>
          </w:p>
        </w:tc>
      </w:tr>
      <w:tr w14:paraId="3C687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5FD5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27</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7845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标志板</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8120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标志牌：</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1、规格：1000×2000×2mm铝板</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2、底为一级反光膜、字为一级反光膜、含铝槽、抱箍、螺栓、连接件等费用</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D4F9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5EB0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DF67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1292.65</w:t>
            </w:r>
          </w:p>
        </w:tc>
      </w:tr>
      <w:tr w14:paraId="4EDBC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6F27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28</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39B7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标志板</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BA18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标志牌：1、规格：1200×2000×2mm铝板</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2、底为一级反光膜、字为一级反光膜、含铝槽、抱箍、螺栓、连接件等费用</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2BF1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CA71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8090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1495.39</w:t>
            </w:r>
          </w:p>
        </w:tc>
      </w:tr>
      <w:tr w14:paraId="2AF7A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1964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29</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7BCF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标志板</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7ED2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标志牌：</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 xml:space="preserve">1、规格：1500×3000×2mm铝板 </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2、底为一级反光膜、字为一级反光膜、含铝槽、抱箍、螺栓、连接件等费用</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320F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D4EA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8110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2729.52</w:t>
            </w:r>
          </w:p>
        </w:tc>
      </w:tr>
      <w:tr w14:paraId="5CB88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3F6E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0C18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标志板</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D761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标志牌：</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1、规格：4000×2400×3mm铝板</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2、底为一级反光膜、字为一级反光膜、含铝槽、抱箍、螺栓、连接件等费用</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6804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668A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7A65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8366.67</w:t>
            </w:r>
          </w:p>
        </w:tc>
      </w:tr>
      <w:tr w14:paraId="11E3B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B7B6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3DAD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标志板</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2F3D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摆放式标志牌：</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1、规格：600×800×2mm铝板</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2、底为一级反光膜、字为一级反光膜、含铝槽、抱箍、螺栓、连接件等费用</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5056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AFA4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673F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344.16</w:t>
            </w:r>
          </w:p>
        </w:tc>
      </w:tr>
      <w:tr w14:paraId="68ED5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65FB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32</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A131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标志板</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EA7B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摆放式指示牌：</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1、规格：1000×800×2mm铝板</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2、底为高强级、字为超高强级反光膜、含铝槽、抱箍、螺栓、连接件等费用</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9449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452A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0386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503.94</w:t>
            </w:r>
          </w:p>
        </w:tc>
      </w:tr>
      <w:tr w14:paraId="78A88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C2B3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33</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D388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标志板</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30B9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双面摆放式标志牌：</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1、规格：600×800×2mm铝板</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2、底为高强级、字为超高强级反光膜、含铝槽、抱箍、螺栓、连接件等费用</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DEB2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3482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BB44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572.17</w:t>
            </w:r>
          </w:p>
        </w:tc>
      </w:tr>
      <w:tr w14:paraId="1147A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A0F1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34</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CD2A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标志板</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8909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标志牌：</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1、规格：Φ800mm×1.5mm铝板</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2、底为一级反光膜、字为一级反光膜、含铝槽、抱箍、螺栓、连接件等费用</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690A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C081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EA55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324.78</w:t>
            </w:r>
          </w:p>
        </w:tc>
      </w:tr>
      <w:tr w14:paraId="6BEB3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0918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35</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2CA8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标志板</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7915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标志牌：</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1、规格：Φ1000mm ×1.5mm铝板</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2、底为一级反光膜、字为一级反光膜、含铝槽、抱箍、螺栓、连接件等费用</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85C7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1E18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B991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455.43</w:t>
            </w:r>
          </w:p>
        </w:tc>
      </w:tr>
      <w:tr w14:paraId="38BD0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6494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36</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F9E0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标志板</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055E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标志牌：</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1、规格：△900mm×1.5mm铝板</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2、底为一级反光膜、字为一级反光膜、含铝槽、抱箍、螺栓、连接件等费用</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DB3F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BB08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E07B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249.39</w:t>
            </w:r>
          </w:p>
        </w:tc>
      </w:tr>
      <w:tr w14:paraId="7AA5B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279F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37</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21A2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标志板</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D01B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标志牌：</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1、禁令、警告牌Φ800mm +200×700mm 摆放式，1.5mm铝板</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2、底为高强级、字为超高强级反光膜、含铝槽、抱箍、螺栓、连接件等费用</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25FE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F19C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88DD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482.88</w:t>
            </w:r>
          </w:p>
        </w:tc>
      </w:tr>
      <w:tr w14:paraId="23303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732F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38</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AA23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标志板</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5CA2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标志牌：</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1、禁令、警告牌Φ1000mm +200×700mm 摆放式，1.5mm铝板</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2、底为高强级、字为超高强级反光膜、含铝槽、抱箍、螺栓、连接件等费用</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AA10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08F0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628E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640.70</w:t>
            </w:r>
          </w:p>
        </w:tc>
      </w:tr>
      <w:tr w14:paraId="5375C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A940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39</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340B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贴反光膜</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C4E8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一级反光膜（进口）</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CAC3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m2</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9E7B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690F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329.25</w:t>
            </w:r>
          </w:p>
        </w:tc>
      </w:tr>
      <w:tr w14:paraId="0D1AF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AC68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A320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贴反光膜</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EA1A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二级反光膜</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8DD0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m2</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87A4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E501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193.83</w:t>
            </w:r>
          </w:p>
        </w:tc>
      </w:tr>
      <w:tr w14:paraId="5D704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C901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B8DC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挖沟槽土方</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DC38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机械挖土</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8134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m3</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29BD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2E88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4.45</w:t>
            </w:r>
          </w:p>
        </w:tc>
      </w:tr>
      <w:tr w14:paraId="4B205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BE6A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42</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40BC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挖沟槽土方</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81A9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人工挖土</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276B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m3</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E569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2690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25.82</w:t>
            </w:r>
          </w:p>
        </w:tc>
      </w:tr>
      <w:tr w14:paraId="19B3E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11DB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43</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24FD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回填方</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0501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回填、夯实</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1EDA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m3</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9850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E5C0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19.72</w:t>
            </w:r>
          </w:p>
        </w:tc>
      </w:tr>
      <w:tr w14:paraId="36A62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19C8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44</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2205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余方弃置</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9248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装车、余方弃置、土方类别及运距自行考虑</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68E1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m3</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C130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D295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41.75</w:t>
            </w:r>
          </w:p>
        </w:tc>
      </w:tr>
      <w:tr w14:paraId="22919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CDC5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45</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2C71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混凝土基础</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3E1E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C25混凝土浇筑</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3D15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m3</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E93B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2F7C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657.63</w:t>
            </w:r>
          </w:p>
        </w:tc>
      </w:tr>
      <w:tr w14:paraId="175EC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4EF3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46</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17F0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基础模板</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7FC2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基础模板</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9A4D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m2</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4A25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568E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63.95</w:t>
            </w:r>
          </w:p>
        </w:tc>
      </w:tr>
      <w:tr w14:paraId="285B5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F7C5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47</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9B4B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预埋铁件</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1728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预埋铁件</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E097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kg</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9C48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2558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10.10</w:t>
            </w:r>
          </w:p>
        </w:tc>
      </w:tr>
      <w:tr w14:paraId="6D13A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01E3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48</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E725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油漆</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C296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现有标志杆油漆修补，进口雅黑油漆</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D10C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m2</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53C8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FB3B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74.57</w:t>
            </w:r>
          </w:p>
        </w:tc>
      </w:tr>
      <w:tr w14:paraId="3C657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78F6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49</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A4B3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标记</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C851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热熔标线图案</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A5A3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m2</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50A2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F0EE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33.69</w:t>
            </w:r>
          </w:p>
        </w:tc>
      </w:tr>
      <w:tr w14:paraId="0D021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191A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5CAA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标线</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5BA8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常温型</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7210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m2</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63D7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7F64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12.87</w:t>
            </w:r>
          </w:p>
        </w:tc>
      </w:tr>
      <w:tr w14:paraId="435C3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A388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4DDC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标线</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61F6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热熔型</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EACD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m2</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5F64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2276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36.85</w:t>
            </w:r>
          </w:p>
        </w:tc>
      </w:tr>
      <w:tr w14:paraId="7479A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857F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52</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1B9F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标线</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9B79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减速震荡标线</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3A27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m2</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6F95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889C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96.37</w:t>
            </w:r>
          </w:p>
        </w:tc>
      </w:tr>
      <w:tr w14:paraId="5CDF0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ADC8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53</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C872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清除标线</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2837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清除标线  高压水清除</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D7F6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m2</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81B7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4BB6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31.07</w:t>
            </w:r>
          </w:p>
        </w:tc>
      </w:tr>
      <w:tr w14:paraId="48783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E138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54</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6448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标记</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D7C0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常温漆划非机动车图案180*170cm</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2F02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B0B2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D676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103.10</w:t>
            </w:r>
          </w:p>
        </w:tc>
      </w:tr>
      <w:tr w14:paraId="1D8CC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F2D8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55</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6D25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标线</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041E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人行道降破口、二次过街处漆划红色图框</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3C8D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m2</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49AD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602B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52.64</w:t>
            </w:r>
          </w:p>
        </w:tc>
      </w:tr>
      <w:tr w14:paraId="2DA60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D613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56</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9563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标记</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6820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人行道降破口、二次过街处漆划800*1000“行人等候区”；以及停车线前漆划“红灯时请勿越线”</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D43D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E164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6004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53.89</w:t>
            </w:r>
          </w:p>
        </w:tc>
      </w:tr>
      <w:tr w14:paraId="18CA8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F271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57</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2782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标线</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A29A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热熔型机动车标带、非机动车标带、注意行人标带</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8410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m2</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4F56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230F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52.64</w:t>
            </w:r>
          </w:p>
        </w:tc>
      </w:tr>
      <w:tr w14:paraId="03E9E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022A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58</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5A5B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交通信号灯安装</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6F03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303铝壳箭头灯，采用高亮度LDE管</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3B18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46EE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D105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1748.21</w:t>
            </w:r>
          </w:p>
        </w:tc>
      </w:tr>
      <w:tr w14:paraId="2A37B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5FCF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59</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99D2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外壳更换</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6A8C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303铝壳箭头灯铝制外壳</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8F67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5DC0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AE9E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667.21</w:t>
            </w:r>
          </w:p>
        </w:tc>
      </w:tr>
      <w:tr w14:paraId="39317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4D84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D4D5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电子线路板更换</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4901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303铝壳箭头灯电子线路板</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67EF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FCF4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A912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547.31</w:t>
            </w:r>
          </w:p>
        </w:tc>
      </w:tr>
      <w:tr w14:paraId="02E83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D061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84FB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LED灯更换</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187A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303铝壳箭头灯LED灯芯</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966B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33C8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F18C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532.09</w:t>
            </w:r>
          </w:p>
        </w:tc>
      </w:tr>
      <w:tr w14:paraId="17693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0DD6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62</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599C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交通信号灯安装</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E3F7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303铝壳满屏灯：带单八倒计时：采用高亮度LDE管</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6861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1AD4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DF8F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1748.21</w:t>
            </w:r>
          </w:p>
        </w:tc>
      </w:tr>
      <w:tr w14:paraId="55960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1489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63</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6257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外壳更换</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5D7B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303铝壳满屏灯铝制外壳</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D5F1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22E9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A548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667.21</w:t>
            </w:r>
          </w:p>
        </w:tc>
      </w:tr>
      <w:tr w14:paraId="0A148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E51D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64</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00F0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电子线路板更换</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205A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303铝壳满屏灯电子线路板</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00EE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363E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E8CC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547.31</w:t>
            </w:r>
          </w:p>
        </w:tc>
      </w:tr>
      <w:tr w14:paraId="4241A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71EF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65</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EAD1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LED灯更换</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C28D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303铝壳满屏灯LED灯芯</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F5E1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9C8A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5555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1629.72</w:t>
            </w:r>
          </w:p>
        </w:tc>
      </w:tr>
      <w:tr w14:paraId="08D76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C8E2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66</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40F8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单八倒计时灯芯更换</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2FB2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303铝壳满屏灯单八倒计时灯芯</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99A1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3F8E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25C7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514.61</w:t>
            </w:r>
          </w:p>
        </w:tc>
      </w:tr>
      <w:tr w14:paraId="39499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BC75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67</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A95F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交通信号灯安装</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500C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304非机动车道灯（动态）</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E60A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B13A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9DB4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1748.21</w:t>
            </w:r>
          </w:p>
        </w:tc>
      </w:tr>
      <w:tr w14:paraId="2CDB7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0672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68</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EFFD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外壳更换</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6BA6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304非机动车道灯（动态）铝制外壳</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C382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0DA0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8547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667.21</w:t>
            </w:r>
          </w:p>
        </w:tc>
      </w:tr>
      <w:tr w14:paraId="0EABC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6614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69</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06F0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电子线路板更换</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7FB7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304非机动车道灯（动态）电子线路板</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F23E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ECC6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B623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547.31</w:t>
            </w:r>
          </w:p>
        </w:tc>
      </w:tr>
      <w:tr w14:paraId="4F6B4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4D95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6A48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LED灯更换</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3D6C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304非机动车道灯（动态）LED灯芯</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BF67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50BE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506F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532.09</w:t>
            </w:r>
          </w:p>
        </w:tc>
      </w:tr>
      <w:tr w14:paraId="1FA64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853E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5FC2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交通信号灯安装</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4FD7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304非机动车道灯（静态）</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740C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72AF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8421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1748.21</w:t>
            </w:r>
          </w:p>
        </w:tc>
      </w:tr>
      <w:tr w14:paraId="483BD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FF48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72</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7899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外壳更换</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E701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304非机动车道灯（静态）铝制外壳</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BF5B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A88B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8AC8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667.21</w:t>
            </w:r>
          </w:p>
        </w:tc>
      </w:tr>
      <w:tr w14:paraId="244BD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FD5A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73</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4A27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电子线路板更换</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628C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304非机动车道灯（静态）电子线路板</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5FDC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6FF5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4372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547.31</w:t>
            </w:r>
          </w:p>
        </w:tc>
      </w:tr>
      <w:tr w14:paraId="645EC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FCDC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74</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4EF4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LED灯更换</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EDC1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304非机动车道灯（静态）LED灯芯</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5785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B2C2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7330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532.09</w:t>
            </w:r>
          </w:p>
        </w:tc>
      </w:tr>
      <w:tr w14:paraId="38367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9165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75</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1437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交通信号灯安装</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DD1F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403铝壳满屏灯：带单八倒计时：采用高亮度LDE管</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BECF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1496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7561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2086.81</w:t>
            </w:r>
          </w:p>
        </w:tc>
      </w:tr>
      <w:tr w14:paraId="3225A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8A13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76</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403F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外壳更换</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286F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403铝壳满屏灯铝制外壳</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FFD8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0274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0CE3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689.01</w:t>
            </w:r>
          </w:p>
        </w:tc>
      </w:tr>
      <w:tr w14:paraId="52FE0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11B5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77</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497D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电子线路板更换</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875A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403铝壳满屏灯电子线路板</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BA70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AF26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5FD8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547.31</w:t>
            </w:r>
          </w:p>
        </w:tc>
      </w:tr>
      <w:tr w14:paraId="7E073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6F15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78</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E299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LED灯更换</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8A79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403铝壳满屏灯LED灯芯</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E36D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44F0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D8C0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547.31</w:t>
            </w:r>
          </w:p>
        </w:tc>
      </w:tr>
      <w:tr w14:paraId="29CDE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E2CE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79</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717F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单八倒计时灯芯更换</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D390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403铝壳满屏灯单八倒计时灯芯</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2FC1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DEBD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B4FE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547.31</w:t>
            </w:r>
          </w:p>
        </w:tc>
      </w:tr>
      <w:tr w14:paraId="74D46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1465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80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E8B7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交通信号灯安装</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3ED6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403铝壳箭头灯,带单八倒计时,采用高亮度LED管</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F377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AA51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E7BD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564.79</w:t>
            </w:r>
          </w:p>
        </w:tc>
      </w:tr>
      <w:tr w14:paraId="2EDD0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7ED6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81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C5BD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外壳更换</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4EC8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403铝壳箭头灯铝制外壳</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958A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6A0B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DE2A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689.01</w:t>
            </w:r>
          </w:p>
        </w:tc>
      </w:tr>
      <w:tr w14:paraId="26208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6362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82</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D1A2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电子线路板更换</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CC18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403铝壳箭头灯电子线路板</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0B21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699B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3F27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547.31</w:t>
            </w:r>
          </w:p>
        </w:tc>
      </w:tr>
      <w:tr w14:paraId="75345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A464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83</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F4DC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LED灯更换</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F08B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403铝壳箭头灯LED灯芯</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68D4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2E52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10D7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586.59</w:t>
            </w:r>
          </w:p>
        </w:tc>
      </w:tr>
      <w:tr w14:paraId="143C8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7EC3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84</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36B5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单八倒计时灯芯更换</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E651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403铝壳箭头灯单八倒计时灯芯</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3E34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7EDA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CC4E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586.59</w:t>
            </w:r>
          </w:p>
        </w:tc>
      </w:tr>
      <w:tr w14:paraId="3A05D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62B9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85</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3151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交通信号灯安装</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8297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脉冲式信号灯安装，带单八倒计时  ，采用高亮度LDE管</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CC43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9377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85D8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2237.23</w:t>
            </w:r>
          </w:p>
        </w:tc>
      </w:tr>
      <w:tr w14:paraId="4C382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AA3A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86</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574C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交通信号灯安装</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09EC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脉冲式信号灯安装，采用高亮度LED管</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25B4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C55C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26B1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2422.53</w:t>
            </w:r>
          </w:p>
        </w:tc>
      </w:tr>
      <w:tr w14:paraId="06170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B838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87</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9679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交通信号灯安装</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9B12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太阳能黄闪灯：12寸铝壳灯、10W太阳能板，并采用高亮度LED管，18A时干电瓶。</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799A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F826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9851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1141.03</w:t>
            </w:r>
          </w:p>
        </w:tc>
      </w:tr>
      <w:tr w14:paraId="0E320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636D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88</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4AE0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外壳更换</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BD3D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太阳能黄闪灯：12寸铝壳外壳</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5F5D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C0E4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F612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705.03</w:t>
            </w:r>
          </w:p>
        </w:tc>
      </w:tr>
      <w:tr w14:paraId="38F66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E250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89</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A6F3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电子线路板更换</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9336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太阳能黄闪灯电子线路板</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624A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A3A7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A90E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519.73</w:t>
            </w:r>
          </w:p>
        </w:tc>
      </w:tr>
      <w:tr w14:paraId="78F46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5306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2AC8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LED灯更换</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9374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太阳能黄闪灯LED灯芯</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44D8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0515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2403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1217.33</w:t>
            </w:r>
          </w:p>
        </w:tc>
      </w:tr>
      <w:tr w14:paraId="2E05C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9377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EAB4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交通信号灯安装</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6D7E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302LED人行横道灯,铝壳厚度3mm以上,动态人字警示,采用高亮度LED管</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C401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830E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82D5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1145.00</w:t>
            </w:r>
          </w:p>
        </w:tc>
      </w:tr>
      <w:tr w14:paraId="757D4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BA64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92</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FDE1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外壳更换</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A897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302LED人行横道灯铝制外壳</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E29A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C9BB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0C3D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465.93</w:t>
            </w:r>
          </w:p>
        </w:tc>
      </w:tr>
      <w:tr w14:paraId="5A9FA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B27F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93</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94E1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电子线路板更换</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3D08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302LED人行横道灯电子线路板</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E675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FB00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E69B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547.31</w:t>
            </w:r>
          </w:p>
        </w:tc>
      </w:tr>
      <w:tr w14:paraId="6C4EA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5E0F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94</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47C0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LED灯更换</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456A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302LED人行横道灯LED灯芯</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EABA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4C84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E93C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433.23</w:t>
            </w:r>
          </w:p>
        </w:tc>
      </w:tr>
      <w:tr w14:paraId="40978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9E1C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95</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5ACB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单八倒计时灯芯更换</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A684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302LED人行横道灯单八倒计时灯芯</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EFAC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CC86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DDAB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433.23</w:t>
            </w:r>
          </w:p>
        </w:tc>
      </w:tr>
      <w:tr w14:paraId="71294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9A00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96</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7090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交通信号灯安装</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C067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立柱式人行灯灯板，带单八倒计时：采用高亮度LDE管</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DCE6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3D3E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298A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1145.00</w:t>
            </w:r>
          </w:p>
        </w:tc>
      </w:tr>
      <w:tr w14:paraId="2B916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A6E2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97</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5864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外壳更换</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2DBB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立柱式人行灯铝制外壳</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C033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190D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F28A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465.93</w:t>
            </w:r>
          </w:p>
        </w:tc>
      </w:tr>
      <w:tr w14:paraId="5DAC5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95CD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98</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489A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电子线路板更换</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D1EA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立柱式人行灯电子线路板</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7F85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C425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3A6D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547.31</w:t>
            </w:r>
          </w:p>
        </w:tc>
      </w:tr>
      <w:tr w14:paraId="70EF5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101F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99</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FC58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LED灯更换</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A31D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立柱式人行灯LED灯芯</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F9EC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DEAE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DE40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342.59</w:t>
            </w:r>
          </w:p>
        </w:tc>
      </w:tr>
      <w:tr w14:paraId="19521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3895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85E5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单八倒计时灯芯更换</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AF53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立柱式人行灯单八倒计时灯芯</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0F79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F024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6D3A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342.59</w:t>
            </w:r>
          </w:p>
        </w:tc>
      </w:tr>
      <w:tr w14:paraId="13818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0202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462F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交通信号灯安装</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D621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L信息柱人行灯</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92E6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93E4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3541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3953.93</w:t>
            </w:r>
          </w:p>
        </w:tc>
      </w:tr>
      <w:tr w14:paraId="29D59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C2D7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102</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7AA6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交通信号灯安装</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2E4E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I信息柱人行灯</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8333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9370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0807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2918.43</w:t>
            </w:r>
          </w:p>
        </w:tc>
      </w:tr>
      <w:tr w14:paraId="4737F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CC3D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103</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84F3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交通信号灯安装</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60C0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LED显示屏一体化人行灯，上面是人行灯、下面是LED显示屏</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5A49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3906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B6F7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5643.43</w:t>
            </w:r>
          </w:p>
        </w:tc>
      </w:tr>
      <w:tr w14:paraId="55FAA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DB29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104</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1E94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交通信号灯安装</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D4D4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LED(三面型)一体式人行灯:对立两面是人行灯，垂直面是辅灯</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4452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DCEC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A45B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7278.43</w:t>
            </w:r>
          </w:p>
        </w:tc>
      </w:tr>
      <w:tr w14:paraId="29743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F5FF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105</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4415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交通信号灯安装</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FBB9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待行区LED显示屏安装，2550×450mm二组文字转换</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6686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3CB4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3CAE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1444.21</w:t>
            </w:r>
          </w:p>
        </w:tc>
      </w:tr>
      <w:tr w14:paraId="7A302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3D15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106</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8430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LED显示屏</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69B5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6m2LED显示屏“公交专用、禁止驶入”</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5741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3F0C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1A0A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6541.33</w:t>
            </w:r>
          </w:p>
        </w:tc>
      </w:tr>
      <w:tr w14:paraId="0EC7E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6F62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107</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6D88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交通信号灯安装</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49CC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Φ301爆闪灯铝壳</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2375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D797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8AD9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533.38</w:t>
            </w:r>
          </w:p>
        </w:tc>
      </w:tr>
      <w:tr w14:paraId="5C5BD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0200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108</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4AEB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交通信号灯安装</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F247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移动信号灯,LS2503-XYL01</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7E18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BB19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D32A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4727.18</w:t>
            </w:r>
          </w:p>
        </w:tc>
      </w:tr>
      <w:tr w14:paraId="7B912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0551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109</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024E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交通信号灯安装</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7CDD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移动红绿灯F×400-3-1011型</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B3F7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EE0C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4753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5708.18</w:t>
            </w:r>
          </w:p>
        </w:tc>
      </w:tr>
      <w:tr w14:paraId="0207E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B152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110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9774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移动式太阳能LED诱导标志</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4185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移动式太阳能LED诱 ，导标志,用于潮汐车道两头指引车辆</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D234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E051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5E96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13338.18</w:t>
            </w:r>
          </w:p>
        </w:tc>
      </w:tr>
      <w:tr w14:paraId="1FD9D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55CE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111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458D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太阳能靠右行驶复合标志</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A03F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太阳能靠右行驶复合标志</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39D8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6DD1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BF01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1183.59</w:t>
            </w:r>
          </w:p>
        </w:tc>
      </w:tr>
      <w:tr w14:paraId="45684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C943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112</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3DF4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移动信号灯养护管理</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313A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更换电瓶及配件</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2796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B7F0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A31A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563.38</w:t>
            </w:r>
          </w:p>
        </w:tc>
      </w:tr>
      <w:tr w14:paraId="4F612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B383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113</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C793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视频控制设备</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4584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背光牌电源控制器</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A40F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EBE7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A0D0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482.26</w:t>
            </w:r>
          </w:p>
        </w:tc>
      </w:tr>
      <w:tr w14:paraId="39740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E4E3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114</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2109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视频控制设备</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18D3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自动晚上控制器</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2BA5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AC44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E004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1451.43</w:t>
            </w:r>
          </w:p>
        </w:tc>
      </w:tr>
      <w:tr w14:paraId="058A6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2601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115</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134C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信号机箱</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7AEE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信号控制机箱  550*780*1348，不锈钢控制箱门</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92CB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只</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6F98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35E9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9393.08</w:t>
            </w:r>
          </w:p>
        </w:tc>
      </w:tr>
      <w:tr w14:paraId="35F04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F63F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116</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A046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控制箱</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CDB5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1、全不锈钢、厚度1.5mm以上，三角形锁</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2、规格1200×650×450，内含电器（空开、接线板、多用插座等）</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39A7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只</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784F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5EEF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4488.08</w:t>
            </w:r>
          </w:p>
        </w:tc>
      </w:tr>
      <w:tr w14:paraId="7D908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C90D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117</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AE71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控制仪</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FD03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1、多相位，有单独人行灯</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2、控制输出</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AB09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CABD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ADC0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2948.00</w:t>
            </w:r>
          </w:p>
        </w:tc>
      </w:tr>
      <w:tr w14:paraId="12C0D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33FB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118</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F81D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UPS</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BDCB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1、500W电池存放时间24小时，2年内电量饱和率80%以上，自动切换时＜0.1秒</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2、4只100A时电池为小组</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3、不含控制柜</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0D17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组</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699D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A6A3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2769.82</w:t>
            </w:r>
          </w:p>
        </w:tc>
      </w:tr>
      <w:tr w14:paraId="0B01B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B5DF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119</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F8C7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太阳能电池板</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89F0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12V，10W/20W</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C41B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9D33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D250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1842.46</w:t>
            </w:r>
          </w:p>
        </w:tc>
      </w:tr>
      <w:tr w14:paraId="5AFB8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59E4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120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8C38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蓄电池</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CC42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铅酸免维护蓄电池，12V/17AH蓄电池</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C86F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只</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41BE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1B57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376.05</w:t>
            </w:r>
          </w:p>
        </w:tc>
      </w:tr>
      <w:tr w14:paraId="5E4A3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E286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121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BF2A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蓄电池</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BC98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铅酸免维护蓄电池，12V/30AH蓄电池</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6C3D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只</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0E4D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0C26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528.64</w:t>
            </w:r>
          </w:p>
        </w:tc>
      </w:tr>
      <w:tr w14:paraId="17FDD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86DB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122</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C6CF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空气开关</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DD54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空气开关  10A,20A（三极）</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1539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5118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827C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312.02</w:t>
            </w:r>
          </w:p>
        </w:tc>
      </w:tr>
      <w:tr w14:paraId="2753F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7EB2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123</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5E7E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电源</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EAA8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稳压电源  1kw/220v</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5E27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0FE5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D685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483.22</w:t>
            </w:r>
          </w:p>
        </w:tc>
      </w:tr>
      <w:tr w14:paraId="036C8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6561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124</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C310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12V/17Ah电瓶</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06D8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12V/17Ah电瓶</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52C0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只</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E7D9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9E07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250.70</w:t>
            </w:r>
          </w:p>
        </w:tc>
      </w:tr>
      <w:tr w14:paraId="32FDE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1C24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125</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57AD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LED可变车道</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E53C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LED可变车道</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BC94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5F16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65A2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4553.43</w:t>
            </w:r>
          </w:p>
        </w:tc>
      </w:tr>
      <w:tr w14:paraId="59234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09A0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126</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F016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隔离护栏</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26F6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机非铁制护栏2900mm×450mm（含护栏片、立柱、底座等所有连接件）</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0E7E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2E07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A22C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138.65</w:t>
            </w:r>
          </w:p>
        </w:tc>
      </w:tr>
      <w:tr w14:paraId="4F1E3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42C3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127</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BAAB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隔离护栏</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1E2D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机非铁制护栏立杆,高750×80×80mm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CD5A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根</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203B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0D6D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54.50</w:t>
            </w:r>
          </w:p>
        </w:tc>
      </w:tr>
      <w:tr w14:paraId="6D4CD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763E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128</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F3C0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隔离护栏</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E0D8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热镀锌钢静电喷涂钢护栏，2900mm×450mm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16BB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5B39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6450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93.51</w:t>
            </w:r>
          </w:p>
        </w:tc>
      </w:tr>
      <w:tr w14:paraId="556C6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FC47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129</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3B6B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隔离护栏</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7907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机非铁制护栏2900mm×600mm（含护栏片、立柱、底座等所有连接件）</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C992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52FC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DC5A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161.77</w:t>
            </w:r>
          </w:p>
        </w:tc>
      </w:tr>
      <w:tr w14:paraId="23CE3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27A7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93CB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隔离护栏</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6FFE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机非铁制护栏立杆,高900×80×80mm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6EF3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根</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A3D2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52E4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65.40</w:t>
            </w:r>
          </w:p>
        </w:tc>
      </w:tr>
      <w:tr w14:paraId="4BFF9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D310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09B9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隔离护栏</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1EF9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热镀锌钢静电喷涂钢护栏，2900mm×600mm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E1BE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39E7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0260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118.83</w:t>
            </w:r>
          </w:p>
        </w:tc>
      </w:tr>
      <w:tr w14:paraId="2328E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A459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132</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88C5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隔离护栏</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4F56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机非铁制护栏2900mm×750mm（含护栏片、立柱、底座等所有连接件）</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30A0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0324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83D3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169.47</w:t>
            </w:r>
          </w:p>
        </w:tc>
      </w:tr>
      <w:tr w14:paraId="369DD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AE35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133</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0A7C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隔离护栏</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75E3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机非铁制护栏立杆,高1050×80×80mm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62FB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7827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B9C3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76.30</w:t>
            </w:r>
          </w:p>
        </w:tc>
      </w:tr>
      <w:tr w14:paraId="7ED2B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D674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134</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090E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隔离护栏</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38A6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热镀锌钢静电喷涂钢护栏，2900mm×750mm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E1C0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72C4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A44A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126.54</w:t>
            </w:r>
          </w:p>
        </w:tc>
      </w:tr>
      <w:tr w14:paraId="3722C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3C4B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135</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9A40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隔离护栏</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4C2C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机非铁制护栏2900mm×900mm（含护栏片、立柱、底座等所有连接件）</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1B60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E114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BC00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181.58</w:t>
            </w:r>
          </w:p>
        </w:tc>
      </w:tr>
      <w:tr w14:paraId="383C8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9F59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136</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56BE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隔离护栏</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0F66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机非铁制护栏立杆,高1200×100×100mm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001C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E864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0857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87.20</w:t>
            </w:r>
          </w:p>
        </w:tc>
      </w:tr>
      <w:tr w14:paraId="1C9D4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2AB9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137</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C216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隔离护栏</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9B5F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热镀锌钢静电喷涂钢护栏，2900mm×900mm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9574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99D3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6A02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148.56</w:t>
            </w:r>
          </w:p>
        </w:tc>
      </w:tr>
      <w:tr w14:paraId="6BED8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503F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138</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F795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隔离护栏</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4310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现有护栏底座更换</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E214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只</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59D0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25AC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43.60</w:t>
            </w:r>
          </w:p>
        </w:tc>
      </w:tr>
      <w:tr w14:paraId="0A0B0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7BEF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139</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E2D3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隔离护栏</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2595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绿化带隔离护栏2000*800*20；用于中央绿化带及非机动车道绿化带；绿色喷塑；（含拼接螺栓、拼接螺母、拼接垫圈、连接垫片、混凝土）</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0F8C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E2D0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C099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80.62</w:t>
            </w:r>
          </w:p>
        </w:tc>
      </w:tr>
      <w:tr w14:paraId="60729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046D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140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0F52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隔离护栏</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1333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人行道行人隔离护栏安装：</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 xml:space="preserve"> 1、名称:隔离栏板，规格为：长2000*高1200mm；高度1.2m（不含埋深）</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2、材料：边框采用φ76*2.0，高1200钢管柱，中间采用70cm高φ32*1.5钢管，上下横管：φ60*2.0mm钢管柱</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3、涂料：所有采用涂优质热镀锌钢静电喷涂，喷塑（古铜色）</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 xml:space="preserve">4、栏板有2种，相互交替安装 </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5、包含：基础安装等工作</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3674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51E3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B2FB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275.16</w:t>
            </w:r>
          </w:p>
        </w:tc>
      </w:tr>
      <w:tr w14:paraId="5D8CA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77C8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141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661A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隔离护栏</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4A6B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普通型波形护栏，间距4米，立柱Φ114*175*4，波形护栏板4320*310*85*3（含拼接螺栓、拼接螺母、拼接垫圈、防阻块、柱帽、连接垫片）</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8491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6CB3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9874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236.32</w:t>
            </w:r>
          </w:p>
        </w:tc>
      </w:tr>
      <w:tr w14:paraId="46825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DD08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142</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E480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隔离护栏</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4486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加强型波形护栏，间距2米，立柱Φ114*175*4，波形护栏板4320*310*85*3（含拼接螺栓、拼接螺母、拼接垫圈、防阻块、柱帽、连接垫片）</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7820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7564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8068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177.34</w:t>
            </w:r>
          </w:p>
        </w:tc>
      </w:tr>
      <w:tr w14:paraId="7A995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33DC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143</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AB0B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隔离护栏</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E968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分设型圆头式端头</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E3E9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C171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97D9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207.10</w:t>
            </w:r>
          </w:p>
        </w:tc>
      </w:tr>
      <w:tr w14:paraId="3DCEC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E9F6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144</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AF0D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隔离护栏</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8D56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绿化带隔离护栏2000*600*20；用于中央绿化带及非机动车道绿化带；绿色喷塑；（含拼接螺栓、拼接螺母、拼接垫圈、连接垫片、混凝土）</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67D5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EC29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5914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69.61</w:t>
            </w:r>
          </w:p>
        </w:tc>
      </w:tr>
      <w:tr w14:paraId="2AFBD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CFE5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145</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A944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塑料隔离墩</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2DBD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塑料隔离墩，Φ50×2×3000mm*镀锌钢管、贴高强级反光膜。</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E36F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A5D2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24F8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87.20</w:t>
            </w:r>
          </w:p>
        </w:tc>
      </w:tr>
      <w:tr w14:paraId="49351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533A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146</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C7A8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塑料隔离墩管子</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6BC7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塑料隔离墩管子，塑胶管规格：Φ55mm，长6m</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E6E3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根</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DCE6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4D4D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19.62</w:t>
            </w:r>
          </w:p>
        </w:tc>
      </w:tr>
      <w:tr w14:paraId="7EEA8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47D7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147</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BCC0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镀锌钢管隔离墩拆除</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3471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Φ50×2×3000mm镀锌钢管隔离墩机械切割拆除，人工装卸，含外运并按建设单位指定地点统一堆放</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8D78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CF0B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D894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9.16</w:t>
            </w:r>
          </w:p>
        </w:tc>
      </w:tr>
      <w:tr w14:paraId="6E640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E334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148</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6EA6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警示柱</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F775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1、警示桩Φ89×4×1200mm一级反光膜（进口）</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2、C30混凝土基础280*280*450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50EA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根</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A7AA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4227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96.78</w:t>
            </w:r>
          </w:p>
        </w:tc>
      </w:tr>
      <w:tr w14:paraId="2A915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069D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149</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8F89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警示柱</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187F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1、警示桩Φ89×4×1800mm高强级反光膜</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2、C30混凝土基础280*280*450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9F48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25FB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542C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142.63</w:t>
            </w:r>
          </w:p>
        </w:tc>
      </w:tr>
      <w:tr w14:paraId="40076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652E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150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E131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警示柱</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9A63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聚安脂反光警示柱Φ75mm×700mm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5872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支</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D4A0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7BA3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56.36</w:t>
            </w:r>
          </w:p>
        </w:tc>
      </w:tr>
      <w:tr w14:paraId="3C4DA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2DEB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151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65CE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警示柱</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1029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钢管警示柱（地埋式）φ114×（1200+600）mm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1F32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只</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37F3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C673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128.71</w:t>
            </w:r>
          </w:p>
        </w:tc>
      </w:tr>
      <w:tr w14:paraId="20528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EB57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152</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56A0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防撞筒（墩）</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284A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黄黑相间锥筒 φ900*950防撞桶</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1746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9470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9427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152.65</w:t>
            </w:r>
          </w:p>
        </w:tc>
      </w:tr>
      <w:tr w14:paraId="1D786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B233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153</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91D9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反光锥型交通路标</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091E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高度70cm，含连接件等辅材费用</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BAC0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只</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9035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43E3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74.12</w:t>
            </w:r>
          </w:p>
        </w:tc>
      </w:tr>
      <w:tr w14:paraId="5D018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4D0F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154</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FAE0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反光锥型交通路标</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8B5B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高度50cm，含连接件等辅材费用</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296A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只</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E572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20BE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54.50</w:t>
            </w:r>
          </w:p>
        </w:tc>
      </w:tr>
      <w:tr w14:paraId="40442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CD93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155</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1226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连接杆</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B72E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现有反光锥型交通路标连接件更换，Φ33.5×2000mm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201E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根</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9EF7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37DB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10.90</w:t>
            </w:r>
          </w:p>
        </w:tc>
      </w:tr>
      <w:tr w14:paraId="59CF5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2840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156</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FB07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轮廓标</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5704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双面白黄轮廓标</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29CA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AD62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EACD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13.08</w:t>
            </w:r>
          </w:p>
        </w:tc>
      </w:tr>
      <w:tr w14:paraId="42F95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FE99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157</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6FFE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管内穿线</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E03A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管内穿线,电缆KVV5×1.5mm2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AFF2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2802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1000.00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1BFE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10.15</w:t>
            </w:r>
          </w:p>
        </w:tc>
      </w:tr>
      <w:tr w14:paraId="2C883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827B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158</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8AD8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管内穿线</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72FB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管内穿线,电缆KVV4×1.5mm2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F6CA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101F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1000.00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9BD6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8.18</w:t>
            </w:r>
          </w:p>
        </w:tc>
      </w:tr>
      <w:tr w14:paraId="3EEB2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ABB1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159</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6A62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管内穿线</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017E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管内穿线,电缆KVV2×6mm2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9F9B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2EF6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1000.00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A6B0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25.30</w:t>
            </w:r>
          </w:p>
        </w:tc>
      </w:tr>
      <w:tr w14:paraId="3DB71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778D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160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7B82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管内穿线</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0655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管内穿线,电缆KVV3×6mm2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0A9B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90CB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1000.00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C4FC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31.29</w:t>
            </w:r>
          </w:p>
        </w:tc>
      </w:tr>
      <w:tr w14:paraId="5A08F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BBBE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161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5E81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电缆敷设</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2204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1、KVV10×1.5mm2</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2、包括电缆头制安</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3、包含挖电缆沟、回填及余土外运</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4215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7D6E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64C7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21.80</w:t>
            </w:r>
          </w:p>
        </w:tc>
      </w:tr>
      <w:tr w14:paraId="3FAB2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000D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162</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5D51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电缆敷设</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BEC7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1、KVV7×1.5mm2</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2、包括电缆头制安</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3、包含挖电缆沟、回填及余土外运</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A9F0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5E5A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F23C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14.43</w:t>
            </w:r>
          </w:p>
        </w:tc>
      </w:tr>
      <w:tr w14:paraId="0FAA3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B2B5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163</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1459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电缆敷设</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5D4A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1、KVV22-6×1</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2、包括控制电缆制安</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3、包含挖电缆沟、回填及余土外运</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D3C4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FB19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4D41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13.89</w:t>
            </w:r>
          </w:p>
        </w:tc>
      </w:tr>
      <w:tr w14:paraId="5E3E5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35B9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164</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18D1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电缆敷设</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A8CD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1、RVV22-4×1</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2、包括控制电缆制安</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3、包含挖电缆沟、回填及余土外运</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7819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CA7E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57F1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14.95</w:t>
            </w:r>
          </w:p>
        </w:tc>
      </w:tr>
      <w:tr w14:paraId="00931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6A2E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165</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0166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电缆敷设</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4A5E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1、RVV22-2×1mm2</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2、包括控制电缆制安</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3、包含挖电缆沟、回填及余土外运</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A668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5A09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637F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11.08</w:t>
            </w:r>
          </w:p>
        </w:tc>
      </w:tr>
      <w:tr w14:paraId="7A236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64F1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166</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14B9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电缆敷设</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AB90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电缆敷设,YJV3×6电源线</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055D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AB66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F4C7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19.66</w:t>
            </w:r>
          </w:p>
        </w:tc>
      </w:tr>
      <w:tr w14:paraId="124D3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B393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167</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2921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信号控制电缆敷设</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29B0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信号控制电缆,KVV22  16×1</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1830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37F3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DA2A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40.82</w:t>
            </w:r>
          </w:p>
        </w:tc>
      </w:tr>
      <w:tr w14:paraId="7A3AE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0D18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168</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7966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信号控制电缆敷设</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ADD1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信号控制电缆,KVV22  6×1</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4A33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D825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3E61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11.67</w:t>
            </w:r>
          </w:p>
        </w:tc>
      </w:tr>
      <w:tr w14:paraId="238E6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206E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169</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A9F3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电源信号线敷设</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0ABA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电源信号线,RVV 4×1</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371C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6A6F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3B17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11.25</w:t>
            </w:r>
          </w:p>
        </w:tc>
      </w:tr>
      <w:tr w14:paraId="6840E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1C26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170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7CF6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塑料管敷设</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D790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1、直径75mm，埋入地下深度30mm以下</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2、含开挖回填。</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917E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CA5C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D56D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20.88</w:t>
            </w:r>
          </w:p>
        </w:tc>
      </w:tr>
      <w:tr w14:paraId="108AE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F8BC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171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B186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塑料管敷设</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617B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1、材料品种：PE管</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2、规格：D50</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3、基础材料品种、厚度、强度：10cm厚C20砼垫层、50×46cmC20砼方包</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4、工作内容含管沟开挖、废料外运和路面恢复。恢复结构按现状人行道结构恢复</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5、清单量为管沟长，每个管沟敷设1根D75PE管</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E54F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600E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CF02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203.46</w:t>
            </w:r>
          </w:p>
        </w:tc>
      </w:tr>
      <w:tr w14:paraId="66E00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67C3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172</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9638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镀锌钢管敷设</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ADFD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1、规格：D80</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2、基础材料品种、厚度、强度：10cm厚C20砼垫层、50×46cmC20砼方包</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3、工作内容含管沟开挖、废料外运和路面恢复。恢复结构为4cm细粒式沥青砼+乳化沥青粘+8cm粗粒式沥青砼  4、清单量为管沟长，每个管沟敷设1根D80镀锌钢管</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7FCC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83CB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21C8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251.93</w:t>
            </w:r>
          </w:p>
        </w:tc>
      </w:tr>
      <w:tr w14:paraId="32A85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0212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173</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4DC2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控制箱内部张贴内容</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ACFF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路口配时方案、控制仪操作说明（7年工程级贴反光膜和喷绘）</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87CF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m2</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D5D0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AB8F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98.10</w:t>
            </w:r>
          </w:p>
        </w:tc>
      </w:tr>
      <w:tr w14:paraId="0C5B0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108B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174</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D659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手势指挥台</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2B16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手势指挥台，造型规格根据业主要求</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DF53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只</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805A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D462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872.00</w:t>
            </w:r>
          </w:p>
        </w:tc>
      </w:tr>
      <w:tr w14:paraId="54535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605C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175</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F078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铝盖板更换</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F513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铝盖板更换,150×200mm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8B2A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993B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6341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5.34</w:t>
            </w:r>
          </w:p>
        </w:tc>
      </w:tr>
      <w:tr w14:paraId="5CD1E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D741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176</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2B74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减速垄</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0CFF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橡胶缓冲带 1000×380×50mm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CD57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272D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B984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111.25</w:t>
            </w:r>
          </w:p>
        </w:tc>
      </w:tr>
      <w:tr w14:paraId="2CD94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29A8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177</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76B6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人(手)孔井</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0964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1、450×450×700mm砖砌方形</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2、模压树脂复合井盖</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AD41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座</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34E0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EBFE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535.26</w:t>
            </w:r>
          </w:p>
        </w:tc>
      </w:tr>
      <w:tr w14:paraId="3FE65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3801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178</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D6C7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减速垄</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CCEC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铝材减速道钉</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EF4A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只</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E559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0A7B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24.21</w:t>
            </w:r>
          </w:p>
        </w:tc>
      </w:tr>
      <w:tr w14:paraId="463AF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8CEF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179</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6AB0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减速垄</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D48C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太阳能反光道钉</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242D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B352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6A40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69.56</w:t>
            </w:r>
          </w:p>
        </w:tc>
      </w:tr>
      <w:tr w14:paraId="56FCB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BA81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180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8480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Φ76万向轮</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DA64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Φ76万向轮</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2F54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8025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3649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16.35</w:t>
            </w:r>
          </w:p>
        </w:tc>
      </w:tr>
      <w:tr w14:paraId="2AFFD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6B3D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181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00A1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铣刨路面</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F071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沥青路面10cm铣刨、装车、外运、运距及场地投标单位咨询考虑</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A4B2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m2</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D9CE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ED9C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10.38</w:t>
            </w:r>
          </w:p>
        </w:tc>
      </w:tr>
      <w:tr w14:paraId="29019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5A02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182</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D9E4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透层、粘层</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C56E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粘层乳化沥青</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A734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m2</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0F86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43C1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1.61</w:t>
            </w:r>
          </w:p>
        </w:tc>
      </w:tr>
      <w:tr w14:paraId="689B6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D5FE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183</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460D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沥青混凝土</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387B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AC-13  10cm细粒式沥青（人工摊铺）</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8497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m2</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8836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6151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133.79</w:t>
            </w:r>
          </w:p>
        </w:tc>
      </w:tr>
      <w:tr w14:paraId="05E85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38CD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184</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BC0A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挡车器</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A9AD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规格：500*150*100mm</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采用高强度天然橡胶经硫化高压合成，采用标准黄黑相间，色彩鲜明，标志明显，适用温度-32至65摄氏度，耐老化耐磨损。</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E402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41A1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9C55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53.41</w:t>
            </w:r>
          </w:p>
        </w:tc>
      </w:tr>
      <w:tr w14:paraId="43957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5FBF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185</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546A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护角</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9798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规格 800*80*10</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采用高强度天然橡胶经硫化高压合成，采用标准黄黑相间，色彩鲜明，标志明显，适用温度-32至65摄氏度，耐老化耐磨损。</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489C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B3DB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40D7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14.17</w:t>
            </w:r>
          </w:p>
        </w:tc>
      </w:tr>
      <w:tr w14:paraId="761D0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7A16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186</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5119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水马</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3BE2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1200*800塑料水马</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FEA0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94CF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E11F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92.21</w:t>
            </w:r>
          </w:p>
        </w:tc>
      </w:tr>
      <w:tr w14:paraId="57041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B940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187</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BA9B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防撞筒（墩）</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476D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Φ600*800防撞桶，红白相间反光膜</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EF82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CDAA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ED21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117.18</w:t>
            </w:r>
          </w:p>
        </w:tc>
      </w:tr>
      <w:tr w14:paraId="2C8B4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8B78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188</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AE54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室外广角镜</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EAFE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Φ1000室外广角镜</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81DA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032A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A0BD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741.51</w:t>
            </w:r>
          </w:p>
        </w:tc>
      </w:tr>
      <w:tr w14:paraId="543DB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23BB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189</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59A4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钢钉</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EF99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安装减速带、护栏钉子</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5BBB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59C4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2AA5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3.27</w:t>
            </w:r>
          </w:p>
        </w:tc>
      </w:tr>
      <w:tr w14:paraId="2ED7D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DA17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190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D01A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磁性柔性警示柱</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50A6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用于潮汐车道H800，φ80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4D75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根</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40A3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F0A3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62.70</w:t>
            </w:r>
          </w:p>
        </w:tc>
      </w:tr>
      <w:tr w14:paraId="1FE69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FEB3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191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6A4E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Φ89摆放式钢架</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74D2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Φ89摆放式架子，适用于3000*1500牌子、4000*2000牌子 安装好摆放式牌子</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6B1E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9D38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A657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490.50</w:t>
            </w:r>
          </w:p>
        </w:tc>
      </w:tr>
      <w:tr w14:paraId="326AF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5129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192</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5839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道闸</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50A3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匝道控制道闸机 闸机栏板长度5m</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8325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9FE8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7D50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4477.98</w:t>
            </w:r>
          </w:p>
        </w:tc>
      </w:tr>
      <w:tr w14:paraId="722D8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4E4F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193</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A155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小型移动式提示牌</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9329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H=1.3m小型可移动式提示牌，便于高考期间、观潮期间、应急之用。可更换版面内容，含V类反光膜（进口）、铝槽、抱箍、螺栓、钢结构支架</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FE1C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m2</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CB8A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8A96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403.30</w:t>
            </w:r>
          </w:p>
        </w:tc>
      </w:tr>
      <w:tr w14:paraId="37E7D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932D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194</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160F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SCATS 交通信号控制仪</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5ED0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1、支持≥16灯组接入；</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2、如遇系统发生故障，信号机能自动进行降级工作，实行单点全感应控制或无电缆协调控制；</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3、能接入已建的SCATS信号控制系统管理平台，同时能与现有SCATS信号控制系统兼容；</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4、支持现有的PC SCATS信号控制系统 6.5以上版本系统，能够联机进行自适应控制；</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5、包含CPU板、灯控板、电源板、线圈板主件。</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A1B0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AD11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10F1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65115.43</w:t>
            </w:r>
          </w:p>
        </w:tc>
      </w:tr>
      <w:tr w14:paraId="3F38B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04A4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195</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87E3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环形检测线圈</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E1A8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检测线圈 矩形0.6m*2m</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AB8D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DA13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4F85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2201.79</w:t>
            </w:r>
          </w:p>
        </w:tc>
      </w:tr>
      <w:tr w14:paraId="1CCCF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6A34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196</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EE49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管内穿线</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7889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检测线圈馈线 RVVP2*1.5</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881B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679B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B5D0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7.59</w:t>
            </w:r>
          </w:p>
        </w:tc>
      </w:tr>
      <w:tr w14:paraId="676F6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3F94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197</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9691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线圈检测器</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750D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最大检测器输入通道：96；检测器输入包含：车辆感应线圈和干触点接入；LDM16检测器模块提供16通道车辆感应线圈输入和16个干触点输入。最多可使用3块检测器模块（共96个输入）</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F455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6454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ECF8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5144.79</w:t>
            </w:r>
          </w:p>
        </w:tc>
      </w:tr>
      <w:tr w14:paraId="06082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1081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198</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1A95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转换器</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2AEA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检测、通讯单元采用微控制器设计，稳定可靠；2.信号灯交流信号输入接口≥16路：3.配置≥16路交通灯信号状态指示灯；4.具有不少于6路RS485、16路AC220V信号灯输入接口、16路信号状态指示灯，1路RS485数据收发状态指示灯、1个5位拨码开关、1路5V电源输出接口；5.检测信号灯电压范围AC110V~274V;信号灯输入端口有信号输入时，RS485端口会上传该端口的状态信息；6.当有电压信号输入时，对应通道的状态指示灯点亮；7.5位拨码开关设置波特率、地址和上传模式；8.输入接口采用压电保护、光电隔离等防护措施；9.设备功耗：≤3瓦；10.工作环境温度：-40℃~+80℃;11.设备在正常工作条件下，连续工作168h不应出现电、机械或操作系统的故障；</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CCBB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B4D0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4EE0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1978.47</w:t>
            </w:r>
          </w:p>
        </w:tc>
      </w:tr>
      <w:tr w14:paraId="075E1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A786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199</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108F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避雷器</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A808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避雷器 信号避雷器8/20μs·1.5kA</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CE48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组</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DADC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D401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699.27</w:t>
            </w:r>
          </w:p>
        </w:tc>
      </w:tr>
      <w:tr w14:paraId="43E3E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D152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200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11A5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避雷器</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8EE3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避雷器 电源避雷器8/20μs·20kA</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83C4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组</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1CB0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30EF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1881.86</w:t>
            </w:r>
          </w:p>
        </w:tc>
      </w:tr>
      <w:tr w14:paraId="2B464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544B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201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81B2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花箱</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21D2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1200mm*900mm*800mm，木质，含泥土及绿植（花）</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687B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只</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93A4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7DA7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872.00</w:t>
            </w:r>
          </w:p>
        </w:tc>
      </w:tr>
      <w:tr w14:paraId="38237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2AA2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202</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2933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机非护栏直档</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661C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高830mm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7CA4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根</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AAF1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6609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29.43</w:t>
            </w:r>
          </w:p>
        </w:tc>
      </w:tr>
      <w:tr w14:paraId="5B034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1D67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203</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972F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机非护栏直档</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32C1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530mm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AC0C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根</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DCB2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DD85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27.25</w:t>
            </w:r>
          </w:p>
        </w:tc>
      </w:tr>
      <w:tr w14:paraId="366AC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B1E6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204</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AACA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机非护栏直档</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6D26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330mm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3ABB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根</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59EA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9F02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23.98</w:t>
            </w:r>
          </w:p>
        </w:tc>
      </w:tr>
      <w:tr w14:paraId="33157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739F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205</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4D05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护栏立杆帽子</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3E13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护栏立杆帽子</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F9C4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只</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1BB1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D36D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14.17</w:t>
            </w:r>
          </w:p>
        </w:tc>
      </w:tr>
      <w:tr w14:paraId="45840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3E20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206</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2C9B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护栏底座</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78B6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护栏底座</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C5CA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只</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7548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9309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43.60</w:t>
            </w:r>
          </w:p>
        </w:tc>
      </w:tr>
      <w:tr w14:paraId="5A1DF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981E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207</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6CD5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移动式隔离护栏（中）</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A0E7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移动式隔离护栏（中）伸缩门样式3000mm×1200mm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F567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片</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7516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BA17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152.60</w:t>
            </w:r>
          </w:p>
        </w:tc>
      </w:tr>
      <w:tr w14:paraId="44517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20D0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208</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09DC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移动式隔离护栏（中）</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308F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移动式隔离护栏（中）伸缩门样式6000mm×1200mm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CFF0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片</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A10D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ED38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327.00</w:t>
            </w:r>
          </w:p>
        </w:tc>
      </w:tr>
      <w:tr w14:paraId="17029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108F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209</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ACC1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折叠式标志牌</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F132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700*1000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714C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8479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C204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392.40</w:t>
            </w:r>
          </w:p>
        </w:tc>
      </w:tr>
      <w:tr w14:paraId="643BC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DBB6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210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397F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F杆杆件门盖</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2E51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F杆杆件门盖</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DCC8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5919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1C4C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29.43</w:t>
            </w:r>
          </w:p>
        </w:tc>
      </w:tr>
      <w:tr w14:paraId="4BD24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0B5F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211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6BEF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零星钢构件</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4CB6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基础钢结构</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4351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A592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328C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6260.96</w:t>
            </w:r>
          </w:p>
        </w:tc>
      </w:tr>
      <w:tr w14:paraId="326DE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2E7D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212</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458D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反光锥型交通路标连接杆</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EF0C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∮33.5×2000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23CF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根</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021D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AEEE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21.80</w:t>
            </w:r>
          </w:p>
        </w:tc>
      </w:tr>
      <w:tr w14:paraId="4B89D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589E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213</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F6AD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标志板</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11E2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路名牌：300*1000  1.5mm铝板双面。（参照开发区现有实物）</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FAA0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46C9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4DC3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463.16</w:t>
            </w:r>
          </w:p>
        </w:tc>
      </w:tr>
      <w:tr w14:paraId="7D1F6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0EA1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214</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CB02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有机玻璃等配件</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B604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信号灯有机玻璃、变压器等配件更换</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96E8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25A9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C49F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196.20</w:t>
            </w:r>
          </w:p>
        </w:tc>
      </w:tr>
      <w:tr w14:paraId="07DE1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8833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215</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67A3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标志板</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2042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标志牌：</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1、规格：2500×1000×2mm铝板</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2、底为一级反光膜、字为一级反光膜、含铝槽、抱箍、螺栓、连接件等费用</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1283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946D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DB9E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1711.46</w:t>
            </w:r>
          </w:p>
        </w:tc>
      </w:tr>
      <w:tr w14:paraId="23F60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6EC1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216</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AC6D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标志板</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A094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标志牌：</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1、规格：2000×1500×2mm铝板</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2、底为一级反光膜、字为一级反光膜、含铝槽、抱箍、螺栓、连接件等费用</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37F4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294E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DF8D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1965.98</w:t>
            </w:r>
          </w:p>
        </w:tc>
      </w:tr>
      <w:tr w14:paraId="0C9E1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7C90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217</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1268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标志板</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3C50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标志牌：</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1、规格：2500×1500×2mm铝板</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2、底为一级反光膜、字为一级反光膜、含铝槽、抱箍、螺栓、连接件等费用</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7497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251E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1943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2347.75</w:t>
            </w:r>
          </w:p>
        </w:tc>
      </w:tr>
      <w:tr w14:paraId="47B8B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6E28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218</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F5BA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标志板</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89D6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标志牌：</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1、规格：3500×1500×3mm铝板</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2、底为一级反光膜、字为一级反光膜、含铝槽、抱箍、螺栓、连接件等费用</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D7C4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7ABA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22B1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4648.64</w:t>
            </w:r>
          </w:p>
        </w:tc>
      </w:tr>
      <w:tr w14:paraId="262E5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A2B0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219</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403A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标志板</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364B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标志牌：</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1、规格：3200×1800×2mm铝板</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2、底为一级反光膜、字为一级反光膜、含铝槽、抱箍、螺栓、连接件等费用</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EA38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61E4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5CE3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3569.98</w:t>
            </w:r>
          </w:p>
        </w:tc>
      </w:tr>
      <w:tr w14:paraId="5B920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6580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220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58EC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标志板</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0F96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标志牌：</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1、规格：4500×2700×3mm铝板</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2、底为一级反光膜、字为一级反光膜、含铝槽、抱箍、螺栓、连接件等费用</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8A19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98C5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5139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10303.60</w:t>
            </w:r>
          </w:p>
        </w:tc>
      </w:tr>
      <w:tr w14:paraId="78674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E9B0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221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9A59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标志板</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962B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标志牌：</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1、规格：5000×2700×3mm铝板</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2、底为一级反光膜、字为一级反光膜、含铝槽、抱箍、螺栓、连接件等费用</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3EEF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BC61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22E9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11501.67</w:t>
            </w:r>
          </w:p>
        </w:tc>
      </w:tr>
      <w:tr w14:paraId="132AA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F49B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222</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634A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视线诱导器</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E8FE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矩形轮廓标</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29C4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只</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F870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6A12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14.17</w:t>
            </w:r>
          </w:p>
        </w:tc>
      </w:tr>
      <w:tr w14:paraId="0F18C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12A7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223</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1894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视线诱导器</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7F02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矩形护栏轮廓标</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49E8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只</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0109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EC7C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14.17</w:t>
            </w:r>
          </w:p>
        </w:tc>
      </w:tr>
      <w:tr w14:paraId="6A49C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8A65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224</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35A2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标线</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4944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彩色防滑标线,热熔型厚度≥6mm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8FD0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m2</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83C5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0B01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130.80</w:t>
            </w:r>
          </w:p>
        </w:tc>
      </w:tr>
      <w:tr w14:paraId="4C52B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FF99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225</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5F45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标线</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FE11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彩色防滑标线覆线，热熔型厚度≥6mm；漆划前需除线</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3493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m2</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AFF8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F3D2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141.70</w:t>
            </w:r>
          </w:p>
        </w:tc>
      </w:tr>
      <w:tr w14:paraId="3FD8F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A232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226</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F6AF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标线</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4136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地面公交车站彩色防滑路面，厚度≥3.0mm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907D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m2</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6A00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E6CB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76.30</w:t>
            </w:r>
          </w:p>
        </w:tc>
      </w:tr>
      <w:tr w14:paraId="5C227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AA1A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227</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B379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警示柱</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141A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示警桩∮76×（800+400）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3AA7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根</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B8A4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02B4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78.23</w:t>
            </w:r>
          </w:p>
        </w:tc>
      </w:tr>
      <w:tr w14:paraId="16CCF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FA69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228</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FB83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警示柱</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18E6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示警桩∮114×（1200+600）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57A5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根</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BD62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14EB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125.91</w:t>
            </w:r>
          </w:p>
        </w:tc>
      </w:tr>
      <w:tr w14:paraId="37A33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AC97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229</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FE10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警示柱</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B74B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示警桩∮140×（1200+600）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820E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根</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E9E7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271B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145.37</w:t>
            </w:r>
          </w:p>
        </w:tc>
      </w:tr>
      <w:tr w14:paraId="0D71C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F7E9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230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270F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万向轮活动护栏</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F6BE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3000*1000mm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0AEA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AE3F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B995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490.50</w:t>
            </w:r>
          </w:p>
        </w:tc>
      </w:tr>
      <w:tr w14:paraId="38062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4095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231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2CD4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防撞筒（墩）</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A355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铁质三角防撞墩∮76 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CCFF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4576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5796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376.05</w:t>
            </w:r>
          </w:p>
        </w:tc>
      </w:tr>
      <w:tr w14:paraId="7E4E3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8A35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232</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BE84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隔离护栏</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9B57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移动式伸缩护栏H=1.2M</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E3C9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1974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F9AB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54.50</w:t>
            </w:r>
          </w:p>
        </w:tc>
      </w:tr>
      <w:tr w14:paraId="312F6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DF37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233</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A5DD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铁制防撞隔离护栏</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7328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4000mm H1350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CC30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364E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536C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3815.00</w:t>
            </w:r>
          </w:p>
        </w:tc>
      </w:tr>
      <w:tr w14:paraId="6D08B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8CA6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234</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B1DA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人行护栏</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A47D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φ89钢管拒马护栏移动路障3000*1000*800mm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1379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2A6F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32C8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599.50</w:t>
            </w:r>
          </w:p>
        </w:tc>
      </w:tr>
      <w:tr w14:paraId="6F6B0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E327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235</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D3B6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拆除门架</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048B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拆除门架</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6C1F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F122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74E3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1300.04</w:t>
            </w:r>
          </w:p>
        </w:tc>
      </w:tr>
      <w:tr w14:paraId="6E46F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5725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236</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28B2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拆除φ325（含）以上F杆</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5140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拆除φ325（含）以上F杆</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CA89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AF0B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930E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496.97</w:t>
            </w:r>
          </w:p>
        </w:tc>
      </w:tr>
      <w:tr w14:paraId="7AD72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33FD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237</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C661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拆除φ273F杆</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B837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拆除φ273F杆</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64CA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D38B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DEF8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496.97</w:t>
            </w:r>
          </w:p>
        </w:tc>
      </w:tr>
      <w:tr w14:paraId="6A2B5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86F3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238</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9B34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拆除φ168--φ219F杆</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B498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拆除φ168--φ219F杆</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4FF4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0004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0836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496.97</w:t>
            </w:r>
          </w:p>
        </w:tc>
      </w:tr>
      <w:tr w14:paraId="492AE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3743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239</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7E3E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拆除钢制护栏</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E4C0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拆除钢制护栏</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870D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米</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884B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9C53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10.42</w:t>
            </w:r>
          </w:p>
        </w:tc>
      </w:tr>
      <w:tr w14:paraId="5D288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765A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240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2E6F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应急抢修费</w:t>
            </w:r>
          </w:p>
        </w:tc>
        <w:tc>
          <w:tcPr>
            <w:tcW w:w="58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FD2C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应急抢修费（工程车和人员）</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4A6C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次</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019B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AFA9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784.80</w:t>
            </w:r>
          </w:p>
        </w:tc>
      </w:tr>
    </w:tbl>
    <w:p w14:paraId="5EBF5059">
      <w:pPr>
        <w:pStyle w:val="4"/>
        <w:rPr>
          <w:rFonts w:hint="eastAsia"/>
          <w:highlight w:val="none"/>
        </w:rPr>
      </w:pPr>
    </w:p>
    <w:p w14:paraId="0B9194A4">
      <w:pPr>
        <w:numPr>
          <w:ilvl w:val="-1"/>
          <w:numId w:val="0"/>
        </w:numPr>
        <w:adjustRightInd/>
        <w:spacing w:line="360" w:lineRule="auto"/>
        <w:ind w:firstLine="0" w:firstLineChars="0"/>
        <w:jc w:val="left"/>
        <w:rPr>
          <w:rFonts w:hint="eastAsia" w:ascii="仿宋" w:hAnsi="仿宋" w:eastAsia="仿宋" w:cs="宋体"/>
          <w:b/>
          <w:bCs/>
          <w:color w:val="auto"/>
          <w:sz w:val="24"/>
          <w:highlight w:val="none"/>
        </w:rPr>
      </w:pPr>
      <w:r>
        <w:rPr>
          <w:rFonts w:hint="eastAsia" w:ascii="仿宋" w:hAnsi="仿宋" w:eastAsia="仿宋" w:cs="宋体"/>
          <w:b/>
          <w:bCs/>
          <w:color w:val="auto"/>
          <w:sz w:val="24"/>
          <w:highlight w:val="none"/>
          <w:lang w:val="en-US" w:eastAsia="zh-CN"/>
        </w:rPr>
        <w:t>2、商务需求</w:t>
      </w:r>
    </w:p>
    <w:p w14:paraId="0B344F74">
      <w:pPr>
        <w:bidi w:val="0"/>
        <w:spacing w:line="360" w:lineRule="auto"/>
        <w:ind w:firstLine="480" w:firstLineChars="200"/>
        <w:rPr>
          <w:rFonts w:hint="eastAsia" w:ascii="仿宋" w:hAnsi="仿宋" w:eastAsia="仿宋" w:cs="仿宋"/>
          <w:sz w:val="24"/>
          <w:szCs w:val="24"/>
          <w:highlight w:val="none"/>
          <w:lang w:val="en-US" w:eastAsia="zh-Hans"/>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1服务期限</w:t>
      </w:r>
      <w:r>
        <w:rPr>
          <w:rFonts w:hint="eastAsia" w:ascii="仿宋" w:hAnsi="仿宋" w:eastAsia="仿宋" w:cs="仿宋"/>
          <w:sz w:val="24"/>
          <w:szCs w:val="24"/>
          <w:highlight w:val="none"/>
          <w:lang w:val="en-US" w:eastAsia="zh-Hans"/>
        </w:rPr>
        <w:t>和交付地点：</w:t>
      </w:r>
    </w:p>
    <w:p w14:paraId="1CE7FC9E">
      <w:pPr>
        <w:bidi w:val="0"/>
        <w:spacing w:line="360" w:lineRule="auto"/>
        <w:ind w:firstLine="482" w:firstLineChars="200"/>
        <w:rPr>
          <w:rFonts w:hint="eastAsia" w:ascii="仿宋" w:hAnsi="仿宋" w:eastAsia="仿宋" w:cs="仿宋"/>
          <w:sz w:val="24"/>
          <w:szCs w:val="24"/>
          <w:highlight w:val="none"/>
          <w:lang w:val="en-US" w:eastAsia="zh-Hans"/>
        </w:rPr>
      </w:pPr>
      <w:r>
        <w:rPr>
          <w:rFonts w:hint="eastAsia" w:ascii="仿宋" w:hAnsi="仿宋" w:eastAsia="仿宋" w:cs="仿宋"/>
          <w:b/>
          <w:bCs/>
          <w:sz w:val="24"/>
          <w:highlight w:val="none"/>
        </w:rPr>
        <w:t>▲</w:t>
      </w:r>
      <w:r>
        <w:rPr>
          <w:rFonts w:hint="eastAsia" w:ascii="仿宋" w:hAnsi="仿宋" w:eastAsia="仿宋" w:cs="仿宋"/>
          <w:b w:val="0"/>
          <w:bCs w:val="0"/>
          <w:sz w:val="24"/>
          <w:highlight w:val="none"/>
          <w:lang w:eastAsia="zh-Hans"/>
        </w:rPr>
        <w:t>(1)服务期：</w:t>
      </w:r>
      <w:r>
        <w:rPr>
          <w:rFonts w:hint="eastAsia" w:ascii="仿宋" w:hAnsi="仿宋" w:eastAsia="仿宋" w:cs="仿宋"/>
          <w:b w:val="0"/>
          <w:bCs w:val="0"/>
          <w:sz w:val="24"/>
          <w:highlight w:val="none"/>
          <w:lang w:val="en-US" w:eastAsia="zh-Hans"/>
        </w:rPr>
        <w:t>2</w:t>
      </w:r>
      <w:r>
        <w:rPr>
          <w:rFonts w:hint="eastAsia" w:ascii="仿宋" w:hAnsi="仿宋" w:eastAsia="仿宋" w:cs="仿宋"/>
          <w:b w:val="0"/>
          <w:bCs w:val="0"/>
          <w:sz w:val="24"/>
          <w:highlight w:val="none"/>
          <w:lang w:eastAsia="zh-Hans"/>
        </w:rPr>
        <w:t>年（具体起止日期从合同签订之日起算），</w:t>
      </w:r>
      <w:r>
        <w:rPr>
          <w:rFonts w:hint="eastAsia" w:ascii="仿宋" w:hAnsi="仿宋" w:eastAsia="仿宋" w:cs="仿宋"/>
          <w:sz w:val="24"/>
          <w:szCs w:val="24"/>
          <w:highlight w:val="none"/>
          <w:lang w:val="en-US" w:eastAsia="zh-Hans"/>
        </w:rPr>
        <w:t>合同签订后接到采购人《任务书》或通知后，在规定时间内完成安装、调试，并通过初验。不得在未接到采购人《任务书》或通知前进行安装施工，如若发现，采购人将不予支付货款。</w:t>
      </w:r>
    </w:p>
    <w:p w14:paraId="477126ED">
      <w:pPr>
        <w:bidi w:val="0"/>
        <w:spacing w:line="360" w:lineRule="auto"/>
        <w:ind w:firstLine="480" w:firstLineChars="200"/>
        <w:rPr>
          <w:rFonts w:hint="eastAsia" w:ascii="仿宋" w:hAnsi="仿宋" w:eastAsia="仿宋" w:cs="仿宋"/>
          <w:sz w:val="24"/>
          <w:szCs w:val="24"/>
          <w:highlight w:val="none"/>
          <w:lang w:val="en-US" w:eastAsia="zh-Hans"/>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eastAsia="zh-Hans"/>
        </w:rPr>
        <w:t>2）交付地点：采购人指定地点。</w:t>
      </w:r>
    </w:p>
    <w:p w14:paraId="2D38D93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Cs/>
          <w:snapToGrid w:val="0"/>
          <w:kern w:val="28"/>
          <w:sz w:val="24"/>
          <w:szCs w:val="24"/>
          <w:highlight w:val="none"/>
        </w:rPr>
      </w:pPr>
      <w:r>
        <w:rPr>
          <w:rFonts w:hint="eastAsia" w:ascii="仿宋" w:hAnsi="仿宋" w:eastAsia="仿宋" w:cs="仿宋"/>
          <w:b/>
          <w:bCs/>
          <w:sz w:val="24"/>
          <w:highlight w:val="none"/>
        </w:rPr>
        <w:t>▲</w:t>
      </w:r>
      <w:r>
        <w:rPr>
          <w:rFonts w:hint="eastAsia" w:ascii="仿宋" w:hAnsi="仿宋" w:eastAsia="仿宋" w:cs="仿宋"/>
          <w:kern w:val="0"/>
          <w:sz w:val="24"/>
          <w:highlight w:val="none"/>
          <w:lang w:val="en-US" w:eastAsia="zh-CN"/>
        </w:rPr>
        <w:t>2.2</w:t>
      </w:r>
      <w:r>
        <w:rPr>
          <w:rFonts w:hint="eastAsia" w:ascii="仿宋" w:hAnsi="仿宋" w:eastAsia="仿宋" w:cs="仿宋"/>
          <w:kern w:val="0"/>
          <w:sz w:val="24"/>
          <w:highlight w:val="none"/>
        </w:rPr>
        <w:t>付款方式</w:t>
      </w:r>
      <w:r>
        <w:rPr>
          <w:rFonts w:hint="eastAsia" w:ascii="仿宋" w:hAnsi="仿宋" w:eastAsia="仿宋" w:cs="仿宋"/>
          <w:kern w:val="0"/>
          <w:sz w:val="24"/>
          <w:highlight w:val="none"/>
          <w:lang w:eastAsia="zh-CN"/>
        </w:rPr>
        <w:t>：</w:t>
      </w:r>
      <w:r>
        <w:rPr>
          <w:rFonts w:hint="eastAsia" w:ascii="仿宋_GB2312" w:hAnsi="仿宋_GB2312" w:eastAsia="仿宋_GB2312" w:cs="仿宋_GB2312"/>
          <w:sz w:val="24"/>
          <w:szCs w:val="24"/>
          <w:highlight w:val="none"/>
        </w:rPr>
        <w:t>按照合同价第一年金额的40%支付预付款，待预付款抵扣完后，每月支付上月实际完成更新维修交通设施并验收合格后的费用，任务须在采购人的任务书下达后方可施工，否则采购人有权拒绝支付费用。</w:t>
      </w:r>
    </w:p>
    <w:p w14:paraId="49DDFD24">
      <w:pPr>
        <w:snapToGrid w:val="0"/>
        <w:spacing w:line="360" w:lineRule="auto"/>
        <w:ind w:firstLine="480"/>
        <w:rPr>
          <w:rFonts w:hint="eastAsia" w:ascii="仿宋" w:hAnsi="仿宋" w:eastAsia="仿宋" w:cs="仿宋"/>
          <w:sz w:val="24"/>
          <w:highlight w:val="none"/>
        </w:rPr>
      </w:pPr>
      <w:r>
        <w:rPr>
          <w:rFonts w:hint="eastAsia" w:ascii="仿宋" w:hAnsi="仿宋" w:eastAsia="仿宋" w:cs="仿宋"/>
          <w:spacing w:val="-6"/>
          <w:sz w:val="24"/>
          <w:highlight w:val="none"/>
          <w:lang w:val="en-US" w:eastAsia="zh-CN"/>
        </w:rPr>
        <w:t>2.3</w:t>
      </w:r>
      <w:r>
        <w:rPr>
          <w:rFonts w:hint="eastAsia" w:ascii="仿宋" w:hAnsi="仿宋" w:eastAsia="仿宋" w:cs="仿宋"/>
          <w:spacing w:val="-6"/>
          <w:sz w:val="24"/>
          <w:highlight w:val="none"/>
        </w:rPr>
        <w:t>履约保证金：中标人在签订合同时必须向采购人交纳</w:t>
      </w:r>
      <w:r>
        <w:rPr>
          <w:rFonts w:hint="eastAsia" w:ascii="仿宋" w:hAnsi="仿宋" w:eastAsia="仿宋" w:cs="仿宋"/>
          <w:spacing w:val="-6"/>
          <w:sz w:val="24"/>
          <w:highlight w:val="none"/>
          <w:lang w:eastAsia="zh-CN"/>
        </w:rPr>
        <w:t>合同价</w:t>
      </w:r>
      <w:r>
        <w:rPr>
          <w:rFonts w:hint="eastAsia" w:ascii="仿宋" w:hAnsi="仿宋" w:eastAsia="仿宋" w:cs="仿宋"/>
          <w:spacing w:val="-6"/>
          <w:sz w:val="24"/>
          <w:highlight w:val="none"/>
          <w:lang w:val="en-US" w:eastAsia="zh-CN"/>
        </w:rPr>
        <w:t>1</w:t>
      </w:r>
      <w:r>
        <w:rPr>
          <w:rFonts w:hint="eastAsia" w:ascii="仿宋" w:hAnsi="仿宋" w:eastAsia="仿宋" w:cs="仿宋"/>
          <w:spacing w:val="-6"/>
          <w:sz w:val="24"/>
          <w:highlight w:val="none"/>
          <w:lang w:eastAsia="zh-CN"/>
        </w:rPr>
        <w:t>%</w:t>
      </w:r>
      <w:r>
        <w:rPr>
          <w:rFonts w:hint="eastAsia" w:ascii="仿宋" w:hAnsi="仿宋" w:eastAsia="仿宋" w:cs="仿宋"/>
          <w:spacing w:val="-6"/>
          <w:sz w:val="24"/>
          <w:highlight w:val="none"/>
        </w:rPr>
        <w:t>的履约保证金</w:t>
      </w:r>
      <w:r>
        <w:rPr>
          <w:rFonts w:hint="eastAsia" w:ascii="仿宋" w:hAnsi="仿宋" w:eastAsia="仿宋" w:cs="仿宋"/>
          <w:spacing w:val="-6"/>
          <w:sz w:val="24"/>
          <w:highlight w:val="none"/>
          <w:lang w:eastAsia="zh-CN"/>
        </w:rPr>
        <w:t>，</w:t>
      </w:r>
      <w:r>
        <w:rPr>
          <w:rFonts w:hint="eastAsia" w:ascii="仿宋" w:hAnsi="仿宋" w:eastAsia="仿宋" w:cs="仿宋"/>
          <w:bCs w:val="0"/>
          <w:snapToGrid/>
          <w:spacing w:val="-6"/>
          <w:kern w:val="2"/>
          <w:sz w:val="24"/>
          <w:szCs w:val="24"/>
          <w:highlight w:val="none"/>
        </w:rPr>
        <w:t>（接</w:t>
      </w:r>
      <w:r>
        <w:rPr>
          <w:rFonts w:hint="eastAsia" w:ascii="仿宋_GB2312" w:hAnsi="仿宋_GB2312" w:eastAsia="仿宋_GB2312" w:cs="仿宋_GB2312"/>
          <w:bCs/>
          <w:snapToGrid w:val="0"/>
          <w:kern w:val="28"/>
          <w:sz w:val="24"/>
          <w:szCs w:val="24"/>
          <w:highlight w:val="none"/>
        </w:rPr>
        <w:t>受保函）</w:t>
      </w:r>
      <w:r>
        <w:rPr>
          <w:rFonts w:hint="eastAsia" w:ascii="仿宋" w:hAnsi="仿宋" w:eastAsia="仿宋" w:cs="仿宋"/>
          <w:spacing w:val="-6"/>
          <w:sz w:val="24"/>
          <w:highlight w:val="none"/>
          <w:lang w:eastAsia="zh-CN"/>
        </w:rPr>
        <w:t>，</w:t>
      </w:r>
      <w:r>
        <w:rPr>
          <w:rFonts w:hint="eastAsia" w:ascii="仿宋" w:hAnsi="仿宋" w:eastAsia="仿宋" w:cs="仿宋"/>
          <w:sz w:val="24"/>
          <w:highlight w:val="none"/>
        </w:rPr>
        <w:t>质保期满后无质量和服务问题，无息退还（不计息）。</w:t>
      </w:r>
    </w:p>
    <w:p w14:paraId="384AD4FF">
      <w:pPr>
        <w:spacing w:line="360" w:lineRule="auto"/>
        <w:ind w:firstLine="480" w:firstLineChars="200"/>
        <w:rPr>
          <w:rFonts w:hint="eastAsia" w:ascii="仿宋" w:hAnsi="仿宋" w:eastAsia="仿宋" w:cs="仿宋"/>
          <w:kern w:val="0"/>
          <w:sz w:val="24"/>
          <w:highlight w:val="none"/>
          <w:lang w:val="en-US" w:eastAsia="zh-CN"/>
        </w:rPr>
      </w:pPr>
    </w:p>
    <w:p w14:paraId="1D9E0E2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注：</w:t>
      </w:r>
    </w:p>
    <w:p w14:paraId="46DF4FEF">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1.除采购文件标注的参考品牌外，欢迎其它能满足本项目技术需求且性能与所注品牌相当的产品参与。</w:t>
      </w:r>
    </w:p>
    <w:p w14:paraId="2F4E12A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2.如有附图，仅作参考。</w:t>
      </w:r>
    </w:p>
    <w:p w14:paraId="2A6D61B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3.招标文件中打▲内容为实质性要求，不允许有负偏离，否则将以涉及无效投标条款作无效投标。</w:t>
      </w:r>
    </w:p>
    <w:p w14:paraId="17EC6809">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4、中标供应商所提供的货物、服务须与投标承诺一致，不得以次充好、偷工减料，若在项目验收中发现有上述情况，将向有关部门举报，根据相关规定进行处理。</w:t>
      </w:r>
    </w:p>
    <w:p w14:paraId="0A72F82F">
      <w:pPr>
        <w:spacing w:line="240" w:lineRule="auto"/>
        <w:jc w:val="left"/>
        <w:outlineLvl w:val="9"/>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52DEF8C0">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9" w:name="_Toc184313249"/>
      <w:bookmarkEnd w:id="29"/>
      <w:bookmarkStart w:id="30" w:name="_Toc184312093"/>
      <w:bookmarkEnd w:id="30"/>
      <w:bookmarkStart w:id="31" w:name="_Toc184310272"/>
      <w:bookmarkEnd w:id="31"/>
      <w:bookmarkStart w:id="32" w:name="_Toc184313259"/>
      <w:bookmarkEnd w:id="32"/>
      <w:bookmarkStart w:id="33" w:name="_Toc184314465"/>
      <w:bookmarkEnd w:id="33"/>
      <w:bookmarkStart w:id="34" w:name="_Toc184314458"/>
      <w:bookmarkEnd w:id="34"/>
      <w:bookmarkStart w:id="35" w:name="_Toc184308106"/>
      <w:bookmarkEnd w:id="35"/>
      <w:bookmarkStart w:id="36" w:name="_Toc184308076"/>
      <w:bookmarkEnd w:id="36"/>
      <w:bookmarkStart w:id="37" w:name="_Toc184310335"/>
      <w:bookmarkEnd w:id="37"/>
      <w:bookmarkStart w:id="38" w:name="_Toc184314475"/>
      <w:bookmarkEnd w:id="38"/>
      <w:bookmarkStart w:id="39" w:name="_Toc184312119"/>
      <w:bookmarkEnd w:id="39"/>
      <w:bookmarkStart w:id="40" w:name="_Toc184310340"/>
      <w:bookmarkEnd w:id="40"/>
      <w:bookmarkStart w:id="41" w:name="_Toc184312088"/>
      <w:bookmarkEnd w:id="41"/>
      <w:bookmarkStart w:id="42" w:name="_Toc184310342"/>
      <w:bookmarkEnd w:id="42"/>
      <w:bookmarkStart w:id="43" w:name="_Toc184308070"/>
      <w:bookmarkEnd w:id="43"/>
      <w:bookmarkStart w:id="44" w:name="_Toc184314442"/>
      <w:bookmarkEnd w:id="44"/>
      <w:bookmarkStart w:id="45" w:name="_Toc184314436"/>
      <w:bookmarkEnd w:id="45"/>
      <w:bookmarkStart w:id="46" w:name="_Toc184313272"/>
      <w:bookmarkEnd w:id="46"/>
      <w:bookmarkStart w:id="47" w:name="_Toc184308108"/>
      <w:bookmarkEnd w:id="47"/>
      <w:bookmarkStart w:id="48" w:name="_Toc184313305"/>
      <w:bookmarkEnd w:id="48"/>
      <w:bookmarkStart w:id="49" w:name="_Toc184313306"/>
      <w:bookmarkEnd w:id="49"/>
      <w:bookmarkStart w:id="50" w:name="_Toc184314444"/>
      <w:bookmarkEnd w:id="50"/>
      <w:bookmarkStart w:id="51" w:name="_Toc184312072"/>
      <w:bookmarkEnd w:id="51"/>
      <w:bookmarkStart w:id="52" w:name="_Toc184310273"/>
      <w:bookmarkEnd w:id="52"/>
      <w:bookmarkStart w:id="53" w:name="_Toc184313260"/>
      <w:bookmarkEnd w:id="53"/>
      <w:bookmarkStart w:id="54" w:name="_Toc184310278"/>
      <w:bookmarkEnd w:id="54"/>
      <w:bookmarkStart w:id="55" w:name="_Toc184310277"/>
      <w:bookmarkEnd w:id="55"/>
      <w:bookmarkStart w:id="56" w:name="_Toc184312078"/>
      <w:bookmarkEnd w:id="56"/>
      <w:bookmarkStart w:id="57" w:name="_Toc184312070"/>
      <w:bookmarkEnd w:id="57"/>
      <w:bookmarkStart w:id="58" w:name="_Toc184308087"/>
      <w:bookmarkEnd w:id="58"/>
      <w:bookmarkStart w:id="59" w:name="_Toc184314434"/>
      <w:bookmarkEnd w:id="59"/>
      <w:bookmarkStart w:id="60" w:name="_Toc184312077"/>
      <w:bookmarkEnd w:id="60"/>
      <w:bookmarkStart w:id="61" w:name="_Toc184308052"/>
      <w:bookmarkEnd w:id="61"/>
      <w:bookmarkStart w:id="62" w:name="_Toc184310287"/>
      <w:bookmarkEnd w:id="62"/>
      <w:bookmarkStart w:id="63" w:name="_Toc184313294"/>
      <w:bookmarkEnd w:id="63"/>
      <w:bookmarkStart w:id="64" w:name="_Toc184314459"/>
      <w:bookmarkEnd w:id="64"/>
      <w:bookmarkStart w:id="65" w:name="_Toc184312068"/>
      <w:bookmarkEnd w:id="65"/>
      <w:bookmarkStart w:id="66" w:name="_Toc184313245"/>
      <w:bookmarkEnd w:id="66"/>
      <w:bookmarkStart w:id="67" w:name="_Toc184314451"/>
      <w:bookmarkEnd w:id="67"/>
      <w:bookmarkStart w:id="68" w:name="_Toc184312130"/>
      <w:bookmarkEnd w:id="68"/>
      <w:bookmarkStart w:id="69" w:name="_Toc184310284"/>
      <w:bookmarkEnd w:id="69"/>
      <w:bookmarkStart w:id="70" w:name="_Toc184312125"/>
      <w:bookmarkEnd w:id="70"/>
      <w:bookmarkStart w:id="71" w:name="_Toc184313304"/>
      <w:bookmarkEnd w:id="71"/>
      <w:bookmarkStart w:id="72" w:name="_Toc184313309"/>
      <w:bookmarkEnd w:id="72"/>
      <w:bookmarkStart w:id="73" w:name="_Toc184308044"/>
      <w:bookmarkEnd w:id="73"/>
      <w:bookmarkStart w:id="74" w:name="_Toc184313295"/>
      <w:bookmarkEnd w:id="74"/>
      <w:bookmarkStart w:id="75" w:name="_Toc184312111"/>
      <w:bookmarkEnd w:id="75"/>
      <w:bookmarkStart w:id="76" w:name="_Toc184312139"/>
      <w:bookmarkEnd w:id="76"/>
      <w:bookmarkStart w:id="77" w:name="_Toc184314433"/>
      <w:bookmarkEnd w:id="77"/>
      <w:bookmarkStart w:id="78" w:name="_Toc184312138"/>
      <w:bookmarkEnd w:id="78"/>
      <w:bookmarkStart w:id="79" w:name="_Toc184308075"/>
      <w:bookmarkEnd w:id="79"/>
      <w:bookmarkStart w:id="80" w:name="_Toc184308099"/>
      <w:bookmarkEnd w:id="80"/>
      <w:bookmarkStart w:id="81" w:name="_Toc184314447"/>
      <w:bookmarkEnd w:id="81"/>
      <w:bookmarkStart w:id="82" w:name="_Toc184313247"/>
      <w:bookmarkEnd w:id="82"/>
      <w:bookmarkStart w:id="83" w:name="_Toc184313242"/>
      <w:bookmarkEnd w:id="83"/>
      <w:bookmarkStart w:id="84" w:name="_Toc184308107"/>
      <w:bookmarkEnd w:id="84"/>
      <w:bookmarkStart w:id="85" w:name="_Toc184312102"/>
      <w:bookmarkEnd w:id="85"/>
      <w:bookmarkStart w:id="86" w:name="_Toc184313258"/>
      <w:bookmarkEnd w:id="86"/>
      <w:bookmarkStart w:id="87" w:name="_Toc184313282"/>
      <w:bookmarkEnd w:id="87"/>
      <w:bookmarkStart w:id="88" w:name="_Toc184314460"/>
      <w:bookmarkEnd w:id="88"/>
      <w:bookmarkStart w:id="89" w:name="_Toc184310336"/>
      <w:bookmarkEnd w:id="89"/>
      <w:bookmarkStart w:id="90" w:name="_Toc184313285"/>
      <w:bookmarkEnd w:id="90"/>
      <w:bookmarkStart w:id="91" w:name="_Toc184313265"/>
      <w:bookmarkEnd w:id="91"/>
      <w:bookmarkStart w:id="92" w:name="_Toc184312115"/>
      <w:bookmarkEnd w:id="92"/>
      <w:bookmarkStart w:id="93" w:name="_Toc184314417"/>
      <w:bookmarkEnd w:id="93"/>
      <w:bookmarkStart w:id="94" w:name="_Toc184312107"/>
      <w:bookmarkEnd w:id="94"/>
      <w:bookmarkStart w:id="95" w:name="_Toc184312079"/>
      <w:bookmarkEnd w:id="95"/>
      <w:bookmarkStart w:id="96" w:name="_Toc184313299"/>
      <w:bookmarkEnd w:id="96"/>
      <w:bookmarkStart w:id="97" w:name="_Toc184308045"/>
      <w:bookmarkEnd w:id="97"/>
      <w:bookmarkStart w:id="98" w:name="_Toc184312089"/>
      <w:bookmarkEnd w:id="98"/>
      <w:bookmarkStart w:id="99" w:name="_Toc184313289"/>
      <w:bookmarkEnd w:id="99"/>
      <w:bookmarkStart w:id="100" w:name="_Toc184312135"/>
      <w:bookmarkEnd w:id="100"/>
      <w:bookmarkStart w:id="101" w:name="_Toc184314456"/>
      <w:bookmarkEnd w:id="101"/>
      <w:bookmarkStart w:id="102" w:name="_Toc184314420"/>
      <w:bookmarkEnd w:id="102"/>
      <w:bookmarkStart w:id="103" w:name="_Toc184308064"/>
      <w:bookmarkEnd w:id="103"/>
      <w:bookmarkStart w:id="104" w:name="_Toc184308063"/>
      <w:bookmarkEnd w:id="104"/>
      <w:bookmarkStart w:id="105" w:name="_Toc184308093"/>
      <w:bookmarkEnd w:id="105"/>
      <w:bookmarkStart w:id="106" w:name="_Toc184308088"/>
      <w:bookmarkEnd w:id="106"/>
      <w:bookmarkStart w:id="107" w:name="_Toc184308101"/>
      <w:bookmarkEnd w:id="107"/>
      <w:bookmarkStart w:id="108" w:name="_Toc184314411"/>
      <w:bookmarkEnd w:id="108"/>
      <w:bookmarkStart w:id="109" w:name="_Toc184314445"/>
      <w:bookmarkEnd w:id="109"/>
      <w:bookmarkStart w:id="110" w:name="_Toc184312094"/>
      <w:bookmarkEnd w:id="110"/>
      <w:bookmarkStart w:id="111" w:name="_Toc184310344"/>
      <w:bookmarkEnd w:id="111"/>
      <w:bookmarkStart w:id="112" w:name="_Toc184313243"/>
      <w:bookmarkEnd w:id="112"/>
      <w:bookmarkStart w:id="113" w:name="_Toc184310309"/>
      <w:bookmarkEnd w:id="113"/>
      <w:bookmarkStart w:id="114" w:name="_Toc184308089"/>
      <w:bookmarkEnd w:id="114"/>
      <w:bookmarkStart w:id="115" w:name="_Toc184312117"/>
      <w:bookmarkEnd w:id="115"/>
      <w:bookmarkStart w:id="116" w:name="_Toc184310300"/>
      <w:bookmarkEnd w:id="116"/>
      <w:bookmarkStart w:id="117" w:name="_Toc184310322"/>
      <w:bookmarkEnd w:id="117"/>
      <w:bookmarkStart w:id="118" w:name="_Toc184308049"/>
      <w:bookmarkEnd w:id="118"/>
      <w:bookmarkStart w:id="119" w:name="_Toc184314471"/>
      <w:bookmarkEnd w:id="119"/>
      <w:bookmarkStart w:id="120" w:name="_Toc184310289"/>
      <w:bookmarkEnd w:id="120"/>
      <w:bookmarkStart w:id="121" w:name="_Toc184310294"/>
      <w:bookmarkEnd w:id="121"/>
      <w:bookmarkStart w:id="122" w:name="_Toc184312075"/>
      <w:bookmarkEnd w:id="122"/>
      <w:bookmarkStart w:id="123" w:name="_Toc184314463"/>
      <w:bookmarkEnd w:id="123"/>
      <w:bookmarkStart w:id="124" w:name="_Toc184308040"/>
      <w:bookmarkEnd w:id="124"/>
      <w:bookmarkStart w:id="125" w:name="_Toc184313308"/>
      <w:bookmarkEnd w:id="125"/>
      <w:bookmarkStart w:id="126" w:name="_Toc184313261"/>
      <w:bookmarkEnd w:id="126"/>
      <w:bookmarkStart w:id="127" w:name="_Toc184314469"/>
      <w:bookmarkEnd w:id="127"/>
      <w:bookmarkStart w:id="128" w:name="_Toc184313255"/>
      <w:bookmarkEnd w:id="128"/>
      <w:bookmarkStart w:id="129" w:name="_Toc184313254"/>
      <w:bookmarkEnd w:id="129"/>
      <w:bookmarkStart w:id="130" w:name="_Toc184308098"/>
      <w:bookmarkEnd w:id="130"/>
      <w:bookmarkStart w:id="131" w:name="_Toc184313283"/>
      <w:bookmarkEnd w:id="131"/>
      <w:bookmarkStart w:id="132" w:name="_Toc184312121"/>
      <w:bookmarkEnd w:id="132"/>
      <w:bookmarkStart w:id="133" w:name="_Toc184313273"/>
      <w:bookmarkEnd w:id="133"/>
      <w:bookmarkStart w:id="134" w:name="_Toc184312067"/>
      <w:bookmarkEnd w:id="134"/>
      <w:bookmarkStart w:id="135" w:name="_Toc184312133"/>
      <w:bookmarkEnd w:id="135"/>
      <w:bookmarkStart w:id="136" w:name="_Toc184308048"/>
      <w:bookmarkEnd w:id="136"/>
      <w:bookmarkStart w:id="137" w:name="_Toc184310334"/>
      <w:bookmarkEnd w:id="137"/>
      <w:bookmarkStart w:id="138" w:name="_Toc184314429"/>
      <w:bookmarkEnd w:id="138"/>
      <w:bookmarkStart w:id="139" w:name="_Toc184314438"/>
      <w:bookmarkEnd w:id="139"/>
      <w:bookmarkStart w:id="140" w:name="_Toc184308077"/>
      <w:bookmarkEnd w:id="140"/>
      <w:bookmarkStart w:id="141" w:name="_Toc184313277"/>
      <w:bookmarkEnd w:id="141"/>
      <w:bookmarkStart w:id="142" w:name="_Toc184314448"/>
      <w:bookmarkEnd w:id="142"/>
      <w:bookmarkStart w:id="143" w:name="_Toc184310282"/>
      <w:bookmarkEnd w:id="143"/>
      <w:bookmarkStart w:id="144" w:name="_Toc184314476"/>
      <w:bookmarkEnd w:id="144"/>
      <w:bookmarkStart w:id="145" w:name="_Toc184310274"/>
      <w:bookmarkEnd w:id="145"/>
      <w:bookmarkStart w:id="146" w:name="_Toc184310337"/>
      <w:bookmarkEnd w:id="146"/>
      <w:bookmarkStart w:id="147" w:name="_Toc184310314"/>
      <w:bookmarkEnd w:id="147"/>
      <w:bookmarkStart w:id="148" w:name="_Toc184310285"/>
      <w:bookmarkEnd w:id="148"/>
      <w:bookmarkStart w:id="149" w:name="_Toc184314480"/>
      <w:bookmarkEnd w:id="149"/>
      <w:bookmarkStart w:id="150" w:name="_Toc184314410"/>
      <w:bookmarkEnd w:id="150"/>
      <w:bookmarkStart w:id="151" w:name="_Toc184308059"/>
      <w:bookmarkEnd w:id="151"/>
      <w:bookmarkStart w:id="152" w:name="_Toc184310321"/>
      <w:bookmarkEnd w:id="152"/>
      <w:bookmarkStart w:id="153" w:name="_Toc184314457"/>
      <w:bookmarkEnd w:id="153"/>
      <w:bookmarkStart w:id="154" w:name="_Toc184310293"/>
      <w:bookmarkEnd w:id="154"/>
      <w:bookmarkStart w:id="155" w:name="_Toc184310286"/>
      <w:bookmarkEnd w:id="155"/>
      <w:bookmarkStart w:id="156" w:name="_Toc184313302"/>
      <w:bookmarkEnd w:id="156"/>
      <w:bookmarkStart w:id="157" w:name="_Toc184308092"/>
      <w:bookmarkEnd w:id="157"/>
      <w:bookmarkStart w:id="158" w:name="_Toc184310313"/>
      <w:bookmarkEnd w:id="158"/>
      <w:bookmarkStart w:id="159" w:name="_Toc184312095"/>
      <w:bookmarkEnd w:id="159"/>
      <w:bookmarkStart w:id="160" w:name="_Toc184313240"/>
      <w:bookmarkEnd w:id="160"/>
      <w:bookmarkStart w:id="161" w:name="_Toc184310290"/>
      <w:bookmarkEnd w:id="161"/>
      <w:bookmarkStart w:id="162" w:name="_Toc184313292"/>
      <w:bookmarkEnd w:id="162"/>
      <w:bookmarkStart w:id="163" w:name="_Toc184313301"/>
      <w:bookmarkEnd w:id="163"/>
      <w:bookmarkStart w:id="164" w:name="_Toc184314427"/>
      <w:bookmarkEnd w:id="164"/>
      <w:bookmarkStart w:id="165" w:name="_Toc184312086"/>
      <w:bookmarkEnd w:id="165"/>
      <w:bookmarkStart w:id="166" w:name="_Toc184314435"/>
      <w:bookmarkEnd w:id="166"/>
      <w:bookmarkStart w:id="167" w:name="_Toc184313257"/>
      <w:bookmarkEnd w:id="167"/>
      <w:bookmarkStart w:id="168" w:name="_Toc184314415"/>
      <w:bookmarkEnd w:id="168"/>
      <w:bookmarkStart w:id="169" w:name="_Toc184312069"/>
      <w:bookmarkEnd w:id="169"/>
      <w:bookmarkStart w:id="170" w:name="_Toc184313303"/>
      <w:bookmarkEnd w:id="170"/>
      <w:bookmarkStart w:id="171" w:name="_Toc184312112"/>
      <w:bookmarkEnd w:id="171"/>
      <w:bookmarkStart w:id="172" w:name="_Toc184308056"/>
      <w:bookmarkEnd w:id="172"/>
      <w:bookmarkStart w:id="173" w:name="_Toc184308073"/>
      <w:bookmarkEnd w:id="173"/>
      <w:bookmarkStart w:id="174" w:name="_Toc184310325"/>
      <w:bookmarkEnd w:id="174"/>
      <w:bookmarkStart w:id="175" w:name="_Toc184312116"/>
      <w:bookmarkEnd w:id="175"/>
      <w:bookmarkStart w:id="176" w:name="_Toc184310307"/>
      <w:bookmarkEnd w:id="176"/>
      <w:bookmarkStart w:id="177" w:name="_Toc184312076"/>
      <w:bookmarkEnd w:id="177"/>
      <w:bookmarkStart w:id="178" w:name="_Toc184313241"/>
      <w:bookmarkEnd w:id="178"/>
      <w:bookmarkStart w:id="179" w:name="_Toc184312106"/>
      <w:bookmarkEnd w:id="179"/>
      <w:bookmarkStart w:id="180" w:name="_Toc184312090"/>
      <w:bookmarkEnd w:id="180"/>
      <w:bookmarkStart w:id="181" w:name="_Toc184310318"/>
      <w:bookmarkEnd w:id="181"/>
      <w:bookmarkStart w:id="182" w:name="_Toc184308054"/>
      <w:bookmarkEnd w:id="182"/>
      <w:bookmarkStart w:id="183" w:name="_Toc184313263"/>
      <w:bookmarkEnd w:id="183"/>
      <w:bookmarkStart w:id="184" w:name="_Toc184312081"/>
      <w:bookmarkEnd w:id="184"/>
      <w:bookmarkStart w:id="185" w:name="_Toc184314418"/>
      <w:bookmarkEnd w:id="185"/>
      <w:bookmarkStart w:id="186" w:name="_Toc184314455"/>
      <w:bookmarkEnd w:id="186"/>
      <w:bookmarkStart w:id="187" w:name="_Toc184308037"/>
      <w:bookmarkEnd w:id="187"/>
      <w:bookmarkStart w:id="188" w:name="_Toc184314412"/>
      <w:bookmarkEnd w:id="188"/>
      <w:bookmarkStart w:id="189" w:name="_Toc184310281"/>
      <w:bookmarkEnd w:id="189"/>
      <w:bookmarkStart w:id="190" w:name="_Toc184314443"/>
      <w:bookmarkEnd w:id="190"/>
      <w:bookmarkStart w:id="191" w:name="_Toc184312071"/>
      <w:bookmarkEnd w:id="191"/>
      <w:bookmarkStart w:id="192" w:name="_Toc184310305"/>
      <w:bookmarkEnd w:id="192"/>
      <w:bookmarkStart w:id="193" w:name="_Toc184308036"/>
      <w:bookmarkEnd w:id="193"/>
      <w:bookmarkStart w:id="194" w:name="_Toc184308078"/>
      <w:bookmarkEnd w:id="194"/>
      <w:bookmarkStart w:id="195" w:name="_Toc184314482"/>
      <w:bookmarkEnd w:id="195"/>
      <w:bookmarkStart w:id="196" w:name="_Toc184310339"/>
      <w:bookmarkEnd w:id="196"/>
      <w:bookmarkStart w:id="197" w:name="_Toc184312134"/>
      <w:bookmarkEnd w:id="197"/>
      <w:bookmarkStart w:id="198" w:name="_Toc184312128"/>
      <w:bookmarkEnd w:id="198"/>
      <w:bookmarkStart w:id="199" w:name="_Toc184310332"/>
      <w:bookmarkEnd w:id="199"/>
      <w:bookmarkStart w:id="200" w:name="_Toc184312074"/>
      <w:bookmarkEnd w:id="200"/>
      <w:bookmarkStart w:id="201" w:name="_Toc184308102"/>
      <w:bookmarkEnd w:id="201"/>
      <w:bookmarkStart w:id="202" w:name="_Toc184310308"/>
      <w:bookmarkEnd w:id="202"/>
      <w:bookmarkStart w:id="203" w:name="_Toc184314467"/>
      <w:bookmarkEnd w:id="203"/>
      <w:bookmarkStart w:id="204" w:name="_Toc184314452"/>
      <w:bookmarkEnd w:id="204"/>
      <w:bookmarkStart w:id="205" w:name="_Toc184308091"/>
      <w:bookmarkEnd w:id="205"/>
      <w:bookmarkStart w:id="206" w:name="_Toc184310288"/>
      <w:bookmarkEnd w:id="206"/>
      <w:bookmarkStart w:id="207" w:name="_Toc184313275"/>
      <w:bookmarkEnd w:id="207"/>
      <w:bookmarkStart w:id="208" w:name="_Toc184310324"/>
      <w:bookmarkEnd w:id="208"/>
      <w:bookmarkStart w:id="209" w:name="_Toc184314416"/>
      <w:bookmarkEnd w:id="209"/>
      <w:bookmarkStart w:id="210" w:name="_Toc184310333"/>
      <w:bookmarkEnd w:id="210"/>
      <w:bookmarkStart w:id="211" w:name="_Toc184308065"/>
      <w:bookmarkEnd w:id="211"/>
      <w:bookmarkStart w:id="212" w:name="_Toc184312092"/>
      <w:bookmarkEnd w:id="212"/>
      <w:bookmarkStart w:id="213" w:name="_Toc184312073"/>
      <w:bookmarkEnd w:id="213"/>
      <w:bookmarkStart w:id="214" w:name="_Toc184312114"/>
      <w:bookmarkEnd w:id="214"/>
      <w:bookmarkStart w:id="215" w:name="_Toc184312122"/>
      <w:bookmarkEnd w:id="215"/>
      <w:bookmarkStart w:id="216" w:name="_Toc184310298"/>
      <w:bookmarkEnd w:id="216"/>
      <w:bookmarkStart w:id="217" w:name="_Toc184314481"/>
      <w:bookmarkEnd w:id="217"/>
      <w:bookmarkStart w:id="218" w:name="_Toc184308094"/>
      <w:bookmarkEnd w:id="218"/>
      <w:bookmarkStart w:id="219" w:name="_Toc184308058"/>
      <w:bookmarkEnd w:id="219"/>
      <w:bookmarkStart w:id="220" w:name="_Toc184313246"/>
      <w:bookmarkEnd w:id="220"/>
      <w:bookmarkStart w:id="221" w:name="_Toc184312096"/>
      <w:bookmarkEnd w:id="221"/>
      <w:bookmarkStart w:id="222" w:name="_Toc184310315"/>
      <w:bookmarkEnd w:id="222"/>
      <w:bookmarkStart w:id="223" w:name="_Toc184310303"/>
      <w:bookmarkEnd w:id="223"/>
      <w:bookmarkStart w:id="224" w:name="_Toc184308071"/>
      <w:bookmarkEnd w:id="224"/>
      <w:bookmarkStart w:id="225" w:name="_Toc184308097"/>
      <w:bookmarkEnd w:id="225"/>
      <w:bookmarkStart w:id="226" w:name="_Toc184313271"/>
      <w:bookmarkEnd w:id="226"/>
      <w:bookmarkStart w:id="227" w:name="_Toc184313270"/>
      <w:bookmarkEnd w:id="227"/>
      <w:bookmarkStart w:id="228" w:name="_Toc184310343"/>
      <w:bookmarkEnd w:id="228"/>
      <w:bookmarkStart w:id="229" w:name="_Toc184314470"/>
      <w:bookmarkEnd w:id="229"/>
      <w:bookmarkStart w:id="230" w:name="_Toc184313290"/>
      <w:bookmarkEnd w:id="230"/>
      <w:bookmarkStart w:id="231" w:name="_Toc184308060"/>
      <w:bookmarkEnd w:id="231"/>
      <w:bookmarkStart w:id="232" w:name="_Toc184314450"/>
      <w:bookmarkEnd w:id="232"/>
      <w:bookmarkStart w:id="233" w:name="_Toc184310299"/>
      <w:bookmarkEnd w:id="233"/>
      <w:bookmarkStart w:id="234" w:name="_Toc184312083"/>
      <w:bookmarkEnd w:id="234"/>
      <w:bookmarkStart w:id="235" w:name="_Toc184314425"/>
      <w:bookmarkEnd w:id="235"/>
      <w:bookmarkStart w:id="236" w:name="_Toc184310301"/>
      <w:bookmarkEnd w:id="236"/>
      <w:bookmarkStart w:id="237" w:name="_Toc184308104"/>
      <w:bookmarkEnd w:id="237"/>
      <w:bookmarkStart w:id="238" w:name="_Toc184310312"/>
      <w:bookmarkEnd w:id="238"/>
      <w:bookmarkStart w:id="239" w:name="_Toc184312082"/>
      <w:bookmarkEnd w:id="239"/>
      <w:bookmarkStart w:id="240" w:name="_Toc184308047"/>
      <w:bookmarkEnd w:id="240"/>
      <w:bookmarkStart w:id="241" w:name="_Toc184312097"/>
      <w:bookmarkEnd w:id="241"/>
      <w:bookmarkStart w:id="242" w:name="_Toc184314426"/>
      <w:bookmarkEnd w:id="242"/>
      <w:bookmarkStart w:id="243" w:name="_Toc184313310"/>
      <w:bookmarkEnd w:id="243"/>
      <w:bookmarkStart w:id="244" w:name="_Toc184308055"/>
      <w:bookmarkEnd w:id="244"/>
      <w:bookmarkStart w:id="245" w:name="_Toc184313297"/>
      <w:bookmarkEnd w:id="245"/>
      <w:bookmarkStart w:id="246" w:name="_Toc184310310"/>
      <w:bookmarkEnd w:id="246"/>
      <w:bookmarkStart w:id="247" w:name="_Toc184310317"/>
      <w:bookmarkEnd w:id="247"/>
      <w:bookmarkStart w:id="248" w:name="_Toc184313293"/>
      <w:bookmarkEnd w:id="248"/>
      <w:bookmarkStart w:id="249" w:name="_Toc184313280"/>
      <w:bookmarkEnd w:id="249"/>
      <w:bookmarkStart w:id="250" w:name="_Toc184313274"/>
      <w:bookmarkEnd w:id="250"/>
      <w:bookmarkStart w:id="251" w:name="_Toc184310311"/>
      <w:bookmarkEnd w:id="251"/>
      <w:bookmarkStart w:id="252" w:name="_Toc184310276"/>
      <w:bookmarkEnd w:id="252"/>
      <w:bookmarkStart w:id="253" w:name="_Toc184312126"/>
      <w:bookmarkEnd w:id="253"/>
      <w:bookmarkStart w:id="254" w:name="_Toc184310306"/>
      <w:bookmarkEnd w:id="254"/>
      <w:bookmarkStart w:id="255" w:name="_Toc184314461"/>
      <w:bookmarkEnd w:id="255"/>
      <w:bookmarkStart w:id="256" w:name="_Toc184312103"/>
      <w:bookmarkEnd w:id="256"/>
      <w:bookmarkStart w:id="257" w:name="_Toc184312137"/>
      <w:bookmarkEnd w:id="257"/>
      <w:bookmarkStart w:id="258" w:name="_Toc184310323"/>
      <w:bookmarkEnd w:id="258"/>
      <w:bookmarkStart w:id="259" w:name="_Toc184310330"/>
      <w:bookmarkEnd w:id="259"/>
      <w:bookmarkStart w:id="260" w:name="_Toc184314479"/>
      <w:bookmarkEnd w:id="260"/>
      <w:bookmarkStart w:id="261" w:name="_Toc184313278"/>
      <w:bookmarkEnd w:id="261"/>
      <w:bookmarkStart w:id="262" w:name="_Toc184314421"/>
      <w:bookmarkEnd w:id="262"/>
      <w:bookmarkStart w:id="263" w:name="_Toc184313264"/>
      <w:bookmarkEnd w:id="263"/>
      <w:bookmarkStart w:id="264" w:name="_Toc184312136"/>
      <w:bookmarkEnd w:id="264"/>
      <w:bookmarkStart w:id="265" w:name="_Toc184308084"/>
      <w:bookmarkEnd w:id="265"/>
      <w:bookmarkStart w:id="266" w:name="_Toc184314453"/>
      <w:bookmarkEnd w:id="266"/>
      <w:bookmarkStart w:id="267" w:name="_Toc184314466"/>
      <w:bookmarkEnd w:id="267"/>
      <w:bookmarkStart w:id="268" w:name="_Toc184314419"/>
      <w:bookmarkEnd w:id="268"/>
      <w:bookmarkStart w:id="269" w:name="_Toc184312087"/>
      <w:bookmarkEnd w:id="269"/>
      <w:bookmarkStart w:id="270" w:name="_Toc184312091"/>
      <w:bookmarkEnd w:id="270"/>
      <w:bookmarkStart w:id="271" w:name="_Toc184312129"/>
      <w:bookmarkEnd w:id="271"/>
      <w:bookmarkStart w:id="272" w:name="_Toc184314432"/>
      <w:bookmarkEnd w:id="272"/>
      <w:bookmarkStart w:id="273" w:name="_Toc184308095"/>
      <w:bookmarkEnd w:id="273"/>
      <w:bookmarkStart w:id="274" w:name="_Toc184313269"/>
      <w:bookmarkEnd w:id="274"/>
      <w:bookmarkStart w:id="275" w:name="_Toc184312104"/>
      <w:bookmarkEnd w:id="275"/>
      <w:bookmarkStart w:id="276" w:name="_Toc184308039"/>
      <w:bookmarkEnd w:id="276"/>
      <w:bookmarkStart w:id="277" w:name="_Toc184308069"/>
      <w:bookmarkEnd w:id="277"/>
      <w:bookmarkStart w:id="278" w:name="_Toc184310341"/>
      <w:bookmarkEnd w:id="278"/>
      <w:bookmarkStart w:id="279" w:name="_Toc184308067"/>
      <w:bookmarkEnd w:id="279"/>
      <w:bookmarkStart w:id="280" w:name="_Toc184312118"/>
      <w:bookmarkEnd w:id="280"/>
      <w:bookmarkStart w:id="281" w:name="_Toc184314413"/>
      <w:bookmarkEnd w:id="281"/>
      <w:bookmarkStart w:id="282" w:name="_Toc184314428"/>
      <w:bookmarkEnd w:id="282"/>
      <w:bookmarkStart w:id="283" w:name="_Toc184312109"/>
      <w:bookmarkEnd w:id="283"/>
      <w:bookmarkStart w:id="284" w:name="_Toc184310329"/>
      <w:bookmarkEnd w:id="284"/>
      <w:bookmarkStart w:id="285" w:name="_Toc184313284"/>
      <w:bookmarkEnd w:id="285"/>
      <w:bookmarkStart w:id="286" w:name="_Toc184310297"/>
      <w:bookmarkEnd w:id="286"/>
      <w:bookmarkStart w:id="287" w:name="_Toc184314454"/>
      <w:bookmarkEnd w:id="287"/>
      <w:bookmarkStart w:id="288" w:name="_Toc184314437"/>
      <w:bookmarkEnd w:id="288"/>
      <w:bookmarkStart w:id="289" w:name="_Toc184314430"/>
      <w:bookmarkEnd w:id="289"/>
      <w:bookmarkStart w:id="290" w:name="_Toc184314472"/>
      <w:bookmarkEnd w:id="290"/>
      <w:bookmarkStart w:id="291" w:name="_Toc184312132"/>
      <w:bookmarkEnd w:id="291"/>
      <w:bookmarkStart w:id="292" w:name="_Toc184308053"/>
      <w:bookmarkEnd w:id="292"/>
      <w:bookmarkStart w:id="293" w:name="_Toc184314431"/>
      <w:bookmarkEnd w:id="293"/>
      <w:bookmarkStart w:id="294" w:name="_Toc184308081"/>
      <w:bookmarkEnd w:id="294"/>
      <w:bookmarkStart w:id="295" w:name="_Toc184314414"/>
      <w:bookmarkEnd w:id="295"/>
      <w:bookmarkStart w:id="296" w:name="_Toc184308041"/>
      <w:bookmarkEnd w:id="296"/>
      <w:bookmarkStart w:id="297" w:name="_Toc184308046"/>
      <w:bookmarkEnd w:id="297"/>
      <w:bookmarkStart w:id="298" w:name="_Toc184314473"/>
      <w:bookmarkEnd w:id="298"/>
      <w:bookmarkStart w:id="299" w:name="_Toc184313291"/>
      <w:bookmarkEnd w:id="299"/>
      <w:bookmarkStart w:id="300" w:name="_Toc184313248"/>
      <w:bookmarkEnd w:id="300"/>
      <w:bookmarkStart w:id="301" w:name="_Toc184314464"/>
      <w:bookmarkEnd w:id="301"/>
      <w:bookmarkStart w:id="302" w:name="_Toc184308061"/>
      <w:bookmarkEnd w:id="302"/>
      <w:bookmarkStart w:id="303" w:name="_Toc184312131"/>
      <w:bookmarkEnd w:id="303"/>
      <w:bookmarkStart w:id="304" w:name="_Toc184310326"/>
      <w:bookmarkEnd w:id="304"/>
      <w:bookmarkStart w:id="305" w:name="_Toc184310304"/>
      <w:bookmarkEnd w:id="305"/>
      <w:bookmarkStart w:id="306" w:name="_Toc184308082"/>
      <w:bookmarkEnd w:id="306"/>
      <w:bookmarkStart w:id="307" w:name="_Toc184313296"/>
      <w:bookmarkEnd w:id="307"/>
      <w:bookmarkStart w:id="308" w:name="_Toc184308103"/>
      <w:bookmarkEnd w:id="308"/>
      <w:bookmarkStart w:id="309" w:name="_Toc184313251"/>
      <w:bookmarkEnd w:id="309"/>
      <w:bookmarkStart w:id="310" w:name="_Toc184310327"/>
      <w:bookmarkEnd w:id="310"/>
      <w:bookmarkStart w:id="311" w:name="_Toc184313287"/>
      <w:bookmarkEnd w:id="311"/>
      <w:bookmarkStart w:id="312" w:name="_Toc184312098"/>
      <w:bookmarkEnd w:id="312"/>
      <w:bookmarkStart w:id="313" w:name="_Toc184308105"/>
      <w:bookmarkEnd w:id="313"/>
      <w:bookmarkStart w:id="314" w:name="_Toc184310295"/>
      <w:bookmarkEnd w:id="314"/>
      <w:bookmarkStart w:id="315" w:name="_Toc184314446"/>
      <w:bookmarkEnd w:id="315"/>
      <w:bookmarkStart w:id="316" w:name="_Toc184313307"/>
      <w:bookmarkEnd w:id="316"/>
      <w:bookmarkStart w:id="317" w:name="_Toc184308051"/>
      <w:bookmarkEnd w:id="317"/>
      <w:bookmarkStart w:id="318" w:name="_Toc184314424"/>
      <w:bookmarkEnd w:id="318"/>
      <w:bookmarkStart w:id="319" w:name="_Toc184314423"/>
      <w:bookmarkEnd w:id="319"/>
      <w:bookmarkStart w:id="320" w:name="_Toc184312105"/>
      <w:bookmarkEnd w:id="320"/>
      <w:bookmarkStart w:id="321" w:name="_Toc184312113"/>
      <w:bookmarkEnd w:id="321"/>
      <w:bookmarkStart w:id="322" w:name="_Toc184314478"/>
      <w:bookmarkEnd w:id="322"/>
      <w:bookmarkStart w:id="323" w:name="_Toc184313266"/>
      <w:bookmarkEnd w:id="323"/>
      <w:bookmarkStart w:id="324" w:name="_Toc184310331"/>
      <w:bookmarkEnd w:id="324"/>
      <w:bookmarkStart w:id="325" w:name="_Toc184313244"/>
      <w:bookmarkEnd w:id="325"/>
      <w:bookmarkStart w:id="326" w:name="_Toc184308066"/>
      <w:bookmarkEnd w:id="326"/>
      <w:bookmarkStart w:id="327" w:name="_Toc184310296"/>
      <w:bookmarkEnd w:id="327"/>
      <w:bookmarkStart w:id="328" w:name="_Toc184314462"/>
      <w:bookmarkEnd w:id="328"/>
      <w:bookmarkStart w:id="329" w:name="_Toc184312108"/>
      <w:bookmarkEnd w:id="329"/>
      <w:bookmarkStart w:id="330" w:name="_Toc184308096"/>
      <w:bookmarkEnd w:id="330"/>
      <w:bookmarkStart w:id="331" w:name="_Toc184308079"/>
      <w:bookmarkEnd w:id="331"/>
      <w:bookmarkStart w:id="332" w:name="_Toc184313238"/>
      <w:bookmarkEnd w:id="332"/>
      <w:bookmarkStart w:id="333" w:name="_Toc184313300"/>
      <w:bookmarkEnd w:id="333"/>
      <w:bookmarkStart w:id="334" w:name="_Toc184312120"/>
      <w:bookmarkEnd w:id="334"/>
      <w:bookmarkStart w:id="335" w:name="_Toc184313279"/>
      <w:bookmarkEnd w:id="335"/>
      <w:bookmarkStart w:id="336" w:name="_Toc184313276"/>
      <w:bookmarkEnd w:id="336"/>
      <w:bookmarkStart w:id="337" w:name="_Toc184312110"/>
      <w:bookmarkEnd w:id="337"/>
      <w:bookmarkStart w:id="338" w:name="_Toc184312085"/>
      <w:bookmarkEnd w:id="338"/>
      <w:bookmarkStart w:id="339" w:name="_Toc184310338"/>
      <w:bookmarkEnd w:id="339"/>
      <w:bookmarkStart w:id="340" w:name="_Toc184312101"/>
      <w:bookmarkEnd w:id="340"/>
      <w:bookmarkStart w:id="341" w:name="_Toc184310319"/>
      <w:bookmarkEnd w:id="341"/>
      <w:bookmarkStart w:id="342" w:name="_Toc184313250"/>
      <w:bookmarkEnd w:id="342"/>
      <w:bookmarkStart w:id="343" w:name="_Toc184310328"/>
      <w:bookmarkEnd w:id="343"/>
      <w:bookmarkStart w:id="344" w:name="_Toc184314440"/>
      <w:bookmarkEnd w:id="344"/>
      <w:bookmarkStart w:id="345" w:name="_Toc184310275"/>
      <w:bookmarkEnd w:id="345"/>
      <w:bookmarkStart w:id="346" w:name="_Toc184312099"/>
      <w:bookmarkEnd w:id="346"/>
      <w:bookmarkStart w:id="347" w:name="_Toc184308086"/>
      <w:bookmarkEnd w:id="347"/>
      <w:bookmarkStart w:id="348" w:name="_Toc184308074"/>
      <w:bookmarkEnd w:id="348"/>
      <w:bookmarkStart w:id="349" w:name="_Toc184313298"/>
      <w:bookmarkEnd w:id="349"/>
      <w:bookmarkStart w:id="350" w:name="_Toc184308042"/>
      <w:bookmarkEnd w:id="350"/>
      <w:bookmarkStart w:id="351" w:name="_Toc184312127"/>
      <w:bookmarkEnd w:id="351"/>
      <w:bookmarkStart w:id="352" w:name="_Toc184308085"/>
      <w:bookmarkEnd w:id="352"/>
      <w:bookmarkStart w:id="353" w:name="_Toc184313256"/>
      <w:bookmarkEnd w:id="353"/>
      <w:bookmarkStart w:id="354" w:name="_Toc184308100"/>
      <w:bookmarkEnd w:id="354"/>
      <w:bookmarkStart w:id="355" w:name="_Toc184312080"/>
      <w:bookmarkEnd w:id="355"/>
      <w:bookmarkStart w:id="356" w:name="_Toc184313262"/>
      <w:bookmarkEnd w:id="356"/>
      <w:bookmarkStart w:id="357" w:name="_Toc184308057"/>
      <w:bookmarkEnd w:id="357"/>
      <w:bookmarkStart w:id="358" w:name="_Toc184313281"/>
      <w:bookmarkEnd w:id="358"/>
      <w:bookmarkStart w:id="359" w:name="_Toc184308038"/>
      <w:bookmarkEnd w:id="359"/>
      <w:bookmarkStart w:id="360" w:name="_Toc184313252"/>
      <w:bookmarkEnd w:id="360"/>
      <w:bookmarkStart w:id="361" w:name="_Toc184310302"/>
      <w:bookmarkEnd w:id="361"/>
      <w:bookmarkStart w:id="362" w:name="_Toc184310280"/>
      <w:bookmarkEnd w:id="362"/>
      <w:bookmarkStart w:id="363" w:name="_Toc184308068"/>
      <w:bookmarkEnd w:id="363"/>
      <w:bookmarkStart w:id="364" w:name="_Toc184313288"/>
      <w:bookmarkEnd w:id="364"/>
      <w:bookmarkStart w:id="365" w:name="_Toc184308043"/>
      <w:bookmarkEnd w:id="365"/>
      <w:bookmarkStart w:id="366" w:name="_Toc184313253"/>
      <w:bookmarkEnd w:id="366"/>
      <w:bookmarkStart w:id="367" w:name="_Toc184312124"/>
      <w:bookmarkEnd w:id="367"/>
      <w:bookmarkStart w:id="368" w:name="_Toc184314468"/>
      <w:bookmarkEnd w:id="368"/>
      <w:bookmarkStart w:id="369" w:name="_Toc184313239"/>
      <w:bookmarkEnd w:id="369"/>
      <w:bookmarkStart w:id="370" w:name="_Toc184310292"/>
      <w:bookmarkEnd w:id="370"/>
      <w:bookmarkStart w:id="371" w:name="_Toc184308083"/>
      <w:bookmarkEnd w:id="371"/>
      <w:bookmarkStart w:id="372" w:name="_Toc184308062"/>
      <w:bookmarkEnd w:id="372"/>
      <w:bookmarkStart w:id="373" w:name="_Toc184313268"/>
      <w:bookmarkEnd w:id="373"/>
      <w:bookmarkStart w:id="374" w:name="_Toc184310316"/>
      <w:bookmarkEnd w:id="374"/>
      <w:bookmarkStart w:id="375" w:name="_Toc184314449"/>
      <w:bookmarkEnd w:id="375"/>
      <w:bookmarkStart w:id="376" w:name="_Toc184310279"/>
      <w:bookmarkEnd w:id="376"/>
      <w:bookmarkStart w:id="377" w:name="_Toc184310291"/>
      <w:bookmarkEnd w:id="377"/>
      <w:bookmarkStart w:id="378" w:name="_Toc184314441"/>
      <w:bookmarkEnd w:id="378"/>
      <w:bookmarkStart w:id="379" w:name="_Toc184308050"/>
      <w:bookmarkEnd w:id="379"/>
      <w:bookmarkStart w:id="380" w:name="_Toc184308080"/>
      <w:bookmarkEnd w:id="380"/>
      <w:bookmarkStart w:id="381" w:name="_Toc184312100"/>
      <w:bookmarkEnd w:id="381"/>
      <w:bookmarkStart w:id="382" w:name="_Toc184308072"/>
      <w:bookmarkEnd w:id="382"/>
      <w:bookmarkStart w:id="383" w:name="_Toc184314439"/>
      <w:bookmarkEnd w:id="383"/>
      <w:bookmarkStart w:id="384" w:name="_Toc184314477"/>
      <w:bookmarkEnd w:id="384"/>
      <w:bookmarkStart w:id="385" w:name="_Toc184314474"/>
      <w:bookmarkEnd w:id="385"/>
      <w:bookmarkStart w:id="386" w:name="_Toc184314422"/>
      <w:bookmarkEnd w:id="386"/>
      <w:bookmarkStart w:id="387" w:name="_Toc184313286"/>
      <w:bookmarkEnd w:id="387"/>
      <w:bookmarkStart w:id="388" w:name="_Toc184310283"/>
      <w:bookmarkEnd w:id="388"/>
      <w:bookmarkStart w:id="389" w:name="_Toc184308090"/>
      <w:bookmarkEnd w:id="389"/>
      <w:bookmarkStart w:id="390" w:name="_Toc184310320"/>
      <w:bookmarkEnd w:id="390"/>
      <w:bookmarkStart w:id="391" w:name="_Toc184312123"/>
      <w:bookmarkEnd w:id="391"/>
      <w:bookmarkStart w:id="392" w:name="_Toc184313267"/>
      <w:bookmarkEnd w:id="392"/>
      <w:bookmarkStart w:id="393" w:name="_Toc184312084"/>
      <w:bookmarkEnd w:id="393"/>
      <w:r>
        <w:rPr>
          <w:rFonts w:hint="eastAsia" w:ascii="仿宋" w:hAnsi="仿宋" w:eastAsia="仿宋" w:cs="仿宋"/>
          <w:b/>
          <w:color w:val="auto"/>
          <w:sz w:val="36"/>
          <w:szCs w:val="36"/>
          <w:highlight w:val="none"/>
        </w:rPr>
        <w:t>评标办法</w:t>
      </w:r>
    </w:p>
    <w:p w14:paraId="2ED9250B">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bookmarkEnd w:id="27"/>
    <w:tbl>
      <w:tblPr>
        <w:tblStyle w:val="63"/>
        <w:tblW w:w="47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5566"/>
        <w:gridCol w:w="1135"/>
        <w:gridCol w:w="1548"/>
      </w:tblGrid>
      <w:tr w14:paraId="36730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371" w:type="pct"/>
            <w:tcBorders>
              <w:top w:val="single" w:color="auto" w:sz="4" w:space="0"/>
              <w:left w:val="single" w:color="auto" w:sz="4" w:space="0"/>
              <w:bottom w:val="single" w:color="auto" w:sz="4" w:space="0"/>
              <w:right w:val="single" w:color="auto" w:sz="4" w:space="0"/>
            </w:tcBorders>
            <w:noWrap w:val="0"/>
            <w:vAlign w:val="center"/>
          </w:tcPr>
          <w:p w14:paraId="67F2D871">
            <w:pPr>
              <w:jc w:val="center"/>
              <w:outlineLvl w:val="0"/>
              <w:rPr>
                <w:rFonts w:hint="eastAsia" w:ascii="仿宋" w:hAnsi="仿宋" w:eastAsia="仿宋" w:cs="仿宋"/>
                <w:bCs/>
                <w:sz w:val="24"/>
                <w:highlight w:val="none"/>
              </w:rPr>
            </w:pPr>
            <w:bookmarkStart w:id="394" w:name="第五部分"/>
            <w:bookmarkStart w:id="395" w:name="_Toc86217003"/>
            <w:r>
              <w:rPr>
                <w:rFonts w:hint="eastAsia" w:ascii="仿宋" w:hAnsi="仿宋" w:eastAsia="仿宋" w:cs="仿宋"/>
                <w:bCs/>
                <w:sz w:val="24"/>
                <w:highlight w:val="none"/>
              </w:rPr>
              <w:t>序号</w:t>
            </w:r>
          </w:p>
        </w:tc>
        <w:tc>
          <w:tcPr>
            <w:tcW w:w="3123" w:type="pct"/>
            <w:tcBorders>
              <w:top w:val="single" w:color="auto" w:sz="4" w:space="0"/>
              <w:left w:val="single" w:color="auto" w:sz="4" w:space="0"/>
              <w:bottom w:val="single" w:color="auto" w:sz="4" w:space="0"/>
              <w:right w:val="single" w:color="auto" w:sz="4" w:space="0"/>
            </w:tcBorders>
            <w:noWrap w:val="0"/>
            <w:vAlign w:val="center"/>
          </w:tcPr>
          <w:p w14:paraId="7FAC9DBB">
            <w:pPr>
              <w:jc w:val="center"/>
              <w:outlineLvl w:val="0"/>
              <w:rPr>
                <w:rFonts w:hint="eastAsia" w:ascii="仿宋" w:hAnsi="仿宋" w:eastAsia="仿宋" w:cs="仿宋"/>
                <w:bCs/>
                <w:sz w:val="24"/>
                <w:highlight w:val="none"/>
              </w:rPr>
            </w:pPr>
            <w:r>
              <w:rPr>
                <w:rFonts w:hint="eastAsia" w:ascii="仿宋" w:hAnsi="仿宋" w:eastAsia="仿宋" w:cs="仿宋"/>
                <w:bCs/>
                <w:sz w:val="24"/>
                <w:highlight w:val="none"/>
              </w:rPr>
              <w:t>评标标准</w:t>
            </w:r>
          </w:p>
        </w:tc>
        <w:tc>
          <w:tcPr>
            <w:tcW w:w="636" w:type="pct"/>
            <w:tcBorders>
              <w:top w:val="single" w:color="auto" w:sz="4" w:space="0"/>
              <w:left w:val="single" w:color="auto" w:sz="4" w:space="0"/>
              <w:bottom w:val="single" w:color="auto" w:sz="4" w:space="0"/>
              <w:right w:val="single" w:color="auto" w:sz="4" w:space="0"/>
            </w:tcBorders>
            <w:noWrap w:val="0"/>
            <w:vAlign w:val="center"/>
          </w:tcPr>
          <w:p w14:paraId="59993521">
            <w:pPr>
              <w:jc w:val="center"/>
              <w:outlineLvl w:val="0"/>
              <w:rPr>
                <w:rFonts w:hint="eastAsia" w:ascii="仿宋" w:hAnsi="仿宋" w:eastAsia="仿宋" w:cs="仿宋"/>
                <w:bCs/>
                <w:sz w:val="24"/>
                <w:highlight w:val="none"/>
              </w:rPr>
            </w:pPr>
            <w:r>
              <w:rPr>
                <w:rFonts w:hint="eastAsia" w:ascii="仿宋" w:hAnsi="仿宋" w:eastAsia="仿宋" w:cs="仿宋"/>
                <w:bCs/>
                <w:sz w:val="24"/>
                <w:highlight w:val="none"/>
              </w:rPr>
              <w:t>权重</w:t>
            </w:r>
          </w:p>
        </w:tc>
        <w:tc>
          <w:tcPr>
            <w:tcW w:w="868" w:type="pct"/>
            <w:tcBorders>
              <w:top w:val="single" w:color="auto" w:sz="4" w:space="0"/>
              <w:left w:val="single" w:color="auto" w:sz="4" w:space="0"/>
              <w:bottom w:val="single" w:color="auto" w:sz="4" w:space="0"/>
              <w:right w:val="single" w:color="auto" w:sz="4" w:space="0"/>
            </w:tcBorders>
            <w:noWrap w:val="0"/>
            <w:vAlign w:val="center"/>
          </w:tcPr>
          <w:p w14:paraId="1C1475E2">
            <w:pPr>
              <w:jc w:val="center"/>
              <w:outlineLvl w:val="0"/>
              <w:rPr>
                <w:rFonts w:hint="eastAsia" w:ascii="仿宋" w:hAnsi="仿宋" w:eastAsia="仿宋" w:cs="仿宋"/>
                <w:bCs/>
                <w:sz w:val="24"/>
                <w:highlight w:val="none"/>
              </w:rPr>
            </w:pPr>
            <w:r>
              <w:rPr>
                <w:rFonts w:hint="eastAsia" w:ascii="仿宋" w:hAnsi="仿宋" w:eastAsia="仿宋" w:cs="仿宋"/>
                <w:bCs/>
                <w:sz w:val="24"/>
                <w:highlight w:val="none"/>
              </w:rPr>
              <w:t>投标文件中评标标准相应的商务技术资料目录</w:t>
            </w:r>
            <w:r>
              <w:rPr>
                <w:rFonts w:hint="eastAsia" w:ascii="仿宋" w:hAnsi="仿宋" w:eastAsia="仿宋" w:cs="仿宋"/>
                <w:bCs/>
                <w:sz w:val="24"/>
                <w:highlight w:val="none"/>
                <w:shd w:val="clear" w:color="auto" w:fill="FFFFFF"/>
              </w:rPr>
              <w:t> *</w:t>
            </w:r>
          </w:p>
        </w:tc>
      </w:tr>
      <w:tr w14:paraId="07746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1" w:type="pct"/>
            <w:tcBorders>
              <w:top w:val="single" w:color="auto" w:sz="4" w:space="0"/>
              <w:left w:val="single" w:color="auto" w:sz="4" w:space="0"/>
              <w:bottom w:val="single" w:color="auto" w:sz="4" w:space="0"/>
              <w:right w:val="single" w:color="auto" w:sz="4" w:space="0"/>
            </w:tcBorders>
            <w:noWrap w:val="0"/>
            <w:vAlign w:val="center"/>
          </w:tcPr>
          <w:p w14:paraId="1C790BA4">
            <w:pPr>
              <w:jc w:val="center"/>
              <w:rPr>
                <w:rFonts w:hint="eastAsia" w:ascii="仿宋" w:hAnsi="仿宋" w:eastAsia="仿宋" w:cs="仿宋"/>
                <w:bCs/>
                <w:sz w:val="24"/>
                <w:highlight w:val="none"/>
              </w:rPr>
            </w:pPr>
            <w:r>
              <w:rPr>
                <w:rFonts w:hint="eastAsia" w:ascii="仿宋" w:hAnsi="仿宋" w:eastAsia="仿宋" w:cs="仿宋"/>
                <w:bCs/>
                <w:sz w:val="24"/>
                <w:highlight w:val="none"/>
              </w:rPr>
              <w:t>1</w:t>
            </w:r>
          </w:p>
        </w:tc>
        <w:tc>
          <w:tcPr>
            <w:tcW w:w="3123" w:type="pct"/>
            <w:tcBorders>
              <w:top w:val="single" w:color="auto" w:sz="4" w:space="0"/>
              <w:left w:val="single" w:color="auto" w:sz="4" w:space="0"/>
              <w:bottom w:val="single" w:color="auto" w:sz="4" w:space="0"/>
              <w:right w:val="single" w:color="auto" w:sz="4" w:space="0"/>
            </w:tcBorders>
            <w:noWrap w:val="0"/>
            <w:vAlign w:val="center"/>
          </w:tcPr>
          <w:p w14:paraId="7931A32B">
            <w:pPr>
              <w:pStyle w:val="481"/>
              <w:rPr>
                <w:rFonts w:hint="eastAsia" w:ascii="仿宋" w:hAnsi="仿宋" w:eastAsia="仿宋" w:cs="仿宋"/>
                <w:bCs/>
                <w:kern w:val="0"/>
                <w:sz w:val="24"/>
                <w:szCs w:val="24"/>
                <w:highlight w:val="none"/>
              </w:rPr>
            </w:pPr>
            <w:r>
              <w:rPr>
                <w:rFonts w:hint="eastAsia" w:ascii="仿宋" w:hAnsi="仿宋" w:eastAsia="仿宋" w:cs="仿宋"/>
                <w:kern w:val="0"/>
                <w:sz w:val="24"/>
                <w:szCs w:val="24"/>
                <w:highlight w:val="none"/>
              </w:rPr>
              <w:t>投标人具有有效质量管理体系认证证书得1分;具有有效职业健康安全管理体系认证证书得1分;具有有效环境管理体系认证证书得1分；（投标文件中提供认证证书复印件，不提供不得分）注：以上证书须由评审小组现场通过中国国家认证认可监督管理委员会备案通过的认证机构颁发且在全国认证认可信息公共服务平台（www.cnca.gov.cn）的网页查询。）</w:t>
            </w:r>
          </w:p>
        </w:tc>
        <w:tc>
          <w:tcPr>
            <w:tcW w:w="636" w:type="pct"/>
            <w:tcBorders>
              <w:top w:val="single" w:color="auto" w:sz="4" w:space="0"/>
              <w:left w:val="single" w:color="auto" w:sz="4" w:space="0"/>
              <w:bottom w:val="single" w:color="auto" w:sz="4" w:space="0"/>
              <w:right w:val="single" w:color="auto" w:sz="4" w:space="0"/>
            </w:tcBorders>
            <w:noWrap w:val="0"/>
            <w:vAlign w:val="center"/>
          </w:tcPr>
          <w:p w14:paraId="67594090">
            <w:pPr>
              <w:jc w:val="center"/>
              <w:outlineLvl w:val="0"/>
              <w:rPr>
                <w:rFonts w:hint="eastAsia" w:ascii="仿宋" w:hAnsi="仿宋" w:eastAsia="仿宋" w:cs="仿宋"/>
                <w:bCs/>
                <w:sz w:val="24"/>
                <w:highlight w:val="none"/>
              </w:rPr>
            </w:pPr>
            <w:r>
              <w:rPr>
                <w:rFonts w:hint="eastAsia" w:ascii="仿宋" w:hAnsi="仿宋" w:eastAsia="仿宋" w:cs="仿宋"/>
                <w:bCs/>
                <w:sz w:val="24"/>
                <w:highlight w:val="none"/>
              </w:rPr>
              <w:t>0-3分</w:t>
            </w:r>
          </w:p>
          <w:p w14:paraId="5877BDCF">
            <w:pPr>
              <w:jc w:val="center"/>
              <w:outlineLvl w:val="0"/>
              <w:rPr>
                <w:rFonts w:hint="eastAsia" w:ascii="仿宋" w:hAnsi="仿宋" w:eastAsia="仿宋" w:cs="仿宋"/>
                <w:bCs/>
                <w:sz w:val="24"/>
                <w:highlight w:val="none"/>
              </w:rPr>
            </w:pPr>
          </w:p>
        </w:tc>
        <w:tc>
          <w:tcPr>
            <w:tcW w:w="868" w:type="pct"/>
            <w:tcBorders>
              <w:top w:val="single" w:color="auto" w:sz="4" w:space="0"/>
              <w:left w:val="single" w:color="auto" w:sz="4" w:space="0"/>
              <w:bottom w:val="single" w:color="auto" w:sz="4" w:space="0"/>
              <w:right w:val="single" w:color="auto" w:sz="4" w:space="0"/>
            </w:tcBorders>
            <w:noWrap w:val="0"/>
            <w:vAlign w:val="center"/>
          </w:tcPr>
          <w:p w14:paraId="1534783A">
            <w:pPr>
              <w:widowControl/>
              <w:jc w:val="center"/>
              <w:rPr>
                <w:rFonts w:hint="eastAsia" w:ascii="仿宋" w:hAnsi="仿宋" w:eastAsia="仿宋" w:cs="仿宋"/>
                <w:bCs/>
                <w:kern w:val="0"/>
                <w:sz w:val="24"/>
                <w:highlight w:val="none"/>
              </w:rPr>
            </w:pPr>
            <w:r>
              <w:rPr>
                <w:rFonts w:hint="eastAsia" w:ascii="仿宋" w:hAnsi="仿宋" w:eastAsia="仿宋" w:cs="仿宋"/>
                <w:kern w:val="0"/>
                <w:sz w:val="24"/>
                <w:highlight w:val="none"/>
              </w:rPr>
              <w:t>客观分</w:t>
            </w:r>
          </w:p>
        </w:tc>
      </w:tr>
      <w:tr w14:paraId="5F02F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371" w:type="pct"/>
            <w:tcBorders>
              <w:top w:val="single" w:color="auto" w:sz="4" w:space="0"/>
              <w:left w:val="single" w:color="auto" w:sz="4" w:space="0"/>
              <w:bottom w:val="single" w:color="auto" w:sz="4" w:space="0"/>
              <w:right w:val="single" w:color="auto" w:sz="4" w:space="0"/>
            </w:tcBorders>
            <w:noWrap w:val="0"/>
            <w:vAlign w:val="center"/>
          </w:tcPr>
          <w:p w14:paraId="378BA594">
            <w:pPr>
              <w:jc w:val="center"/>
              <w:rPr>
                <w:rFonts w:hint="eastAsia" w:ascii="仿宋" w:hAnsi="仿宋" w:eastAsia="仿宋" w:cs="仿宋"/>
                <w:bCs/>
                <w:sz w:val="24"/>
                <w:highlight w:val="none"/>
              </w:rPr>
            </w:pPr>
            <w:r>
              <w:rPr>
                <w:rFonts w:hint="eastAsia" w:ascii="仿宋" w:hAnsi="仿宋" w:eastAsia="仿宋" w:cs="仿宋"/>
                <w:bCs/>
                <w:sz w:val="24"/>
                <w:highlight w:val="none"/>
              </w:rPr>
              <w:t>2</w:t>
            </w:r>
          </w:p>
        </w:tc>
        <w:tc>
          <w:tcPr>
            <w:tcW w:w="3123" w:type="pct"/>
            <w:tcBorders>
              <w:top w:val="single" w:color="auto" w:sz="4" w:space="0"/>
              <w:left w:val="single" w:color="auto" w:sz="4" w:space="0"/>
              <w:bottom w:val="single" w:color="auto" w:sz="4" w:space="0"/>
              <w:right w:val="single" w:color="auto" w:sz="4" w:space="0"/>
            </w:tcBorders>
            <w:noWrap w:val="0"/>
            <w:vAlign w:val="center"/>
          </w:tcPr>
          <w:p w14:paraId="5E39C86B">
            <w:pPr>
              <w:jc w:val="left"/>
              <w:rPr>
                <w:rFonts w:hint="eastAsia" w:ascii="仿宋" w:hAnsi="仿宋" w:eastAsia="仿宋" w:cs="仿宋"/>
                <w:highlight w:val="none"/>
              </w:rPr>
            </w:pPr>
            <w:r>
              <w:rPr>
                <w:rFonts w:hint="eastAsia" w:ascii="仿宋" w:hAnsi="仿宋" w:eastAsia="仿宋" w:cs="仿宋"/>
                <w:sz w:val="24"/>
                <w:highlight w:val="none"/>
              </w:rPr>
              <w:t>投标人自2022年1月1日以来（以合同签订时间为准）同类项目业绩：（以提供的合同复印件为准）每提供一个类似项目合同得1分，最高得2分，未提供不得分。</w:t>
            </w:r>
          </w:p>
        </w:tc>
        <w:tc>
          <w:tcPr>
            <w:tcW w:w="636" w:type="pct"/>
            <w:tcBorders>
              <w:top w:val="single" w:color="auto" w:sz="4" w:space="0"/>
              <w:left w:val="single" w:color="auto" w:sz="4" w:space="0"/>
              <w:bottom w:val="single" w:color="auto" w:sz="4" w:space="0"/>
              <w:right w:val="single" w:color="auto" w:sz="4" w:space="0"/>
            </w:tcBorders>
            <w:noWrap w:val="0"/>
            <w:vAlign w:val="center"/>
          </w:tcPr>
          <w:p w14:paraId="19CBC0B0">
            <w:pPr>
              <w:jc w:val="center"/>
              <w:outlineLvl w:val="0"/>
              <w:rPr>
                <w:rFonts w:hint="eastAsia" w:ascii="仿宋" w:hAnsi="仿宋" w:eastAsia="仿宋" w:cs="仿宋"/>
                <w:bCs/>
                <w:sz w:val="24"/>
                <w:highlight w:val="none"/>
              </w:rPr>
            </w:pPr>
            <w:r>
              <w:rPr>
                <w:rFonts w:hint="eastAsia" w:ascii="仿宋" w:hAnsi="仿宋" w:eastAsia="仿宋" w:cs="仿宋"/>
                <w:bCs/>
                <w:sz w:val="24"/>
                <w:highlight w:val="none"/>
              </w:rPr>
              <w:t>0-2分</w:t>
            </w:r>
          </w:p>
          <w:p w14:paraId="31E3098B">
            <w:pPr>
              <w:jc w:val="center"/>
              <w:outlineLvl w:val="0"/>
              <w:rPr>
                <w:rFonts w:hint="eastAsia" w:ascii="仿宋" w:hAnsi="仿宋" w:eastAsia="仿宋" w:cs="仿宋"/>
                <w:bCs/>
                <w:sz w:val="24"/>
                <w:highlight w:val="none"/>
              </w:rPr>
            </w:pPr>
          </w:p>
        </w:tc>
        <w:tc>
          <w:tcPr>
            <w:tcW w:w="868" w:type="pct"/>
            <w:tcBorders>
              <w:top w:val="single" w:color="auto" w:sz="4" w:space="0"/>
              <w:left w:val="single" w:color="auto" w:sz="4" w:space="0"/>
              <w:bottom w:val="single" w:color="auto" w:sz="4" w:space="0"/>
              <w:right w:val="single" w:color="auto" w:sz="4" w:space="0"/>
            </w:tcBorders>
            <w:noWrap w:val="0"/>
            <w:vAlign w:val="center"/>
          </w:tcPr>
          <w:p w14:paraId="5605B6D2">
            <w:pPr>
              <w:widowControl/>
              <w:jc w:val="center"/>
              <w:rPr>
                <w:rFonts w:hint="eastAsia" w:ascii="仿宋" w:hAnsi="仿宋" w:eastAsia="仿宋" w:cs="仿宋"/>
                <w:bCs/>
                <w:sz w:val="24"/>
                <w:highlight w:val="none"/>
              </w:rPr>
            </w:pPr>
            <w:r>
              <w:rPr>
                <w:rFonts w:hint="eastAsia" w:ascii="仿宋" w:hAnsi="仿宋" w:eastAsia="仿宋" w:cs="仿宋"/>
                <w:kern w:val="0"/>
                <w:sz w:val="24"/>
                <w:highlight w:val="none"/>
              </w:rPr>
              <w:t>客观分</w:t>
            </w:r>
          </w:p>
        </w:tc>
      </w:tr>
      <w:tr w14:paraId="7C6B0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371" w:type="pct"/>
            <w:tcBorders>
              <w:top w:val="single" w:color="auto" w:sz="4" w:space="0"/>
              <w:left w:val="single" w:color="auto" w:sz="4" w:space="0"/>
              <w:bottom w:val="single" w:color="auto" w:sz="4" w:space="0"/>
              <w:right w:val="single" w:color="auto" w:sz="4" w:space="0"/>
            </w:tcBorders>
            <w:noWrap w:val="0"/>
            <w:vAlign w:val="center"/>
          </w:tcPr>
          <w:p w14:paraId="42BC0363">
            <w:pPr>
              <w:jc w:val="center"/>
              <w:rPr>
                <w:rFonts w:hint="eastAsia" w:ascii="仿宋" w:hAnsi="仿宋" w:eastAsia="仿宋" w:cs="仿宋"/>
                <w:bCs/>
                <w:sz w:val="24"/>
                <w:highlight w:val="none"/>
              </w:rPr>
            </w:pPr>
            <w:r>
              <w:rPr>
                <w:rFonts w:hint="eastAsia" w:ascii="仿宋" w:hAnsi="仿宋" w:eastAsia="仿宋" w:cs="仿宋"/>
                <w:bCs/>
                <w:sz w:val="24"/>
                <w:highlight w:val="none"/>
              </w:rPr>
              <w:t>3</w:t>
            </w:r>
          </w:p>
        </w:tc>
        <w:tc>
          <w:tcPr>
            <w:tcW w:w="3123" w:type="pct"/>
            <w:tcBorders>
              <w:top w:val="nil"/>
              <w:left w:val="single" w:color="auto" w:sz="4" w:space="0"/>
              <w:bottom w:val="single" w:color="auto" w:sz="4" w:space="0"/>
              <w:right w:val="single" w:color="auto" w:sz="4" w:space="0"/>
            </w:tcBorders>
            <w:noWrap w:val="0"/>
            <w:vAlign w:val="center"/>
          </w:tcPr>
          <w:p w14:paraId="74D97DBC">
            <w:pPr>
              <w:jc w:val="left"/>
              <w:rPr>
                <w:rFonts w:hint="eastAsia" w:ascii="仿宋" w:hAnsi="仿宋" w:eastAsia="仿宋" w:cs="仿宋"/>
                <w:bCs/>
                <w:sz w:val="24"/>
                <w:highlight w:val="none"/>
              </w:rPr>
            </w:pPr>
            <w:r>
              <w:rPr>
                <w:rFonts w:hint="eastAsia" w:ascii="仿宋" w:hAnsi="仿宋" w:eastAsia="仿宋" w:cs="仿宋"/>
                <w:bCs/>
                <w:sz w:val="24"/>
                <w:highlight w:val="none"/>
              </w:rPr>
              <w:t>投标人对本项目所涉及到的现场实际情况的了解和调研、本项目的关键点和难点以及针对上述关键点、难点和其他可预见问题所提出的合理化建议和相应的解决措施。</w:t>
            </w:r>
            <w:r>
              <w:rPr>
                <w:rFonts w:hint="eastAsia" w:ascii="仿宋" w:hAnsi="仿宋" w:eastAsia="仿宋" w:cs="仿宋"/>
                <w:kern w:val="0"/>
                <w:sz w:val="24"/>
                <w:highlight w:val="none"/>
              </w:rPr>
              <w:t>根据提供的方案内容的完整性、与项目的匹配性进行评分。方案内容完整且与项目匹配度好的得5分；方案内容基本完整且与项目匹配度较好的得3分；方案内容存在欠缺或与项目匹配度一般的得1分；方案内容缺失严重或与项目不匹配的不得分</w:t>
            </w:r>
            <w:r>
              <w:rPr>
                <w:rFonts w:hint="eastAsia" w:ascii="仿宋" w:hAnsi="仿宋" w:eastAsia="仿宋" w:cs="仿宋"/>
                <w:highlight w:val="none"/>
                <w:lang w:val="zh-CN"/>
              </w:rPr>
              <w:t>。</w:t>
            </w:r>
          </w:p>
        </w:tc>
        <w:tc>
          <w:tcPr>
            <w:tcW w:w="636" w:type="pct"/>
            <w:tcBorders>
              <w:top w:val="single" w:color="auto" w:sz="4" w:space="0"/>
              <w:left w:val="single" w:color="auto" w:sz="4" w:space="0"/>
              <w:bottom w:val="single" w:color="auto" w:sz="4" w:space="0"/>
              <w:right w:val="single" w:color="auto" w:sz="4" w:space="0"/>
            </w:tcBorders>
            <w:noWrap w:val="0"/>
            <w:vAlign w:val="center"/>
          </w:tcPr>
          <w:p w14:paraId="7AB154AA">
            <w:pPr>
              <w:jc w:val="center"/>
              <w:outlineLvl w:val="0"/>
              <w:rPr>
                <w:rFonts w:hint="eastAsia" w:ascii="仿宋" w:hAnsi="仿宋" w:eastAsia="仿宋" w:cs="仿宋"/>
                <w:bCs/>
                <w:sz w:val="24"/>
                <w:highlight w:val="none"/>
              </w:rPr>
            </w:pPr>
            <w:r>
              <w:rPr>
                <w:rFonts w:hint="eastAsia" w:ascii="仿宋" w:hAnsi="仿宋" w:eastAsia="仿宋" w:cs="仿宋"/>
                <w:bCs/>
                <w:sz w:val="24"/>
                <w:highlight w:val="none"/>
              </w:rPr>
              <w:t>0-5分</w:t>
            </w:r>
          </w:p>
          <w:p w14:paraId="151322E8">
            <w:pPr>
              <w:jc w:val="center"/>
              <w:outlineLvl w:val="0"/>
              <w:rPr>
                <w:rFonts w:hint="eastAsia" w:ascii="仿宋" w:hAnsi="仿宋" w:eastAsia="仿宋" w:cs="仿宋"/>
                <w:bCs/>
                <w:sz w:val="24"/>
                <w:highlight w:val="none"/>
              </w:rPr>
            </w:pPr>
          </w:p>
        </w:tc>
        <w:tc>
          <w:tcPr>
            <w:tcW w:w="868" w:type="pct"/>
            <w:tcBorders>
              <w:top w:val="single" w:color="auto" w:sz="4" w:space="0"/>
              <w:left w:val="single" w:color="auto" w:sz="4" w:space="0"/>
              <w:bottom w:val="single" w:color="auto" w:sz="4" w:space="0"/>
              <w:right w:val="single" w:color="auto" w:sz="4" w:space="0"/>
            </w:tcBorders>
            <w:noWrap w:val="0"/>
            <w:vAlign w:val="center"/>
          </w:tcPr>
          <w:p w14:paraId="68FE538A">
            <w:pPr>
              <w:jc w:val="center"/>
              <w:outlineLvl w:val="0"/>
              <w:rPr>
                <w:rFonts w:hint="eastAsia" w:ascii="仿宋" w:hAnsi="仿宋" w:eastAsia="仿宋" w:cs="仿宋"/>
                <w:bCs/>
                <w:sz w:val="24"/>
                <w:highlight w:val="none"/>
              </w:rPr>
            </w:pPr>
            <w:r>
              <w:rPr>
                <w:rFonts w:hint="eastAsia" w:ascii="仿宋" w:hAnsi="仿宋" w:eastAsia="仿宋" w:cs="仿宋"/>
                <w:bCs/>
                <w:sz w:val="24"/>
                <w:highlight w:val="none"/>
              </w:rPr>
              <w:t>主</w:t>
            </w:r>
            <w:r>
              <w:rPr>
                <w:rFonts w:hint="eastAsia" w:ascii="仿宋" w:hAnsi="仿宋" w:eastAsia="仿宋" w:cs="仿宋"/>
                <w:kern w:val="0"/>
                <w:sz w:val="24"/>
                <w:highlight w:val="none"/>
              </w:rPr>
              <w:t>观分</w:t>
            </w:r>
          </w:p>
        </w:tc>
      </w:tr>
      <w:tr w14:paraId="06B81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1" w:type="pct"/>
            <w:tcBorders>
              <w:top w:val="nil"/>
              <w:left w:val="single" w:color="auto" w:sz="4" w:space="0"/>
              <w:bottom w:val="single" w:color="auto" w:sz="4" w:space="0"/>
              <w:right w:val="single" w:color="auto" w:sz="4" w:space="0"/>
            </w:tcBorders>
            <w:noWrap w:val="0"/>
            <w:vAlign w:val="center"/>
          </w:tcPr>
          <w:p w14:paraId="0F29DC0F">
            <w:pPr>
              <w:jc w:val="center"/>
              <w:rPr>
                <w:rFonts w:hint="eastAsia" w:ascii="仿宋" w:hAnsi="仿宋" w:eastAsia="仿宋" w:cs="仿宋"/>
                <w:bCs/>
                <w:sz w:val="24"/>
                <w:highlight w:val="none"/>
              </w:rPr>
            </w:pPr>
            <w:r>
              <w:rPr>
                <w:rFonts w:hint="eastAsia" w:ascii="仿宋" w:hAnsi="仿宋" w:eastAsia="仿宋" w:cs="仿宋"/>
                <w:bCs/>
                <w:sz w:val="24"/>
                <w:highlight w:val="none"/>
              </w:rPr>
              <w:t>4</w:t>
            </w:r>
          </w:p>
        </w:tc>
        <w:tc>
          <w:tcPr>
            <w:tcW w:w="3123" w:type="pct"/>
            <w:tcBorders>
              <w:top w:val="nil"/>
              <w:left w:val="single" w:color="auto" w:sz="4" w:space="0"/>
              <w:bottom w:val="single" w:color="auto" w:sz="4" w:space="0"/>
              <w:right w:val="single" w:color="auto" w:sz="4" w:space="0"/>
            </w:tcBorders>
            <w:noWrap w:val="0"/>
            <w:vAlign w:val="center"/>
          </w:tcPr>
          <w:p w14:paraId="32A69717">
            <w:pPr>
              <w:jc w:val="left"/>
              <w:rPr>
                <w:rFonts w:hint="eastAsia" w:ascii="仿宋" w:hAnsi="仿宋" w:eastAsia="仿宋" w:cs="仿宋"/>
                <w:bCs/>
                <w:sz w:val="24"/>
                <w:highlight w:val="none"/>
              </w:rPr>
            </w:pPr>
            <w:r>
              <w:rPr>
                <w:rFonts w:hint="eastAsia" w:ascii="仿宋" w:hAnsi="仿宋" w:eastAsia="仿宋" w:cs="仿宋"/>
                <w:bCs/>
                <w:sz w:val="24"/>
                <w:highlight w:val="none"/>
              </w:rPr>
              <w:t>根据投标人提供的针对本项目的突发性事件等应急响应管理内容的完整性、与项目的匹配性进行评分。方案内容完整且与项目匹配度好的得5分；方案内容基本完整且与项目匹配度较好的得3分；方案内容存在欠缺或与项目匹配度一般的得1分；方案内容缺失严重或与项目不匹配的不得分。</w:t>
            </w:r>
          </w:p>
        </w:tc>
        <w:tc>
          <w:tcPr>
            <w:tcW w:w="636" w:type="pct"/>
            <w:tcBorders>
              <w:top w:val="single" w:color="auto" w:sz="4" w:space="0"/>
              <w:left w:val="single" w:color="auto" w:sz="4" w:space="0"/>
              <w:bottom w:val="single" w:color="auto" w:sz="4" w:space="0"/>
              <w:right w:val="single" w:color="auto" w:sz="4" w:space="0"/>
            </w:tcBorders>
            <w:noWrap w:val="0"/>
            <w:vAlign w:val="center"/>
          </w:tcPr>
          <w:p w14:paraId="5DABA04F">
            <w:pPr>
              <w:jc w:val="center"/>
              <w:outlineLvl w:val="0"/>
              <w:rPr>
                <w:rFonts w:hint="eastAsia" w:ascii="仿宋" w:hAnsi="仿宋" w:eastAsia="仿宋" w:cs="仿宋"/>
                <w:bCs/>
                <w:sz w:val="24"/>
                <w:highlight w:val="none"/>
              </w:rPr>
            </w:pPr>
            <w:r>
              <w:rPr>
                <w:rFonts w:hint="eastAsia" w:ascii="仿宋" w:hAnsi="仿宋" w:eastAsia="仿宋" w:cs="仿宋"/>
                <w:bCs/>
                <w:sz w:val="24"/>
                <w:highlight w:val="none"/>
              </w:rPr>
              <w:t>0-5分</w:t>
            </w:r>
          </w:p>
          <w:p w14:paraId="6ABA4CA8">
            <w:pPr>
              <w:jc w:val="center"/>
              <w:outlineLvl w:val="0"/>
              <w:rPr>
                <w:rFonts w:hint="eastAsia" w:ascii="仿宋" w:hAnsi="仿宋" w:eastAsia="仿宋" w:cs="仿宋"/>
                <w:bCs/>
                <w:sz w:val="24"/>
                <w:highlight w:val="none"/>
              </w:rPr>
            </w:pPr>
          </w:p>
        </w:tc>
        <w:tc>
          <w:tcPr>
            <w:tcW w:w="868" w:type="pct"/>
            <w:tcBorders>
              <w:top w:val="single" w:color="auto" w:sz="4" w:space="0"/>
              <w:left w:val="single" w:color="auto" w:sz="4" w:space="0"/>
              <w:bottom w:val="single" w:color="auto" w:sz="4" w:space="0"/>
              <w:right w:val="single" w:color="auto" w:sz="4" w:space="0"/>
            </w:tcBorders>
            <w:noWrap w:val="0"/>
            <w:vAlign w:val="center"/>
          </w:tcPr>
          <w:p w14:paraId="7DAE4403">
            <w:pPr>
              <w:jc w:val="center"/>
              <w:outlineLvl w:val="0"/>
              <w:rPr>
                <w:rFonts w:hint="eastAsia" w:ascii="仿宋" w:hAnsi="仿宋" w:eastAsia="仿宋" w:cs="仿宋"/>
                <w:bCs/>
                <w:sz w:val="24"/>
                <w:highlight w:val="none"/>
              </w:rPr>
            </w:pPr>
            <w:r>
              <w:rPr>
                <w:rFonts w:hint="eastAsia" w:ascii="仿宋" w:hAnsi="仿宋" w:eastAsia="仿宋" w:cs="仿宋"/>
                <w:bCs/>
                <w:sz w:val="24"/>
                <w:highlight w:val="none"/>
              </w:rPr>
              <w:t>主</w:t>
            </w:r>
            <w:r>
              <w:rPr>
                <w:rFonts w:hint="eastAsia" w:ascii="仿宋" w:hAnsi="仿宋" w:eastAsia="仿宋" w:cs="仿宋"/>
                <w:kern w:val="0"/>
                <w:sz w:val="24"/>
                <w:highlight w:val="none"/>
              </w:rPr>
              <w:t>观分</w:t>
            </w:r>
          </w:p>
        </w:tc>
      </w:tr>
      <w:tr w14:paraId="1BF41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71" w:type="pct"/>
            <w:tcBorders>
              <w:top w:val="nil"/>
              <w:left w:val="single" w:color="auto" w:sz="4" w:space="0"/>
              <w:bottom w:val="single" w:color="auto" w:sz="4" w:space="0"/>
              <w:right w:val="single" w:color="auto" w:sz="4" w:space="0"/>
            </w:tcBorders>
            <w:noWrap w:val="0"/>
            <w:vAlign w:val="center"/>
          </w:tcPr>
          <w:p w14:paraId="7B7DB8D0">
            <w:pPr>
              <w:jc w:val="center"/>
              <w:rPr>
                <w:rFonts w:hint="eastAsia" w:ascii="仿宋" w:hAnsi="仿宋" w:eastAsia="仿宋" w:cs="仿宋"/>
                <w:bCs/>
                <w:sz w:val="24"/>
                <w:highlight w:val="none"/>
              </w:rPr>
            </w:pPr>
            <w:r>
              <w:rPr>
                <w:rFonts w:hint="eastAsia" w:ascii="仿宋" w:hAnsi="仿宋" w:eastAsia="仿宋" w:cs="仿宋"/>
                <w:bCs/>
                <w:sz w:val="24"/>
                <w:highlight w:val="none"/>
              </w:rPr>
              <w:t>5</w:t>
            </w:r>
          </w:p>
        </w:tc>
        <w:tc>
          <w:tcPr>
            <w:tcW w:w="3123" w:type="pct"/>
            <w:tcBorders>
              <w:top w:val="nil"/>
              <w:left w:val="single" w:color="auto" w:sz="4" w:space="0"/>
              <w:bottom w:val="single" w:color="auto" w:sz="4" w:space="0"/>
              <w:right w:val="single" w:color="auto" w:sz="4" w:space="0"/>
            </w:tcBorders>
            <w:noWrap w:val="0"/>
            <w:vAlign w:val="center"/>
          </w:tcPr>
          <w:p w14:paraId="4C83DE94">
            <w:pPr>
              <w:widowControl/>
              <w:jc w:val="left"/>
              <w:textAlignment w:val="center"/>
              <w:rPr>
                <w:rFonts w:hint="eastAsia" w:ascii="仿宋" w:hAnsi="仿宋" w:eastAsia="仿宋" w:cs="仿宋"/>
                <w:bCs/>
                <w:sz w:val="24"/>
                <w:highlight w:val="none"/>
              </w:rPr>
            </w:pPr>
            <w:r>
              <w:rPr>
                <w:rFonts w:hint="eastAsia" w:ascii="仿宋" w:hAnsi="仿宋" w:eastAsia="仿宋" w:cs="仿宋"/>
                <w:bCs/>
                <w:sz w:val="24"/>
                <w:highlight w:val="none"/>
              </w:rPr>
              <w:t>根据投标人提供的安全和文明施工的保证措施、施工过程对本项目管理工作的影响性分析等</w:t>
            </w:r>
            <w:r>
              <w:rPr>
                <w:rFonts w:hint="eastAsia" w:ascii="仿宋" w:hAnsi="仿宋" w:eastAsia="仿宋" w:cs="仿宋"/>
                <w:kern w:val="0"/>
                <w:sz w:val="24"/>
                <w:highlight w:val="none"/>
              </w:rPr>
              <w:t>内容的完整性、与项目的匹配性进行评分。方案内容完整且与项目匹配度好的得5分；方案内容基本完整且与项目匹配度较好的得3分；方案内容存在欠缺或与项目匹配度一般的得1分；方案内容缺失严重或与项目不匹配的不得分</w:t>
            </w:r>
            <w:r>
              <w:rPr>
                <w:rFonts w:hint="eastAsia" w:ascii="仿宋" w:hAnsi="仿宋" w:eastAsia="仿宋" w:cs="仿宋"/>
                <w:highlight w:val="none"/>
                <w:lang w:val="zh-CN"/>
              </w:rPr>
              <w:t>。</w:t>
            </w:r>
          </w:p>
        </w:tc>
        <w:tc>
          <w:tcPr>
            <w:tcW w:w="636" w:type="pct"/>
            <w:tcBorders>
              <w:top w:val="single" w:color="auto" w:sz="4" w:space="0"/>
              <w:left w:val="single" w:color="auto" w:sz="4" w:space="0"/>
              <w:bottom w:val="single" w:color="auto" w:sz="4" w:space="0"/>
              <w:right w:val="single" w:color="auto" w:sz="4" w:space="0"/>
            </w:tcBorders>
            <w:noWrap w:val="0"/>
            <w:vAlign w:val="center"/>
          </w:tcPr>
          <w:p w14:paraId="25F8FEDC">
            <w:pPr>
              <w:jc w:val="center"/>
              <w:outlineLvl w:val="0"/>
              <w:rPr>
                <w:rFonts w:hint="eastAsia" w:ascii="仿宋" w:hAnsi="仿宋" w:eastAsia="仿宋" w:cs="仿宋"/>
                <w:bCs/>
                <w:sz w:val="24"/>
                <w:highlight w:val="none"/>
              </w:rPr>
            </w:pPr>
            <w:r>
              <w:rPr>
                <w:rFonts w:hint="eastAsia" w:ascii="仿宋" w:hAnsi="仿宋" w:eastAsia="仿宋" w:cs="仿宋"/>
                <w:bCs/>
                <w:sz w:val="24"/>
                <w:highlight w:val="none"/>
              </w:rPr>
              <w:t>0-5分</w:t>
            </w:r>
          </w:p>
          <w:p w14:paraId="56B7E427">
            <w:pPr>
              <w:jc w:val="center"/>
              <w:outlineLvl w:val="0"/>
              <w:rPr>
                <w:rFonts w:hint="eastAsia" w:ascii="仿宋" w:hAnsi="仿宋" w:eastAsia="仿宋" w:cs="仿宋"/>
                <w:bCs/>
                <w:sz w:val="24"/>
                <w:highlight w:val="none"/>
              </w:rPr>
            </w:pPr>
          </w:p>
        </w:tc>
        <w:tc>
          <w:tcPr>
            <w:tcW w:w="868" w:type="pct"/>
            <w:tcBorders>
              <w:top w:val="single" w:color="auto" w:sz="4" w:space="0"/>
              <w:left w:val="single" w:color="auto" w:sz="4" w:space="0"/>
              <w:bottom w:val="single" w:color="auto" w:sz="4" w:space="0"/>
              <w:right w:val="single" w:color="auto" w:sz="4" w:space="0"/>
            </w:tcBorders>
            <w:noWrap w:val="0"/>
            <w:vAlign w:val="center"/>
          </w:tcPr>
          <w:p w14:paraId="3145CF64">
            <w:pPr>
              <w:jc w:val="center"/>
              <w:outlineLvl w:val="0"/>
              <w:rPr>
                <w:rFonts w:hint="eastAsia" w:ascii="仿宋" w:hAnsi="仿宋" w:eastAsia="仿宋" w:cs="仿宋"/>
                <w:bCs/>
                <w:sz w:val="24"/>
                <w:highlight w:val="none"/>
              </w:rPr>
            </w:pPr>
            <w:r>
              <w:rPr>
                <w:rFonts w:hint="eastAsia" w:ascii="仿宋" w:hAnsi="仿宋" w:eastAsia="仿宋" w:cs="仿宋"/>
                <w:bCs/>
                <w:sz w:val="24"/>
                <w:highlight w:val="none"/>
              </w:rPr>
              <w:t>主</w:t>
            </w:r>
            <w:r>
              <w:rPr>
                <w:rFonts w:hint="eastAsia" w:ascii="仿宋" w:hAnsi="仿宋" w:eastAsia="仿宋" w:cs="仿宋"/>
                <w:kern w:val="0"/>
                <w:sz w:val="24"/>
                <w:highlight w:val="none"/>
              </w:rPr>
              <w:t>观分</w:t>
            </w:r>
          </w:p>
        </w:tc>
      </w:tr>
      <w:tr w14:paraId="3FBEE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371" w:type="pct"/>
            <w:tcBorders>
              <w:top w:val="nil"/>
              <w:left w:val="single" w:color="auto" w:sz="4" w:space="0"/>
              <w:bottom w:val="single" w:color="auto" w:sz="4" w:space="0"/>
              <w:right w:val="single" w:color="auto" w:sz="4" w:space="0"/>
            </w:tcBorders>
            <w:noWrap w:val="0"/>
            <w:vAlign w:val="center"/>
          </w:tcPr>
          <w:p w14:paraId="4AE6D4AD">
            <w:pPr>
              <w:jc w:val="center"/>
              <w:rPr>
                <w:rFonts w:hint="eastAsia" w:ascii="仿宋" w:hAnsi="仿宋" w:eastAsia="仿宋" w:cs="仿宋"/>
                <w:bCs/>
                <w:sz w:val="24"/>
                <w:highlight w:val="none"/>
              </w:rPr>
            </w:pPr>
            <w:r>
              <w:rPr>
                <w:rFonts w:hint="eastAsia" w:ascii="仿宋" w:hAnsi="仿宋" w:eastAsia="仿宋" w:cs="仿宋"/>
                <w:bCs/>
                <w:sz w:val="24"/>
                <w:highlight w:val="none"/>
              </w:rPr>
              <w:t>6</w:t>
            </w:r>
          </w:p>
        </w:tc>
        <w:tc>
          <w:tcPr>
            <w:tcW w:w="3123" w:type="pct"/>
            <w:tcBorders>
              <w:top w:val="nil"/>
              <w:left w:val="single" w:color="auto" w:sz="4" w:space="0"/>
              <w:bottom w:val="single" w:color="auto" w:sz="4" w:space="0"/>
              <w:right w:val="single" w:color="auto" w:sz="4" w:space="0"/>
            </w:tcBorders>
            <w:noWrap w:val="0"/>
            <w:vAlign w:val="center"/>
          </w:tcPr>
          <w:p w14:paraId="4558EB8A">
            <w:pPr>
              <w:widowControl/>
              <w:jc w:val="left"/>
              <w:textAlignment w:val="center"/>
              <w:rPr>
                <w:rFonts w:hint="eastAsia" w:ascii="仿宋" w:hAnsi="仿宋" w:eastAsia="仿宋" w:cs="仿宋"/>
                <w:bCs/>
                <w:sz w:val="24"/>
                <w:highlight w:val="none"/>
              </w:rPr>
            </w:pPr>
            <w:r>
              <w:rPr>
                <w:rFonts w:hint="eastAsia" w:ascii="仿宋" w:hAnsi="仿宋" w:eastAsia="仿宋" w:cs="仿宋"/>
                <w:bCs/>
                <w:sz w:val="24"/>
                <w:highlight w:val="none"/>
              </w:rPr>
              <w:t>本项目投标人提供的设施供货方案，内容齐全完整有针对性得5分，内容满足需求的得3分，略有不足需完善的得1分，不满足或与实际不符的不得分，最高得5分</w:t>
            </w:r>
          </w:p>
        </w:tc>
        <w:tc>
          <w:tcPr>
            <w:tcW w:w="636" w:type="pct"/>
            <w:tcBorders>
              <w:top w:val="single" w:color="auto" w:sz="4" w:space="0"/>
              <w:left w:val="single" w:color="auto" w:sz="4" w:space="0"/>
              <w:bottom w:val="single" w:color="auto" w:sz="4" w:space="0"/>
              <w:right w:val="single" w:color="auto" w:sz="4" w:space="0"/>
            </w:tcBorders>
            <w:noWrap w:val="0"/>
            <w:vAlign w:val="center"/>
          </w:tcPr>
          <w:p w14:paraId="369C81CA">
            <w:pPr>
              <w:widowControl/>
              <w:jc w:val="center"/>
              <w:textAlignment w:val="center"/>
              <w:rPr>
                <w:rFonts w:hint="eastAsia" w:ascii="仿宋" w:hAnsi="仿宋" w:eastAsia="仿宋" w:cs="仿宋"/>
                <w:bCs/>
                <w:sz w:val="24"/>
                <w:highlight w:val="none"/>
              </w:rPr>
            </w:pPr>
            <w:r>
              <w:rPr>
                <w:rFonts w:hint="eastAsia" w:ascii="仿宋" w:hAnsi="仿宋" w:eastAsia="仿宋" w:cs="仿宋"/>
                <w:bCs/>
                <w:sz w:val="24"/>
                <w:highlight w:val="none"/>
              </w:rPr>
              <w:t>0-5分</w:t>
            </w:r>
          </w:p>
          <w:p w14:paraId="702D7C9B">
            <w:pPr>
              <w:widowControl/>
              <w:jc w:val="center"/>
              <w:textAlignment w:val="center"/>
              <w:rPr>
                <w:rFonts w:hint="eastAsia" w:ascii="仿宋" w:hAnsi="仿宋" w:eastAsia="仿宋" w:cs="仿宋"/>
                <w:bCs/>
                <w:sz w:val="24"/>
                <w:highlight w:val="none"/>
              </w:rPr>
            </w:pPr>
          </w:p>
        </w:tc>
        <w:tc>
          <w:tcPr>
            <w:tcW w:w="868" w:type="pct"/>
            <w:tcBorders>
              <w:top w:val="single" w:color="auto" w:sz="4" w:space="0"/>
              <w:left w:val="single" w:color="auto" w:sz="4" w:space="0"/>
              <w:bottom w:val="single" w:color="auto" w:sz="4" w:space="0"/>
              <w:right w:val="single" w:color="auto" w:sz="4" w:space="0"/>
            </w:tcBorders>
            <w:noWrap w:val="0"/>
            <w:vAlign w:val="center"/>
          </w:tcPr>
          <w:p w14:paraId="49D1BABD">
            <w:pPr>
              <w:widowControl/>
              <w:jc w:val="center"/>
              <w:textAlignment w:val="center"/>
              <w:rPr>
                <w:rFonts w:hint="eastAsia" w:ascii="仿宋" w:hAnsi="仿宋" w:eastAsia="仿宋" w:cs="仿宋"/>
                <w:bCs/>
                <w:sz w:val="24"/>
                <w:highlight w:val="none"/>
              </w:rPr>
            </w:pPr>
            <w:r>
              <w:rPr>
                <w:rFonts w:hint="eastAsia" w:ascii="仿宋" w:hAnsi="仿宋" w:eastAsia="仿宋" w:cs="仿宋"/>
                <w:bCs/>
                <w:sz w:val="24"/>
                <w:highlight w:val="none"/>
              </w:rPr>
              <w:t>主</w:t>
            </w:r>
            <w:r>
              <w:rPr>
                <w:rFonts w:hint="eastAsia" w:ascii="仿宋" w:hAnsi="仿宋" w:eastAsia="仿宋" w:cs="仿宋"/>
                <w:kern w:val="0"/>
                <w:sz w:val="24"/>
                <w:highlight w:val="none"/>
              </w:rPr>
              <w:t>观分</w:t>
            </w:r>
          </w:p>
        </w:tc>
      </w:tr>
      <w:tr w14:paraId="78D06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1" w:type="pct"/>
            <w:tcBorders>
              <w:top w:val="nil"/>
              <w:left w:val="single" w:color="auto" w:sz="4" w:space="0"/>
              <w:bottom w:val="single" w:color="auto" w:sz="4" w:space="0"/>
              <w:right w:val="single" w:color="auto" w:sz="4" w:space="0"/>
            </w:tcBorders>
            <w:noWrap w:val="0"/>
            <w:vAlign w:val="center"/>
          </w:tcPr>
          <w:p w14:paraId="08954CF7">
            <w:pPr>
              <w:jc w:val="center"/>
              <w:rPr>
                <w:rFonts w:ascii="仿宋" w:hAnsi="仿宋" w:eastAsia="仿宋" w:cs="仿宋"/>
                <w:bCs/>
                <w:sz w:val="24"/>
                <w:highlight w:val="none"/>
              </w:rPr>
            </w:pPr>
            <w:r>
              <w:rPr>
                <w:rFonts w:hint="eastAsia" w:ascii="仿宋" w:hAnsi="仿宋" w:eastAsia="仿宋" w:cs="仿宋"/>
                <w:bCs/>
                <w:sz w:val="24"/>
                <w:highlight w:val="none"/>
              </w:rPr>
              <w:t>7</w:t>
            </w:r>
          </w:p>
        </w:tc>
        <w:tc>
          <w:tcPr>
            <w:tcW w:w="3123" w:type="pct"/>
            <w:tcBorders>
              <w:top w:val="nil"/>
              <w:left w:val="single" w:color="auto" w:sz="4" w:space="0"/>
              <w:bottom w:val="single" w:color="auto" w:sz="4" w:space="0"/>
              <w:right w:val="single" w:color="auto" w:sz="4" w:space="0"/>
            </w:tcBorders>
            <w:noWrap w:val="0"/>
            <w:vAlign w:val="center"/>
          </w:tcPr>
          <w:p w14:paraId="2A00DD29">
            <w:pPr>
              <w:widowControl/>
              <w:jc w:val="left"/>
              <w:textAlignment w:val="center"/>
              <w:rPr>
                <w:rFonts w:hint="eastAsia" w:ascii="仿宋" w:hAnsi="仿宋" w:eastAsia="仿宋" w:cs="仿宋"/>
                <w:bCs/>
                <w:sz w:val="24"/>
                <w:highlight w:val="none"/>
              </w:rPr>
            </w:pPr>
            <w:r>
              <w:rPr>
                <w:rFonts w:hint="eastAsia" w:ascii="仿宋" w:hAnsi="仿宋" w:eastAsia="仿宋" w:cs="仿宋"/>
                <w:bCs/>
                <w:sz w:val="24"/>
                <w:highlight w:val="none"/>
              </w:rPr>
              <w:t>本项目投标人提供的设施更换方案，内容齐全完整有针对性得5分，内容满足需求的得3分，略有不足需完善的得1分，不满足或与实际不符的不得分，最高得5分</w:t>
            </w:r>
          </w:p>
        </w:tc>
        <w:tc>
          <w:tcPr>
            <w:tcW w:w="636" w:type="pct"/>
            <w:tcBorders>
              <w:top w:val="single" w:color="auto" w:sz="4" w:space="0"/>
              <w:left w:val="single" w:color="auto" w:sz="4" w:space="0"/>
              <w:bottom w:val="single" w:color="auto" w:sz="4" w:space="0"/>
              <w:right w:val="single" w:color="auto" w:sz="4" w:space="0"/>
            </w:tcBorders>
            <w:noWrap w:val="0"/>
            <w:vAlign w:val="center"/>
          </w:tcPr>
          <w:p w14:paraId="167F3E69">
            <w:pPr>
              <w:widowControl/>
              <w:jc w:val="center"/>
              <w:textAlignment w:val="center"/>
              <w:rPr>
                <w:rFonts w:hint="eastAsia" w:ascii="仿宋" w:hAnsi="仿宋" w:eastAsia="仿宋" w:cs="仿宋"/>
                <w:bCs/>
                <w:sz w:val="24"/>
                <w:highlight w:val="none"/>
              </w:rPr>
            </w:pPr>
            <w:r>
              <w:rPr>
                <w:rFonts w:hint="eastAsia" w:ascii="仿宋" w:hAnsi="仿宋" w:eastAsia="仿宋" w:cs="仿宋"/>
                <w:bCs/>
                <w:sz w:val="24"/>
                <w:highlight w:val="none"/>
              </w:rPr>
              <w:t>0-5分</w:t>
            </w:r>
          </w:p>
          <w:p w14:paraId="5F754E9E">
            <w:pPr>
              <w:widowControl/>
              <w:jc w:val="center"/>
              <w:textAlignment w:val="center"/>
              <w:rPr>
                <w:rFonts w:hint="eastAsia" w:ascii="仿宋" w:hAnsi="仿宋" w:eastAsia="仿宋" w:cs="仿宋"/>
                <w:bCs/>
                <w:sz w:val="24"/>
                <w:highlight w:val="none"/>
              </w:rPr>
            </w:pPr>
          </w:p>
        </w:tc>
        <w:tc>
          <w:tcPr>
            <w:tcW w:w="868" w:type="pct"/>
            <w:tcBorders>
              <w:top w:val="single" w:color="auto" w:sz="4" w:space="0"/>
              <w:left w:val="single" w:color="auto" w:sz="4" w:space="0"/>
              <w:bottom w:val="single" w:color="auto" w:sz="4" w:space="0"/>
              <w:right w:val="single" w:color="auto" w:sz="4" w:space="0"/>
            </w:tcBorders>
            <w:noWrap w:val="0"/>
            <w:vAlign w:val="center"/>
          </w:tcPr>
          <w:p w14:paraId="21CDCD3A">
            <w:pPr>
              <w:widowControl/>
              <w:jc w:val="center"/>
              <w:textAlignment w:val="center"/>
              <w:rPr>
                <w:rFonts w:hint="eastAsia" w:ascii="仿宋" w:hAnsi="仿宋" w:eastAsia="仿宋" w:cs="仿宋"/>
                <w:bCs/>
                <w:sz w:val="24"/>
                <w:highlight w:val="none"/>
              </w:rPr>
            </w:pPr>
            <w:r>
              <w:rPr>
                <w:rFonts w:hint="eastAsia" w:ascii="仿宋" w:hAnsi="仿宋" w:eastAsia="仿宋" w:cs="仿宋"/>
                <w:bCs/>
                <w:sz w:val="24"/>
                <w:highlight w:val="none"/>
              </w:rPr>
              <w:t>主</w:t>
            </w:r>
            <w:r>
              <w:rPr>
                <w:rFonts w:hint="eastAsia" w:ascii="仿宋" w:hAnsi="仿宋" w:eastAsia="仿宋" w:cs="仿宋"/>
                <w:kern w:val="0"/>
                <w:sz w:val="24"/>
                <w:highlight w:val="none"/>
              </w:rPr>
              <w:t>观分</w:t>
            </w:r>
          </w:p>
        </w:tc>
      </w:tr>
      <w:tr w14:paraId="66DF4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71" w:type="pct"/>
            <w:tcBorders>
              <w:top w:val="nil"/>
              <w:left w:val="single" w:color="auto" w:sz="4" w:space="0"/>
              <w:bottom w:val="single" w:color="auto" w:sz="4" w:space="0"/>
              <w:right w:val="single" w:color="auto" w:sz="4" w:space="0"/>
            </w:tcBorders>
            <w:noWrap w:val="0"/>
            <w:vAlign w:val="center"/>
          </w:tcPr>
          <w:p w14:paraId="5FA06EA9">
            <w:pPr>
              <w:jc w:val="center"/>
              <w:rPr>
                <w:rFonts w:hint="eastAsia" w:ascii="仿宋" w:hAnsi="仿宋" w:eastAsia="仿宋" w:cs="仿宋"/>
                <w:bCs/>
                <w:sz w:val="24"/>
                <w:highlight w:val="none"/>
              </w:rPr>
            </w:pPr>
            <w:r>
              <w:rPr>
                <w:rFonts w:hint="eastAsia" w:ascii="仿宋" w:hAnsi="仿宋" w:eastAsia="仿宋" w:cs="仿宋"/>
                <w:bCs/>
                <w:sz w:val="24"/>
                <w:highlight w:val="none"/>
              </w:rPr>
              <w:t>8</w:t>
            </w:r>
          </w:p>
        </w:tc>
        <w:tc>
          <w:tcPr>
            <w:tcW w:w="3123" w:type="pct"/>
            <w:tcBorders>
              <w:top w:val="nil"/>
              <w:left w:val="single" w:color="auto" w:sz="4" w:space="0"/>
              <w:bottom w:val="single" w:color="auto" w:sz="4" w:space="0"/>
              <w:right w:val="single" w:color="auto" w:sz="4" w:space="0"/>
            </w:tcBorders>
            <w:noWrap w:val="0"/>
            <w:vAlign w:val="center"/>
          </w:tcPr>
          <w:p w14:paraId="62345B6E">
            <w:pPr>
              <w:jc w:val="left"/>
              <w:rPr>
                <w:rFonts w:hint="eastAsia" w:ascii="仿宋" w:hAnsi="仿宋" w:eastAsia="仿宋" w:cs="仿宋"/>
                <w:bCs/>
                <w:sz w:val="24"/>
                <w:highlight w:val="none"/>
              </w:rPr>
            </w:pPr>
            <w:r>
              <w:rPr>
                <w:rFonts w:hint="eastAsia" w:ascii="仿宋" w:hAnsi="仿宋" w:eastAsia="仿宋" w:cs="仿宋"/>
                <w:bCs/>
                <w:sz w:val="24"/>
                <w:highlight w:val="none"/>
              </w:rPr>
              <w:t>根据</w:t>
            </w:r>
            <w:r>
              <w:rPr>
                <w:rFonts w:hint="eastAsia" w:ascii="仿宋" w:hAnsi="仿宋" w:eastAsia="仿宋" w:cs="仿宋"/>
                <w:spacing w:val="-6"/>
                <w:sz w:val="24"/>
                <w:highlight w:val="none"/>
              </w:rPr>
              <w:t>投标人提供的人员特殊工种上岗证、承诺购买的保险情况等内容进行评分，内容完整、合理，能很好保障项目实施</w:t>
            </w:r>
            <w:r>
              <w:rPr>
                <w:rFonts w:hint="eastAsia" w:ascii="仿宋" w:hAnsi="仿宋" w:eastAsia="仿宋" w:cs="仿宋"/>
                <w:kern w:val="0"/>
                <w:sz w:val="24"/>
                <w:highlight w:val="none"/>
              </w:rPr>
              <w:t>的得5分；内容基本</w:t>
            </w:r>
            <w:r>
              <w:rPr>
                <w:rFonts w:hint="eastAsia" w:ascii="仿宋" w:hAnsi="仿宋" w:eastAsia="仿宋" w:cs="仿宋"/>
                <w:spacing w:val="-6"/>
                <w:sz w:val="24"/>
                <w:highlight w:val="none"/>
              </w:rPr>
              <w:t>完整、合理，能较好保障项目实施的</w:t>
            </w:r>
            <w:r>
              <w:rPr>
                <w:rFonts w:hint="eastAsia" w:ascii="仿宋" w:hAnsi="仿宋" w:eastAsia="仿宋" w:cs="仿宋"/>
                <w:kern w:val="0"/>
                <w:sz w:val="24"/>
                <w:highlight w:val="none"/>
              </w:rPr>
              <w:t>得3分；内容存在欠缺或不能较好保障项目实施的得1分；内容缺失严重或不能保障项目实施的不得分</w:t>
            </w:r>
            <w:r>
              <w:rPr>
                <w:rFonts w:hint="eastAsia" w:ascii="仿宋" w:hAnsi="仿宋" w:eastAsia="仿宋" w:cs="仿宋"/>
                <w:highlight w:val="none"/>
                <w:lang w:val="zh-CN"/>
              </w:rPr>
              <w:t>。</w:t>
            </w:r>
          </w:p>
        </w:tc>
        <w:tc>
          <w:tcPr>
            <w:tcW w:w="636" w:type="pct"/>
            <w:tcBorders>
              <w:top w:val="single" w:color="auto" w:sz="4" w:space="0"/>
              <w:left w:val="single" w:color="auto" w:sz="4" w:space="0"/>
              <w:bottom w:val="single" w:color="auto" w:sz="4" w:space="0"/>
              <w:right w:val="single" w:color="auto" w:sz="4" w:space="0"/>
            </w:tcBorders>
            <w:noWrap w:val="0"/>
            <w:vAlign w:val="center"/>
          </w:tcPr>
          <w:p w14:paraId="161603C4">
            <w:pPr>
              <w:jc w:val="center"/>
              <w:outlineLvl w:val="0"/>
              <w:rPr>
                <w:rFonts w:hint="eastAsia" w:ascii="仿宋" w:hAnsi="仿宋" w:eastAsia="仿宋" w:cs="仿宋"/>
                <w:bCs/>
                <w:sz w:val="24"/>
                <w:highlight w:val="none"/>
              </w:rPr>
            </w:pPr>
            <w:r>
              <w:rPr>
                <w:rFonts w:hint="eastAsia" w:ascii="仿宋" w:hAnsi="仿宋" w:eastAsia="仿宋" w:cs="仿宋"/>
                <w:bCs/>
                <w:sz w:val="24"/>
                <w:highlight w:val="none"/>
              </w:rPr>
              <w:t>0-5分</w:t>
            </w:r>
          </w:p>
          <w:p w14:paraId="2583F2AD">
            <w:pPr>
              <w:jc w:val="center"/>
              <w:outlineLvl w:val="0"/>
              <w:rPr>
                <w:rFonts w:hint="eastAsia" w:ascii="仿宋" w:hAnsi="仿宋" w:eastAsia="仿宋" w:cs="仿宋"/>
                <w:bCs/>
                <w:sz w:val="24"/>
                <w:highlight w:val="none"/>
              </w:rPr>
            </w:pPr>
          </w:p>
        </w:tc>
        <w:tc>
          <w:tcPr>
            <w:tcW w:w="868" w:type="pct"/>
            <w:tcBorders>
              <w:top w:val="single" w:color="auto" w:sz="4" w:space="0"/>
              <w:left w:val="single" w:color="auto" w:sz="4" w:space="0"/>
              <w:bottom w:val="single" w:color="auto" w:sz="4" w:space="0"/>
              <w:right w:val="single" w:color="auto" w:sz="4" w:space="0"/>
            </w:tcBorders>
            <w:noWrap w:val="0"/>
            <w:vAlign w:val="center"/>
          </w:tcPr>
          <w:p w14:paraId="0F8547CD">
            <w:pPr>
              <w:jc w:val="center"/>
              <w:outlineLvl w:val="0"/>
              <w:rPr>
                <w:rFonts w:hint="eastAsia" w:ascii="仿宋" w:hAnsi="仿宋" w:eastAsia="仿宋" w:cs="仿宋"/>
                <w:bCs/>
                <w:sz w:val="24"/>
                <w:highlight w:val="none"/>
              </w:rPr>
            </w:pPr>
            <w:r>
              <w:rPr>
                <w:rFonts w:hint="eastAsia" w:ascii="仿宋" w:hAnsi="仿宋" w:eastAsia="仿宋" w:cs="仿宋"/>
                <w:bCs/>
                <w:sz w:val="24"/>
                <w:highlight w:val="none"/>
              </w:rPr>
              <w:t>主</w:t>
            </w:r>
            <w:r>
              <w:rPr>
                <w:rFonts w:hint="eastAsia" w:ascii="仿宋" w:hAnsi="仿宋" w:eastAsia="仿宋" w:cs="仿宋"/>
                <w:kern w:val="0"/>
                <w:sz w:val="24"/>
                <w:highlight w:val="none"/>
              </w:rPr>
              <w:t>观分</w:t>
            </w:r>
          </w:p>
        </w:tc>
      </w:tr>
      <w:tr w14:paraId="64553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71" w:type="pct"/>
            <w:tcBorders>
              <w:top w:val="nil"/>
              <w:left w:val="single" w:color="auto" w:sz="4" w:space="0"/>
              <w:bottom w:val="single" w:color="auto" w:sz="4" w:space="0"/>
              <w:right w:val="single" w:color="auto" w:sz="4" w:space="0"/>
            </w:tcBorders>
            <w:noWrap w:val="0"/>
            <w:vAlign w:val="center"/>
          </w:tcPr>
          <w:p w14:paraId="46203B90">
            <w:pPr>
              <w:jc w:val="center"/>
              <w:rPr>
                <w:rFonts w:hint="eastAsia" w:ascii="仿宋" w:hAnsi="仿宋" w:eastAsia="仿宋" w:cs="仿宋"/>
                <w:bCs/>
                <w:sz w:val="24"/>
                <w:highlight w:val="none"/>
              </w:rPr>
            </w:pPr>
            <w:r>
              <w:rPr>
                <w:rFonts w:hint="eastAsia" w:ascii="仿宋" w:hAnsi="仿宋" w:eastAsia="仿宋" w:cs="仿宋"/>
                <w:bCs/>
                <w:sz w:val="24"/>
                <w:highlight w:val="none"/>
              </w:rPr>
              <w:t>9</w:t>
            </w:r>
          </w:p>
        </w:tc>
        <w:tc>
          <w:tcPr>
            <w:tcW w:w="3123" w:type="pct"/>
            <w:tcBorders>
              <w:top w:val="nil"/>
              <w:left w:val="single" w:color="auto" w:sz="4" w:space="0"/>
              <w:bottom w:val="single" w:color="auto" w:sz="4" w:space="0"/>
              <w:right w:val="single" w:color="auto" w:sz="4" w:space="0"/>
            </w:tcBorders>
            <w:noWrap w:val="0"/>
            <w:vAlign w:val="center"/>
          </w:tcPr>
          <w:p w14:paraId="1E565856">
            <w:pPr>
              <w:rPr>
                <w:rFonts w:hint="eastAsia" w:ascii="仿宋" w:hAnsi="仿宋" w:eastAsia="仿宋" w:cs="仿宋"/>
                <w:bCs/>
                <w:sz w:val="24"/>
                <w:highlight w:val="none"/>
              </w:rPr>
            </w:pPr>
            <w:r>
              <w:rPr>
                <w:rFonts w:hint="eastAsia" w:ascii="仿宋" w:hAnsi="仿宋" w:eastAsia="仿宋" w:cs="仿宋"/>
                <w:spacing w:val="-6"/>
                <w:sz w:val="24"/>
                <w:highlight w:val="none"/>
              </w:rPr>
              <w:t>投标人提供的实施方案（如安装工艺、人员组织措施等）的安全性、合理性、针对性等进行评价。施工方案针对性强、组织合理的</w:t>
            </w:r>
            <w:r>
              <w:rPr>
                <w:rFonts w:hint="eastAsia" w:ascii="仿宋" w:hAnsi="仿宋" w:eastAsia="仿宋" w:cs="仿宋"/>
                <w:sz w:val="24"/>
                <w:highlight w:val="none"/>
              </w:rPr>
              <w:t>得5分；</w:t>
            </w:r>
            <w:r>
              <w:rPr>
                <w:rFonts w:hint="eastAsia" w:ascii="仿宋" w:hAnsi="仿宋" w:eastAsia="仿宋" w:cs="仿宋"/>
                <w:spacing w:val="-6"/>
                <w:sz w:val="24"/>
                <w:highlight w:val="none"/>
              </w:rPr>
              <w:t>施工方案针对性较强、组织较为合理的</w:t>
            </w:r>
            <w:r>
              <w:rPr>
                <w:rFonts w:hint="eastAsia" w:ascii="仿宋" w:hAnsi="仿宋" w:eastAsia="仿宋" w:cs="仿宋"/>
                <w:sz w:val="24"/>
                <w:highlight w:val="none"/>
              </w:rPr>
              <w:t>得3分；</w:t>
            </w:r>
            <w:r>
              <w:rPr>
                <w:rFonts w:hint="eastAsia" w:ascii="仿宋" w:hAnsi="仿宋" w:eastAsia="仿宋" w:cs="仿宋"/>
                <w:spacing w:val="-6"/>
                <w:sz w:val="24"/>
                <w:highlight w:val="none"/>
              </w:rPr>
              <w:t>施工方案针对性不强、组织不太合理的</w:t>
            </w:r>
            <w:r>
              <w:rPr>
                <w:rFonts w:hint="eastAsia" w:ascii="仿宋" w:hAnsi="仿宋" w:eastAsia="仿宋" w:cs="仿宋"/>
                <w:sz w:val="24"/>
                <w:highlight w:val="none"/>
              </w:rPr>
              <w:t>得1分；施工方案不符合需求或</w:t>
            </w:r>
            <w:r>
              <w:rPr>
                <w:rFonts w:hint="eastAsia" w:ascii="仿宋" w:hAnsi="仿宋" w:eastAsia="仿宋" w:cs="仿宋"/>
                <w:spacing w:val="-6"/>
                <w:sz w:val="24"/>
                <w:highlight w:val="none"/>
              </w:rPr>
              <w:t>未提供的不得分。</w:t>
            </w:r>
          </w:p>
        </w:tc>
        <w:tc>
          <w:tcPr>
            <w:tcW w:w="636" w:type="pct"/>
            <w:tcBorders>
              <w:top w:val="single" w:color="auto" w:sz="4" w:space="0"/>
              <w:left w:val="single" w:color="auto" w:sz="4" w:space="0"/>
              <w:bottom w:val="single" w:color="auto" w:sz="4" w:space="0"/>
              <w:right w:val="single" w:color="auto" w:sz="4" w:space="0"/>
            </w:tcBorders>
            <w:noWrap w:val="0"/>
            <w:vAlign w:val="center"/>
          </w:tcPr>
          <w:p w14:paraId="77D12FC2">
            <w:pPr>
              <w:jc w:val="center"/>
              <w:outlineLvl w:val="0"/>
              <w:rPr>
                <w:rFonts w:hint="eastAsia" w:ascii="仿宋" w:hAnsi="仿宋" w:eastAsia="仿宋" w:cs="仿宋"/>
                <w:bCs/>
                <w:sz w:val="24"/>
                <w:highlight w:val="none"/>
              </w:rPr>
            </w:pPr>
            <w:r>
              <w:rPr>
                <w:rFonts w:hint="eastAsia" w:ascii="仿宋" w:hAnsi="仿宋" w:eastAsia="仿宋" w:cs="仿宋"/>
                <w:bCs/>
                <w:sz w:val="24"/>
                <w:highlight w:val="none"/>
              </w:rPr>
              <w:t>0-5分</w:t>
            </w:r>
          </w:p>
          <w:p w14:paraId="54A77D4D">
            <w:pPr>
              <w:jc w:val="center"/>
              <w:outlineLvl w:val="0"/>
              <w:rPr>
                <w:rFonts w:hint="eastAsia" w:ascii="仿宋" w:hAnsi="仿宋" w:eastAsia="仿宋" w:cs="仿宋"/>
                <w:bCs/>
                <w:sz w:val="24"/>
                <w:highlight w:val="none"/>
              </w:rPr>
            </w:pPr>
          </w:p>
        </w:tc>
        <w:tc>
          <w:tcPr>
            <w:tcW w:w="868" w:type="pct"/>
            <w:tcBorders>
              <w:top w:val="single" w:color="auto" w:sz="4" w:space="0"/>
              <w:left w:val="single" w:color="auto" w:sz="4" w:space="0"/>
              <w:bottom w:val="single" w:color="auto" w:sz="4" w:space="0"/>
              <w:right w:val="single" w:color="auto" w:sz="4" w:space="0"/>
            </w:tcBorders>
            <w:noWrap w:val="0"/>
            <w:vAlign w:val="center"/>
          </w:tcPr>
          <w:p w14:paraId="1822CAEE">
            <w:pPr>
              <w:tabs>
                <w:tab w:val="left" w:pos="449"/>
              </w:tabs>
              <w:jc w:val="center"/>
              <w:outlineLvl w:val="0"/>
              <w:rPr>
                <w:rFonts w:hint="eastAsia" w:ascii="仿宋" w:hAnsi="仿宋" w:eastAsia="仿宋" w:cs="仿宋"/>
                <w:bCs/>
                <w:sz w:val="24"/>
                <w:highlight w:val="none"/>
              </w:rPr>
            </w:pPr>
            <w:r>
              <w:rPr>
                <w:rFonts w:hint="eastAsia" w:ascii="仿宋" w:hAnsi="仿宋" w:eastAsia="仿宋" w:cs="仿宋"/>
                <w:bCs/>
                <w:sz w:val="24"/>
                <w:highlight w:val="none"/>
              </w:rPr>
              <w:t>主</w:t>
            </w:r>
            <w:r>
              <w:rPr>
                <w:rFonts w:hint="eastAsia" w:ascii="仿宋" w:hAnsi="仿宋" w:eastAsia="仿宋" w:cs="仿宋"/>
                <w:kern w:val="0"/>
                <w:sz w:val="24"/>
                <w:highlight w:val="none"/>
              </w:rPr>
              <w:t>观分</w:t>
            </w:r>
          </w:p>
        </w:tc>
      </w:tr>
      <w:tr w14:paraId="53F84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371" w:type="pct"/>
            <w:tcBorders>
              <w:top w:val="nil"/>
              <w:left w:val="single" w:color="auto" w:sz="4" w:space="0"/>
              <w:bottom w:val="single" w:color="auto" w:sz="4" w:space="0"/>
              <w:right w:val="single" w:color="auto" w:sz="4" w:space="0"/>
            </w:tcBorders>
            <w:noWrap w:val="0"/>
            <w:vAlign w:val="center"/>
          </w:tcPr>
          <w:p w14:paraId="3B221FB1">
            <w:pPr>
              <w:jc w:val="center"/>
              <w:rPr>
                <w:rFonts w:ascii="仿宋" w:hAnsi="仿宋" w:eastAsia="仿宋" w:cs="仿宋"/>
                <w:bCs/>
                <w:sz w:val="24"/>
                <w:highlight w:val="none"/>
              </w:rPr>
            </w:pPr>
            <w:r>
              <w:rPr>
                <w:rFonts w:hint="eastAsia" w:ascii="仿宋" w:hAnsi="仿宋" w:eastAsia="仿宋" w:cs="仿宋"/>
                <w:bCs/>
                <w:sz w:val="24"/>
                <w:highlight w:val="none"/>
              </w:rPr>
              <w:t>10</w:t>
            </w:r>
          </w:p>
        </w:tc>
        <w:tc>
          <w:tcPr>
            <w:tcW w:w="3123" w:type="pct"/>
            <w:tcBorders>
              <w:top w:val="nil"/>
              <w:left w:val="single" w:color="auto" w:sz="4" w:space="0"/>
              <w:bottom w:val="single" w:color="auto" w:sz="4" w:space="0"/>
              <w:right w:val="single" w:color="auto" w:sz="4" w:space="0"/>
            </w:tcBorders>
            <w:noWrap w:val="0"/>
            <w:vAlign w:val="center"/>
          </w:tcPr>
          <w:p w14:paraId="7CDD524C">
            <w:pPr>
              <w:numPr>
                <w:ilvl w:val="0"/>
                <w:numId w:val="11"/>
              </w:numPr>
              <w:rPr>
                <w:rFonts w:hint="eastAsia" w:ascii="仿宋" w:hAnsi="仿宋" w:eastAsia="仿宋" w:cs="仿宋"/>
                <w:sz w:val="24"/>
                <w:highlight w:val="none"/>
              </w:rPr>
            </w:pPr>
            <w:r>
              <w:rPr>
                <w:rFonts w:hint="eastAsia" w:ascii="仿宋" w:hAnsi="仿宋" w:eastAsia="仿宋" w:cs="仿宋"/>
                <w:sz w:val="24"/>
                <w:highlight w:val="none"/>
              </w:rPr>
              <w:t>投标人拟派项目负责人具有公路工程二级及以上建造师证书和公路工程安全生产考核证书（交安C）的</w:t>
            </w:r>
            <w:r>
              <w:rPr>
                <w:rFonts w:hint="eastAsia" w:ascii="仿宋" w:hAnsi="仿宋" w:eastAsia="仿宋" w:cs="仿宋"/>
                <w:sz w:val="24"/>
                <w:highlight w:val="none"/>
                <w:lang w:val="en-US" w:eastAsia="zh-CN"/>
              </w:rPr>
              <w:t>每个得1.5分，最高</w:t>
            </w:r>
            <w:r>
              <w:rPr>
                <w:rFonts w:hint="eastAsia" w:ascii="仿宋" w:hAnsi="仿宋" w:eastAsia="仿宋" w:cs="仿宋"/>
                <w:sz w:val="24"/>
                <w:highlight w:val="none"/>
              </w:rPr>
              <w:t>得3分</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不提供不得分</w:t>
            </w:r>
            <w:r>
              <w:rPr>
                <w:rFonts w:hint="eastAsia" w:ascii="仿宋" w:hAnsi="仿宋" w:eastAsia="仿宋" w:cs="仿宋"/>
                <w:sz w:val="24"/>
                <w:highlight w:val="none"/>
              </w:rPr>
              <w:t>。</w:t>
            </w:r>
          </w:p>
          <w:p w14:paraId="55142804">
            <w:pPr>
              <w:numPr>
                <w:ilvl w:val="0"/>
                <w:numId w:val="0"/>
              </w:numPr>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eastAsia="zh-CN"/>
              </w:rPr>
              <w:t>、</w:t>
            </w:r>
            <w:r>
              <w:rPr>
                <w:rFonts w:hint="eastAsia" w:ascii="仿宋" w:hAnsi="仿宋" w:eastAsia="仿宋" w:cs="仿宋"/>
                <w:sz w:val="24"/>
                <w:highlight w:val="none"/>
              </w:rPr>
              <w:t>投标人拟派项目技术负责人具有公路工程相关专业高级工程师证书的得3分，具有公路工程相关专业中级工程师证书的得1分</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本项最高得3分</w:t>
            </w:r>
            <w:r>
              <w:rPr>
                <w:rFonts w:hint="eastAsia" w:ascii="仿宋" w:hAnsi="仿宋" w:eastAsia="仿宋" w:cs="仿宋"/>
                <w:sz w:val="24"/>
                <w:highlight w:val="none"/>
              </w:rPr>
              <w:t>。</w:t>
            </w:r>
          </w:p>
          <w:p w14:paraId="51081509">
            <w:pPr>
              <w:spacing w:line="24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sz w:val="24"/>
                <w:highlight w:val="none"/>
              </w:rPr>
              <w:t>3</w:t>
            </w:r>
            <w:r>
              <w:rPr>
                <w:rFonts w:hint="eastAsia" w:ascii="仿宋" w:hAnsi="仿宋" w:eastAsia="仿宋" w:cs="仿宋"/>
                <w:sz w:val="24"/>
                <w:highlight w:val="none"/>
                <w:lang w:eastAsia="zh-CN"/>
              </w:rPr>
              <w:t>、</w:t>
            </w:r>
            <w:r>
              <w:rPr>
                <w:rFonts w:hint="eastAsia" w:ascii="仿宋" w:hAnsi="仿宋" w:eastAsia="仿宋" w:cs="仿宋"/>
                <w:b w:val="0"/>
                <w:bCs w:val="0"/>
                <w:color w:val="auto"/>
                <w:sz w:val="24"/>
                <w:szCs w:val="24"/>
                <w:highlight w:val="none"/>
                <w:lang w:val="en-US" w:eastAsia="zh-CN"/>
              </w:rPr>
              <w:t>投标人针对本项目技术人员至少提供7名，技术人员具有省级政府部门颁发的</w:t>
            </w:r>
            <w:r>
              <w:rPr>
                <w:rFonts w:hint="eastAsia" w:ascii="仿宋" w:hAnsi="仿宋" w:eastAsia="仿宋" w:cs="仿宋"/>
                <w:sz w:val="24"/>
                <w:highlight w:val="none"/>
              </w:rPr>
              <w:t>高处作业证或电工作业证每个得1.5分，最多得6分</w:t>
            </w:r>
            <w:r>
              <w:rPr>
                <w:rFonts w:hint="eastAsia" w:ascii="仿宋" w:hAnsi="仿宋" w:eastAsia="仿宋" w:cs="仿宋"/>
                <w:sz w:val="24"/>
                <w:highlight w:val="none"/>
                <w:lang w:eastAsia="zh-CN"/>
              </w:rPr>
              <w:t>。</w:t>
            </w:r>
            <w:r>
              <w:rPr>
                <w:rFonts w:hint="eastAsia" w:ascii="仿宋" w:hAnsi="仿宋" w:eastAsia="仿宋" w:cs="仿宋"/>
                <w:sz w:val="24"/>
                <w:highlight w:val="none"/>
              </w:rPr>
              <w:t>（所提供技术人员的证书需包含高处作业和电工作业两个类别，只提供一种专业类别的本项不得分）</w:t>
            </w:r>
          </w:p>
          <w:p w14:paraId="1CB0B95B">
            <w:pPr>
              <w:rPr>
                <w:rFonts w:hint="eastAsia"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具有</w:t>
            </w:r>
            <w:r>
              <w:rPr>
                <w:rFonts w:hint="eastAsia" w:ascii="仿宋" w:hAnsi="仿宋" w:eastAsia="仿宋" w:cs="仿宋"/>
                <w:b w:val="0"/>
                <w:bCs w:val="0"/>
                <w:color w:val="auto"/>
                <w:sz w:val="24"/>
                <w:szCs w:val="24"/>
                <w:highlight w:val="none"/>
                <w:lang w:val="en-US" w:eastAsia="zh-CN"/>
              </w:rPr>
              <w:t>省级政府部门颁发的</w:t>
            </w:r>
            <w:r>
              <w:rPr>
                <w:rFonts w:hint="eastAsia" w:ascii="仿宋" w:hAnsi="仿宋" w:eastAsia="仿宋" w:cs="仿宋"/>
                <w:sz w:val="24"/>
                <w:highlight w:val="none"/>
              </w:rPr>
              <w:t>建筑起重机械司机（施工升降机）作业证书得2分；</w:t>
            </w:r>
          </w:p>
          <w:p w14:paraId="5D952A83">
            <w:pPr>
              <w:rPr>
                <w:rFonts w:eastAsia="仿宋_GB2312"/>
                <w:highlight w:val="none"/>
              </w:rPr>
            </w:pPr>
            <w:r>
              <w:rPr>
                <w:rFonts w:hint="eastAsia" w:ascii="仿宋" w:hAnsi="仿宋" w:eastAsia="仿宋" w:cs="仿宋"/>
                <w:sz w:val="24"/>
                <w:highlight w:val="none"/>
              </w:rPr>
              <w:t>注：以上1-</w:t>
            </w:r>
            <w:r>
              <w:rPr>
                <w:rFonts w:hint="eastAsia" w:ascii="仿宋" w:hAnsi="仿宋" w:eastAsia="仿宋" w:cs="仿宋"/>
                <w:sz w:val="24"/>
                <w:highlight w:val="none"/>
                <w:lang w:val="en-US" w:eastAsia="zh-CN"/>
              </w:rPr>
              <w:t>4项</w:t>
            </w:r>
            <w:r>
              <w:rPr>
                <w:rFonts w:hint="eastAsia" w:ascii="仿宋" w:hAnsi="仿宋" w:eastAsia="仿宋" w:cs="仿宋"/>
                <w:sz w:val="24"/>
                <w:highlight w:val="none"/>
              </w:rPr>
              <w:t>人员不得重复计取，若同一人有多种证书的只能计取一次。（须提相关证书及社保部门出具的开标时间前连续三个月在本单位社保缴纳证明。）</w:t>
            </w:r>
          </w:p>
        </w:tc>
        <w:tc>
          <w:tcPr>
            <w:tcW w:w="636" w:type="pct"/>
            <w:tcBorders>
              <w:top w:val="single" w:color="auto" w:sz="4" w:space="0"/>
              <w:left w:val="single" w:color="auto" w:sz="4" w:space="0"/>
              <w:bottom w:val="single" w:color="auto" w:sz="4" w:space="0"/>
              <w:right w:val="single" w:color="auto" w:sz="4" w:space="0"/>
            </w:tcBorders>
            <w:noWrap w:val="0"/>
            <w:vAlign w:val="center"/>
          </w:tcPr>
          <w:p w14:paraId="25365FE7">
            <w:pPr>
              <w:jc w:val="center"/>
              <w:outlineLvl w:val="0"/>
              <w:rPr>
                <w:rFonts w:hint="eastAsia" w:ascii="仿宋" w:hAnsi="仿宋" w:eastAsia="仿宋" w:cs="仿宋"/>
                <w:bCs/>
                <w:sz w:val="24"/>
                <w:highlight w:val="none"/>
              </w:rPr>
            </w:pPr>
            <w:r>
              <w:rPr>
                <w:rFonts w:hint="eastAsia" w:ascii="仿宋" w:hAnsi="仿宋" w:eastAsia="仿宋" w:cs="仿宋"/>
                <w:bCs/>
                <w:sz w:val="24"/>
                <w:highlight w:val="none"/>
              </w:rPr>
              <w:t>0-1</w:t>
            </w: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分</w:t>
            </w:r>
          </w:p>
          <w:p w14:paraId="1FC02C46">
            <w:pPr>
              <w:jc w:val="center"/>
              <w:outlineLvl w:val="0"/>
              <w:rPr>
                <w:rFonts w:hint="eastAsia" w:ascii="仿宋" w:hAnsi="仿宋" w:eastAsia="仿宋" w:cs="仿宋"/>
                <w:bCs/>
                <w:sz w:val="24"/>
                <w:highlight w:val="none"/>
              </w:rPr>
            </w:pPr>
          </w:p>
        </w:tc>
        <w:tc>
          <w:tcPr>
            <w:tcW w:w="868" w:type="pct"/>
            <w:tcBorders>
              <w:top w:val="single" w:color="auto" w:sz="4" w:space="0"/>
              <w:left w:val="single" w:color="auto" w:sz="4" w:space="0"/>
              <w:bottom w:val="single" w:color="auto" w:sz="4" w:space="0"/>
              <w:right w:val="single" w:color="auto" w:sz="4" w:space="0"/>
            </w:tcBorders>
            <w:noWrap w:val="0"/>
            <w:vAlign w:val="center"/>
          </w:tcPr>
          <w:p w14:paraId="59DA1914">
            <w:pPr>
              <w:jc w:val="center"/>
              <w:outlineLvl w:val="0"/>
              <w:rPr>
                <w:rFonts w:hint="eastAsia" w:ascii="仿宋" w:hAnsi="仿宋" w:eastAsia="仿宋" w:cs="仿宋"/>
                <w:bCs/>
                <w:sz w:val="24"/>
                <w:highlight w:val="none"/>
              </w:rPr>
            </w:pPr>
            <w:r>
              <w:rPr>
                <w:rFonts w:hint="eastAsia" w:ascii="仿宋" w:hAnsi="仿宋" w:eastAsia="仿宋" w:cs="仿宋"/>
                <w:kern w:val="0"/>
                <w:sz w:val="24"/>
                <w:highlight w:val="none"/>
              </w:rPr>
              <w:t>客观分</w:t>
            </w:r>
          </w:p>
        </w:tc>
      </w:tr>
      <w:tr w14:paraId="1A64C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71" w:type="pct"/>
            <w:tcBorders>
              <w:top w:val="nil"/>
              <w:left w:val="single" w:color="auto" w:sz="4" w:space="0"/>
              <w:bottom w:val="single" w:color="auto" w:sz="4" w:space="0"/>
              <w:right w:val="single" w:color="auto" w:sz="4" w:space="0"/>
            </w:tcBorders>
            <w:noWrap w:val="0"/>
            <w:vAlign w:val="center"/>
          </w:tcPr>
          <w:p w14:paraId="2458B88D">
            <w:pPr>
              <w:jc w:val="center"/>
              <w:rPr>
                <w:rFonts w:hint="eastAsia" w:ascii="仿宋" w:hAnsi="仿宋" w:eastAsia="仿宋" w:cs="仿宋"/>
                <w:bCs/>
                <w:sz w:val="24"/>
                <w:highlight w:val="none"/>
              </w:rPr>
            </w:pPr>
            <w:r>
              <w:rPr>
                <w:rFonts w:hint="eastAsia" w:ascii="仿宋" w:hAnsi="仿宋" w:eastAsia="仿宋" w:cs="仿宋"/>
                <w:bCs/>
                <w:sz w:val="24"/>
                <w:highlight w:val="none"/>
              </w:rPr>
              <w:t>11</w:t>
            </w:r>
          </w:p>
        </w:tc>
        <w:tc>
          <w:tcPr>
            <w:tcW w:w="3123" w:type="pct"/>
            <w:tcBorders>
              <w:top w:val="nil"/>
              <w:left w:val="single" w:color="auto" w:sz="4" w:space="0"/>
              <w:bottom w:val="single" w:color="auto" w:sz="4" w:space="0"/>
              <w:right w:val="single" w:color="auto" w:sz="4" w:space="0"/>
            </w:tcBorders>
            <w:noWrap w:val="0"/>
            <w:vAlign w:val="center"/>
          </w:tcPr>
          <w:p w14:paraId="06C28B6F">
            <w:pPr>
              <w:jc w:val="left"/>
              <w:rPr>
                <w:rFonts w:hint="eastAsia" w:ascii="仿宋" w:hAnsi="仿宋" w:eastAsia="仿宋" w:cs="仿宋"/>
                <w:spacing w:val="-6"/>
                <w:sz w:val="24"/>
                <w:highlight w:val="none"/>
              </w:rPr>
            </w:pPr>
            <w:r>
              <w:rPr>
                <w:rFonts w:hint="eastAsia" w:ascii="仿宋" w:hAnsi="仿宋" w:eastAsia="仿宋" w:cs="仿宋"/>
                <w:spacing w:val="-6"/>
                <w:sz w:val="24"/>
                <w:highlight w:val="none"/>
              </w:rPr>
              <w:t>设备的投入：0-13分</w:t>
            </w:r>
          </w:p>
          <w:p w14:paraId="0DA6DD55">
            <w:pPr>
              <w:jc w:val="left"/>
              <w:rPr>
                <w:rFonts w:hint="eastAsia" w:ascii="仿宋" w:hAnsi="仿宋" w:eastAsia="仿宋" w:cs="仿宋"/>
                <w:spacing w:val="-6"/>
                <w:sz w:val="24"/>
                <w:highlight w:val="none"/>
              </w:rPr>
            </w:pPr>
            <w:r>
              <w:rPr>
                <w:rFonts w:hint="eastAsia" w:ascii="仿宋" w:hAnsi="仿宋" w:eastAsia="仿宋" w:cs="仿宋"/>
                <w:spacing w:val="-6"/>
                <w:sz w:val="24"/>
                <w:highlight w:val="none"/>
              </w:rPr>
              <w:t>1、投标人具有悬臂作业车1辆得1分；最多得1分；</w:t>
            </w:r>
          </w:p>
          <w:p w14:paraId="386AD4E5">
            <w:pPr>
              <w:jc w:val="left"/>
              <w:rPr>
                <w:rFonts w:hint="eastAsia" w:ascii="仿宋" w:hAnsi="仿宋" w:eastAsia="仿宋" w:cs="仿宋"/>
                <w:spacing w:val="-6"/>
                <w:sz w:val="24"/>
                <w:highlight w:val="none"/>
              </w:rPr>
            </w:pPr>
            <w:r>
              <w:rPr>
                <w:rFonts w:hint="eastAsia" w:ascii="仿宋" w:hAnsi="仿宋" w:eastAsia="仿宋" w:cs="仿宋"/>
                <w:spacing w:val="-6"/>
                <w:sz w:val="24"/>
                <w:highlight w:val="none"/>
              </w:rPr>
              <w:t>2、投标人具有吊车1辆得1分；最多得1分；</w:t>
            </w:r>
          </w:p>
          <w:p w14:paraId="51FF3FEE">
            <w:pPr>
              <w:jc w:val="left"/>
              <w:rPr>
                <w:rFonts w:hint="eastAsia" w:ascii="仿宋" w:hAnsi="仿宋" w:eastAsia="仿宋" w:cs="仿宋"/>
                <w:spacing w:val="-6"/>
                <w:sz w:val="24"/>
                <w:highlight w:val="none"/>
              </w:rPr>
            </w:pPr>
            <w:r>
              <w:rPr>
                <w:rFonts w:hint="eastAsia" w:ascii="仿宋" w:hAnsi="仿宋" w:eastAsia="仿宋" w:cs="仿宋"/>
                <w:spacing w:val="-6"/>
                <w:sz w:val="24"/>
                <w:highlight w:val="none"/>
              </w:rPr>
              <w:t>3、投标人具有预警车（车辆为黄色，顶部加装预警灯具）1辆得1分，最多得2分；</w:t>
            </w:r>
          </w:p>
          <w:p w14:paraId="0CC5BFC4">
            <w:pPr>
              <w:jc w:val="left"/>
              <w:rPr>
                <w:rFonts w:hint="eastAsia" w:ascii="仿宋" w:hAnsi="仿宋" w:eastAsia="仿宋" w:cs="仿宋"/>
                <w:spacing w:val="-6"/>
                <w:sz w:val="24"/>
                <w:highlight w:val="none"/>
              </w:rPr>
            </w:pPr>
            <w:r>
              <w:rPr>
                <w:rFonts w:hint="eastAsia" w:ascii="仿宋" w:hAnsi="仿宋" w:eastAsia="仿宋" w:cs="仿宋"/>
                <w:spacing w:val="-6"/>
                <w:sz w:val="24"/>
                <w:highlight w:val="none"/>
              </w:rPr>
              <w:t>4、投标人具有工程作业车1辆得1分，最多得3分；</w:t>
            </w:r>
          </w:p>
          <w:p w14:paraId="2D7A55FA">
            <w:pPr>
              <w:jc w:val="left"/>
              <w:rPr>
                <w:rFonts w:hint="eastAsia" w:ascii="仿宋" w:hAnsi="仿宋" w:eastAsia="仿宋" w:cs="仿宋"/>
                <w:spacing w:val="-6"/>
                <w:sz w:val="24"/>
                <w:highlight w:val="none"/>
              </w:rPr>
            </w:pPr>
            <w:r>
              <w:rPr>
                <w:rFonts w:hint="eastAsia" w:ascii="仿宋" w:hAnsi="仿宋" w:eastAsia="仿宋" w:cs="仿宋"/>
                <w:spacing w:val="-6"/>
                <w:sz w:val="24"/>
                <w:highlight w:val="none"/>
              </w:rPr>
              <w:t>5、投标人具有高压水除线设备的得1分，最多得1分；</w:t>
            </w:r>
          </w:p>
          <w:p w14:paraId="2B39E8A5">
            <w:pPr>
              <w:jc w:val="left"/>
              <w:rPr>
                <w:rFonts w:hint="eastAsia" w:ascii="仿宋" w:hAnsi="仿宋" w:eastAsia="仿宋" w:cs="仿宋"/>
                <w:spacing w:val="-6"/>
                <w:sz w:val="24"/>
                <w:highlight w:val="none"/>
              </w:rPr>
            </w:pPr>
            <w:r>
              <w:rPr>
                <w:rFonts w:hint="eastAsia" w:ascii="仿宋" w:hAnsi="仿宋" w:eastAsia="仿宋" w:cs="仿宋"/>
                <w:spacing w:val="-6"/>
                <w:sz w:val="24"/>
                <w:highlight w:val="none"/>
              </w:rPr>
              <w:t>6、投标人具有热熔划线机和热熔釜得2分，最多得2分；</w:t>
            </w:r>
          </w:p>
          <w:p w14:paraId="208470D0">
            <w:pPr>
              <w:jc w:val="left"/>
              <w:rPr>
                <w:rFonts w:ascii="仿宋" w:hAnsi="仿宋" w:eastAsia="仿宋" w:cs="仿宋"/>
                <w:spacing w:val="-6"/>
                <w:sz w:val="24"/>
                <w:highlight w:val="none"/>
              </w:rPr>
            </w:pPr>
            <w:r>
              <w:rPr>
                <w:rFonts w:hint="eastAsia" w:ascii="仿宋" w:hAnsi="仿宋" w:eastAsia="仿宋" w:cs="仿宋"/>
                <w:spacing w:val="-6"/>
                <w:sz w:val="24"/>
                <w:highlight w:val="none"/>
              </w:rPr>
              <w:t>7、投标人具有双组分划线机得2分，最多得2分；</w:t>
            </w:r>
          </w:p>
          <w:p w14:paraId="33876A76">
            <w:pPr>
              <w:pStyle w:val="4"/>
              <w:rPr>
                <w:rFonts w:hint="eastAsia"/>
                <w:b w:val="0"/>
                <w:bCs w:val="0"/>
                <w:highlight w:val="none"/>
                <w:lang w:val="en-US"/>
              </w:rPr>
            </w:pPr>
            <w:r>
              <w:rPr>
                <w:rFonts w:hint="eastAsia" w:ascii="仿宋" w:eastAsia="仿宋" w:cs="仿宋"/>
                <w:b w:val="0"/>
                <w:bCs w:val="0"/>
                <w:spacing w:val="-6"/>
                <w:sz w:val="24"/>
                <w:highlight w:val="none"/>
                <w:lang w:val="en-US"/>
              </w:rPr>
              <w:t>8、</w:t>
            </w:r>
            <w:r>
              <w:rPr>
                <w:rFonts w:hint="eastAsia" w:ascii="仿宋" w:eastAsia="仿宋" w:cs="仿宋"/>
                <w:b w:val="0"/>
                <w:bCs w:val="0"/>
                <w:spacing w:val="-6"/>
                <w:sz w:val="24"/>
                <w:highlight w:val="none"/>
              </w:rPr>
              <w:t>投标人具有标线逆反射系数检测仪得1分，最多得1分；</w:t>
            </w:r>
          </w:p>
          <w:p w14:paraId="4A7FEF18">
            <w:pPr>
              <w:pStyle w:val="20"/>
              <w:rPr>
                <w:rFonts w:hint="eastAsia" w:ascii="仿宋" w:hAnsi="仿宋" w:eastAsia="仿宋" w:cs="仿宋"/>
                <w:bCs/>
                <w:sz w:val="24"/>
                <w:highlight w:val="none"/>
              </w:rPr>
            </w:pPr>
            <w:r>
              <w:rPr>
                <w:rFonts w:hint="eastAsia" w:ascii="仿宋" w:hAnsi="仿宋" w:eastAsia="仿宋" w:cs="仿宋"/>
                <w:spacing w:val="-6"/>
                <w:sz w:val="24"/>
                <w:highlight w:val="none"/>
              </w:rPr>
              <w:t>【投标文件中提供车辆的行驶证及发票复印件加盖公章，机械设备提供购置发票复印件并加盖投标人公章，租赁的除以上资料外还需提供租赁合同复印件并加盖公章，未提供证明材料的不得分】</w:t>
            </w:r>
          </w:p>
        </w:tc>
        <w:tc>
          <w:tcPr>
            <w:tcW w:w="636" w:type="pct"/>
            <w:tcBorders>
              <w:top w:val="single" w:color="auto" w:sz="4" w:space="0"/>
              <w:left w:val="single" w:color="auto" w:sz="4" w:space="0"/>
              <w:bottom w:val="single" w:color="auto" w:sz="4" w:space="0"/>
              <w:right w:val="single" w:color="auto" w:sz="4" w:space="0"/>
            </w:tcBorders>
            <w:noWrap w:val="0"/>
            <w:vAlign w:val="center"/>
          </w:tcPr>
          <w:p w14:paraId="68689B18">
            <w:pPr>
              <w:jc w:val="center"/>
              <w:outlineLvl w:val="0"/>
              <w:rPr>
                <w:rFonts w:hint="eastAsia" w:ascii="仿宋" w:hAnsi="仿宋" w:eastAsia="仿宋" w:cs="仿宋"/>
                <w:bCs/>
                <w:sz w:val="24"/>
                <w:highlight w:val="none"/>
              </w:rPr>
            </w:pPr>
            <w:r>
              <w:rPr>
                <w:rFonts w:hint="eastAsia" w:ascii="仿宋" w:hAnsi="仿宋" w:eastAsia="仿宋" w:cs="仿宋"/>
                <w:bCs/>
                <w:sz w:val="24"/>
                <w:highlight w:val="none"/>
              </w:rPr>
              <w:t>0-13分</w:t>
            </w:r>
          </w:p>
          <w:p w14:paraId="3A87BB68">
            <w:pPr>
              <w:jc w:val="center"/>
              <w:outlineLvl w:val="0"/>
              <w:rPr>
                <w:rFonts w:hint="eastAsia" w:ascii="仿宋" w:hAnsi="仿宋" w:eastAsia="仿宋" w:cs="仿宋"/>
                <w:bCs/>
                <w:sz w:val="24"/>
                <w:highlight w:val="none"/>
              </w:rPr>
            </w:pPr>
          </w:p>
        </w:tc>
        <w:tc>
          <w:tcPr>
            <w:tcW w:w="868" w:type="pct"/>
            <w:tcBorders>
              <w:top w:val="single" w:color="auto" w:sz="4" w:space="0"/>
              <w:left w:val="single" w:color="auto" w:sz="4" w:space="0"/>
              <w:bottom w:val="single" w:color="auto" w:sz="4" w:space="0"/>
              <w:right w:val="single" w:color="auto" w:sz="4" w:space="0"/>
            </w:tcBorders>
            <w:noWrap w:val="0"/>
            <w:vAlign w:val="center"/>
          </w:tcPr>
          <w:p w14:paraId="7A235D79">
            <w:pPr>
              <w:jc w:val="center"/>
              <w:outlineLvl w:val="0"/>
              <w:rPr>
                <w:rFonts w:hint="eastAsia" w:ascii="仿宋" w:hAnsi="仿宋" w:eastAsia="仿宋" w:cs="仿宋"/>
                <w:bCs/>
                <w:sz w:val="24"/>
                <w:highlight w:val="none"/>
              </w:rPr>
            </w:pPr>
            <w:r>
              <w:rPr>
                <w:rFonts w:hint="eastAsia" w:ascii="仿宋" w:hAnsi="仿宋" w:eastAsia="仿宋" w:cs="仿宋"/>
                <w:kern w:val="0"/>
                <w:sz w:val="24"/>
                <w:highlight w:val="none"/>
              </w:rPr>
              <w:t>客观分</w:t>
            </w:r>
          </w:p>
        </w:tc>
      </w:tr>
      <w:tr w14:paraId="66BF8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371" w:type="pct"/>
            <w:tcBorders>
              <w:top w:val="nil"/>
              <w:left w:val="single" w:color="auto" w:sz="4" w:space="0"/>
              <w:bottom w:val="single" w:color="auto" w:sz="4" w:space="0"/>
              <w:right w:val="single" w:color="auto" w:sz="4" w:space="0"/>
            </w:tcBorders>
            <w:noWrap w:val="0"/>
            <w:vAlign w:val="center"/>
          </w:tcPr>
          <w:p w14:paraId="0967A90A">
            <w:pPr>
              <w:pStyle w:val="966"/>
              <w:jc w:val="center"/>
              <w:rPr>
                <w:rFonts w:hint="eastAsia" w:ascii="仿宋" w:hAnsi="仿宋" w:eastAsia="仿宋" w:cs="仿宋"/>
                <w:bCs/>
                <w:kern w:val="2"/>
                <w:highlight w:val="none"/>
              </w:rPr>
            </w:pPr>
            <w:r>
              <w:rPr>
                <w:rFonts w:hint="eastAsia" w:ascii="仿宋" w:hAnsi="仿宋" w:eastAsia="仿宋" w:cs="仿宋"/>
                <w:bCs/>
                <w:kern w:val="2"/>
                <w:highlight w:val="none"/>
              </w:rPr>
              <w:t>12</w:t>
            </w:r>
          </w:p>
        </w:tc>
        <w:tc>
          <w:tcPr>
            <w:tcW w:w="3123" w:type="pct"/>
            <w:tcBorders>
              <w:top w:val="nil"/>
              <w:left w:val="single" w:color="auto" w:sz="4" w:space="0"/>
              <w:bottom w:val="single" w:color="auto" w:sz="4" w:space="0"/>
              <w:right w:val="single" w:color="auto" w:sz="4" w:space="0"/>
            </w:tcBorders>
            <w:noWrap w:val="0"/>
            <w:vAlign w:val="center"/>
          </w:tcPr>
          <w:p w14:paraId="6AE39A9E">
            <w:pPr>
              <w:pStyle w:val="20"/>
              <w:rPr>
                <w:rFonts w:hint="eastAsia" w:ascii="仿宋" w:hAnsi="仿宋" w:eastAsia="仿宋" w:cs="仿宋"/>
                <w:bCs/>
                <w:sz w:val="24"/>
                <w:highlight w:val="none"/>
              </w:rPr>
            </w:pPr>
            <w:r>
              <w:rPr>
                <w:rFonts w:hint="eastAsia" w:ascii="仿宋" w:hAnsi="仿宋" w:eastAsia="仿宋" w:cs="仿宋"/>
                <w:spacing w:val="-6"/>
                <w:kern w:val="2"/>
                <w:sz w:val="24"/>
                <w:szCs w:val="24"/>
                <w:highlight w:val="none"/>
                <w:lang w:val="en-US" w:eastAsia="zh-CN" w:bidi="ar-SA"/>
              </w:rPr>
              <w:t>投标人提供的维修、保修、保养等方面的优惠措施和优惠条件情况，程度如何；以及针对本次采购的其他特殊优惠承诺等情况。优得3分，良得2分，差得或未提供的得1分。</w:t>
            </w:r>
          </w:p>
        </w:tc>
        <w:tc>
          <w:tcPr>
            <w:tcW w:w="636" w:type="pct"/>
            <w:tcBorders>
              <w:top w:val="single" w:color="auto" w:sz="4" w:space="0"/>
              <w:left w:val="single" w:color="auto" w:sz="4" w:space="0"/>
              <w:bottom w:val="single" w:color="auto" w:sz="4" w:space="0"/>
              <w:right w:val="single" w:color="auto" w:sz="4" w:space="0"/>
            </w:tcBorders>
            <w:noWrap w:val="0"/>
            <w:vAlign w:val="center"/>
          </w:tcPr>
          <w:p w14:paraId="12F2EA0C">
            <w:pPr>
              <w:jc w:val="center"/>
              <w:outlineLvl w:val="0"/>
              <w:rPr>
                <w:rFonts w:hint="eastAsia" w:ascii="仿宋" w:hAnsi="仿宋" w:eastAsia="仿宋" w:cs="仿宋"/>
                <w:bCs/>
                <w:sz w:val="24"/>
                <w:highlight w:val="none"/>
              </w:rPr>
            </w:pPr>
            <w:r>
              <w:rPr>
                <w:rFonts w:hint="eastAsia" w:ascii="仿宋" w:hAnsi="仿宋" w:eastAsia="仿宋" w:cs="仿宋"/>
                <w:bCs/>
                <w:sz w:val="24"/>
                <w:highlight w:val="none"/>
              </w:rPr>
              <w:t>0-</w:t>
            </w:r>
            <w:r>
              <w:rPr>
                <w:rFonts w:hint="eastAsia" w:ascii="仿宋" w:hAnsi="仿宋" w:eastAsia="仿宋" w:cs="仿宋"/>
                <w:bCs/>
                <w:sz w:val="24"/>
                <w:highlight w:val="none"/>
                <w:lang w:val="en-US" w:eastAsia="zh-CN"/>
              </w:rPr>
              <w:t>3</w:t>
            </w:r>
            <w:r>
              <w:rPr>
                <w:rFonts w:hint="eastAsia" w:ascii="仿宋" w:hAnsi="仿宋" w:eastAsia="仿宋" w:cs="仿宋"/>
                <w:bCs/>
                <w:sz w:val="24"/>
                <w:highlight w:val="none"/>
              </w:rPr>
              <w:t>分</w:t>
            </w:r>
          </w:p>
          <w:p w14:paraId="6298AEAD">
            <w:pPr>
              <w:jc w:val="center"/>
              <w:outlineLvl w:val="0"/>
              <w:rPr>
                <w:rFonts w:hint="eastAsia" w:ascii="仿宋" w:hAnsi="仿宋" w:eastAsia="仿宋" w:cs="仿宋"/>
                <w:bCs/>
                <w:sz w:val="24"/>
                <w:highlight w:val="none"/>
              </w:rPr>
            </w:pPr>
          </w:p>
        </w:tc>
        <w:tc>
          <w:tcPr>
            <w:tcW w:w="868" w:type="pct"/>
            <w:tcBorders>
              <w:top w:val="nil"/>
              <w:left w:val="single" w:color="auto" w:sz="4" w:space="0"/>
              <w:bottom w:val="single" w:color="auto" w:sz="4" w:space="0"/>
              <w:right w:val="single" w:color="auto" w:sz="4" w:space="0"/>
            </w:tcBorders>
            <w:noWrap w:val="0"/>
            <w:vAlign w:val="center"/>
          </w:tcPr>
          <w:p w14:paraId="11CAB622">
            <w:pPr>
              <w:widowControl/>
              <w:adjustRightInd/>
              <w:jc w:val="center"/>
              <w:rPr>
                <w:rFonts w:hint="eastAsia" w:ascii="仿宋" w:hAnsi="仿宋" w:eastAsia="仿宋" w:cs="仿宋"/>
                <w:bCs/>
                <w:sz w:val="24"/>
                <w:highlight w:val="none"/>
              </w:rPr>
            </w:pPr>
            <w:r>
              <w:rPr>
                <w:rFonts w:hint="eastAsia" w:ascii="仿宋" w:hAnsi="仿宋" w:eastAsia="仿宋" w:cs="仿宋"/>
                <w:bCs/>
                <w:sz w:val="24"/>
                <w:highlight w:val="none"/>
              </w:rPr>
              <w:t>主</w:t>
            </w:r>
            <w:r>
              <w:rPr>
                <w:rFonts w:hint="eastAsia" w:ascii="仿宋" w:hAnsi="仿宋" w:eastAsia="仿宋" w:cs="仿宋"/>
                <w:kern w:val="0"/>
                <w:sz w:val="24"/>
                <w:highlight w:val="none"/>
              </w:rPr>
              <w:t>观分</w:t>
            </w:r>
          </w:p>
        </w:tc>
      </w:tr>
      <w:tr w14:paraId="49C1B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71" w:type="pct"/>
            <w:tcBorders>
              <w:top w:val="nil"/>
              <w:left w:val="single" w:color="auto" w:sz="4" w:space="0"/>
              <w:bottom w:val="single" w:color="auto" w:sz="4" w:space="0"/>
              <w:right w:val="single" w:color="auto" w:sz="4" w:space="0"/>
            </w:tcBorders>
            <w:noWrap w:val="0"/>
            <w:vAlign w:val="center"/>
          </w:tcPr>
          <w:p w14:paraId="7FBC9321">
            <w:pPr>
              <w:pStyle w:val="966"/>
              <w:jc w:val="center"/>
              <w:rPr>
                <w:rFonts w:hint="eastAsia" w:ascii="仿宋" w:hAnsi="仿宋" w:eastAsia="仿宋" w:cs="仿宋"/>
                <w:bCs/>
                <w:kern w:val="2"/>
                <w:highlight w:val="none"/>
              </w:rPr>
            </w:pPr>
            <w:r>
              <w:rPr>
                <w:rFonts w:hint="eastAsia" w:ascii="仿宋" w:hAnsi="仿宋" w:eastAsia="仿宋" w:cs="仿宋"/>
                <w:bCs/>
                <w:kern w:val="2"/>
                <w:highlight w:val="none"/>
              </w:rPr>
              <w:t>13</w:t>
            </w:r>
          </w:p>
        </w:tc>
        <w:tc>
          <w:tcPr>
            <w:tcW w:w="3123" w:type="pct"/>
            <w:tcBorders>
              <w:top w:val="nil"/>
              <w:left w:val="single" w:color="auto" w:sz="4" w:space="0"/>
              <w:bottom w:val="single" w:color="auto" w:sz="4" w:space="0"/>
              <w:right w:val="single" w:color="auto" w:sz="4" w:space="0"/>
            </w:tcBorders>
            <w:noWrap w:val="0"/>
            <w:vAlign w:val="center"/>
          </w:tcPr>
          <w:p w14:paraId="66750162">
            <w:pPr>
              <w:rPr>
                <w:rFonts w:hint="eastAsia" w:ascii="仿宋" w:hAnsi="仿宋" w:eastAsia="仿宋" w:cs="仿宋"/>
                <w:bCs/>
                <w:sz w:val="24"/>
                <w:highlight w:val="none"/>
              </w:rPr>
            </w:pPr>
            <w:r>
              <w:rPr>
                <w:rFonts w:hint="eastAsia" w:ascii="仿宋" w:hAnsi="仿宋" w:eastAsia="仿宋" w:cs="仿宋"/>
                <w:bCs/>
                <w:sz w:val="24"/>
                <w:highlight w:val="none"/>
              </w:rPr>
              <w:t>根据</w:t>
            </w:r>
            <w:r>
              <w:rPr>
                <w:rFonts w:hint="eastAsia" w:ascii="仿宋" w:hAnsi="仿宋" w:eastAsia="仿宋" w:cs="仿宋"/>
                <w:spacing w:val="-6"/>
                <w:sz w:val="24"/>
                <w:highlight w:val="none"/>
              </w:rPr>
              <w:t>投标人提供的安全保障专项方案的专业性、合理性进行评分。安全保障专项方案专业、合理，能很好保障项目实施全程安全的得5分；安全保障专项方案较为专业、合理，能较好保障项目实施全程安全的得3分；安全保障专项方案不太专业、合理，不能较好保障项目实施全程安全的得1分；安全保障专项方案较差或未提供的不得分。</w:t>
            </w:r>
          </w:p>
        </w:tc>
        <w:tc>
          <w:tcPr>
            <w:tcW w:w="636" w:type="pct"/>
            <w:tcBorders>
              <w:top w:val="single" w:color="auto" w:sz="4" w:space="0"/>
              <w:left w:val="single" w:color="auto" w:sz="4" w:space="0"/>
              <w:bottom w:val="single" w:color="auto" w:sz="4" w:space="0"/>
              <w:right w:val="single" w:color="auto" w:sz="4" w:space="0"/>
            </w:tcBorders>
            <w:noWrap w:val="0"/>
            <w:vAlign w:val="center"/>
          </w:tcPr>
          <w:p w14:paraId="0A0279BD">
            <w:pPr>
              <w:jc w:val="center"/>
              <w:outlineLvl w:val="0"/>
              <w:rPr>
                <w:rFonts w:hint="eastAsia" w:ascii="仿宋" w:hAnsi="仿宋" w:eastAsia="仿宋" w:cs="仿宋"/>
                <w:bCs/>
                <w:sz w:val="24"/>
                <w:highlight w:val="none"/>
              </w:rPr>
            </w:pPr>
            <w:r>
              <w:rPr>
                <w:rFonts w:hint="eastAsia" w:ascii="仿宋" w:hAnsi="仿宋" w:eastAsia="仿宋" w:cs="仿宋"/>
                <w:bCs/>
                <w:sz w:val="24"/>
                <w:highlight w:val="none"/>
              </w:rPr>
              <w:t>0-5分</w:t>
            </w:r>
          </w:p>
          <w:p w14:paraId="11050FCF">
            <w:pPr>
              <w:jc w:val="center"/>
              <w:outlineLvl w:val="0"/>
              <w:rPr>
                <w:rFonts w:hint="eastAsia" w:ascii="仿宋" w:hAnsi="仿宋" w:eastAsia="仿宋" w:cs="仿宋"/>
                <w:bCs/>
                <w:sz w:val="24"/>
                <w:highlight w:val="none"/>
              </w:rPr>
            </w:pPr>
          </w:p>
        </w:tc>
        <w:tc>
          <w:tcPr>
            <w:tcW w:w="868" w:type="pct"/>
            <w:tcBorders>
              <w:top w:val="nil"/>
              <w:left w:val="single" w:color="auto" w:sz="4" w:space="0"/>
              <w:bottom w:val="single" w:color="auto" w:sz="4" w:space="0"/>
              <w:right w:val="single" w:color="auto" w:sz="4" w:space="0"/>
            </w:tcBorders>
            <w:noWrap w:val="0"/>
            <w:vAlign w:val="center"/>
          </w:tcPr>
          <w:p w14:paraId="704FAAC9">
            <w:pPr>
              <w:widowControl/>
              <w:jc w:val="center"/>
              <w:textAlignment w:val="center"/>
              <w:rPr>
                <w:rFonts w:hint="eastAsia" w:ascii="仿宋" w:hAnsi="仿宋" w:eastAsia="仿宋" w:cs="仿宋"/>
                <w:bCs/>
                <w:sz w:val="24"/>
                <w:highlight w:val="none"/>
              </w:rPr>
            </w:pPr>
            <w:r>
              <w:rPr>
                <w:rFonts w:hint="eastAsia" w:ascii="仿宋" w:hAnsi="仿宋" w:eastAsia="仿宋" w:cs="仿宋"/>
                <w:bCs/>
                <w:sz w:val="24"/>
                <w:highlight w:val="none"/>
              </w:rPr>
              <w:t>主</w:t>
            </w:r>
            <w:r>
              <w:rPr>
                <w:rFonts w:hint="eastAsia" w:ascii="仿宋" w:hAnsi="仿宋" w:eastAsia="仿宋" w:cs="仿宋"/>
                <w:kern w:val="0"/>
                <w:sz w:val="24"/>
                <w:highlight w:val="none"/>
              </w:rPr>
              <w:t>观分</w:t>
            </w:r>
          </w:p>
        </w:tc>
      </w:tr>
      <w:tr w14:paraId="4DC30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1" w:type="pct"/>
            <w:tcBorders>
              <w:top w:val="nil"/>
              <w:left w:val="single" w:color="auto" w:sz="4" w:space="0"/>
              <w:bottom w:val="nil"/>
              <w:right w:val="single" w:color="auto" w:sz="4" w:space="0"/>
            </w:tcBorders>
            <w:noWrap w:val="0"/>
            <w:vAlign w:val="center"/>
          </w:tcPr>
          <w:p w14:paraId="24C99EC4">
            <w:pPr>
              <w:jc w:val="center"/>
              <w:rPr>
                <w:rFonts w:ascii="仿宋" w:hAnsi="仿宋" w:eastAsia="仿宋" w:cs="仿宋"/>
                <w:bCs/>
                <w:sz w:val="24"/>
                <w:highlight w:val="none"/>
              </w:rPr>
            </w:pPr>
            <w:r>
              <w:rPr>
                <w:rFonts w:hint="eastAsia" w:ascii="仿宋" w:hAnsi="仿宋" w:eastAsia="仿宋" w:cs="仿宋"/>
                <w:bCs/>
                <w:sz w:val="24"/>
                <w:highlight w:val="none"/>
              </w:rPr>
              <w:t>14</w:t>
            </w:r>
          </w:p>
        </w:tc>
        <w:tc>
          <w:tcPr>
            <w:tcW w:w="3123" w:type="pct"/>
            <w:tcBorders>
              <w:top w:val="nil"/>
              <w:left w:val="single" w:color="auto" w:sz="4" w:space="0"/>
              <w:bottom w:val="nil"/>
              <w:right w:val="single" w:color="auto" w:sz="4" w:space="0"/>
            </w:tcBorders>
            <w:noWrap w:val="0"/>
            <w:vAlign w:val="center"/>
          </w:tcPr>
          <w:p w14:paraId="2633219D">
            <w:pPr>
              <w:pStyle w:val="808"/>
              <w:rPr>
                <w:rFonts w:hint="eastAsia" w:ascii="仿宋" w:hAnsi="仿宋" w:eastAsia="仿宋" w:cs="仿宋"/>
                <w:bCs/>
                <w:szCs w:val="24"/>
                <w:highlight w:val="none"/>
              </w:rPr>
            </w:pPr>
            <w:r>
              <w:rPr>
                <w:rFonts w:hint="eastAsia" w:ascii="仿宋" w:hAnsi="仿宋" w:eastAsia="仿宋" w:cs="仿宋"/>
                <w:spacing w:val="-6"/>
                <w:szCs w:val="24"/>
                <w:highlight w:val="none"/>
              </w:rPr>
              <w:t>结合实际对本项目的合理化建议。对项目的建议合理、可行且能极大改进服务质量的</w:t>
            </w:r>
            <w:r>
              <w:rPr>
                <w:rFonts w:hint="eastAsia" w:ascii="仿宋" w:hAnsi="仿宋" w:eastAsia="仿宋" w:cs="仿宋"/>
                <w:spacing w:val="-6"/>
                <w:szCs w:val="24"/>
                <w:highlight w:val="none"/>
                <w:lang w:val="zh-CN"/>
              </w:rPr>
              <w:t>得</w:t>
            </w:r>
            <w:r>
              <w:rPr>
                <w:rFonts w:hint="eastAsia" w:ascii="仿宋" w:hAnsi="仿宋" w:eastAsia="仿宋" w:cs="仿宋"/>
                <w:spacing w:val="-6"/>
                <w:szCs w:val="24"/>
                <w:highlight w:val="none"/>
              </w:rPr>
              <w:t>5分；对项目的建议合理、可行且能较好改进服务质量的</w:t>
            </w:r>
            <w:r>
              <w:rPr>
                <w:rFonts w:hint="eastAsia" w:ascii="仿宋" w:hAnsi="仿宋" w:eastAsia="仿宋" w:cs="仿宋"/>
                <w:spacing w:val="-6"/>
                <w:szCs w:val="24"/>
                <w:highlight w:val="none"/>
                <w:lang w:val="zh-CN"/>
              </w:rPr>
              <w:t>得</w:t>
            </w:r>
            <w:r>
              <w:rPr>
                <w:rFonts w:hint="eastAsia" w:ascii="仿宋" w:hAnsi="仿宋" w:eastAsia="仿宋" w:cs="仿宋"/>
                <w:spacing w:val="-6"/>
                <w:szCs w:val="24"/>
                <w:highlight w:val="none"/>
              </w:rPr>
              <w:t>3分；对项目的建议合理、可行且改进服务质量一般的</w:t>
            </w:r>
            <w:r>
              <w:rPr>
                <w:rFonts w:hint="eastAsia" w:ascii="仿宋" w:hAnsi="仿宋" w:eastAsia="仿宋" w:cs="仿宋"/>
                <w:spacing w:val="-6"/>
                <w:szCs w:val="24"/>
                <w:highlight w:val="none"/>
                <w:lang w:val="zh-CN"/>
              </w:rPr>
              <w:t>得</w:t>
            </w:r>
            <w:r>
              <w:rPr>
                <w:rFonts w:hint="eastAsia" w:ascii="仿宋" w:hAnsi="仿宋" w:eastAsia="仿宋" w:cs="仿宋"/>
                <w:spacing w:val="-6"/>
                <w:szCs w:val="24"/>
                <w:highlight w:val="none"/>
              </w:rPr>
              <w:t>1分；不提供的不得分。</w:t>
            </w:r>
          </w:p>
        </w:tc>
        <w:tc>
          <w:tcPr>
            <w:tcW w:w="636" w:type="pct"/>
            <w:tcBorders>
              <w:top w:val="single" w:color="auto" w:sz="4" w:space="0"/>
              <w:left w:val="single" w:color="auto" w:sz="4" w:space="0"/>
              <w:bottom w:val="single" w:color="auto" w:sz="4" w:space="0"/>
              <w:right w:val="single" w:color="auto" w:sz="4" w:space="0"/>
            </w:tcBorders>
            <w:noWrap w:val="0"/>
            <w:vAlign w:val="center"/>
          </w:tcPr>
          <w:p w14:paraId="3ED734A1">
            <w:pPr>
              <w:jc w:val="center"/>
              <w:outlineLvl w:val="0"/>
              <w:rPr>
                <w:rFonts w:hint="eastAsia" w:ascii="仿宋" w:hAnsi="仿宋" w:eastAsia="仿宋" w:cs="仿宋"/>
                <w:bCs/>
                <w:sz w:val="24"/>
                <w:highlight w:val="none"/>
              </w:rPr>
            </w:pPr>
            <w:r>
              <w:rPr>
                <w:rFonts w:hint="eastAsia" w:ascii="仿宋" w:hAnsi="仿宋" w:eastAsia="仿宋" w:cs="仿宋"/>
                <w:bCs/>
                <w:sz w:val="24"/>
                <w:highlight w:val="none"/>
              </w:rPr>
              <w:t>0-5分</w:t>
            </w:r>
          </w:p>
          <w:p w14:paraId="4D51CF84">
            <w:pPr>
              <w:jc w:val="center"/>
              <w:outlineLvl w:val="0"/>
              <w:rPr>
                <w:rFonts w:hint="eastAsia" w:ascii="仿宋" w:hAnsi="仿宋" w:eastAsia="仿宋" w:cs="仿宋"/>
                <w:bCs/>
                <w:sz w:val="24"/>
                <w:highlight w:val="none"/>
              </w:rPr>
            </w:pPr>
          </w:p>
        </w:tc>
        <w:tc>
          <w:tcPr>
            <w:tcW w:w="868" w:type="pct"/>
            <w:tcBorders>
              <w:top w:val="single" w:color="auto" w:sz="4" w:space="0"/>
              <w:left w:val="single" w:color="auto" w:sz="4" w:space="0"/>
              <w:bottom w:val="single" w:color="auto" w:sz="4" w:space="0"/>
              <w:right w:val="single" w:color="auto" w:sz="4" w:space="0"/>
            </w:tcBorders>
            <w:noWrap w:val="0"/>
            <w:vAlign w:val="center"/>
          </w:tcPr>
          <w:p w14:paraId="7ED23E9A">
            <w:pPr>
              <w:widowControl/>
              <w:jc w:val="center"/>
              <w:textAlignment w:val="center"/>
              <w:rPr>
                <w:rFonts w:hint="eastAsia" w:ascii="仿宋" w:hAnsi="仿宋" w:eastAsia="仿宋" w:cs="仿宋"/>
                <w:bCs/>
                <w:sz w:val="24"/>
                <w:highlight w:val="none"/>
              </w:rPr>
            </w:pPr>
            <w:r>
              <w:rPr>
                <w:rFonts w:hint="eastAsia" w:ascii="仿宋" w:hAnsi="仿宋" w:eastAsia="仿宋" w:cs="仿宋"/>
                <w:bCs/>
                <w:sz w:val="24"/>
                <w:highlight w:val="none"/>
              </w:rPr>
              <w:t>主</w:t>
            </w:r>
            <w:r>
              <w:rPr>
                <w:rFonts w:hint="eastAsia" w:ascii="仿宋" w:hAnsi="仿宋" w:eastAsia="仿宋" w:cs="仿宋"/>
                <w:kern w:val="0"/>
                <w:sz w:val="24"/>
                <w:highlight w:val="none"/>
              </w:rPr>
              <w:t>观分</w:t>
            </w:r>
          </w:p>
        </w:tc>
      </w:tr>
    </w:tbl>
    <w:p w14:paraId="192CE3E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价格分（</w:t>
      </w:r>
      <w:r>
        <w:rPr>
          <w:rFonts w:hint="eastAsia" w:ascii="仿宋" w:hAnsi="仿宋" w:eastAsia="仿宋" w:cs="仿宋"/>
          <w:b/>
          <w:bCs/>
          <w:sz w:val="24"/>
          <w:highlight w:val="none"/>
          <w:lang w:val="en-US" w:eastAsia="zh-CN"/>
        </w:rPr>
        <w:t>20</w:t>
      </w:r>
      <w:r>
        <w:rPr>
          <w:rFonts w:hint="eastAsia" w:ascii="仿宋" w:hAnsi="仿宋" w:eastAsia="仿宋" w:cs="仿宋"/>
          <w:b/>
          <w:bCs/>
          <w:sz w:val="24"/>
          <w:highlight w:val="none"/>
        </w:rPr>
        <w:t>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0"/>
        <w:gridCol w:w="6611"/>
      </w:tblGrid>
      <w:tr w14:paraId="206A8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30" w:type="dxa"/>
            <w:vAlign w:val="center"/>
          </w:tcPr>
          <w:p w14:paraId="12841611">
            <w:pPr>
              <w:jc w:val="center"/>
              <w:rPr>
                <w:rFonts w:hint="eastAsia" w:ascii="仿宋" w:hAnsi="仿宋" w:eastAsia="仿宋" w:cs="仿宋"/>
                <w:sz w:val="24"/>
                <w:highlight w:val="none"/>
              </w:rPr>
            </w:pPr>
            <w:r>
              <w:rPr>
                <w:rFonts w:hint="eastAsia" w:ascii="仿宋" w:hAnsi="仿宋" w:eastAsia="仿宋" w:cs="仿宋"/>
                <w:sz w:val="24"/>
                <w:highlight w:val="none"/>
              </w:rPr>
              <w:t>价格权值</w:t>
            </w:r>
          </w:p>
        </w:tc>
        <w:tc>
          <w:tcPr>
            <w:tcW w:w="6611" w:type="dxa"/>
            <w:vAlign w:val="center"/>
          </w:tcPr>
          <w:p w14:paraId="71D980D9">
            <w:pPr>
              <w:jc w:val="center"/>
              <w:rPr>
                <w:rFonts w:hint="eastAsia" w:ascii="仿宋" w:hAnsi="仿宋" w:eastAsia="仿宋" w:cs="仿宋"/>
                <w:sz w:val="24"/>
                <w:highlight w:val="none"/>
              </w:rPr>
            </w:pPr>
            <w:r>
              <w:rPr>
                <w:rFonts w:hint="eastAsia" w:ascii="仿宋" w:hAnsi="仿宋" w:eastAsia="仿宋" w:cs="仿宋"/>
                <w:sz w:val="24"/>
                <w:highlight w:val="none"/>
              </w:rPr>
              <w:t>计    算    方    法</w:t>
            </w:r>
          </w:p>
        </w:tc>
      </w:tr>
      <w:tr w14:paraId="06EB2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2330" w:type="dxa"/>
            <w:vAlign w:val="center"/>
          </w:tcPr>
          <w:p w14:paraId="0ACB3095">
            <w:pPr>
              <w:jc w:val="center"/>
              <w:rPr>
                <w:rFonts w:hint="eastAsia" w:ascii="仿宋" w:hAnsi="仿宋" w:eastAsia="仿宋" w:cs="仿宋"/>
                <w:sz w:val="24"/>
                <w:highlight w:val="none"/>
              </w:rPr>
            </w:pPr>
            <w:r>
              <w:rPr>
                <w:rFonts w:hint="eastAsia" w:ascii="仿宋" w:hAnsi="仿宋" w:eastAsia="仿宋" w:cs="仿宋"/>
                <w:sz w:val="24"/>
                <w:highlight w:val="none"/>
              </w:rPr>
              <w:t>价格权值=0.</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0</w:t>
            </w:r>
          </w:p>
        </w:tc>
        <w:tc>
          <w:tcPr>
            <w:tcW w:w="6611" w:type="dxa"/>
            <w:vAlign w:val="center"/>
          </w:tcPr>
          <w:p w14:paraId="414711E9">
            <w:pPr>
              <w:widowControl/>
              <w:jc w:val="center"/>
              <w:rPr>
                <w:rFonts w:hint="eastAsia" w:ascii="仿宋" w:hAnsi="仿宋" w:eastAsia="仿宋" w:cs="仿宋"/>
                <w:sz w:val="24"/>
                <w:highlight w:val="none"/>
              </w:rPr>
            </w:pPr>
            <w:r>
              <w:rPr>
                <w:rFonts w:hint="eastAsia" w:ascii="仿宋" w:hAnsi="仿宋" w:eastAsia="仿宋" w:cs="仿宋"/>
                <w:sz w:val="24"/>
                <w:highlight w:val="none"/>
              </w:rPr>
              <w:t>最低有效投标</w:t>
            </w:r>
            <w:r>
              <w:rPr>
                <w:rFonts w:hint="eastAsia" w:ascii="仿宋" w:hAnsi="仿宋" w:eastAsia="仿宋" w:cs="仿宋"/>
                <w:sz w:val="24"/>
                <w:highlight w:val="none"/>
                <w:lang w:val="en-US" w:eastAsia="zh-CN"/>
              </w:rPr>
              <w:t>折扣率</w:t>
            </w:r>
            <w:r>
              <w:rPr>
                <w:rFonts w:hint="eastAsia" w:ascii="仿宋" w:hAnsi="仿宋" w:eastAsia="仿宋" w:cs="仿宋"/>
                <w:sz w:val="24"/>
                <w:highlight w:val="none"/>
              </w:rPr>
              <w:t>为评标</w:t>
            </w:r>
            <w:r>
              <w:rPr>
                <w:rFonts w:hint="eastAsia" w:ascii="仿宋" w:hAnsi="仿宋" w:eastAsia="仿宋" w:cs="仿宋"/>
                <w:sz w:val="24"/>
                <w:highlight w:val="none"/>
                <w:lang w:val="en-US" w:eastAsia="zh-CN"/>
              </w:rPr>
              <w:t>折扣率</w:t>
            </w:r>
          </w:p>
          <w:p w14:paraId="23362BAB">
            <w:pPr>
              <w:widowControl/>
              <w:jc w:val="center"/>
              <w:rPr>
                <w:rFonts w:hint="eastAsia" w:ascii="仿宋" w:hAnsi="仿宋" w:eastAsia="仿宋" w:cs="仿宋"/>
                <w:sz w:val="24"/>
                <w:highlight w:val="none"/>
              </w:rPr>
            </w:pPr>
            <w:r>
              <w:rPr>
                <w:rFonts w:hint="eastAsia" w:ascii="仿宋" w:hAnsi="仿宋" w:eastAsia="仿宋" w:cs="仿宋"/>
                <w:sz w:val="24"/>
                <w:highlight w:val="none"/>
              </w:rPr>
              <w:t>投标报价得分=(评标</w:t>
            </w:r>
            <w:r>
              <w:rPr>
                <w:rFonts w:hint="eastAsia" w:ascii="仿宋" w:hAnsi="仿宋" w:eastAsia="仿宋" w:cs="仿宋"/>
                <w:sz w:val="24"/>
                <w:highlight w:val="none"/>
                <w:lang w:val="en-US" w:eastAsia="zh-CN"/>
              </w:rPr>
              <w:t>折扣率</w:t>
            </w:r>
            <w:r>
              <w:rPr>
                <w:rFonts w:hint="eastAsia" w:ascii="仿宋" w:hAnsi="仿宋" w:eastAsia="仿宋" w:cs="仿宋"/>
                <w:sz w:val="24"/>
                <w:highlight w:val="none"/>
              </w:rPr>
              <w:t>／投标</w:t>
            </w:r>
            <w:r>
              <w:rPr>
                <w:rFonts w:hint="eastAsia" w:ascii="仿宋" w:hAnsi="仿宋" w:eastAsia="仿宋" w:cs="仿宋"/>
                <w:sz w:val="24"/>
                <w:highlight w:val="none"/>
                <w:lang w:val="en-US" w:eastAsia="zh-CN"/>
              </w:rPr>
              <w:t>折扣率</w:t>
            </w:r>
            <w:r>
              <w:rPr>
                <w:rFonts w:hint="eastAsia" w:ascii="仿宋" w:hAnsi="仿宋" w:eastAsia="仿宋" w:cs="仿宋"/>
                <w:sz w:val="24"/>
                <w:highlight w:val="none"/>
              </w:rPr>
              <w:t>)×价格权值×100</w:t>
            </w:r>
          </w:p>
          <w:p w14:paraId="16C4359E">
            <w:pPr>
              <w:jc w:val="center"/>
              <w:rPr>
                <w:rFonts w:hint="eastAsia"/>
                <w:highlight w:val="none"/>
              </w:rPr>
            </w:pPr>
            <w:r>
              <w:rPr>
                <w:rFonts w:hint="eastAsia" w:ascii="仿宋" w:hAnsi="仿宋" w:eastAsia="仿宋" w:cs="仿宋"/>
                <w:sz w:val="24"/>
                <w:highlight w:val="none"/>
              </w:rPr>
              <w:t>（计算得分保留小数点后2位）</w:t>
            </w:r>
          </w:p>
        </w:tc>
      </w:tr>
    </w:tbl>
    <w:p w14:paraId="63CD683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color w:val="auto"/>
          <w:sz w:val="24"/>
          <w:highlight w:val="none"/>
        </w:rPr>
        <w:t xml:space="preserve">备注：1、投标人编制投标文件（商务技术文件部分）时，建议按此目录（序号和内容）提供评标标准相应的商务技术资料。 </w:t>
      </w:r>
    </w:p>
    <w:p w14:paraId="1F56A04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2、评分条款中涉及的业绩、荣誉、人员、社保等分公司均有效。涉及社保、劳动关系证明关系的，如人员为法人代表，则无需提供相关证明，提供营业执照及身份证。</w:t>
      </w:r>
    </w:p>
    <w:p w14:paraId="52F84BF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3、投标文件中如附有外文资料，必须逐一对应翻译成中文并加盖投标人公章后附在相关外文资料后面，否则外文资料不予认可。</w:t>
      </w:r>
    </w:p>
    <w:p w14:paraId="6D86A751">
      <w:pPr>
        <w:snapToGrid w:val="0"/>
        <w:spacing w:line="360" w:lineRule="auto"/>
        <w:rPr>
          <w:rFonts w:hint="eastAsia" w:ascii="仿宋" w:hAnsi="仿宋" w:eastAsia="仿宋" w:cs="仿宋"/>
          <w:b/>
          <w:color w:val="auto"/>
          <w:sz w:val="32"/>
          <w:highlight w:val="none"/>
        </w:rPr>
      </w:pPr>
    </w:p>
    <w:p w14:paraId="147A3289">
      <w:pPr>
        <w:snapToGrid w:val="0"/>
        <w:spacing w:line="360" w:lineRule="auto"/>
        <w:rPr>
          <w:rFonts w:hint="eastAsia" w:ascii="仿宋" w:hAnsi="仿宋" w:eastAsia="仿宋" w:cs="仿宋"/>
          <w:b/>
          <w:color w:val="auto"/>
          <w:sz w:val="32"/>
          <w:highlight w:val="none"/>
        </w:rPr>
      </w:pPr>
    </w:p>
    <w:p w14:paraId="2532C5D1">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3B7F5814">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110C0A25">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5B82573A">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2DD1012A">
      <w:pPr>
        <w:spacing w:line="360" w:lineRule="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三、评标程序</w:t>
      </w:r>
    </w:p>
    <w:p w14:paraId="028591F8">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68993A9">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3EA38E17">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7D59DD4A">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1E72EFF4">
      <w:pPr>
        <w:pStyle w:val="129"/>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3B80AE2D">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2D1279B2">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3113A77E">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659614C1">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427C5B2D">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4286B5A">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0835C329">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21694668">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EB07503">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F0784AE">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320BC50">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C4BE369">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w:t>
      </w:r>
      <w:r>
        <w:rPr>
          <w:rFonts w:hint="eastAsia" w:ascii="仿宋" w:hAnsi="仿宋" w:eastAsia="仿宋" w:cs="仿宋"/>
          <w:bCs/>
          <w:color w:val="auto"/>
          <w:kern w:val="0"/>
          <w:sz w:val="24"/>
          <w:highlight w:val="none"/>
        </w:rPr>
        <w:t>6</w:t>
      </w:r>
      <w:r>
        <w:rPr>
          <w:rFonts w:hint="eastAsia" w:ascii="仿宋" w:hAnsi="仿宋" w:eastAsia="仿宋" w:cs="仿宋"/>
          <w:b/>
          <w:color w:val="auto"/>
          <w:kern w:val="0"/>
          <w:sz w:val="24"/>
          <w:highlight w:val="none"/>
        </w:rPr>
        <w:t>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C1A2FAC">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789CE269">
      <w:pPr>
        <w:pStyle w:val="129"/>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300F9FF">
      <w:pPr>
        <w:pStyle w:val="27"/>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44D1B81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00C7D68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51D09A7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CD5D97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39CC95A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03A0C0EF">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431FFB5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594ECC4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5C322B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5CBBC10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7AFD7D15">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59A3B134">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4.2.12</w:t>
      </w:r>
      <w:r>
        <w:rPr>
          <w:rFonts w:hint="eastAsia" w:ascii="仿宋" w:hAnsi="仿宋" w:eastAsia="仿宋" w:cs="仿宋"/>
          <w:color w:val="auto"/>
          <w:kern w:val="0"/>
          <w:sz w:val="24"/>
          <w:highlight w:val="none"/>
          <w:lang w:val="en-US" w:eastAsia="zh-CN"/>
        </w:rPr>
        <w:t>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313FD24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投标人仅提交备份投标文件，未在电子交易平台传输递交投标文件的，投标无效；</w:t>
      </w:r>
    </w:p>
    <w:p w14:paraId="7D68DE6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投标人未提供样品或提供的样品不满足采购需求实质性条件的，投标无效；</w:t>
      </w:r>
    </w:p>
    <w:p w14:paraId="26A9A357">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投标文件不满足招标文件的实质性要求的；</w:t>
      </w:r>
    </w:p>
    <w:p w14:paraId="32DE358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4970C0D6">
      <w:pPr>
        <w:pStyle w:val="27"/>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63419D65">
      <w:pPr>
        <w:pStyle w:val="2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397BAD56">
      <w:pPr>
        <w:pStyle w:val="2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249B3EB4">
      <w:pPr>
        <w:pStyle w:val="2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3E152694">
      <w:pPr>
        <w:pStyle w:val="2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489CD492">
      <w:pPr>
        <w:pStyle w:val="2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1EBF3A0D">
      <w:pPr>
        <w:pStyle w:val="27"/>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0C044FF">
      <w:pPr>
        <w:pStyle w:val="27"/>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00E36573">
      <w:pPr>
        <w:pStyle w:val="2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7B4D5E82">
      <w:pPr>
        <w:pStyle w:val="2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5A7C0B24">
      <w:pPr>
        <w:pStyle w:val="2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5FF8830D">
      <w:pPr>
        <w:pStyle w:val="2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1F3E745A">
      <w:pPr>
        <w:spacing w:line="360" w:lineRule="auto"/>
        <w:ind w:firstLine="420"/>
        <w:outlineLvl w:val="0"/>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sz w:val="24"/>
          <w:highlight w:val="none"/>
        </w:rPr>
        <w:t>5政府采购当事人有其他违反政府采购法或者政府采购法实施条例等法律法规规定的行为，经改正后仍然影响或者可能影响中标结果或者依法被认定为中标无效的，依照7.1-7.4规定处理。</w:t>
      </w:r>
    </w:p>
    <w:p w14:paraId="1624FBE9">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A83B1E1">
      <w:pPr>
        <w:numPr>
          <w:ilvl w:val="0"/>
          <w:numId w:val="12"/>
        </w:num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拟签订的合同文本</w:t>
      </w:r>
    </w:p>
    <w:p w14:paraId="68818907">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362907CA">
      <w:pPr>
        <w:pStyle w:val="4"/>
        <w:ind w:left="0" w:firstLine="0"/>
        <w:rPr>
          <w:rFonts w:hint="eastAsia" w:ascii="仿宋" w:hAnsi="仿宋" w:eastAsia="仿宋" w:cs="仿宋"/>
          <w:color w:val="auto"/>
          <w:highlight w:val="none"/>
        </w:rPr>
      </w:pPr>
    </w:p>
    <w:p w14:paraId="55893294">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179CF85B">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49DAE7DB">
      <w:pPr>
        <w:pStyle w:val="699"/>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38F9B690">
      <w:pPr>
        <w:spacing w:before="120" w:line="22" w:lineRule="atLeast"/>
        <w:rPr>
          <w:rFonts w:hint="eastAsia" w:ascii="仿宋" w:hAnsi="仿宋" w:eastAsia="仿宋" w:cs="仿宋"/>
          <w:color w:val="auto"/>
          <w:sz w:val="24"/>
          <w:highlight w:val="none"/>
        </w:rPr>
      </w:pPr>
    </w:p>
    <w:p w14:paraId="74033C35">
      <w:pPr>
        <w:pStyle w:val="4"/>
        <w:rPr>
          <w:rFonts w:hint="eastAsia" w:ascii="仿宋" w:hAnsi="仿宋" w:eastAsia="仿宋" w:cs="仿宋"/>
          <w:color w:val="auto"/>
          <w:highlight w:val="none"/>
        </w:rPr>
      </w:pPr>
    </w:p>
    <w:p w14:paraId="7A2A31B3">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1DEC834E">
      <w:pPr>
        <w:pStyle w:val="597"/>
        <w:spacing w:before="120" w:line="22" w:lineRule="atLeast"/>
        <w:rPr>
          <w:rFonts w:hint="eastAsia" w:ascii="仿宋" w:hAnsi="仿宋" w:eastAsia="仿宋" w:cs="仿宋"/>
          <w:color w:val="auto"/>
          <w:szCs w:val="24"/>
          <w:highlight w:val="none"/>
        </w:rPr>
      </w:pPr>
    </w:p>
    <w:p w14:paraId="46A9B8E8">
      <w:pPr>
        <w:pStyle w:val="597"/>
        <w:spacing w:before="120" w:line="22" w:lineRule="atLeast"/>
        <w:rPr>
          <w:rFonts w:hint="eastAsia" w:ascii="仿宋" w:hAnsi="仿宋" w:eastAsia="仿宋" w:cs="仿宋"/>
          <w:color w:val="auto"/>
          <w:szCs w:val="24"/>
          <w:highlight w:val="none"/>
        </w:rPr>
      </w:pPr>
    </w:p>
    <w:p w14:paraId="295ACE16">
      <w:pPr>
        <w:rPr>
          <w:rFonts w:hint="eastAsia" w:ascii="仿宋" w:hAnsi="仿宋" w:eastAsia="仿宋" w:cs="仿宋"/>
          <w:color w:val="auto"/>
          <w:sz w:val="24"/>
          <w:highlight w:val="none"/>
        </w:rPr>
      </w:pPr>
    </w:p>
    <w:p w14:paraId="43D2C4C9">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7E8F786A">
      <w:pPr>
        <w:spacing w:before="120" w:line="22" w:lineRule="atLeast"/>
        <w:rPr>
          <w:rFonts w:hint="eastAsia" w:ascii="仿宋" w:hAnsi="仿宋" w:eastAsia="仿宋" w:cs="仿宋"/>
          <w:color w:val="auto"/>
          <w:sz w:val="24"/>
          <w:highlight w:val="none"/>
        </w:rPr>
      </w:pPr>
    </w:p>
    <w:p w14:paraId="6F5A5435">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34E2AE27">
      <w:pPr>
        <w:spacing w:before="120" w:line="22" w:lineRule="atLeast"/>
        <w:rPr>
          <w:rFonts w:hint="eastAsia" w:ascii="仿宋" w:hAnsi="仿宋" w:eastAsia="仿宋" w:cs="仿宋"/>
          <w:color w:val="auto"/>
          <w:sz w:val="24"/>
          <w:highlight w:val="none"/>
        </w:rPr>
      </w:pPr>
    </w:p>
    <w:p w14:paraId="5B2F9278">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78AF66C1">
      <w:pPr>
        <w:spacing w:before="120" w:line="22" w:lineRule="atLeast"/>
        <w:rPr>
          <w:rFonts w:hint="eastAsia" w:ascii="仿宋" w:hAnsi="仿宋" w:eastAsia="仿宋" w:cs="仿宋"/>
          <w:color w:val="auto"/>
          <w:sz w:val="24"/>
          <w:highlight w:val="none"/>
        </w:rPr>
      </w:pPr>
    </w:p>
    <w:p w14:paraId="28D80819">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198AE6F2">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191A46F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杭州市钱塘区人民政府义蓬街道办事处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2025年义蓬街道交通设施更新维修项目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0DC996A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杭州市钱塘区人民政府义蓬街道办事处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713D78FC">
      <w:pPr>
        <w:spacing w:line="560" w:lineRule="exact"/>
        <w:ind w:firstLine="482" w:firstLineChars="200"/>
        <w:outlineLvl w:val="0"/>
        <w:rPr>
          <w:rFonts w:hint="eastAsia" w:ascii="仿宋" w:hAnsi="仿宋" w:eastAsia="仿宋" w:cs="仿宋"/>
          <w:color w:val="auto"/>
          <w:sz w:val="24"/>
          <w:highlight w:val="none"/>
        </w:rPr>
      </w:pPr>
      <w:bookmarkStart w:id="396" w:name="_Toc28855"/>
      <w:bookmarkStart w:id="397" w:name="_Toc19273"/>
      <w:bookmarkStart w:id="398" w:name="_Toc15367"/>
      <w:bookmarkStart w:id="399" w:name="_Toc22967"/>
      <w:bookmarkStart w:id="400" w:name="_Toc20421"/>
      <w:r>
        <w:rPr>
          <w:rFonts w:hint="eastAsia" w:ascii="仿宋" w:hAnsi="仿宋" w:eastAsia="仿宋" w:cs="仿宋"/>
          <w:b/>
          <w:color w:val="auto"/>
          <w:sz w:val="24"/>
          <w:highlight w:val="none"/>
        </w:rPr>
        <w:t>1.1 合同组成部分</w:t>
      </w:r>
      <w:bookmarkEnd w:id="396"/>
      <w:bookmarkEnd w:id="397"/>
      <w:bookmarkEnd w:id="398"/>
      <w:bookmarkEnd w:id="399"/>
      <w:bookmarkEnd w:id="400"/>
    </w:p>
    <w:p w14:paraId="01B2FD8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A579BD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189A36F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238D971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5D7832C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6BD5300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7CFEF769">
      <w:pPr>
        <w:spacing w:line="560" w:lineRule="exact"/>
        <w:ind w:firstLine="482" w:firstLineChars="200"/>
        <w:outlineLvl w:val="0"/>
        <w:rPr>
          <w:rFonts w:hint="eastAsia" w:ascii="仿宋" w:hAnsi="仿宋" w:eastAsia="仿宋" w:cs="仿宋"/>
          <w:b/>
          <w:color w:val="auto"/>
          <w:sz w:val="24"/>
          <w:highlight w:val="none"/>
        </w:rPr>
      </w:pPr>
      <w:bookmarkStart w:id="401" w:name="_Toc2918"/>
      <w:bookmarkStart w:id="402" w:name="_Toc18585"/>
      <w:bookmarkStart w:id="403" w:name="_Toc22185"/>
      <w:bookmarkStart w:id="404" w:name="_Toc6311"/>
      <w:bookmarkStart w:id="405" w:name="_Toc6773"/>
      <w:r>
        <w:rPr>
          <w:rFonts w:hint="eastAsia" w:ascii="仿宋" w:hAnsi="仿宋" w:eastAsia="仿宋" w:cs="仿宋"/>
          <w:b/>
          <w:color w:val="auto"/>
          <w:sz w:val="24"/>
          <w:highlight w:val="none"/>
        </w:rPr>
        <w:t>1.2 标的</w:t>
      </w:r>
      <w:bookmarkEnd w:id="401"/>
      <w:bookmarkEnd w:id="402"/>
      <w:bookmarkEnd w:id="403"/>
      <w:bookmarkEnd w:id="404"/>
      <w:bookmarkEnd w:id="405"/>
    </w:p>
    <w:p w14:paraId="0D8CE258">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87D4268">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01026BC">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52B36370">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F033A1A">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（是/否）涉及货物。若涉及货物的的，则：</w:t>
      </w:r>
    </w:p>
    <w:p w14:paraId="2C0E0E74">
      <w:pPr>
        <w:spacing w:line="560" w:lineRule="exact"/>
        <w:ind w:firstLine="480" w:firstLineChars="200"/>
        <w:rPr>
          <w:rFonts w:hint="eastAsia" w:ascii="仿宋" w:hAnsi="仿宋" w:eastAsia="仿宋" w:cs="仿宋"/>
          <w:color w:val="auto"/>
          <w:sz w:val="24"/>
          <w:highlight w:val="none"/>
          <w:u w:val="single"/>
        </w:rPr>
      </w:pPr>
      <w:bookmarkStart w:id="406" w:name="_Toc1386"/>
      <w:bookmarkStart w:id="407" w:name="_Toc5635"/>
      <w:bookmarkStart w:id="408" w:name="_Toc4929"/>
      <w:bookmarkStart w:id="409" w:name="_Toc21124"/>
      <w:bookmarkStart w:id="410" w:name="_Toc13918"/>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6FC12D7">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93743EA">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A792A92">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6"/>
      <w:bookmarkEnd w:id="407"/>
      <w:bookmarkEnd w:id="408"/>
      <w:bookmarkEnd w:id="409"/>
      <w:bookmarkEnd w:id="410"/>
    </w:p>
    <w:p w14:paraId="35F17AC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652654D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650919F5">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C164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D4E4380">
            <w:pPr>
              <w:pStyle w:val="318"/>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62FB1D31">
            <w:pPr>
              <w:pStyle w:val="318"/>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44E70271">
            <w:pPr>
              <w:pStyle w:val="318"/>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046E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A282F3C">
            <w:pPr>
              <w:pStyle w:val="318"/>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1DB4E3D2">
            <w:pPr>
              <w:pStyle w:val="318"/>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311844C0">
            <w:pPr>
              <w:pStyle w:val="318"/>
              <w:spacing w:line="560" w:lineRule="exact"/>
              <w:ind w:firstLine="200"/>
              <w:jc w:val="center"/>
              <w:rPr>
                <w:rFonts w:hint="eastAsia" w:ascii="仿宋" w:hAnsi="仿宋" w:eastAsia="仿宋" w:cs="仿宋"/>
                <w:color w:val="auto"/>
                <w:sz w:val="24"/>
                <w:szCs w:val="24"/>
                <w:highlight w:val="none"/>
              </w:rPr>
            </w:pPr>
          </w:p>
        </w:tc>
      </w:tr>
      <w:tr w14:paraId="05EBD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C250A15">
            <w:pPr>
              <w:pStyle w:val="318"/>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4BA5AEA2">
            <w:pPr>
              <w:pStyle w:val="318"/>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54708071">
            <w:pPr>
              <w:pStyle w:val="318"/>
              <w:spacing w:line="560" w:lineRule="exact"/>
              <w:ind w:firstLine="200"/>
              <w:jc w:val="center"/>
              <w:rPr>
                <w:rFonts w:hint="eastAsia" w:ascii="仿宋" w:hAnsi="仿宋" w:eastAsia="仿宋" w:cs="仿宋"/>
                <w:color w:val="auto"/>
                <w:sz w:val="24"/>
                <w:szCs w:val="24"/>
                <w:highlight w:val="none"/>
              </w:rPr>
            </w:pPr>
          </w:p>
        </w:tc>
      </w:tr>
      <w:tr w14:paraId="2415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4917921">
            <w:pPr>
              <w:pStyle w:val="318"/>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1E2EA256">
            <w:pPr>
              <w:pStyle w:val="318"/>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7DAB4FF5">
            <w:pPr>
              <w:pStyle w:val="318"/>
              <w:spacing w:line="560" w:lineRule="exact"/>
              <w:ind w:firstLine="200"/>
              <w:jc w:val="center"/>
              <w:rPr>
                <w:rFonts w:hint="eastAsia" w:ascii="仿宋" w:hAnsi="仿宋" w:eastAsia="仿宋" w:cs="仿宋"/>
                <w:color w:val="auto"/>
                <w:sz w:val="24"/>
                <w:szCs w:val="24"/>
                <w:highlight w:val="none"/>
              </w:rPr>
            </w:pPr>
          </w:p>
        </w:tc>
      </w:tr>
      <w:tr w14:paraId="73B2B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08473CF">
            <w:pPr>
              <w:pStyle w:val="318"/>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302C4FC5">
            <w:pPr>
              <w:pStyle w:val="318"/>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457388B2">
            <w:pPr>
              <w:pStyle w:val="318"/>
              <w:spacing w:line="560" w:lineRule="exact"/>
              <w:ind w:firstLine="200"/>
              <w:jc w:val="center"/>
              <w:rPr>
                <w:rFonts w:hint="eastAsia" w:ascii="仿宋" w:hAnsi="仿宋" w:eastAsia="仿宋" w:cs="仿宋"/>
                <w:color w:val="auto"/>
                <w:sz w:val="24"/>
                <w:szCs w:val="24"/>
                <w:highlight w:val="none"/>
              </w:rPr>
            </w:pPr>
          </w:p>
        </w:tc>
      </w:tr>
      <w:tr w14:paraId="146E8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7F1E5CC">
            <w:pPr>
              <w:pStyle w:val="318"/>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01D89011">
            <w:pPr>
              <w:pStyle w:val="318"/>
              <w:spacing w:line="560" w:lineRule="exact"/>
              <w:ind w:firstLine="200"/>
              <w:jc w:val="center"/>
              <w:rPr>
                <w:rFonts w:hint="eastAsia" w:ascii="仿宋" w:hAnsi="仿宋" w:eastAsia="仿宋" w:cs="仿宋"/>
                <w:color w:val="auto"/>
                <w:sz w:val="24"/>
                <w:szCs w:val="24"/>
                <w:highlight w:val="none"/>
              </w:rPr>
            </w:pPr>
          </w:p>
        </w:tc>
      </w:tr>
    </w:tbl>
    <w:p w14:paraId="06F12076">
      <w:pPr>
        <w:spacing w:line="560" w:lineRule="exact"/>
        <w:ind w:firstLine="480" w:firstLineChars="200"/>
        <w:rPr>
          <w:rFonts w:hint="eastAsia" w:ascii="仿宋" w:hAnsi="仿宋" w:eastAsia="仿宋" w:cs="仿宋"/>
          <w:color w:val="auto"/>
          <w:sz w:val="24"/>
          <w:highlight w:val="none"/>
        </w:rPr>
      </w:pPr>
      <w:bookmarkStart w:id="411" w:name="_Toc3654"/>
      <w:bookmarkStart w:id="412" w:name="_Toc30158"/>
      <w:bookmarkStart w:id="413" w:name="_Toc14993"/>
      <w:bookmarkStart w:id="414" w:name="_Toc26916"/>
      <w:bookmarkStart w:id="415" w:name="_Toc30506"/>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536DE197">
      <w:pPr>
        <w:pStyle w:val="4"/>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11"/>
    <w:bookmarkEnd w:id="412"/>
    <w:bookmarkEnd w:id="413"/>
    <w:bookmarkEnd w:id="414"/>
    <w:bookmarkEnd w:id="415"/>
    <w:p w14:paraId="2CF72D5B">
      <w:pPr>
        <w:pStyle w:val="957"/>
        <w:spacing w:before="0" w:beforeAutospacing="0" w:after="0" w:afterAutospacing="0" w:line="360" w:lineRule="auto"/>
        <w:ind w:firstLine="480"/>
        <w:rPr>
          <w:rFonts w:hint="eastAsia" w:ascii="仿宋" w:hAnsi="仿宋" w:eastAsia="仿宋" w:cs="仿宋"/>
          <w:b/>
          <w:color w:val="auto"/>
          <w:highlight w:val="none"/>
        </w:rPr>
      </w:pPr>
      <w:bookmarkStart w:id="416" w:name="_Toc31421"/>
      <w:bookmarkStart w:id="417" w:name="_Toc3625"/>
      <w:bookmarkStart w:id="418" w:name="_Toc8772"/>
      <w:bookmarkStart w:id="419" w:name="_Toc11108"/>
      <w:bookmarkStart w:id="420" w:name="_Toc4760"/>
      <w:r>
        <w:rPr>
          <w:rFonts w:hint="eastAsia" w:ascii="仿宋" w:hAnsi="仿宋" w:eastAsia="仿宋" w:cs="仿宋"/>
          <w:b/>
          <w:color w:val="auto"/>
          <w:highlight w:val="none"/>
        </w:rPr>
        <w:t>1.4履约保证金</w:t>
      </w:r>
    </w:p>
    <w:p w14:paraId="23C15BE7">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7E1BE9AB">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4FE53F34">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A6D658C">
      <w:pPr>
        <w:pStyle w:val="4"/>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37BAA7B">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4F6EFAFD">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1.5预付款</w:t>
      </w:r>
    </w:p>
    <w:p w14:paraId="1E7D837F">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72F3DFEA">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BD0EFE7">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7DFB461">
      <w:pPr>
        <w:pStyle w:val="957"/>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DBAE42F">
      <w:pPr>
        <w:pStyle w:val="957"/>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2D4156BD">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52D4C98">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B66FF62">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16"/>
      <w:bookmarkEnd w:id="417"/>
      <w:bookmarkEnd w:id="418"/>
      <w:bookmarkEnd w:id="419"/>
      <w:bookmarkEnd w:id="420"/>
    </w:p>
    <w:p w14:paraId="6A2F3BF3">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8C5252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8C1AD2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6E9A1C7">
      <w:pPr>
        <w:spacing w:line="560" w:lineRule="exact"/>
        <w:ind w:firstLine="480" w:firstLineChars="200"/>
        <w:outlineLvl w:val="0"/>
        <w:rPr>
          <w:rFonts w:hint="eastAsia" w:ascii="仿宋" w:hAnsi="仿宋" w:eastAsia="仿宋" w:cs="仿宋"/>
          <w:bCs/>
          <w:color w:val="auto"/>
          <w:sz w:val="24"/>
          <w:highlight w:val="none"/>
        </w:rPr>
      </w:pPr>
      <w:bookmarkStart w:id="421" w:name="_Toc5698"/>
      <w:bookmarkStart w:id="422" w:name="_Toc8586"/>
      <w:bookmarkStart w:id="423" w:name="_Toc24662"/>
      <w:bookmarkStart w:id="424" w:name="_Toc2375"/>
      <w:bookmarkStart w:id="425" w:name="_Toc3079"/>
      <w:r>
        <w:rPr>
          <w:rFonts w:hint="eastAsia" w:ascii="仿宋" w:hAnsi="仿宋" w:eastAsia="仿宋" w:cs="仿宋"/>
          <w:bCs/>
          <w:color w:val="auto"/>
          <w:sz w:val="24"/>
          <w:highlight w:val="none"/>
        </w:rPr>
        <w:t>1.7.4若服务涉及货物的，则货物的：</w:t>
      </w:r>
    </w:p>
    <w:p w14:paraId="5D3BFADA">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88ED49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2EBEE0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99C419B">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21"/>
      <w:bookmarkEnd w:id="422"/>
      <w:bookmarkEnd w:id="423"/>
      <w:bookmarkEnd w:id="424"/>
      <w:bookmarkEnd w:id="425"/>
    </w:p>
    <w:p w14:paraId="270BF5F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3B61BF21">
      <w:pPr>
        <w:pStyle w:val="4"/>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4CEBDE5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4A54705D">
      <w:pPr>
        <w:spacing w:line="560" w:lineRule="exact"/>
        <w:ind w:firstLine="480" w:firstLineChars="200"/>
        <w:rPr>
          <w:rFonts w:hint="eastAsia" w:ascii="仿宋" w:hAnsi="仿宋" w:eastAsia="仿宋" w:cs="仿宋"/>
          <w:color w:val="auto"/>
          <w:sz w:val="24"/>
          <w:highlight w:val="none"/>
        </w:rPr>
      </w:pPr>
      <w:bookmarkStart w:id="426" w:name="_Toc32454"/>
      <w:bookmarkStart w:id="427" w:name="_Toc26807"/>
      <w:bookmarkStart w:id="428" w:name="_Toc30329"/>
      <w:bookmarkStart w:id="429" w:name="_Toc9497"/>
      <w:bookmarkStart w:id="430" w:name="_Toc18683"/>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A22237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0DA281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3AADA4A">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26"/>
    <w:bookmarkEnd w:id="427"/>
    <w:bookmarkEnd w:id="428"/>
    <w:bookmarkEnd w:id="429"/>
    <w:bookmarkEnd w:id="430"/>
    <w:p w14:paraId="37EA2AE3">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1.9合同争议的解决</w:t>
      </w:r>
    </w:p>
    <w:p w14:paraId="212CC299">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51A28533">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23FB573C">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4B47D024">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 合同生效</w:t>
      </w:r>
    </w:p>
    <w:p w14:paraId="29AA2ACA">
      <w:pPr>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本合同自双方当事人盖章签字时生效。</w:t>
      </w:r>
    </w:p>
    <w:p w14:paraId="0FAC58C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04679626">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1954A500">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48324E64">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27703525">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0E3F003B">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0CDA4F8E">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0B275BC0">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66EAED1E">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37C1F31A">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3E9475DA">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4E32A08B">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14EB707A">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39532C6F">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4A32080D">
      <w:pP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br w:type="page"/>
      </w:r>
    </w:p>
    <w:p w14:paraId="79AA56DD">
      <w:pPr>
        <w:pStyle w:val="699"/>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51B5FB6A">
      <w:pPr>
        <w:spacing w:line="560" w:lineRule="exact"/>
        <w:ind w:firstLine="482" w:firstLineChars="200"/>
        <w:outlineLvl w:val="0"/>
        <w:rPr>
          <w:rFonts w:hint="eastAsia" w:ascii="仿宋" w:hAnsi="仿宋" w:eastAsia="仿宋" w:cs="仿宋"/>
          <w:b/>
          <w:color w:val="auto"/>
          <w:sz w:val="24"/>
          <w:highlight w:val="none"/>
        </w:rPr>
      </w:pPr>
      <w:bookmarkStart w:id="431" w:name="_Toc19680"/>
      <w:bookmarkStart w:id="432" w:name="_Toc25079"/>
      <w:bookmarkStart w:id="433" w:name="_Toc14021"/>
      <w:bookmarkStart w:id="434" w:name="_Toc5228"/>
      <w:bookmarkStart w:id="435" w:name="_Toc31297"/>
      <w:r>
        <w:rPr>
          <w:rFonts w:hint="eastAsia" w:ascii="仿宋" w:hAnsi="仿宋" w:eastAsia="仿宋" w:cs="仿宋"/>
          <w:b/>
          <w:color w:val="auto"/>
          <w:sz w:val="24"/>
          <w:highlight w:val="none"/>
        </w:rPr>
        <w:t>2.1 定义</w:t>
      </w:r>
      <w:bookmarkEnd w:id="431"/>
      <w:bookmarkEnd w:id="432"/>
      <w:bookmarkEnd w:id="433"/>
      <w:bookmarkEnd w:id="434"/>
      <w:bookmarkEnd w:id="435"/>
    </w:p>
    <w:p w14:paraId="33E6952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4F0BE61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12EF462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69DEB60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2536B70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319A832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949FCE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779B0F2A">
      <w:pPr>
        <w:spacing w:line="560" w:lineRule="exact"/>
        <w:ind w:firstLine="482" w:firstLineChars="200"/>
        <w:outlineLvl w:val="0"/>
        <w:rPr>
          <w:rFonts w:hint="eastAsia" w:ascii="仿宋" w:hAnsi="仿宋" w:eastAsia="仿宋" w:cs="仿宋"/>
          <w:b/>
          <w:color w:val="auto"/>
          <w:sz w:val="24"/>
          <w:highlight w:val="none"/>
        </w:rPr>
      </w:pPr>
      <w:bookmarkStart w:id="436" w:name="_Toc19539"/>
      <w:bookmarkStart w:id="437" w:name="_Toc3769"/>
      <w:bookmarkStart w:id="438" w:name="_Toc23289"/>
      <w:bookmarkStart w:id="439" w:name="_Toc16752"/>
      <w:bookmarkStart w:id="440" w:name="_Toc31402"/>
      <w:r>
        <w:rPr>
          <w:rFonts w:hint="eastAsia" w:ascii="仿宋" w:hAnsi="仿宋" w:eastAsia="仿宋" w:cs="仿宋"/>
          <w:b/>
          <w:color w:val="auto"/>
          <w:sz w:val="24"/>
          <w:highlight w:val="none"/>
        </w:rPr>
        <w:t>2.2 技术规范</w:t>
      </w:r>
      <w:bookmarkEnd w:id="436"/>
      <w:bookmarkEnd w:id="437"/>
      <w:bookmarkEnd w:id="438"/>
      <w:bookmarkEnd w:id="439"/>
      <w:bookmarkEnd w:id="440"/>
    </w:p>
    <w:p w14:paraId="178C3A5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66E70F2">
      <w:pPr>
        <w:spacing w:line="560" w:lineRule="exact"/>
        <w:ind w:firstLine="482" w:firstLineChars="200"/>
        <w:outlineLvl w:val="0"/>
        <w:rPr>
          <w:rFonts w:hint="eastAsia" w:ascii="仿宋" w:hAnsi="仿宋" w:eastAsia="仿宋" w:cs="仿宋"/>
          <w:b/>
          <w:color w:val="auto"/>
          <w:sz w:val="24"/>
          <w:highlight w:val="none"/>
        </w:rPr>
      </w:pPr>
      <w:bookmarkStart w:id="441" w:name="_Toc13673"/>
      <w:bookmarkStart w:id="442" w:name="_Toc9161"/>
      <w:bookmarkStart w:id="443" w:name="_Toc27945"/>
      <w:bookmarkStart w:id="444" w:name="_Toc4133"/>
      <w:bookmarkStart w:id="445" w:name="_Toc12412"/>
      <w:r>
        <w:rPr>
          <w:rFonts w:hint="eastAsia" w:ascii="仿宋" w:hAnsi="仿宋" w:eastAsia="仿宋" w:cs="仿宋"/>
          <w:b/>
          <w:color w:val="auto"/>
          <w:sz w:val="24"/>
          <w:highlight w:val="none"/>
        </w:rPr>
        <w:t>2.3 知识产权</w:t>
      </w:r>
      <w:bookmarkEnd w:id="441"/>
      <w:bookmarkEnd w:id="442"/>
      <w:bookmarkEnd w:id="443"/>
      <w:bookmarkEnd w:id="444"/>
      <w:bookmarkEnd w:id="445"/>
    </w:p>
    <w:p w14:paraId="3E8CAFC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37E076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263F211">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016EE62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3D49729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7BD4D667">
      <w:pPr>
        <w:spacing w:line="560" w:lineRule="exact"/>
        <w:ind w:firstLine="482" w:firstLineChars="200"/>
        <w:outlineLvl w:val="0"/>
        <w:rPr>
          <w:rFonts w:hint="eastAsia" w:ascii="仿宋" w:hAnsi="仿宋" w:eastAsia="仿宋" w:cs="仿宋"/>
          <w:b/>
          <w:color w:val="auto"/>
          <w:sz w:val="24"/>
          <w:highlight w:val="none"/>
        </w:rPr>
      </w:pPr>
      <w:bookmarkStart w:id="446" w:name="_Toc32670"/>
      <w:bookmarkStart w:id="447" w:name="_Toc15447"/>
      <w:bookmarkStart w:id="448" w:name="_Toc22011"/>
      <w:bookmarkStart w:id="449" w:name="_Toc31233"/>
      <w:bookmarkStart w:id="450" w:name="_Toc26555"/>
      <w:r>
        <w:rPr>
          <w:rFonts w:hint="eastAsia" w:ascii="仿宋" w:hAnsi="仿宋" w:eastAsia="仿宋" w:cs="仿宋"/>
          <w:b/>
          <w:color w:val="auto"/>
          <w:sz w:val="24"/>
          <w:highlight w:val="none"/>
        </w:rPr>
        <w:t>2.5 结算方式和付款条件</w:t>
      </w:r>
      <w:bookmarkEnd w:id="446"/>
      <w:bookmarkEnd w:id="447"/>
      <w:bookmarkEnd w:id="448"/>
      <w:bookmarkEnd w:id="449"/>
      <w:bookmarkEnd w:id="450"/>
    </w:p>
    <w:p w14:paraId="051EA1B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486A4EE">
      <w:pPr>
        <w:spacing w:line="560" w:lineRule="exact"/>
        <w:ind w:firstLine="482" w:firstLineChars="200"/>
        <w:outlineLvl w:val="0"/>
        <w:rPr>
          <w:rFonts w:hint="eastAsia" w:ascii="仿宋" w:hAnsi="仿宋" w:eastAsia="仿宋" w:cs="仿宋"/>
          <w:b/>
          <w:color w:val="auto"/>
          <w:sz w:val="24"/>
          <w:highlight w:val="none"/>
        </w:rPr>
      </w:pPr>
      <w:bookmarkStart w:id="451" w:name="_Toc16163"/>
      <w:bookmarkStart w:id="452" w:name="_Toc18990"/>
      <w:bookmarkStart w:id="453" w:name="_Toc13467"/>
      <w:bookmarkStart w:id="454" w:name="_Toc13154"/>
      <w:bookmarkStart w:id="455" w:name="_Toc30507"/>
      <w:r>
        <w:rPr>
          <w:rFonts w:hint="eastAsia" w:ascii="仿宋" w:hAnsi="仿宋" w:eastAsia="仿宋" w:cs="仿宋"/>
          <w:b/>
          <w:color w:val="auto"/>
          <w:sz w:val="24"/>
          <w:highlight w:val="none"/>
        </w:rPr>
        <w:t>2.6 技术资料和保密义务</w:t>
      </w:r>
      <w:bookmarkEnd w:id="451"/>
      <w:bookmarkEnd w:id="452"/>
      <w:bookmarkEnd w:id="453"/>
      <w:bookmarkEnd w:id="454"/>
      <w:bookmarkEnd w:id="455"/>
    </w:p>
    <w:p w14:paraId="3C06194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256FD78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6FA7A2B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DAF42BD">
      <w:pPr>
        <w:spacing w:line="560" w:lineRule="exact"/>
        <w:ind w:firstLine="482" w:firstLineChars="200"/>
        <w:outlineLvl w:val="0"/>
        <w:rPr>
          <w:rFonts w:hint="eastAsia" w:ascii="仿宋" w:hAnsi="仿宋" w:eastAsia="仿宋" w:cs="仿宋"/>
          <w:b/>
          <w:color w:val="auto"/>
          <w:sz w:val="24"/>
          <w:highlight w:val="none"/>
        </w:rPr>
      </w:pPr>
      <w:bookmarkStart w:id="456" w:name="_Toc19069"/>
      <w:r>
        <w:rPr>
          <w:rFonts w:hint="eastAsia" w:ascii="仿宋" w:hAnsi="仿宋" w:eastAsia="仿宋" w:cs="仿宋"/>
          <w:b/>
          <w:color w:val="auto"/>
          <w:sz w:val="24"/>
          <w:highlight w:val="none"/>
        </w:rPr>
        <w:t>2.7 质量保证</w:t>
      </w:r>
      <w:bookmarkEnd w:id="456"/>
    </w:p>
    <w:p w14:paraId="461224F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5ED7B8E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7A746116">
      <w:pPr>
        <w:spacing w:line="560" w:lineRule="exact"/>
        <w:ind w:firstLine="482" w:firstLineChars="200"/>
        <w:outlineLvl w:val="0"/>
        <w:rPr>
          <w:rFonts w:hint="eastAsia" w:ascii="仿宋" w:hAnsi="仿宋" w:eastAsia="仿宋" w:cs="仿宋"/>
          <w:b/>
          <w:color w:val="auto"/>
          <w:sz w:val="24"/>
          <w:highlight w:val="none"/>
        </w:rPr>
      </w:pPr>
      <w:bookmarkStart w:id="457" w:name="_Toc22267"/>
      <w:r>
        <w:rPr>
          <w:rFonts w:hint="eastAsia" w:ascii="仿宋" w:hAnsi="仿宋" w:eastAsia="仿宋" w:cs="仿宋"/>
          <w:b/>
          <w:color w:val="auto"/>
          <w:sz w:val="24"/>
          <w:highlight w:val="none"/>
        </w:rPr>
        <w:t>2.8 延迟履行</w:t>
      </w:r>
      <w:bookmarkEnd w:id="457"/>
    </w:p>
    <w:p w14:paraId="4069C68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0BD48E6C">
      <w:pPr>
        <w:spacing w:line="560" w:lineRule="exact"/>
        <w:ind w:firstLine="482" w:firstLineChars="200"/>
        <w:outlineLvl w:val="0"/>
        <w:rPr>
          <w:rFonts w:hint="eastAsia" w:ascii="仿宋" w:hAnsi="仿宋" w:eastAsia="仿宋" w:cs="仿宋"/>
          <w:b/>
          <w:color w:val="auto"/>
          <w:sz w:val="24"/>
          <w:highlight w:val="none"/>
        </w:rPr>
      </w:pPr>
      <w:bookmarkStart w:id="458" w:name="_Toc10611"/>
      <w:r>
        <w:rPr>
          <w:rFonts w:hint="eastAsia" w:ascii="仿宋" w:hAnsi="仿宋" w:eastAsia="仿宋" w:cs="仿宋"/>
          <w:b/>
          <w:color w:val="auto"/>
          <w:sz w:val="24"/>
          <w:highlight w:val="none"/>
        </w:rPr>
        <w:t>2.9 合同变更</w:t>
      </w:r>
      <w:bookmarkEnd w:id="458"/>
    </w:p>
    <w:p w14:paraId="4CA06FF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021D771">
      <w:pPr>
        <w:spacing w:line="560" w:lineRule="exact"/>
        <w:ind w:firstLine="482" w:firstLineChars="200"/>
        <w:outlineLvl w:val="0"/>
        <w:rPr>
          <w:rFonts w:hint="eastAsia" w:ascii="仿宋" w:hAnsi="仿宋" w:eastAsia="仿宋" w:cs="仿宋"/>
          <w:b/>
          <w:color w:val="auto"/>
          <w:sz w:val="24"/>
          <w:highlight w:val="none"/>
        </w:rPr>
      </w:pPr>
      <w:bookmarkStart w:id="459" w:name="_Toc10663"/>
      <w:bookmarkStart w:id="460" w:name="_Toc26689"/>
      <w:bookmarkStart w:id="461" w:name="_Toc21830"/>
      <w:bookmarkStart w:id="462" w:name="_Toc42"/>
      <w:bookmarkStart w:id="463" w:name="_Toc23368"/>
      <w:r>
        <w:rPr>
          <w:rFonts w:hint="eastAsia" w:ascii="仿宋" w:hAnsi="仿宋" w:eastAsia="仿宋" w:cs="仿宋"/>
          <w:b/>
          <w:color w:val="auto"/>
          <w:sz w:val="24"/>
          <w:highlight w:val="none"/>
        </w:rPr>
        <w:t>2.10 合同转让和分包</w:t>
      </w:r>
      <w:bookmarkEnd w:id="459"/>
      <w:bookmarkEnd w:id="460"/>
      <w:bookmarkEnd w:id="461"/>
      <w:bookmarkEnd w:id="462"/>
      <w:bookmarkEnd w:id="463"/>
    </w:p>
    <w:p w14:paraId="5BE25D1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DF4E0D3">
      <w:pPr>
        <w:spacing w:line="560" w:lineRule="exact"/>
        <w:ind w:firstLine="482" w:firstLineChars="200"/>
        <w:outlineLvl w:val="0"/>
        <w:rPr>
          <w:rFonts w:hint="eastAsia" w:ascii="仿宋" w:hAnsi="仿宋" w:eastAsia="仿宋" w:cs="仿宋"/>
          <w:b/>
          <w:color w:val="auto"/>
          <w:sz w:val="24"/>
          <w:highlight w:val="none"/>
        </w:rPr>
      </w:pPr>
      <w:bookmarkStart w:id="464" w:name="_Toc26633"/>
      <w:bookmarkStart w:id="465" w:name="_Toc25571"/>
      <w:bookmarkStart w:id="466" w:name="_Toc4720"/>
      <w:bookmarkStart w:id="467" w:name="_Toc14371"/>
      <w:bookmarkStart w:id="468" w:name="_Toc32494"/>
      <w:r>
        <w:rPr>
          <w:rFonts w:hint="eastAsia" w:ascii="仿宋" w:hAnsi="仿宋" w:eastAsia="仿宋" w:cs="仿宋"/>
          <w:b/>
          <w:color w:val="auto"/>
          <w:sz w:val="24"/>
          <w:highlight w:val="none"/>
        </w:rPr>
        <w:t>2.11 不可抗力</w:t>
      </w:r>
      <w:bookmarkEnd w:id="464"/>
      <w:bookmarkEnd w:id="465"/>
      <w:bookmarkEnd w:id="466"/>
      <w:bookmarkEnd w:id="467"/>
      <w:bookmarkEnd w:id="468"/>
    </w:p>
    <w:p w14:paraId="0503D18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2EE2A0D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26822AA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433D301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4E140F78">
      <w:pPr>
        <w:spacing w:line="560" w:lineRule="exact"/>
        <w:ind w:firstLine="482" w:firstLineChars="200"/>
        <w:outlineLvl w:val="0"/>
        <w:rPr>
          <w:rFonts w:hint="eastAsia" w:ascii="仿宋" w:hAnsi="仿宋" w:eastAsia="仿宋" w:cs="仿宋"/>
          <w:b/>
          <w:color w:val="auto"/>
          <w:sz w:val="24"/>
          <w:highlight w:val="none"/>
        </w:rPr>
      </w:pPr>
      <w:bookmarkStart w:id="469" w:name="_Toc14115"/>
      <w:bookmarkStart w:id="470" w:name="_Toc25783"/>
      <w:bookmarkStart w:id="471" w:name="_Toc23854"/>
      <w:bookmarkStart w:id="472" w:name="_Toc24465"/>
      <w:bookmarkStart w:id="473" w:name="_Toc3638"/>
      <w:r>
        <w:rPr>
          <w:rFonts w:hint="eastAsia" w:ascii="仿宋" w:hAnsi="仿宋" w:eastAsia="仿宋" w:cs="仿宋"/>
          <w:b/>
          <w:color w:val="auto"/>
          <w:sz w:val="24"/>
          <w:highlight w:val="none"/>
        </w:rPr>
        <w:t>2.12 税费</w:t>
      </w:r>
      <w:bookmarkEnd w:id="469"/>
      <w:bookmarkEnd w:id="470"/>
      <w:bookmarkEnd w:id="471"/>
      <w:bookmarkEnd w:id="472"/>
      <w:bookmarkEnd w:id="473"/>
    </w:p>
    <w:p w14:paraId="321D9FD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56CF9BF7">
      <w:pPr>
        <w:spacing w:line="560" w:lineRule="exact"/>
        <w:ind w:firstLine="482" w:firstLineChars="200"/>
        <w:outlineLvl w:val="0"/>
        <w:rPr>
          <w:rFonts w:hint="eastAsia" w:ascii="仿宋" w:hAnsi="仿宋" w:eastAsia="仿宋" w:cs="仿宋"/>
          <w:b/>
          <w:color w:val="auto"/>
          <w:sz w:val="24"/>
          <w:highlight w:val="none"/>
        </w:rPr>
      </w:pPr>
      <w:bookmarkStart w:id="474" w:name="_Toc14814"/>
      <w:bookmarkStart w:id="475" w:name="_Toc26883"/>
      <w:bookmarkStart w:id="476" w:name="_Toc30105"/>
      <w:bookmarkStart w:id="477" w:name="_Toc25525"/>
      <w:bookmarkStart w:id="478" w:name="_Toc7315"/>
      <w:r>
        <w:rPr>
          <w:rFonts w:hint="eastAsia" w:ascii="仿宋" w:hAnsi="仿宋" w:eastAsia="仿宋" w:cs="仿宋"/>
          <w:b/>
          <w:color w:val="auto"/>
          <w:sz w:val="24"/>
          <w:highlight w:val="none"/>
        </w:rPr>
        <w:t>2.13 乙方破产</w:t>
      </w:r>
      <w:bookmarkEnd w:id="474"/>
      <w:bookmarkEnd w:id="475"/>
      <w:bookmarkEnd w:id="476"/>
      <w:bookmarkEnd w:id="477"/>
      <w:bookmarkEnd w:id="478"/>
    </w:p>
    <w:p w14:paraId="2AFFFF8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13AAC6E">
      <w:pPr>
        <w:spacing w:line="560" w:lineRule="exact"/>
        <w:ind w:firstLine="482" w:firstLineChars="200"/>
        <w:outlineLvl w:val="0"/>
        <w:rPr>
          <w:rFonts w:hint="eastAsia" w:ascii="仿宋" w:hAnsi="仿宋" w:eastAsia="仿宋" w:cs="仿宋"/>
          <w:b/>
          <w:color w:val="auto"/>
          <w:sz w:val="24"/>
          <w:highlight w:val="none"/>
        </w:rPr>
      </w:pPr>
      <w:bookmarkStart w:id="479" w:name="_Toc2016"/>
      <w:bookmarkStart w:id="480" w:name="_Toc23323"/>
      <w:bookmarkStart w:id="481" w:name="_Toc1123"/>
      <w:r>
        <w:rPr>
          <w:rFonts w:hint="eastAsia" w:ascii="仿宋" w:hAnsi="仿宋" w:eastAsia="仿宋" w:cs="仿宋"/>
          <w:b/>
          <w:color w:val="auto"/>
          <w:sz w:val="24"/>
          <w:highlight w:val="none"/>
        </w:rPr>
        <w:t>2.14 合同中止、终止</w:t>
      </w:r>
      <w:bookmarkEnd w:id="479"/>
      <w:bookmarkEnd w:id="480"/>
      <w:bookmarkEnd w:id="481"/>
    </w:p>
    <w:p w14:paraId="1DCB61E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67E4754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F94B343">
      <w:pPr>
        <w:spacing w:line="560" w:lineRule="exact"/>
        <w:ind w:firstLine="482" w:firstLineChars="200"/>
        <w:outlineLvl w:val="0"/>
        <w:rPr>
          <w:rFonts w:hint="eastAsia" w:ascii="仿宋" w:hAnsi="仿宋" w:eastAsia="仿宋" w:cs="仿宋"/>
          <w:b/>
          <w:color w:val="auto"/>
          <w:sz w:val="24"/>
          <w:highlight w:val="none"/>
        </w:rPr>
      </w:pPr>
      <w:bookmarkStart w:id="482" w:name="_Toc14525"/>
      <w:bookmarkStart w:id="483" w:name="_Toc1969"/>
      <w:bookmarkStart w:id="484" w:name="_Toc17363"/>
      <w:r>
        <w:rPr>
          <w:rFonts w:hint="eastAsia" w:ascii="仿宋" w:hAnsi="仿宋" w:eastAsia="仿宋" w:cs="仿宋"/>
          <w:b/>
          <w:color w:val="auto"/>
          <w:sz w:val="24"/>
          <w:highlight w:val="none"/>
        </w:rPr>
        <w:t>2.15 检验和验收</w:t>
      </w:r>
      <w:bookmarkEnd w:id="482"/>
      <w:bookmarkEnd w:id="483"/>
      <w:bookmarkEnd w:id="484"/>
    </w:p>
    <w:p w14:paraId="5CA4C170">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31C4EAD0">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88AC677">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70277AAF">
      <w:pPr>
        <w:spacing w:line="560" w:lineRule="exact"/>
        <w:ind w:firstLine="482" w:firstLineChars="200"/>
        <w:outlineLvl w:val="0"/>
        <w:rPr>
          <w:rFonts w:hint="eastAsia" w:ascii="仿宋" w:hAnsi="仿宋" w:eastAsia="仿宋" w:cs="仿宋"/>
          <w:b/>
          <w:color w:val="auto"/>
          <w:sz w:val="24"/>
          <w:highlight w:val="none"/>
        </w:rPr>
      </w:pPr>
      <w:bookmarkStart w:id="485" w:name="_Toc25198"/>
      <w:bookmarkStart w:id="486" w:name="_Toc31892"/>
      <w:bookmarkStart w:id="487" w:name="_Toc12666"/>
      <w:bookmarkStart w:id="488" w:name="_Toc9808"/>
      <w:bookmarkStart w:id="489" w:name="_Toc2308"/>
      <w:r>
        <w:rPr>
          <w:rFonts w:hint="eastAsia" w:ascii="仿宋" w:hAnsi="仿宋" w:eastAsia="仿宋" w:cs="仿宋"/>
          <w:b/>
          <w:color w:val="auto"/>
          <w:sz w:val="24"/>
          <w:highlight w:val="none"/>
        </w:rPr>
        <w:t>2.16 通知和送达</w:t>
      </w:r>
      <w:bookmarkEnd w:id="485"/>
      <w:bookmarkEnd w:id="486"/>
      <w:bookmarkEnd w:id="487"/>
      <w:bookmarkEnd w:id="488"/>
      <w:bookmarkEnd w:id="489"/>
    </w:p>
    <w:p w14:paraId="40A72785">
      <w:pPr>
        <w:spacing w:line="560" w:lineRule="exact"/>
        <w:ind w:firstLine="480" w:firstLineChars="200"/>
        <w:rPr>
          <w:rFonts w:hint="eastAsia" w:ascii="仿宋" w:hAnsi="仿宋" w:eastAsia="仿宋" w:cs="仿宋"/>
          <w:color w:val="auto"/>
          <w:sz w:val="24"/>
          <w:highlight w:val="none"/>
        </w:rPr>
      </w:pPr>
      <w:bookmarkStart w:id="490" w:name="_Toc18401"/>
      <w:bookmarkStart w:id="491" w:name="_Toc27674"/>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28F18A8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0"/>
      <w:bookmarkEnd w:id="491"/>
    </w:p>
    <w:p w14:paraId="4680C4F5">
      <w:pPr>
        <w:spacing w:line="560" w:lineRule="exact"/>
        <w:ind w:firstLine="482" w:firstLineChars="200"/>
        <w:outlineLvl w:val="0"/>
        <w:rPr>
          <w:rFonts w:hint="eastAsia" w:ascii="仿宋" w:hAnsi="仿宋" w:eastAsia="仿宋" w:cs="仿宋"/>
          <w:b/>
          <w:color w:val="auto"/>
          <w:sz w:val="24"/>
          <w:highlight w:val="none"/>
        </w:rPr>
      </w:pPr>
      <w:bookmarkStart w:id="492" w:name="_Toc5063"/>
      <w:bookmarkStart w:id="493" w:name="_Toc20808"/>
      <w:bookmarkStart w:id="494" w:name="_Toc27644"/>
      <w:bookmarkStart w:id="495" w:name="_Toc28906"/>
      <w:bookmarkStart w:id="496" w:name="_Toc12254"/>
      <w:r>
        <w:rPr>
          <w:rFonts w:hint="eastAsia" w:ascii="仿宋" w:hAnsi="仿宋" w:eastAsia="仿宋" w:cs="仿宋"/>
          <w:b/>
          <w:color w:val="auto"/>
          <w:sz w:val="24"/>
          <w:highlight w:val="none"/>
        </w:rPr>
        <w:t>2.17 合同使用的文字和适用的法律</w:t>
      </w:r>
      <w:bookmarkEnd w:id="492"/>
      <w:bookmarkEnd w:id="493"/>
      <w:bookmarkEnd w:id="494"/>
      <w:bookmarkEnd w:id="495"/>
      <w:bookmarkEnd w:id="496"/>
    </w:p>
    <w:p w14:paraId="51466CA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4E45509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2663F4E2">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2.18 计量单位</w:t>
      </w:r>
    </w:p>
    <w:p w14:paraId="37DBB3C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1C5F95F6">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4AC0CA0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234D88AD">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第三部分  合同专用条款</w:t>
      </w:r>
    </w:p>
    <w:p w14:paraId="2C3B52F4">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08E58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2FB6369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149" w:type="dxa"/>
            <w:vAlign w:val="center"/>
          </w:tcPr>
          <w:p w14:paraId="238239F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229DF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ED29F2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149" w:type="dxa"/>
            <w:vAlign w:val="center"/>
          </w:tcPr>
          <w:p w14:paraId="665D136A">
            <w:pPr>
              <w:spacing w:line="360" w:lineRule="auto"/>
              <w:rPr>
                <w:rFonts w:hint="eastAsia" w:ascii="仿宋" w:hAnsi="仿宋" w:eastAsia="仿宋" w:cs="仿宋"/>
                <w:color w:val="auto"/>
                <w:sz w:val="24"/>
                <w:highlight w:val="none"/>
              </w:rPr>
            </w:pPr>
          </w:p>
        </w:tc>
      </w:tr>
      <w:tr w14:paraId="67480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DC7439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149" w:type="dxa"/>
            <w:vAlign w:val="center"/>
          </w:tcPr>
          <w:p w14:paraId="34539B6E">
            <w:pPr>
              <w:spacing w:line="360" w:lineRule="auto"/>
              <w:rPr>
                <w:rFonts w:hint="eastAsia" w:ascii="仿宋" w:hAnsi="仿宋" w:eastAsia="仿宋" w:cs="仿宋"/>
                <w:color w:val="auto"/>
                <w:sz w:val="24"/>
                <w:highlight w:val="none"/>
              </w:rPr>
            </w:pPr>
          </w:p>
        </w:tc>
      </w:tr>
      <w:tr w14:paraId="7FF77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51B94D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149" w:type="dxa"/>
            <w:vAlign w:val="center"/>
          </w:tcPr>
          <w:p w14:paraId="3512B4B6">
            <w:pPr>
              <w:spacing w:line="360" w:lineRule="auto"/>
              <w:rPr>
                <w:rFonts w:hint="eastAsia" w:ascii="仿宋" w:hAnsi="仿宋" w:eastAsia="仿宋" w:cs="仿宋"/>
                <w:color w:val="auto"/>
                <w:sz w:val="24"/>
                <w:highlight w:val="none"/>
              </w:rPr>
            </w:pPr>
          </w:p>
        </w:tc>
      </w:tr>
      <w:tr w14:paraId="586D3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BED7D2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149" w:type="dxa"/>
            <w:vAlign w:val="center"/>
          </w:tcPr>
          <w:p w14:paraId="62C7B0B0">
            <w:pPr>
              <w:spacing w:line="360" w:lineRule="auto"/>
              <w:rPr>
                <w:rFonts w:hint="eastAsia" w:ascii="仿宋" w:hAnsi="仿宋" w:eastAsia="仿宋" w:cs="仿宋"/>
                <w:color w:val="auto"/>
                <w:sz w:val="24"/>
                <w:highlight w:val="none"/>
              </w:rPr>
            </w:pPr>
          </w:p>
        </w:tc>
      </w:tr>
      <w:tr w14:paraId="278A4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A33151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149" w:type="dxa"/>
            <w:vAlign w:val="center"/>
          </w:tcPr>
          <w:p w14:paraId="2974FA00">
            <w:pPr>
              <w:spacing w:line="360" w:lineRule="auto"/>
              <w:rPr>
                <w:rFonts w:hint="eastAsia" w:ascii="仿宋" w:hAnsi="仿宋" w:eastAsia="仿宋" w:cs="仿宋"/>
                <w:color w:val="auto"/>
                <w:sz w:val="24"/>
                <w:highlight w:val="none"/>
              </w:rPr>
            </w:pPr>
          </w:p>
        </w:tc>
      </w:tr>
      <w:tr w14:paraId="630A8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E703F2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149" w:type="dxa"/>
            <w:vAlign w:val="center"/>
          </w:tcPr>
          <w:p w14:paraId="23786913">
            <w:pPr>
              <w:spacing w:line="360" w:lineRule="auto"/>
              <w:rPr>
                <w:rFonts w:hint="eastAsia" w:ascii="仿宋" w:hAnsi="仿宋" w:eastAsia="仿宋" w:cs="仿宋"/>
                <w:color w:val="auto"/>
                <w:sz w:val="24"/>
                <w:highlight w:val="none"/>
              </w:rPr>
            </w:pPr>
          </w:p>
        </w:tc>
      </w:tr>
      <w:tr w14:paraId="0B552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415804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149" w:type="dxa"/>
            <w:vAlign w:val="center"/>
          </w:tcPr>
          <w:p w14:paraId="43415698">
            <w:pPr>
              <w:spacing w:line="360" w:lineRule="auto"/>
              <w:rPr>
                <w:rFonts w:hint="eastAsia" w:ascii="仿宋" w:hAnsi="仿宋" w:eastAsia="仿宋" w:cs="仿宋"/>
                <w:color w:val="auto"/>
                <w:sz w:val="24"/>
                <w:highlight w:val="none"/>
              </w:rPr>
            </w:pPr>
          </w:p>
        </w:tc>
      </w:tr>
      <w:tr w14:paraId="135B7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85177A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149" w:type="dxa"/>
            <w:vAlign w:val="center"/>
          </w:tcPr>
          <w:p w14:paraId="310CB44B">
            <w:pPr>
              <w:spacing w:line="360" w:lineRule="auto"/>
              <w:rPr>
                <w:rFonts w:hint="eastAsia" w:ascii="仿宋" w:hAnsi="仿宋" w:eastAsia="仿宋" w:cs="仿宋"/>
                <w:color w:val="auto"/>
                <w:sz w:val="24"/>
                <w:highlight w:val="none"/>
              </w:rPr>
            </w:pPr>
          </w:p>
        </w:tc>
      </w:tr>
      <w:tr w14:paraId="3FD8B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A92A2C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149" w:type="dxa"/>
            <w:vAlign w:val="center"/>
          </w:tcPr>
          <w:p w14:paraId="4E738967">
            <w:pPr>
              <w:spacing w:line="360" w:lineRule="auto"/>
              <w:rPr>
                <w:rFonts w:hint="eastAsia" w:ascii="仿宋" w:hAnsi="仿宋" w:eastAsia="仿宋" w:cs="仿宋"/>
                <w:color w:val="auto"/>
                <w:sz w:val="24"/>
                <w:highlight w:val="none"/>
              </w:rPr>
            </w:pPr>
          </w:p>
        </w:tc>
      </w:tr>
      <w:tr w14:paraId="12B3A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3711E7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149" w:type="dxa"/>
            <w:vAlign w:val="center"/>
          </w:tcPr>
          <w:p w14:paraId="06DC5DAB">
            <w:pPr>
              <w:spacing w:line="360" w:lineRule="auto"/>
              <w:rPr>
                <w:rFonts w:hint="eastAsia" w:ascii="仿宋" w:hAnsi="仿宋" w:eastAsia="仿宋" w:cs="仿宋"/>
                <w:color w:val="auto"/>
                <w:sz w:val="24"/>
                <w:highlight w:val="none"/>
              </w:rPr>
            </w:pPr>
          </w:p>
        </w:tc>
      </w:tr>
      <w:tr w14:paraId="4E960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DFE54D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149" w:type="dxa"/>
            <w:vAlign w:val="center"/>
          </w:tcPr>
          <w:p w14:paraId="0F86A680">
            <w:pPr>
              <w:spacing w:line="360" w:lineRule="auto"/>
              <w:rPr>
                <w:rFonts w:hint="eastAsia" w:ascii="仿宋" w:hAnsi="仿宋" w:eastAsia="仿宋" w:cs="仿宋"/>
                <w:color w:val="auto"/>
                <w:sz w:val="24"/>
                <w:highlight w:val="none"/>
              </w:rPr>
            </w:pPr>
          </w:p>
        </w:tc>
      </w:tr>
      <w:tr w14:paraId="558AD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A3A12B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149" w:type="dxa"/>
            <w:vAlign w:val="center"/>
          </w:tcPr>
          <w:p w14:paraId="45E57F5F">
            <w:pPr>
              <w:spacing w:line="360" w:lineRule="auto"/>
              <w:rPr>
                <w:rFonts w:hint="eastAsia" w:ascii="仿宋" w:hAnsi="仿宋" w:eastAsia="仿宋" w:cs="仿宋"/>
                <w:color w:val="auto"/>
                <w:sz w:val="24"/>
                <w:highlight w:val="none"/>
              </w:rPr>
            </w:pPr>
          </w:p>
        </w:tc>
      </w:tr>
      <w:tr w14:paraId="78536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3D5D3E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149" w:type="dxa"/>
            <w:vAlign w:val="center"/>
          </w:tcPr>
          <w:p w14:paraId="2F619805">
            <w:pPr>
              <w:spacing w:line="360" w:lineRule="auto"/>
              <w:rPr>
                <w:rFonts w:hint="eastAsia" w:ascii="仿宋" w:hAnsi="仿宋" w:eastAsia="仿宋" w:cs="仿宋"/>
                <w:color w:val="auto"/>
                <w:sz w:val="24"/>
                <w:highlight w:val="none"/>
              </w:rPr>
            </w:pPr>
          </w:p>
        </w:tc>
      </w:tr>
      <w:tr w14:paraId="24D4E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267410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149" w:type="dxa"/>
            <w:vAlign w:val="center"/>
          </w:tcPr>
          <w:p w14:paraId="1CD45974">
            <w:pPr>
              <w:spacing w:line="360" w:lineRule="auto"/>
              <w:rPr>
                <w:rFonts w:hint="eastAsia" w:ascii="仿宋" w:hAnsi="仿宋" w:eastAsia="仿宋" w:cs="仿宋"/>
                <w:color w:val="auto"/>
                <w:sz w:val="24"/>
                <w:highlight w:val="none"/>
              </w:rPr>
            </w:pPr>
          </w:p>
        </w:tc>
      </w:tr>
      <w:tr w14:paraId="2A858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940DD1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149" w:type="dxa"/>
            <w:vAlign w:val="center"/>
          </w:tcPr>
          <w:p w14:paraId="0E8C74CF">
            <w:pPr>
              <w:spacing w:line="360" w:lineRule="auto"/>
              <w:rPr>
                <w:rFonts w:hint="eastAsia" w:ascii="仿宋" w:hAnsi="仿宋" w:eastAsia="仿宋" w:cs="仿宋"/>
                <w:color w:val="auto"/>
                <w:sz w:val="24"/>
                <w:highlight w:val="none"/>
              </w:rPr>
            </w:pPr>
          </w:p>
        </w:tc>
      </w:tr>
      <w:tr w14:paraId="4A79F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D9E4DF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149" w:type="dxa"/>
            <w:vAlign w:val="center"/>
          </w:tcPr>
          <w:p w14:paraId="525F3DD7">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26C7B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8F4F6B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8149" w:type="dxa"/>
            <w:vAlign w:val="center"/>
          </w:tcPr>
          <w:p w14:paraId="72B56E66">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57FE1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C9A8F0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149" w:type="dxa"/>
            <w:vAlign w:val="center"/>
          </w:tcPr>
          <w:p w14:paraId="249B4692">
            <w:pPr>
              <w:spacing w:line="360" w:lineRule="auto"/>
              <w:rPr>
                <w:rFonts w:hint="eastAsia" w:ascii="仿宋" w:hAnsi="仿宋" w:eastAsia="仿宋" w:cs="仿宋"/>
                <w:color w:val="auto"/>
                <w:sz w:val="24"/>
                <w:highlight w:val="none"/>
              </w:rPr>
            </w:pPr>
          </w:p>
        </w:tc>
      </w:tr>
      <w:tr w14:paraId="596E5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6D3A2EF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149" w:type="dxa"/>
          </w:tcPr>
          <w:p w14:paraId="195F3A9D">
            <w:pPr>
              <w:spacing w:line="360" w:lineRule="auto"/>
              <w:rPr>
                <w:rFonts w:hint="eastAsia" w:ascii="仿宋" w:hAnsi="仿宋" w:eastAsia="仿宋" w:cs="仿宋"/>
                <w:color w:val="auto"/>
                <w:sz w:val="24"/>
                <w:highlight w:val="none"/>
              </w:rPr>
            </w:pPr>
          </w:p>
        </w:tc>
      </w:tr>
      <w:tr w14:paraId="3CDCC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EDE5DF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149" w:type="dxa"/>
            <w:vAlign w:val="center"/>
          </w:tcPr>
          <w:p w14:paraId="1953A9AC">
            <w:pPr>
              <w:spacing w:line="360" w:lineRule="auto"/>
              <w:rPr>
                <w:rFonts w:hint="eastAsia" w:ascii="仿宋" w:hAnsi="仿宋" w:eastAsia="仿宋" w:cs="仿宋"/>
                <w:color w:val="auto"/>
                <w:sz w:val="24"/>
                <w:highlight w:val="none"/>
              </w:rPr>
            </w:pPr>
          </w:p>
        </w:tc>
      </w:tr>
      <w:tr w14:paraId="59357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C05877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149" w:type="dxa"/>
            <w:vAlign w:val="center"/>
          </w:tcPr>
          <w:p w14:paraId="034C04DF">
            <w:pPr>
              <w:spacing w:line="360" w:lineRule="auto"/>
              <w:rPr>
                <w:rFonts w:hint="eastAsia" w:ascii="仿宋" w:hAnsi="仿宋" w:eastAsia="仿宋" w:cs="仿宋"/>
                <w:color w:val="auto"/>
                <w:sz w:val="24"/>
                <w:highlight w:val="none"/>
              </w:rPr>
            </w:pPr>
          </w:p>
        </w:tc>
      </w:tr>
      <w:tr w14:paraId="30965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28B1DEE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149" w:type="dxa"/>
          </w:tcPr>
          <w:p w14:paraId="353D99EA">
            <w:pPr>
              <w:spacing w:line="360" w:lineRule="auto"/>
              <w:rPr>
                <w:rFonts w:hint="eastAsia" w:ascii="仿宋" w:hAnsi="仿宋" w:eastAsia="仿宋" w:cs="仿宋"/>
                <w:color w:val="auto"/>
                <w:sz w:val="24"/>
                <w:highlight w:val="none"/>
              </w:rPr>
            </w:pPr>
          </w:p>
        </w:tc>
      </w:tr>
    </w:tbl>
    <w:p w14:paraId="27F3F620">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12D74742">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4"/>
      <w:r>
        <w:rPr>
          <w:rFonts w:hint="eastAsia" w:ascii="仿宋" w:hAnsi="仿宋" w:eastAsia="仿宋" w:cs="仿宋"/>
          <w:b/>
          <w:color w:val="auto"/>
          <w:sz w:val="36"/>
          <w:szCs w:val="20"/>
          <w:highlight w:val="none"/>
        </w:rPr>
        <w:t xml:space="preserve"> </w:t>
      </w:r>
      <w:bookmarkEnd w:id="395"/>
      <w:r>
        <w:rPr>
          <w:rFonts w:hint="eastAsia" w:ascii="仿宋" w:hAnsi="仿宋" w:eastAsia="仿宋" w:cs="仿宋"/>
          <w:b/>
          <w:color w:val="auto"/>
          <w:sz w:val="36"/>
          <w:szCs w:val="20"/>
          <w:highlight w:val="none"/>
        </w:rPr>
        <w:t>应提交的有关格式范例</w:t>
      </w:r>
    </w:p>
    <w:p w14:paraId="2E4F2918">
      <w:pPr>
        <w:spacing w:line="360" w:lineRule="auto"/>
        <w:jc w:val="center"/>
        <w:outlineLvl w:val="0"/>
        <w:rPr>
          <w:rFonts w:hint="eastAsia" w:ascii="仿宋" w:hAnsi="仿宋" w:eastAsia="仿宋" w:cs="仿宋"/>
          <w:b/>
          <w:color w:val="auto"/>
          <w:kern w:val="0"/>
          <w:sz w:val="36"/>
          <w:szCs w:val="36"/>
          <w:highlight w:val="none"/>
        </w:rPr>
      </w:pPr>
    </w:p>
    <w:p w14:paraId="3FA034C6">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50F2E036">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3D697A0">
      <w:pPr>
        <w:spacing w:line="360" w:lineRule="auto"/>
        <w:jc w:val="center"/>
        <w:outlineLvl w:val="0"/>
        <w:rPr>
          <w:rFonts w:hint="eastAsia" w:ascii="仿宋" w:hAnsi="仿宋" w:eastAsia="仿宋" w:cs="仿宋"/>
          <w:b/>
          <w:color w:val="auto"/>
          <w:kern w:val="0"/>
          <w:sz w:val="36"/>
          <w:szCs w:val="36"/>
          <w:highlight w:val="none"/>
        </w:rPr>
      </w:pPr>
    </w:p>
    <w:p w14:paraId="49D8DFC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026D6574">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5250577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121587B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13679666">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E5C27F3">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 符合参加政府采购活动应当具备的一般条件的承诺函</w:t>
      </w:r>
    </w:p>
    <w:p w14:paraId="5118394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杭州市钱塘区人民政府义蓬街道办事处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浙江华夏工程管理有限公司</w:t>
      </w:r>
      <w:r>
        <w:rPr>
          <w:rFonts w:hint="eastAsia" w:ascii="仿宋" w:hAnsi="仿宋" w:eastAsia="仿宋" w:cs="仿宋"/>
          <w:color w:val="auto"/>
          <w:sz w:val="24"/>
          <w:highlight w:val="none"/>
        </w:rPr>
        <w:t>：</w:t>
      </w:r>
    </w:p>
    <w:p w14:paraId="2BFB7E5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2025年义蓬街道交通设施更新维修项目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QTCG-GK-2025-104</w:t>
      </w:r>
      <w:r>
        <w:rPr>
          <w:rFonts w:hint="eastAsia" w:ascii="仿宋" w:hAnsi="仿宋" w:eastAsia="仿宋" w:cs="仿宋"/>
          <w:color w:val="auto"/>
          <w:sz w:val="24"/>
          <w:highlight w:val="none"/>
        </w:rPr>
        <w:t>】政府采购活动，郑重承诺：</w:t>
      </w:r>
    </w:p>
    <w:p w14:paraId="459AA251">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36B2EFC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25B1BB4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0225B54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045DF1F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3DEB298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56B645A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2AF272B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1E5A9B2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6FCDEBF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1791F06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70944EAA">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47AA5520">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13CAFF63">
      <w:pPr>
        <w:snapToGrid w:val="0"/>
        <w:spacing w:line="360" w:lineRule="auto"/>
        <w:ind w:right="480" w:firstLine="559" w:firstLineChars="233"/>
        <w:jc w:val="left"/>
        <w:rPr>
          <w:rFonts w:hint="eastAsia" w:ascii="仿宋" w:hAnsi="仿宋" w:eastAsia="仿宋" w:cs="仿宋"/>
          <w:color w:val="auto"/>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3190DC07">
      <w:pPr>
        <w:widowControl/>
        <w:spacing w:line="240" w:lineRule="auto"/>
        <w:ind w:firstLine="0" w:firstLineChars="0"/>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C8D639D">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5CA1EECC">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5BBF8D37">
      <w:pPr>
        <w:snapToGrid w:val="0"/>
        <w:spacing w:line="360" w:lineRule="auto"/>
        <w:ind w:right="480"/>
        <w:jc w:val="center"/>
        <w:rPr>
          <w:rFonts w:hint="eastAsia" w:ascii="仿宋" w:hAnsi="仿宋" w:eastAsia="仿宋" w:cs="仿宋"/>
          <w:b/>
          <w:color w:val="auto"/>
          <w:kern w:val="0"/>
          <w:sz w:val="32"/>
          <w:szCs w:val="32"/>
          <w:highlight w:val="none"/>
        </w:rPr>
      </w:pPr>
    </w:p>
    <w:p w14:paraId="541481F7">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0067C79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0284A167">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01CD028B">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r>
        <w:rPr>
          <w:rFonts w:hint="eastAsia" w:ascii="仿宋" w:hAnsi="仿宋" w:eastAsia="仿宋" w:cs="仿宋"/>
          <w:b/>
          <w:color w:val="auto"/>
          <w:sz w:val="24"/>
          <w:highlight w:val="none"/>
        </w:rPr>
        <w:t xml:space="preserve">    </w:t>
      </w:r>
    </w:p>
    <w:p w14:paraId="596B32E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07A9034B">
      <w:pPr>
        <w:widowControl/>
        <w:spacing w:line="360" w:lineRule="auto"/>
        <w:ind w:left="150"/>
        <w:jc w:val="center"/>
        <w:rPr>
          <w:rFonts w:hint="eastAsia" w:ascii="仿宋" w:hAnsi="仿宋" w:eastAsia="仿宋" w:cs="仿宋"/>
          <w:b/>
          <w:color w:val="auto"/>
          <w:kern w:val="0"/>
          <w:sz w:val="32"/>
          <w:szCs w:val="32"/>
          <w:highlight w:val="none"/>
        </w:rPr>
      </w:pPr>
    </w:p>
    <w:p w14:paraId="37DF3230">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6E204D1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5F835AC0">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0A6E2C8A">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7C683A1C">
      <w:pPr>
        <w:spacing w:line="360" w:lineRule="auto"/>
        <w:jc w:val="center"/>
        <w:outlineLvl w:val="0"/>
        <w:rPr>
          <w:rFonts w:hint="eastAsia" w:ascii="仿宋" w:hAnsi="仿宋" w:eastAsia="仿宋" w:cs="仿宋"/>
          <w:b/>
          <w:color w:val="auto"/>
          <w:kern w:val="0"/>
          <w:sz w:val="24"/>
          <w:highlight w:val="none"/>
        </w:rPr>
      </w:pPr>
    </w:p>
    <w:p w14:paraId="70705E91">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19C7B6D7">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7684AA99">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72D8ADA3">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1B37EFD8">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6E89619A">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264D57E4">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ED38C86">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4FD7366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杭州市钱塘区人民政府义蓬街道办事处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浙江华夏工程管理有限公司</w:t>
      </w:r>
      <w:r>
        <w:rPr>
          <w:rFonts w:hint="eastAsia" w:ascii="仿宋" w:hAnsi="仿宋" w:eastAsia="仿宋" w:cs="仿宋"/>
          <w:color w:val="auto"/>
          <w:sz w:val="24"/>
          <w:highlight w:val="none"/>
        </w:rPr>
        <w:t>：</w:t>
      </w:r>
    </w:p>
    <w:p w14:paraId="615DCA4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lang w:eastAsia="zh-CN"/>
        </w:rPr>
        <w:t>2025年义蓬街道交通设施更新维修项目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QTCG-GK-2025-104</w:t>
      </w:r>
      <w:r>
        <w:rPr>
          <w:rFonts w:hint="eastAsia" w:ascii="仿宋" w:hAnsi="仿宋" w:eastAsia="仿宋" w:cs="仿宋"/>
          <w:color w:val="auto"/>
          <w:sz w:val="24"/>
          <w:highlight w:val="none"/>
        </w:rPr>
        <w:t>】招标的有关活动，并对此项目进行投标。为此：</w:t>
      </w:r>
    </w:p>
    <w:p w14:paraId="73EAEA8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5394D58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742C889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231F20C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29B3041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497" w:name="_Hlk101257010"/>
      <w:r>
        <w:rPr>
          <w:rFonts w:hint="eastAsia" w:ascii="仿宋" w:hAnsi="仿宋" w:eastAsia="仿宋" w:cs="仿宋"/>
          <w:color w:val="auto"/>
          <w:sz w:val="24"/>
          <w:highlight w:val="none"/>
        </w:rPr>
        <w:t>（如果有)</w:t>
      </w:r>
      <w:bookmarkEnd w:id="497"/>
      <w:r>
        <w:rPr>
          <w:rFonts w:hint="eastAsia" w:ascii="仿宋" w:hAnsi="仿宋" w:eastAsia="仿宋" w:cs="仿宋"/>
          <w:snapToGrid w:val="0"/>
          <w:color w:val="auto"/>
          <w:kern w:val="28"/>
          <w:sz w:val="24"/>
          <w:szCs w:val="20"/>
          <w:highlight w:val="none"/>
        </w:rPr>
        <w:t>；</w:t>
      </w:r>
    </w:p>
    <w:p w14:paraId="0D2EA5C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46144CA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49F00F32">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55294E8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690938A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62ABB3F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32ABD01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0752B0E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17BA2CF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6B3CA72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3CC526E4">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3A38384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03E58AD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6132B35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5648789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1889776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6927864C">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5DD38617">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79BE7FE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52814BC3">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381B3B5E">
      <w:pPr>
        <w:numPr>
          <w:ilvl w:val="0"/>
          <w:numId w:val="13"/>
        </w:numPr>
        <w:snapToGrid/>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对</w:t>
      </w:r>
      <w:r>
        <w:rPr>
          <w:rFonts w:hint="eastAsia" w:ascii="仿宋" w:hAnsi="仿宋" w:eastAsia="仿宋" w:cs="仿宋"/>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0989D87">
      <w:pPr>
        <w:numPr>
          <w:ilvl w:val="0"/>
          <w:numId w:val="13"/>
        </w:numPr>
        <w:snapToGrid/>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CEE1532">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3A6B2BB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59667B2">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35EBEBA5">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09E51D4">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3400C15">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178CE91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4C50E8FA">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2618A63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杭州市钱塘区人民政府义蓬街道办事处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浙江华夏工程管理有限公司</w:t>
      </w:r>
      <w:r>
        <w:rPr>
          <w:rFonts w:hint="eastAsia" w:ascii="仿宋" w:hAnsi="仿宋" w:eastAsia="仿宋" w:cs="仿宋"/>
          <w:color w:val="auto"/>
          <w:kern w:val="0"/>
          <w:sz w:val="24"/>
          <w:highlight w:val="none"/>
          <w:lang w:val="zh-CN"/>
        </w:rPr>
        <w:t>：</w:t>
      </w:r>
    </w:p>
    <w:p w14:paraId="2209D619">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lang w:eastAsia="zh-CN"/>
        </w:rPr>
        <w:t>2025年义蓬街道交通设施更新维修项目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QTCG-GK-2025-104</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3BFF765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3FF8C67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1D74E1D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6AB4A7F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 xml:space="preserve">                                                 签发日期：  年  月   日</w:t>
      </w:r>
    </w:p>
    <w:p w14:paraId="4095BECD">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6B6893D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杭州市钱塘区人民政府义蓬街道办事处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浙江华夏工程管理有限公司</w:t>
      </w:r>
      <w:r>
        <w:rPr>
          <w:rFonts w:hint="eastAsia" w:ascii="仿宋" w:hAnsi="仿宋" w:eastAsia="仿宋" w:cs="仿宋"/>
          <w:color w:val="auto"/>
          <w:kern w:val="0"/>
          <w:sz w:val="24"/>
          <w:highlight w:val="none"/>
          <w:lang w:val="zh-CN"/>
        </w:rPr>
        <w:t>：</w:t>
      </w:r>
    </w:p>
    <w:p w14:paraId="4FE5FFC3">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lang w:eastAsia="zh-CN"/>
        </w:rPr>
        <w:t>2025年义蓬街道交通设施更新维修项目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QTCG-GK-2025-104</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351CD3D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22E142B1">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C7B0E73">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88A751E">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F95E3BE">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F0E8D8A">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79089AB">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7DCC42DD">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6811F129">
      <w:pPr>
        <w:pStyle w:val="147"/>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5CE9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56F85B2">
            <w:pPr>
              <w:pStyle w:val="147"/>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0DA2BD08">
            <w:pPr>
              <w:pStyle w:val="147"/>
              <w:adjustRightInd w:val="0"/>
              <w:spacing w:line="360" w:lineRule="auto"/>
              <w:rPr>
                <w:rFonts w:hint="eastAsia" w:ascii="仿宋" w:hAnsi="仿宋" w:eastAsia="仿宋" w:cs="仿宋"/>
                <w:bCs/>
                <w:color w:val="auto"/>
                <w:sz w:val="24"/>
                <w:highlight w:val="none"/>
              </w:rPr>
            </w:pPr>
          </w:p>
        </w:tc>
      </w:tr>
    </w:tbl>
    <w:p w14:paraId="675D259F">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C2CD80B">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21B8C80A">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1D5ECB6">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750E1AC">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305ABBB8">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1AFE99ED">
      <w:pPr>
        <w:snapToGrid w:val="0"/>
        <w:spacing w:line="360" w:lineRule="auto"/>
        <w:rPr>
          <w:rFonts w:hint="eastAsia" w:ascii="仿宋" w:hAnsi="仿宋" w:eastAsia="仿宋" w:cs="仿宋"/>
          <w:color w:val="auto"/>
          <w:kern w:val="0"/>
          <w:sz w:val="24"/>
          <w:highlight w:val="none"/>
        </w:rPr>
      </w:pPr>
    </w:p>
    <w:p w14:paraId="78EEA806">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62651E63">
      <w:pPr>
        <w:jc w:val="center"/>
        <w:rPr>
          <w:rFonts w:hint="eastAsia" w:ascii="仿宋" w:hAnsi="仿宋" w:eastAsia="仿宋" w:cs="仿宋"/>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4AC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70B2AB0">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6193CFC1">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6B73B0DB">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5233E39B">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63ECA2A9">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页码位置</w:t>
            </w:r>
          </w:p>
        </w:tc>
      </w:tr>
      <w:tr w14:paraId="0D8EE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50B9C4">
            <w:pPr>
              <w:jc w:val="cente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1</w:t>
            </w:r>
          </w:p>
        </w:tc>
        <w:tc>
          <w:tcPr>
            <w:tcW w:w="4991" w:type="dxa"/>
            <w:vAlign w:val="top"/>
          </w:tcPr>
          <w:p w14:paraId="359A6207">
            <w:pPr>
              <w:spacing w:line="360" w:lineRule="auto"/>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41D6EBB8">
            <w:pP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top"/>
          </w:tcPr>
          <w:p w14:paraId="5C79333C">
            <w:pPr>
              <w:rPr>
                <w:rFonts w:hint="eastAsia" w:ascii="仿宋" w:hAnsi="仿宋" w:eastAsia="仿宋" w:cs="仿宋"/>
                <w:color w:val="auto"/>
                <w:sz w:val="24"/>
                <w:highlight w:val="none"/>
              </w:rPr>
            </w:pPr>
          </w:p>
          <w:p w14:paraId="44FC398A">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7866F7EB">
            <w:pPr>
              <w:rPr>
                <w:rFonts w:hint="eastAsia" w:ascii="仿宋" w:hAnsi="仿宋" w:eastAsia="仿宋" w:cs="仿宋"/>
                <w:b w:val="0"/>
                <w:bCs/>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3326E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C7C6B5D">
            <w:pPr>
              <w:jc w:val="cente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2</w:t>
            </w:r>
          </w:p>
        </w:tc>
        <w:tc>
          <w:tcPr>
            <w:tcW w:w="4991" w:type="dxa"/>
            <w:vAlign w:val="top"/>
          </w:tcPr>
          <w:p w14:paraId="1F4B10F1">
            <w:pPr>
              <w:spacing w:line="360" w:lineRule="auto"/>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5F5E5C27">
            <w:pP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投标函</w:t>
            </w:r>
          </w:p>
        </w:tc>
        <w:tc>
          <w:tcPr>
            <w:tcW w:w="1418" w:type="dxa"/>
            <w:vAlign w:val="top"/>
          </w:tcPr>
          <w:p w14:paraId="11DC8625">
            <w:pPr>
              <w:rPr>
                <w:rFonts w:hint="eastAsia" w:ascii="仿宋" w:hAnsi="仿宋" w:eastAsia="仿宋" w:cs="仿宋"/>
                <w:b w:val="0"/>
                <w:bCs/>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DF22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24A583">
            <w:pPr>
              <w:jc w:val="center"/>
              <w:rPr>
                <w:rFonts w:hint="eastAsia" w:ascii="仿宋" w:hAnsi="仿宋" w:eastAsia="仿宋" w:cs="仿宋"/>
                <w:b w:val="0"/>
                <w:bCs/>
                <w:color w:val="auto"/>
                <w:sz w:val="24"/>
                <w:highlight w:val="none"/>
              </w:rPr>
            </w:pPr>
            <w:r>
              <w:rPr>
                <w:rFonts w:hint="eastAsia" w:ascii="仿宋" w:hAnsi="仿宋" w:eastAsia="仿宋" w:cs="仿宋"/>
                <w:b w:val="0"/>
                <w:bCs w:val="0"/>
                <w:color w:val="auto"/>
                <w:sz w:val="24"/>
                <w:highlight w:val="none"/>
                <w:lang w:val="en-US" w:eastAsia="zh-CN"/>
              </w:rPr>
              <w:t>3</w:t>
            </w:r>
          </w:p>
        </w:tc>
        <w:tc>
          <w:tcPr>
            <w:tcW w:w="4991" w:type="dxa"/>
            <w:vAlign w:val="top"/>
          </w:tcPr>
          <w:p w14:paraId="42DC1BC5">
            <w:pPr>
              <w:snapToGrid w:val="0"/>
              <w:spacing w:line="360" w:lineRule="auto"/>
              <w:ind w:firstLine="0" w:firstLineChars="0"/>
              <w:rPr>
                <w:rFonts w:hint="eastAsia" w:ascii="仿宋" w:hAnsi="仿宋" w:eastAsia="仿宋" w:cs="仿宋"/>
                <w:b w:val="0"/>
                <w:bCs w:val="0"/>
                <w:snapToGrid w:val="0"/>
                <w:color w:val="auto"/>
                <w:sz w:val="24"/>
                <w:highlight w:val="none"/>
              </w:rPr>
            </w:pPr>
            <w:r>
              <w:rPr>
                <w:rFonts w:hint="eastAsia" w:ascii="仿宋" w:hAnsi="仿宋" w:eastAsia="仿宋" w:cs="仿宋"/>
                <w:b w:val="0"/>
                <w:bCs w:val="0"/>
                <w:snapToGrid w:val="0"/>
                <w:color w:val="auto"/>
                <w:sz w:val="24"/>
                <w:highlight w:val="none"/>
              </w:rPr>
              <w:t>投标</w:t>
            </w:r>
            <w:r>
              <w:rPr>
                <w:rFonts w:hint="eastAsia" w:ascii="仿宋" w:hAnsi="仿宋" w:eastAsia="仿宋" w:cs="仿宋"/>
                <w:b w:val="0"/>
                <w:bCs w:val="0"/>
                <w:snapToGrid w:val="0"/>
                <w:color w:val="auto"/>
                <w:sz w:val="24"/>
                <w:highlight w:val="none"/>
                <w:lang w:val="en-US" w:eastAsia="zh-CN"/>
              </w:rPr>
              <w:t>文件的组成应符合招标文件要求</w:t>
            </w:r>
          </w:p>
          <w:p w14:paraId="692ACD46">
            <w:pPr>
              <w:spacing w:line="360" w:lineRule="auto"/>
              <w:rPr>
                <w:rFonts w:hint="eastAsia" w:ascii="仿宋" w:hAnsi="仿宋" w:eastAsia="仿宋" w:cs="仿宋"/>
                <w:b w:val="0"/>
                <w:bCs/>
                <w:color w:val="auto"/>
                <w:sz w:val="24"/>
                <w:highlight w:val="none"/>
              </w:rPr>
            </w:pPr>
          </w:p>
        </w:tc>
        <w:tc>
          <w:tcPr>
            <w:tcW w:w="2551" w:type="dxa"/>
            <w:vAlign w:val="center"/>
          </w:tcPr>
          <w:p w14:paraId="38988CB6">
            <w:pPr>
              <w:rPr>
                <w:rFonts w:hint="eastAsia" w:ascii="仿宋" w:hAnsi="仿宋" w:eastAsia="仿宋" w:cs="仿宋"/>
                <w:b w:val="0"/>
                <w:bCs/>
                <w:color w:val="auto"/>
                <w:sz w:val="24"/>
                <w:highlight w:val="none"/>
              </w:rPr>
            </w:pPr>
            <w:r>
              <w:rPr>
                <w:rFonts w:hint="eastAsia" w:ascii="仿宋" w:hAnsi="仿宋" w:eastAsia="仿宋" w:cs="仿宋"/>
                <w:b w:val="0"/>
                <w:bCs w:val="0"/>
                <w:color w:val="auto"/>
                <w:sz w:val="24"/>
                <w:highlight w:val="none"/>
                <w:lang w:val="en-US" w:eastAsia="zh-CN"/>
              </w:rPr>
              <w:t>投标文件</w:t>
            </w:r>
          </w:p>
        </w:tc>
        <w:tc>
          <w:tcPr>
            <w:tcW w:w="1418" w:type="dxa"/>
            <w:vAlign w:val="top"/>
          </w:tcPr>
          <w:p w14:paraId="1B9D149A">
            <w:pPr>
              <w:rPr>
                <w:rFonts w:hint="eastAsia" w:ascii="仿宋" w:hAnsi="仿宋" w:eastAsia="仿宋" w:cs="仿宋"/>
                <w:b w:val="0"/>
                <w:bCs/>
                <w:color w:val="auto"/>
                <w:highlight w:val="none"/>
              </w:rPr>
            </w:pPr>
            <w:r>
              <w:rPr>
                <w:rFonts w:hint="eastAsia" w:ascii="仿宋" w:hAnsi="仿宋" w:eastAsia="仿宋" w:cs="仿宋"/>
                <w:b w:val="0"/>
                <w:bCs w:val="0"/>
                <w:color w:val="auto"/>
                <w:sz w:val="24"/>
                <w:highlight w:val="none"/>
                <w:lang w:val="en-US" w:eastAsia="zh-CN"/>
              </w:rPr>
              <w:t>/</w:t>
            </w:r>
          </w:p>
        </w:tc>
      </w:tr>
      <w:tr w14:paraId="59D2D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905B951">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p>
        </w:tc>
        <w:tc>
          <w:tcPr>
            <w:tcW w:w="4991" w:type="dxa"/>
            <w:vAlign w:val="top"/>
          </w:tcPr>
          <w:p w14:paraId="27823847">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其他实质性要求1：</w:t>
            </w:r>
          </w:p>
        </w:tc>
        <w:tc>
          <w:tcPr>
            <w:tcW w:w="2551" w:type="dxa"/>
            <w:vMerge w:val="restart"/>
            <w:vAlign w:val="center"/>
          </w:tcPr>
          <w:p w14:paraId="7998AC09">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4B4564D6">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55E22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7E1D30">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5</w:t>
            </w:r>
          </w:p>
        </w:tc>
        <w:tc>
          <w:tcPr>
            <w:tcW w:w="4991" w:type="dxa"/>
            <w:vAlign w:val="top"/>
          </w:tcPr>
          <w:p w14:paraId="6503A529">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其他实质性要求2：</w:t>
            </w:r>
          </w:p>
        </w:tc>
        <w:tc>
          <w:tcPr>
            <w:tcW w:w="2551" w:type="dxa"/>
            <w:vMerge w:val="continue"/>
            <w:vAlign w:val="center"/>
          </w:tcPr>
          <w:p w14:paraId="106EC171">
            <w:pPr>
              <w:rPr>
                <w:rFonts w:hint="eastAsia" w:ascii="仿宋" w:hAnsi="仿宋" w:eastAsia="仿宋" w:cs="仿宋"/>
                <w:b/>
                <w:bCs/>
                <w:color w:val="auto"/>
                <w:sz w:val="24"/>
                <w:highlight w:val="none"/>
                <w:lang w:val="en-US" w:eastAsia="zh-CN"/>
              </w:rPr>
            </w:pPr>
          </w:p>
        </w:tc>
        <w:tc>
          <w:tcPr>
            <w:tcW w:w="1418" w:type="dxa"/>
            <w:vAlign w:val="top"/>
          </w:tcPr>
          <w:p w14:paraId="68A68760">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025F2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AAC719C">
            <w:pPr>
              <w:jc w:val="center"/>
              <w:rPr>
                <w:rFonts w:hint="eastAsia" w:ascii="仿宋" w:hAnsi="仿宋" w:eastAsia="仿宋" w:cs="仿宋"/>
                <w:b/>
                <w:bCs/>
                <w:color w:val="auto"/>
                <w:sz w:val="24"/>
                <w:highlight w:val="none"/>
                <w:lang w:val="en-US" w:eastAsia="zh-CN"/>
              </w:rPr>
            </w:pPr>
            <w:r>
              <w:rPr>
                <w:rFonts w:hint="eastAsia" w:ascii="仿宋" w:hAnsi="仿宋" w:eastAsia="仿宋" w:cs="仿宋"/>
                <w:color w:val="auto"/>
                <w:kern w:val="0"/>
                <w:sz w:val="24"/>
                <w:highlight w:val="none"/>
              </w:rPr>
              <w:t>……</w:t>
            </w:r>
          </w:p>
        </w:tc>
        <w:tc>
          <w:tcPr>
            <w:tcW w:w="4991" w:type="dxa"/>
            <w:vAlign w:val="top"/>
          </w:tcPr>
          <w:p w14:paraId="73FD9608">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w:t>
            </w:r>
            <w:r>
              <w:rPr>
                <w:rFonts w:hint="eastAsia" w:ascii="仿宋" w:hAnsi="仿宋" w:eastAsia="仿宋" w:cs="仿宋"/>
                <w:color w:val="auto"/>
                <w:kern w:val="0"/>
                <w:sz w:val="24"/>
                <w:highlight w:val="none"/>
              </w:rPr>
              <w:t>……</w:t>
            </w:r>
            <w:r>
              <w:rPr>
                <w:rFonts w:hint="eastAsia" w:ascii="仿宋" w:hAnsi="仿宋" w:eastAsia="仿宋" w:cs="仿宋"/>
                <w:b w:val="0"/>
                <w:bCs w:val="0"/>
                <w:snapToGrid w:val="0"/>
                <w:color w:val="auto"/>
                <w:sz w:val="24"/>
                <w:highlight w:val="none"/>
                <w:lang w:val="en-US" w:eastAsia="zh-CN"/>
              </w:rPr>
              <w:t>：</w:t>
            </w:r>
          </w:p>
        </w:tc>
        <w:tc>
          <w:tcPr>
            <w:tcW w:w="2551" w:type="dxa"/>
            <w:vMerge w:val="continue"/>
            <w:vAlign w:val="center"/>
          </w:tcPr>
          <w:p w14:paraId="7669ABAA">
            <w:pPr>
              <w:rPr>
                <w:rFonts w:hint="eastAsia" w:ascii="仿宋" w:hAnsi="仿宋" w:eastAsia="仿宋" w:cs="仿宋"/>
                <w:b/>
                <w:bCs/>
                <w:color w:val="auto"/>
                <w:sz w:val="24"/>
                <w:highlight w:val="none"/>
                <w:lang w:val="en-US" w:eastAsia="zh-CN"/>
              </w:rPr>
            </w:pPr>
          </w:p>
        </w:tc>
        <w:tc>
          <w:tcPr>
            <w:tcW w:w="1418" w:type="dxa"/>
            <w:vAlign w:val="top"/>
          </w:tcPr>
          <w:p w14:paraId="7155F326">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bl>
    <w:p w14:paraId="001C87E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CA9CBFC">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219FD1C7">
      <w:pPr>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5107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A671296">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w:t>
            </w:r>
          </w:p>
        </w:tc>
        <w:tc>
          <w:tcPr>
            <w:tcW w:w="5465" w:type="dxa"/>
          </w:tcPr>
          <w:p w14:paraId="2877F803">
            <w:pPr>
              <w:snapToGrid w:val="0"/>
              <w:spacing w:line="36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投标文件中评标标准相应的商务技术资料目录*</w:t>
            </w:r>
          </w:p>
        </w:tc>
        <w:tc>
          <w:tcPr>
            <w:tcW w:w="3046" w:type="dxa"/>
          </w:tcPr>
          <w:p w14:paraId="2A136CA3">
            <w:pPr>
              <w:snapToGrid w:val="0"/>
              <w:spacing w:line="240" w:lineRule="atLeast"/>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rPr>
              <w:t>投标文件中的页码位置</w:t>
            </w:r>
          </w:p>
        </w:tc>
      </w:tr>
      <w:tr w14:paraId="6603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03B6FE3">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1</w:t>
            </w:r>
          </w:p>
        </w:tc>
        <w:tc>
          <w:tcPr>
            <w:tcW w:w="5465" w:type="dxa"/>
          </w:tcPr>
          <w:p w14:paraId="31833C31">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5644BD0B">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626B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E0FC6B6">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2</w:t>
            </w:r>
          </w:p>
        </w:tc>
        <w:tc>
          <w:tcPr>
            <w:tcW w:w="5465" w:type="dxa"/>
          </w:tcPr>
          <w:p w14:paraId="1F4A84C6">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2B2EA22A">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70184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7C5647C">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color w:val="auto"/>
                <w:kern w:val="0"/>
                <w:sz w:val="24"/>
                <w:highlight w:val="none"/>
              </w:rPr>
              <w:t>……</w:t>
            </w:r>
          </w:p>
        </w:tc>
        <w:tc>
          <w:tcPr>
            <w:tcW w:w="5465" w:type="dxa"/>
          </w:tcPr>
          <w:p w14:paraId="0999E11C">
            <w:pPr>
              <w:snapToGrid w:val="0"/>
              <w:spacing w:line="360" w:lineRule="auto"/>
              <w:jc w:val="center"/>
              <w:rPr>
                <w:rFonts w:hint="eastAsia" w:ascii="仿宋" w:hAnsi="仿宋" w:eastAsia="仿宋" w:cs="仿宋"/>
                <w:b w:val="0"/>
                <w:bCs/>
                <w:color w:val="auto"/>
                <w:sz w:val="24"/>
                <w:highlight w:val="none"/>
                <w:vertAlign w:val="baseline"/>
              </w:rPr>
            </w:pPr>
          </w:p>
        </w:tc>
        <w:tc>
          <w:tcPr>
            <w:tcW w:w="3046" w:type="dxa"/>
          </w:tcPr>
          <w:p w14:paraId="793F20A0">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bl>
    <w:p w14:paraId="24E84C4E">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DEB7B83">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A30B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42886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5F7CDF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7263A7F">
            <w:pPr>
              <w:spacing w:line="360" w:lineRule="auto"/>
              <w:jc w:val="center"/>
              <w:rPr>
                <w:rFonts w:hint="eastAsia" w:ascii="仿宋" w:hAnsi="仿宋" w:eastAsia="仿宋" w:cs="仿宋"/>
                <w:b/>
                <w:color w:val="auto"/>
                <w:sz w:val="24"/>
                <w:highlight w:val="none"/>
              </w:rPr>
            </w:pPr>
          </w:p>
          <w:p w14:paraId="72ED427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51981B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4808F7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91DE50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DBB367D">
            <w:pPr>
              <w:spacing w:line="360" w:lineRule="auto"/>
              <w:jc w:val="center"/>
              <w:rPr>
                <w:rFonts w:hint="eastAsia" w:ascii="仿宋" w:hAnsi="仿宋" w:eastAsia="仿宋" w:cs="仿宋"/>
                <w:b/>
                <w:color w:val="auto"/>
                <w:sz w:val="24"/>
                <w:highlight w:val="none"/>
              </w:rPr>
            </w:pPr>
          </w:p>
          <w:p w14:paraId="683CFCB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1D929793">
            <w:pPr>
              <w:spacing w:line="360" w:lineRule="auto"/>
              <w:jc w:val="center"/>
              <w:rPr>
                <w:rFonts w:hint="eastAsia" w:ascii="仿宋" w:hAnsi="仿宋" w:eastAsia="仿宋" w:cs="仿宋"/>
                <w:b/>
                <w:color w:val="auto"/>
                <w:sz w:val="24"/>
                <w:highlight w:val="none"/>
              </w:rPr>
            </w:pPr>
          </w:p>
        </w:tc>
      </w:tr>
      <w:tr w14:paraId="3803B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5EDCF0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5D6B07A">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4E735A1">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F059ACA">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EC38A1A">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0AF937B">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B4CA630">
            <w:pPr>
              <w:spacing w:line="360" w:lineRule="auto"/>
              <w:jc w:val="center"/>
              <w:rPr>
                <w:rFonts w:hint="eastAsia" w:ascii="仿宋" w:hAnsi="仿宋" w:eastAsia="仿宋" w:cs="仿宋"/>
                <w:color w:val="auto"/>
                <w:sz w:val="24"/>
                <w:highlight w:val="none"/>
              </w:rPr>
            </w:pPr>
          </w:p>
        </w:tc>
      </w:tr>
      <w:tr w14:paraId="1351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ED8A1B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6E1D3C5">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7584274">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AF7BB21">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A1F91EF">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28ABAD3">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B0CDE3D">
            <w:pPr>
              <w:spacing w:line="360" w:lineRule="auto"/>
              <w:jc w:val="center"/>
              <w:rPr>
                <w:rFonts w:hint="eastAsia" w:ascii="仿宋" w:hAnsi="仿宋" w:eastAsia="仿宋" w:cs="仿宋"/>
                <w:color w:val="auto"/>
                <w:sz w:val="24"/>
                <w:highlight w:val="none"/>
              </w:rPr>
            </w:pPr>
          </w:p>
        </w:tc>
      </w:tr>
      <w:tr w14:paraId="40DC0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E079D9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32D1CD6">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AF76CE8">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2644E12">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53754B2">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CE628ED">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7517CA1">
            <w:pPr>
              <w:spacing w:line="360" w:lineRule="auto"/>
              <w:jc w:val="center"/>
              <w:rPr>
                <w:rFonts w:hint="eastAsia" w:ascii="仿宋" w:hAnsi="仿宋" w:eastAsia="仿宋" w:cs="仿宋"/>
                <w:color w:val="auto"/>
                <w:sz w:val="24"/>
                <w:highlight w:val="none"/>
              </w:rPr>
            </w:pPr>
          </w:p>
        </w:tc>
      </w:tr>
    </w:tbl>
    <w:p w14:paraId="21C10B9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AAF8BFC">
      <w:pPr>
        <w:jc w:val="center"/>
        <w:rPr>
          <w:rFonts w:hint="eastAsia" w:ascii="仿宋" w:hAnsi="仿宋" w:eastAsia="仿宋" w:cs="仿宋"/>
          <w:b/>
          <w:color w:val="auto"/>
          <w:kern w:val="0"/>
          <w:sz w:val="32"/>
          <w:szCs w:val="32"/>
          <w:highlight w:val="none"/>
        </w:rPr>
      </w:pPr>
    </w:p>
    <w:p w14:paraId="5BCEBF87">
      <w:pPr>
        <w:jc w:val="center"/>
        <w:rPr>
          <w:rFonts w:hint="eastAsia" w:ascii="仿宋" w:hAnsi="仿宋" w:eastAsia="仿宋" w:cs="仿宋"/>
          <w:b/>
          <w:color w:val="auto"/>
          <w:kern w:val="0"/>
          <w:sz w:val="32"/>
          <w:szCs w:val="32"/>
          <w:highlight w:val="none"/>
        </w:rPr>
      </w:pPr>
    </w:p>
    <w:p w14:paraId="3597783C">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7BD1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6AEFBD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67F2B8C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3D9AD65B">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566AB95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5FE20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21347BE">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0B852155">
            <w:pPr>
              <w:jc w:val="center"/>
              <w:rPr>
                <w:rFonts w:hint="eastAsia" w:ascii="仿宋" w:hAnsi="仿宋" w:eastAsia="仿宋" w:cs="仿宋"/>
                <w:b/>
                <w:color w:val="auto"/>
                <w:kern w:val="0"/>
                <w:sz w:val="32"/>
                <w:szCs w:val="32"/>
                <w:highlight w:val="none"/>
              </w:rPr>
            </w:pPr>
          </w:p>
        </w:tc>
        <w:tc>
          <w:tcPr>
            <w:tcW w:w="3546" w:type="dxa"/>
          </w:tcPr>
          <w:p w14:paraId="6A170F19">
            <w:pPr>
              <w:jc w:val="center"/>
              <w:rPr>
                <w:rFonts w:hint="eastAsia" w:ascii="仿宋" w:hAnsi="仿宋" w:eastAsia="仿宋" w:cs="仿宋"/>
                <w:b/>
                <w:color w:val="auto"/>
                <w:kern w:val="0"/>
                <w:sz w:val="32"/>
                <w:szCs w:val="32"/>
                <w:highlight w:val="none"/>
              </w:rPr>
            </w:pPr>
          </w:p>
        </w:tc>
        <w:tc>
          <w:tcPr>
            <w:tcW w:w="1276" w:type="dxa"/>
          </w:tcPr>
          <w:p w14:paraId="7373D48D">
            <w:pPr>
              <w:jc w:val="center"/>
              <w:rPr>
                <w:rFonts w:hint="eastAsia" w:ascii="仿宋" w:hAnsi="仿宋" w:eastAsia="仿宋" w:cs="仿宋"/>
                <w:b/>
                <w:color w:val="auto"/>
                <w:kern w:val="0"/>
                <w:sz w:val="32"/>
                <w:szCs w:val="32"/>
                <w:highlight w:val="none"/>
              </w:rPr>
            </w:pPr>
          </w:p>
        </w:tc>
      </w:tr>
      <w:tr w14:paraId="1F8A4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6AF3CE">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18977CB6">
            <w:pPr>
              <w:jc w:val="center"/>
              <w:rPr>
                <w:rFonts w:hint="eastAsia" w:ascii="仿宋" w:hAnsi="仿宋" w:eastAsia="仿宋" w:cs="仿宋"/>
                <w:b/>
                <w:color w:val="auto"/>
                <w:kern w:val="0"/>
                <w:sz w:val="32"/>
                <w:szCs w:val="32"/>
                <w:highlight w:val="none"/>
              </w:rPr>
            </w:pPr>
          </w:p>
        </w:tc>
        <w:tc>
          <w:tcPr>
            <w:tcW w:w="3546" w:type="dxa"/>
          </w:tcPr>
          <w:p w14:paraId="6497B244">
            <w:pPr>
              <w:jc w:val="center"/>
              <w:rPr>
                <w:rFonts w:hint="eastAsia" w:ascii="仿宋" w:hAnsi="仿宋" w:eastAsia="仿宋" w:cs="仿宋"/>
                <w:b/>
                <w:color w:val="auto"/>
                <w:kern w:val="0"/>
                <w:sz w:val="32"/>
                <w:szCs w:val="32"/>
                <w:highlight w:val="none"/>
              </w:rPr>
            </w:pPr>
          </w:p>
        </w:tc>
        <w:tc>
          <w:tcPr>
            <w:tcW w:w="1276" w:type="dxa"/>
          </w:tcPr>
          <w:p w14:paraId="1DA7D6F2">
            <w:pPr>
              <w:jc w:val="center"/>
              <w:rPr>
                <w:rFonts w:hint="eastAsia" w:ascii="仿宋" w:hAnsi="仿宋" w:eastAsia="仿宋" w:cs="仿宋"/>
                <w:b/>
                <w:color w:val="auto"/>
                <w:kern w:val="0"/>
                <w:sz w:val="32"/>
                <w:szCs w:val="32"/>
                <w:highlight w:val="none"/>
              </w:rPr>
            </w:pPr>
          </w:p>
        </w:tc>
      </w:tr>
      <w:tr w14:paraId="09F45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34DCA13">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366C0EE1">
            <w:pPr>
              <w:jc w:val="center"/>
              <w:rPr>
                <w:rFonts w:hint="eastAsia" w:ascii="仿宋" w:hAnsi="仿宋" w:eastAsia="仿宋" w:cs="仿宋"/>
                <w:b/>
                <w:color w:val="auto"/>
                <w:kern w:val="0"/>
                <w:sz w:val="32"/>
                <w:szCs w:val="32"/>
                <w:highlight w:val="none"/>
              </w:rPr>
            </w:pPr>
          </w:p>
        </w:tc>
        <w:tc>
          <w:tcPr>
            <w:tcW w:w="3546" w:type="dxa"/>
          </w:tcPr>
          <w:p w14:paraId="6AB76E9C">
            <w:pPr>
              <w:jc w:val="center"/>
              <w:rPr>
                <w:rFonts w:hint="eastAsia" w:ascii="仿宋" w:hAnsi="仿宋" w:eastAsia="仿宋" w:cs="仿宋"/>
                <w:b/>
                <w:color w:val="auto"/>
                <w:kern w:val="0"/>
                <w:sz w:val="32"/>
                <w:szCs w:val="32"/>
                <w:highlight w:val="none"/>
              </w:rPr>
            </w:pPr>
          </w:p>
        </w:tc>
        <w:tc>
          <w:tcPr>
            <w:tcW w:w="1276" w:type="dxa"/>
          </w:tcPr>
          <w:p w14:paraId="6B9DFC8A">
            <w:pPr>
              <w:jc w:val="center"/>
              <w:rPr>
                <w:rFonts w:hint="eastAsia" w:ascii="仿宋" w:hAnsi="仿宋" w:eastAsia="仿宋" w:cs="仿宋"/>
                <w:b/>
                <w:color w:val="auto"/>
                <w:kern w:val="0"/>
                <w:sz w:val="32"/>
                <w:szCs w:val="32"/>
                <w:highlight w:val="none"/>
              </w:rPr>
            </w:pPr>
          </w:p>
        </w:tc>
      </w:tr>
    </w:tbl>
    <w:p w14:paraId="0CA834D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10613DB2">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2、本表格所反映的偏离情况与“</w:t>
      </w:r>
      <w:r>
        <w:rPr>
          <w:rFonts w:hint="eastAsia" w:ascii="仿宋" w:hAnsi="仿宋" w:eastAsia="仿宋" w:cs="仿宋"/>
          <w:b w:val="0"/>
          <w:color w:val="auto"/>
          <w:kern w:val="2"/>
          <w:sz w:val="24"/>
          <w:szCs w:val="24"/>
          <w:highlight w:val="none"/>
        </w:rPr>
        <w:t>符合性审查资料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评标标准相应的商务技术资料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不一致的，以</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符合性审查资料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评标标准相应的商务技术资料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为准。</w:t>
      </w:r>
    </w:p>
    <w:p w14:paraId="48E72B04">
      <w:pPr>
        <w:numPr>
          <w:ilvl w:val="0"/>
          <w:numId w:val="0"/>
        </w:numPr>
        <w:spacing w:line="360" w:lineRule="auto"/>
        <w:ind w:right="420"/>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highlight w:val="none"/>
        </w:rPr>
        <w:t>投标人须保证：除商务技术偏离表列出的偏离外，投标人响应招标文件的全部非实质性要求。</w:t>
      </w:r>
    </w:p>
    <w:p w14:paraId="20A33BAC">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750797A4">
      <w:pPr>
        <w:widowControl/>
        <w:adjustRightInd/>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26CB3CF8">
      <w:pPr>
        <w:snapToGrid w:val="0"/>
        <w:spacing w:line="360" w:lineRule="auto"/>
        <w:rPr>
          <w:rFonts w:hint="eastAsia" w:ascii="仿宋" w:hAnsi="仿宋" w:eastAsia="仿宋" w:cs="仿宋"/>
          <w:color w:val="auto"/>
          <w:sz w:val="24"/>
          <w:highlight w:val="none"/>
        </w:rPr>
      </w:pPr>
    </w:p>
    <w:p w14:paraId="2972F2C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杭州市钱塘区人民政府义蓬街道办事处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浙江华夏工程管理有限公司</w:t>
      </w:r>
      <w:r>
        <w:rPr>
          <w:rFonts w:hint="eastAsia" w:ascii="仿宋" w:hAnsi="仿宋" w:eastAsia="仿宋" w:cs="仿宋"/>
          <w:color w:val="auto"/>
          <w:kern w:val="0"/>
          <w:sz w:val="24"/>
          <w:highlight w:val="none"/>
          <w:lang w:val="zh-CN"/>
        </w:rPr>
        <w:t>：</w:t>
      </w:r>
    </w:p>
    <w:p w14:paraId="168EF8EE">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4743A7EC">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4281C5B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4086D53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489F39D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49BC9348">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5AA23BC0">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4A8744A1">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4DE206CC">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6E4A29F4">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592F8A6A">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08BF1DAF">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4FC8DE41">
      <w:pPr>
        <w:spacing w:line="360" w:lineRule="auto"/>
        <w:jc w:val="center"/>
        <w:rPr>
          <w:rFonts w:hint="eastAsia" w:ascii="仿宋" w:hAnsi="仿宋" w:eastAsia="仿宋" w:cs="仿宋"/>
          <w:b/>
          <w:bCs/>
          <w:color w:val="auto"/>
          <w:sz w:val="24"/>
          <w:highlight w:val="none"/>
        </w:rPr>
      </w:pPr>
    </w:p>
    <w:p w14:paraId="60947F9F">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383AC0F">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3E6ED819">
      <w:pPr>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2015FFF8">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CDA1384">
      <w:pPr>
        <w:spacing w:line="360" w:lineRule="auto"/>
        <w:jc w:val="center"/>
        <w:outlineLvl w:val="0"/>
        <w:rPr>
          <w:rFonts w:hint="eastAsia" w:ascii="仿宋" w:hAnsi="仿宋" w:eastAsia="仿宋" w:cs="仿宋"/>
          <w:b/>
          <w:color w:val="auto"/>
          <w:kern w:val="0"/>
          <w:sz w:val="36"/>
          <w:szCs w:val="36"/>
          <w:highlight w:val="none"/>
        </w:rPr>
      </w:pPr>
    </w:p>
    <w:p w14:paraId="682F228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19FA5A6F">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b w:val="0"/>
          <w:bCs/>
          <w:snapToGrid w:val="0"/>
          <w:color w:val="auto"/>
          <w:kern w:val="2"/>
          <w:sz w:val="24"/>
          <w:szCs w:val="24"/>
          <w:highlight w:val="none"/>
          <w:lang w:val="en-US" w:eastAsia="zh-CN" w:bidi="ar-SA"/>
        </w:rPr>
        <w:t>报价情况说明</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17A7661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）中小企业声明函………………………………………………………………（页码）</w:t>
      </w:r>
    </w:p>
    <w:p w14:paraId="66B170A3">
      <w:pPr>
        <w:rPr>
          <w:rFonts w:hint="eastAsia" w:ascii="仿宋" w:hAnsi="仿宋" w:eastAsia="仿宋" w:cs="仿宋"/>
          <w:color w:val="auto"/>
          <w:kern w:val="2"/>
          <w:sz w:val="32"/>
          <w:szCs w:val="32"/>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kern w:val="2"/>
          <w:sz w:val="32"/>
          <w:szCs w:val="32"/>
          <w:highlight w:val="none"/>
        </w:rPr>
        <w:br w:type="page"/>
      </w:r>
    </w:p>
    <w:p w14:paraId="55E6217A">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7368305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杭州市钱塘区人民政府义蓬街道办事处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浙江华夏工程管理有限公司</w:t>
      </w:r>
      <w:r>
        <w:rPr>
          <w:rFonts w:hint="eastAsia" w:ascii="仿宋" w:hAnsi="仿宋" w:eastAsia="仿宋" w:cs="仿宋"/>
          <w:color w:val="auto"/>
          <w:kern w:val="0"/>
          <w:sz w:val="24"/>
          <w:highlight w:val="none"/>
          <w:lang w:val="zh-CN"/>
        </w:rPr>
        <w:t>：</w:t>
      </w:r>
    </w:p>
    <w:p w14:paraId="1CCD59E6">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lang w:eastAsia="zh-CN"/>
        </w:rPr>
        <w:t>2025年义蓬街道交通设施更新维修项目</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lang w:eastAsia="zh-CN"/>
        </w:rPr>
        <w:t>QTCG-GK-2025-104</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60A888CD">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3"/>
        <w:tblW w:w="14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4360"/>
        <w:gridCol w:w="2981"/>
        <w:gridCol w:w="2438"/>
        <w:gridCol w:w="1968"/>
        <w:gridCol w:w="1369"/>
      </w:tblGrid>
      <w:tr w14:paraId="2C573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3415F404">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360" w:type="dxa"/>
            <w:tcBorders>
              <w:top w:val="single" w:color="auto" w:sz="4" w:space="0"/>
              <w:left w:val="single" w:color="auto" w:sz="4" w:space="0"/>
              <w:bottom w:val="single" w:color="auto" w:sz="4" w:space="0"/>
              <w:right w:val="single" w:color="auto" w:sz="4" w:space="0"/>
            </w:tcBorders>
            <w:vAlign w:val="center"/>
          </w:tcPr>
          <w:p w14:paraId="330D44D3">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981" w:type="dxa"/>
            <w:tcBorders>
              <w:top w:val="single" w:color="auto" w:sz="4" w:space="0"/>
              <w:left w:val="single" w:color="auto" w:sz="4" w:space="0"/>
              <w:bottom w:val="single" w:color="auto" w:sz="4" w:space="0"/>
              <w:right w:val="single" w:color="auto" w:sz="4" w:space="0"/>
            </w:tcBorders>
            <w:vAlign w:val="center"/>
          </w:tcPr>
          <w:p w14:paraId="39FCBB68">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具体服务</w:t>
            </w:r>
          </w:p>
        </w:tc>
        <w:tc>
          <w:tcPr>
            <w:tcW w:w="2438" w:type="dxa"/>
            <w:tcBorders>
              <w:top w:val="single" w:color="auto" w:sz="4" w:space="0"/>
              <w:left w:val="single" w:color="auto" w:sz="4" w:space="0"/>
              <w:bottom w:val="single" w:color="auto" w:sz="4" w:space="0"/>
              <w:right w:val="single" w:color="auto" w:sz="4" w:space="0"/>
            </w:tcBorders>
            <w:vAlign w:val="center"/>
          </w:tcPr>
          <w:p w14:paraId="79990ABF">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w:t>
            </w:r>
          </w:p>
          <w:p w14:paraId="16A4B1CB">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统一</w:t>
            </w:r>
            <w:r>
              <w:rPr>
                <w:rFonts w:hint="eastAsia" w:ascii="仿宋" w:hAnsi="仿宋" w:eastAsia="仿宋" w:cs="仿宋"/>
                <w:b/>
                <w:color w:val="auto"/>
                <w:sz w:val="24"/>
                <w:highlight w:val="none"/>
              </w:rPr>
              <w:t>折扣率%）</w:t>
            </w:r>
          </w:p>
        </w:tc>
        <w:tc>
          <w:tcPr>
            <w:tcW w:w="1968" w:type="dxa"/>
            <w:tcBorders>
              <w:top w:val="single" w:color="auto" w:sz="4" w:space="0"/>
              <w:left w:val="single" w:color="auto" w:sz="4" w:space="0"/>
              <w:bottom w:val="single" w:color="auto" w:sz="4" w:space="0"/>
              <w:right w:val="single" w:color="auto" w:sz="4" w:space="0"/>
            </w:tcBorders>
            <w:vAlign w:val="center"/>
          </w:tcPr>
          <w:p w14:paraId="4A674B26">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p w14:paraId="754A1F47">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（年限）</w:t>
            </w:r>
          </w:p>
        </w:tc>
        <w:tc>
          <w:tcPr>
            <w:tcW w:w="1369" w:type="dxa"/>
            <w:tcBorders>
              <w:top w:val="single" w:color="auto" w:sz="4" w:space="0"/>
              <w:left w:val="single" w:color="auto" w:sz="4" w:space="0"/>
              <w:bottom w:val="single" w:color="auto" w:sz="4" w:space="0"/>
              <w:right w:val="single" w:color="auto" w:sz="4" w:space="0"/>
            </w:tcBorders>
            <w:vAlign w:val="center"/>
          </w:tcPr>
          <w:p w14:paraId="6F7A34FB">
            <w:pPr>
              <w:spacing w:line="24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备注</w:t>
            </w:r>
          </w:p>
        </w:tc>
      </w:tr>
      <w:tr w14:paraId="790D0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C7718C6">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360" w:type="dxa"/>
            <w:tcBorders>
              <w:top w:val="single" w:color="auto" w:sz="4" w:space="0"/>
              <w:left w:val="single" w:color="auto" w:sz="4" w:space="0"/>
              <w:bottom w:val="single" w:color="auto" w:sz="4" w:space="0"/>
              <w:right w:val="single" w:color="auto" w:sz="4" w:space="0"/>
            </w:tcBorders>
            <w:vAlign w:val="center"/>
          </w:tcPr>
          <w:p w14:paraId="1C0A0012">
            <w:pPr>
              <w:snapToGrid w:val="0"/>
              <w:spacing w:line="240" w:lineRule="auto"/>
              <w:jc w:val="center"/>
              <w:rPr>
                <w:rFonts w:hint="eastAsia" w:ascii="仿宋" w:hAnsi="仿宋" w:eastAsia="仿宋" w:cs="仿宋"/>
                <w:color w:val="auto"/>
                <w:sz w:val="24"/>
                <w:highlight w:val="none"/>
              </w:rPr>
            </w:pPr>
          </w:p>
        </w:tc>
        <w:tc>
          <w:tcPr>
            <w:tcW w:w="2981" w:type="dxa"/>
            <w:tcBorders>
              <w:top w:val="single" w:color="auto" w:sz="4" w:space="0"/>
              <w:left w:val="single" w:color="auto" w:sz="4" w:space="0"/>
              <w:bottom w:val="single" w:color="auto" w:sz="4" w:space="0"/>
              <w:right w:val="single" w:color="auto" w:sz="4" w:space="0"/>
            </w:tcBorders>
            <w:vAlign w:val="center"/>
          </w:tcPr>
          <w:p w14:paraId="41736B31">
            <w:pPr>
              <w:snapToGrid w:val="0"/>
              <w:spacing w:line="240" w:lineRule="auto"/>
              <w:jc w:val="center"/>
              <w:rPr>
                <w:rFonts w:hint="eastAsia" w:ascii="仿宋" w:hAnsi="仿宋" w:eastAsia="仿宋" w:cs="仿宋"/>
                <w:color w:val="auto"/>
                <w:sz w:val="24"/>
                <w:highlight w:val="none"/>
              </w:rPr>
            </w:pPr>
          </w:p>
        </w:tc>
        <w:tc>
          <w:tcPr>
            <w:tcW w:w="2438" w:type="dxa"/>
            <w:tcBorders>
              <w:top w:val="single" w:color="auto" w:sz="4" w:space="0"/>
              <w:left w:val="single" w:color="auto" w:sz="4" w:space="0"/>
              <w:bottom w:val="single" w:color="auto" w:sz="4" w:space="0"/>
              <w:right w:val="single" w:color="auto" w:sz="4" w:space="0"/>
            </w:tcBorders>
            <w:vAlign w:val="center"/>
          </w:tcPr>
          <w:p w14:paraId="5CBBE573">
            <w:pPr>
              <w:spacing w:line="240" w:lineRule="auto"/>
              <w:ind w:firstLine="632" w:firstLineChars="300"/>
              <w:rPr>
                <w:rFonts w:hint="eastAsia" w:ascii="仿宋" w:hAnsi="仿宋" w:eastAsia="仿宋" w:cs="仿宋"/>
                <w:color w:val="auto"/>
                <w:sz w:val="24"/>
                <w:highlight w:val="none"/>
              </w:rPr>
            </w:pPr>
            <w:r>
              <w:rPr>
                <w:rFonts w:hint="eastAsia" w:ascii="仿宋" w:hAnsi="仿宋" w:eastAsia="仿宋" w:cs="仿宋"/>
                <w:b/>
                <w:color w:val="auto"/>
                <w:szCs w:val="21"/>
                <w:highlight w:val="none"/>
                <w:u w:val="single"/>
              </w:rPr>
              <w:t xml:space="preserve">      %</w:t>
            </w:r>
          </w:p>
        </w:tc>
        <w:tc>
          <w:tcPr>
            <w:tcW w:w="1968" w:type="dxa"/>
            <w:tcBorders>
              <w:top w:val="single" w:color="auto" w:sz="4" w:space="0"/>
              <w:left w:val="single" w:color="auto" w:sz="4" w:space="0"/>
              <w:bottom w:val="single" w:color="auto" w:sz="4" w:space="0"/>
              <w:right w:val="single" w:color="auto" w:sz="4" w:space="0"/>
            </w:tcBorders>
            <w:vAlign w:val="center"/>
          </w:tcPr>
          <w:p w14:paraId="0736B448">
            <w:pPr>
              <w:spacing w:line="240" w:lineRule="auto"/>
              <w:jc w:val="center"/>
              <w:rPr>
                <w:rFonts w:hint="eastAsia" w:ascii="仿宋" w:hAnsi="仿宋" w:eastAsia="仿宋" w:cs="仿宋"/>
                <w:color w:val="auto"/>
                <w:sz w:val="24"/>
                <w:highlight w:val="none"/>
              </w:rPr>
            </w:pPr>
          </w:p>
        </w:tc>
        <w:tc>
          <w:tcPr>
            <w:tcW w:w="1369" w:type="dxa"/>
            <w:tcBorders>
              <w:top w:val="single" w:color="auto" w:sz="4" w:space="0"/>
              <w:left w:val="single" w:color="auto" w:sz="4" w:space="0"/>
              <w:bottom w:val="single" w:color="auto" w:sz="4" w:space="0"/>
              <w:right w:val="single" w:color="auto" w:sz="4" w:space="0"/>
            </w:tcBorders>
            <w:vAlign w:val="center"/>
          </w:tcPr>
          <w:p w14:paraId="55AF2DFF">
            <w:pPr>
              <w:spacing w:line="240" w:lineRule="auto"/>
              <w:jc w:val="center"/>
              <w:rPr>
                <w:rFonts w:hint="eastAsia" w:ascii="仿宋" w:hAnsi="仿宋" w:eastAsia="仿宋" w:cs="仿宋"/>
                <w:color w:val="auto"/>
                <w:sz w:val="24"/>
                <w:highlight w:val="none"/>
              </w:rPr>
            </w:pPr>
          </w:p>
        </w:tc>
      </w:tr>
    </w:tbl>
    <w:p w14:paraId="51DB9EAA">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5FC41FD6">
      <w:pPr>
        <w:spacing w:line="360" w:lineRule="auto"/>
        <w:ind w:left="-2" w:leftChars="-1"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1、投标人需按本表格式填写</w:t>
      </w:r>
      <w:r>
        <w:rPr>
          <w:rFonts w:hint="eastAsia" w:ascii="仿宋" w:hAnsi="仿宋" w:eastAsia="仿宋" w:cs="仿宋"/>
          <w:b/>
          <w:kern w:val="0"/>
          <w:sz w:val="24"/>
          <w:highlight w:val="none"/>
          <w:lang w:val="zh-CN"/>
        </w:rPr>
        <w:t>，</w:t>
      </w:r>
      <w:r>
        <w:rPr>
          <w:rFonts w:hint="eastAsia" w:ascii="仿宋" w:hAnsi="仿宋" w:eastAsia="仿宋" w:cs="仿宋"/>
          <w:b/>
          <w:kern w:val="0"/>
          <w:sz w:val="24"/>
          <w:highlight w:val="none"/>
        </w:rPr>
        <w:t>否则视为</w:t>
      </w:r>
      <w:r>
        <w:rPr>
          <w:rFonts w:hint="eastAsia" w:ascii="仿宋" w:hAnsi="仿宋" w:eastAsia="仿宋" w:cs="仿宋"/>
          <w:b/>
          <w:sz w:val="24"/>
          <w:highlight w:val="none"/>
        </w:rPr>
        <w:t>投标文件含有采购人不能接受的附加条件，投标无效</w:t>
      </w:r>
      <w:r>
        <w:rPr>
          <w:rFonts w:hint="eastAsia" w:ascii="仿宋" w:hAnsi="仿宋" w:eastAsia="仿宋" w:cs="仿宋"/>
          <w:b/>
          <w:kern w:val="0"/>
          <w:sz w:val="24"/>
          <w:highlight w:val="none"/>
          <w:lang w:val="zh-CN"/>
        </w:rPr>
        <w:t>；</w:t>
      </w:r>
    </w:p>
    <w:p w14:paraId="45E983D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FF0000"/>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w:t>
      </w:r>
      <w:r>
        <w:rPr>
          <w:rFonts w:hint="eastAsia" w:ascii="仿宋" w:hAnsi="仿宋" w:eastAsia="仿宋" w:cs="仿宋"/>
          <w:color w:val="FF0000"/>
          <w:spacing w:val="0"/>
          <w:kern w:val="0"/>
          <w:sz w:val="24"/>
          <w:szCs w:val="24"/>
          <w:highlight w:val="none"/>
        </w:rPr>
        <w:t>总价</w:t>
      </w:r>
      <w:r>
        <w:rPr>
          <w:rFonts w:hint="eastAsia" w:ascii="仿宋" w:hAnsi="仿宋" w:eastAsia="仿宋" w:cs="仿宋"/>
          <w:color w:val="FF0000"/>
          <w:spacing w:val="0"/>
          <w:kern w:val="0"/>
          <w:sz w:val="24"/>
          <w:szCs w:val="24"/>
          <w:highlight w:val="none"/>
          <w:lang w:eastAsia="zh-CN"/>
        </w:rPr>
        <w:t>不为零</w:t>
      </w:r>
      <w:r>
        <w:rPr>
          <w:rFonts w:hint="eastAsia" w:ascii="仿宋" w:hAnsi="仿宋" w:eastAsia="仿宋" w:cs="仿宋"/>
          <w:color w:val="FF0000"/>
          <w:spacing w:val="0"/>
          <w:kern w:val="0"/>
          <w:sz w:val="24"/>
          <w:szCs w:val="24"/>
          <w:highlight w:val="none"/>
        </w:rPr>
        <w:t>，</w:t>
      </w:r>
      <w:r>
        <w:rPr>
          <w:rFonts w:hint="eastAsia" w:ascii="仿宋" w:hAnsi="仿宋" w:eastAsia="仿宋" w:cs="仿宋"/>
          <w:color w:val="FF0000"/>
          <w:spacing w:val="0"/>
          <w:kern w:val="0"/>
          <w:sz w:val="24"/>
          <w:szCs w:val="24"/>
          <w:highlight w:val="none"/>
          <w:lang w:eastAsia="zh-CN"/>
        </w:rPr>
        <w:t>部分</w:t>
      </w:r>
      <w:r>
        <w:rPr>
          <w:rFonts w:hint="eastAsia" w:ascii="仿宋" w:hAnsi="仿宋" w:eastAsia="仿宋" w:cs="仿宋"/>
          <w:color w:val="FF0000"/>
          <w:spacing w:val="0"/>
          <w:kern w:val="0"/>
          <w:sz w:val="24"/>
          <w:szCs w:val="24"/>
          <w:highlight w:val="none"/>
        </w:rPr>
        <w:t>产品、服务单价为零的，视作已包含在总价中</w:t>
      </w:r>
      <w:r>
        <w:rPr>
          <w:rFonts w:hint="eastAsia" w:ascii="仿宋" w:hAnsi="仿宋" w:eastAsia="仿宋" w:cs="仿宋"/>
          <w:color w:val="FF0000"/>
          <w:spacing w:val="0"/>
          <w:kern w:val="0"/>
          <w:sz w:val="24"/>
          <w:szCs w:val="24"/>
          <w:highlight w:val="none"/>
          <w:lang w:eastAsia="zh-CN"/>
        </w:rPr>
        <w:t>。</w:t>
      </w:r>
      <w:r>
        <w:rPr>
          <w:rFonts w:hint="eastAsia" w:ascii="仿宋" w:hAnsi="仿宋" w:eastAsia="仿宋" w:cs="仿宋"/>
          <w:b/>
          <w:kern w:val="0"/>
          <w:sz w:val="24"/>
          <w:highlight w:val="none"/>
          <w:lang w:val="zh-CN"/>
        </w:rPr>
        <w:t>采购内容未包含在《开标一览表（报价表）》名称栏中，投标人不能作出合理解释的，</w:t>
      </w:r>
      <w:r>
        <w:rPr>
          <w:rFonts w:hint="eastAsia" w:ascii="仿宋" w:hAnsi="仿宋" w:eastAsia="仿宋" w:cs="仿宋"/>
          <w:b/>
          <w:kern w:val="0"/>
          <w:sz w:val="24"/>
          <w:highlight w:val="none"/>
        </w:rPr>
        <w:t>视为</w:t>
      </w:r>
      <w:r>
        <w:rPr>
          <w:rFonts w:hint="eastAsia" w:ascii="仿宋" w:hAnsi="仿宋" w:eastAsia="仿宋" w:cs="仿宋"/>
          <w:b/>
          <w:sz w:val="24"/>
          <w:highlight w:val="none"/>
        </w:rPr>
        <w:t>投标文件含有采购人不能接受的附加条件的，投标无效。</w:t>
      </w:r>
    </w:p>
    <w:p w14:paraId="15E886EE">
      <w:pPr>
        <w:snapToGrid w:val="0"/>
        <w:spacing w:line="360" w:lineRule="auto"/>
        <w:ind w:firstLine="480" w:firstLineChars="200"/>
        <w:jc w:val="left"/>
        <w:rPr>
          <w:rFonts w:hint="eastAsia" w:ascii="仿宋" w:hAnsi="仿宋" w:eastAsia="仿宋" w:cs="仿宋"/>
          <w:color w:val="auto"/>
          <w:kern w:val="2"/>
          <w:sz w:val="32"/>
          <w:szCs w:val="32"/>
          <w:highlight w:val="none"/>
          <w:lang w:eastAsia="zh-CN"/>
        </w:rPr>
        <w:sectPr>
          <w:pgSz w:w="16838" w:h="11906" w:orient="landscape"/>
          <w:pgMar w:top="1418" w:right="1276" w:bottom="1418" w:left="1247" w:header="851" w:footer="992" w:gutter="0"/>
          <w:cols w:space="720" w:num="1"/>
          <w:titlePg/>
          <w:docGrid w:linePitch="312" w:charSpace="0"/>
        </w:sect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61B9DFE6">
      <w:pPr>
        <w:pStyle w:val="690"/>
        <w:keepNext w:val="0"/>
        <w:pageBreakBefore w:val="0"/>
        <w:numPr>
          <w:ilvl w:val="-1"/>
          <w:numId w:val="0"/>
        </w:numPr>
        <w:tabs>
          <w:tab w:val="clear" w:pos="720"/>
        </w:tabs>
        <w:snapToGrid w:val="0"/>
        <w:spacing w:before="120" w:after="120"/>
        <w:ind w:firstLine="0"/>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二、报价情况说明（如果有）</w:t>
      </w:r>
    </w:p>
    <w:p w14:paraId="017FE24F">
      <w:pPr>
        <w:pStyle w:val="690"/>
        <w:keepNext w:val="0"/>
        <w:pageBreakBefore w:val="0"/>
        <w:tabs>
          <w:tab w:val="clear" w:pos="720"/>
        </w:tabs>
        <w:snapToGrid w:val="0"/>
        <w:spacing w:before="120" w:after="120"/>
        <w:ind w:firstLine="643"/>
        <w:jc w:val="left"/>
        <w:outlineLvl w:val="9"/>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（如供应商报价低于项目预算50%的，应当提交本文档，详细阐述不影响产品质量或者诚信履约的具体原因</w:t>
      </w:r>
      <w:r>
        <w:rPr>
          <w:rFonts w:hint="eastAsia" w:ascii="仿宋" w:hAnsi="仿宋" w:eastAsia="仿宋" w:cs="仿宋"/>
          <w:b/>
          <w:color w:val="auto"/>
          <w:kern w:val="2"/>
          <w:sz w:val="24"/>
          <w:szCs w:val="24"/>
          <w:highlight w:val="none"/>
        </w:rPr>
        <w:t>，否则投标无效</w:t>
      </w:r>
      <w:r>
        <w:rPr>
          <w:rFonts w:hint="eastAsia" w:ascii="仿宋" w:hAnsi="仿宋" w:eastAsia="仿宋" w:cs="仿宋"/>
          <w:b/>
          <w:bCs w:val="0"/>
          <w:color w:val="auto"/>
          <w:kern w:val="2"/>
          <w:sz w:val="24"/>
          <w:szCs w:val="24"/>
          <w:highlight w:val="none"/>
          <w:lang w:val="en-US" w:eastAsia="zh-CN"/>
        </w:rPr>
        <w:t>。</w:t>
      </w:r>
      <w:r>
        <w:rPr>
          <w:rFonts w:hint="eastAsia" w:ascii="仿宋" w:hAnsi="仿宋" w:eastAsia="仿宋" w:cs="仿宋"/>
          <w:b w:val="0"/>
          <w:bCs w:val="0"/>
          <w:color w:val="auto"/>
          <w:sz w:val="24"/>
          <w:szCs w:val="24"/>
          <w:highlight w:val="none"/>
          <w:lang w:val="en-US"/>
        </w:rPr>
        <w:t>）</w:t>
      </w:r>
    </w:p>
    <w:p w14:paraId="77D9309B">
      <w:pPr>
        <w:pStyle w:val="690"/>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highlight w:val="none"/>
        </w:rPr>
      </w:pPr>
    </w:p>
    <w:p w14:paraId="285CFCDD">
      <w:pPr>
        <w:pStyle w:val="690"/>
        <w:keepNext w:val="0"/>
        <w:pageBreakBefore w:val="0"/>
        <w:tabs>
          <w:tab w:val="clear" w:pos="720"/>
        </w:tabs>
        <w:snapToGrid w:val="0"/>
        <w:spacing w:before="120" w:after="120"/>
        <w:jc w:val="center"/>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eastAsia="zh-CN"/>
        </w:rPr>
        <w:t>三</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w:t>
      </w:r>
      <w:bookmarkStart w:id="498" w:name="_Hlk101259491"/>
      <w:r>
        <w:rPr>
          <w:rFonts w:hint="eastAsia" w:ascii="仿宋" w:hAnsi="仿宋" w:eastAsia="仿宋" w:cs="仿宋"/>
          <w:color w:val="auto"/>
          <w:sz w:val="32"/>
          <w:szCs w:val="32"/>
          <w:highlight w:val="none"/>
        </w:rPr>
        <w:t>（如果有）</w:t>
      </w:r>
      <w:bookmarkEnd w:id="498"/>
    </w:p>
    <w:p w14:paraId="68EFD115">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6D33367">
      <w:pPr>
        <w:rPr>
          <w:rFonts w:hint="eastAsia" w:ascii="仿宋" w:hAnsi="仿宋" w:eastAsia="仿宋" w:cs="仿宋"/>
          <w:color w:val="auto"/>
          <w:highlight w:val="none"/>
        </w:rPr>
      </w:pPr>
      <w:r>
        <w:rPr>
          <w:rFonts w:hint="eastAsia" w:ascii="仿宋" w:hAnsi="仿宋" w:eastAsia="仿宋" w:cs="仿宋"/>
          <w:b/>
          <w:color w:val="auto"/>
          <w:sz w:val="24"/>
          <w:highlight w:val="none"/>
        </w:rPr>
        <w:br w:type="page"/>
      </w:r>
    </w:p>
    <w:p w14:paraId="6E3A1180">
      <w:pPr>
        <w:pStyle w:val="3"/>
        <w:keepNext w:val="0"/>
        <w:keepLines w:val="0"/>
        <w:pageBreakBefore/>
        <w:widowControl/>
        <w:spacing w:before="100" w:beforeAutospacing="1" w:after="100" w:afterAutospacing="1"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附件</w:t>
      </w:r>
    </w:p>
    <w:p w14:paraId="7B3E9462">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518F5C31">
      <w:pPr>
        <w:spacing w:line="360" w:lineRule="auto"/>
        <w:jc w:val="center"/>
        <w:rPr>
          <w:rFonts w:hint="eastAsia" w:ascii="仿宋" w:hAnsi="仿宋" w:eastAsia="仿宋" w:cs="仿宋"/>
          <w:b/>
          <w:color w:val="auto"/>
          <w:spacing w:val="6"/>
          <w:sz w:val="32"/>
          <w:szCs w:val="32"/>
          <w:highlight w:val="none"/>
        </w:rPr>
      </w:pPr>
      <w:bookmarkStart w:id="499" w:name="OLE_LINK13"/>
      <w:bookmarkStart w:id="500" w:name="OLE_LINK14"/>
      <w:r>
        <w:rPr>
          <w:rFonts w:hint="eastAsia" w:ascii="仿宋" w:hAnsi="仿宋" w:eastAsia="仿宋" w:cs="仿宋"/>
          <w:b/>
          <w:color w:val="auto"/>
          <w:spacing w:val="6"/>
          <w:sz w:val="32"/>
          <w:szCs w:val="32"/>
          <w:highlight w:val="none"/>
        </w:rPr>
        <w:t>残疾人福利性单位声明函</w:t>
      </w:r>
    </w:p>
    <w:bookmarkEnd w:id="499"/>
    <w:bookmarkEnd w:id="500"/>
    <w:p w14:paraId="4FBE83DE">
      <w:pPr>
        <w:spacing w:line="360" w:lineRule="auto"/>
        <w:rPr>
          <w:rFonts w:hint="eastAsia" w:ascii="仿宋" w:hAnsi="仿宋" w:eastAsia="仿宋" w:cs="仿宋"/>
          <w:b/>
          <w:color w:val="auto"/>
          <w:spacing w:val="6"/>
          <w:sz w:val="30"/>
          <w:szCs w:val="30"/>
          <w:highlight w:val="none"/>
        </w:rPr>
      </w:pPr>
    </w:p>
    <w:p w14:paraId="55BD305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lang w:eastAsia="zh-CN"/>
        </w:rPr>
        <w:t>2025年义蓬街道交通设施更新维修项目</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709442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67056FC6">
      <w:pPr>
        <w:spacing w:line="360" w:lineRule="auto"/>
        <w:ind w:firstLine="480" w:firstLineChars="200"/>
        <w:rPr>
          <w:rFonts w:hint="eastAsia" w:ascii="仿宋" w:hAnsi="仿宋" w:eastAsia="仿宋" w:cs="仿宋"/>
          <w:color w:val="auto"/>
          <w:sz w:val="24"/>
          <w:highlight w:val="none"/>
        </w:rPr>
      </w:pPr>
    </w:p>
    <w:p w14:paraId="4F17D0D5">
      <w:pPr>
        <w:spacing w:line="360" w:lineRule="auto"/>
        <w:ind w:firstLine="480" w:firstLineChars="200"/>
        <w:rPr>
          <w:rFonts w:hint="eastAsia" w:ascii="仿宋" w:hAnsi="仿宋" w:eastAsia="仿宋" w:cs="仿宋"/>
          <w:color w:val="auto"/>
          <w:sz w:val="24"/>
          <w:highlight w:val="none"/>
        </w:rPr>
      </w:pPr>
    </w:p>
    <w:p w14:paraId="241D2CB8">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1C958C37">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65BD0560">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1665F3C9">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3DEB3FE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46A32A02">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5164C5E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18E75D1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5AA82E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02F97A4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F73687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2BBF134">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16BDD3D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0D52A39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0C16A1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62952DD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3E687675">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34A155F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180F181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17FCC3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19F893E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D9535A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12D91F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7EC232D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5A25F79">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215EBB2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473073D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C37D67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54A796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02B7ABD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591BD1E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719D485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3DE5961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2DB751D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3FEF300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069F09C6">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77D0C340">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6C28A54B">
      <w:pPr>
        <w:spacing w:line="360" w:lineRule="auto"/>
        <w:jc w:val="center"/>
        <w:rPr>
          <w:rFonts w:hint="eastAsia" w:ascii="仿宋" w:hAnsi="仿宋" w:eastAsia="仿宋" w:cs="仿宋"/>
          <w:b/>
          <w:color w:val="auto"/>
          <w:sz w:val="24"/>
          <w:highlight w:val="none"/>
        </w:rPr>
      </w:pPr>
    </w:p>
    <w:p w14:paraId="4653B019">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6556296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7AA465F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4CE8337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EB8A649">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7DE90D1">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AC3952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C74567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288C3BF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74066E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E3AC0E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036536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0B03A5F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32F062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8417A0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B779F5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1B17AF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0FE44E1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3ACF2E5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5B9B33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3DD879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40620AC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6CA0F71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5F68F7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3A28E3A0">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689AF64E">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08364C1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0EDBFB2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6C81D51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CA0D4C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9B2C60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7F0B07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B215C4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投诉事项2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0F7DD11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2F651C5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7B4BD4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63BDAD5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82A1CD7">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日期：    </w:t>
      </w:r>
    </w:p>
    <w:p w14:paraId="2CCEFD1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1864CCBE">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75F1F099">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5856430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246EEDA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115AAF6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02541AA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79AEBABA">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65F57B0E">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41AC867D">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0D6C0DAF">
      <w:pPr>
        <w:spacing w:line="360" w:lineRule="auto"/>
        <w:rPr>
          <w:rFonts w:hint="eastAsia" w:ascii="仿宋" w:hAnsi="仿宋" w:eastAsia="仿宋" w:cs="仿宋"/>
          <w:color w:val="auto"/>
          <w:sz w:val="24"/>
          <w:highlight w:val="none"/>
          <w:u w:val="single"/>
        </w:rPr>
      </w:pPr>
    </w:p>
    <w:p w14:paraId="4D75C23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杭州市钱塘区人民政府义蓬街道办事处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浙江华夏工程管理有限公司</w:t>
      </w:r>
      <w:r>
        <w:rPr>
          <w:rFonts w:hint="eastAsia" w:ascii="仿宋" w:hAnsi="仿宋" w:eastAsia="仿宋" w:cs="仿宋"/>
          <w:color w:val="auto"/>
          <w:sz w:val="24"/>
          <w:highlight w:val="none"/>
          <w:u w:val="single"/>
        </w:rPr>
        <w:t>：</w:t>
      </w:r>
    </w:p>
    <w:p w14:paraId="363D6FC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2025年义蓬街道交通设施更新维修项目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QTCG-GK-2025-104</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59F56B0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6B8E8939">
      <w:pPr>
        <w:spacing w:line="360" w:lineRule="auto"/>
        <w:ind w:firstLine="494"/>
        <w:rPr>
          <w:rFonts w:hint="eastAsia" w:ascii="仿宋" w:hAnsi="仿宋" w:eastAsia="仿宋" w:cs="仿宋"/>
          <w:color w:val="auto"/>
          <w:sz w:val="24"/>
          <w:highlight w:val="none"/>
        </w:rPr>
      </w:pPr>
    </w:p>
    <w:p w14:paraId="136A5C61">
      <w:pPr>
        <w:spacing w:line="360" w:lineRule="auto"/>
        <w:ind w:firstLine="494"/>
        <w:rPr>
          <w:rFonts w:hint="eastAsia" w:ascii="仿宋" w:hAnsi="仿宋" w:eastAsia="仿宋" w:cs="仿宋"/>
          <w:color w:val="auto"/>
          <w:sz w:val="24"/>
          <w:highlight w:val="none"/>
        </w:rPr>
      </w:pPr>
    </w:p>
    <w:p w14:paraId="74AE5C2D">
      <w:pPr>
        <w:spacing w:line="360" w:lineRule="auto"/>
        <w:rPr>
          <w:rFonts w:hint="eastAsia" w:ascii="仿宋" w:hAnsi="仿宋" w:eastAsia="仿宋" w:cs="仿宋"/>
          <w:color w:val="auto"/>
          <w:sz w:val="24"/>
          <w:highlight w:val="none"/>
        </w:rPr>
      </w:pPr>
    </w:p>
    <w:p w14:paraId="0A8F826D">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5A50FD35">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0A47E18">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18D7A8BA">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6F64CA1E">
      <w:pPr>
        <w:autoSpaceDE w:val="0"/>
        <w:autoSpaceDN w:val="0"/>
        <w:jc w:val="center"/>
        <w:rPr>
          <w:rFonts w:hint="eastAsia" w:ascii="仿宋" w:hAnsi="仿宋" w:eastAsia="仿宋" w:cs="仿宋"/>
          <w:b/>
          <w:color w:val="auto"/>
          <w:spacing w:val="6"/>
          <w:sz w:val="32"/>
          <w:szCs w:val="32"/>
          <w:highlight w:val="none"/>
        </w:rPr>
      </w:pPr>
    </w:p>
    <w:p w14:paraId="2CA15825">
      <w:pPr>
        <w:autoSpaceDE w:val="0"/>
        <w:autoSpaceDN w:val="0"/>
        <w:jc w:val="center"/>
        <w:rPr>
          <w:rFonts w:hint="eastAsia" w:ascii="仿宋" w:hAnsi="仿宋" w:eastAsia="仿宋" w:cs="仿宋"/>
          <w:b/>
          <w:color w:val="auto"/>
          <w:spacing w:val="6"/>
          <w:sz w:val="32"/>
          <w:szCs w:val="32"/>
          <w:highlight w:val="none"/>
        </w:rPr>
      </w:pPr>
    </w:p>
    <w:p w14:paraId="24FAD212">
      <w:pPr>
        <w:autoSpaceDE w:val="0"/>
        <w:autoSpaceDN w:val="0"/>
        <w:jc w:val="center"/>
        <w:rPr>
          <w:rFonts w:hint="eastAsia" w:ascii="仿宋" w:hAnsi="仿宋" w:eastAsia="仿宋" w:cs="仿宋"/>
          <w:b/>
          <w:color w:val="auto"/>
          <w:spacing w:val="6"/>
          <w:sz w:val="32"/>
          <w:szCs w:val="32"/>
          <w:highlight w:val="none"/>
        </w:rPr>
      </w:pPr>
    </w:p>
    <w:p w14:paraId="597CBABB">
      <w:pPr>
        <w:autoSpaceDE w:val="0"/>
        <w:autoSpaceDN w:val="0"/>
        <w:jc w:val="center"/>
        <w:rPr>
          <w:rFonts w:hint="eastAsia" w:ascii="仿宋" w:hAnsi="仿宋" w:eastAsia="仿宋" w:cs="仿宋"/>
          <w:b/>
          <w:color w:val="auto"/>
          <w:spacing w:val="6"/>
          <w:sz w:val="32"/>
          <w:szCs w:val="32"/>
          <w:highlight w:val="none"/>
        </w:rPr>
      </w:pPr>
    </w:p>
    <w:p w14:paraId="2A3118B1">
      <w:pPr>
        <w:autoSpaceDE w:val="0"/>
        <w:autoSpaceDN w:val="0"/>
        <w:jc w:val="center"/>
        <w:rPr>
          <w:rFonts w:hint="eastAsia" w:ascii="仿宋" w:hAnsi="仿宋" w:eastAsia="仿宋" w:cs="仿宋"/>
          <w:b/>
          <w:color w:val="auto"/>
          <w:spacing w:val="6"/>
          <w:sz w:val="32"/>
          <w:szCs w:val="32"/>
          <w:highlight w:val="none"/>
        </w:rPr>
      </w:pPr>
    </w:p>
    <w:p w14:paraId="1669B94F">
      <w:pPr>
        <w:autoSpaceDE w:val="0"/>
        <w:autoSpaceDN w:val="0"/>
        <w:jc w:val="center"/>
        <w:rPr>
          <w:rFonts w:hint="eastAsia" w:ascii="仿宋" w:hAnsi="仿宋" w:eastAsia="仿宋" w:cs="仿宋"/>
          <w:b/>
          <w:color w:val="auto"/>
          <w:spacing w:val="6"/>
          <w:sz w:val="32"/>
          <w:szCs w:val="32"/>
          <w:highlight w:val="none"/>
        </w:rPr>
      </w:pPr>
    </w:p>
    <w:p w14:paraId="1EEF520E">
      <w:pPr>
        <w:autoSpaceDE w:val="0"/>
        <w:autoSpaceDN w:val="0"/>
        <w:jc w:val="center"/>
        <w:rPr>
          <w:rFonts w:hint="eastAsia" w:ascii="仿宋" w:hAnsi="仿宋" w:eastAsia="仿宋" w:cs="仿宋"/>
          <w:b/>
          <w:color w:val="auto"/>
          <w:spacing w:val="6"/>
          <w:sz w:val="32"/>
          <w:szCs w:val="32"/>
          <w:highlight w:val="none"/>
        </w:rPr>
      </w:pPr>
    </w:p>
    <w:p w14:paraId="7F54FCB9">
      <w:pPr>
        <w:autoSpaceDE w:val="0"/>
        <w:autoSpaceDN w:val="0"/>
        <w:jc w:val="center"/>
        <w:rPr>
          <w:rFonts w:hint="eastAsia" w:ascii="仿宋" w:hAnsi="仿宋" w:eastAsia="仿宋" w:cs="仿宋"/>
          <w:b/>
          <w:color w:val="auto"/>
          <w:spacing w:val="6"/>
          <w:sz w:val="32"/>
          <w:szCs w:val="32"/>
          <w:highlight w:val="none"/>
        </w:rPr>
      </w:pPr>
    </w:p>
    <w:p w14:paraId="36787662">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33D6FE51">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18BD3D97">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3036F74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lang w:eastAsia="zh-CN"/>
        </w:rPr>
        <w:t>2025年义蓬街道交通设施更新维修项目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QTCG-GK-2025-104</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14:paraId="115AF91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75E62E7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B83D4E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3BFE2341">
      <w:pPr>
        <w:snapToGrid w:val="0"/>
        <w:spacing w:line="360" w:lineRule="auto"/>
        <w:ind w:firstLine="576"/>
        <w:rPr>
          <w:rFonts w:hint="eastAsia" w:ascii="仿宋" w:hAnsi="仿宋" w:eastAsia="仿宋" w:cs="仿宋"/>
          <w:color w:val="auto"/>
          <w:kern w:val="0"/>
          <w:sz w:val="24"/>
          <w:highlight w:val="none"/>
          <w:lang w:val="zh-CN"/>
        </w:rPr>
      </w:pPr>
      <w:bookmarkStart w:id="501"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76BB1AF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71326FE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501"/>
    <w:p w14:paraId="743EB4D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r>
        <w:rPr>
          <w:rFonts w:hint="eastAsia" w:ascii="仿宋" w:hAnsi="仿宋" w:eastAsia="仿宋" w:cs="仿宋"/>
          <w:color w:val="auto"/>
          <w:kern w:val="0"/>
          <w:sz w:val="24"/>
          <w:highlight w:val="none"/>
          <w:lang w:val="en-US" w:eastAsia="zh-CN"/>
        </w:rPr>
        <w:t>根据项目具体情况二选一填写）</w:t>
      </w:r>
      <w:r>
        <w:rPr>
          <w:rFonts w:hint="eastAsia" w:ascii="仿宋" w:hAnsi="仿宋" w:eastAsia="仿宋" w:cs="仿宋"/>
          <w:color w:val="auto"/>
          <w:kern w:val="0"/>
          <w:sz w:val="24"/>
          <w:highlight w:val="none"/>
          <w:lang w:val="zh-CN"/>
        </w:rPr>
        <w:t>。</w:t>
      </w:r>
    </w:p>
    <w:p w14:paraId="07BB1A0A">
      <w:pPr>
        <w:snapToGrid w:val="0"/>
        <w:spacing w:line="360" w:lineRule="auto"/>
        <w:ind w:firstLine="576"/>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7901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28CAE235">
      <w:pPr>
        <w:snapToGrid w:val="0"/>
        <w:spacing w:line="360" w:lineRule="auto"/>
        <w:ind w:firstLine="576"/>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0"/>
            <w:sz w:val="24"/>
            <w:highlight w:val="none"/>
          </w:rPr>
          <w:id w:val="14745960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1EFFE9E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48C7D4C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6E9F021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369CB4B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17DCC56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4D10FFFB">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366BD76">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34CF816">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1635A5D4">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72C2BE6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1D04360">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0DAC3EE">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064798D9">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48EB537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lang w:eastAsia="zh-CN"/>
        </w:rPr>
        <w:t>2025年义蓬街道交通设施更新维修项目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QTCG-GK-2025-104</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20E2D27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w:t>
      </w:r>
      <w:r>
        <w:rPr>
          <w:rFonts w:hint="eastAsia" w:ascii="仿宋" w:hAnsi="仿宋" w:eastAsia="仿宋" w:cs="仿宋"/>
          <w:color w:val="auto"/>
          <w:kern w:val="0"/>
          <w:sz w:val="24"/>
          <w:highlight w:val="none"/>
          <w:u w:val="single"/>
          <w:lang w:val="zh-CN"/>
        </w:rPr>
        <w:t>（投标人名称）</w:t>
      </w:r>
      <w:r>
        <w:rPr>
          <w:rFonts w:hint="eastAsia" w:ascii="仿宋" w:hAnsi="仿宋" w:eastAsia="仿宋" w:cs="仿宋"/>
          <w:color w:val="auto"/>
          <w:kern w:val="0"/>
          <w:sz w:val="24"/>
          <w:highlight w:val="none"/>
          <w:u w:val="none"/>
          <w:lang w:val="zh-CN"/>
        </w:rPr>
        <w:t>将工作</w:t>
      </w:r>
      <w:r>
        <w:rPr>
          <w:rFonts w:hint="eastAsia" w:ascii="仿宋" w:hAnsi="仿宋" w:eastAsia="仿宋" w:cs="仿宋"/>
          <w:color w:val="auto"/>
          <w:kern w:val="0"/>
          <w:sz w:val="24"/>
          <w:highlight w:val="none"/>
          <w:lang w:val="zh-CN"/>
        </w:rPr>
        <w:t>分包如下：</w:t>
      </w:r>
      <w:r>
        <w:rPr>
          <w:rFonts w:hint="eastAsia" w:ascii="仿宋" w:hAnsi="仿宋" w:eastAsia="仿宋" w:cs="仿宋"/>
          <w:b/>
          <w:bCs/>
          <w:i/>
          <w:iCs/>
          <w:color w:val="auto"/>
          <w:kern w:val="0"/>
          <w:sz w:val="24"/>
          <w:szCs w:val="24"/>
          <w:highlight w:val="none"/>
          <w:lang w:val="zh-CN"/>
        </w:rPr>
        <w:t>（注：投标人只能将招标文件第二部分中“前附表”的“分包”规定的工作进行分包）</w:t>
      </w:r>
    </w:p>
    <w:p w14:paraId="7999EF4E">
      <w:pPr>
        <w:snapToGrid w:val="0"/>
        <w:spacing w:line="360" w:lineRule="auto"/>
        <w:ind w:firstLine="576"/>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u w:val="single"/>
          <w:lang w:eastAsia="zh-CN"/>
        </w:rPr>
        <w:t>；</w:t>
      </w:r>
    </w:p>
    <w:p w14:paraId="205F48DE">
      <w:pPr>
        <w:snapToGrid w:val="0"/>
        <w:spacing w:line="360" w:lineRule="auto"/>
        <w:ind w:firstLine="576"/>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u w:val="single"/>
          <w:lang w:eastAsia="zh-CN"/>
        </w:rPr>
        <w:t>；</w:t>
      </w:r>
    </w:p>
    <w:p w14:paraId="42AF1A8F">
      <w:pPr>
        <w:pStyle w:val="4"/>
        <w:spacing w:line="360" w:lineRule="auto"/>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62169EA2">
      <w:pPr>
        <w:pStyle w:val="4"/>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u w:val="none"/>
          <w:lang w:eastAsia="zh-CN"/>
        </w:rPr>
        <w:t>以上分包供应商</w:t>
      </w:r>
      <w:r>
        <w:rPr>
          <w:rFonts w:hint="eastAsia" w:ascii="仿宋" w:hAnsi="仿宋" w:eastAsia="仿宋" w:cs="仿宋"/>
          <w:color w:val="auto"/>
          <w:kern w:val="0"/>
          <w:sz w:val="24"/>
          <w:highlight w:val="none"/>
          <w:u w:val="none"/>
          <w:lang w:val="zh-CN"/>
        </w:rPr>
        <w:t>具备所承</w:t>
      </w:r>
      <w:r>
        <w:rPr>
          <w:rFonts w:hint="eastAsia" w:ascii="仿宋" w:hAnsi="仿宋" w:eastAsia="仿宋" w:cs="仿宋"/>
          <w:color w:val="auto"/>
          <w:kern w:val="0"/>
          <w:sz w:val="24"/>
          <w:highlight w:val="none"/>
          <w:u w:val="none"/>
        </w:rPr>
        <w:t>担</w:t>
      </w:r>
      <w:r>
        <w:rPr>
          <w:rFonts w:hint="eastAsia" w:ascii="仿宋" w:hAnsi="仿宋" w:eastAsia="仿宋" w:cs="仿宋"/>
          <w:color w:val="auto"/>
          <w:kern w:val="0"/>
          <w:sz w:val="24"/>
          <w:highlight w:val="none"/>
          <w:u w:val="none"/>
          <w:lang w:val="zh-CN"/>
        </w:rPr>
        <w:t>分包工作内容相应的资质条件且不得再次分包。</w:t>
      </w:r>
    </w:p>
    <w:p w14:paraId="16A84AE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r>
        <w:rPr>
          <w:rFonts w:hint="eastAsia" w:ascii="仿宋" w:hAnsi="仿宋" w:eastAsia="仿宋" w:cs="仿宋"/>
          <w:color w:val="auto"/>
          <w:kern w:val="0"/>
          <w:sz w:val="24"/>
          <w:highlight w:val="none"/>
          <w:lang w:val="en-US" w:eastAsia="zh-CN"/>
        </w:rPr>
        <w:t>根据项目具体情况二选一填写）。</w:t>
      </w:r>
    </w:p>
    <w:p w14:paraId="0511DBDE">
      <w:pPr>
        <w:snapToGrid w:val="0"/>
        <w:spacing w:line="360" w:lineRule="auto"/>
        <w:ind w:firstLine="576"/>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5921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1D99F3CE">
      <w:pPr>
        <w:spacing w:line="360" w:lineRule="auto"/>
        <w:ind w:firstLine="480" w:firstLineChars="200"/>
        <w:rPr>
          <w:rFonts w:hint="eastAsia" w:ascii="仿宋" w:hAnsi="仿宋" w:eastAsia="仿宋" w:cs="仿宋"/>
          <w:b/>
          <w:bCs/>
          <w:color w:val="auto"/>
          <w:kern w:val="0"/>
          <w:sz w:val="24"/>
          <w:highlight w:val="none"/>
          <w:lang w:val="zh-CN"/>
        </w:rPr>
      </w:pPr>
      <w:sdt>
        <w:sdtPr>
          <w:rPr>
            <w:rFonts w:hint="eastAsia" w:ascii="仿宋" w:hAnsi="仿宋" w:eastAsia="仿宋" w:cs="仿宋"/>
            <w:color w:val="auto"/>
            <w:kern w:val="0"/>
            <w:sz w:val="24"/>
            <w:highlight w:val="none"/>
          </w:rPr>
          <w:id w:val="14746665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 xml:space="preserve"> </w:t>
      </w:r>
      <w:bookmarkStart w:id="502"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其中</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中中小企业、其中小微企业合同金额应当达到的比例要求填写。</w:t>
      </w:r>
      <w:r>
        <w:rPr>
          <w:rFonts w:hint="eastAsia" w:ascii="仿宋" w:hAnsi="仿宋" w:eastAsia="仿宋" w:cs="仿宋"/>
          <w:b/>
          <w:bCs/>
          <w:color w:val="auto"/>
          <w:kern w:val="0"/>
          <w:sz w:val="24"/>
          <w:highlight w:val="none"/>
          <w:lang w:val="zh-CN"/>
        </w:rPr>
        <w:t>）</w:t>
      </w:r>
      <w:bookmarkEnd w:id="502"/>
    </w:p>
    <w:p w14:paraId="700B343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1D7F3E7D">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331C4CD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4ACD113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92DE51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4C751AD4">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B8F30C0">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17B0514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42A497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2D2DB7CD">
      <w:pPr>
        <w:snapToGrid w:val="0"/>
        <w:spacing w:line="360" w:lineRule="auto"/>
        <w:ind w:left="770" w:leftChars="342" w:hanging="52" w:hangingChars="25"/>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八、其他</w:t>
      </w:r>
    </w:p>
    <w:p w14:paraId="752D56FA">
      <w:pPr>
        <w:snapToGrid w:val="0"/>
        <w:spacing w:line="360" w:lineRule="auto"/>
        <w:ind w:left="5128" w:leftChars="342" w:hanging="441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投标人名称(电子签名)：</w:t>
      </w:r>
    </w:p>
    <w:p w14:paraId="4D31ADE1">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352274E0">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6A72E928">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6444D9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46729FD">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785FAAA7">
      <w:pPr>
        <w:spacing w:line="360" w:lineRule="auto"/>
        <w:jc w:val="left"/>
        <w:outlineLvl w:val="0"/>
        <w:rPr>
          <w:rFonts w:hint="eastAsia" w:ascii="仿宋" w:hAnsi="仿宋" w:eastAsia="仿宋" w:cs="仿宋"/>
          <w:b/>
          <w:color w:val="auto"/>
          <w:sz w:val="32"/>
          <w:szCs w:val="18"/>
          <w:highlight w:val="none"/>
        </w:rPr>
      </w:pPr>
      <w:r>
        <w:rPr>
          <w:rFonts w:hint="eastAsia" w:ascii="仿宋" w:hAnsi="仿宋" w:eastAsia="仿宋" w:cs="仿宋"/>
          <w:b/>
          <w:color w:val="auto"/>
          <w:sz w:val="32"/>
          <w:szCs w:val="18"/>
          <w:highlight w:val="none"/>
        </w:rPr>
        <w:t>附件7：中小企业声明函</w:t>
      </w:r>
    </w:p>
    <w:p w14:paraId="64E5D0B2">
      <w:pPr>
        <w:spacing w:line="360" w:lineRule="auto"/>
        <w:jc w:val="center"/>
        <w:rPr>
          <w:rFonts w:hint="eastAsia" w:ascii="仿宋" w:hAnsi="仿宋" w:eastAsia="仿宋" w:cs="仿宋"/>
          <w:color w:val="auto"/>
          <w:sz w:val="24"/>
          <w:highlight w:val="none"/>
          <w:u w:val="single"/>
        </w:rPr>
      </w:pPr>
    </w:p>
    <w:p w14:paraId="11CDF164">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6D2F1A25">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lang w:eastAsia="zh-CN"/>
        </w:rPr>
        <w:t>杭州市钱塘区人民政府义蓬街道办事处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2025年义蓬街道交通设施更新维修项目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06782F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lang w:eastAsia="zh-CN"/>
        </w:rPr>
        <w:t>2025年义蓬街道交通设施更新维修项目</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lang w:eastAsia="zh-CN"/>
        </w:rPr>
        <w:t xml:space="preserve">其他未列明 </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 xml:space="preserve">   ①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② （中型企业、小型企业、微型企业） </w:t>
      </w:r>
      <w:r>
        <w:rPr>
          <w:rFonts w:hint="eastAsia" w:ascii="仿宋" w:hAnsi="仿宋" w:eastAsia="仿宋" w:cs="仿宋"/>
          <w:color w:val="auto"/>
          <w:sz w:val="24"/>
          <w:highlight w:val="none"/>
        </w:rPr>
        <w:t>；</w:t>
      </w:r>
    </w:p>
    <w:p w14:paraId="7F0DBFD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lang w:eastAsia="zh-CN"/>
        </w:rPr>
        <w:t>2025年义蓬街道交通设施更新维修项目</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lang w:eastAsia="zh-CN"/>
        </w:rPr>
        <w:t xml:space="preserve">其他未列明 </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 xml:space="preserve">   ①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② （中型企业、小型企业、微型企业） </w:t>
      </w:r>
      <w:r>
        <w:rPr>
          <w:rFonts w:hint="eastAsia" w:ascii="仿宋" w:hAnsi="仿宋" w:eastAsia="仿宋" w:cs="仿宋"/>
          <w:color w:val="auto"/>
          <w:sz w:val="24"/>
          <w:highlight w:val="none"/>
        </w:rPr>
        <w:t>；</w:t>
      </w:r>
    </w:p>
    <w:p w14:paraId="0020CEF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78291B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33E8C81E">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5C70BE5B">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1A79CB9B">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47DF9E54">
      <w:pPr>
        <w:spacing w:line="360" w:lineRule="auto"/>
        <w:ind w:firstLine="310" w:firstLineChars="147"/>
        <w:jc w:val="left"/>
        <w:rPr>
          <w:rFonts w:hint="eastAsia" w:ascii="仿宋" w:hAnsi="仿宋" w:eastAsia="仿宋" w:cs="仿宋"/>
          <w:color w:val="auto"/>
          <w:sz w:val="24"/>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45B4BC5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6946CB29">
      <w:pPr>
        <w:numPr>
          <w:ilvl w:val="0"/>
          <w:numId w:val="0"/>
        </w:numPr>
        <w:spacing w:line="360" w:lineRule="auto"/>
        <w:ind w:right="420" w:rightChars="0"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1、应</w:t>
      </w:r>
      <w:r>
        <w:rPr>
          <w:rFonts w:hint="eastAsia" w:ascii="仿宋" w:hAnsi="仿宋" w:eastAsia="仿宋" w:cs="仿宋"/>
          <w:color w:val="auto"/>
          <w:sz w:val="24"/>
          <w:highlight w:val="none"/>
        </w:rPr>
        <w:t>按本格式</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要求填写</w:t>
      </w:r>
      <w:r>
        <w:rPr>
          <w:rFonts w:hint="eastAsia" w:ascii="仿宋" w:hAnsi="仿宋" w:eastAsia="仿宋" w:cs="仿宋"/>
          <w:color w:val="auto"/>
          <w:sz w:val="24"/>
          <w:highlight w:val="none"/>
          <w:lang w:eastAsia="zh-CN"/>
        </w:rPr>
        <w:t>。其中，</w:t>
      </w:r>
      <w:r>
        <w:rPr>
          <w:rFonts w:hint="eastAsia" w:ascii="仿宋" w:hAnsi="仿宋" w:eastAsia="仿宋" w:cs="仿宋"/>
          <w:color w:val="auto"/>
          <w:sz w:val="24"/>
          <w:highlight w:val="none"/>
        </w:rPr>
        <w:t>标的名称</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所属行业依据招标文件第二部分投标人须知前附表中“采购标的及其对应的中小企业划分标准所属行业”</w:t>
      </w:r>
      <w:r>
        <w:rPr>
          <w:rFonts w:hint="eastAsia" w:ascii="仿宋" w:hAnsi="仿宋" w:eastAsia="仿宋" w:cs="仿宋"/>
          <w:color w:val="auto"/>
          <w:sz w:val="24"/>
          <w:highlight w:val="none"/>
          <w:lang w:eastAsia="zh-CN"/>
        </w:rPr>
        <w:t>规定的要求</w:t>
      </w:r>
      <w:r>
        <w:rPr>
          <w:rFonts w:hint="eastAsia" w:ascii="仿宋" w:hAnsi="仿宋" w:eastAsia="仿宋" w:cs="仿宋"/>
          <w:color w:val="auto"/>
          <w:sz w:val="24"/>
          <w:highlight w:val="none"/>
        </w:rPr>
        <w:t>填写，不得缺漏</w:t>
      </w:r>
      <w:r>
        <w:rPr>
          <w:rFonts w:hint="eastAsia" w:ascii="仿宋" w:hAnsi="仿宋" w:eastAsia="仿宋" w:cs="仿宋"/>
          <w:color w:val="auto"/>
          <w:sz w:val="24"/>
          <w:highlight w:val="none"/>
          <w:lang w:eastAsia="zh-CN"/>
        </w:rPr>
        <w:t>（声明函格式内容中已填写的，无需改动）；标记“</w:t>
      </w:r>
      <w:r>
        <w:rPr>
          <w:rFonts w:hint="eastAsia" w:ascii="仿宋" w:hAnsi="仿宋" w:eastAsia="仿宋" w:cs="仿宋"/>
          <w:color w:val="auto"/>
          <w:sz w:val="24"/>
          <w:highlight w:val="none"/>
        </w:rPr>
        <w:t>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处填写企业名称；</w:t>
      </w:r>
      <w:r>
        <w:rPr>
          <w:rFonts w:hint="eastAsia" w:ascii="仿宋" w:hAnsi="仿宋" w:eastAsia="仿宋" w:cs="仿宋"/>
          <w:color w:val="auto"/>
          <w:sz w:val="24"/>
          <w:highlight w:val="none"/>
        </w:rPr>
        <w:t>从业人员、营业收入、资产总额填报上一年度数据，无上一年度数据的新成立企业可不填报；结合</w:t>
      </w:r>
      <w:r>
        <w:rPr>
          <w:rFonts w:hint="eastAsia" w:ascii="仿宋" w:hAnsi="仿宋" w:eastAsia="仿宋" w:cs="仿宋"/>
          <w:color w:val="auto"/>
          <w:sz w:val="24"/>
          <w:highlight w:val="none"/>
          <w:lang w:eastAsia="zh-CN"/>
        </w:rPr>
        <w:t>所填</w:t>
      </w:r>
      <w:r>
        <w:rPr>
          <w:rFonts w:hint="eastAsia" w:ascii="仿宋" w:hAnsi="仿宋" w:eastAsia="仿宋" w:cs="仿宋"/>
          <w:color w:val="auto"/>
          <w:sz w:val="24"/>
          <w:highlight w:val="none"/>
        </w:rPr>
        <w:t>数据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依据《中小企业划型标准规定》（工信部联企业〔2011〕300号）</w:t>
      </w:r>
      <w:r>
        <w:rPr>
          <w:rFonts w:hint="eastAsia" w:ascii="仿宋" w:hAnsi="仿宋" w:eastAsia="仿宋" w:cs="仿宋"/>
          <w:color w:val="auto"/>
          <w:sz w:val="24"/>
          <w:highlight w:val="none"/>
          <w:lang w:eastAsia="zh-CN"/>
        </w:rPr>
        <w:t>规定</w:t>
      </w:r>
      <w:r>
        <w:rPr>
          <w:rFonts w:hint="eastAsia" w:ascii="仿宋" w:hAnsi="仿宋" w:eastAsia="仿宋" w:cs="仿宋"/>
          <w:color w:val="auto"/>
          <w:sz w:val="24"/>
          <w:highlight w:val="none"/>
        </w:rPr>
        <w:t>，确定中型企业、小型企业、微型企业</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种企业类型中</w:t>
      </w:r>
      <w:r>
        <w:rPr>
          <w:rFonts w:hint="eastAsia" w:ascii="仿宋" w:hAnsi="仿宋" w:eastAsia="仿宋" w:cs="仿宋"/>
          <w:color w:val="auto"/>
          <w:sz w:val="24"/>
          <w:highlight w:val="none"/>
          <w:lang w:eastAsia="zh-CN"/>
        </w:rPr>
        <w:t>的其中一</w:t>
      </w:r>
      <w:r>
        <w:rPr>
          <w:rFonts w:hint="eastAsia" w:ascii="仿宋" w:hAnsi="仿宋" w:eastAsia="仿宋" w:cs="仿宋"/>
          <w:color w:val="auto"/>
          <w:sz w:val="24"/>
          <w:highlight w:val="none"/>
        </w:rPr>
        <w:t>种</w:t>
      </w:r>
      <w:r>
        <w:rPr>
          <w:rFonts w:hint="eastAsia" w:ascii="仿宋" w:hAnsi="仿宋" w:eastAsia="仿宋" w:cs="仿宋"/>
          <w:color w:val="auto"/>
          <w:sz w:val="24"/>
          <w:highlight w:val="none"/>
          <w:lang w:eastAsia="zh-CN"/>
        </w:rPr>
        <w:t>在标记“②”处</w:t>
      </w:r>
      <w:r>
        <w:rPr>
          <w:rFonts w:hint="eastAsia" w:ascii="仿宋" w:hAnsi="仿宋" w:eastAsia="仿宋" w:cs="仿宋"/>
          <w:color w:val="auto"/>
          <w:sz w:val="24"/>
          <w:highlight w:val="none"/>
        </w:rPr>
        <w:t>填写。</w:t>
      </w:r>
    </w:p>
    <w:p w14:paraId="3C0B193F">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FD14E3F">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843E4BE">
      <w:pPr>
        <w:pStyle w:val="4"/>
        <w:rPr>
          <w:rFonts w:hint="eastAsia" w:ascii="仿宋" w:hAnsi="仿宋" w:eastAsia="仿宋" w:cs="仿宋"/>
          <w:b/>
          <w:bCs w:val="0"/>
          <w:color w:val="auto"/>
          <w:sz w:val="32"/>
          <w:szCs w:val="18"/>
          <w:highlight w:val="none"/>
          <w:lang w:val="en-US" w:eastAsia="zh-CN"/>
        </w:rPr>
      </w:pPr>
      <w:r>
        <w:rPr>
          <w:rFonts w:hint="eastAsia" w:ascii="仿宋" w:hAnsi="仿宋" w:eastAsia="仿宋" w:cs="仿宋"/>
          <w:b/>
          <w:bCs w:val="0"/>
          <w:color w:val="auto"/>
          <w:sz w:val="32"/>
          <w:szCs w:val="18"/>
          <w:highlight w:val="none"/>
          <w:lang w:val="en-US"/>
        </w:rPr>
        <w:t>附件</w:t>
      </w:r>
      <w:r>
        <w:rPr>
          <w:rFonts w:hint="eastAsia" w:ascii="仿宋" w:hAnsi="仿宋" w:eastAsia="仿宋" w:cs="仿宋"/>
          <w:b/>
          <w:bCs w:val="0"/>
          <w:color w:val="auto"/>
          <w:sz w:val="32"/>
          <w:szCs w:val="18"/>
          <w:highlight w:val="none"/>
          <w:lang w:val="en-US" w:eastAsia="zh-CN"/>
        </w:rPr>
        <w:t>8</w:t>
      </w:r>
      <w:r>
        <w:rPr>
          <w:rFonts w:hint="eastAsia" w:ascii="仿宋" w:hAnsi="仿宋" w:eastAsia="仿宋" w:cs="仿宋"/>
          <w:b/>
          <w:bCs w:val="0"/>
          <w:color w:val="auto"/>
          <w:sz w:val="32"/>
          <w:szCs w:val="18"/>
          <w:highlight w:val="none"/>
          <w:lang w:val="en-US"/>
        </w:rPr>
        <w:t>：中小企业</w:t>
      </w:r>
      <w:r>
        <w:rPr>
          <w:rFonts w:hint="eastAsia" w:ascii="仿宋" w:hAnsi="仿宋" w:eastAsia="仿宋" w:cs="仿宋"/>
          <w:b/>
          <w:bCs w:val="0"/>
          <w:color w:val="auto"/>
          <w:sz w:val="32"/>
          <w:szCs w:val="18"/>
          <w:highlight w:val="none"/>
          <w:lang w:val="en-US" w:eastAsia="zh-CN"/>
        </w:rPr>
        <w:t>划型标准</w:t>
      </w:r>
    </w:p>
    <w:p w14:paraId="07B0541B">
      <w:pPr>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各行业划型标准为：</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（十五）</w:t>
      </w:r>
      <w:r>
        <w:rPr>
          <w:rFonts w:hint="eastAsia" w:ascii="仿宋" w:hAnsi="仿宋" w:eastAsia="仿宋" w:cs="仿宋"/>
          <w:color w:val="auto"/>
          <w:kern w:val="0"/>
          <w:sz w:val="24"/>
          <w:szCs w:val="24"/>
          <w:highlight w:val="none"/>
          <w:lang w:eastAsia="zh-CN"/>
        </w:rPr>
        <w:t xml:space="preserve">其他未列明 </w:t>
      </w:r>
      <w:r>
        <w:rPr>
          <w:rFonts w:hint="eastAsia" w:ascii="仿宋" w:hAnsi="仿宋" w:eastAsia="仿宋" w:cs="仿宋"/>
          <w:color w:val="auto"/>
          <w:kern w:val="0"/>
          <w:sz w:val="24"/>
          <w:szCs w:val="24"/>
          <w:highlight w:val="none"/>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4489E11C">
      <w:pPr>
        <w:pStyle w:val="4"/>
        <w:jc w:val="center"/>
        <w:rPr>
          <w:rFonts w:hint="eastAsia" w:ascii="仿宋" w:hAnsi="仿宋" w:eastAsia="仿宋" w:cs="仿宋"/>
          <w:color w:val="auto"/>
          <w:sz w:val="24"/>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样品（演示）授权委托书</w:t>
      </w:r>
    </w:p>
    <w:p w14:paraId="08E8873B">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0368F0E2">
      <w:pPr>
        <w:jc w:val="center"/>
        <w:rPr>
          <w:rFonts w:hint="eastAsia" w:ascii="仿宋" w:hAnsi="仿宋" w:eastAsia="仿宋" w:cs="仿宋"/>
          <w:color w:val="auto"/>
          <w:sz w:val="40"/>
          <w:highlight w:val="none"/>
        </w:rPr>
      </w:pPr>
    </w:p>
    <w:p w14:paraId="23A33C52">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14:paraId="7DEDDF4F">
      <w:pPr>
        <w:snapToGrid w:val="0"/>
        <w:spacing w:line="360" w:lineRule="auto"/>
        <w:ind w:left="254" w:leftChars="121" w:firstLine="420" w:firstLineChars="200"/>
        <w:rPr>
          <w:rFonts w:hint="eastAsia"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14:paraId="399D6A67">
      <w:pPr>
        <w:snapToGrid w:val="0"/>
        <w:spacing w:line="360" w:lineRule="auto"/>
        <w:ind w:left="254" w:leftChars="121"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14:paraId="3E9E320B">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14:paraId="3C9B07D8">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14:paraId="4A3B344E">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14:paraId="4D1EC63C">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767346B0">
      <w:pPr>
        <w:snapToGrid w:val="0"/>
        <w:spacing w:line="360" w:lineRule="auto"/>
        <w:ind w:right="240"/>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14:paraId="464F10CD">
      <w:pPr>
        <w:snapToGrid w:val="0"/>
        <w:spacing w:line="360" w:lineRule="auto"/>
        <w:ind w:right="240"/>
        <w:jc w:val="right"/>
        <w:rPr>
          <w:rFonts w:hint="eastAsia" w:ascii="仿宋" w:hAnsi="仿宋" w:eastAsia="仿宋" w:cs="仿宋"/>
          <w:color w:val="auto"/>
          <w:highlight w:val="none"/>
          <w:lang w:val="zh-CN"/>
        </w:rPr>
      </w:pPr>
    </w:p>
    <w:p w14:paraId="5531B8DC">
      <w:pPr>
        <w:snapToGrid w:val="0"/>
        <w:spacing w:line="360" w:lineRule="auto"/>
        <w:ind w:right="1920"/>
        <w:rPr>
          <w:rFonts w:hint="eastAsia" w:ascii="仿宋" w:hAnsi="仿宋" w:eastAsia="仿宋" w:cs="仿宋"/>
          <w:color w:val="auto"/>
          <w:highlight w:val="none"/>
          <w:lang w:val="zh-CN"/>
        </w:rPr>
      </w:pPr>
    </w:p>
    <w:p w14:paraId="119A90B2">
      <w:pPr>
        <w:snapToGrid w:val="0"/>
        <w:spacing w:line="360" w:lineRule="auto"/>
        <w:ind w:right="240"/>
        <w:jc w:val="right"/>
        <w:rPr>
          <w:rFonts w:hint="eastAsia" w:ascii="仿宋" w:hAnsi="仿宋" w:eastAsia="仿宋" w:cs="仿宋"/>
          <w:color w:val="auto"/>
          <w:highlight w:val="none"/>
          <w:lang w:val="zh-CN"/>
        </w:rPr>
      </w:pPr>
    </w:p>
    <w:p w14:paraId="24436C98">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14:paraId="21EDCEF8">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14:paraId="70A7623B">
      <w:pPr>
        <w:spacing w:line="360" w:lineRule="auto"/>
        <w:rPr>
          <w:rFonts w:hint="eastAsia" w:ascii="仿宋" w:hAnsi="仿宋" w:eastAsia="仿宋" w:cs="仿宋"/>
          <w:bCs/>
          <w:color w:val="auto"/>
          <w:sz w:val="24"/>
          <w:highlight w:val="none"/>
        </w:rPr>
      </w:pPr>
      <w:r>
        <w:rPr>
          <w:rFonts w:hint="eastAsia" w:ascii="仿宋" w:hAnsi="仿宋" w:eastAsia="仿宋" w:cs="仿宋"/>
          <w:b/>
          <w:color w:val="auto"/>
          <w:highlight w:val="none"/>
        </w:rPr>
        <w:t>同时有样品和演示的，可委托不同人员。</w:t>
      </w:r>
    </w:p>
    <w:p w14:paraId="5A91E3D1">
      <w:pPr>
        <w:spacing w:line="360" w:lineRule="auto"/>
        <w:rPr>
          <w:rFonts w:hint="eastAsia" w:ascii="仿宋" w:hAnsi="仿宋" w:eastAsia="仿宋" w:cs="仿宋"/>
          <w:bCs/>
          <w:color w:val="auto"/>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3E981">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40285">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3" w:name="_Toc131845147"/>
    <w:bookmarkStart w:id="504" w:name="_Toc36110187"/>
    <w:bookmarkStart w:id="505" w:name="_Toc91899912"/>
    <w:bookmarkStart w:id="506" w:name="_Toc164085800"/>
    <w:r>
      <w:rPr>
        <w:rFonts w:hint="eastAsia" w:ascii="仿宋_GB2312" w:eastAsia="仿宋_GB2312"/>
        <w:kern w:val="0"/>
        <w:szCs w:val="21"/>
      </w:rPr>
      <w:t xml:space="preserve"> 页</w:t>
    </w:r>
    <w:bookmarkEnd w:id="503"/>
    <w:bookmarkEnd w:id="504"/>
    <w:bookmarkEnd w:id="505"/>
    <w:bookmarkEnd w:id="506"/>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14170">
    <w:pPr>
      <w:pStyle w:val="43"/>
      <w:jc w:val="right"/>
      <w:rPr>
        <w:rFonts w:ascii="仿宋_GB2312" w:eastAsia="仿宋_GB2312"/>
        <w:b/>
        <w:i/>
        <w:iCs/>
        <w:u w:val="single"/>
      </w:rPr>
    </w:pPr>
    <w:r>
      <w:t></w:t>
    </w:r>
    <w:r>
      <w:rPr>
        <w:rFonts w:hint="eastAsia" w:ascii="仿宋" w:hAnsi="仿宋" w:eastAsia="仿宋" w:cs="仿宋"/>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D4D59">
    <w:pPr>
      <w:pStyle w:val="43"/>
    </w:pPr>
    <w:r>
      <w:t></w:t>
    </w:r>
    <w:r>
      <w:rPr>
        <w:rFonts w:hint="eastAsia"/>
      </w:rPr>
      <w:t xml:space="preserve">                                             </w:t>
    </w:r>
    <w:r>
      <w:rPr>
        <w:rFonts w:hint="eastAsia" w:ascii="仿宋" w:hAnsi="仿宋" w:eastAsia="仿宋" w:cs="仿宋"/>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563738"/>
    <w:multiLevelType w:val="singleLevel"/>
    <w:tmpl w:val="A3563738"/>
    <w:lvl w:ilvl="0" w:tentative="0">
      <w:start w:val="1"/>
      <w:numFmt w:val="decimal"/>
      <w:suff w:val="nothing"/>
      <w:lvlText w:val="%1、"/>
      <w:lvlJc w:val="left"/>
    </w:lvl>
  </w:abstractNum>
  <w:abstractNum w:abstractNumId="1">
    <w:nsid w:val="AB7C8421"/>
    <w:multiLevelType w:val="singleLevel"/>
    <w:tmpl w:val="AB7C8421"/>
    <w:lvl w:ilvl="0" w:tentative="0">
      <w:start w:val="19"/>
      <w:numFmt w:val="decimal"/>
      <w:suff w:val="space"/>
      <w:lvlText w:val="%1."/>
      <w:lvlJc w:val="left"/>
    </w:lvl>
  </w:abstractNum>
  <w:abstractNum w:abstractNumId="2">
    <w:nsid w:val="D5131716"/>
    <w:multiLevelType w:val="singleLevel"/>
    <w:tmpl w:val="D5131716"/>
    <w:lvl w:ilvl="0" w:tentative="0">
      <w:start w:val="5"/>
      <w:numFmt w:val="decimal"/>
      <w:suff w:val="nothing"/>
      <w:lvlText w:val="%1、"/>
      <w:lvlJc w:val="left"/>
    </w:lvl>
  </w:abstractNum>
  <w:abstractNum w:abstractNumId="3">
    <w:nsid w:val="D57498BB"/>
    <w:multiLevelType w:val="singleLevel"/>
    <w:tmpl w:val="D57498BB"/>
    <w:lvl w:ilvl="0" w:tentative="0">
      <w:start w:val="2"/>
      <w:numFmt w:val="decimal"/>
      <w:suff w:val="space"/>
      <w:lvlText w:val="%1."/>
      <w:lvlJc w:val="left"/>
    </w:lvl>
  </w:abstractNum>
  <w:abstractNum w:abstractNumId="4">
    <w:nsid w:val="DF7B5DEF"/>
    <w:multiLevelType w:val="singleLevel"/>
    <w:tmpl w:val="DF7B5DEF"/>
    <w:lvl w:ilvl="0" w:tentative="0">
      <w:start w:val="5"/>
      <w:numFmt w:val="chineseCounting"/>
      <w:suff w:val="space"/>
      <w:lvlText w:val="第%1部分"/>
      <w:lvlJc w:val="left"/>
      <w:rPr>
        <w:rFonts w:hint="eastAsia"/>
      </w:rPr>
    </w:lvl>
  </w:abstractNum>
  <w:abstractNum w:abstractNumId="5">
    <w:nsid w:val="E7F7D621"/>
    <w:multiLevelType w:val="singleLevel"/>
    <w:tmpl w:val="E7F7D621"/>
    <w:lvl w:ilvl="0" w:tentative="0">
      <w:start w:val="4"/>
      <w:numFmt w:val="decimal"/>
      <w:lvlText w:val="%1."/>
      <w:lvlJc w:val="left"/>
      <w:pPr>
        <w:tabs>
          <w:tab w:val="left" w:pos="312"/>
        </w:tabs>
      </w:pPr>
    </w:lvl>
  </w:abstractNum>
  <w:abstractNum w:abstractNumId="6">
    <w:nsid w:val="EFBE0E82"/>
    <w:multiLevelType w:val="singleLevel"/>
    <w:tmpl w:val="EFBE0E82"/>
    <w:lvl w:ilvl="0" w:tentative="0">
      <w:start w:val="16"/>
      <w:numFmt w:val="decimal"/>
      <w:suff w:val="space"/>
      <w:lvlText w:val="%1."/>
      <w:lvlJc w:val="left"/>
    </w:lvl>
  </w:abstractNum>
  <w:abstractNum w:abstractNumId="7">
    <w:nsid w:val="F79E0EA8"/>
    <w:multiLevelType w:val="singleLevel"/>
    <w:tmpl w:val="F79E0EA8"/>
    <w:lvl w:ilvl="0" w:tentative="0">
      <w:start w:val="13"/>
      <w:numFmt w:val="decimal"/>
      <w:suff w:val="space"/>
      <w:lvlText w:val="%1."/>
      <w:lvlJc w:val="left"/>
    </w:lvl>
  </w:abstractNum>
  <w:abstractNum w:abstractNumId="8">
    <w:nsid w:val="FBFE8AFF"/>
    <w:multiLevelType w:val="singleLevel"/>
    <w:tmpl w:val="FBFE8AFF"/>
    <w:lvl w:ilvl="0" w:tentative="0">
      <w:start w:val="8"/>
      <w:numFmt w:val="decimal"/>
      <w:suff w:val="space"/>
      <w:lvlText w:val="%1."/>
      <w:lvlJc w:val="left"/>
    </w:lvl>
  </w:abstractNum>
  <w:abstractNum w:abstractNumId="9">
    <w:nsid w:val="1920329B"/>
    <w:multiLevelType w:val="singleLevel"/>
    <w:tmpl w:val="1920329B"/>
    <w:lvl w:ilvl="0" w:tentative="0">
      <w:start w:val="2"/>
      <w:numFmt w:val="chineseCounting"/>
      <w:suff w:val="nothing"/>
      <w:lvlText w:val="（%1）"/>
      <w:lvlJc w:val="left"/>
      <w:rPr>
        <w:rFonts w:hint="eastAsia"/>
      </w:rPr>
    </w:lvl>
  </w:abstractNum>
  <w:abstractNum w:abstractNumId="10">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23693E2"/>
    <w:multiLevelType w:val="singleLevel"/>
    <w:tmpl w:val="523693E2"/>
    <w:lvl w:ilvl="0" w:tentative="0">
      <w:start w:val="2"/>
      <w:numFmt w:val="chineseCounting"/>
      <w:suff w:val="nothing"/>
      <w:lvlText w:val="%1、"/>
      <w:lvlJc w:val="left"/>
      <w:rPr>
        <w:rFonts w:hint="eastAsia"/>
      </w:rPr>
    </w:lvl>
  </w:abstractNum>
  <w:abstractNum w:abstractNumId="12">
    <w:nsid w:val="57FF7EC6"/>
    <w:multiLevelType w:val="singleLevel"/>
    <w:tmpl w:val="57FF7EC6"/>
    <w:lvl w:ilvl="0" w:tentative="0">
      <w:start w:val="15"/>
      <w:numFmt w:val="decimal"/>
      <w:suff w:val="space"/>
      <w:lvlText w:val="%1."/>
      <w:lvlJc w:val="left"/>
    </w:lvl>
  </w:abstractNum>
  <w:num w:numId="1">
    <w:abstractNumId w:val="5"/>
  </w:num>
  <w:num w:numId="2">
    <w:abstractNumId w:val="3"/>
  </w:num>
  <w:num w:numId="3">
    <w:abstractNumId w:val="8"/>
  </w:num>
  <w:num w:numId="4">
    <w:abstractNumId w:val="7"/>
  </w:num>
  <w:num w:numId="5">
    <w:abstractNumId w:val="12"/>
  </w:num>
  <w:num w:numId="6">
    <w:abstractNumId w:val="6"/>
  </w:num>
  <w:num w:numId="7">
    <w:abstractNumId w:val="1"/>
  </w:num>
  <w:num w:numId="8">
    <w:abstractNumId w:val="10"/>
  </w:num>
  <w:num w:numId="9">
    <w:abstractNumId w:val="9"/>
  </w:num>
  <w:num w:numId="10">
    <w:abstractNumId w:val="11"/>
  </w:num>
  <w:num w:numId="11">
    <w:abstractNumId w:val="0"/>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4F29"/>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11B7B"/>
    <w:rsid w:val="015B7696"/>
    <w:rsid w:val="019F7441"/>
    <w:rsid w:val="01B37585"/>
    <w:rsid w:val="01D55165"/>
    <w:rsid w:val="01DF6BF8"/>
    <w:rsid w:val="01E925F2"/>
    <w:rsid w:val="01EC2C57"/>
    <w:rsid w:val="021217D9"/>
    <w:rsid w:val="022D15EB"/>
    <w:rsid w:val="025F0711"/>
    <w:rsid w:val="026B2E25"/>
    <w:rsid w:val="02824D4D"/>
    <w:rsid w:val="02DC4B10"/>
    <w:rsid w:val="02DD76CE"/>
    <w:rsid w:val="02F36323"/>
    <w:rsid w:val="02F5619C"/>
    <w:rsid w:val="0326446A"/>
    <w:rsid w:val="032D5555"/>
    <w:rsid w:val="036634D2"/>
    <w:rsid w:val="03DD35E4"/>
    <w:rsid w:val="03E86239"/>
    <w:rsid w:val="03EE075D"/>
    <w:rsid w:val="04076900"/>
    <w:rsid w:val="041A5A3B"/>
    <w:rsid w:val="042311BA"/>
    <w:rsid w:val="042A28FC"/>
    <w:rsid w:val="042B157A"/>
    <w:rsid w:val="048F763B"/>
    <w:rsid w:val="049F330E"/>
    <w:rsid w:val="04AA775C"/>
    <w:rsid w:val="04AF1889"/>
    <w:rsid w:val="04F66F48"/>
    <w:rsid w:val="05043453"/>
    <w:rsid w:val="05206ED9"/>
    <w:rsid w:val="05251E14"/>
    <w:rsid w:val="05A16594"/>
    <w:rsid w:val="05A7762D"/>
    <w:rsid w:val="060E5941"/>
    <w:rsid w:val="06110FAF"/>
    <w:rsid w:val="06493CA7"/>
    <w:rsid w:val="065A6178"/>
    <w:rsid w:val="066F1CF3"/>
    <w:rsid w:val="06930BB8"/>
    <w:rsid w:val="07245D42"/>
    <w:rsid w:val="07264C62"/>
    <w:rsid w:val="0764344E"/>
    <w:rsid w:val="0779354C"/>
    <w:rsid w:val="07BF2E6A"/>
    <w:rsid w:val="07FD6D90"/>
    <w:rsid w:val="08061376"/>
    <w:rsid w:val="082E66E3"/>
    <w:rsid w:val="08452D77"/>
    <w:rsid w:val="08602EF3"/>
    <w:rsid w:val="086401F8"/>
    <w:rsid w:val="08751CAA"/>
    <w:rsid w:val="087E4C40"/>
    <w:rsid w:val="08A871D0"/>
    <w:rsid w:val="08C31E82"/>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D060E"/>
    <w:rsid w:val="0A524938"/>
    <w:rsid w:val="0A5B7E63"/>
    <w:rsid w:val="0AA374A5"/>
    <w:rsid w:val="0AAB7649"/>
    <w:rsid w:val="0ABC5606"/>
    <w:rsid w:val="0AC67B35"/>
    <w:rsid w:val="0B1D75A2"/>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D438DD"/>
    <w:rsid w:val="0CE618DF"/>
    <w:rsid w:val="0CFE707A"/>
    <w:rsid w:val="0D063BDA"/>
    <w:rsid w:val="0D08375F"/>
    <w:rsid w:val="0D184CFB"/>
    <w:rsid w:val="0D352B8F"/>
    <w:rsid w:val="0D4A7419"/>
    <w:rsid w:val="0D827401"/>
    <w:rsid w:val="0D84094E"/>
    <w:rsid w:val="0D8A00E9"/>
    <w:rsid w:val="0D8D589E"/>
    <w:rsid w:val="0DA01C73"/>
    <w:rsid w:val="0DA33F9D"/>
    <w:rsid w:val="0DBE4509"/>
    <w:rsid w:val="0DD63300"/>
    <w:rsid w:val="0DF50604"/>
    <w:rsid w:val="0DF702FE"/>
    <w:rsid w:val="0E060E51"/>
    <w:rsid w:val="0E213113"/>
    <w:rsid w:val="0E5604B2"/>
    <w:rsid w:val="0E6D5D79"/>
    <w:rsid w:val="0E9D0089"/>
    <w:rsid w:val="0EB803EE"/>
    <w:rsid w:val="0EC94C9B"/>
    <w:rsid w:val="0EF94D4B"/>
    <w:rsid w:val="0F4958DC"/>
    <w:rsid w:val="0F515DF7"/>
    <w:rsid w:val="0F596BA8"/>
    <w:rsid w:val="0F6248D2"/>
    <w:rsid w:val="0F693536"/>
    <w:rsid w:val="0F7B0511"/>
    <w:rsid w:val="0F7B76D9"/>
    <w:rsid w:val="0F816ACD"/>
    <w:rsid w:val="0F9832DB"/>
    <w:rsid w:val="0FBF3FD2"/>
    <w:rsid w:val="0FBF7FF3"/>
    <w:rsid w:val="10646583"/>
    <w:rsid w:val="107B682F"/>
    <w:rsid w:val="107D4B15"/>
    <w:rsid w:val="10853ED4"/>
    <w:rsid w:val="108A3C80"/>
    <w:rsid w:val="10C26171"/>
    <w:rsid w:val="10F33360"/>
    <w:rsid w:val="10FC16EA"/>
    <w:rsid w:val="110F1D40"/>
    <w:rsid w:val="11266F33"/>
    <w:rsid w:val="114F7C08"/>
    <w:rsid w:val="118963A1"/>
    <w:rsid w:val="11C6522A"/>
    <w:rsid w:val="11E104CC"/>
    <w:rsid w:val="11E20309"/>
    <w:rsid w:val="12255233"/>
    <w:rsid w:val="123F499D"/>
    <w:rsid w:val="1244501E"/>
    <w:rsid w:val="12530213"/>
    <w:rsid w:val="127723A9"/>
    <w:rsid w:val="12862074"/>
    <w:rsid w:val="12883966"/>
    <w:rsid w:val="129C720C"/>
    <w:rsid w:val="129E45B4"/>
    <w:rsid w:val="12D81596"/>
    <w:rsid w:val="12E37D11"/>
    <w:rsid w:val="13072A44"/>
    <w:rsid w:val="135F4BE2"/>
    <w:rsid w:val="13620201"/>
    <w:rsid w:val="139B1A0A"/>
    <w:rsid w:val="139D25C7"/>
    <w:rsid w:val="13B501E7"/>
    <w:rsid w:val="13BF3CE4"/>
    <w:rsid w:val="141008D8"/>
    <w:rsid w:val="14125FE6"/>
    <w:rsid w:val="146D271E"/>
    <w:rsid w:val="148D1A0C"/>
    <w:rsid w:val="14982588"/>
    <w:rsid w:val="149A5AD9"/>
    <w:rsid w:val="14A7619D"/>
    <w:rsid w:val="14F72E20"/>
    <w:rsid w:val="150536C3"/>
    <w:rsid w:val="15062CDF"/>
    <w:rsid w:val="150C1963"/>
    <w:rsid w:val="151447A0"/>
    <w:rsid w:val="154A6454"/>
    <w:rsid w:val="15762120"/>
    <w:rsid w:val="15C10692"/>
    <w:rsid w:val="1632430B"/>
    <w:rsid w:val="16A8729C"/>
    <w:rsid w:val="16B33777"/>
    <w:rsid w:val="16BC70A7"/>
    <w:rsid w:val="16C6339E"/>
    <w:rsid w:val="172F2D79"/>
    <w:rsid w:val="17557BEF"/>
    <w:rsid w:val="17D349C1"/>
    <w:rsid w:val="17E36C2D"/>
    <w:rsid w:val="17EC02EE"/>
    <w:rsid w:val="1830729E"/>
    <w:rsid w:val="18490ADF"/>
    <w:rsid w:val="1870062C"/>
    <w:rsid w:val="18817102"/>
    <w:rsid w:val="18830A15"/>
    <w:rsid w:val="18852B28"/>
    <w:rsid w:val="18860743"/>
    <w:rsid w:val="188B5321"/>
    <w:rsid w:val="189E35C3"/>
    <w:rsid w:val="18DC4BBE"/>
    <w:rsid w:val="19932372"/>
    <w:rsid w:val="19A20DD5"/>
    <w:rsid w:val="19AE03F1"/>
    <w:rsid w:val="1A071A03"/>
    <w:rsid w:val="1A1F16AE"/>
    <w:rsid w:val="1A3B5C77"/>
    <w:rsid w:val="1A824F3A"/>
    <w:rsid w:val="1A984BAD"/>
    <w:rsid w:val="1AB8220E"/>
    <w:rsid w:val="1AE4166C"/>
    <w:rsid w:val="1AF06CFB"/>
    <w:rsid w:val="1AF11B8D"/>
    <w:rsid w:val="1B11359C"/>
    <w:rsid w:val="1B2A271F"/>
    <w:rsid w:val="1B2E752C"/>
    <w:rsid w:val="1B530544"/>
    <w:rsid w:val="1B713184"/>
    <w:rsid w:val="1B7F6BBA"/>
    <w:rsid w:val="1B973693"/>
    <w:rsid w:val="1BA209CF"/>
    <w:rsid w:val="1BB4777D"/>
    <w:rsid w:val="1BD75AB8"/>
    <w:rsid w:val="1BF25A4E"/>
    <w:rsid w:val="1C0459C2"/>
    <w:rsid w:val="1C1B3B4A"/>
    <w:rsid w:val="1C88086E"/>
    <w:rsid w:val="1CFC17F3"/>
    <w:rsid w:val="1D266CE1"/>
    <w:rsid w:val="1D3963AF"/>
    <w:rsid w:val="1D4F72B0"/>
    <w:rsid w:val="1D6A673C"/>
    <w:rsid w:val="1D7E2045"/>
    <w:rsid w:val="1D9247AE"/>
    <w:rsid w:val="1DB567EC"/>
    <w:rsid w:val="1DF51A98"/>
    <w:rsid w:val="1DFF3EF7"/>
    <w:rsid w:val="1E344D2B"/>
    <w:rsid w:val="1E3D060F"/>
    <w:rsid w:val="1E3F7D2E"/>
    <w:rsid w:val="1E4134E4"/>
    <w:rsid w:val="1E5062B3"/>
    <w:rsid w:val="1E523514"/>
    <w:rsid w:val="1E714A66"/>
    <w:rsid w:val="1E802593"/>
    <w:rsid w:val="1E8B6156"/>
    <w:rsid w:val="1EA703CC"/>
    <w:rsid w:val="1EB7330C"/>
    <w:rsid w:val="1EEF4A61"/>
    <w:rsid w:val="1F0A0FF3"/>
    <w:rsid w:val="1F2B5141"/>
    <w:rsid w:val="1F5771FF"/>
    <w:rsid w:val="1F7F461A"/>
    <w:rsid w:val="1FD52DD5"/>
    <w:rsid w:val="1FE868A9"/>
    <w:rsid w:val="20034907"/>
    <w:rsid w:val="20173E4B"/>
    <w:rsid w:val="204E48BC"/>
    <w:rsid w:val="208921B3"/>
    <w:rsid w:val="208F0449"/>
    <w:rsid w:val="20973DEB"/>
    <w:rsid w:val="20B26522"/>
    <w:rsid w:val="20B44310"/>
    <w:rsid w:val="2104478C"/>
    <w:rsid w:val="211116EB"/>
    <w:rsid w:val="216133FC"/>
    <w:rsid w:val="2185666F"/>
    <w:rsid w:val="21AA3516"/>
    <w:rsid w:val="21D40771"/>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2C6B2B"/>
    <w:rsid w:val="242F32AD"/>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D16BF6"/>
    <w:rsid w:val="28333E1D"/>
    <w:rsid w:val="28454BD6"/>
    <w:rsid w:val="28455253"/>
    <w:rsid w:val="28551971"/>
    <w:rsid w:val="285B1C53"/>
    <w:rsid w:val="289F7086"/>
    <w:rsid w:val="28C32028"/>
    <w:rsid w:val="28CC490F"/>
    <w:rsid w:val="28DE40AA"/>
    <w:rsid w:val="29345E77"/>
    <w:rsid w:val="294C65AD"/>
    <w:rsid w:val="29806583"/>
    <w:rsid w:val="298B3C4C"/>
    <w:rsid w:val="298D1AD5"/>
    <w:rsid w:val="29C00861"/>
    <w:rsid w:val="29E85F23"/>
    <w:rsid w:val="29F26D24"/>
    <w:rsid w:val="2A15033F"/>
    <w:rsid w:val="2A1662C1"/>
    <w:rsid w:val="2A1C7367"/>
    <w:rsid w:val="2A2815FA"/>
    <w:rsid w:val="2A6D6092"/>
    <w:rsid w:val="2A7D76B4"/>
    <w:rsid w:val="2A800C25"/>
    <w:rsid w:val="2B437463"/>
    <w:rsid w:val="2B5D2C79"/>
    <w:rsid w:val="2B7807EE"/>
    <w:rsid w:val="2BA50BF7"/>
    <w:rsid w:val="2BBA27B6"/>
    <w:rsid w:val="2BBF00EC"/>
    <w:rsid w:val="2BC37CFD"/>
    <w:rsid w:val="2BD5237F"/>
    <w:rsid w:val="2BE536CE"/>
    <w:rsid w:val="2BE758D9"/>
    <w:rsid w:val="2C09049E"/>
    <w:rsid w:val="2C0A653C"/>
    <w:rsid w:val="2C191F85"/>
    <w:rsid w:val="2C4509EF"/>
    <w:rsid w:val="2CE82D6F"/>
    <w:rsid w:val="2CFE2B46"/>
    <w:rsid w:val="2D343236"/>
    <w:rsid w:val="2DD15014"/>
    <w:rsid w:val="2DF72DE4"/>
    <w:rsid w:val="2E0220AF"/>
    <w:rsid w:val="2E4B082A"/>
    <w:rsid w:val="2E560BD9"/>
    <w:rsid w:val="2E5D4E86"/>
    <w:rsid w:val="2E5D790B"/>
    <w:rsid w:val="2E823F3C"/>
    <w:rsid w:val="2E9A3C18"/>
    <w:rsid w:val="2EBB0FEE"/>
    <w:rsid w:val="2EC4290F"/>
    <w:rsid w:val="2EC63002"/>
    <w:rsid w:val="2EF79E26"/>
    <w:rsid w:val="2F0A6B38"/>
    <w:rsid w:val="2F946CCB"/>
    <w:rsid w:val="2FA92386"/>
    <w:rsid w:val="2FCC2ECF"/>
    <w:rsid w:val="2FD25781"/>
    <w:rsid w:val="2FDC745C"/>
    <w:rsid w:val="2FFD7934"/>
    <w:rsid w:val="3052767F"/>
    <w:rsid w:val="30612E43"/>
    <w:rsid w:val="30733ACD"/>
    <w:rsid w:val="308C3862"/>
    <w:rsid w:val="309379D8"/>
    <w:rsid w:val="30A270F7"/>
    <w:rsid w:val="30DF1478"/>
    <w:rsid w:val="30EC586F"/>
    <w:rsid w:val="311235B7"/>
    <w:rsid w:val="314550B7"/>
    <w:rsid w:val="316D0905"/>
    <w:rsid w:val="319C6071"/>
    <w:rsid w:val="31AC537E"/>
    <w:rsid w:val="31B33F70"/>
    <w:rsid w:val="31E3679B"/>
    <w:rsid w:val="31E732FD"/>
    <w:rsid w:val="321C1B85"/>
    <w:rsid w:val="32517576"/>
    <w:rsid w:val="32BE5C2C"/>
    <w:rsid w:val="32FB20C4"/>
    <w:rsid w:val="32FB6478"/>
    <w:rsid w:val="331673C2"/>
    <w:rsid w:val="33263B3F"/>
    <w:rsid w:val="336963EB"/>
    <w:rsid w:val="337F42B4"/>
    <w:rsid w:val="33816EEB"/>
    <w:rsid w:val="33EB55CD"/>
    <w:rsid w:val="33EC4C02"/>
    <w:rsid w:val="340D2360"/>
    <w:rsid w:val="3410665D"/>
    <w:rsid w:val="34211214"/>
    <w:rsid w:val="342E63AB"/>
    <w:rsid w:val="34474DD2"/>
    <w:rsid w:val="348A2F11"/>
    <w:rsid w:val="34950E68"/>
    <w:rsid w:val="34986E94"/>
    <w:rsid w:val="34AF62C9"/>
    <w:rsid w:val="34CB4388"/>
    <w:rsid w:val="34D41B43"/>
    <w:rsid w:val="34FA6E12"/>
    <w:rsid w:val="354C423E"/>
    <w:rsid w:val="354D7158"/>
    <w:rsid w:val="358D5588"/>
    <w:rsid w:val="363A2814"/>
    <w:rsid w:val="363A3B40"/>
    <w:rsid w:val="365302AE"/>
    <w:rsid w:val="36607A0A"/>
    <w:rsid w:val="366E227C"/>
    <w:rsid w:val="366F2E0D"/>
    <w:rsid w:val="367B6A5C"/>
    <w:rsid w:val="369B31EB"/>
    <w:rsid w:val="36A74ADA"/>
    <w:rsid w:val="36AD60D5"/>
    <w:rsid w:val="36B224F9"/>
    <w:rsid w:val="36EC0CC9"/>
    <w:rsid w:val="373F410B"/>
    <w:rsid w:val="37EE7094"/>
    <w:rsid w:val="37F76E27"/>
    <w:rsid w:val="38296C89"/>
    <w:rsid w:val="383002EB"/>
    <w:rsid w:val="38586797"/>
    <w:rsid w:val="38BC0149"/>
    <w:rsid w:val="38CC00AD"/>
    <w:rsid w:val="38D87D1C"/>
    <w:rsid w:val="39416E46"/>
    <w:rsid w:val="39463EB3"/>
    <w:rsid w:val="39636459"/>
    <w:rsid w:val="396B7F6C"/>
    <w:rsid w:val="39A959E1"/>
    <w:rsid w:val="39B417A9"/>
    <w:rsid w:val="39BC61E1"/>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3C34C4"/>
    <w:rsid w:val="3C471448"/>
    <w:rsid w:val="3C5F759A"/>
    <w:rsid w:val="3C6C525A"/>
    <w:rsid w:val="3CCE23CB"/>
    <w:rsid w:val="3CD17D17"/>
    <w:rsid w:val="3CDB0395"/>
    <w:rsid w:val="3CE4365E"/>
    <w:rsid w:val="3D0D1B02"/>
    <w:rsid w:val="3D107AC3"/>
    <w:rsid w:val="3D1A1201"/>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03C4B"/>
    <w:rsid w:val="3F060E16"/>
    <w:rsid w:val="3F1D1096"/>
    <w:rsid w:val="3F1F0523"/>
    <w:rsid w:val="3F2A4B38"/>
    <w:rsid w:val="3F2F0234"/>
    <w:rsid w:val="3F6363FE"/>
    <w:rsid w:val="3F756B8F"/>
    <w:rsid w:val="3F77BA1B"/>
    <w:rsid w:val="3F95482B"/>
    <w:rsid w:val="4019356B"/>
    <w:rsid w:val="40592157"/>
    <w:rsid w:val="406E1CAE"/>
    <w:rsid w:val="40A0133A"/>
    <w:rsid w:val="40B11526"/>
    <w:rsid w:val="40C166CB"/>
    <w:rsid w:val="40C31A53"/>
    <w:rsid w:val="40E11917"/>
    <w:rsid w:val="40FF545D"/>
    <w:rsid w:val="410067C8"/>
    <w:rsid w:val="418F0D2A"/>
    <w:rsid w:val="41D01505"/>
    <w:rsid w:val="42474939"/>
    <w:rsid w:val="424C3C57"/>
    <w:rsid w:val="42613FF3"/>
    <w:rsid w:val="42660D96"/>
    <w:rsid w:val="428667D2"/>
    <w:rsid w:val="42C121F4"/>
    <w:rsid w:val="42CD1CE0"/>
    <w:rsid w:val="42E1381E"/>
    <w:rsid w:val="42ED6459"/>
    <w:rsid w:val="42FE58DD"/>
    <w:rsid w:val="43174B3D"/>
    <w:rsid w:val="434B790E"/>
    <w:rsid w:val="4360274F"/>
    <w:rsid w:val="43977AB6"/>
    <w:rsid w:val="43A3342B"/>
    <w:rsid w:val="43C77C27"/>
    <w:rsid w:val="43DE09EE"/>
    <w:rsid w:val="44002FAD"/>
    <w:rsid w:val="447D703F"/>
    <w:rsid w:val="449101DD"/>
    <w:rsid w:val="449E1C3A"/>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2C4C55"/>
    <w:rsid w:val="477B778F"/>
    <w:rsid w:val="478203EC"/>
    <w:rsid w:val="47B025FA"/>
    <w:rsid w:val="4809698F"/>
    <w:rsid w:val="4811697D"/>
    <w:rsid w:val="4850203D"/>
    <w:rsid w:val="487A3E25"/>
    <w:rsid w:val="488B5503"/>
    <w:rsid w:val="48937E21"/>
    <w:rsid w:val="489A0361"/>
    <w:rsid w:val="48B94FF3"/>
    <w:rsid w:val="48CD0465"/>
    <w:rsid w:val="48DE5C2B"/>
    <w:rsid w:val="48E37AAB"/>
    <w:rsid w:val="48FD4B4C"/>
    <w:rsid w:val="490A68E0"/>
    <w:rsid w:val="491055FE"/>
    <w:rsid w:val="495F5B3E"/>
    <w:rsid w:val="496F77D7"/>
    <w:rsid w:val="497654FD"/>
    <w:rsid w:val="49B64211"/>
    <w:rsid w:val="49E56AF9"/>
    <w:rsid w:val="49F6167F"/>
    <w:rsid w:val="4A064FA0"/>
    <w:rsid w:val="4A16615C"/>
    <w:rsid w:val="4A3044DE"/>
    <w:rsid w:val="4A4424D7"/>
    <w:rsid w:val="4A782404"/>
    <w:rsid w:val="4AAD79C2"/>
    <w:rsid w:val="4AB82D0F"/>
    <w:rsid w:val="4AD00BBC"/>
    <w:rsid w:val="4AEB7664"/>
    <w:rsid w:val="4AFD7C19"/>
    <w:rsid w:val="4B0567D1"/>
    <w:rsid w:val="4B236AAE"/>
    <w:rsid w:val="4B363761"/>
    <w:rsid w:val="4B707271"/>
    <w:rsid w:val="4B7D6217"/>
    <w:rsid w:val="4B9739F7"/>
    <w:rsid w:val="4BEE2503"/>
    <w:rsid w:val="4C245A30"/>
    <w:rsid w:val="4CB6685F"/>
    <w:rsid w:val="4CC367FE"/>
    <w:rsid w:val="4D077F3C"/>
    <w:rsid w:val="4D123355"/>
    <w:rsid w:val="4D27192F"/>
    <w:rsid w:val="4D2A3B31"/>
    <w:rsid w:val="4D312C52"/>
    <w:rsid w:val="4D905305"/>
    <w:rsid w:val="4D964A72"/>
    <w:rsid w:val="4D9C1254"/>
    <w:rsid w:val="4E793892"/>
    <w:rsid w:val="4E800872"/>
    <w:rsid w:val="4EC569ED"/>
    <w:rsid w:val="4ED50EA1"/>
    <w:rsid w:val="4EEC050C"/>
    <w:rsid w:val="4EEE3303"/>
    <w:rsid w:val="4F104EC3"/>
    <w:rsid w:val="4F47354A"/>
    <w:rsid w:val="4F820BF4"/>
    <w:rsid w:val="4F911C54"/>
    <w:rsid w:val="4FB13255"/>
    <w:rsid w:val="4FE625E0"/>
    <w:rsid w:val="5021480F"/>
    <w:rsid w:val="502F4C40"/>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3559C1"/>
    <w:rsid w:val="53544462"/>
    <w:rsid w:val="538949CA"/>
    <w:rsid w:val="5397158E"/>
    <w:rsid w:val="53B4567E"/>
    <w:rsid w:val="54013861"/>
    <w:rsid w:val="5415509A"/>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7905DB"/>
    <w:rsid w:val="56972C76"/>
    <w:rsid w:val="57032A2C"/>
    <w:rsid w:val="570F5219"/>
    <w:rsid w:val="573A75A8"/>
    <w:rsid w:val="57541B0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5F5977"/>
    <w:rsid w:val="58917D2F"/>
    <w:rsid w:val="5894085C"/>
    <w:rsid w:val="58AE4F0C"/>
    <w:rsid w:val="58B85899"/>
    <w:rsid w:val="58E363A9"/>
    <w:rsid w:val="595E1678"/>
    <w:rsid w:val="596D5BD4"/>
    <w:rsid w:val="5974234C"/>
    <w:rsid w:val="597E3DD8"/>
    <w:rsid w:val="59D92186"/>
    <w:rsid w:val="59F80043"/>
    <w:rsid w:val="5A09252F"/>
    <w:rsid w:val="5A0B2778"/>
    <w:rsid w:val="5A2A7C7B"/>
    <w:rsid w:val="5A3E2560"/>
    <w:rsid w:val="5A5D3B6E"/>
    <w:rsid w:val="5A637A76"/>
    <w:rsid w:val="5A6B0808"/>
    <w:rsid w:val="5A6D33BA"/>
    <w:rsid w:val="5A792B1F"/>
    <w:rsid w:val="5A874767"/>
    <w:rsid w:val="5A8F2449"/>
    <w:rsid w:val="5AA85BE2"/>
    <w:rsid w:val="5AAD6F28"/>
    <w:rsid w:val="5AD63A24"/>
    <w:rsid w:val="5B2E1A1D"/>
    <w:rsid w:val="5B843A1C"/>
    <w:rsid w:val="5B873E3F"/>
    <w:rsid w:val="5BCF609E"/>
    <w:rsid w:val="5C02690E"/>
    <w:rsid w:val="5C196DA7"/>
    <w:rsid w:val="5C2A048C"/>
    <w:rsid w:val="5C80234E"/>
    <w:rsid w:val="5C8A680C"/>
    <w:rsid w:val="5D0C4701"/>
    <w:rsid w:val="5D0F0395"/>
    <w:rsid w:val="5D221076"/>
    <w:rsid w:val="5D397964"/>
    <w:rsid w:val="5D5A391C"/>
    <w:rsid w:val="5D5F10C0"/>
    <w:rsid w:val="5D891B7B"/>
    <w:rsid w:val="5D993C3A"/>
    <w:rsid w:val="5DAD38EE"/>
    <w:rsid w:val="5E006862"/>
    <w:rsid w:val="5E0207B9"/>
    <w:rsid w:val="5E1834A1"/>
    <w:rsid w:val="5E2369BD"/>
    <w:rsid w:val="5E261785"/>
    <w:rsid w:val="5E4A7017"/>
    <w:rsid w:val="5E4B416F"/>
    <w:rsid w:val="5E552BBA"/>
    <w:rsid w:val="5E611C10"/>
    <w:rsid w:val="5E7A0F3F"/>
    <w:rsid w:val="5EAA4DCE"/>
    <w:rsid w:val="5EC97FBF"/>
    <w:rsid w:val="5EFC7377"/>
    <w:rsid w:val="5F06174D"/>
    <w:rsid w:val="5F16198D"/>
    <w:rsid w:val="5F3A3602"/>
    <w:rsid w:val="5F45733B"/>
    <w:rsid w:val="5F6277C6"/>
    <w:rsid w:val="5F6D0B1D"/>
    <w:rsid w:val="5F781B7D"/>
    <w:rsid w:val="5F8D0B82"/>
    <w:rsid w:val="5FCC5339"/>
    <w:rsid w:val="5FE34A5B"/>
    <w:rsid w:val="5FFE1E36"/>
    <w:rsid w:val="60232584"/>
    <w:rsid w:val="607330CE"/>
    <w:rsid w:val="60825176"/>
    <w:rsid w:val="609F2AC4"/>
    <w:rsid w:val="60EF0F3C"/>
    <w:rsid w:val="60FA2EE8"/>
    <w:rsid w:val="61054A27"/>
    <w:rsid w:val="610A52BC"/>
    <w:rsid w:val="611D2366"/>
    <w:rsid w:val="61421856"/>
    <w:rsid w:val="615227C4"/>
    <w:rsid w:val="61654E3F"/>
    <w:rsid w:val="616560B3"/>
    <w:rsid w:val="6182292A"/>
    <w:rsid w:val="619F7F92"/>
    <w:rsid w:val="61A63211"/>
    <w:rsid w:val="61B96379"/>
    <w:rsid w:val="61F94C26"/>
    <w:rsid w:val="62000E56"/>
    <w:rsid w:val="624F3E49"/>
    <w:rsid w:val="62632286"/>
    <w:rsid w:val="62885958"/>
    <w:rsid w:val="62F40B65"/>
    <w:rsid w:val="62FC2CFE"/>
    <w:rsid w:val="63024505"/>
    <w:rsid w:val="633627D3"/>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0B54E0"/>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818F5"/>
    <w:rsid w:val="67BE71AA"/>
    <w:rsid w:val="67D90273"/>
    <w:rsid w:val="67DB011D"/>
    <w:rsid w:val="67DE5875"/>
    <w:rsid w:val="67E55852"/>
    <w:rsid w:val="67EB1AB4"/>
    <w:rsid w:val="67FA1285"/>
    <w:rsid w:val="68551F4F"/>
    <w:rsid w:val="685D175C"/>
    <w:rsid w:val="687C10C9"/>
    <w:rsid w:val="68840C16"/>
    <w:rsid w:val="68872541"/>
    <w:rsid w:val="68876EFB"/>
    <w:rsid w:val="68884654"/>
    <w:rsid w:val="689F444F"/>
    <w:rsid w:val="68AD1144"/>
    <w:rsid w:val="68B96DBB"/>
    <w:rsid w:val="68CA2805"/>
    <w:rsid w:val="68E937A3"/>
    <w:rsid w:val="691664E5"/>
    <w:rsid w:val="693E15D3"/>
    <w:rsid w:val="694B25D3"/>
    <w:rsid w:val="69627681"/>
    <w:rsid w:val="6977531D"/>
    <w:rsid w:val="69CC2BFF"/>
    <w:rsid w:val="69FD55B8"/>
    <w:rsid w:val="6A0B1C62"/>
    <w:rsid w:val="6A2406C8"/>
    <w:rsid w:val="6ADE0BD1"/>
    <w:rsid w:val="6AE96859"/>
    <w:rsid w:val="6B12018B"/>
    <w:rsid w:val="6B147746"/>
    <w:rsid w:val="6B211942"/>
    <w:rsid w:val="6B24787C"/>
    <w:rsid w:val="6B573233"/>
    <w:rsid w:val="6B5B6274"/>
    <w:rsid w:val="6B935D53"/>
    <w:rsid w:val="6BDBAC02"/>
    <w:rsid w:val="6BFB7BD7"/>
    <w:rsid w:val="6C196F71"/>
    <w:rsid w:val="6C226FCB"/>
    <w:rsid w:val="6C31226F"/>
    <w:rsid w:val="6C552F0B"/>
    <w:rsid w:val="6C7F73FB"/>
    <w:rsid w:val="6C8C67B7"/>
    <w:rsid w:val="6C9D744C"/>
    <w:rsid w:val="6D167928"/>
    <w:rsid w:val="6D26299B"/>
    <w:rsid w:val="6D4772EC"/>
    <w:rsid w:val="6D804CDB"/>
    <w:rsid w:val="6D9078AF"/>
    <w:rsid w:val="6DAA3FEF"/>
    <w:rsid w:val="6DC0172B"/>
    <w:rsid w:val="6DCB690C"/>
    <w:rsid w:val="6DD41A5B"/>
    <w:rsid w:val="6DF43C2E"/>
    <w:rsid w:val="6DF51CA3"/>
    <w:rsid w:val="6E8335BD"/>
    <w:rsid w:val="6E8E12EF"/>
    <w:rsid w:val="6E972936"/>
    <w:rsid w:val="6ECE229E"/>
    <w:rsid w:val="6ED446C5"/>
    <w:rsid w:val="6F2A7D94"/>
    <w:rsid w:val="6F2F61E8"/>
    <w:rsid w:val="6F6124E5"/>
    <w:rsid w:val="6F7BC249"/>
    <w:rsid w:val="6F8331F1"/>
    <w:rsid w:val="6FAE1A09"/>
    <w:rsid w:val="6FD50767"/>
    <w:rsid w:val="6FD75BF8"/>
    <w:rsid w:val="6FFFAD64"/>
    <w:rsid w:val="706B16A4"/>
    <w:rsid w:val="707723D0"/>
    <w:rsid w:val="70F5661B"/>
    <w:rsid w:val="71360107"/>
    <w:rsid w:val="713B688E"/>
    <w:rsid w:val="71924BD7"/>
    <w:rsid w:val="71D43752"/>
    <w:rsid w:val="71F1796A"/>
    <w:rsid w:val="72154626"/>
    <w:rsid w:val="72202C17"/>
    <w:rsid w:val="72262B5D"/>
    <w:rsid w:val="72283FF7"/>
    <w:rsid w:val="722E7212"/>
    <w:rsid w:val="723A0474"/>
    <w:rsid w:val="72485A07"/>
    <w:rsid w:val="725923E4"/>
    <w:rsid w:val="72864BF7"/>
    <w:rsid w:val="729023FC"/>
    <w:rsid w:val="734343DB"/>
    <w:rsid w:val="73463935"/>
    <w:rsid w:val="73C0646E"/>
    <w:rsid w:val="73F032C5"/>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0FEEE6"/>
    <w:rsid w:val="77136511"/>
    <w:rsid w:val="77340A39"/>
    <w:rsid w:val="77351FD0"/>
    <w:rsid w:val="77353822"/>
    <w:rsid w:val="77472422"/>
    <w:rsid w:val="777F31F2"/>
    <w:rsid w:val="77D1700D"/>
    <w:rsid w:val="77EC04CC"/>
    <w:rsid w:val="77F652CC"/>
    <w:rsid w:val="78162930"/>
    <w:rsid w:val="78775729"/>
    <w:rsid w:val="78A42DB0"/>
    <w:rsid w:val="78A656AB"/>
    <w:rsid w:val="78B2245C"/>
    <w:rsid w:val="78E172CC"/>
    <w:rsid w:val="78EA1D1F"/>
    <w:rsid w:val="78FD502C"/>
    <w:rsid w:val="7904172F"/>
    <w:rsid w:val="790F7E27"/>
    <w:rsid w:val="79263474"/>
    <w:rsid w:val="792A231A"/>
    <w:rsid w:val="79316829"/>
    <w:rsid w:val="797E66A9"/>
    <w:rsid w:val="798518A4"/>
    <w:rsid w:val="79A2706D"/>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86755B"/>
    <w:rsid w:val="7BE40BE0"/>
    <w:rsid w:val="7BEE0103"/>
    <w:rsid w:val="7C0A0FE4"/>
    <w:rsid w:val="7C254906"/>
    <w:rsid w:val="7C590818"/>
    <w:rsid w:val="7C7C10F6"/>
    <w:rsid w:val="7C853BEA"/>
    <w:rsid w:val="7C881368"/>
    <w:rsid w:val="7CA00993"/>
    <w:rsid w:val="7CE27788"/>
    <w:rsid w:val="7CFF5C10"/>
    <w:rsid w:val="7D0C32F1"/>
    <w:rsid w:val="7D0F408D"/>
    <w:rsid w:val="7D491C6C"/>
    <w:rsid w:val="7D5341E1"/>
    <w:rsid w:val="7D5429C0"/>
    <w:rsid w:val="7D6D0423"/>
    <w:rsid w:val="7D6E6D43"/>
    <w:rsid w:val="7DB57A34"/>
    <w:rsid w:val="7DB642B3"/>
    <w:rsid w:val="7DE60973"/>
    <w:rsid w:val="7DEF0916"/>
    <w:rsid w:val="7E1E5218"/>
    <w:rsid w:val="7E9A4E1F"/>
    <w:rsid w:val="7EA7723A"/>
    <w:rsid w:val="7EF56FBB"/>
    <w:rsid w:val="7F0768EB"/>
    <w:rsid w:val="7F143BEC"/>
    <w:rsid w:val="7F715AF2"/>
    <w:rsid w:val="7F886E69"/>
    <w:rsid w:val="7FD741D8"/>
    <w:rsid w:val="7FDC5FB5"/>
    <w:rsid w:val="9BFE811B"/>
    <w:rsid w:val="AFDF3D28"/>
    <w:rsid w:val="BB7FA927"/>
    <w:rsid w:val="BE0F2857"/>
    <w:rsid w:val="BF2FAD32"/>
    <w:rsid w:val="BFD9E601"/>
    <w:rsid w:val="C543CA59"/>
    <w:rsid w:val="D3FF0226"/>
    <w:rsid w:val="ED772B5B"/>
    <w:rsid w:val="EFED9F82"/>
    <w:rsid w:val="EFFE7506"/>
    <w:rsid w:val="F1FFBFF6"/>
    <w:rsid w:val="F5FFD31F"/>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styleId="6">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19"/>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next w:val="1"/>
    <w:link w:val="263"/>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3"/>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79"/>
    <w:qFormat/>
    <w:uiPriority w:val="0"/>
    <w:pPr>
      <w:ind w:left="100" w:leftChars="2500"/>
    </w:pPr>
    <w:rPr>
      <w:rFonts w:ascii="宋体"/>
      <w:sz w:val="24"/>
      <w:szCs w:val="21"/>
      <w:lang w:val="zh-CN"/>
    </w:rPr>
  </w:style>
  <w:style w:type="paragraph" w:styleId="39">
    <w:name w:val="Body Text Indent 2"/>
    <w:basedOn w:val="1"/>
    <w:link w:val="306"/>
    <w:qFormat/>
    <w:uiPriority w:val="0"/>
    <w:pPr>
      <w:spacing w:line="360" w:lineRule="auto"/>
      <w:ind w:firstLine="601"/>
      <w:textAlignment w:val="baseline"/>
    </w:pPr>
    <w:rPr>
      <w:rFonts w:ascii="宋体"/>
      <w:kern w:val="0"/>
      <w:sz w:val="28"/>
      <w:szCs w:val="20"/>
    </w:rPr>
  </w:style>
  <w:style w:type="paragraph" w:styleId="40">
    <w:name w:val="endnote text"/>
    <w:basedOn w:val="1"/>
    <w:link w:val="929"/>
    <w:qFormat/>
    <w:uiPriority w:val="0"/>
    <w:rPr>
      <w:lang w:val="zh-CN"/>
    </w:rPr>
  </w:style>
  <w:style w:type="paragraph" w:styleId="41">
    <w:name w:val="Balloon Text"/>
    <w:basedOn w:val="1"/>
    <w:link w:val="186"/>
    <w:qFormat/>
    <w:uiPriority w:val="0"/>
    <w:rPr>
      <w:sz w:val="18"/>
      <w:szCs w:val="18"/>
    </w:rPr>
  </w:style>
  <w:style w:type="paragraph" w:styleId="42">
    <w:name w:val="footer"/>
    <w:basedOn w:val="1"/>
    <w:link w:val="381"/>
    <w:qFormat/>
    <w:uiPriority w:val="99"/>
    <w:pPr>
      <w:tabs>
        <w:tab w:val="center" w:pos="4153"/>
        <w:tab w:val="right" w:pos="8306"/>
      </w:tabs>
      <w:snapToGrid w:val="0"/>
      <w:jc w:val="left"/>
    </w:pPr>
    <w:rPr>
      <w:sz w:val="18"/>
      <w:szCs w:val="18"/>
    </w:rPr>
  </w:style>
  <w:style w:type="paragraph" w:styleId="43">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6"/>
    <w:link w:val="308"/>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4"/>
    <w:qFormat/>
    <w:uiPriority w:val="0"/>
    <w:rPr>
      <w:b/>
      <w:bCs/>
    </w:rPr>
  </w:style>
  <w:style w:type="paragraph" w:styleId="62">
    <w:name w:val="Body Text First Indent 2"/>
    <w:basedOn w:val="27"/>
    <w:next w:val="1"/>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字符"/>
    <w:link w:val="62"/>
    <w:qFormat/>
    <w:uiPriority w:val="0"/>
    <w:rPr>
      <w:rFonts w:ascii="宋体" w:hAnsi="宋体"/>
      <w:kern w:val="2"/>
      <w:sz w:val="21"/>
      <w:szCs w:val="24"/>
    </w:rPr>
  </w:style>
  <w:style w:type="character" w:customStyle="1" w:styleId="120">
    <w:name w:val="font11"/>
    <w:basedOn w:val="70"/>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9"/>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8"/>
    <w:qFormat/>
    <w:uiPriority w:val="0"/>
    <w:rPr>
      <w:rFonts w:ascii="宋体"/>
      <w:kern w:val="2"/>
      <w:sz w:val="24"/>
      <w:szCs w:val="21"/>
      <w:lang w:val="zh-CN"/>
    </w:rPr>
  </w:style>
  <w:style w:type="character" w:customStyle="1" w:styleId="180">
    <w:name w:val="标题 9 字符"/>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41"/>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2"/>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7"/>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8"/>
    <w:qFormat/>
    <w:uiPriority w:val="0"/>
    <w:rPr>
      <w:rFonts w:ascii="黑体" w:hAnsi="Courier New" w:eastAsia="黑体"/>
    </w:rPr>
  </w:style>
  <w:style w:type="character" w:customStyle="1" w:styleId="300">
    <w:name w:val="正文文本 2 字符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10"/>
    <w:qFormat/>
    <w:uiPriority w:val="0"/>
    <w:rPr>
      <w:b/>
      <w:bCs/>
      <w:kern w:val="2"/>
      <w:sz w:val="24"/>
      <w:szCs w:val="24"/>
    </w:rPr>
  </w:style>
  <w:style w:type="character" w:customStyle="1" w:styleId="306">
    <w:name w:val="正文文本缩进 2 字符"/>
    <w:link w:val="39"/>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2"/>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字符"/>
    <w:link w:val="25"/>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0"/>
    <w:qFormat/>
    <w:uiPriority w:val="99"/>
    <w:rPr>
      <w:kern w:val="2"/>
      <w:sz w:val="21"/>
      <w:szCs w:val="24"/>
    </w:rPr>
  </w:style>
  <w:style w:type="character" w:customStyle="1" w:styleId="343">
    <w:name w:val="签名 字符"/>
    <w:link w:val="44"/>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2"/>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3"/>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9"/>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8"/>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3"/>
    <w:next w:val="638"/>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2"/>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40"/>
    <w:qFormat/>
    <w:uiPriority w:val="0"/>
    <w:rPr>
      <w:kern w:val="2"/>
      <w:sz w:val="21"/>
      <w:szCs w:val="24"/>
      <w:lang w:val="zh-CN"/>
    </w:rPr>
  </w:style>
  <w:style w:type="character" w:customStyle="1" w:styleId="930">
    <w:name w:val="无间隔 字符"/>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qFormat/>
    <w:uiPriority w:val="0"/>
    <w:rPr>
      <w:color w:val="000000"/>
      <w:shd w:val="clear" w:color="auto" w:fill="EFD200"/>
    </w:rPr>
  </w:style>
  <w:style w:type="character" w:customStyle="1" w:styleId="959">
    <w:name w:val="font71"/>
    <w:basedOn w:val="70"/>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 w:type="paragraph" w:customStyle="1" w:styleId="966">
    <w:name w:val="[Normal]"/>
    <w:basedOn w:val="1"/>
    <w:qFormat/>
    <w:uiPriority w:val="0"/>
    <w:pPr>
      <w:widowControl/>
      <w:adjustRightInd/>
      <w:jc w:val="left"/>
    </w:pPr>
    <w:rPr>
      <w:rFonts w:ascii="宋体" w:hAnsi="宋体"/>
      <w:kern w:val="0"/>
      <w:sz w:val="24"/>
    </w:rPr>
  </w:style>
  <w:style w:type="character" w:customStyle="1" w:styleId="967">
    <w:name w:val="font101"/>
    <w:basedOn w:val="70"/>
    <w:qFormat/>
    <w:uiPriority w:val="0"/>
    <w:rPr>
      <w:rFonts w:hint="default" w:ascii="Times New Roman" w:hAnsi="Times New Roman" w:cs="Times New Roman"/>
      <w:color w:val="000000"/>
      <w:sz w:val="20"/>
      <w:szCs w:val="20"/>
      <w:u w:val="none"/>
    </w:rPr>
  </w:style>
  <w:style w:type="character" w:customStyle="1" w:styleId="968">
    <w:name w:val="font112"/>
    <w:basedOn w:val="70"/>
    <w:qFormat/>
    <w:uiPriority w:val="0"/>
    <w:rPr>
      <w:rFonts w:hint="default" w:ascii="Times New Roman" w:hAnsi="Times New Roman" w:cs="Times New Roman"/>
      <w:color w:val="FF0000"/>
      <w:sz w:val="20"/>
      <w:szCs w:val="20"/>
      <w:u w:val="none"/>
    </w:rPr>
  </w:style>
  <w:style w:type="character" w:customStyle="1" w:styleId="969">
    <w:name w:val="font121"/>
    <w:basedOn w:val="70"/>
    <w:qFormat/>
    <w:uiPriority w:val="0"/>
    <w:rPr>
      <w:rFonts w:hint="default" w:ascii="Times New Roman" w:hAnsi="Times New Roman" w:cs="Times New Roman"/>
      <w:color w:val="000000"/>
      <w:sz w:val="16"/>
      <w:szCs w:val="16"/>
      <w:u w:val="none"/>
    </w:rPr>
  </w:style>
  <w:style w:type="character" w:customStyle="1" w:styleId="970">
    <w:name w:val="font131"/>
    <w:basedOn w:val="70"/>
    <w:qFormat/>
    <w:uiPriority w:val="0"/>
    <w:rPr>
      <w:rFonts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98</Pages>
  <Words>22092</Words>
  <Characters>23650</Characters>
  <Lines>295</Lines>
  <Paragraphs>83</Paragraphs>
  <TotalTime>12</TotalTime>
  <ScaleCrop>false</ScaleCrop>
  <LinksUpToDate>false</LinksUpToDate>
  <CharactersWithSpaces>24092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2021-08-06T08:22:00Z</dcterms:created>
  <dc:creator>玥</dc:creator>
  <cp:lastModifiedBy>莫小饼。</cp:lastModifiedBy>
  <cp:lastPrinted>2025-06-12T06:10:00Z</cp:lastPrinted>
  <dcterms:modified xsi:type="dcterms:W3CDTF">2025-07-09T03:33:27Z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2B7D0AC0E6D04129AA4109953E22A5D9_13</vt:lpwstr>
  </property>
  <property fmtid="{D5CDD505-2E9C-101B-9397-08002B2CF9AE}" pid="5" name="KSOTemplateDocerSaveRecord">
    <vt:lpwstr>eyJoZGlkIjoiY2U1MTNhZjkxOWIyODczY2IzYTYzZmNkOTc5ZTUwOTIiLCJ1c2VySWQiOiI0MDEyMDA1ODUifQ==</vt:lpwstr>
  </property>
</Properties>
</file>