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jc w:val="center"/>
        <w:rPr>
          <w:rStyle w:val="32"/>
          <w:rFonts w:hint="eastAsia" w:ascii="宋体" w:hAnsi="宋体" w:cs="宋体"/>
          <w:color w:val="auto"/>
          <w:spacing w:val="0"/>
          <w:sz w:val="44"/>
          <w:szCs w:val="44"/>
          <w:highlight w:val="none"/>
          <w:lang w:eastAsia="zh-CN"/>
        </w:rPr>
      </w:pPr>
      <w:r>
        <w:rPr>
          <w:rStyle w:val="32"/>
          <w:rFonts w:hint="eastAsia" w:ascii="宋体" w:hAnsi="宋体" w:cs="宋体"/>
          <w:color w:val="auto"/>
          <w:spacing w:val="0"/>
          <w:sz w:val="44"/>
          <w:szCs w:val="44"/>
          <w:highlight w:val="none"/>
          <w:lang w:eastAsia="zh-CN"/>
        </w:rPr>
        <w:t>2025年度安吉县水域监测评价相关</w:t>
      </w:r>
    </w:p>
    <w:p>
      <w:pPr>
        <w:spacing w:beforeLines="50" w:line="700" w:lineRule="exact"/>
        <w:jc w:val="center"/>
        <w:rPr>
          <w:rFonts w:hint="default" w:eastAsia="宋体"/>
          <w:sz w:val="48"/>
          <w:szCs w:val="48"/>
          <w:highlight w:val="none"/>
          <w:lang w:val="en-US" w:eastAsia="zh-CN"/>
        </w:rPr>
      </w:pPr>
      <w:r>
        <w:rPr>
          <w:rStyle w:val="32"/>
          <w:rFonts w:hint="eastAsia" w:ascii="宋体" w:hAnsi="宋体" w:cs="宋体"/>
          <w:color w:val="auto"/>
          <w:spacing w:val="0"/>
          <w:sz w:val="44"/>
          <w:szCs w:val="44"/>
          <w:highlight w:val="none"/>
          <w:lang w:eastAsia="zh-CN"/>
        </w:rPr>
        <w:t>技术服务采购项目</w:t>
      </w:r>
    </w:p>
    <w:p>
      <w:pPr>
        <w:tabs>
          <w:tab w:val="left" w:pos="7692"/>
        </w:tabs>
        <w:jc w:val="left"/>
        <w:rPr>
          <w:rStyle w:val="32"/>
          <w:rFonts w:ascii="宋体" w:hAnsi="宋体" w:cs="宋体"/>
          <w:color w:val="auto"/>
          <w:spacing w:val="0"/>
          <w:sz w:val="56"/>
          <w:szCs w:val="40"/>
          <w:highlight w:val="none"/>
        </w:rPr>
      </w:pPr>
    </w:p>
    <w:p>
      <w:pPr>
        <w:spacing w:beforeLines="50" w:line="700" w:lineRule="exact"/>
        <w:jc w:val="center"/>
        <w:rPr>
          <w:rStyle w:val="32"/>
          <w:rFonts w:ascii="宋体" w:hAnsi="宋体" w:cs="宋体"/>
          <w:color w:val="auto"/>
          <w:spacing w:val="0"/>
          <w:sz w:val="56"/>
          <w:szCs w:val="40"/>
          <w:highlight w:val="none"/>
        </w:rPr>
      </w:pPr>
      <w:r>
        <w:rPr>
          <w:rStyle w:val="32"/>
          <w:rFonts w:hint="eastAsia" w:ascii="宋体" w:hAnsi="宋体" w:cs="宋体"/>
          <w:color w:val="auto"/>
          <w:spacing w:val="0"/>
          <w:sz w:val="56"/>
          <w:szCs w:val="40"/>
          <w:highlight w:val="none"/>
        </w:rPr>
        <w:t>公</w:t>
      </w:r>
    </w:p>
    <w:p>
      <w:pPr>
        <w:spacing w:beforeLines="50" w:line="800" w:lineRule="exact"/>
        <w:jc w:val="center"/>
        <w:rPr>
          <w:rStyle w:val="32"/>
          <w:rFonts w:ascii="宋体" w:hAnsi="宋体" w:cs="宋体"/>
          <w:color w:val="auto"/>
          <w:spacing w:val="0"/>
          <w:sz w:val="56"/>
          <w:szCs w:val="40"/>
          <w:highlight w:val="none"/>
        </w:rPr>
      </w:pPr>
      <w:r>
        <w:rPr>
          <w:rStyle w:val="32"/>
          <w:rFonts w:hint="eastAsia" w:ascii="宋体" w:hAnsi="宋体" w:cs="宋体"/>
          <w:color w:val="auto"/>
          <w:spacing w:val="0"/>
          <w:sz w:val="56"/>
          <w:szCs w:val="40"/>
          <w:highlight w:val="none"/>
        </w:rPr>
        <w:t>开</w:t>
      </w:r>
    </w:p>
    <w:p>
      <w:pPr>
        <w:spacing w:beforeLines="50" w:line="800" w:lineRule="exact"/>
        <w:jc w:val="center"/>
        <w:rPr>
          <w:rStyle w:val="32"/>
          <w:rFonts w:ascii="宋体" w:hAnsi="宋体" w:cs="宋体"/>
          <w:color w:val="auto"/>
          <w:spacing w:val="0"/>
          <w:sz w:val="56"/>
          <w:szCs w:val="40"/>
          <w:highlight w:val="none"/>
        </w:rPr>
      </w:pPr>
      <w:r>
        <w:rPr>
          <w:rStyle w:val="32"/>
          <w:rFonts w:hint="eastAsia" w:ascii="宋体" w:hAnsi="宋体" w:cs="宋体"/>
          <w:color w:val="auto"/>
          <w:spacing w:val="0"/>
          <w:sz w:val="56"/>
          <w:szCs w:val="40"/>
          <w:highlight w:val="none"/>
        </w:rPr>
        <w:t>招</w:t>
      </w:r>
    </w:p>
    <w:p>
      <w:pPr>
        <w:spacing w:beforeLines="50" w:line="800" w:lineRule="exact"/>
        <w:jc w:val="center"/>
        <w:rPr>
          <w:rStyle w:val="32"/>
          <w:rFonts w:ascii="宋体" w:hAnsi="宋体" w:cs="宋体"/>
          <w:color w:val="auto"/>
          <w:spacing w:val="0"/>
          <w:sz w:val="56"/>
          <w:szCs w:val="40"/>
          <w:highlight w:val="none"/>
        </w:rPr>
      </w:pPr>
      <w:r>
        <w:rPr>
          <w:rStyle w:val="32"/>
          <w:rFonts w:hint="eastAsia" w:ascii="宋体" w:hAnsi="宋体" w:cs="宋体"/>
          <w:color w:val="auto"/>
          <w:spacing w:val="0"/>
          <w:sz w:val="56"/>
          <w:szCs w:val="40"/>
          <w:highlight w:val="none"/>
        </w:rPr>
        <w:t>标</w:t>
      </w:r>
    </w:p>
    <w:p>
      <w:pPr>
        <w:spacing w:beforeLines="50" w:line="800" w:lineRule="exact"/>
        <w:jc w:val="center"/>
        <w:rPr>
          <w:rStyle w:val="32"/>
          <w:rFonts w:ascii="宋体" w:hAnsi="宋体" w:cs="宋体"/>
          <w:color w:val="auto"/>
          <w:spacing w:val="0"/>
          <w:sz w:val="56"/>
          <w:szCs w:val="56"/>
          <w:highlight w:val="none"/>
        </w:rPr>
      </w:pPr>
      <w:r>
        <w:rPr>
          <w:rStyle w:val="32"/>
          <w:rFonts w:hint="eastAsia" w:ascii="宋体" w:hAnsi="宋体" w:cs="宋体"/>
          <w:color w:val="auto"/>
          <w:spacing w:val="0"/>
          <w:sz w:val="56"/>
          <w:szCs w:val="56"/>
          <w:highlight w:val="none"/>
        </w:rPr>
        <w:t>采</w:t>
      </w:r>
    </w:p>
    <w:p>
      <w:pPr>
        <w:spacing w:beforeLines="50" w:line="800" w:lineRule="exact"/>
        <w:jc w:val="center"/>
        <w:rPr>
          <w:rStyle w:val="32"/>
          <w:rFonts w:ascii="宋体" w:hAnsi="宋体" w:cs="宋体"/>
          <w:color w:val="auto"/>
          <w:spacing w:val="0"/>
          <w:sz w:val="56"/>
          <w:szCs w:val="56"/>
          <w:highlight w:val="none"/>
        </w:rPr>
      </w:pPr>
      <w:r>
        <w:rPr>
          <w:rStyle w:val="32"/>
          <w:rFonts w:hint="eastAsia" w:ascii="宋体" w:hAnsi="宋体" w:cs="宋体"/>
          <w:color w:val="auto"/>
          <w:spacing w:val="0"/>
          <w:sz w:val="56"/>
          <w:szCs w:val="56"/>
          <w:highlight w:val="none"/>
        </w:rPr>
        <w:t>购</w:t>
      </w:r>
    </w:p>
    <w:p>
      <w:pPr>
        <w:spacing w:beforeLines="50" w:line="800" w:lineRule="exact"/>
        <w:jc w:val="center"/>
        <w:rPr>
          <w:rStyle w:val="32"/>
          <w:rFonts w:ascii="宋体" w:hAnsi="宋体" w:cs="宋体"/>
          <w:color w:val="auto"/>
          <w:spacing w:val="0"/>
          <w:sz w:val="56"/>
          <w:szCs w:val="56"/>
          <w:highlight w:val="none"/>
        </w:rPr>
      </w:pPr>
      <w:r>
        <w:rPr>
          <w:rStyle w:val="32"/>
          <w:rFonts w:hint="eastAsia" w:ascii="宋体" w:hAnsi="宋体" w:cs="宋体"/>
          <w:color w:val="auto"/>
          <w:spacing w:val="0"/>
          <w:sz w:val="56"/>
          <w:szCs w:val="56"/>
          <w:highlight w:val="none"/>
        </w:rPr>
        <w:t>文</w:t>
      </w:r>
    </w:p>
    <w:p>
      <w:pPr>
        <w:spacing w:beforeLines="50" w:line="800" w:lineRule="exact"/>
        <w:jc w:val="center"/>
        <w:rPr>
          <w:rStyle w:val="32"/>
          <w:rFonts w:ascii="宋体" w:hAnsi="宋体" w:cs="宋体"/>
          <w:color w:val="auto"/>
          <w:spacing w:val="0"/>
          <w:sz w:val="56"/>
          <w:szCs w:val="56"/>
          <w:highlight w:val="none"/>
        </w:rPr>
      </w:pPr>
      <w:r>
        <w:rPr>
          <w:rStyle w:val="32"/>
          <w:rFonts w:hint="eastAsia" w:ascii="宋体" w:hAnsi="宋体" w:cs="宋体"/>
          <w:color w:val="auto"/>
          <w:spacing w:val="0"/>
          <w:sz w:val="56"/>
          <w:szCs w:val="56"/>
          <w:highlight w:val="none"/>
        </w:rPr>
        <w:t>件</w:t>
      </w:r>
    </w:p>
    <w:p>
      <w:pPr>
        <w:pStyle w:val="12"/>
        <w:snapToGrid w:val="0"/>
        <w:spacing w:beforeLines="0" w:afterLines="0" w:line="300" w:lineRule="exact"/>
        <w:rPr>
          <w:rFonts w:hAnsi="宋体" w:cs="宋体"/>
          <w:sz w:val="22"/>
          <w:szCs w:val="20"/>
          <w:highlight w:val="none"/>
        </w:rPr>
      </w:pPr>
    </w:p>
    <w:p>
      <w:pPr>
        <w:pStyle w:val="13"/>
        <w:ind w:left="5250"/>
        <w:rPr>
          <w:sz w:val="20"/>
          <w:szCs w:val="20"/>
          <w:highlight w:val="none"/>
        </w:rPr>
      </w:pPr>
    </w:p>
    <w:p>
      <w:pPr>
        <w:rPr>
          <w:sz w:val="20"/>
          <w:szCs w:val="20"/>
        </w:rPr>
      </w:pP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default" w:hAnsi="宋体" w:eastAsia="宋体" w:cs="宋体"/>
          <w:sz w:val="28"/>
          <w:szCs w:val="28"/>
          <w:highlight w:val="none"/>
          <w:lang w:val="en-US" w:eastAsia="zh-CN"/>
        </w:rPr>
      </w:pPr>
      <w:r>
        <w:rPr>
          <w:rFonts w:hint="eastAsia" w:hAnsi="宋体" w:cs="宋体"/>
          <w:sz w:val="28"/>
          <w:szCs w:val="28"/>
          <w:highlight w:val="none"/>
        </w:rPr>
        <w:t>项目编号：</w:t>
      </w:r>
      <w:r>
        <w:rPr>
          <w:rFonts w:hint="eastAsia" w:hAnsi="宋体" w:cs="宋体"/>
          <w:sz w:val="28"/>
          <w:szCs w:val="28"/>
          <w:highlight w:val="none"/>
          <w:lang w:eastAsia="zh-CN"/>
        </w:rPr>
        <w:t>TCCG202507-01</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s="宋体"/>
          <w:sz w:val="28"/>
          <w:szCs w:val="28"/>
          <w:highlight w:val="none"/>
          <w:lang w:eastAsia="zh-CN"/>
        </w:rPr>
      </w:pPr>
      <w:r>
        <w:rPr>
          <w:rFonts w:hint="eastAsia" w:hAnsi="宋体" w:cs="宋体"/>
          <w:sz w:val="28"/>
          <w:szCs w:val="28"/>
          <w:highlight w:val="none"/>
        </w:rPr>
        <w:t>项目名称：</w:t>
      </w:r>
      <w:r>
        <w:rPr>
          <w:rFonts w:hint="eastAsia" w:hAnsi="宋体" w:cs="宋体"/>
          <w:sz w:val="28"/>
          <w:szCs w:val="28"/>
          <w:highlight w:val="none"/>
          <w:lang w:eastAsia="zh-CN"/>
        </w:rPr>
        <w:t>2025年度安吉县水域监测评价相关技术服务采购项目</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s="宋体"/>
          <w:sz w:val="28"/>
          <w:szCs w:val="28"/>
          <w:highlight w:val="none"/>
          <w:lang w:eastAsia="zh-CN"/>
        </w:rPr>
      </w:pPr>
      <w:r>
        <w:rPr>
          <w:rFonts w:hint="eastAsia" w:hAnsi="宋体" w:cs="宋体"/>
          <w:sz w:val="28"/>
          <w:szCs w:val="28"/>
          <w:highlight w:val="none"/>
        </w:rPr>
        <w:t>采购单位：</w:t>
      </w:r>
      <w:r>
        <w:rPr>
          <w:rFonts w:hint="eastAsia" w:hAnsi="宋体" w:cs="宋体"/>
          <w:sz w:val="28"/>
          <w:szCs w:val="28"/>
          <w:highlight w:val="none"/>
          <w:lang w:eastAsia="zh-CN"/>
        </w:rPr>
        <w:t>安吉县水利局</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s="宋体"/>
          <w:sz w:val="28"/>
          <w:szCs w:val="28"/>
          <w:highlight w:val="none"/>
          <w:lang w:eastAsia="zh-CN"/>
        </w:rPr>
      </w:pPr>
      <w:r>
        <w:rPr>
          <w:rFonts w:hint="eastAsia" w:hAnsi="宋体" w:cs="宋体"/>
          <w:sz w:val="28"/>
          <w:szCs w:val="28"/>
          <w:highlight w:val="none"/>
        </w:rPr>
        <w:t>采购代理机构：</w:t>
      </w:r>
      <w:r>
        <w:rPr>
          <w:rFonts w:hint="eastAsia" w:hAnsi="宋体" w:cs="宋体"/>
          <w:sz w:val="28"/>
          <w:szCs w:val="28"/>
          <w:highlight w:val="none"/>
          <w:lang w:eastAsia="zh-CN"/>
        </w:rPr>
        <w:t>浙江天册工程管理有限公司</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s="宋体"/>
          <w:sz w:val="28"/>
          <w:szCs w:val="28"/>
          <w:highlight w:val="none"/>
        </w:rPr>
      </w:pPr>
      <w:r>
        <w:rPr>
          <w:rFonts w:hint="eastAsia" w:hAnsi="宋体" w:cs="宋体"/>
          <w:sz w:val="28"/>
          <w:szCs w:val="28"/>
          <w:highlight w:val="none"/>
        </w:rPr>
        <w:t>采购类型：分散采购委托代理</w:t>
      </w:r>
    </w:p>
    <w:p>
      <w:pPr>
        <w:pStyle w:val="12"/>
        <w:snapToGrid w:val="0"/>
        <w:spacing w:beforeLines="0" w:afterLines="0" w:line="300" w:lineRule="exact"/>
        <w:jc w:val="right"/>
        <w:rPr>
          <w:rFonts w:hAnsi="宋体" w:cs="宋体"/>
          <w:sz w:val="28"/>
          <w:szCs w:val="28"/>
          <w:highlight w:val="none"/>
        </w:rPr>
      </w:pPr>
    </w:p>
    <w:p>
      <w:pPr>
        <w:pStyle w:val="12"/>
        <w:snapToGrid w:val="0"/>
        <w:spacing w:beforeLines="0" w:afterLines="0" w:line="300" w:lineRule="exact"/>
        <w:jc w:val="right"/>
        <w:rPr>
          <w:rFonts w:hAnsi="宋体" w:cs="宋体"/>
          <w:sz w:val="28"/>
          <w:szCs w:val="28"/>
          <w:highlight w:val="none"/>
        </w:rPr>
      </w:pPr>
    </w:p>
    <w:p>
      <w:pPr>
        <w:pStyle w:val="12"/>
        <w:snapToGrid w:val="0"/>
        <w:spacing w:beforeLines="0" w:afterLines="0" w:line="300" w:lineRule="exact"/>
        <w:jc w:val="right"/>
        <w:rPr>
          <w:rFonts w:hAnsi="宋体" w:cs="宋体"/>
          <w:b/>
          <w:sz w:val="28"/>
          <w:szCs w:val="28"/>
          <w:highlight w:val="none"/>
        </w:rPr>
      </w:pPr>
      <w:r>
        <w:rPr>
          <w:rFonts w:hint="eastAsia" w:hAnsi="宋体" w:cs="宋体"/>
          <w:sz w:val="28"/>
          <w:szCs w:val="28"/>
          <w:highlight w:val="none"/>
          <w:lang w:val="en-US" w:eastAsia="zh-CN"/>
        </w:rPr>
        <w:t>2025</w:t>
      </w:r>
      <w:r>
        <w:rPr>
          <w:rFonts w:hint="eastAsia" w:hAnsi="宋体" w:cs="宋体"/>
          <w:sz w:val="28"/>
          <w:szCs w:val="28"/>
          <w:highlight w:val="none"/>
        </w:rPr>
        <w:t>年</w:t>
      </w:r>
      <w:r>
        <w:rPr>
          <w:rFonts w:hint="eastAsia" w:hAnsi="宋体" w:cs="宋体"/>
          <w:sz w:val="28"/>
          <w:szCs w:val="28"/>
          <w:highlight w:val="none"/>
          <w:lang w:val="en-US" w:eastAsia="zh-CN"/>
        </w:rPr>
        <w:t>07</w:t>
      </w:r>
      <w:r>
        <w:rPr>
          <w:rFonts w:hint="eastAsia" w:hAnsi="宋体" w:cs="宋体"/>
          <w:sz w:val="28"/>
          <w:szCs w:val="28"/>
          <w:highlight w:val="none"/>
        </w:rPr>
        <w:t>月</w:t>
      </w:r>
    </w:p>
    <w:p>
      <w:pPr>
        <w:pStyle w:val="13"/>
        <w:ind w:left="0" w:leftChars="0"/>
        <w:rPr>
          <w:sz w:val="30"/>
          <w:szCs w:val="30"/>
          <w:highlight w:val="none"/>
        </w:rPr>
      </w:pPr>
    </w:p>
    <w:p>
      <w:pPr>
        <w:pStyle w:val="12"/>
        <w:snapToGrid w:val="0"/>
        <w:spacing w:beforeLines="0" w:afterLines="0" w:line="240" w:lineRule="auto"/>
        <w:jc w:val="center"/>
        <w:rPr>
          <w:rFonts w:hint="eastAsia" w:hAnsi="宋体" w:cs="宋体"/>
          <w:b/>
          <w:sz w:val="44"/>
          <w:szCs w:val="44"/>
          <w:highlight w:val="none"/>
        </w:rPr>
      </w:pPr>
    </w:p>
    <w:p>
      <w:pPr>
        <w:pStyle w:val="12"/>
        <w:snapToGrid w:val="0"/>
        <w:spacing w:beforeLines="0" w:afterLines="0" w:line="240" w:lineRule="auto"/>
        <w:jc w:val="center"/>
        <w:rPr>
          <w:rFonts w:hint="eastAsia" w:hAnsi="宋体" w:cs="宋体"/>
          <w:b/>
          <w:sz w:val="44"/>
          <w:szCs w:val="44"/>
          <w:highlight w:val="none"/>
        </w:rPr>
      </w:pPr>
      <w:r>
        <w:rPr>
          <w:rFonts w:hint="eastAsia" w:hAnsi="宋体" w:cs="宋体"/>
          <w:b/>
          <w:sz w:val="44"/>
          <w:szCs w:val="44"/>
          <w:highlight w:val="none"/>
        </w:rPr>
        <w:t>目  录</w:t>
      </w:r>
    </w:p>
    <w:p/>
    <w:p>
      <w:pPr>
        <w:pStyle w:val="16"/>
        <w:tabs>
          <w:tab w:val="right" w:leader="dot" w:pos="9412"/>
        </w:tabs>
        <w:spacing w:line="560" w:lineRule="exact"/>
        <w:rPr>
          <w:highlight w:val="none"/>
        </w:rPr>
      </w:pPr>
      <w:bookmarkStart w:id="0" w:name="_Toc317341927"/>
      <w:r>
        <w:rPr>
          <w:rFonts w:hint="eastAsia" w:ascii="宋体" w:hAnsi="宋体" w:cs="宋体"/>
          <w:sz w:val="24"/>
          <w:highlight w:val="none"/>
        </w:rPr>
        <w:fldChar w:fldCharType="begin"/>
      </w:r>
      <w:r>
        <w:rPr>
          <w:rStyle w:val="32"/>
          <w:rFonts w:hint="eastAsia" w:ascii="宋体" w:hAnsi="宋体" w:cs="宋体"/>
          <w:color w:val="auto"/>
          <w:spacing w:val="0"/>
          <w:sz w:val="24"/>
          <w:szCs w:val="24"/>
          <w:highlight w:val="none"/>
        </w:rPr>
        <w:instrText xml:space="preserve"> TOC \o "1-2" \u </w:instrText>
      </w:r>
      <w:r>
        <w:rPr>
          <w:rFonts w:hint="eastAsia" w:ascii="宋体" w:hAnsi="宋体" w:cs="宋体"/>
          <w:sz w:val="24"/>
          <w:highlight w:val="none"/>
        </w:rPr>
        <w:fldChar w:fldCharType="separate"/>
      </w:r>
      <w:r>
        <w:rPr>
          <w:rFonts w:hint="eastAsia" w:ascii="宋体" w:hAnsi="宋体" w:cs="宋体"/>
          <w:snapToGrid w:val="0"/>
          <w:szCs w:val="36"/>
          <w:highlight w:val="none"/>
        </w:rPr>
        <w:t>第一章 招标公告</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3</w:t>
      </w:r>
      <w:r>
        <w:rPr>
          <w:highlight w:val="none"/>
        </w:rPr>
        <w:fldChar w:fldCharType="end"/>
      </w:r>
    </w:p>
    <w:p>
      <w:pPr>
        <w:pStyle w:val="16"/>
        <w:tabs>
          <w:tab w:val="right" w:leader="dot" w:pos="9412"/>
        </w:tabs>
        <w:spacing w:line="560" w:lineRule="exact"/>
        <w:rPr>
          <w:highlight w:val="none"/>
        </w:rPr>
      </w:pPr>
      <w:r>
        <w:rPr>
          <w:rFonts w:hint="eastAsia" w:ascii="宋体" w:hAnsi="宋体" w:cs="宋体"/>
          <w:snapToGrid w:val="0"/>
          <w:szCs w:val="36"/>
          <w:highlight w:val="none"/>
        </w:rPr>
        <w:t>第二章  招标需求</w:t>
      </w:r>
      <w:r>
        <w:rPr>
          <w:highlight w:val="none"/>
        </w:rPr>
        <w:tab/>
      </w:r>
      <w:r>
        <w:rPr>
          <w:highlight w:val="none"/>
        </w:rPr>
        <w:fldChar w:fldCharType="begin"/>
      </w:r>
      <w:r>
        <w:rPr>
          <w:highlight w:val="none"/>
        </w:rPr>
        <w:instrText xml:space="preserve"> PAGEREF _Toc24817 \h </w:instrText>
      </w:r>
      <w:r>
        <w:rPr>
          <w:highlight w:val="none"/>
        </w:rPr>
        <w:fldChar w:fldCharType="separate"/>
      </w:r>
      <w:r>
        <w:rPr>
          <w:highlight w:val="none"/>
        </w:rPr>
        <w:t>6</w:t>
      </w:r>
      <w:r>
        <w:rPr>
          <w:highlight w:val="none"/>
        </w:rPr>
        <w:fldChar w:fldCharType="end"/>
      </w:r>
    </w:p>
    <w:p>
      <w:pPr>
        <w:pStyle w:val="16"/>
        <w:tabs>
          <w:tab w:val="right" w:leader="dot" w:pos="9412"/>
        </w:tabs>
        <w:spacing w:line="560" w:lineRule="exact"/>
        <w:rPr>
          <w:highlight w:val="none"/>
        </w:rPr>
      </w:pPr>
      <w:r>
        <w:rPr>
          <w:rFonts w:hint="eastAsia" w:ascii="宋体" w:hAnsi="宋体" w:cs="宋体"/>
          <w:snapToGrid w:val="0"/>
          <w:szCs w:val="36"/>
          <w:highlight w:val="none"/>
        </w:rPr>
        <w:t>第三章  投标人须知</w:t>
      </w:r>
      <w:r>
        <w:rPr>
          <w:highlight w:val="none"/>
        </w:rPr>
        <w:tab/>
      </w:r>
      <w:r>
        <w:rPr>
          <w:highlight w:val="none"/>
        </w:rPr>
        <w:fldChar w:fldCharType="begin"/>
      </w:r>
      <w:r>
        <w:rPr>
          <w:highlight w:val="none"/>
        </w:rPr>
        <w:instrText xml:space="preserve"> PAGEREF _Toc29848 \h </w:instrText>
      </w:r>
      <w:r>
        <w:rPr>
          <w:highlight w:val="none"/>
        </w:rPr>
        <w:fldChar w:fldCharType="separate"/>
      </w:r>
      <w:r>
        <w:rPr>
          <w:highlight w:val="none"/>
        </w:rPr>
        <w:t>8</w:t>
      </w:r>
      <w:r>
        <w:rPr>
          <w:highlight w:val="none"/>
        </w:rPr>
        <w:fldChar w:fldCharType="end"/>
      </w:r>
    </w:p>
    <w:p>
      <w:pPr>
        <w:pStyle w:val="16"/>
        <w:tabs>
          <w:tab w:val="right" w:leader="dot" w:pos="9412"/>
        </w:tabs>
        <w:spacing w:line="560" w:lineRule="exact"/>
        <w:rPr>
          <w:highlight w:val="none"/>
        </w:rPr>
      </w:pPr>
      <w:r>
        <w:rPr>
          <w:rFonts w:hint="eastAsia" w:ascii="宋体" w:hAnsi="宋体" w:cs="宋体"/>
          <w:snapToGrid w:val="0"/>
          <w:szCs w:val="36"/>
          <w:highlight w:val="none"/>
        </w:rPr>
        <w:t>第四章  评标办法及标准</w:t>
      </w:r>
      <w:r>
        <w:rPr>
          <w:highlight w:val="none"/>
        </w:rPr>
        <w:tab/>
      </w:r>
      <w:r>
        <w:rPr>
          <w:highlight w:val="none"/>
        </w:rPr>
        <w:fldChar w:fldCharType="begin"/>
      </w:r>
      <w:r>
        <w:rPr>
          <w:highlight w:val="none"/>
        </w:rPr>
        <w:instrText xml:space="preserve"> PAGEREF _Toc27963 \h </w:instrText>
      </w:r>
      <w:r>
        <w:rPr>
          <w:highlight w:val="none"/>
        </w:rPr>
        <w:fldChar w:fldCharType="separate"/>
      </w:r>
      <w:r>
        <w:rPr>
          <w:highlight w:val="none"/>
        </w:rPr>
        <w:t>9</w:t>
      </w:r>
      <w:r>
        <w:rPr>
          <w:highlight w:val="none"/>
        </w:rPr>
        <w:fldChar w:fldCharType="end"/>
      </w:r>
    </w:p>
    <w:p>
      <w:pPr>
        <w:pStyle w:val="16"/>
        <w:tabs>
          <w:tab w:val="right" w:leader="dot" w:pos="9412"/>
        </w:tabs>
        <w:spacing w:line="560" w:lineRule="exact"/>
        <w:rPr>
          <w:highlight w:val="none"/>
        </w:rPr>
      </w:pPr>
      <w:r>
        <w:rPr>
          <w:rFonts w:hint="eastAsia" w:ascii="宋体" w:hAnsi="宋体" w:cs="宋体"/>
          <w:snapToGrid w:val="0"/>
          <w:szCs w:val="36"/>
          <w:highlight w:val="none"/>
        </w:rPr>
        <w:t>第五章 合同主要条款</w:t>
      </w:r>
      <w:r>
        <w:rPr>
          <w:highlight w:val="none"/>
        </w:rPr>
        <w:tab/>
      </w:r>
      <w:r>
        <w:rPr>
          <w:highlight w:val="none"/>
        </w:rPr>
        <w:fldChar w:fldCharType="begin"/>
      </w:r>
      <w:r>
        <w:rPr>
          <w:highlight w:val="none"/>
        </w:rPr>
        <w:instrText xml:space="preserve"> PAGEREF _Toc5807 \h </w:instrText>
      </w:r>
      <w:r>
        <w:rPr>
          <w:highlight w:val="none"/>
        </w:rPr>
        <w:fldChar w:fldCharType="separate"/>
      </w:r>
      <w:r>
        <w:rPr>
          <w:highlight w:val="none"/>
        </w:rPr>
        <w:t>31</w:t>
      </w:r>
      <w:r>
        <w:rPr>
          <w:highlight w:val="none"/>
        </w:rPr>
        <w:fldChar w:fldCharType="end"/>
      </w:r>
    </w:p>
    <w:p>
      <w:pPr>
        <w:pStyle w:val="16"/>
        <w:tabs>
          <w:tab w:val="right" w:leader="dot" w:pos="9412"/>
        </w:tabs>
        <w:spacing w:line="560" w:lineRule="exact"/>
        <w:rPr>
          <w:highlight w:val="none"/>
        </w:rPr>
      </w:pPr>
      <w:r>
        <w:rPr>
          <w:rFonts w:hint="eastAsia" w:ascii="宋体" w:hAnsi="宋体" w:cs="宋体"/>
          <w:snapToGrid w:val="0"/>
          <w:szCs w:val="36"/>
          <w:highlight w:val="none"/>
        </w:rPr>
        <w:t>第六章  投标文件的格式</w:t>
      </w:r>
      <w:r>
        <w:rPr>
          <w:highlight w:val="none"/>
        </w:rPr>
        <w:tab/>
      </w:r>
      <w:r>
        <w:rPr>
          <w:highlight w:val="none"/>
        </w:rPr>
        <w:fldChar w:fldCharType="begin"/>
      </w:r>
      <w:r>
        <w:rPr>
          <w:highlight w:val="none"/>
        </w:rPr>
        <w:instrText xml:space="preserve"> PAGEREF _Toc18881 \h </w:instrText>
      </w:r>
      <w:r>
        <w:rPr>
          <w:highlight w:val="none"/>
        </w:rPr>
        <w:fldChar w:fldCharType="separate"/>
      </w:r>
      <w:r>
        <w:rPr>
          <w:highlight w:val="none"/>
        </w:rPr>
        <w:t>33</w:t>
      </w:r>
      <w:r>
        <w:rPr>
          <w:highlight w:val="none"/>
        </w:rPr>
        <w:fldChar w:fldCharType="end"/>
      </w:r>
    </w:p>
    <w:p>
      <w:pPr>
        <w:bidi w:val="0"/>
        <w:rPr>
          <w:rFonts w:hint="eastAsia" w:ascii="宋体" w:hAnsi="宋体" w:cs="宋体"/>
          <w:snapToGrid w:val="0"/>
          <w:sz w:val="36"/>
          <w:szCs w:val="36"/>
          <w:highlight w:val="none"/>
        </w:rPr>
        <w:sectPr>
          <w:headerReference r:id="rId3" w:type="default"/>
          <w:footerReference r:id="rId4" w:type="default"/>
          <w:pgSz w:w="11906" w:h="16838"/>
          <w:pgMar w:top="964" w:right="1247" w:bottom="964" w:left="1247" w:header="680" w:footer="794" w:gutter="0"/>
          <w:pgBorders>
            <w:top w:val="none" w:sz="0" w:space="0"/>
            <w:left w:val="none" w:sz="0" w:space="0"/>
            <w:bottom w:val="single" w:color="auto" w:sz="4" w:space="1"/>
            <w:right w:val="none" w:sz="0" w:space="0"/>
          </w:pgBorders>
          <w:cols w:space="720" w:num="1"/>
          <w:docGrid w:linePitch="312" w:charSpace="0"/>
        </w:sectPr>
      </w:pPr>
      <w:r>
        <w:rPr>
          <w:rFonts w:hint="eastAsia" w:ascii="宋体" w:hAnsi="宋体" w:cs="宋体"/>
          <w:bCs w:val="0"/>
          <w:kern w:val="2"/>
          <w:szCs w:val="24"/>
          <w:highlight w:val="none"/>
        </w:rPr>
        <w:fldChar w:fldCharType="end"/>
      </w:r>
      <w:bookmarkStart w:id="1" w:name="_Toc31677"/>
      <w:bookmarkStart w:id="2" w:name="_Toc26811"/>
      <w:bookmarkStart w:id="3" w:name="_Toc16068"/>
      <w:bookmarkStart w:id="4" w:name="_Toc22016"/>
    </w:p>
    <w:p>
      <w:pPr>
        <w:pStyle w:val="4"/>
        <w:spacing w:after="47" w:afterLines="0" w:afterAutospacing="0" w:line="240" w:lineRule="auto"/>
        <w:jc w:val="center"/>
        <w:rPr>
          <w:rFonts w:ascii="宋体" w:hAnsi="宋体" w:cs="宋体"/>
          <w:b w:val="0"/>
          <w:bCs w:val="0"/>
          <w:kern w:val="2"/>
          <w:sz w:val="36"/>
          <w:szCs w:val="36"/>
          <w:highlight w:val="none"/>
        </w:rPr>
      </w:pPr>
      <w:r>
        <w:rPr>
          <w:rFonts w:hint="eastAsia" w:ascii="宋体" w:hAnsi="宋体" w:cs="宋体"/>
          <w:snapToGrid w:val="0"/>
          <w:sz w:val="36"/>
          <w:szCs w:val="36"/>
          <w:highlight w:val="none"/>
        </w:rPr>
        <w:t>第一章 招标公告</w:t>
      </w:r>
      <w:bookmarkEnd w:id="0"/>
      <w:bookmarkEnd w:id="1"/>
      <w:bookmarkEnd w:id="2"/>
      <w:bookmarkEnd w:id="3"/>
      <w:bookmarkEnd w:id="4"/>
    </w:p>
    <w:tbl>
      <w:tblPr>
        <w:tblStyle w:val="20"/>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pPr>
              <w:spacing w:beforeAutospacing="0" w:line="400" w:lineRule="exact"/>
              <w:ind w:firstLine="422" w:firstLineChars="200"/>
              <w:rPr>
                <w:rFonts w:ascii="宋体" w:hAnsi="宋体" w:cs="宋体"/>
                <w:szCs w:val="21"/>
                <w:highlight w:val="none"/>
              </w:rPr>
            </w:pPr>
            <w:bookmarkStart w:id="5" w:name="OLE_LINK3"/>
            <w:bookmarkStart w:id="6" w:name="_Toc317341935"/>
            <w:bookmarkStart w:id="7" w:name="_Toc222632752"/>
            <w:r>
              <w:rPr>
                <w:rFonts w:hint="eastAsia" w:ascii="宋体" w:hAnsi="宋体" w:cs="宋体"/>
                <w:b/>
                <w:bCs/>
                <w:szCs w:val="21"/>
                <w:highlight w:val="none"/>
              </w:rPr>
              <w:t>项目概况</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2025年度安吉县水域监测评价相关技术服务采购项目</w:t>
            </w:r>
            <w:r>
              <w:rPr>
                <w:rFonts w:hint="eastAsia" w:ascii="宋体" w:hAnsi="宋体" w:cs="宋体"/>
                <w:szCs w:val="21"/>
                <w:highlight w:val="none"/>
              </w:rPr>
              <w:t>的潜在投标人应在政府采购云平台http://www.zcygov.cn（以下简称“政采云平台”）；获取（下载）招标文件，并于</w:t>
            </w:r>
            <w:r>
              <w:rPr>
                <w:rFonts w:hint="eastAsia" w:ascii="宋体" w:hAnsi="宋体" w:cs="宋体"/>
                <w:szCs w:val="21"/>
                <w:highlight w:val="none"/>
                <w:lang w:eastAsia="zh-CN"/>
              </w:rPr>
              <w:t>2025年0</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25</w:t>
            </w:r>
            <w:r>
              <w:rPr>
                <w:rFonts w:hint="eastAsia" w:ascii="宋体" w:hAnsi="宋体" w:cs="宋体"/>
                <w:szCs w:val="21"/>
                <w:highlight w:val="none"/>
                <w:lang w:eastAsia="zh-CN"/>
              </w:rPr>
              <w:t>日</w:t>
            </w:r>
            <w:r>
              <w:rPr>
                <w:rFonts w:hint="eastAsia" w:ascii="宋体" w:hAnsi="宋体" w:cs="宋体"/>
                <w:szCs w:val="21"/>
                <w:highlight w:val="none"/>
              </w:rPr>
              <w:t xml:space="preserve">09：00（北京时间）前递交（上传）投标文件。 </w:t>
            </w:r>
          </w:p>
        </w:tc>
      </w:tr>
    </w:tbl>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pPr>
        <w:spacing w:line="400" w:lineRule="exact"/>
        <w:ind w:firstLine="840" w:firstLineChars="400"/>
        <w:rPr>
          <w:rFonts w:hint="default" w:ascii="宋体" w:hAnsi="宋体" w:eastAsia="宋体" w:cs="宋体"/>
          <w:szCs w:val="21"/>
          <w:highlight w:val="yellow"/>
          <w:lang w:val="en-US" w:eastAsia="zh-CN"/>
        </w:rPr>
      </w:pPr>
      <w:r>
        <w:rPr>
          <w:rFonts w:hint="eastAsia" w:ascii="宋体" w:hAnsi="宋体" w:cs="宋体"/>
          <w:szCs w:val="21"/>
          <w:highlight w:val="none"/>
        </w:rPr>
        <w:t>项目编号：</w:t>
      </w:r>
      <w:r>
        <w:rPr>
          <w:rFonts w:hint="eastAsia" w:ascii="宋体" w:hAnsi="宋体" w:cs="宋体"/>
          <w:szCs w:val="21"/>
          <w:highlight w:val="none"/>
          <w:lang w:eastAsia="zh-CN"/>
        </w:rPr>
        <w:t>TCCG202507-01</w:t>
      </w:r>
    </w:p>
    <w:p>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2025年度安吉县水域监测评价相关技术服务采购项目</w:t>
      </w:r>
    </w:p>
    <w:p>
      <w:pPr>
        <w:spacing w:line="400" w:lineRule="exact"/>
        <w:ind w:firstLine="840" w:firstLineChars="400"/>
        <w:rPr>
          <w:rFonts w:hint="eastAsia" w:ascii="宋体" w:hAnsi="宋体" w:eastAsia="宋体" w:cs="宋体"/>
          <w:szCs w:val="21"/>
          <w:highlight w:val="none"/>
          <w:lang w:val="en-US" w:eastAsia="zh-CN"/>
        </w:rPr>
      </w:pPr>
      <w:r>
        <w:rPr>
          <w:rFonts w:hint="eastAsia" w:ascii="宋体" w:hAnsi="宋体" w:cs="宋体"/>
          <w:szCs w:val="21"/>
          <w:highlight w:val="none"/>
        </w:rPr>
        <w:t>预算金额（元）：</w:t>
      </w:r>
      <w:r>
        <w:rPr>
          <w:rFonts w:hint="eastAsia" w:ascii="宋体" w:hAnsi="宋体" w:cs="宋体"/>
          <w:szCs w:val="21"/>
          <w:highlight w:val="none"/>
          <w:lang w:eastAsia="zh-CN"/>
        </w:rPr>
        <w:t>68</w:t>
      </w:r>
      <w:r>
        <w:rPr>
          <w:rFonts w:hint="eastAsia" w:ascii="宋体" w:hAnsi="宋体" w:cs="宋体"/>
          <w:szCs w:val="21"/>
          <w:highlight w:val="none"/>
          <w:lang w:val="en-US" w:eastAsia="zh-CN"/>
        </w:rPr>
        <w:t>60</w:t>
      </w:r>
      <w:r>
        <w:rPr>
          <w:rFonts w:hint="eastAsia" w:ascii="宋体" w:hAnsi="宋体" w:cs="宋体"/>
          <w:szCs w:val="21"/>
          <w:highlight w:val="none"/>
          <w:lang w:eastAsia="zh-CN"/>
        </w:rPr>
        <w:t>00</w:t>
      </w:r>
    </w:p>
    <w:p>
      <w:pPr>
        <w:spacing w:line="400" w:lineRule="exact"/>
        <w:ind w:firstLine="840" w:firstLineChars="400"/>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680200</w:t>
      </w:r>
    </w:p>
    <w:p>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采购需求：</w:t>
      </w:r>
    </w:p>
    <w:p>
      <w:pPr>
        <w:pStyle w:val="2"/>
      </w:pPr>
    </w:p>
    <w:p>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w:t>
      </w:r>
      <w:r>
        <w:rPr>
          <w:rFonts w:hint="eastAsia" w:ascii="宋体" w:hAnsi="宋体" w:cs="宋体"/>
          <w:szCs w:val="21"/>
          <w:highlight w:val="none"/>
          <w:lang w:eastAsia="zh-CN"/>
        </w:rPr>
        <w:t>2025年度安吉县水域监测评价相关技术服务采购项目</w:t>
      </w:r>
    </w:p>
    <w:p>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数量:</w:t>
      </w:r>
      <w:r>
        <w:rPr>
          <w:rFonts w:hint="eastAsia" w:ascii="宋体" w:hAnsi="宋体" w:cs="宋体"/>
          <w:szCs w:val="21"/>
          <w:highlight w:val="none"/>
          <w:lang w:val="en-US" w:eastAsia="zh-CN"/>
        </w:rPr>
        <w:t>不限</w:t>
      </w:r>
    </w:p>
    <w:p>
      <w:pPr>
        <w:spacing w:line="400" w:lineRule="exact"/>
        <w:ind w:firstLine="840" w:firstLineChars="400"/>
        <w:rPr>
          <w:rFonts w:hint="default" w:ascii="宋体" w:hAnsi="宋体" w:cs="宋体"/>
          <w:szCs w:val="21"/>
          <w:highlight w:val="none"/>
          <w:lang w:val="en-US"/>
        </w:rPr>
      </w:pPr>
      <w:r>
        <w:rPr>
          <w:rFonts w:hint="eastAsia" w:ascii="宋体" w:hAnsi="宋体" w:cs="宋体"/>
          <w:szCs w:val="21"/>
          <w:highlight w:val="none"/>
        </w:rPr>
        <w:t>预算金额（元）：</w:t>
      </w:r>
      <w:r>
        <w:rPr>
          <w:rFonts w:hint="eastAsia" w:ascii="宋体" w:hAnsi="宋体" w:cs="宋体"/>
          <w:szCs w:val="21"/>
          <w:highlight w:val="none"/>
          <w:lang w:val="en-US" w:eastAsia="zh-CN"/>
        </w:rPr>
        <w:t>686000</w:t>
      </w:r>
    </w:p>
    <w:p>
      <w:pPr>
        <w:spacing w:line="400" w:lineRule="exact"/>
        <w:ind w:firstLine="840" w:firstLineChars="400"/>
        <w:rPr>
          <w:rFonts w:hint="eastAsia" w:ascii="宋体" w:hAnsi="宋体" w:cs="宋体"/>
          <w:color w:val="auto"/>
          <w:szCs w:val="21"/>
          <w:highlight w:val="none"/>
        </w:rPr>
      </w:pPr>
      <w:r>
        <w:rPr>
          <w:rFonts w:hint="eastAsia" w:ascii="宋体" w:hAnsi="宋体" w:cs="宋体"/>
          <w:szCs w:val="21"/>
          <w:highlight w:val="none"/>
        </w:rPr>
        <w:t>简要规格描述或项目基本概况介绍、用途：对</w:t>
      </w:r>
      <w:r>
        <w:rPr>
          <w:rFonts w:hint="eastAsia" w:ascii="宋体" w:hAnsi="宋体" w:cs="宋体"/>
          <w:szCs w:val="21"/>
          <w:highlight w:val="none"/>
          <w:lang w:eastAsia="zh-CN"/>
        </w:rPr>
        <w:t>安吉县水域</w:t>
      </w:r>
      <w:r>
        <w:rPr>
          <w:rFonts w:hint="eastAsia" w:ascii="宋体" w:hAnsi="宋体" w:cs="宋体"/>
          <w:szCs w:val="21"/>
          <w:highlight w:val="none"/>
          <w:lang w:val="en-US" w:eastAsia="zh-CN"/>
        </w:rPr>
        <w:t>进行</w:t>
      </w:r>
      <w:r>
        <w:rPr>
          <w:rFonts w:hint="eastAsia" w:ascii="宋体" w:hAnsi="宋体" w:cs="宋体"/>
          <w:szCs w:val="21"/>
          <w:highlight w:val="none"/>
          <w:lang w:eastAsia="zh-CN"/>
        </w:rPr>
        <w:t>监测评价</w:t>
      </w:r>
      <w:r>
        <w:rPr>
          <w:rFonts w:hint="eastAsia" w:ascii="宋体" w:hAnsi="宋体" w:cs="宋体"/>
          <w:szCs w:val="21"/>
          <w:highlight w:val="none"/>
          <w:lang w:val="en-US" w:eastAsia="zh-CN"/>
        </w:rPr>
        <w:t>等</w:t>
      </w:r>
      <w:r>
        <w:rPr>
          <w:rFonts w:hint="eastAsia" w:ascii="宋体" w:hAnsi="宋体" w:cs="宋体"/>
          <w:szCs w:val="21"/>
          <w:highlight w:val="none"/>
          <w:lang w:eastAsia="zh-CN"/>
        </w:rPr>
        <w:t>相关技术服务</w:t>
      </w:r>
      <w:r>
        <w:rPr>
          <w:rFonts w:hint="eastAsia" w:ascii="宋体" w:hAnsi="宋体" w:cs="宋体"/>
          <w:color w:val="auto"/>
          <w:szCs w:val="21"/>
          <w:highlight w:val="none"/>
        </w:rPr>
        <w:t>。</w:t>
      </w:r>
      <w:r>
        <w:rPr>
          <w:rFonts w:hint="eastAsia" w:ascii="宋体" w:hAnsi="宋体" w:cs="宋体"/>
          <w:color w:val="auto"/>
          <w:szCs w:val="21"/>
          <w:highlight w:val="none"/>
          <w:lang w:eastAsia="zh-CN"/>
        </w:rPr>
        <w:t>具体</w:t>
      </w:r>
      <w:r>
        <w:rPr>
          <w:rFonts w:hint="eastAsia" w:ascii="宋体" w:hAnsi="宋体" w:cs="宋体"/>
          <w:color w:val="auto"/>
          <w:szCs w:val="21"/>
          <w:highlight w:val="none"/>
        </w:rPr>
        <w:t>详见招标文件。</w:t>
      </w:r>
    </w:p>
    <w:p>
      <w:pPr>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备注：</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default" w:eastAsia="宋体"/>
          <w:highlight w:val="none"/>
          <w:lang w:val="en-US" w:eastAsia="zh-CN"/>
        </w:rPr>
      </w:pPr>
      <w:r>
        <w:rPr>
          <w:rFonts w:hint="eastAsia" w:ascii="宋体" w:hAnsi="宋体" w:cs="宋体"/>
          <w:color w:val="auto"/>
          <w:szCs w:val="21"/>
          <w:highlight w:val="none"/>
        </w:rPr>
        <w:t>合同履约期限：标项 1，</w:t>
      </w:r>
      <w:r>
        <w:rPr>
          <w:rFonts w:hint="eastAsia" w:ascii="宋体" w:hAnsi="宋体" w:cs="宋体"/>
          <w:color w:val="auto"/>
          <w:szCs w:val="21"/>
          <w:highlight w:val="none"/>
          <w:lang w:val="en-US" w:eastAsia="zh-CN"/>
        </w:rPr>
        <w:t>本项目服务期为合同签订后至2025年12月31日。</w:t>
      </w:r>
    </w:p>
    <w:p>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eastAsia="zh-CN"/>
        </w:rPr>
        <w:t>（否）</w:t>
      </w:r>
      <w:r>
        <w:rPr>
          <w:rFonts w:hint="eastAsia" w:ascii="宋体" w:hAnsi="宋体" w:cs="宋体"/>
          <w:szCs w:val="21"/>
          <w:highlight w:val="none"/>
        </w:rPr>
        <w:t>接受联合体投标。</w:t>
      </w:r>
    </w:p>
    <w:p>
      <w:pPr>
        <w:pStyle w:val="2"/>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二、申请人的资格要求：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400" w:lineRule="exact"/>
        <w:ind w:firstLine="420" w:firstLineChars="200"/>
        <w:rPr>
          <w:highlight w:val="none"/>
        </w:rPr>
      </w:pPr>
      <w:r>
        <w:rPr>
          <w:rFonts w:hint="eastAsia" w:ascii="宋体" w:hAnsi="宋体" w:cs="宋体"/>
          <w:szCs w:val="21"/>
          <w:highlight w:val="none"/>
        </w:rPr>
        <w:t>2.落实政府采购政策需满足的资格要求：</w:t>
      </w:r>
      <w:r>
        <w:rPr>
          <w:rFonts w:hint="eastAsia" w:ascii="宋体" w:hAnsi="宋体" w:cs="宋体"/>
          <w:b/>
          <w:bCs/>
          <w:szCs w:val="21"/>
          <w:highlight w:val="none"/>
        </w:rPr>
        <w:t>标项1：</w:t>
      </w:r>
      <w:r>
        <w:rPr>
          <w:rFonts w:hint="eastAsia" w:ascii="宋体" w:hAnsi="宋体" w:cs="宋体"/>
          <w:b/>
          <w:bCs/>
          <w:sz w:val="21"/>
          <w:szCs w:val="21"/>
          <w:highlight w:val="none"/>
        </w:rPr>
        <w:t>本项目为专门面向中小企业采购，提供</w:t>
      </w:r>
      <w:r>
        <w:rPr>
          <w:rFonts w:hint="eastAsia" w:ascii="宋体" w:hAnsi="宋体" w:cs="宋体"/>
          <w:b/>
          <w:bCs/>
          <w:sz w:val="21"/>
          <w:szCs w:val="21"/>
          <w:highlight w:val="none"/>
          <w:lang w:val="en-US" w:eastAsia="zh-CN"/>
        </w:rPr>
        <w:t>服务</w:t>
      </w:r>
      <w:r>
        <w:rPr>
          <w:rFonts w:hint="eastAsia" w:ascii="宋体" w:hAnsi="宋体" w:cs="宋体"/>
          <w:b/>
          <w:bCs/>
          <w:sz w:val="21"/>
          <w:szCs w:val="21"/>
          <w:highlight w:val="none"/>
        </w:rPr>
        <w:t>的供应商非中小企业的，资格审查不通过；符合上述条件的中小微型企业应按照招标文件附件的格式要求在资格文件中提供《中小企业声明函》</w:t>
      </w:r>
      <w:r>
        <w:rPr>
          <w:rFonts w:hint="eastAsia" w:ascii="宋体" w:hAnsi="宋体" w:cs="宋体"/>
          <w:sz w:val="21"/>
          <w:szCs w:val="21"/>
          <w:highlight w:val="none"/>
        </w:rPr>
        <w:t>；</w:t>
      </w: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3.本项目的特定资格要求：</w:t>
      </w:r>
      <w:r>
        <w:rPr>
          <w:rFonts w:hint="eastAsia" w:ascii="宋体" w:hAnsi="宋体" w:cs="宋体"/>
          <w:szCs w:val="21"/>
          <w:highlight w:val="none"/>
          <w:lang w:eastAsia="zh-CN"/>
        </w:rPr>
        <w:t>无</w:t>
      </w:r>
      <w:r>
        <w:rPr>
          <w:rFonts w:hint="eastAsia" w:ascii="宋体" w:hAnsi="宋体" w:cs="宋体"/>
          <w:kern w:val="0"/>
          <w:szCs w:val="21"/>
          <w:highlight w:val="none"/>
        </w:rPr>
        <w:t>。</w:t>
      </w:r>
    </w:p>
    <w:p>
      <w:pPr>
        <w:pStyle w:val="2"/>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三、获取招标文件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时间：/至</w:t>
      </w:r>
      <w:r>
        <w:rPr>
          <w:rFonts w:hint="eastAsia" w:ascii="宋体" w:hAnsi="宋体" w:cs="宋体"/>
          <w:szCs w:val="21"/>
          <w:highlight w:val="none"/>
          <w:lang w:eastAsia="zh-CN"/>
        </w:rPr>
        <w:t>2025年0</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25</w:t>
      </w:r>
      <w:r>
        <w:rPr>
          <w:rFonts w:hint="eastAsia" w:ascii="宋体" w:hAnsi="宋体" w:cs="宋体"/>
          <w:szCs w:val="21"/>
          <w:highlight w:val="none"/>
          <w:lang w:eastAsia="zh-CN"/>
        </w:rPr>
        <w:t>日</w:t>
      </w:r>
      <w:r>
        <w:rPr>
          <w:rFonts w:hint="eastAsia" w:ascii="宋体" w:hAnsi="宋体" w:cs="宋体"/>
          <w:szCs w:val="21"/>
          <w:highlight w:val="none"/>
        </w:rPr>
        <w:t>，每天上午00:00至12:00 ，下午12:00至23:59（北京时间，线上获取法定节假日均可，线下获取文件法定节假日除外）</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地点（网址）：政府采购云平台http://www.zcygov.cn（以下简称“政采云平台”）；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方式：供应商登录政采云平台https://www.zcygov.cn/在线申请获取采购文件（进入“项目采购”应用，在获取采购文件菜单中选择项目，申请获取采购文件）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售价（元）：0 </w:t>
      </w:r>
    </w:p>
    <w:p>
      <w:pPr>
        <w:pStyle w:val="2"/>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四、提交投标文件截止时间、开标时间和地点</w:t>
      </w:r>
    </w:p>
    <w:p>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提交投标文件截止时间：</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07</w:t>
      </w:r>
      <w:r>
        <w:rPr>
          <w:rFonts w:hint="eastAsia" w:ascii="宋体" w:hAnsi="宋体" w:cs="宋体"/>
          <w:szCs w:val="21"/>
          <w:highlight w:val="none"/>
          <w:lang w:eastAsia="zh-CN"/>
        </w:rPr>
        <w:t>月</w:t>
      </w:r>
      <w:r>
        <w:rPr>
          <w:rFonts w:hint="eastAsia" w:ascii="宋体" w:hAnsi="宋体" w:cs="宋体"/>
          <w:szCs w:val="21"/>
          <w:highlight w:val="none"/>
          <w:lang w:val="en-US" w:eastAsia="zh-CN"/>
        </w:rPr>
        <w:t>25</w:t>
      </w:r>
      <w:r>
        <w:rPr>
          <w:rFonts w:hint="eastAsia" w:ascii="宋体" w:hAnsi="宋体" w:cs="宋体"/>
          <w:szCs w:val="21"/>
          <w:highlight w:val="none"/>
          <w:lang w:eastAsia="zh-CN"/>
        </w:rPr>
        <w:t>日</w:t>
      </w:r>
      <w:r>
        <w:rPr>
          <w:rFonts w:hint="eastAsia" w:ascii="宋体" w:hAnsi="宋体" w:cs="宋体"/>
          <w:szCs w:val="21"/>
          <w:highlight w:val="none"/>
        </w:rPr>
        <w:t>09：00（北京时间）</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投标地点（网址）：通过“政府采购云平台（www.zcygov.cn）”实行在线投标及开标。</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2025年07月25日</w:t>
      </w:r>
      <w:r>
        <w:rPr>
          <w:rFonts w:hint="eastAsia" w:ascii="宋体" w:hAnsi="宋体" w:cs="宋体"/>
          <w:szCs w:val="21"/>
          <w:highlight w:val="none"/>
        </w:rPr>
        <w:t>09：00（北京时间）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开标地点（网址）：通过“政府采购云平台（www.zcygov.cn）”实行在线投标及开标。</w:t>
      </w:r>
    </w:p>
    <w:p>
      <w:pPr>
        <w:pStyle w:val="2"/>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五、公告期限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自本公告发布之日起5个工作日。</w:t>
      </w:r>
    </w:p>
    <w:p>
      <w:pPr>
        <w:pStyle w:val="2"/>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六、其他补充事宜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4.其他事项：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1）本项目执行的政府采购政策： 《政府采购促进中小企业发展管理办法》（财库﹝2020﹞46号）； 《财政部、司法部关于政府采购支持监狱企业发展有关问题的通知》（财库〔2014〕68号）；《国务院办公厅关于建立政府强制采购节能产品制度的通知》（国办发〔2007〕51号）；《财政部、国家环保总局关于环境标志产品政府采购实施的意见》（财库[2006]90号）；财政部民政部中国残疾人联合会《关于促进残疾人就业政府采购政策的通知》（财库〔2017〕141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2）资格审查：本项目采用资格后审。</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3）本次采购有关信息发布媒介 浙江政府采购网 http://zfcg.czt.zj.gov.cn 安吉县公共资源交易网 </w:t>
      </w:r>
      <w:r>
        <w:rPr>
          <w:rFonts w:hint="eastAsia" w:ascii="宋体" w:hAnsi="宋体" w:cs="宋体"/>
          <w:szCs w:val="21"/>
          <w:highlight w:val="none"/>
          <w:lang w:eastAsia="zh-CN"/>
        </w:rPr>
        <w:t>http://www.anji.gov.cn/col/col1229656840/index.html。</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4）采购代理费用由中标人支付。</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5）本采购项目中标单位与采购单位签订的政府采购合同适用于浙江省政府采购贷款政策，简称“政采贷”，具体内容可参阅《安吉财政“政采贷”办理指引》。网址：</w:t>
      </w:r>
      <w:r>
        <w:rPr>
          <w:highlight w:val="none"/>
        </w:rPr>
        <w:fldChar w:fldCharType="begin"/>
      </w:r>
      <w:r>
        <w:rPr>
          <w:highlight w:val="none"/>
        </w:rPr>
        <w:instrText xml:space="preserve"> HYPERLINK "http://www.anji.gov.cn/hzgov/front/s553/zwgk/gggs/20231228/i3691136.html" </w:instrText>
      </w:r>
      <w:r>
        <w:rPr>
          <w:highlight w:val="none"/>
        </w:rPr>
        <w:fldChar w:fldCharType="separate"/>
      </w:r>
      <w:r>
        <w:rPr>
          <w:rFonts w:hint="eastAsia" w:ascii="宋体" w:hAnsi="宋体" w:cs="宋体"/>
          <w:szCs w:val="21"/>
          <w:highlight w:val="none"/>
        </w:rPr>
        <w:t>http://www.anji.gov.cn/hzgov/front/s553/zwgk/gggs/20231228/i3691136.html</w:t>
      </w:r>
      <w:r>
        <w:rPr>
          <w:rFonts w:hint="eastAsia" w:ascii="宋体" w:hAnsi="宋体" w:cs="宋体"/>
          <w:szCs w:val="21"/>
          <w:highlight w:val="none"/>
        </w:rPr>
        <w:fldChar w:fldCharType="end"/>
      </w:r>
      <w:r>
        <w:rPr>
          <w:rFonts w:hint="eastAsia" w:ascii="宋体" w:hAnsi="宋体" w:cs="宋体"/>
          <w:szCs w:val="21"/>
          <w:highlight w:val="none"/>
        </w:rPr>
        <w:t>。</w:t>
      </w:r>
    </w:p>
    <w:p>
      <w:pPr>
        <w:spacing w:line="400" w:lineRule="exact"/>
        <w:ind w:firstLine="422" w:firstLineChars="200"/>
        <w:rPr>
          <w:rFonts w:hint="eastAsia" w:ascii="宋体" w:hAnsi="宋体" w:cs="宋体"/>
          <w:b/>
          <w:bCs/>
          <w:szCs w:val="21"/>
          <w:highlight w:val="none"/>
        </w:rPr>
      </w:pP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七、对本次采购提出询问、质疑、投诉，请按以下方式联系</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安吉县水利局</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浙江省安吉县递铺镇云鸿南路</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传真：/</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项目联系人（询问）：</w:t>
      </w:r>
      <w:r>
        <w:rPr>
          <w:rFonts w:hint="eastAsia" w:ascii="宋体" w:hAnsi="宋体" w:cs="宋体"/>
          <w:szCs w:val="21"/>
          <w:highlight w:val="none"/>
          <w:lang w:val="en-US" w:eastAsia="zh-CN"/>
        </w:rPr>
        <w:t>李先生</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项目联系方式（询问）：0572-5020879</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质疑联系人：沈建</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质疑联系方式：0572-5022202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.采购代理机构信息</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浙江天册工程管理有限公司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浙江省安吉县昌硕街道芦花路22号</w:t>
      </w:r>
    </w:p>
    <w:p>
      <w:pPr>
        <w:snapToGrid w:val="0"/>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项目联系人（询问）：诸江雁</w:t>
      </w:r>
    </w:p>
    <w:p>
      <w:pPr>
        <w:snapToGrid w:val="0"/>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项目联系方式（询问）：0572-5602082/18857271504</w:t>
      </w:r>
    </w:p>
    <w:p>
      <w:pPr>
        <w:snapToGrid w:val="0"/>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质疑联系人：何霄</w:t>
      </w:r>
    </w:p>
    <w:p>
      <w:pPr>
        <w:snapToGrid w:val="0"/>
        <w:spacing w:line="400" w:lineRule="exact"/>
        <w:ind w:firstLine="420" w:firstLineChars="200"/>
        <w:jc w:val="left"/>
        <w:rPr>
          <w:rFonts w:ascii="宋体" w:hAnsi="宋体" w:cs="宋体"/>
          <w:szCs w:val="21"/>
          <w:highlight w:val="none"/>
        </w:rPr>
      </w:pPr>
      <w:r>
        <w:rPr>
          <w:rFonts w:hint="eastAsia" w:ascii="宋体" w:hAnsi="宋体" w:eastAsia="宋体" w:cs="宋体"/>
          <w:color w:val="auto"/>
          <w:szCs w:val="21"/>
          <w:highlight w:val="none"/>
          <w:lang w:eastAsia="zh-CN"/>
        </w:rPr>
        <w:t>质疑联系方式：0572-5608683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.同级政府采购监督管理部门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名称：安吉县财政局</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地址：安吉县昌硕街道凤凰路凤凰五区188号</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传真：/</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联系人：采监科王庭</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监督投诉电话：0572-5807951</w:t>
      </w:r>
      <w:bookmarkEnd w:id="5"/>
    </w:p>
    <w:p>
      <w:pPr>
        <w:pStyle w:val="10"/>
        <w:rPr>
          <w:rFonts w:hint="eastAsia"/>
        </w:rPr>
        <w:sectPr>
          <w:pgSz w:w="11906" w:h="16838"/>
          <w:pgMar w:top="964" w:right="1247" w:bottom="964" w:left="1247" w:header="680" w:footer="794" w:gutter="0"/>
          <w:pgBorders>
            <w:top w:val="none" w:sz="0" w:space="0"/>
            <w:left w:val="none" w:sz="0" w:space="0"/>
            <w:bottom w:val="single" w:color="auto" w:sz="4" w:space="1"/>
            <w:right w:val="none" w:sz="0" w:space="0"/>
          </w:pgBorders>
          <w:cols w:space="720" w:num="1"/>
          <w:docGrid w:linePitch="312" w:charSpace="0"/>
        </w:sectPr>
      </w:pPr>
      <w:bookmarkStart w:id="8" w:name="_Toc4523"/>
      <w:bookmarkStart w:id="9" w:name="_Toc31379"/>
      <w:bookmarkStart w:id="10" w:name="_Toc24817"/>
      <w:bookmarkStart w:id="11" w:name="_Toc22570"/>
    </w:p>
    <w:p>
      <w:pPr>
        <w:rPr>
          <w:rFonts w:hint="eastAsia"/>
        </w:rPr>
      </w:pPr>
    </w:p>
    <w:p>
      <w:pPr>
        <w:pStyle w:val="4"/>
        <w:spacing w:before="205" w:beforeLines="0" w:beforeAutospacing="0" w:after="0" w:afterLines="0" w:afterAutospacing="0"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 xml:space="preserve">第二章  </w:t>
      </w:r>
      <w:bookmarkEnd w:id="6"/>
      <w:bookmarkEnd w:id="8"/>
      <w:r>
        <w:rPr>
          <w:rFonts w:hint="eastAsia" w:ascii="宋体" w:hAnsi="宋体" w:cs="宋体"/>
          <w:snapToGrid w:val="0"/>
          <w:sz w:val="36"/>
          <w:szCs w:val="36"/>
          <w:highlight w:val="none"/>
        </w:rPr>
        <w:t>招标需求</w:t>
      </w:r>
      <w:bookmarkEnd w:id="9"/>
      <w:bookmarkEnd w:id="10"/>
      <w:bookmarkEnd w:id="11"/>
      <w:bookmarkStart w:id="12" w:name="_Toc435954913"/>
      <w:bookmarkStart w:id="13" w:name="_Toc317341936"/>
    </w:p>
    <w:bookmarkEnd w:id="12"/>
    <w:p>
      <w:pPr>
        <w:pStyle w:val="5"/>
        <w:keepNext w:val="0"/>
        <w:keepLines w:val="0"/>
        <w:spacing w:beforeAutospacing="0" w:line="500" w:lineRule="exact"/>
        <w:rPr>
          <w:rFonts w:ascii="宋体" w:hAnsi="宋体" w:eastAsia="宋体" w:cs="宋体"/>
          <w:bCs w:val="0"/>
          <w:sz w:val="28"/>
          <w:szCs w:val="28"/>
          <w:highlight w:val="none"/>
        </w:rPr>
      </w:pPr>
      <w:bookmarkStart w:id="14" w:name="_Toc32753"/>
      <w:bookmarkStart w:id="15" w:name="_Toc10242"/>
      <w:bookmarkStart w:id="16" w:name="_Toc18981"/>
      <w:bookmarkStart w:id="17" w:name="_Toc406664504"/>
      <w:r>
        <w:rPr>
          <w:rFonts w:hint="eastAsia" w:ascii="宋体" w:hAnsi="宋体" w:eastAsia="宋体" w:cs="宋体"/>
          <w:bCs w:val="0"/>
          <w:sz w:val="28"/>
          <w:szCs w:val="28"/>
          <w:highlight w:val="none"/>
        </w:rPr>
        <w:t>一、项目概况</w:t>
      </w:r>
      <w:bookmarkEnd w:id="14"/>
      <w:bookmarkEnd w:id="15"/>
      <w:bookmarkEnd w:id="16"/>
      <w:bookmarkEnd w:id="17"/>
    </w:p>
    <w:p>
      <w:pPr>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项目编号：</w:t>
      </w:r>
      <w:r>
        <w:rPr>
          <w:rFonts w:hint="eastAsia" w:ascii="宋体" w:hAnsi="宋体" w:cs="宋体"/>
          <w:szCs w:val="21"/>
          <w:highlight w:val="none"/>
          <w:lang w:eastAsia="zh-CN"/>
        </w:rPr>
        <w:t>TCCG202507-01</w:t>
      </w:r>
    </w:p>
    <w:p>
      <w:pPr>
        <w:spacing w:line="420" w:lineRule="exact"/>
        <w:ind w:firstLine="420" w:firstLineChars="200"/>
        <w:rPr>
          <w:rFonts w:hint="eastAsia" w:ascii="宋体" w:hAnsi="宋体" w:eastAsia="宋体" w:cs="宋体"/>
          <w:color w:val="auto"/>
          <w:szCs w:val="21"/>
          <w:highlight w:val="none"/>
          <w:lang w:eastAsia="zh-CN"/>
        </w:rPr>
      </w:pPr>
      <w:bookmarkStart w:id="18" w:name="_Toc293915932"/>
      <w:bookmarkStart w:id="19" w:name="_Toc293916283"/>
      <w:bookmarkStart w:id="20" w:name="_Toc293916181"/>
      <w:bookmarkStart w:id="21" w:name="_Toc293916801"/>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项目名称：</w:t>
      </w:r>
      <w:r>
        <w:rPr>
          <w:rFonts w:hint="eastAsia" w:ascii="宋体" w:hAnsi="宋体" w:cs="宋体"/>
          <w:szCs w:val="21"/>
          <w:highlight w:val="none"/>
          <w:lang w:eastAsia="zh-CN"/>
        </w:rPr>
        <w:t>2025年度安吉县水域监测评价相关技术服务采购项目</w:t>
      </w:r>
    </w:p>
    <w:p>
      <w:pPr>
        <w:spacing w:line="420" w:lineRule="exact"/>
        <w:ind w:firstLine="420" w:firstLineChars="200"/>
        <w:rPr>
          <w:rFonts w:hint="eastAsia" w:ascii="宋体" w:hAnsi="宋体" w:eastAsia="宋体" w:cs="宋体"/>
          <w:color w:val="auto"/>
          <w:szCs w:val="28"/>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采购单位名称：</w:t>
      </w:r>
      <w:bookmarkEnd w:id="18"/>
      <w:bookmarkEnd w:id="19"/>
      <w:bookmarkEnd w:id="20"/>
      <w:bookmarkEnd w:id="21"/>
      <w:r>
        <w:rPr>
          <w:rFonts w:hint="eastAsia" w:ascii="宋体" w:hAnsi="宋体" w:cs="宋体"/>
          <w:color w:val="auto"/>
          <w:szCs w:val="28"/>
          <w:highlight w:val="none"/>
          <w:lang w:eastAsia="zh-CN"/>
        </w:rPr>
        <w:t>安吉县水利局</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采购项目一览表</w:t>
      </w:r>
    </w:p>
    <w:tbl>
      <w:tblPr>
        <w:tblStyle w:val="20"/>
        <w:tblW w:w="933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6"/>
        <w:gridCol w:w="4145"/>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206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414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c>
        <w:tc>
          <w:tcPr>
            <w:tcW w:w="2413"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06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2025年度安吉县水域监测评价相关技术服务采购项目</w:t>
            </w:r>
          </w:p>
        </w:tc>
        <w:tc>
          <w:tcPr>
            <w:tcW w:w="4145"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cs="宋体"/>
                <w:color w:val="auto"/>
                <w:szCs w:val="21"/>
                <w:highlight w:val="none"/>
              </w:rPr>
              <w:t>主要包括水域监测、执法技术鉴定、水域时点变更、编制年度水域变更调查报告。</w:t>
            </w:r>
            <w:r>
              <w:rPr>
                <w:rFonts w:hint="eastAsia" w:ascii="宋体" w:hAnsi="宋体" w:cs="宋体"/>
                <w:color w:val="auto"/>
                <w:szCs w:val="21"/>
                <w:highlight w:val="none"/>
                <w:lang w:eastAsia="zh-CN"/>
              </w:rPr>
              <w:t>具体</w:t>
            </w:r>
            <w:r>
              <w:rPr>
                <w:rFonts w:hint="eastAsia" w:ascii="宋体" w:hAnsi="宋体" w:cs="宋体"/>
                <w:color w:val="auto"/>
                <w:szCs w:val="21"/>
                <w:highlight w:val="none"/>
              </w:rPr>
              <w:t>详见招标文件。</w:t>
            </w:r>
          </w:p>
        </w:tc>
        <w:tc>
          <w:tcPr>
            <w:tcW w:w="2413"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68.02万元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tc>
        <w:tc>
          <w:tcPr>
            <w:tcW w:w="8624" w:type="dxa"/>
            <w:gridSpan w:val="3"/>
            <w:noWrap w:val="0"/>
            <w:vAlign w:val="center"/>
          </w:tcPr>
          <w:p>
            <w:pPr>
              <w:spacing w:line="360" w:lineRule="exact"/>
              <w:rPr>
                <w:rFonts w:hint="eastAsia" w:ascii="宋体" w:hAnsi="宋体" w:eastAsia="宋体" w:cs="宋体"/>
                <w:color w:val="auto"/>
                <w:highlight w:val="none"/>
                <w:lang w:eastAsia="zh-CN"/>
              </w:rPr>
            </w:pPr>
            <w:r>
              <w:rPr>
                <w:rFonts w:hint="eastAsia"/>
                <w:color w:val="auto"/>
                <w:highlight w:val="none"/>
              </w:rPr>
              <w:t>1</w:t>
            </w:r>
            <w:r>
              <w:rPr>
                <w:rFonts w:hint="eastAsia"/>
                <w:color w:val="auto"/>
                <w:highlight w:val="none"/>
                <w:lang w:eastAsia="zh-CN"/>
              </w:rPr>
              <w:t>.</w:t>
            </w:r>
            <w:r>
              <w:rPr>
                <w:rFonts w:hint="eastAsia" w:ascii="宋体" w:hAnsi="宋体" w:eastAsia="宋体" w:cs="宋体"/>
                <w:color w:val="auto"/>
                <w:highlight w:val="none"/>
              </w:rPr>
              <w:t>本项目采购最高限价为</w:t>
            </w:r>
            <w:r>
              <w:rPr>
                <w:rFonts w:hint="eastAsia" w:ascii="宋体" w:hAnsi="宋体" w:eastAsia="宋体" w:cs="宋体"/>
                <w:color w:val="auto"/>
                <w:highlight w:val="none"/>
                <w:lang w:val="en-US" w:eastAsia="zh-CN"/>
              </w:rPr>
              <w:t>68.02</w:t>
            </w:r>
            <w:r>
              <w:rPr>
                <w:rFonts w:hint="eastAsia" w:ascii="宋体" w:hAnsi="宋体" w:eastAsia="宋体" w:cs="宋体"/>
                <w:color w:val="auto"/>
                <w:highlight w:val="none"/>
                <w:lang w:eastAsia="zh-CN"/>
              </w:rPr>
              <w:t>万元</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四部分共同组成</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rPr>
              <w:t>捆绑签订</w:t>
            </w:r>
            <w:r>
              <w:rPr>
                <w:rFonts w:hint="eastAsia" w:ascii="宋体" w:hAnsi="宋体" w:eastAsia="宋体" w:cs="宋体"/>
                <w:color w:val="auto"/>
                <w:highlight w:val="none"/>
                <w:lang w:eastAsia="zh-CN"/>
              </w:rPr>
              <w:t>。</w:t>
            </w:r>
          </w:p>
          <w:p>
            <w:pPr>
              <w:spacing w:line="36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①水域监测</w:t>
            </w:r>
            <w:r>
              <w:rPr>
                <w:rFonts w:hint="eastAsia" w:ascii="宋体" w:hAnsi="宋体" w:eastAsia="宋体" w:cs="宋体"/>
                <w:color w:val="auto"/>
                <w:highlight w:val="none"/>
              </w:rPr>
              <w:t>费用</w:t>
            </w:r>
            <w:r>
              <w:rPr>
                <w:rFonts w:hint="eastAsia" w:ascii="宋体" w:hAnsi="宋体" w:eastAsia="宋体" w:cs="宋体"/>
                <w:color w:val="auto"/>
                <w:highlight w:val="none"/>
                <w:lang w:val="en-US" w:eastAsia="zh-CN"/>
              </w:rPr>
              <w:t>20.32</w:t>
            </w:r>
            <w:r>
              <w:rPr>
                <w:rFonts w:hint="eastAsia" w:ascii="宋体" w:hAnsi="宋体" w:eastAsia="宋体" w:cs="宋体"/>
                <w:color w:val="auto"/>
                <w:highlight w:val="none"/>
                <w:lang w:eastAsia="zh-CN"/>
              </w:rPr>
              <w:t>万元；</w:t>
            </w:r>
          </w:p>
          <w:p>
            <w:pPr>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②执法技术鉴定费用27</w:t>
            </w:r>
            <w:r>
              <w:rPr>
                <w:rFonts w:hint="eastAsia" w:ascii="宋体" w:hAnsi="宋体" w:eastAsia="宋体" w:cs="宋体"/>
                <w:color w:val="auto"/>
                <w:highlight w:val="none"/>
                <w:lang w:eastAsia="zh-CN"/>
              </w:rPr>
              <w:t>万元</w:t>
            </w:r>
            <w:r>
              <w:rPr>
                <w:rFonts w:hint="eastAsia" w:ascii="宋体" w:hAnsi="宋体" w:eastAsia="宋体" w:cs="宋体"/>
                <w:color w:val="auto"/>
                <w:highlight w:val="none"/>
                <w:lang w:val="en-US" w:eastAsia="zh-CN"/>
              </w:rPr>
              <w:t>；</w:t>
            </w:r>
          </w:p>
          <w:p>
            <w:pPr>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b w:val="0"/>
                <w:bCs w:val="0"/>
                <w:color w:val="auto"/>
                <w:sz w:val="21"/>
                <w:szCs w:val="21"/>
                <w:lang w:val="en-US" w:eastAsia="zh-CN"/>
              </w:rPr>
              <w:t>时点变更</w:t>
            </w:r>
            <w:r>
              <w:rPr>
                <w:rFonts w:hint="eastAsia" w:ascii="宋体" w:hAnsi="宋体" w:eastAsia="宋体" w:cs="宋体"/>
                <w:color w:val="auto"/>
                <w:highlight w:val="none"/>
              </w:rPr>
              <w:t>费用</w:t>
            </w:r>
            <w:r>
              <w:rPr>
                <w:rFonts w:hint="eastAsia" w:ascii="宋体" w:hAnsi="宋体" w:eastAsia="宋体" w:cs="宋体"/>
                <w:color w:val="auto"/>
                <w:highlight w:val="none"/>
                <w:lang w:val="en-US" w:eastAsia="zh-CN"/>
              </w:rPr>
              <w:t>18万元；</w:t>
            </w:r>
          </w:p>
          <w:p>
            <w:pPr>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w:t>
            </w:r>
            <w:r>
              <w:rPr>
                <w:rFonts w:hint="eastAsia" w:ascii="宋体" w:hAnsi="宋体" w:eastAsia="宋体" w:cs="宋体"/>
                <w:b w:val="0"/>
                <w:bCs w:val="0"/>
                <w:color w:val="auto"/>
                <w:sz w:val="21"/>
                <w:szCs w:val="21"/>
              </w:rPr>
              <w:t>变更调查报告</w:t>
            </w:r>
            <w:r>
              <w:rPr>
                <w:rFonts w:hint="eastAsia" w:ascii="宋体" w:hAnsi="宋体" w:eastAsia="宋体" w:cs="宋体"/>
                <w:color w:val="auto"/>
                <w:highlight w:val="none"/>
              </w:rPr>
              <w:t>费用</w:t>
            </w:r>
            <w:r>
              <w:rPr>
                <w:rFonts w:hint="eastAsia" w:ascii="宋体" w:hAnsi="宋体" w:eastAsia="宋体" w:cs="宋体"/>
                <w:color w:val="auto"/>
                <w:highlight w:val="none"/>
                <w:lang w:val="en-US" w:eastAsia="zh-CN"/>
              </w:rPr>
              <w:t>2.7万元。</w:t>
            </w:r>
          </w:p>
          <w:p>
            <w:pPr>
              <w:spacing w:line="360" w:lineRule="exact"/>
              <w:ind w:firstLine="420" w:firstLineChars="200"/>
              <w:rPr>
                <w:rFonts w:hint="eastAsia"/>
                <w:color w:val="auto"/>
                <w:lang w:val="en-US"/>
              </w:rPr>
            </w:pPr>
            <w:r>
              <w:rPr>
                <w:rFonts w:hint="eastAsia" w:ascii="宋体" w:hAnsi="宋体" w:eastAsia="宋体" w:cs="宋体"/>
                <w:color w:val="auto"/>
                <w:highlight w:val="none"/>
                <w:lang w:val="en-US" w:eastAsia="zh-CN"/>
              </w:rPr>
              <w:t>最终结算金额按实际工程量×中标单价予以支付，且不得超中标总价。</w:t>
            </w:r>
          </w:p>
          <w:p>
            <w:pPr>
              <w:numPr>
                <w:ilvl w:val="0"/>
                <w:numId w:val="0"/>
              </w:numPr>
              <w:spacing w:line="320" w:lineRule="exact"/>
              <w:rPr>
                <w:rFonts w:hint="eastAsia"/>
                <w:color w:val="auto"/>
              </w:rPr>
            </w:pPr>
            <w:r>
              <w:rPr>
                <w:rFonts w:hint="eastAsia"/>
                <w:color w:val="auto"/>
                <w:lang w:val="en-US" w:eastAsia="zh-CN"/>
              </w:rPr>
              <w:t>2.</w:t>
            </w:r>
            <w:r>
              <w:rPr>
                <w:rFonts w:hint="eastAsia"/>
                <w:color w:val="auto"/>
              </w:rPr>
              <w:t>投标报价不得超</w:t>
            </w:r>
            <w:r>
              <w:rPr>
                <w:rFonts w:hint="eastAsia" w:ascii="宋体" w:hAnsi="宋体" w:cs="宋体"/>
                <w:color w:val="auto"/>
                <w:szCs w:val="21"/>
                <w:highlight w:val="none"/>
                <w:lang w:val="en-US" w:eastAsia="zh-CN"/>
              </w:rPr>
              <w:t>最高限价</w:t>
            </w:r>
            <w:r>
              <w:rPr>
                <w:rFonts w:hint="eastAsia"/>
                <w:color w:val="auto"/>
                <w:lang w:val="en-US" w:eastAsia="zh-CN"/>
              </w:rPr>
              <w:t>及各项单价限价（详见采购清单）</w:t>
            </w:r>
            <w:r>
              <w:rPr>
                <w:rFonts w:hint="eastAsia"/>
                <w:color w:val="auto"/>
              </w:rPr>
              <w:t>，</w:t>
            </w:r>
            <w:r>
              <w:rPr>
                <w:rFonts w:hint="eastAsia"/>
                <w:color w:val="auto"/>
                <w:lang w:val="en-US" w:eastAsia="zh-CN"/>
              </w:rPr>
              <w:t>否则投标</w:t>
            </w:r>
            <w:r>
              <w:rPr>
                <w:rFonts w:hint="eastAsia"/>
                <w:color w:val="auto"/>
              </w:rPr>
              <w:t>无效。</w:t>
            </w:r>
          </w:p>
        </w:tc>
      </w:tr>
    </w:tbl>
    <w:p>
      <w:pPr>
        <w:pStyle w:val="5"/>
        <w:keepNext w:val="0"/>
        <w:keepLines w:val="0"/>
        <w:numPr>
          <w:ilvl w:val="0"/>
          <w:numId w:val="0"/>
        </w:numPr>
        <w:spacing w:line="500" w:lineRule="exact"/>
        <w:rPr>
          <w:rFonts w:hint="eastAsia" w:ascii="宋体" w:hAnsi="宋体" w:eastAsia="宋体" w:cs="宋体"/>
          <w:bCs w:val="0"/>
          <w:color w:val="auto"/>
          <w:sz w:val="28"/>
          <w:szCs w:val="28"/>
          <w:highlight w:val="none"/>
          <w:lang w:val="en-US" w:eastAsia="zh-CN"/>
        </w:rPr>
      </w:pPr>
    </w:p>
    <w:p>
      <w:pPr>
        <w:pStyle w:val="5"/>
        <w:keepNext w:val="0"/>
        <w:keepLines w:val="0"/>
        <w:numPr>
          <w:ilvl w:val="0"/>
          <w:numId w:val="1"/>
        </w:numPr>
        <w:spacing w:line="500" w:lineRule="exact"/>
        <w:rPr>
          <w:rFonts w:hint="eastAsia"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t>最高限价采购清单</w:t>
      </w:r>
    </w:p>
    <w:tbl>
      <w:tblPr>
        <w:tblStyle w:val="21"/>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925"/>
        <w:gridCol w:w="2053"/>
        <w:gridCol w:w="1411"/>
        <w:gridCol w:w="1514"/>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8"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序号</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val="en-US" w:eastAsia="zh-CN"/>
              </w:rPr>
              <w:t>名称</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预估工程量</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单价</w:t>
            </w:r>
            <w:r>
              <w:rPr>
                <w:rFonts w:hint="eastAsia" w:ascii="宋体" w:hAnsi="宋体" w:cs="宋体"/>
                <w:b w:val="0"/>
                <w:bCs w:val="0"/>
                <w:color w:val="auto"/>
                <w:szCs w:val="21"/>
                <w:lang w:val="en-US" w:eastAsia="zh-CN"/>
              </w:rPr>
              <w:t>限价</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合价（万元）</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.1</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lang w:val="en-US"/>
              </w:rPr>
            </w:pPr>
            <w:r>
              <w:rPr>
                <w:rFonts w:hint="eastAsia" w:ascii="宋体" w:hAnsi="宋体" w:eastAsia="宋体" w:cs="宋体"/>
                <w:b w:val="0"/>
                <w:bCs w:val="0"/>
                <w:color w:val="auto"/>
                <w:sz w:val="21"/>
                <w:szCs w:val="21"/>
                <w:lang w:val="en-US" w:eastAsia="zh-CN"/>
              </w:rPr>
              <w:t>水域监测-遥感卫片（含预处理、数据传输、存储等）</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Cs w:val="21"/>
                <w:lang w:val="en-US"/>
              </w:rPr>
            </w:pPr>
            <w:r>
              <w:rPr>
                <w:rFonts w:hint="eastAsia" w:ascii="宋体" w:hAnsi="宋体" w:eastAsia="宋体" w:cs="宋体"/>
                <w:b w:val="0"/>
                <w:bCs w:val="0"/>
                <w:color w:val="auto"/>
                <w:sz w:val="21"/>
                <w:szCs w:val="21"/>
                <w:lang w:val="en-US" w:eastAsia="zh-CN"/>
              </w:rPr>
              <w:t>1886平方公里*4季度=7544平方公里</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15</w:t>
            </w:r>
            <w:r>
              <w:rPr>
                <w:rFonts w:hint="eastAsia" w:ascii="宋体" w:hAnsi="宋体" w:cs="宋体"/>
                <w:b w:val="0"/>
                <w:bCs w:val="0"/>
                <w:color w:val="auto"/>
                <w:szCs w:val="21"/>
                <w:lang w:val="en-US" w:eastAsia="zh-CN"/>
              </w:rPr>
              <w:t>元/平方公里</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11.32</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水域监测-识别复核判绘</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600个</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150</w:t>
            </w:r>
            <w:r>
              <w:rPr>
                <w:rFonts w:hint="eastAsia" w:ascii="宋体" w:hAnsi="宋体" w:cs="宋体"/>
                <w:b w:val="0"/>
                <w:bCs w:val="0"/>
                <w:color w:val="auto"/>
                <w:szCs w:val="21"/>
                <w:lang w:val="en-US" w:eastAsia="zh-CN"/>
              </w:rPr>
              <w:t>元/个</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9.00</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1"/>
                <w:szCs w:val="21"/>
                <w:lang w:val="en-US" w:eastAsia="zh-CN"/>
              </w:rPr>
              <w:t>2</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1"/>
                <w:szCs w:val="21"/>
              </w:rPr>
              <w:t>执法技术鉴定</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30个</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9000</w:t>
            </w:r>
            <w:r>
              <w:rPr>
                <w:rFonts w:hint="eastAsia" w:ascii="宋体" w:hAnsi="宋体" w:cs="宋体"/>
                <w:b w:val="0"/>
                <w:bCs w:val="0"/>
                <w:color w:val="auto"/>
                <w:szCs w:val="21"/>
                <w:lang w:val="en-US" w:eastAsia="zh-CN"/>
              </w:rPr>
              <w:t>元/个</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27.00</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3</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1"/>
                <w:szCs w:val="21"/>
                <w:lang w:val="en-US" w:eastAsia="zh-CN"/>
              </w:rPr>
              <w:t>时点变更</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300个</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600</w:t>
            </w:r>
            <w:r>
              <w:rPr>
                <w:rFonts w:hint="eastAsia" w:ascii="宋体" w:hAnsi="宋体" w:cs="宋体"/>
                <w:b w:val="0"/>
                <w:bCs w:val="0"/>
                <w:color w:val="auto"/>
                <w:szCs w:val="21"/>
                <w:lang w:val="en-US" w:eastAsia="zh-CN"/>
              </w:rPr>
              <w:t>元/个</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18.00</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1"/>
                <w:szCs w:val="21"/>
                <w:lang w:val="en-US" w:eastAsia="zh-CN"/>
              </w:rPr>
              <w:t>4</w:t>
            </w:r>
          </w:p>
        </w:tc>
        <w:tc>
          <w:tcPr>
            <w:tcW w:w="29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 w:val="21"/>
                <w:szCs w:val="21"/>
              </w:rPr>
              <w:t>变更调查报告</w:t>
            </w:r>
          </w:p>
        </w:tc>
        <w:tc>
          <w:tcPr>
            <w:tcW w:w="2053"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1项</w:t>
            </w:r>
          </w:p>
        </w:tc>
        <w:tc>
          <w:tcPr>
            <w:tcW w:w="14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27000</w:t>
            </w:r>
            <w:r>
              <w:rPr>
                <w:rFonts w:hint="eastAsia" w:ascii="宋体" w:hAnsi="宋体" w:cs="宋体"/>
                <w:b w:val="0"/>
                <w:bCs w:val="0"/>
                <w:color w:val="auto"/>
                <w:szCs w:val="21"/>
                <w:lang w:val="en-US" w:eastAsia="zh-CN"/>
              </w:rPr>
              <w:t>元/项</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2.70</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8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合计</w:t>
            </w:r>
          </w:p>
        </w:tc>
        <w:tc>
          <w:tcPr>
            <w:tcW w:w="1514"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68.02</w:t>
            </w:r>
          </w:p>
        </w:tc>
        <w:tc>
          <w:tcPr>
            <w:tcW w:w="611" w:type="dxa"/>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rPr>
            </w:pPr>
          </w:p>
        </w:tc>
      </w:tr>
    </w:tbl>
    <w:p>
      <w:pPr>
        <w:pStyle w:val="2"/>
        <w:rPr>
          <w:rFonts w:hint="eastAsia"/>
          <w:lang w:val="en-US" w:eastAsia="zh-CN"/>
        </w:rPr>
      </w:pPr>
    </w:p>
    <w:p>
      <w:pPr>
        <w:pStyle w:val="5"/>
        <w:keepNext w:val="0"/>
        <w:keepLines w:val="0"/>
        <w:numPr>
          <w:ilvl w:val="0"/>
          <w:numId w:val="1"/>
        </w:numPr>
        <w:spacing w:line="500" w:lineRule="exact"/>
        <w:rPr>
          <w:rFonts w:hint="eastAsia" w:ascii="宋体" w:hAnsi="宋体" w:eastAsia="宋体" w:cs="宋体"/>
          <w:bCs w:val="0"/>
          <w:color w:val="auto"/>
          <w:sz w:val="28"/>
          <w:szCs w:val="28"/>
          <w:highlight w:val="none"/>
          <w:lang w:val="en-US" w:eastAsia="zh-CN"/>
        </w:rPr>
      </w:pPr>
      <w:r>
        <w:rPr>
          <w:rFonts w:ascii="Times New Roman" w:hAnsi="仿宋_GB2312" w:eastAsia="仿宋_GB2312" w:cs="Times New Roman"/>
          <w:sz w:val="32"/>
          <w:szCs w:val="32"/>
        </w:rPr>
        <w:t>项目服务内容</w:t>
      </w:r>
    </w:p>
    <w:p>
      <w:pPr>
        <w:numPr>
          <w:ilvl w:val="0"/>
          <w:numId w:val="2"/>
        </w:numPr>
        <w:spacing w:line="42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水域监测</w:t>
      </w:r>
    </w:p>
    <w:p>
      <w:pPr>
        <w:numPr>
          <w:ilvl w:val="0"/>
          <w:numId w:val="0"/>
        </w:num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以季度为周期，基于卫片遥感图比对识别水域变化点位，调查复核，判绘点位性质，覆盖历史存量、新发增量、过程变量及上级下发图斑。</w:t>
      </w:r>
    </w:p>
    <w:p>
      <w:pPr>
        <w:numPr>
          <w:ilvl w:val="0"/>
          <w:numId w:val="2"/>
        </w:numPr>
        <w:spacing w:line="420" w:lineRule="exact"/>
        <w:ind w:left="0" w:leftChars="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执法技术鉴定</w:t>
      </w:r>
    </w:p>
    <w:p>
      <w:pPr>
        <w:numPr>
          <w:ilvl w:val="0"/>
          <w:numId w:val="0"/>
        </w:num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针对涉水违法案件，开展现场勘查与防洪影响分析，出具技术鉴定报告，覆盖存量部分未经审批且不符合补办审批条件事件、增量部分未按要求整改到位且不符合补办审批条件事件、变量部分现场反弹未按要求整改到位事件以及上级下发问题图斑中不符合补办审批条件需执法查处现场整改事件。</w:t>
      </w:r>
    </w:p>
    <w:p>
      <w:pPr>
        <w:numPr>
          <w:ilvl w:val="0"/>
          <w:numId w:val="2"/>
        </w:numPr>
        <w:spacing w:line="420" w:lineRule="exact"/>
        <w:ind w:left="0" w:leftChars="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水域时点变更</w:t>
      </w:r>
    </w:p>
    <w:p>
      <w:pPr>
        <w:numPr>
          <w:ilvl w:val="0"/>
          <w:numId w:val="0"/>
        </w:num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新建数据单元并轨水域数据库，动态调整水域数据库，覆盖验收通过的合法审批涉水项目（含涉河涉堤、区域水域调整、水利工程、水域调查误判更正等）、按要求完成现场整改的水域变化点位、依法查处恢复原状的水域变化点位。</w:t>
      </w:r>
    </w:p>
    <w:p>
      <w:pPr>
        <w:numPr>
          <w:ilvl w:val="0"/>
          <w:numId w:val="2"/>
        </w:numPr>
        <w:spacing w:line="420" w:lineRule="exact"/>
        <w:ind w:left="0" w:leftChars="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编制年度水域变更调查报告</w:t>
      </w:r>
    </w:p>
    <w:p>
      <w:pPr>
        <w:numPr>
          <w:ilvl w:val="0"/>
          <w:numId w:val="0"/>
        </w:num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根据《浙江省水域变更调查技术规程》编制导则，编制</w:t>
      </w:r>
      <w:bookmarkStart w:id="22" w:name="OLE_LINK9"/>
      <w:r>
        <w:rPr>
          <w:rFonts w:hint="eastAsia" w:ascii="宋体" w:hAnsi="宋体" w:eastAsia="宋体" w:cs="宋体"/>
          <w:color w:val="auto"/>
          <w:szCs w:val="21"/>
          <w:highlight w:val="none"/>
          <w:lang w:val="en-US" w:eastAsia="zh-CN"/>
        </w:rPr>
        <w:t>年度水域变更调查报告</w:t>
      </w:r>
      <w:bookmarkEnd w:id="22"/>
      <w:r>
        <w:rPr>
          <w:rFonts w:hint="eastAsia" w:ascii="宋体" w:hAnsi="宋体" w:cs="宋体"/>
          <w:color w:val="auto"/>
          <w:szCs w:val="21"/>
          <w:highlight w:val="none"/>
          <w:lang w:val="en-US" w:eastAsia="zh-CN"/>
        </w:rPr>
        <w:t>。</w:t>
      </w:r>
    </w:p>
    <w:p>
      <w:pPr>
        <w:pStyle w:val="5"/>
        <w:keepNext w:val="0"/>
        <w:keepLines w:val="0"/>
        <w:numPr>
          <w:ilvl w:val="0"/>
          <w:numId w:val="1"/>
        </w:num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进度要求</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1、2025年度上级下发图斑要求在图斑下发一周内完成初步判定，两周内完成复核工作，对于完成整改或补办审批手续的图斑要求收到整改材料后一天内完成资料上传，并及时跟踪上级部门审核情况。</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2、在收到涉水违法案件技术鉴定通知后3天内完成现场踏勘，两周内完成执法技术鉴定编制工作。</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3、对于验收通过的合法审批涉水项目（含涉河涉堤、区域水域调整、水利工程、水域调查误判更正等），要求在收到验收材料3天内完成资料上传，并及时跟踪上级部门审核情况。</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4、根据《浙江省水域变更调查技术规程》编制导则，</w:t>
      </w:r>
      <w:r>
        <w:rPr>
          <w:rFonts w:hint="eastAsia" w:ascii="宋体" w:hAnsi="宋体" w:cs="宋体"/>
          <w:color w:val="auto"/>
          <w:szCs w:val="21"/>
          <w:highlight w:val="none"/>
          <w:lang w:val="en-US" w:eastAsia="zh-CN"/>
        </w:rPr>
        <w:t>于</w:t>
      </w:r>
      <w:r>
        <w:rPr>
          <w:rFonts w:hint="eastAsia" w:ascii="宋体" w:hAnsi="宋体" w:eastAsia="宋体" w:cs="宋体"/>
          <w:color w:val="auto"/>
          <w:szCs w:val="21"/>
          <w:highlight w:val="none"/>
          <w:lang w:val="en-US" w:eastAsia="zh-CN"/>
        </w:rPr>
        <w:t>2025年12月31日前编制年度水域变更调查报告。</w:t>
      </w:r>
    </w:p>
    <w:p>
      <w:pPr>
        <w:pStyle w:val="5"/>
        <w:keepNext w:val="0"/>
        <w:keepLines w:val="0"/>
        <w:numPr>
          <w:ilvl w:val="0"/>
          <w:numId w:val="1"/>
        </w:num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付款方式</w:t>
      </w:r>
    </w:p>
    <w:p>
      <w:pPr>
        <w:spacing w:line="420" w:lineRule="exact"/>
        <w:ind w:firstLine="420" w:firstLineChars="20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本项目最终结算金额=各项实际工程量×中标单价合计结算，且不得超过中标价。</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Times New Roman" w:hAnsi="Times New Roman" w:eastAsia="宋体" w:cs="Times New Roman"/>
          <w:color w:val="auto"/>
          <w:highlight w:val="none"/>
          <w:lang w:val="en-US" w:eastAsia="zh-CN"/>
        </w:rPr>
        <w:t>①</w:t>
      </w:r>
      <w:r>
        <w:rPr>
          <w:rFonts w:hint="eastAsia" w:ascii="Times New Roman" w:hAnsi="Times New Roman" w:eastAsia="宋体" w:cs="Times New Roman"/>
          <w:color w:val="auto"/>
          <w:highlight w:val="none"/>
        </w:rPr>
        <w:t>在合同签订生效以及具备实施条件后7个工作日内，支付合同金额的</w:t>
      </w:r>
      <w:r>
        <w:rPr>
          <w:rFonts w:hint="eastAsia" w:ascii="宋体" w:hAnsi="宋体" w:eastAsia="宋体" w:cs="宋体"/>
          <w:color w:val="auto"/>
          <w:highlight w:val="none"/>
        </w:rPr>
        <w:t>40%</w:t>
      </w:r>
      <w:r>
        <w:rPr>
          <w:rFonts w:hint="eastAsia" w:ascii="Times New Roman" w:hAnsi="Times New Roman" w:eastAsia="宋体" w:cs="Times New Roman"/>
          <w:color w:val="auto"/>
          <w:highlight w:val="none"/>
        </w:rPr>
        <w:t>作为预付款</w:t>
      </w:r>
      <w:r>
        <w:rPr>
          <w:rFonts w:hint="eastAsia" w:ascii="宋体" w:hAnsi="宋体" w:eastAsia="宋体" w:cs="宋体"/>
          <w:color w:val="auto"/>
          <w:szCs w:val="21"/>
          <w:highlight w:val="none"/>
          <w:lang w:val="en-US" w:eastAsia="zh-CN"/>
        </w:rPr>
        <w:t>；</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②提交相关</w:t>
      </w:r>
      <w:r>
        <w:rPr>
          <w:rFonts w:hint="eastAsia" w:ascii="宋体" w:hAnsi="宋体" w:cs="宋体"/>
          <w:color w:val="auto"/>
          <w:szCs w:val="21"/>
          <w:highlight w:val="none"/>
          <w:lang w:val="en-US" w:eastAsia="zh-CN"/>
        </w:rPr>
        <w:t>报告并经过采购人确认通过后</w:t>
      </w:r>
      <w:r>
        <w:rPr>
          <w:rFonts w:hint="eastAsia" w:ascii="Times New Roman" w:hAnsi="Times New Roman" w:eastAsia="宋体" w:cs="Times New Roman"/>
          <w:color w:val="auto"/>
          <w:highlight w:val="none"/>
        </w:rPr>
        <w:t>支付</w:t>
      </w:r>
      <w:r>
        <w:rPr>
          <w:rFonts w:hint="default" w:ascii="Times New Roman" w:hAnsi="Times New Roman" w:cs="Times New Roman"/>
          <w:color w:val="auto"/>
          <w:highlight w:val="none"/>
        </w:rPr>
        <w:t>至</w:t>
      </w:r>
      <w:r>
        <w:rPr>
          <w:rFonts w:hint="eastAsia" w:ascii="Times New Roman" w:hAnsi="Times New Roman" w:cs="Times New Roman"/>
          <w:color w:val="auto"/>
          <w:highlight w:val="none"/>
          <w:lang w:val="en-US" w:eastAsia="zh-CN"/>
        </w:rPr>
        <w:t>最终结算</w:t>
      </w:r>
      <w:r>
        <w:rPr>
          <w:rFonts w:hint="eastAsia" w:ascii="Times New Roman" w:hAnsi="Times New Roman" w:eastAsia="宋体" w:cs="Times New Roman"/>
          <w:color w:val="auto"/>
          <w:highlight w:val="none"/>
        </w:rPr>
        <w:t>金额的</w:t>
      </w:r>
      <w:r>
        <w:rPr>
          <w:rFonts w:hint="eastAsia" w:ascii="宋体" w:hAnsi="宋体" w:eastAsia="宋体" w:cs="宋体"/>
          <w:color w:val="auto"/>
          <w:szCs w:val="21"/>
          <w:highlight w:val="none"/>
          <w:lang w:val="en-US" w:eastAsia="zh-CN"/>
        </w:rPr>
        <w:t>100%。</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乙方应根据采购人需要提交相关的结算资料</w:t>
      </w:r>
      <w:r>
        <w:rPr>
          <w:rFonts w:hint="eastAsia" w:ascii="宋体" w:hAnsi="宋体" w:cs="宋体"/>
          <w:color w:val="auto"/>
          <w:kern w:val="0"/>
          <w:szCs w:val="21"/>
          <w:highlight w:val="none"/>
          <w:lang w:val="en-US" w:eastAsia="zh-CN"/>
        </w:rPr>
        <w:t>（包含工程量签证单）</w:t>
      </w:r>
      <w:r>
        <w:rPr>
          <w:rFonts w:hint="eastAsia" w:ascii="宋体" w:hAnsi="宋体" w:eastAsia="宋体" w:cs="宋体"/>
          <w:color w:val="auto"/>
          <w:kern w:val="0"/>
          <w:szCs w:val="21"/>
          <w:highlight w:val="none"/>
          <w:lang w:val="en-US" w:eastAsia="zh-CN"/>
        </w:rPr>
        <w:t>，并提供税务发票进行结算。</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注：在签订合同时，乙方明确表示无需预付款或者主动要求降低预付款比例的，甲方可不适用前述规定。</w:t>
      </w:r>
    </w:p>
    <w:p>
      <w:pPr>
        <w:pStyle w:val="2"/>
        <w:rPr>
          <w:rFonts w:hint="eastAsia"/>
          <w:color w:val="auto"/>
          <w:lang w:val="en-US" w:eastAsia="zh-CN"/>
        </w:rPr>
      </w:pPr>
    </w:p>
    <w:p>
      <w:pPr>
        <w:pStyle w:val="5"/>
        <w:keepNext w:val="0"/>
        <w:keepLines w:val="0"/>
        <w:numPr>
          <w:ilvl w:val="0"/>
          <w:numId w:val="1"/>
        </w:num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其他</w:t>
      </w:r>
    </w:p>
    <w:p>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服务要求：</w:t>
      </w:r>
      <w:r>
        <w:rPr>
          <w:rFonts w:hint="eastAsia" w:ascii="宋体" w:hAnsi="宋体" w:eastAsia="宋体" w:cs="宋体"/>
          <w:bCs/>
          <w:color w:val="auto"/>
          <w:kern w:val="2"/>
          <w:sz w:val="21"/>
          <w:szCs w:val="21"/>
          <w:lang w:val="en-US" w:eastAsia="zh-CN" w:bidi="ar-SA"/>
        </w:rPr>
        <w:t>配备项目负责人1人，具有相关专业中级职称及以上，</w:t>
      </w:r>
      <w:r>
        <w:rPr>
          <w:rFonts w:hint="eastAsia" w:ascii="宋体" w:hAnsi="宋体" w:eastAsia="宋体" w:cs="宋体"/>
          <w:color w:val="auto"/>
          <w:kern w:val="0"/>
          <w:sz w:val="21"/>
          <w:szCs w:val="21"/>
        </w:rPr>
        <w:t>统筹管理项目团队，并做好与采购人对接工作</w:t>
      </w: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需</w:t>
      </w:r>
      <w:r>
        <w:rPr>
          <w:rFonts w:hint="eastAsia" w:ascii="宋体" w:hAnsi="宋体" w:eastAsia="宋体" w:cs="宋体"/>
          <w:color w:val="auto"/>
          <w:szCs w:val="21"/>
          <w:highlight w:val="none"/>
          <w:lang w:val="en-US" w:eastAsia="zh-CN"/>
        </w:rPr>
        <w:t>自行配备相应的具有完成项目能力的设备软件等</w:t>
      </w:r>
      <w:r>
        <w:rPr>
          <w:rFonts w:hint="eastAsia" w:ascii="宋体" w:hAnsi="宋体" w:eastAsia="宋体" w:cs="宋体"/>
          <w:bCs/>
          <w:color w:val="auto"/>
          <w:kern w:val="2"/>
          <w:sz w:val="21"/>
          <w:szCs w:val="21"/>
          <w:highlight w:val="none"/>
          <w:lang w:val="en-US" w:eastAsia="zh-CN" w:bidi="ar-SA"/>
        </w:rPr>
        <w:t>。</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完成成果的权利归属:本次研究成果其所形成的相关知识产权(著作权等)</w:t>
      </w:r>
      <w:r>
        <w:rPr>
          <w:rFonts w:hint="eastAsia" w:ascii="宋体" w:hAnsi="宋体" w:cs="宋体"/>
          <w:color w:val="auto"/>
          <w:szCs w:val="21"/>
          <w:highlight w:val="none"/>
          <w:lang w:val="en-US" w:eastAsia="zh-CN"/>
        </w:rPr>
        <w:t>归</w:t>
      </w:r>
      <w:r>
        <w:rPr>
          <w:rFonts w:hint="eastAsia" w:ascii="宋体" w:hAnsi="宋体" w:eastAsia="宋体" w:cs="宋体"/>
          <w:color w:val="auto"/>
          <w:szCs w:val="21"/>
          <w:highlight w:val="none"/>
          <w:lang w:val="en-US" w:eastAsia="zh-CN"/>
        </w:rPr>
        <w:t>甲方所有。</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.中标人完成全部调查任务并提交的成果文件，须经采购人认可，</w:t>
      </w:r>
      <w:r>
        <w:rPr>
          <w:rFonts w:hint="eastAsia" w:ascii="宋体" w:hAnsi="宋体" w:cs="宋体"/>
          <w:color w:val="auto"/>
          <w:szCs w:val="21"/>
          <w:highlight w:val="none"/>
          <w:lang w:val="en-US" w:eastAsia="zh-CN"/>
        </w:rPr>
        <w:t>如需</w:t>
      </w:r>
      <w:r>
        <w:rPr>
          <w:rFonts w:hint="eastAsia" w:ascii="宋体" w:hAnsi="宋体" w:eastAsia="宋体" w:cs="宋体"/>
          <w:color w:val="auto"/>
          <w:szCs w:val="21"/>
          <w:highlight w:val="none"/>
          <w:lang w:val="en-US" w:eastAsia="zh-CN"/>
        </w:rPr>
        <w:t>召开专家论证会论证，所有费用由中标人承担。中标人应根据专家评审意见，调整、修改成果文件，直至通过为止。</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4.投标报价应包括服务内容、人工、机械、材料、保险、税金、安装、培训、售后服务费、专家评审费、税费、利润等一切以及实施本项目所需的其他一切费用。</w:t>
      </w:r>
    </w:p>
    <w:p>
      <w:pPr>
        <w:pStyle w:val="3"/>
        <w:rPr>
          <w:rFonts w:hint="eastAsia"/>
          <w:lang w:val="en-US" w:eastAsia="zh-CN"/>
        </w:rPr>
      </w:pPr>
    </w:p>
    <w:p>
      <w:pPr>
        <w:rPr>
          <w:rFonts w:ascii="宋体" w:hAnsi="宋体" w:cs="宋体"/>
          <w:b/>
          <w:szCs w:val="21"/>
          <w:highlight w:val="none"/>
        </w:rPr>
      </w:pPr>
      <w:bookmarkStart w:id="23" w:name="_Toc32212"/>
      <w:bookmarkStart w:id="24" w:name="_Toc29848"/>
      <w:bookmarkStart w:id="25" w:name="_Toc9984"/>
      <w:bookmarkStart w:id="26" w:name="_Toc25128"/>
      <w:r>
        <w:rPr>
          <w:rFonts w:hint="eastAsia" w:ascii="宋体" w:hAnsi="宋体" w:cs="宋体"/>
          <w:b/>
          <w:szCs w:val="21"/>
          <w:highlight w:val="none"/>
        </w:rPr>
        <w:t>注：1</w:t>
      </w:r>
      <w:r>
        <w:rPr>
          <w:rFonts w:hint="eastAsia" w:ascii="宋体" w:hAnsi="宋体" w:cs="宋体"/>
          <w:b/>
          <w:szCs w:val="21"/>
          <w:highlight w:val="none"/>
          <w:lang w:val="en-US" w:eastAsia="zh-CN"/>
        </w:rPr>
        <w:t>.</w:t>
      </w:r>
      <w:r>
        <w:rPr>
          <w:rFonts w:hint="eastAsia" w:ascii="宋体" w:hAnsi="宋体" w:cs="宋体"/>
          <w:b/>
          <w:szCs w:val="21"/>
          <w:highlight w:val="none"/>
        </w:rPr>
        <w:t>本招标文件中带 “▲”的有关技术和商务条款为实质性条款，投标人必须在投标文件中作出实质性响应，否则投标无效；加“★”的技术参数为重要技术参数，任何关于★条款的负偏离将导致技术评分失分。</w:t>
      </w:r>
    </w:p>
    <w:p>
      <w:pPr>
        <w:numPr>
          <w:ilvl w:val="-1"/>
          <w:numId w:val="0"/>
        </w:numPr>
        <w:rPr>
          <w:rFonts w:hint="eastAsia"/>
        </w:rPr>
      </w:pPr>
      <w:r>
        <w:rPr>
          <w:rFonts w:hint="eastAsia" w:ascii="宋体" w:hAnsi="宋体" w:cs="宋体"/>
          <w:b/>
          <w:szCs w:val="21"/>
          <w:highlight w:val="none"/>
          <w:lang w:val="en-US" w:eastAsia="zh-CN"/>
        </w:rPr>
        <w:t>2.</w:t>
      </w:r>
      <w:r>
        <w:rPr>
          <w:rFonts w:hint="eastAsia" w:ascii="宋体" w:hAnsi="宋体" w:cs="宋体"/>
          <w:b/>
          <w:szCs w:val="21"/>
          <w:highlight w:val="none"/>
        </w:rPr>
        <w:t>本招标文件仅对本项目提出原则性要求，并不是详尽的要求，投标人有责任对技术参数符合现行的相关技术规范、标准负责。</w:t>
      </w:r>
    </w:p>
    <w:p>
      <w:pPr>
        <w:pStyle w:val="4"/>
        <w:spacing w:after="0" w:afterLines="0" w:afterAutospacing="0" w:line="480" w:lineRule="exact"/>
        <w:jc w:val="center"/>
        <w:rPr>
          <w:rFonts w:hint="eastAsia" w:ascii="宋体" w:hAnsi="宋体" w:cs="宋体"/>
          <w:snapToGrid w:val="0"/>
          <w:sz w:val="36"/>
          <w:szCs w:val="36"/>
          <w:highlight w:val="none"/>
        </w:rPr>
        <w:sectPr>
          <w:pgSz w:w="11906" w:h="16838"/>
          <w:pgMar w:top="964" w:right="1247" w:bottom="964" w:left="1247" w:header="680" w:footer="794" w:gutter="0"/>
          <w:pgBorders>
            <w:top w:val="none" w:sz="0" w:space="0"/>
            <w:left w:val="none" w:sz="0" w:space="0"/>
            <w:bottom w:val="single" w:color="auto" w:sz="4" w:space="1"/>
            <w:right w:val="none" w:sz="0" w:space="0"/>
          </w:pgBorders>
          <w:cols w:space="720" w:num="1"/>
          <w:docGrid w:linePitch="312" w:charSpace="0"/>
        </w:sectPr>
      </w:pPr>
    </w:p>
    <w:p>
      <w:pPr>
        <w:pStyle w:val="4"/>
        <w:spacing w:after="0" w:afterLines="0" w:afterAutospacing="0" w:line="480" w:lineRule="exact"/>
        <w:jc w:val="center"/>
        <w:rPr>
          <w:rFonts w:ascii="宋体" w:hAnsi="宋体" w:cs="宋体"/>
          <w:snapToGrid w:val="0"/>
          <w:sz w:val="36"/>
          <w:szCs w:val="36"/>
          <w:highlight w:val="none"/>
        </w:rPr>
      </w:pPr>
      <w:r>
        <w:rPr>
          <w:rFonts w:hint="eastAsia" w:ascii="宋体" w:hAnsi="宋体" w:cs="宋体"/>
          <w:snapToGrid w:val="0"/>
          <w:sz w:val="36"/>
          <w:szCs w:val="36"/>
          <w:highlight w:val="none"/>
        </w:rPr>
        <w:t>第三章  投标人须知</w:t>
      </w:r>
      <w:bookmarkEnd w:id="7"/>
      <w:bookmarkEnd w:id="13"/>
      <w:bookmarkEnd w:id="23"/>
      <w:bookmarkEnd w:id="24"/>
      <w:bookmarkEnd w:id="25"/>
      <w:bookmarkEnd w:id="26"/>
    </w:p>
    <w:p>
      <w:pPr>
        <w:pStyle w:val="5"/>
        <w:spacing w:before="0" w:after="0" w:line="480" w:lineRule="exact"/>
        <w:jc w:val="center"/>
        <w:rPr>
          <w:rFonts w:ascii="宋体" w:hAnsi="宋体" w:eastAsia="宋体" w:cs="宋体"/>
          <w:color w:val="auto"/>
          <w:sz w:val="24"/>
          <w:szCs w:val="24"/>
          <w:highlight w:val="none"/>
        </w:rPr>
      </w:pPr>
      <w:bookmarkStart w:id="27" w:name="_Toc31607"/>
      <w:bookmarkStart w:id="28" w:name="_Toc22877"/>
      <w:bookmarkStart w:id="29" w:name="_Toc317341937"/>
      <w:bookmarkStart w:id="30" w:name="_Toc4375"/>
      <w:bookmarkStart w:id="31" w:name="_Toc15132"/>
      <w:bookmarkStart w:id="32" w:name="_Toc222632753"/>
      <w:bookmarkStart w:id="33" w:name="_Toc317341945"/>
      <w:bookmarkStart w:id="34" w:name="_Toc3637"/>
      <w:bookmarkStart w:id="35" w:name="_Toc17693"/>
      <w:bookmarkStart w:id="36" w:name="_Toc27963"/>
      <w:bookmarkStart w:id="37" w:name="_Toc29826"/>
      <w:bookmarkStart w:id="38" w:name="_Toc222632762"/>
      <w:r>
        <w:rPr>
          <w:rFonts w:hint="eastAsia" w:ascii="宋体" w:hAnsi="宋体" w:eastAsia="宋体" w:cs="宋体"/>
          <w:color w:val="auto"/>
          <w:sz w:val="24"/>
          <w:szCs w:val="24"/>
          <w:highlight w:val="none"/>
        </w:rPr>
        <w:t>前   附  表</w:t>
      </w:r>
      <w:bookmarkEnd w:id="27"/>
      <w:bookmarkEnd w:id="28"/>
      <w:bookmarkEnd w:id="29"/>
      <w:bookmarkEnd w:id="30"/>
      <w:bookmarkEnd w:id="31"/>
      <w:bookmarkEnd w:id="32"/>
    </w:p>
    <w:tbl>
      <w:tblPr>
        <w:tblStyle w:val="20"/>
        <w:tblW w:w="9059" w:type="dxa"/>
        <w:jc w:val="center"/>
        <w:tblLayout w:type="fixed"/>
        <w:tblCellMar>
          <w:top w:w="0" w:type="dxa"/>
          <w:left w:w="108" w:type="dxa"/>
          <w:bottom w:w="0" w:type="dxa"/>
          <w:right w:w="108" w:type="dxa"/>
        </w:tblCellMar>
      </w:tblPr>
      <w:tblGrid>
        <w:gridCol w:w="597"/>
        <w:gridCol w:w="8462"/>
      </w:tblGrid>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rPr>
                <w:rFonts w:ascii="宋体" w:hAnsi="宋体" w:cs="宋体"/>
                <w:color w:val="auto"/>
                <w:szCs w:val="21"/>
                <w:highlight w:val="none"/>
                <w:lang w:val="zh-CN"/>
              </w:rPr>
            </w:pPr>
            <w:r>
              <w:rPr>
                <w:rFonts w:hint="eastAsia" w:ascii="宋体" w:hAnsi="宋体" w:cs="宋体"/>
                <w:color w:val="auto"/>
                <w:szCs w:val="21"/>
                <w:highlight w:val="none"/>
                <w:cs/>
                <w:lang w:val="zh-CN"/>
              </w:rPr>
              <w:t>序号</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left="71" w:right="-263" w:firstLine="105"/>
              <w:jc w:val="center"/>
              <w:rPr>
                <w:rFonts w:ascii="宋体" w:hAnsi="宋体" w:cs="宋体"/>
                <w:color w:val="auto"/>
                <w:szCs w:val="21"/>
                <w:highlight w:val="none"/>
                <w:lang w:val="zh-CN"/>
              </w:rPr>
            </w:pPr>
            <w:r>
              <w:rPr>
                <w:rFonts w:hint="eastAsia" w:ascii="宋体" w:hAnsi="宋体" w:cs="宋体"/>
                <w:color w:val="auto"/>
                <w:szCs w:val="21"/>
                <w:highlight w:val="none"/>
                <w:lang w:val="zh-CN"/>
              </w:rPr>
              <w:t>内容及相关规定</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462" w:type="dxa"/>
            <w:tcBorders>
              <w:top w:val="single" w:color="auto" w:sz="6" w:space="0"/>
              <w:left w:val="single" w:color="auto" w:sz="6" w:space="0"/>
              <w:right w:val="single" w:color="auto" w:sz="6" w:space="0"/>
            </w:tcBorders>
            <w:vAlign w:val="center"/>
          </w:tcPr>
          <w:p>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2025年度安吉县水域监测评价相关技术服务采购项目</w:t>
            </w:r>
          </w:p>
          <w:p>
            <w:pPr>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TCCG202507-01</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项目内容：详见招标文件第二章</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w:t>
            </w:r>
          </w:p>
        </w:tc>
        <w:tc>
          <w:tcPr>
            <w:tcW w:w="8462" w:type="dxa"/>
            <w:tcBorders>
              <w:top w:val="single" w:color="auto" w:sz="6" w:space="0"/>
              <w:left w:val="single" w:color="auto" w:sz="6" w:space="0"/>
              <w:right w:val="single" w:color="auto" w:sz="6"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采购资金来源：财政预算资金，已落实。</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lang w:val="en-US" w:eastAsia="zh-CN"/>
              </w:rPr>
              <w:t>采购人自行支付</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3</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69"/>
              <w:rPr>
                <w:rFonts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投标人资格要求：见招标公告第二条</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4</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投标有效期：</w:t>
            </w:r>
          </w:p>
          <w:p>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bidi="ar"/>
              </w:rPr>
              <w:t>投标截止后，在投标有效期内，投标人不能撤销投标文件。投标人强行撤销投标文件的，应按预算金额的2%赔偿对招标代理机构造成的损失。</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jc w:val="left"/>
              <w:rPr>
                <w:rFonts w:ascii="宋体" w:hAnsi="宋体" w:cs="宋体"/>
                <w:color w:val="auto"/>
                <w:szCs w:val="21"/>
                <w:highlight w:val="none"/>
                <w:lang w:val="zh-CN"/>
              </w:rPr>
            </w:pPr>
            <w:r>
              <w:rPr>
                <w:rFonts w:hint="eastAsia" w:ascii="宋体" w:hAnsi="宋体" w:cs="宋体"/>
                <w:color w:val="auto"/>
                <w:szCs w:val="21"/>
                <w:highlight w:val="none"/>
              </w:rPr>
              <w:t>5</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400" w:lineRule="exact"/>
              <w:ind w:left="1"/>
              <w:jc w:val="left"/>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6</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投标报价及费用：</w:t>
            </w:r>
          </w:p>
          <w:p>
            <w:pPr>
              <w:pStyle w:val="7"/>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本项目投标应以人民币报价；</w:t>
            </w:r>
          </w:p>
          <w:p>
            <w:pPr>
              <w:pStyle w:val="7"/>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不论投标结果如何，投标人均应自行承担所有与投标有关的全部费用；</w:t>
            </w:r>
          </w:p>
          <w:p>
            <w:pPr>
              <w:pStyle w:val="7"/>
              <w:spacing w:line="400" w:lineRule="exact"/>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采购代理费用由中标人支付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价</w:t>
            </w:r>
            <w:r>
              <w:rPr>
                <w:rFonts w:hint="eastAsia" w:ascii="宋体" w:hAnsi="宋体" w:eastAsia="宋体" w:cs="宋体"/>
                <w:color w:val="auto"/>
                <w:szCs w:val="21"/>
                <w:highlight w:val="none"/>
              </w:rPr>
              <w:t>计算，100万（含）以内按1.5%</w:t>
            </w:r>
            <w:r>
              <w:rPr>
                <w:rFonts w:hint="eastAsia" w:ascii="宋体" w:hAnsi="宋体" w:eastAsia="宋体" w:cs="宋体"/>
                <w:color w:val="auto"/>
                <w:szCs w:val="21"/>
                <w:highlight w:val="none"/>
                <w:lang w:val="en-US" w:eastAsia="zh-CN"/>
              </w:rPr>
              <w:t>收取，不足人民币6000.00元，按6000.00元收取</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7</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left="71" w:right="69"/>
              <w:rPr>
                <w:rFonts w:ascii="宋体" w:hAnsi="宋体" w:cs="宋体"/>
                <w:color w:val="auto"/>
                <w:szCs w:val="21"/>
                <w:highlight w:val="none"/>
                <w:u w:val="single"/>
              </w:rPr>
            </w:pPr>
            <w:r>
              <w:rPr>
                <w:rFonts w:hint="eastAsia" w:ascii="宋体" w:hAnsi="宋体" w:cs="宋体"/>
                <w:color w:val="auto"/>
                <w:szCs w:val="21"/>
                <w:highlight w:val="none"/>
                <w:lang w:val="zh-CN"/>
              </w:rPr>
              <w:t>本项目投标报价上限：</w:t>
            </w:r>
          </w:p>
          <w:p>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报价不得超</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，否则投标无效。</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8</w:t>
            </w:r>
          </w:p>
        </w:tc>
        <w:tc>
          <w:tcPr>
            <w:tcW w:w="846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现场踏勘：</w:t>
            </w:r>
          </w:p>
          <w:p>
            <w:pPr>
              <w:pStyle w:val="7"/>
              <w:spacing w:line="400" w:lineRule="exact"/>
              <w:ind w:firstLine="0"/>
              <w:rPr>
                <w:rFonts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9</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color w:val="auto"/>
                <w:highlight w:val="none"/>
              </w:rPr>
            </w:pPr>
            <w:r>
              <w:rPr>
                <w:rFonts w:hint="eastAsia"/>
                <w:color w:val="auto"/>
                <w:highlight w:val="none"/>
              </w:rPr>
              <w:t>答疑与澄清：</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autoSpaceDE w:val="0"/>
              <w:autoSpaceDN w:val="0"/>
              <w:adjustRightIn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质疑受理：1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w:t>
            </w:r>
            <w:r>
              <w:rPr>
                <w:rFonts w:hint="eastAsia" w:ascii="宋体" w:hAnsi="宋体" w:cs="宋体"/>
                <w:color w:val="auto"/>
                <w:szCs w:val="21"/>
                <w:highlight w:val="none"/>
                <w:lang w:val="en-US" w:eastAsia="zh-CN"/>
              </w:rPr>
              <w:t>理。</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投标人可将书面质疑函邮寄至浙江省</w:t>
            </w:r>
            <w:r>
              <w:rPr>
                <w:rFonts w:hint="eastAsia" w:ascii="宋体" w:hAnsi="宋体" w:cs="宋体"/>
                <w:color w:val="auto"/>
                <w:szCs w:val="21"/>
                <w:highlight w:val="none"/>
                <w:lang w:eastAsia="zh-CN"/>
              </w:rPr>
              <w:t>安吉县昌硕街道芦花路22号浙江天册工程管理有限公司</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何霄</w:t>
            </w:r>
            <w:r>
              <w:rPr>
                <w:rFonts w:hint="eastAsia" w:ascii="宋体" w:hAnsi="宋体" w:cs="宋体"/>
                <w:color w:val="auto"/>
                <w:szCs w:val="21"/>
                <w:highlight w:val="none"/>
              </w:rPr>
              <w:t xml:space="preserve"> </w:t>
            </w:r>
            <w:r>
              <w:rPr>
                <w:rFonts w:hint="eastAsia" w:ascii="宋体" w:hAnsi="宋体" w:eastAsia="宋体" w:cs="宋体"/>
                <w:color w:val="auto"/>
                <w:highlight w:val="none"/>
                <w:lang w:val="zh-CN"/>
              </w:rPr>
              <w:t>0572-5608683</w:t>
            </w:r>
            <w:r>
              <w:rPr>
                <w:rFonts w:hint="eastAsia" w:ascii="宋体" w:hAnsi="宋体" w:cs="宋体"/>
                <w:color w:val="auto"/>
                <w:szCs w:val="21"/>
                <w:highlight w:val="none"/>
              </w:rPr>
              <w:t>，同时将质疑函扫描件以电子邮件形式发送至电子邮箱</w:t>
            </w:r>
            <w:r>
              <w:rPr>
                <w:rFonts w:hint="eastAsia" w:ascii="宋体" w:hAnsi="宋体" w:eastAsia="宋体" w:cs="宋体"/>
                <w:color w:val="auto"/>
                <w:highlight w:val="none"/>
                <w:lang w:val="zh-CN"/>
              </w:rPr>
              <w:t>1614248748@qq.com</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10</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color w:val="auto"/>
                <w:highlight w:val="none"/>
              </w:rPr>
            </w:pPr>
            <w:r>
              <w:rPr>
                <w:rFonts w:hint="eastAsia"/>
                <w:color w:val="auto"/>
                <w:highlight w:val="none"/>
              </w:rPr>
              <w:t>投标文件的制作及组成：</w:t>
            </w:r>
          </w:p>
          <w:p>
            <w:pPr>
              <w:autoSpaceDE w:val="0"/>
              <w:autoSpaceDN w:val="0"/>
              <w:adjustRightInd w:val="0"/>
              <w:spacing w:line="400" w:lineRule="exact"/>
              <w:jc w:val="left"/>
              <w:rPr>
                <w:color w:val="auto"/>
                <w:highlight w:val="none"/>
                <w:lang w:val="zh-CN"/>
              </w:rPr>
            </w:pPr>
            <w:r>
              <w:rPr>
                <w:rFonts w:hint="eastAsia"/>
                <w:color w:val="auto"/>
                <w:highlight w:val="none"/>
                <w:lang w:val="en-US" w:eastAsia="zh-CN"/>
              </w:rPr>
              <w:t>1.</w:t>
            </w:r>
            <w:r>
              <w:rPr>
                <w:rFonts w:hint="eastAsia"/>
                <w:color w:val="auto"/>
                <w:highlight w:val="none"/>
                <w:lang w:val="zh-CN"/>
              </w:rPr>
              <w:t>投标文件组成：</w:t>
            </w:r>
          </w:p>
          <w:p>
            <w:pPr>
              <w:autoSpaceDE w:val="0"/>
              <w:autoSpaceDN w:val="0"/>
              <w:adjustRightInd w:val="0"/>
              <w:spacing w:line="400" w:lineRule="exact"/>
              <w:jc w:val="left"/>
              <w:rPr>
                <w:color w:val="auto"/>
                <w:highlight w:val="none"/>
                <w:lang w:val="zh-CN"/>
              </w:rPr>
            </w:pPr>
            <w:r>
              <w:rPr>
                <w:rFonts w:hint="eastAsia"/>
                <w:color w:val="auto"/>
                <w:highlight w:val="none"/>
                <w:lang w:val="zh-CN"/>
              </w:rPr>
              <w:t>资格证明文件、报价文件、商务技术文件。</w:t>
            </w:r>
          </w:p>
          <w:p>
            <w:pPr>
              <w:autoSpaceDE w:val="0"/>
              <w:autoSpaceDN w:val="0"/>
              <w:adjustRightInd w:val="0"/>
              <w:spacing w:line="400" w:lineRule="exact"/>
              <w:jc w:val="left"/>
              <w:rPr>
                <w:color w:val="auto"/>
                <w:highlight w:val="none"/>
              </w:rPr>
            </w:pPr>
            <w:r>
              <w:rPr>
                <w:rFonts w:hint="eastAsia"/>
                <w:color w:val="auto"/>
                <w:highlight w:val="none"/>
                <w:lang w:val="en-US" w:eastAsia="zh-CN"/>
              </w:rPr>
              <w:t>2.</w:t>
            </w:r>
            <w:r>
              <w:rPr>
                <w:rFonts w:hint="eastAsia"/>
                <w:color w:val="auto"/>
                <w:highlight w:val="none"/>
              </w:rPr>
              <w:t>投标文件编制：</w:t>
            </w:r>
          </w:p>
          <w:p>
            <w:pPr>
              <w:autoSpaceDE w:val="0"/>
              <w:autoSpaceDN w:val="0"/>
              <w:adjustRightInd w:val="0"/>
              <w:spacing w:line="400" w:lineRule="exact"/>
              <w:jc w:val="left"/>
              <w:rPr>
                <w:color w:val="auto"/>
                <w:highlight w:val="none"/>
              </w:rPr>
            </w:pPr>
            <w:r>
              <w:rPr>
                <w:rFonts w:hint="eastAsia"/>
                <w:color w:val="auto"/>
                <w:highlight w:val="none"/>
              </w:rPr>
              <w:t>投标人应先安装“政采云电子交易客户端”，并按照本招标文件和“政采云平台”的要求，通过“政采云电子交易客户端”编制并加密投标文件。</w:t>
            </w:r>
          </w:p>
          <w:p>
            <w:pPr>
              <w:autoSpaceDE w:val="0"/>
              <w:autoSpaceDN w:val="0"/>
              <w:adjustRightInd w:val="0"/>
              <w:spacing w:line="400" w:lineRule="exact"/>
              <w:jc w:val="left"/>
              <w:rPr>
                <w:color w:val="auto"/>
                <w:highlight w:val="none"/>
              </w:rPr>
            </w:pPr>
            <w:r>
              <w:rPr>
                <w:rFonts w:hint="eastAsia"/>
                <w:color w:val="auto"/>
                <w:highlight w:val="none"/>
                <w:lang w:val="en-US" w:eastAsia="zh-CN"/>
              </w:rPr>
              <w:t>3.</w:t>
            </w:r>
            <w:r>
              <w:rPr>
                <w:rFonts w:hint="eastAsia"/>
                <w:color w:val="auto"/>
                <w:highlight w:val="none"/>
              </w:rPr>
              <w:t>投标文件的形式：</w:t>
            </w:r>
          </w:p>
          <w:p>
            <w:pPr>
              <w:autoSpaceDE w:val="0"/>
              <w:autoSpaceDN w:val="0"/>
              <w:adjustRightInd w:val="0"/>
              <w:spacing w:line="400" w:lineRule="exact"/>
              <w:jc w:val="left"/>
              <w:rPr>
                <w:color w:val="auto"/>
                <w:highlight w:val="none"/>
              </w:rPr>
            </w:pPr>
            <w:r>
              <w:rPr>
                <w:rFonts w:hint="eastAsia"/>
                <w:color w:val="auto"/>
                <w:highlight w:val="none"/>
              </w:rPr>
              <w:t>☑电子投标文件（包括“电子加密投标文件”和“备份投标文件”，在投标文件编制完成后同时生成）。</w:t>
            </w:r>
          </w:p>
          <w:p>
            <w:pPr>
              <w:autoSpaceDE w:val="0"/>
              <w:autoSpaceDN w:val="0"/>
              <w:adjustRightInd w:val="0"/>
              <w:spacing w:line="400" w:lineRule="exact"/>
              <w:jc w:val="left"/>
              <w:rPr>
                <w:color w:val="auto"/>
                <w:highlight w:val="none"/>
              </w:rPr>
            </w:pPr>
            <w:r>
              <w:rPr>
                <w:rFonts w:hint="eastAsia"/>
                <w:color w:val="auto"/>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autoSpaceDE w:val="0"/>
              <w:autoSpaceDN w:val="0"/>
              <w:adjustRightInd w:val="0"/>
              <w:spacing w:line="400" w:lineRule="exact"/>
              <w:jc w:val="left"/>
              <w:rPr>
                <w:color w:val="auto"/>
                <w:highlight w:val="none"/>
              </w:rPr>
            </w:pPr>
            <w:r>
              <w:rPr>
                <w:rFonts w:hint="eastAsia"/>
                <w:color w:val="auto"/>
                <w:highlight w:val="none"/>
                <w:lang w:val="en-US" w:eastAsia="zh-CN"/>
              </w:rPr>
              <w:t>4.</w:t>
            </w:r>
            <w:r>
              <w:rPr>
                <w:rFonts w:hint="eastAsia"/>
                <w:color w:val="auto"/>
                <w:highlight w:val="none"/>
              </w:rPr>
              <w:t>投标文件份数：</w:t>
            </w:r>
          </w:p>
          <w:p>
            <w:pPr>
              <w:autoSpaceDE w:val="0"/>
              <w:autoSpaceDN w:val="0"/>
              <w:adjustRightInd w:val="0"/>
              <w:spacing w:line="400" w:lineRule="exact"/>
              <w:jc w:val="left"/>
              <w:rPr>
                <w:color w:val="auto"/>
                <w:highlight w:val="none"/>
              </w:rPr>
            </w:pPr>
            <w:r>
              <w:rPr>
                <w:rFonts w:hint="eastAsia"/>
                <w:color w:val="auto"/>
                <w:highlight w:val="none"/>
              </w:rPr>
              <w:t>“电子加密投标文件”(必须提交）：在线上传递交一份。</w:t>
            </w:r>
          </w:p>
          <w:p>
            <w:pPr>
              <w:autoSpaceDE w:val="0"/>
              <w:autoSpaceDN w:val="0"/>
              <w:adjustRightInd w:val="0"/>
              <w:spacing w:line="400" w:lineRule="exact"/>
              <w:jc w:val="left"/>
              <w:rPr>
                <w:color w:val="auto"/>
                <w:highlight w:val="none"/>
              </w:rPr>
            </w:pPr>
            <w:r>
              <w:rPr>
                <w:rFonts w:hint="eastAsia"/>
                <w:color w:val="auto"/>
                <w:highlight w:val="none"/>
              </w:rPr>
              <w:t>“备份投标文件”（不强制提交）：密封包装后在投标截止时间前邮寄至</w:t>
            </w:r>
            <w:r>
              <w:rPr>
                <w:rFonts w:hint="eastAsia"/>
                <w:color w:val="auto"/>
                <w:highlight w:val="none"/>
                <w:lang w:eastAsia="zh-CN"/>
              </w:rPr>
              <w:t>浙江省安吉县昌硕街道芦花路22号浙江天册工程管理有限公司</w:t>
            </w:r>
            <w:r>
              <w:rPr>
                <w:rFonts w:hint="eastAsia"/>
                <w:color w:val="auto"/>
                <w:highlight w:val="none"/>
              </w:rPr>
              <w:t>，联系人</w:t>
            </w:r>
            <w:r>
              <w:rPr>
                <w:rFonts w:hint="eastAsia"/>
                <w:color w:val="auto"/>
                <w:highlight w:val="none"/>
                <w:lang w:val="en-US" w:eastAsia="zh-CN"/>
              </w:rPr>
              <w:t>诸江雁</w:t>
            </w:r>
            <w:r>
              <w:rPr>
                <w:rFonts w:hint="eastAsia"/>
                <w:color w:val="auto"/>
                <w:highlight w:val="none"/>
              </w:rPr>
              <w:t>，联系</w:t>
            </w: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18857271504</w:t>
            </w:r>
            <w:r>
              <w:rPr>
                <w:rFonts w:hint="eastAsia" w:ascii="宋体" w:hAnsi="宋体" w:eastAsia="宋体" w:cs="宋体"/>
                <w:color w:val="auto"/>
                <w:highlight w:val="none"/>
              </w:rPr>
              <w:t>，数量为U盘一份。</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11</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color w:val="auto"/>
                <w:highlight w:val="none"/>
              </w:rPr>
            </w:pPr>
            <w:r>
              <w:rPr>
                <w:rFonts w:hint="eastAsia"/>
                <w:color w:val="auto"/>
                <w:highlight w:val="none"/>
              </w:rPr>
              <w:t>投标文件的上传和递交：</w:t>
            </w:r>
          </w:p>
          <w:p>
            <w:pPr>
              <w:autoSpaceDE w:val="0"/>
              <w:autoSpaceDN w:val="0"/>
              <w:adjustRightInd w:val="0"/>
              <w:spacing w:line="400" w:lineRule="exact"/>
              <w:jc w:val="left"/>
              <w:rPr>
                <w:color w:val="auto"/>
                <w:highlight w:val="none"/>
              </w:rPr>
            </w:pPr>
            <w:r>
              <w:rPr>
                <w:rFonts w:hint="eastAsia"/>
                <w:color w:val="auto"/>
                <w:highlight w:val="none"/>
                <w:lang w:val="en-US" w:eastAsia="zh-CN"/>
              </w:rPr>
              <w:t>1.</w:t>
            </w:r>
            <w:r>
              <w:rPr>
                <w:rFonts w:hint="eastAsia"/>
                <w:color w:val="auto"/>
                <w:highlight w:val="none"/>
              </w:rPr>
              <w:t>“电子加密投标文件”的上传、递交：</w:t>
            </w:r>
          </w:p>
          <w:p>
            <w:pPr>
              <w:autoSpaceDE w:val="0"/>
              <w:autoSpaceDN w:val="0"/>
              <w:adjustRightInd w:val="0"/>
              <w:spacing w:line="400" w:lineRule="exact"/>
              <w:jc w:val="left"/>
              <w:rPr>
                <w:color w:val="auto"/>
                <w:highlight w:val="none"/>
              </w:rPr>
            </w:pPr>
            <w:r>
              <w:rPr>
                <w:rFonts w:hint="eastAsia"/>
                <w:color w:val="auto"/>
                <w:highlight w:val="none"/>
              </w:rPr>
              <w:t>投标人应在投标截止时间前将“电子加密投标文件”成功上传递交至“政采云平台”，否则投标无效。</w:t>
            </w:r>
          </w:p>
          <w:p>
            <w:pPr>
              <w:autoSpaceDE w:val="0"/>
              <w:autoSpaceDN w:val="0"/>
              <w:adjustRightInd w:val="0"/>
              <w:spacing w:line="400" w:lineRule="exact"/>
              <w:jc w:val="left"/>
              <w:rPr>
                <w:color w:val="auto"/>
                <w:highlight w:val="none"/>
              </w:rPr>
            </w:pPr>
            <w:r>
              <w:rPr>
                <w:rFonts w:hint="eastAsia"/>
                <w:color w:val="auto"/>
                <w:highlight w:val="none"/>
              </w:rPr>
              <w:t>“电子加密投标文件”成功上传递交后，投标人可自行打印投标文件接收回执。</w:t>
            </w:r>
          </w:p>
          <w:p>
            <w:pPr>
              <w:autoSpaceDE w:val="0"/>
              <w:autoSpaceDN w:val="0"/>
              <w:adjustRightInd w:val="0"/>
              <w:spacing w:line="400" w:lineRule="exact"/>
              <w:jc w:val="left"/>
              <w:rPr>
                <w:color w:val="auto"/>
                <w:highlight w:val="none"/>
              </w:rPr>
            </w:pPr>
            <w:r>
              <w:rPr>
                <w:rFonts w:hint="eastAsia"/>
                <w:color w:val="auto"/>
                <w:highlight w:val="none"/>
                <w:lang w:val="en-US" w:eastAsia="zh-CN"/>
              </w:rPr>
              <w:t>2.</w:t>
            </w:r>
            <w:r>
              <w:rPr>
                <w:rFonts w:hint="eastAsia"/>
                <w:color w:val="auto"/>
                <w:highlight w:val="none"/>
              </w:rPr>
              <w:t>“备份投标文件”的密封包装、递交：</w:t>
            </w:r>
          </w:p>
          <w:p>
            <w:pPr>
              <w:autoSpaceDE w:val="0"/>
              <w:autoSpaceDN w:val="0"/>
              <w:adjustRightInd w:val="0"/>
              <w:spacing w:line="400" w:lineRule="exact"/>
              <w:jc w:val="left"/>
              <w:rPr>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pPr>
              <w:autoSpaceDE w:val="0"/>
              <w:autoSpaceDN w:val="0"/>
              <w:adjustRightInd w:val="0"/>
              <w:spacing w:line="400" w:lineRule="exact"/>
              <w:jc w:val="left"/>
              <w:rPr>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pPr>
              <w:autoSpaceDE w:val="0"/>
              <w:autoSpaceDN w:val="0"/>
              <w:adjustRightInd w:val="0"/>
              <w:spacing w:line="400" w:lineRule="exact"/>
              <w:jc w:val="left"/>
              <w:rPr>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12</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color w:val="auto"/>
                <w:highlight w:val="none"/>
                <w:lang w:val="zh-CN"/>
              </w:rPr>
            </w:pPr>
            <w:r>
              <w:rPr>
                <w:rFonts w:hint="eastAsia"/>
                <w:color w:val="auto"/>
                <w:highlight w:val="none"/>
                <w:lang w:val="zh-CN"/>
              </w:rPr>
              <w:t>投标文件递交地点及截止时间：</w:t>
            </w:r>
          </w:p>
          <w:p>
            <w:pPr>
              <w:autoSpaceDE w:val="0"/>
              <w:autoSpaceDN w:val="0"/>
              <w:adjustRightInd w:val="0"/>
              <w:spacing w:line="400" w:lineRule="exact"/>
              <w:jc w:val="left"/>
              <w:rPr>
                <w:color w:val="auto"/>
                <w:highlight w:val="none"/>
                <w:lang w:val="zh-CN"/>
              </w:rPr>
            </w:pPr>
            <w:r>
              <w:rPr>
                <w:rFonts w:hint="eastAsia"/>
                <w:color w:val="auto"/>
                <w:highlight w:val="none"/>
                <w:lang w:val="zh-CN"/>
              </w:rPr>
              <w:t>地点：</w:t>
            </w:r>
            <w:r>
              <w:rPr>
                <w:rFonts w:hint="eastAsia"/>
                <w:color w:val="auto"/>
                <w:highlight w:val="none"/>
              </w:rPr>
              <w:t>通过“政采云平台（www.zcygov.cn）”实行在线投标响应</w:t>
            </w:r>
          </w:p>
          <w:p>
            <w:pPr>
              <w:autoSpaceDE w:val="0"/>
              <w:autoSpaceDN w:val="0"/>
              <w:adjustRightInd w:val="0"/>
              <w:spacing w:line="400" w:lineRule="exact"/>
              <w:jc w:val="left"/>
              <w:rPr>
                <w:rFonts w:hint="default"/>
                <w:color w:val="auto"/>
                <w:highlight w:val="none"/>
                <w:lang w:val="en-US"/>
              </w:rPr>
            </w:pPr>
            <w:r>
              <w:rPr>
                <w:rFonts w:hint="eastAsia"/>
                <w:color w:val="auto"/>
                <w:highlight w:val="none"/>
                <w:lang w:val="zh-CN"/>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09:00时</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13</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69"/>
              <w:rPr>
                <w:rFonts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pPr>
              <w:autoSpaceDE w:val="0"/>
              <w:autoSpaceDN w:val="0"/>
              <w:adjustRightInd w:val="0"/>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val="zh-CN"/>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09:00时</w:t>
            </w:r>
          </w:p>
          <w:p>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14</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电子加密投标文件的解密和异常情况处理：</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投标截止时间前，投标人仅递交了“备份投标文件”而未将电子加密投标文件上传至“政府采购云平台”的，投标无效。</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15</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可中止电子交易活动的情形</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采购过程中出现以下情形，导致电子交易平台无法正常运行，或者无法保证电子交易的公平、公正和安全时，采购组织机构可中止电子交易活动：</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（1）电子交易平台发生故障而无法登录访问的；</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（2）电子交易平台应用或数据库出现错误，不能进行正常操作的；</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（3）电子交易平台发现严重安全漏洞，有潜在泄密危险的；</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（4）病毒发作导致不能进行正常操作的；</w:t>
            </w:r>
          </w:p>
          <w:p>
            <w:pPr>
              <w:autoSpaceDE w:val="0"/>
              <w:autoSpaceDN w:val="0"/>
              <w:adjustRightInd w:val="0"/>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（5）其他无法保证电子交易的公平、公正和安全的情况。</w:t>
            </w:r>
          </w:p>
          <w:p>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eastAsia="宋体" w:cs="宋体"/>
                <w:color w:val="auto"/>
                <w:szCs w:val="21"/>
                <w:highlight w:val="none"/>
                <w:lang w:bidi="ar"/>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16</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评标办法及标准：</w:t>
            </w:r>
          </w:p>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17</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中标候选人:</w:t>
            </w:r>
          </w:p>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18</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中标公告及中标通知书：</w:t>
            </w:r>
          </w:p>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同时中标公告发布于浙江政府采购网  (http://zfcg.czt.zj.gov.cn/) 、安吉县公共资源交易网（http://www.ajztb.com），中标公告期限为1个工作日。</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19</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履约保证金：</w:t>
            </w:r>
          </w:p>
          <w:p>
            <w:pPr>
              <w:autoSpaceDE w:val="0"/>
              <w:autoSpaceDN w:val="0"/>
              <w:adjustRightInd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不收取</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20</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400" w:lineRule="exact"/>
              <w:jc w:val="left"/>
              <w:textAlignment w:val="bottom"/>
              <w:rPr>
                <w:color w:val="auto"/>
                <w:highlight w:val="none"/>
              </w:rPr>
            </w:pPr>
            <w:r>
              <w:rPr>
                <w:rFonts w:hint="eastAsia"/>
                <w:color w:val="auto"/>
                <w:highlight w:val="none"/>
              </w:rPr>
              <w:t>签订合同：</w:t>
            </w:r>
          </w:p>
          <w:p>
            <w:pPr>
              <w:autoSpaceDE w:val="0"/>
              <w:autoSpaceDN w:val="0"/>
              <w:adjustRightInd w:val="0"/>
              <w:snapToGrid w:val="0"/>
              <w:spacing w:line="400" w:lineRule="exact"/>
              <w:jc w:val="left"/>
              <w:textAlignment w:val="bottom"/>
              <w:rPr>
                <w:color w:val="auto"/>
                <w:highlight w:val="none"/>
              </w:rPr>
            </w:pPr>
            <w:r>
              <w:rPr>
                <w:rFonts w:hint="eastAsia"/>
                <w:color w:val="auto"/>
                <w:highlight w:val="none"/>
              </w:rPr>
              <w:t>根据《中华人民共和国政府采购法》第四十六条规定，采购人与中标（成交）供应商应当在中标（成交）通知书发出后30天内，按照采购文件确定的事项签订政府采购合同。</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21</w:t>
            </w:r>
          </w:p>
        </w:tc>
        <w:tc>
          <w:tcPr>
            <w:tcW w:w="8462" w:type="dxa"/>
            <w:tcBorders>
              <w:top w:val="single" w:color="auto" w:sz="6" w:space="0"/>
              <w:left w:val="single" w:color="auto" w:sz="6" w:space="0"/>
              <w:bottom w:val="single" w:color="auto" w:sz="6" w:space="0"/>
              <w:right w:val="single" w:color="auto" w:sz="6" w:space="0"/>
            </w:tcBorders>
            <w:vAlign w:val="center"/>
          </w:tcPr>
          <w:p>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信用记录查询：依据财库[2016]125号文件执行</w:t>
            </w:r>
          </w:p>
          <w:p>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pPr>
              <w:pStyle w:val="12"/>
              <w:spacing w:before="0" w:beforeLines="0" w:after="0" w:afterLines="0"/>
              <w:rPr>
                <w:rFonts w:hAnsi="宋体" w:cs="宋体"/>
                <w:color w:val="auto"/>
                <w:sz w:val="21"/>
                <w:szCs w:val="21"/>
                <w:highlight w:val="none"/>
              </w:rPr>
            </w:pPr>
            <w:r>
              <w:rPr>
                <w:rFonts w:hint="eastAsia" w:hAnsi="宋体" w:cs="宋体"/>
                <w:color w:val="auto"/>
                <w:sz w:val="21"/>
                <w:szCs w:val="21"/>
                <w:highlight w:val="none"/>
              </w:rPr>
              <w:t>时间：提交首次投标文件截止时间前3年内；</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pPr>
              <w:autoSpaceDE w:val="0"/>
              <w:autoSpaceDN w:val="0"/>
              <w:adjustRightInd w:val="0"/>
              <w:spacing w:line="400" w:lineRule="exact"/>
              <w:rPr>
                <w:rFonts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使用规则：被列入失信被执行人、重大税收违法案件当事人名单、政府采购严重违法失信行为记录名单及其它不符合《中华人民共和国政府采购法》第二十二条规定条件的，其投标将被拒绝。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22</w:t>
            </w:r>
          </w:p>
        </w:tc>
        <w:tc>
          <w:tcPr>
            <w:tcW w:w="8462" w:type="dxa"/>
            <w:tcBorders>
              <w:top w:val="single" w:color="auto" w:sz="6" w:space="0"/>
              <w:left w:val="single" w:color="auto" w:sz="6" w:space="0"/>
              <w:bottom w:val="single" w:color="auto" w:sz="6" w:space="0"/>
              <w:right w:val="single" w:color="auto" w:sz="6" w:space="0"/>
            </w:tcBorders>
            <w:vAlign w:val="center"/>
          </w:tcPr>
          <w:p>
            <w:pPr>
              <w:spacing w:line="400" w:lineRule="exact"/>
              <w:rPr>
                <w:color w:val="auto"/>
                <w:highlight w:val="none"/>
              </w:rPr>
            </w:pPr>
            <w:r>
              <w:rPr>
                <w:rFonts w:hint="eastAsia"/>
                <w:color w:val="auto"/>
                <w:highlight w:val="none"/>
              </w:rPr>
              <w:t>政府采购政策执行：</w:t>
            </w:r>
          </w:p>
          <w:p>
            <w:pPr>
              <w:spacing w:line="400" w:lineRule="exact"/>
              <w:rPr>
                <w:color w:val="auto"/>
                <w:highlight w:val="none"/>
              </w:rPr>
            </w:pPr>
            <w:r>
              <w:rPr>
                <w:rFonts w:hint="eastAsia"/>
                <w:color w:val="auto"/>
                <w:highlight w:val="none"/>
              </w:rPr>
              <w:t>（1）采购本国生产的货物、工程和服务（经审批允许进口产品投标的除外）</w:t>
            </w:r>
          </w:p>
          <w:p>
            <w:pPr>
              <w:spacing w:line="400" w:lineRule="exact"/>
              <w:rPr>
                <w:color w:val="auto"/>
                <w:highlight w:val="none"/>
              </w:rPr>
            </w:pPr>
            <w:r>
              <w:rPr>
                <w:rFonts w:hint="eastAsia"/>
                <w:color w:val="auto"/>
                <w:highlight w:val="none"/>
              </w:rPr>
              <w:t>（2）支持绿色采购</w:t>
            </w:r>
          </w:p>
          <w:p>
            <w:pPr>
              <w:spacing w:line="400" w:lineRule="exact"/>
              <w:rPr>
                <w:color w:val="auto"/>
                <w:highlight w:val="none"/>
              </w:rPr>
            </w:pPr>
            <w:r>
              <w:rPr>
                <w:rFonts w:hint="eastAsia"/>
                <w:color w:val="auto"/>
                <w:highlight w:val="none"/>
              </w:rPr>
              <w:t>（3）支持科技创新</w:t>
            </w:r>
          </w:p>
          <w:p>
            <w:pPr>
              <w:spacing w:line="400" w:lineRule="exact"/>
              <w:rPr>
                <w:color w:val="auto"/>
                <w:highlight w:val="none"/>
              </w:rPr>
            </w:pPr>
            <w:r>
              <w:rPr>
                <w:rFonts w:hint="eastAsia"/>
                <w:color w:val="auto"/>
                <w:highlight w:val="none"/>
              </w:rPr>
              <w:t>（4）中小企业信用融资</w:t>
            </w:r>
          </w:p>
          <w:p>
            <w:pPr>
              <w:spacing w:line="400" w:lineRule="exact"/>
              <w:rPr>
                <w:color w:val="auto"/>
                <w:highlight w:val="none"/>
              </w:rPr>
            </w:pPr>
            <w:r>
              <w:rPr>
                <w:rFonts w:hint="eastAsia"/>
                <w:color w:val="auto"/>
                <w:highlight w:val="none"/>
              </w:rPr>
              <w:t>（5）支持中小企业发展</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23</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投标注意事项：</w:t>
            </w:r>
          </w:p>
          <w:p>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中标后，投标人拒绝签订合同的，采购人可以依法按照评审报告推荐的中标候选人名单排序，确定下一候选人为中标人，也可以重新开展政府采购活动。投标人中标后拒绝签订合同的，应按预算金额的2%对采购人进行赔偿；赔偿金额不足以弥补采购人损失的，投标人应继续承担超过部分的损失。</w:t>
            </w:r>
          </w:p>
          <w:p>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存在下列行为的，采购人将其失信行为上报政府采购主管部门，由主管部门按有关规定对其违法失信行为记录进行公开：</w:t>
            </w:r>
          </w:p>
          <w:p>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pPr>
              <w:autoSpaceDE w:val="0"/>
              <w:autoSpaceDN w:val="0"/>
              <w:adjustRightInd w:val="0"/>
              <w:spacing w:line="400" w:lineRule="exact"/>
              <w:ind w:left="71" w:right="69"/>
              <w:rPr>
                <w:rFonts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24</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left="71" w:right="69"/>
              <w:rPr>
                <w:rFonts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color w:val="auto"/>
                <w:szCs w:val="21"/>
                <w:highlight w:val="none"/>
                <w:shd w:val="clear" w:color="auto" w:fill="FFFFFF"/>
              </w:rPr>
              <w:t>。</w:t>
            </w:r>
          </w:p>
        </w:tc>
      </w:tr>
      <w:tr>
        <w:tblPrEx>
          <w:tblCellMar>
            <w:top w:w="0" w:type="dxa"/>
            <w:left w:w="108" w:type="dxa"/>
            <w:bottom w:w="0" w:type="dxa"/>
            <w:right w:w="108" w:type="dxa"/>
          </w:tblCellMar>
        </w:tblPrEx>
        <w:trPr>
          <w:jc w:val="center"/>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right="-359" w:firstLine="105"/>
              <w:rPr>
                <w:rFonts w:ascii="宋体" w:hAnsi="宋体" w:cs="宋体"/>
                <w:color w:val="auto"/>
                <w:szCs w:val="21"/>
                <w:highlight w:val="none"/>
              </w:rPr>
            </w:pPr>
            <w:r>
              <w:rPr>
                <w:rFonts w:hint="eastAsia" w:ascii="宋体" w:hAnsi="宋体" w:cs="宋体"/>
                <w:color w:val="auto"/>
                <w:szCs w:val="21"/>
                <w:highlight w:val="none"/>
              </w:rPr>
              <w:t>25</w:t>
            </w:r>
          </w:p>
        </w:tc>
        <w:tc>
          <w:tcPr>
            <w:tcW w:w="8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特别说明：</w:t>
            </w:r>
          </w:p>
          <w:p>
            <w:pPr>
              <w:autoSpaceDE w:val="0"/>
              <w:autoSpaceDN w:val="0"/>
              <w:adjustRightInd w:val="0"/>
              <w:spacing w:line="400" w:lineRule="exact"/>
              <w:ind w:left="71" w:right="69"/>
              <w:rPr>
                <w:rFonts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pPr>
        <w:rPr>
          <w:rFonts w:ascii="宋体" w:hAnsi="宋体" w:cs="宋体"/>
          <w:color w:val="auto"/>
          <w:sz w:val="24"/>
          <w:highlight w:val="none"/>
        </w:rPr>
      </w:pPr>
    </w:p>
    <w:p>
      <w:pPr>
        <w:pStyle w:val="5"/>
        <w:spacing w:before="0" w:after="0" w:line="240" w:lineRule="auto"/>
        <w:rPr>
          <w:rFonts w:ascii="宋体" w:hAnsi="宋体" w:eastAsia="宋体" w:cs="宋体"/>
          <w:color w:val="auto"/>
          <w:sz w:val="24"/>
          <w:szCs w:val="24"/>
          <w:highlight w:val="none"/>
        </w:rPr>
      </w:pPr>
      <w:bookmarkStart w:id="39" w:name="_Toc317341938"/>
      <w:bookmarkStart w:id="40" w:name="_Toc222632754"/>
      <w:bookmarkStart w:id="41" w:name="_Toc18381"/>
      <w:bookmarkStart w:id="42" w:name="_Toc27142"/>
      <w:bookmarkStart w:id="43" w:name="_Toc7984"/>
      <w:bookmarkStart w:id="44" w:name="_Toc1651"/>
      <w:r>
        <w:rPr>
          <w:rFonts w:hint="eastAsia" w:ascii="宋体" w:hAnsi="宋体" w:eastAsia="宋体" w:cs="宋体"/>
          <w:color w:val="auto"/>
          <w:sz w:val="24"/>
          <w:szCs w:val="24"/>
          <w:highlight w:val="none"/>
        </w:rPr>
        <w:t>一、总  则</w:t>
      </w:r>
      <w:bookmarkEnd w:id="39"/>
      <w:bookmarkEnd w:id="40"/>
      <w:bookmarkEnd w:id="41"/>
      <w:bookmarkEnd w:id="42"/>
      <w:bookmarkEnd w:id="43"/>
      <w:bookmarkEnd w:id="44"/>
    </w:p>
    <w:p>
      <w:pPr>
        <w:adjustRightInd w:val="0"/>
        <w:snapToGrid w:val="0"/>
        <w:spacing w:line="360" w:lineRule="exact"/>
        <w:jc w:val="left"/>
        <w:rPr>
          <w:rFonts w:ascii="宋体" w:hAnsi="宋体" w:cs="宋体"/>
          <w:b/>
          <w:color w:val="auto"/>
          <w:szCs w:val="21"/>
          <w:highlight w:val="none"/>
        </w:rPr>
      </w:pPr>
      <w:bookmarkStart w:id="45" w:name="_Toc177824872"/>
      <w:bookmarkStart w:id="46" w:name="_Toc177825120"/>
      <w:bookmarkStart w:id="47" w:name="_Toc177870537"/>
      <w:bookmarkStart w:id="48" w:name="_Toc177824939"/>
      <w:r>
        <w:rPr>
          <w:rFonts w:hint="eastAsia" w:ascii="宋体" w:hAnsi="宋体" w:cs="宋体"/>
          <w:b/>
          <w:color w:val="auto"/>
          <w:szCs w:val="21"/>
          <w:highlight w:val="none"/>
        </w:rPr>
        <w:t>（一） 适用范围</w:t>
      </w:r>
      <w:bookmarkEnd w:id="45"/>
      <w:bookmarkEnd w:id="46"/>
      <w:bookmarkEnd w:id="47"/>
      <w:bookmarkEnd w:id="48"/>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本招标文件适用于 </w:t>
      </w:r>
      <w:r>
        <w:rPr>
          <w:rFonts w:hint="eastAsia" w:ascii="宋体" w:hAnsi="宋体" w:cs="宋体"/>
          <w:color w:val="auto"/>
          <w:szCs w:val="21"/>
          <w:highlight w:val="none"/>
          <w:u w:val="single"/>
          <w:lang w:eastAsia="zh-CN"/>
        </w:rPr>
        <w:t>2025年度安吉县水域监测评价相关技术服务采购项目</w:t>
      </w:r>
      <w:r>
        <w:rPr>
          <w:rFonts w:hint="eastAsia" w:ascii="宋体" w:hAnsi="宋体" w:cs="宋体"/>
          <w:color w:val="auto"/>
          <w:szCs w:val="21"/>
          <w:highlight w:val="none"/>
        </w:rPr>
        <w:t>的招标、评标、定标、验收、合同履约、付款等（法律、法规另有规定的，从其规定）。</w:t>
      </w:r>
    </w:p>
    <w:p>
      <w:pPr>
        <w:adjustRightInd w:val="0"/>
        <w:snapToGrid w:val="0"/>
        <w:spacing w:line="360" w:lineRule="exact"/>
        <w:jc w:val="left"/>
        <w:rPr>
          <w:rFonts w:ascii="宋体" w:hAnsi="宋体" w:cs="宋体"/>
          <w:b/>
          <w:color w:val="auto"/>
          <w:szCs w:val="21"/>
          <w:highlight w:val="none"/>
        </w:rPr>
      </w:pPr>
      <w:bookmarkStart w:id="49" w:name="_Toc177870538"/>
      <w:bookmarkStart w:id="50" w:name="_Toc177825121"/>
      <w:bookmarkStart w:id="51" w:name="_Toc177824940"/>
      <w:bookmarkStart w:id="52" w:name="_Toc177824873"/>
      <w:r>
        <w:rPr>
          <w:rFonts w:hint="eastAsia" w:ascii="宋体" w:hAnsi="宋体" w:cs="宋体"/>
          <w:b/>
          <w:color w:val="auto"/>
          <w:szCs w:val="21"/>
          <w:highlight w:val="none"/>
        </w:rPr>
        <w:t>（二）定义</w:t>
      </w:r>
      <w:bookmarkEnd w:id="49"/>
      <w:bookmarkEnd w:id="50"/>
      <w:bookmarkEnd w:id="51"/>
      <w:bookmarkEnd w:id="52"/>
    </w:p>
    <w:p>
      <w:pPr>
        <w:adjustRightInd w:val="0"/>
        <w:snapToGrid w:val="0"/>
        <w:spacing w:line="380" w:lineRule="exact"/>
        <w:ind w:firstLine="411" w:firstLineChars="196"/>
        <w:jc w:val="left"/>
        <w:rPr>
          <w:rFonts w:ascii="宋体" w:hAnsi="宋体" w:cs="宋体"/>
          <w:color w:val="auto"/>
          <w:szCs w:val="21"/>
          <w:highlight w:val="none"/>
        </w:rPr>
      </w:pPr>
      <w:bookmarkStart w:id="53" w:name="_Toc293916356"/>
      <w:bookmarkStart w:id="54" w:name="_Toc293916005"/>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“采购人”系指</w:t>
      </w:r>
      <w:r>
        <w:rPr>
          <w:rFonts w:hint="eastAsia" w:ascii="宋体" w:hAnsi="宋体" w:cs="宋体"/>
          <w:color w:val="auto"/>
          <w:szCs w:val="21"/>
          <w:highlight w:val="none"/>
          <w:lang w:eastAsia="zh-CN"/>
        </w:rPr>
        <w:t>安吉县水利局</w:t>
      </w:r>
      <w:r>
        <w:rPr>
          <w:rFonts w:hint="eastAsia" w:ascii="宋体" w:hAnsi="宋体" w:cs="宋体"/>
          <w:color w:val="auto"/>
          <w:szCs w:val="21"/>
          <w:highlight w:val="none"/>
        </w:rPr>
        <w:t>。</w:t>
      </w:r>
    </w:p>
    <w:p>
      <w:pPr>
        <w:adjustRightInd w:val="0"/>
        <w:snapToGrid w:val="0"/>
        <w:spacing w:line="38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“采购代理机构”系指</w:t>
      </w:r>
      <w:r>
        <w:rPr>
          <w:rFonts w:hint="eastAsia" w:ascii="宋体" w:hAnsi="宋体" w:cs="宋体"/>
          <w:color w:val="auto"/>
          <w:szCs w:val="21"/>
          <w:highlight w:val="none"/>
          <w:lang w:eastAsia="zh-CN"/>
        </w:rPr>
        <w:t>浙江天册工程管理有限公司</w:t>
      </w:r>
      <w:r>
        <w:rPr>
          <w:rFonts w:hint="eastAsia" w:ascii="宋体" w:hAnsi="宋体" w:cs="宋体"/>
          <w:color w:val="auto"/>
          <w:szCs w:val="21"/>
          <w:highlight w:val="none"/>
        </w:rPr>
        <w:t>。</w:t>
      </w:r>
    </w:p>
    <w:p>
      <w:pPr>
        <w:adjustRightInd w:val="0"/>
        <w:snapToGrid w:val="0"/>
        <w:spacing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“投标人”系指向采购人和采购代理机构提交投标文件的单位或个人。</w:t>
      </w:r>
      <w:bookmarkEnd w:id="53"/>
      <w:bookmarkEnd w:id="54"/>
    </w:p>
    <w:p>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“产品”系指供方按招标文件规定，须向采购人提供的一切有关设备、软件、设施以及技术资料和材料。</w:t>
      </w:r>
    </w:p>
    <w:p>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“服务”系指招标文件规定投标人须承担的安装、调试、技术服务、校准、培训、售后以及其他类似的义务。</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“项目”系指投标人按招标文件规定向采购人提供的产品和服务。</w:t>
      </w:r>
    </w:p>
    <w:p>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“书面形式”包括信函、传真、电子文档、电子邮件等。</w:t>
      </w:r>
    </w:p>
    <w:p>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“▲”系指实质性要求条款。</w:t>
      </w:r>
    </w:p>
    <w:p>
      <w:pPr>
        <w:adjustRightInd w:val="0"/>
        <w:snapToGrid w:val="0"/>
        <w:spacing w:line="360" w:lineRule="exact"/>
        <w:jc w:val="left"/>
        <w:rPr>
          <w:rFonts w:ascii="宋体" w:hAnsi="宋体" w:cs="宋体"/>
          <w:b/>
          <w:color w:val="auto"/>
          <w:szCs w:val="21"/>
          <w:highlight w:val="none"/>
        </w:rPr>
      </w:pPr>
      <w:bookmarkStart w:id="55" w:name="_Toc177870539"/>
      <w:r>
        <w:rPr>
          <w:rFonts w:hint="eastAsia" w:ascii="宋体" w:hAnsi="宋体" w:cs="宋体"/>
          <w:b/>
          <w:color w:val="auto"/>
          <w:szCs w:val="21"/>
          <w:highlight w:val="none"/>
        </w:rPr>
        <w:t>（三）招标方式</w:t>
      </w:r>
      <w:bookmarkEnd w:id="55"/>
      <w:r>
        <w:rPr>
          <w:rFonts w:hint="eastAsia" w:ascii="宋体" w:hAnsi="宋体" w:cs="宋体"/>
          <w:b/>
          <w:color w:val="auto"/>
          <w:szCs w:val="21"/>
          <w:highlight w:val="none"/>
        </w:rPr>
        <w:t>：</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本次招标采用公开招标方式进行。</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本次招标设定上限价，上限价详见前附表。</w:t>
      </w:r>
    </w:p>
    <w:p>
      <w:pPr>
        <w:adjustRightInd w:val="0"/>
        <w:snapToGrid w:val="0"/>
        <w:spacing w:line="360" w:lineRule="exact"/>
        <w:jc w:val="left"/>
        <w:rPr>
          <w:rFonts w:ascii="宋体" w:hAnsi="宋体" w:cs="宋体"/>
          <w:b/>
          <w:color w:val="auto"/>
          <w:szCs w:val="21"/>
          <w:highlight w:val="none"/>
        </w:rPr>
      </w:pPr>
      <w:bookmarkStart w:id="56" w:name="_Toc177870540"/>
      <w:bookmarkStart w:id="57" w:name="_Toc177824941"/>
      <w:bookmarkStart w:id="58" w:name="_Toc177825122"/>
      <w:bookmarkStart w:id="59" w:name="_Toc177824874"/>
      <w:r>
        <w:rPr>
          <w:rFonts w:hint="eastAsia" w:ascii="宋体" w:hAnsi="宋体" w:cs="宋体"/>
          <w:b/>
          <w:color w:val="auto"/>
          <w:szCs w:val="21"/>
          <w:highlight w:val="none"/>
        </w:rPr>
        <w:t>（四）投标委托</w:t>
      </w:r>
      <w:bookmarkEnd w:id="56"/>
      <w:bookmarkEnd w:id="57"/>
      <w:bookmarkEnd w:id="58"/>
      <w:bookmarkEnd w:id="59"/>
    </w:p>
    <w:p>
      <w:pPr>
        <w:pStyle w:val="10"/>
        <w:adjustRightInd w:val="0"/>
        <w:snapToGrid w:val="0"/>
        <w:spacing w:line="360" w:lineRule="exact"/>
        <w:ind w:firstLine="420"/>
        <w:jc w:val="left"/>
        <w:rPr>
          <w:rFonts w:ascii="宋体" w:eastAsia="宋体" w:cs="宋体"/>
          <w:color w:val="auto"/>
          <w:sz w:val="21"/>
          <w:szCs w:val="21"/>
          <w:highlight w:val="none"/>
        </w:rPr>
      </w:pPr>
      <w:r>
        <w:rPr>
          <w:rFonts w:hint="eastAsia" w:ascii="宋体" w:eastAsia="宋体" w:cs="宋体"/>
          <w:color w:val="auto"/>
          <w:sz w:val="21"/>
          <w:szCs w:val="21"/>
          <w:highlight w:val="none"/>
        </w:rPr>
        <w:t>投标人代表须携带居民身份证，如投标人代表不是法定代表人，须有法定代表人出具的授权委托书（格式见第六章）。</w:t>
      </w:r>
    </w:p>
    <w:p>
      <w:pPr>
        <w:adjustRightInd w:val="0"/>
        <w:snapToGrid w:val="0"/>
        <w:spacing w:line="360" w:lineRule="exact"/>
        <w:jc w:val="left"/>
        <w:rPr>
          <w:rFonts w:ascii="宋体" w:hAnsi="宋体" w:cs="宋体"/>
          <w:b/>
          <w:color w:val="auto"/>
          <w:szCs w:val="21"/>
          <w:highlight w:val="none"/>
        </w:rPr>
      </w:pPr>
      <w:bookmarkStart w:id="60" w:name="_Toc177825123"/>
      <w:bookmarkStart w:id="61" w:name="_Toc177870541"/>
      <w:bookmarkStart w:id="62" w:name="_Toc177824942"/>
      <w:bookmarkStart w:id="63" w:name="_Toc177824875"/>
      <w:r>
        <w:rPr>
          <w:rFonts w:hint="eastAsia" w:ascii="宋体" w:hAnsi="宋体" w:cs="宋体"/>
          <w:b/>
          <w:color w:val="auto"/>
          <w:szCs w:val="21"/>
          <w:highlight w:val="none"/>
        </w:rPr>
        <w:t>（五）投标费用</w:t>
      </w:r>
      <w:bookmarkEnd w:id="60"/>
      <w:bookmarkEnd w:id="61"/>
      <w:bookmarkEnd w:id="62"/>
      <w:bookmarkEnd w:id="63"/>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（六）合格投标人的资格要求</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符合第一章第</w:t>
      </w:r>
      <w:r>
        <w:rPr>
          <w:rFonts w:hint="eastAsia" w:ascii="宋体" w:hAnsi="宋体" w:cs="宋体"/>
          <w:color w:val="auto"/>
          <w:szCs w:val="21"/>
          <w:highlight w:val="none"/>
          <w:lang w:eastAsia="zh-CN"/>
        </w:rPr>
        <w:t>二</w:t>
      </w:r>
      <w:r>
        <w:rPr>
          <w:rFonts w:hint="eastAsia" w:ascii="宋体" w:hAnsi="宋体" w:cs="宋体"/>
          <w:color w:val="auto"/>
          <w:szCs w:val="21"/>
          <w:highlight w:val="none"/>
        </w:rPr>
        <w:t>条的规定。</w:t>
      </w:r>
    </w:p>
    <w:p>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（七）转包与分包</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本项目不接受联合体投标，禁止转包，未经采购人同意不允许分包。</w:t>
      </w:r>
    </w:p>
    <w:p>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szCs w:val="21"/>
          <w:highlight w:val="none"/>
        </w:rPr>
        <w:t>八</w:t>
      </w:r>
      <w:r>
        <w:rPr>
          <w:rFonts w:hint="eastAsia" w:ascii="宋体" w:hAnsi="宋体" w:cs="宋体"/>
          <w:b/>
          <w:color w:val="auto"/>
          <w:highlight w:val="none"/>
        </w:rPr>
        <w:t>）</w:t>
      </w:r>
      <w:bookmarkStart w:id="64" w:name="_Toc177870542"/>
      <w:r>
        <w:rPr>
          <w:rFonts w:hint="eastAsia" w:ascii="宋体" w:hAnsi="宋体" w:cs="宋体"/>
          <w:b/>
          <w:color w:val="auto"/>
          <w:highlight w:val="none"/>
        </w:rPr>
        <w:t>特别说明：</w:t>
      </w:r>
      <w:bookmarkEnd w:id="64"/>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除招标文件另有规定外，投标人投标所使用的资格、信誉、荣誉、业绩与企业认证必须为本法人所拥有。投标人投标所使用的采购项目实施人员必须为本法人员工或其控股公司正式员工。</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投标人应仔细阅读招标文件所有内容，对招标文件的要求作出实质性响应，按照招标文件的要求提交投标文件，并对所提供的全部资料的真实性承担法律责任。</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投标人一旦递交了投标（响应）文件，即被视为接受了本招标文件的所有内容，如有任何异议，均应在答疑截止时间前提出。</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投标文件前后描述不一，评审时将按不利于投标人的一种描述进行评审（评标委员会按招标文件规定允许投标人予以澄清的除外）。</w:t>
      </w:r>
    </w:p>
    <w:p>
      <w:pPr>
        <w:adjustRightInd w:val="0"/>
        <w:snapToGrid w:val="0"/>
        <w:spacing w:line="400" w:lineRule="exact"/>
        <w:rPr>
          <w:rFonts w:ascii="宋体" w:hAnsi="宋体" w:cs="宋体"/>
          <w:b/>
          <w:color w:val="auto"/>
          <w:highlight w:val="none"/>
        </w:rPr>
      </w:pPr>
      <w:bookmarkStart w:id="65" w:name="_Toc177870543"/>
      <w:r>
        <w:rPr>
          <w:rFonts w:hint="eastAsia" w:ascii="宋体" w:hAnsi="宋体" w:cs="宋体"/>
          <w:b/>
          <w:color w:val="auto"/>
          <w:highlight w:val="none"/>
        </w:rPr>
        <w:t>（九）质疑</w:t>
      </w:r>
      <w:bookmarkEnd w:id="65"/>
      <w:r>
        <w:rPr>
          <w:rFonts w:hint="eastAsia" w:ascii="宋体" w:hAnsi="宋体" w:cs="宋体"/>
          <w:b/>
          <w:color w:val="auto"/>
          <w:highlight w:val="none"/>
        </w:rPr>
        <w:t>和投诉</w:t>
      </w:r>
    </w:p>
    <w:p>
      <w:pPr>
        <w:snapToGrid w:val="0"/>
        <w:spacing w:line="400" w:lineRule="exact"/>
        <w:ind w:firstLine="420" w:firstLineChars="200"/>
        <w:rPr>
          <w:rFonts w:ascii="宋体" w:hAnsi="宋体" w:cs="宋体"/>
          <w:snapToGrid w:val="0"/>
          <w:color w:val="auto"/>
          <w:kern w:val="0"/>
          <w:highlight w:val="none"/>
        </w:rPr>
      </w:pPr>
      <w:bookmarkStart w:id="66" w:name="_Toc317341939"/>
      <w:bookmarkStart w:id="67" w:name="_Toc222632755"/>
      <w:r>
        <w:rPr>
          <w:rFonts w:hint="eastAsia" w:ascii="宋体" w:hAnsi="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w:t>
      </w:r>
      <w:r>
        <w:rPr>
          <w:rFonts w:hint="eastAsia" w:ascii="宋体" w:hAnsi="宋体" w:cs="宋体"/>
          <w:color w:val="auto"/>
          <w:highlight w:val="none"/>
        </w:rPr>
        <w:t>投标人认为</w:t>
      </w:r>
      <w:r>
        <w:rPr>
          <w:rFonts w:hint="eastAsia" w:ascii="宋体" w:hAnsi="宋体" w:cs="宋体"/>
          <w:color w:val="auto"/>
          <w:szCs w:val="21"/>
          <w:highlight w:val="none"/>
        </w:rPr>
        <w:t>招标</w:t>
      </w:r>
      <w:r>
        <w:rPr>
          <w:rFonts w:hint="eastAsia" w:ascii="宋体" w:hAnsi="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szCs w:val="21"/>
          <w:highlight w:val="none"/>
        </w:rPr>
        <w:t>招标</w:t>
      </w:r>
      <w:r>
        <w:rPr>
          <w:rFonts w:hint="eastAsia" w:ascii="宋体" w:hAnsi="宋体" w:cs="宋体"/>
          <w:color w:val="auto"/>
          <w:highlight w:val="none"/>
        </w:rPr>
        <w:t>文件提出质疑的，为收到招标文件之日或者招标文件公告期限届满之日</w:t>
      </w:r>
      <w:r>
        <w:rPr>
          <w:rFonts w:hint="eastAsia" w:ascii="宋体" w:hAnsi="宋体" w:cs="宋体"/>
          <w:color w:val="auto"/>
          <w:szCs w:val="21"/>
          <w:highlight w:val="none"/>
        </w:rPr>
        <w:t>（公告期限届满后获取招标文件的，以公告期限届满之日为准）</w:t>
      </w:r>
      <w:r>
        <w:rPr>
          <w:rFonts w:hint="eastAsia" w:ascii="宋体" w:hAnsi="宋体" w:cs="宋体"/>
          <w:color w:val="auto"/>
          <w:highlight w:val="none"/>
        </w:rPr>
        <w:t>；</w:t>
      </w:r>
    </w:p>
    <w:p>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（3）对中标结果提出质疑的，为中标结果公告期限届满之日。</w:t>
      </w:r>
    </w:p>
    <w:p>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w:t>
      </w:r>
      <w:r>
        <w:rPr>
          <w:rFonts w:hint="eastAsia" w:ascii="宋体" w:hAnsi="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color w:val="auto"/>
          <w:highlight w:val="none"/>
        </w:rPr>
        <w:t>4</w:t>
      </w:r>
      <w:r>
        <w:rPr>
          <w:rFonts w:hint="eastAsia" w:ascii="宋体" w:hAnsi="宋体" w:cs="宋体"/>
          <w:snapToGrid w:val="0"/>
          <w:color w:val="auto"/>
          <w:kern w:val="0"/>
          <w:highlight w:val="none"/>
          <w:lang w:val="en-US" w:eastAsia="zh-CN"/>
        </w:rPr>
        <w:t>.</w:t>
      </w:r>
      <w:r>
        <w:rPr>
          <w:rFonts w:hint="eastAsia" w:ascii="宋体" w:hAnsi="宋体" w:cs="宋体"/>
          <w:snapToGrid w:val="0"/>
          <w:color w:val="auto"/>
          <w:kern w:val="0"/>
          <w:highlight w:val="none"/>
        </w:rPr>
        <w:t>对于询问的处理：采购人或者采购代理机构应当在3个工作日内对投标人依法提出的询问作出答复。</w:t>
      </w:r>
    </w:p>
    <w:p>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投标人提出的询问或者质疑超出采购人对采购代理机构委托授权范围的，采购代理机构应当告知投标人向采购人提出。</w:t>
      </w:r>
    </w:p>
    <w:p>
      <w:pPr>
        <w:rPr>
          <w:color w:val="auto"/>
          <w:highlight w:val="none"/>
        </w:rPr>
      </w:pPr>
    </w:p>
    <w:p>
      <w:pPr>
        <w:pStyle w:val="5"/>
        <w:spacing w:before="0" w:after="0" w:line="240" w:lineRule="auto"/>
        <w:rPr>
          <w:rFonts w:ascii="宋体" w:hAnsi="宋体" w:eastAsia="宋体" w:cs="宋体"/>
          <w:color w:val="auto"/>
          <w:sz w:val="24"/>
          <w:szCs w:val="24"/>
          <w:highlight w:val="none"/>
        </w:rPr>
      </w:pPr>
      <w:bookmarkStart w:id="68" w:name="_Toc19577"/>
      <w:bookmarkStart w:id="69" w:name="_Toc6470"/>
      <w:bookmarkStart w:id="70" w:name="_Toc18204"/>
      <w:bookmarkStart w:id="71" w:name="_Toc21697"/>
      <w:r>
        <w:rPr>
          <w:rFonts w:hint="eastAsia" w:ascii="宋体" w:hAnsi="宋体" w:eastAsia="宋体" w:cs="宋体"/>
          <w:color w:val="auto"/>
          <w:sz w:val="24"/>
          <w:szCs w:val="24"/>
          <w:highlight w:val="none"/>
        </w:rPr>
        <w:t>二、招标文件</w:t>
      </w:r>
      <w:bookmarkEnd w:id="66"/>
      <w:bookmarkEnd w:id="67"/>
      <w:bookmarkEnd w:id="68"/>
      <w:bookmarkEnd w:id="69"/>
      <w:bookmarkEnd w:id="70"/>
      <w:bookmarkEnd w:id="71"/>
    </w:p>
    <w:p>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（一）招标文件的构成。本招标文件由以下部份组成：</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招标公告；</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招标需求；</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投标人须知；</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评标办法及标准；</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合同主要条款；</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w:t>
      </w:r>
      <w:r>
        <w:rPr>
          <w:rFonts w:hint="eastAsia" w:ascii="宋体" w:hAnsi="宋体" w:cs="宋体"/>
          <w:color w:val="auto"/>
          <w:highlight w:val="none"/>
        </w:rPr>
        <w:t>投标文件格式；</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w:t>
      </w:r>
      <w:r>
        <w:rPr>
          <w:rFonts w:hint="eastAsia" w:ascii="宋体" w:hAnsi="宋体" w:cs="宋体"/>
          <w:color w:val="auto"/>
          <w:highlight w:val="none"/>
        </w:rPr>
        <w:t>本项目招标文件的澄清、答复、修改、补充的内容。</w:t>
      </w:r>
    </w:p>
    <w:p>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（二）投标人的风险</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投标人没有按照招标文件要求提供全部资料，或者投标人没有对招标文件在各方面作出实质性响应是投标人的风险，并可能导致其投标被拒绝。</w:t>
      </w:r>
    </w:p>
    <w:p>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 xml:space="preserve">（三）招标文件的澄清与修改 </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投标人应认真阅读本招标文件，发现其中有误或有要求不合理的，投标人必须在投标须知前附表规定的招标文件答疑与澄清截止时间前以书面形式要求采购人和采购代理机构澄清。</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采购人和采购代理机构必须以书面形式答复投标人要求澄清的问题，并将不包含问题来源的答复书面通知所有购买招标文件的投标人；除书面答复以外的其他澄清方式及澄清内容均无效。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采购人和采购代理机构对已发出的招标文件进行必要澄清、答复、修改或补充的，应在浙江政府采购网（</w:t>
      </w:r>
      <w:r>
        <w:rPr>
          <w:rFonts w:hint="eastAsia" w:ascii="宋体" w:hAnsi="宋体" w:cs="宋体"/>
          <w:color w:val="auto"/>
          <w:szCs w:val="21"/>
          <w:highlight w:val="none"/>
        </w:rPr>
        <w:t>http://zfcg.czt.zj.gov.cn/</w:t>
      </w:r>
      <w:r>
        <w:rPr>
          <w:rFonts w:hint="eastAsia" w:ascii="宋体" w:hAnsi="宋体" w:cs="宋体"/>
          <w:color w:val="auto"/>
          <w:highlight w:val="none"/>
        </w:rPr>
        <w:t>）上发布公告，并以书面形式通知所有招标文件收受人。</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为保证投标人有足够的时间按修改、补充后的招标文件的要求编制和修正其投标文件，采购人和采购代理机构可依法酌情推迟投标截止时间和开标时间。</w:t>
      </w:r>
    </w:p>
    <w:p>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exact"/>
        <w:ind w:firstLine="420" w:firstLineChars="200"/>
        <w:rPr>
          <w:rFonts w:ascii="宋体" w:hAnsi="宋体" w:cs="宋体"/>
          <w:color w:val="auto"/>
          <w:highlight w:val="none"/>
        </w:rPr>
      </w:pPr>
    </w:p>
    <w:p>
      <w:pPr>
        <w:pStyle w:val="5"/>
        <w:spacing w:before="0" w:after="0" w:line="240" w:lineRule="auto"/>
        <w:rPr>
          <w:rFonts w:ascii="宋体" w:hAnsi="宋体" w:eastAsia="宋体" w:cs="宋体"/>
          <w:color w:val="auto"/>
          <w:sz w:val="24"/>
          <w:szCs w:val="24"/>
          <w:highlight w:val="none"/>
        </w:rPr>
      </w:pPr>
      <w:bookmarkStart w:id="72" w:name="_Toc6078"/>
      <w:bookmarkStart w:id="73" w:name="_Toc222632756"/>
      <w:bookmarkStart w:id="74" w:name="_Toc317341940"/>
      <w:bookmarkStart w:id="75" w:name="_Toc18130"/>
      <w:bookmarkStart w:id="76" w:name="_Toc13474"/>
      <w:bookmarkStart w:id="77" w:name="_Toc16999"/>
      <w:r>
        <w:rPr>
          <w:rFonts w:hint="eastAsia" w:ascii="宋体" w:hAnsi="宋体" w:eastAsia="宋体" w:cs="宋体"/>
          <w:color w:val="auto"/>
          <w:sz w:val="24"/>
          <w:szCs w:val="24"/>
          <w:highlight w:val="none"/>
        </w:rPr>
        <w:t>三、投标文件的编制</w:t>
      </w:r>
      <w:bookmarkEnd w:id="72"/>
      <w:bookmarkEnd w:id="73"/>
      <w:bookmarkEnd w:id="74"/>
      <w:bookmarkEnd w:id="75"/>
      <w:r>
        <w:rPr>
          <w:rFonts w:hint="eastAsia" w:ascii="宋体" w:hAnsi="宋体" w:eastAsia="宋体" w:cs="宋体"/>
          <w:color w:val="auto"/>
          <w:sz w:val="24"/>
          <w:szCs w:val="24"/>
          <w:highlight w:val="none"/>
        </w:rPr>
        <w:t>及递交</w:t>
      </w:r>
      <w:bookmarkEnd w:id="76"/>
      <w:bookmarkEnd w:id="77"/>
    </w:p>
    <w:p>
      <w:pPr>
        <w:adjustRightInd w:val="0"/>
        <w:snapToGrid w:val="0"/>
        <w:spacing w:line="360" w:lineRule="exact"/>
        <w:jc w:val="left"/>
        <w:rPr>
          <w:rFonts w:ascii="宋体" w:hAnsi="宋体" w:cs="宋体"/>
          <w:b/>
          <w:color w:val="auto"/>
          <w:szCs w:val="21"/>
          <w:highlight w:val="none"/>
        </w:rPr>
      </w:pPr>
      <w:bookmarkStart w:id="78" w:name="_Toc177824943"/>
      <w:bookmarkStart w:id="79" w:name="_Toc177825124"/>
      <w:bookmarkStart w:id="80" w:name="_Toc177870546"/>
      <w:bookmarkStart w:id="81" w:name="_Toc177824876"/>
      <w:r>
        <w:rPr>
          <w:rFonts w:hint="eastAsia" w:ascii="宋体" w:hAnsi="宋体" w:cs="宋体"/>
          <w:b/>
          <w:color w:val="auto"/>
          <w:szCs w:val="21"/>
          <w:highlight w:val="none"/>
        </w:rPr>
        <w:t>（一）投标文件的组成</w:t>
      </w:r>
      <w:bookmarkEnd w:id="78"/>
      <w:bookmarkEnd w:id="79"/>
      <w:bookmarkEnd w:id="80"/>
      <w:bookmarkEnd w:id="81"/>
      <w:r>
        <w:rPr>
          <w:rFonts w:hint="eastAsia" w:ascii="宋体" w:hAnsi="宋体" w:cs="宋体"/>
          <w:color w:val="auto"/>
          <w:sz w:val="32"/>
          <w:highlight w:val="none"/>
        </w:rPr>
        <w:t xml:space="preserve"> </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w:t>
      </w:r>
      <w:r>
        <w:rPr>
          <w:rFonts w:hint="eastAsia" w:ascii="宋体" w:hAnsi="宋体" w:cs="宋体"/>
          <w:b/>
          <w:color w:val="auto"/>
          <w:szCs w:val="21"/>
          <w:highlight w:val="none"/>
        </w:rPr>
        <w:t>资格证明文件</w:t>
      </w:r>
      <w:r>
        <w:rPr>
          <w:rFonts w:hint="eastAsia" w:ascii="宋体" w:hAnsi="宋体" w:cs="宋体"/>
          <w:color w:val="auto"/>
          <w:szCs w:val="21"/>
          <w:highlight w:val="none"/>
        </w:rPr>
        <w:t>、</w:t>
      </w:r>
      <w:r>
        <w:rPr>
          <w:rFonts w:hint="eastAsia" w:ascii="宋体" w:hAnsi="宋体" w:cs="宋体"/>
          <w:b/>
          <w:color w:val="auto"/>
          <w:szCs w:val="21"/>
          <w:highlight w:val="none"/>
          <w:lang w:eastAsia="zh-CN"/>
        </w:rPr>
        <w:t>商务技术文件</w:t>
      </w:r>
      <w:r>
        <w:rPr>
          <w:rFonts w:hint="eastAsia" w:ascii="宋体" w:hAnsi="宋体" w:cs="宋体"/>
          <w:b/>
          <w:color w:val="auto"/>
          <w:szCs w:val="21"/>
          <w:highlight w:val="none"/>
        </w:rPr>
        <w:t>、报价文件</w:t>
      </w:r>
      <w:r>
        <w:rPr>
          <w:rFonts w:hint="eastAsia" w:ascii="宋体" w:hAnsi="宋体" w:cs="宋体"/>
          <w:color w:val="auto"/>
          <w:szCs w:val="21"/>
          <w:highlight w:val="none"/>
        </w:rPr>
        <w:t>组成。</w:t>
      </w:r>
    </w:p>
    <w:p>
      <w:pPr>
        <w:adjustRightInd w:val="0"/>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资格证明文件包括：</w:t>
      </w:r>
    </w:p>
    <w:p>
      <w:pPr>
        <w:numPr>
          <w:ilvl w:val="0"/>
          <w:numId w:val="3"/>
        </w:numPr>
        <w:adjustRightInd w:val="0"/>
        <w:snapToGrid w:val="0"/>
        <w:spacing w:line="360" w:lineRule="exact"/>
        <w:ind w:left="533" w:leftChars="0" w:hanging="420" w:firstLineChars="0"/>
        <w:jc w:val="left"/>
        <w:rPr>
          <w:rFonts w:ascii="宋体" w:hAnsi="宋体" w:cs="宋体"/>
          <w:szCs w:val="21"/>
          <w:highlight w:val="none"/>
        </w:rPr>
      </w:pPr>
      <w:r>
        <w:rPr>
          <w:rFonts w:hint="eastAsia" w:ascii="宋体" w:hAnsi="宋体" w:cs="宋体"/>
          <w:szCs w:val="21"/>
          <w:highlight w:val="none"/>
        </w:rPr>
        <w:t>投标资格声明书（格式见第六章）；</w:t>
      </w:r>
    </w:p>
    <w:p>
      <w:pPr>
        <w:numPr>
          <w:ilvl w:val="0"/>
          <w:numId w:val="3"/>
        </w:numPr>
        <w:adjustRightInd w:val="0"/>
        <w:snapToGrid w:val="0"/>
        <w:spacing w:line="360" w:lineRule="exact"/>
        <w:ind w:left="533" w:leftChars="0" w:hanging="420" w:firstLineChars="0"/>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pPr>
        <w:numPr>
          <w:ilvl w:val="0"/>
          <w:numId w:val="3"/>
        </w:numPr>
        <w:adjustRightInd w:val="0"/>
        <w:snapToGrid w:val="0"/>
        <w:spacing w:line="360" w:lineRule="exact"/>
        <w:ind w:left="533" w:leftChars="0" w:hanging="420" w:firstLineChars="0"/>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pPr>
        <w:numPr>
          <w:ilvl w:val="0"/>
          <w:numId w:val="3"/>
        </w:numPr>
        <w:adjustRightInd w:val="0"/>
        <w:snapToGrid w:val="0"/>
        <w:spacing w:line="360" w:lineRule="exact"/>
        <w:ind w:left="533" w:leftChars="0" w:hanging="420" w:firstLineChars="0"/>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pPr>
        <w:numPr>
          <w:ilvl w:val="0"/>
          <w:numId w:val="3"/>
        </w:numPr>
        <w:adjustRightInd w:val="0"/>
        <w:snapToGrid w:val="0"/>
        <w:spacing w:line="360" w:lineRule="exact"/>
        <w:ind w:left="533" w:leftChars="0" w:hanging="420" w:firstLineChars="0"/>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lang w:eastAsia="zh-CN"/>
        </w:rPr>
        <w:t>商务技术文件</w:t>
      </w:r>
      <w:r>
        <w:rPr>
          <w:rFonts w:hint="eastAsia" w:ascii="宋体" w:hAnsi="宋体" w:cs="宋体"/>
          <w:b/>
          <w:color w:val="auto"/>
          <w:szCs w:val="21"/>
          <w:highlight w:val="none"/>
        </w:rPr>
        <w:t>包括：</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投标函（格式见第六章）；</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法定代表人身份证明书、法定代表人授权委托书（格式见第六章）</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投标单位情况表（格式见第六章）；</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技术响应表（格式见第六章）；</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lang w:val="en-US" w:eastAsia="zh-CN"/>
        </w:rPr>
        <w:t>项目理解</w:t>
      </w:r>
      <w:r>
        <w:rPr>
          <w:rStyle w:val="25"/>
          <w:rFonts w:hint="eastAsia" w:ascii="宋体" w:hAnsi="宋体" w:eastAsia="宋体" w:cs="宋体"/>
          <w:color w:val="auto"/>
          <w:szCs w:val="21"/>
          <w:highlight w:val="none"/>
          <w:u w:val="none"/>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重点难点分析及解决方案</w:t>
      </w:r>
      <w:r>
        <w:rPr>
          <w:rStyle w:val="25"/>
          <w:rFonts w:hint="eastAsia" w:ascii="宋体" w:hAnsi="宋体" w:eastAsia="宋体" w:cs="宋体"/>
          <w:color w:val="auto"/>
          <w:szCs w:val="21"/>
          <w:highlight w:val="none"/>
          <w:u w:val="none"/>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工作内容及</w:t>
      </w:r>
      <w:r>
        <w:rPr>
          <w:rFonts w:hint="eastAsia" w:ascii="宋体" w:hAnsi="宋体" w:eastAsia="宋体" w:cs="宋体"/>
          <w:color w:val="auto"/>
          <w:szCs w:val="21"/>
          <w:highlight w:val="none"/>
          <w:lang w:eastAsia="zh-CN"/>
        </w:rPr>
        <w:t>工作思路</w:t>
      </w:r>
      <w:r>
        <w:rPr>
          <w:rFonts w:hint="eastAsia" w:ascii="宋体" w:hAnsi="宋体" w:cs="宋体"/>
          <w:color w:val="auto"/>
          <w:szCs w:val="21"/>
          <w:highlight w:val="none"/>
          <w:lang w:eastAsia="zh-CN"/>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服务质量保证措施及服务承诺保障</w:t>
      </w:r>
      <w:r>
        <w:rPr>
          <w:rFonts w:hint="eastAsia" w:ascii="宋体" w:hAnsi="宋体" w:eastAsia="宋体" w:cs="宋体"/>
          <w:color w:val="auto"/>
          <w:szCs w:val="21"/>
          <w:highlight w:val="none"/>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进度安排及保障措施</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售后服务及承诺</w:t>
      </w:r>
      <w:r>
        <w:rPr>
          <w:rFonts w:hint="eastAsia" w:ascii="宋体" w:hAnsi="宋体" w:eastAsia="宋体" w:cs="宋体"/>
          <w:color w:val="auto"/>
          <w:szCs w:val="21"/>
          <w:highlight w:val="none"/>
          <w:lang w:eastAsia="zh-CN"/>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highlight w:val="none"/>
        </w:rPr>
      </w:pPr>
      <w:r>
        <w:rPr>
          <w:rFonts w:hint="eastAsia" w:ascii="宋体" w:hAnsi="宋体" w:cs="宋体"/>
          <w:color w:val="auto"/>
          <w:szCs w:val="21"/>
          <w:highlight w:val="none"/>
          <w:lang w:val="en-US" w:eastAsia="zh-CN"/>
        </w:rPr>
        <w:t>合理化建议</w:t>
      </w:r>
      <w:r>
        <w:rPr>
          <w:rFonts w:hint="eastAsia" w:ascii="宋体" w:hAnsi="宋体" w:eastAsia="宋体" w:cs="宋体"/>
          <w:color w:val="auto"/>
          <w:szCs w:val="21"/>
          <w:highlight w:val="none"/>
          <w:lang w:eastAsia="zh-CN"/>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企业实力</w:t>
      </w:r>
      <w:r>
        <w:rPr>
          <w:rFonts w:hint="eastAsia" w:ascii="宋体" w:hAnsi="宋体" w:eastAsia="宋体" w:cs="宋体"/>
          <w:color w:val="auto"/>
          <w:szCs w:val="21"/>
          <w:highlight w:val="none"/>
        </w:rPr>
        <w:t>；</w:t>
      </w:r>
    </w:p>
    <w:p>
      <w:pPr>
        <w:numPr>
          <w:ilvl w:val="0"/>
          <w:numId w:val="4"/>
        </w:numPr>
        <w:adjustRightInd w:val="0"/>
        <w:snapToGrid w:val="0"/>
        <w:spacing w:line="360" w:lineRule="exact"/>
        <w:ind w:left="533" w:leftChars="0" w:hanging="42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技术力量投入；</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项目负责人一览表</w:t>
      </w:r>
      <w:r>
        <w:rPr>
          <w:rFonts w:hint="eastAsia" w:ascii="宋体" w:hAnsi="宋体" w:eastAsia="宋体" w:cs="宋体"/>
          <w:color w:val="auto"/>
          <w:szCs w:val="21"/>
          <w:highlight w:val="none"/>
        </w:rPr>
        <w:t>（格式见第六章）；</w:t>
      </w:r>
    </w:p>
    <w:p>
      <w:pPr>
        <w:numPr>
          <w:ilvl w:val="0"/>
          <w:numId w:val="4"/>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拟投入实施的团队人员配置（格式见第六章）；</w:t>
      </w:r>
    </w:p>
    <w:p>
      <w:pPr>
        <w:numPr>
          <w:ilvl w:val="0"/>
          <w:numId w:val="4"/>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商务响应表（格式见第六章）；</w:t>
      </w:r>
    </w:p>
    <w:p>
      <w:pPr>
        <w:numPr>
          <w:ilvl w:val="0"/>
          <w:numId w:val="4"/>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同类项目实施情况一览表（格式见第六章）；</w:t>
      </w:r>
    </w:p>
    <w:p>
      <w:pPr>
        <w:numPr>
          <w:ilvl w:val="0"/>
          <w:numId w:val="4"/>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根据评分表及项目需求情况，自行添加相关表格及资料。</w:t>
      </w:r>
    </w:p>
    <w:p>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报价文件包括：</w:t>
      </w:r>
    </w:p>
    <w:p>
      <w:pPr>
        <w:numPr>
          <w:ilvl w:val="0"/>
          <w:numId w:val="5"/>
        </w:numPr>
        <w:snapToGrid w:val="0"/>
        <w:spacing w:line="360" w:lineRule="exact"/>
        <w:ind w:left="533"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开标一览表（格式见第六章）；</w:t>
      </w:r>
    </w:p>
    <w:p>
      <w:pPr>
        <w:numPr>
          <w:ilvl w:val="0"/>
          <w:numId w:val="5"/>
        </w:numPr>
        <w:snapToGrid w:val="0"/>
        <w:spacing w:line="360" w:lineRule="exact"/>
        <w:ind w:left="533" w:leftChars="0" w:hanging="420" w:firstLineChars="0"/>
        <w:jc w:val="left"/>
        <w:rPr>
          <w:rFonts w:ascii="宋体" w:hAnsi="宋体" w:cs="宋体"/>
          <w:color w:val="auto"/>
          <w:szCs w:val="21"/>
          <w:highlight w:val="none"/>
        </w:rPr>
      </w:pPr>
      <w:r>
        <w:rPr>
          <w:rFonts w:hint="eastAsia" w:ascii="宋体" w:hAnsi="宋体" w:cs="宋体"/>
          <w:color w:val="auto"/>
          <w:szCs w:val="21"/>
          <w:highlight w:val="none"/>
          <w:lang w:val="en-US" w:eastAsia="zh-CN"/>
        </w:rPr>
        <w:t>报价明细表</w:t>
      </w:r>
      <w:r>
        <w:rPr>
          <w:rFonts w:hint="eastAsia" w:ascii="宋体" w:hAnsi="宋体" w:cs="宋体"/>
          <w:color w:val="auto"/>
          <w:szCs w:val="21"/>
          <w:highlight w:val="none"/>
        </w:rPr>
        <w:t>（格式见第六章）</w:t>
      </w:r>
    </w:p>
    <w:p>
      <w:pPr>
        <w:numPr>
          <w:ilvl w:val="0"/>
          <w:numId w:val="5"/>
        </w:numPr>
        <w:snapToGrid w:val="0"/>
        <w:spacing w:line="360" w:lineRule="exact"/>
        <w:ind w:left="533"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投标人针对报价的说明或证明材料。</w:t>
      </w:r>
    </w:p>
    <w:p>
      <w:pPr>
        <w:adjustRightInd w:val="0"/>
        <w:snapToGrid w:val="0"/>
        <w:spacing w:line="36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注:法定代表人授权委托书、投标资格声明书、投标函必须由法定代表人署并加盖单位公章，签章不齐的视同未提供;投标人应保证以上资料真实有效，必要时须提供原件进行核验，如发现弄虚作假，将取消投标资格，已中标的取消中标资格，并按有关规定处罚。</w:t>
      </w:r>
    </w:p>
    <w:p>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（二）投标文件的语言及度量衡单位</w:t>
      </w:r>
    </w:p>
    <w:p>
      <w:pPr>
        <w:adjustRightInd w:val="0"/>
        <w:snapToGrid w:val="0"/>
        <w:spacing w:line="360" w:lineRule="exact"/>
        <w:ind w:firstLine="420" w:firstLineChars="200"/>
        <w:jc w:val="left"/>
        <w:rPr>
          <w:rFonts w:ascii="宋体" w:hAnsi="宋体" w:cs="宋体"/>
          <w:color w:val="auto"/>
          <w:szCs w:val="21"/>
          <w:highlight w:val="none"/>
        </w:rPr>
      </w:pPr>
      <w:bookmarkStart w:id="82" w:name="OLE_LINK8"/>
      <w:r>
        <w:rPr>
          <w:rFonts w:hint="eastAsia" w:ascii="宋体" w:hAnsi="宋体" w:cs="宋体"/>
          <w:color w:val="auto"/>
          <w:szCs w:val="21"/>
          <w:highlight w:val="none"/>
        </w:rPr>
        <w:t>▲</w:t>
      </w:r>
      <w:bookmarkEnd w:id="82"/>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投标文件以及投标人与采购人和采购代理机构就有关投标事宜的所有来往函电，均应以中文书写。</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投标文件所使用的度量衡单位，均采用我国法定计量单位。</w:t>
      </w:r>
      <w:bookmarkStart w:id="83" w:name="_Toc177825126"/>
      <w:bookmarkStart w:id="84" w:name="_Toc177870548"/>
      <w:bookmarkStart w:id="85" w:name="_Toc177824945"/>
      <w:bookmarkStart w:id="86" w:name="_Toc177824878"/>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对不同文字文本投标文件的解释发生异议的，以中文文本为准。</w:t>
      </w:r>
    </w:p>
    <w:bookmarkEnd w:id="83"/>
    <w:bookmarkEnd w:id="84"/>
    <w:bookmarkEnd w:id="85"/>
    <w:bookmarkEnd w:id="86"/>
    <w:p>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（三）投标报价</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投标报价应按招标文件中相关附表格式填写。</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招标采购单位不接受备选方案。</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投标文件只允许有一个报价，有选择的报价将不予接受。</w:t>
      </w:r>
    </w:p>
    <w:p>
      <w:pP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投标人应充分考虑因各种原因可能发生的费用。对没有填报的费用，采购人认为所有费用已包含在报价中，除合同条款另有规定外，不得进行调整。</w:t>
      </w:r>
    </w:p>
    <w:p>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（四）投标文件的有效期</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自投标截止日起</w:t>
      </w:r>
      <w:r>
        <w:rPr>
          <w:rFonts w:hint="eastAsia" w:ascii="宋体" w:hAnsi="宋体" w:cs="宋体"/>
          <w:color w:val="auto"/>
          <w:szCs w:val="21"/>
          <w:highlight w:val="none"/>
          <w:u w:val="single"/>
        </w:rPr>
        <w:t>90天</w:t>
      </w:r>
      <w:r>
        <w:rPr>
          <w:rFonts w:hint="eastAsia" w:ascii="宋体" w:hAnsi="宋体" w:cs="宋体"/>
          <w:color w:val="auto"/>
          <w:szCs w:val="21"/>
          <w:highlight w:val="none"/>
        </w:rPr>
        <w:t>投标书应保持有效。有效期短于这个规定期限的投标将被拒绝。</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在特殊情况下，采购人可与投标人协商延长投标书的有效期，这种要求和答复均以书面形式进行。</w:t>
      </w:r>
      <w:bookmarkStart w:id="87" w:name="_Toc177870549"/>
      <w:bookmarkStart w:id="88" w:name="_Toc177824879"/>
      <w:bookmarkStart w:id="89" w:name="_Toc177824946"/>
      <w:bookmarkStart w:id="90" w:name="_Toc177825127"/>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投标人可拒绝接受延期要求而不会导致投标保证金被不予返还。同意延长有效期的投标人需要相应延长投标保证金的有效期，但不能修改投标文件。</w:t>
      </w:r>
      <w:bookmarkEnd w:id="87"/>
      <w:bookmarkEnd w:id="88"/>
      <w:bookmarkEnd w:id="89"/>
      <w:bookmarkEnd w:id="90"/>
      <w:r>
        <w:rPr>
          <w:rFonts w:hint="eastAsia" w:ascii="宋体" w:hAnsi="宋体" w:cs="宋体"/>
          <w:color w:val="auto"/>
          <w:szCs w:val="21"/>
          <w:highlight w:val="none"/>
        </w:rPr>
        <w:t xml:space="preserve"> </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中标人的投标文件自开标之日起至合同履行完毕止均应保持有效。</w:t>
      </w:r>
    </w:p>
    <w:p>
      <w:pPr>
        <w:adjustRightInd w:val="0"/>
        <w:snapToGrid w:val="0"/>
        <w:spacing w:line="360" w:lineRule="exact"/>
        <w:jc w:val="left"/>
        <w:rPr>
          <w:rFonts w:ascii="宋体" w:hAnsi="宋体" w:cs="宋体"/>
          <w:b/>
          <w:color w:val="auto"/>
          <w:szCs w:val="21"/>
          <w:highlight w:val="none"/>
        </w:rPr>
      </w:pPr>
      <w:bookmarkStart w:id="91" w:name="_Toc177824947"/>
      <w:bookmarkStart w:id="92" w:name="_Toc177825128"/>
      <w:bookmarkStart w:id="93" w:name="_Toc177824880"/>
      <w:bookmarkStart w:id="94" w:name="_Toc177870550"/>
      <w:r>
        <w:rPr>
          <w:rFonts w:hint="eastAsia" w:ascii="宋体" w:hAnsi="宋体" w:cs="宋体"/>
          <w:b/>
          <w:color w:val="auto"/>
          <w:szCs w:val="21"/>
          <w:highlight w:val="none"/>
        </w:rPr>
        <w:t>（五）投标保证金</w:t>
      </w:r>
      <w:bookmarkEnd w:id="91"/>
      <w:bookmarkEnd w:id="92"/>
      <w:bookmarkEnd w:id="93"/>
      <w:bookmarkEnd w:id="94"/>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w:t>
      </w:r>
    </w:p>
    <w:p>
      <w:pPr>
        <w:rPr>
          <w:rFonts w:ascii="宋体" w:hAnsi="宋体" w:cs="宋体"/>
          <w:b/>
          <w:color w:val="auto"/>
          <w:szCs w:val="20"/>
          <w:highlight w:val="none"/>
        </w:rPr>
      </w:pPr>
      <w:bookmarkStart w:id="95" w:name="_Toc177825129"/>
      <w:bookmarkStart w:id="96" w:name="_Toc177824881"/>
      <w:bookmarkStart w:id="97" w:name="_Toc177824948"/>
      <w:bookmarkStart w:id="98" w:name="_Toc177870551"/>
      <w:r>
        <w:rPr>
          <w:rFonts w:hint="eastAsia" w:ascii="宋体" w:hAnsi="宋体" w:cs="宋体"/>
          <w:b/>
          <w:color w:val="auto"/>
          <w:szCs w:val="21"/>
          <w:highlight w:val="none"/>
        </w:rPr>
        <w:t>（六）</w:t>
      </w:r>
      <w:r>
        <w:rPr>
          <w:rFonts w:hint="eastAsia" w:ascii="宋体" w:hAnsi="宋体" w:cs="宋体"/>
          <w:b/>
          <w:color w:val="auto"/>
          <w:szCs w:val="20"/>
          <w:highlight w:val="none"/>
        </w:rPr>
        <w:t>投标文件编制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本项目通过“政采云平台（www.zcygov.cn）”实行在线投标响应（电子投标）。投标人应通过“政采云电子交易客户端”，并按照本招标文件和“政府采购云平台”的要求编制并加密投标文件。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投标人应当按照本章节 “投标文件的组成”规定的内容及顺序在“政采云电子交易客户端”编制投标文件。其中《资格证明文件》和《</w:t>
      </w:r>
      <w:r>
        <w:rPr>
          <w:rFonts w:hint="eastAsia" w:ascii="宋体" w:hAnsi="宋体" w:cs="宋体"/>
          <w:color w:val="auto"/>
          <w:szCs w:val="21"/>
          <w:highlight w:val="none"/>
          <w:lang w:eastAsia="zh-CN"/>
        </w:rPr>
        <w:t>商务技术文件</w:t>
      </w:r>
      <w:r>
        <w:rPr>
          <w:rFonts w:hint="eastAsia" w:ascii="宋体" w:hAnsi="宋体" w:cs="宋体"/>
          <w:color w:val="auto"/>
          <w:szCs w:val="21"/>
          <w:highlight w:val="none"/>
        </w:rPr>
        <w:t>》中不得出现本项目投标报价，如因投标人原因提前泄露投标报价的，是投标人的责任。</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投标文件内容不完整、编排混乱导致投标文件被误读、漏读或者查找不到相关内容的，是投标人的责任。</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投标文件因字迹潦草或表达不清所引起的后果由投标人负责。</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投标人没有按照本招标文件内 “投标文件的组成”要求提供全部资料，或者没有仔细阅读招标文件，或者没有对招标文件在各方面的要求作出实质性响应是投标人的风险，由此造成的一切后果由投标人自行承担。</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投标文件的签章</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投标文件的签章见《前附表》；</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投标文件应由投标人法定代表人或其授权代表签字（或盖章），并时加盖投标人公章。</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 参与在线投标时如遇平台技术问题详询400-881-7190。</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投标文件的形式</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 投标文件的形式：见《前附表》；</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“电子加密投标文件”：“电子加密投标文件”是指通过“政采云电子交易客户端”完成投标文件编制后生成并加密的数据电文形式的投标文件。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投标文件的份数</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投标文件的份数：见《前附表》。</w:t>
      </w:r>
    </w:p>
    <w:p>
      <w:pPr>
        <w:rPr>
          <w:rFonts w:ascii="宋体" w:hAnsi="宋体" w:cs="宋体"/>
          <w:b/>
          <w:color w:val="auto"/>
          <w:szCs w:val="20"/>
          <w:highlight w:val="none"/>
        </w:rPr>
      </w:pPr>
      <w:r>
        <w:rPr>
          <w:rFonts w:hint="eastAsia" w:ascii="宋体" w:hAnsi="宋体" w:cs="宋体"/>
          <w:b/>
          <w:color w:val="auto"/>
          <w:szCs w:val="20"/>
          <w:highlight w:val="none"/>
        </w:rPr>
        <w:t>（七）投标文件的递交</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投标文件的上传、递交</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“投标文件”的上传、递交：见《前附表》。</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“电子加密投标文件”解密和异常情况处理</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“电子加密投标文件”解密：见《前附表》。</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投标文件的补充、修改或撤回</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投标截止时间后，投标人不得撤回、修改《投标文件》。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投标文件的备选方案</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投标人不得递交任何的投标备选（替代）方案，否则其投标文件将作无效标处理。与“电子加密投标文件”同时生成的“备份投标文件”不是投标备选方案。</w:t>
      </w:r>
    </w:p>
    <w:bookmarkEnd w:id="95"/>
    <w:bookmarkEnd w:id="96"/>
    <w:bookmarkEnd w:id="97"/>
    <w:bookmarkEnd w:id="98"/>
    <w:p>
      <w:pPr>
        <w:adjustRightInd w:val="0"/>
        <w:snapToGrid w:val="0"/>
        <w:spacing w:line="360" w:lineRule="exact"/>
        <w:ind w:firstLine="420" w:firstLineChars="200"/>
        <w:jc w:val="left"/>
        <w:rPr>
          <w:rFonts w:ascii="宋体" w:hAnsi="宋体" w:cs="宋体"/>
          <w:color w:val="auto"/>
          <w:szCs w:val="21"/>
          <w:highlight w:val="none"/>
        </w:rPr>
      </w:pPr>
      <w:bookmarkStart w:id="99" w:name="_Toc177870552"/>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投标截止期</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5.1投标人应按前附表规定的时间、地点将投标文件递交给采购代理机构，采购代理机构将拒绝接受逾期送达的投标文件。</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99"/>
      <w:bookmarkStart w:id="100" w:name="_Toc107820050"/>
      <w:bookmarkStart w:id="101" w:name="_Toc170792769"/>
    </w:p>
    <w:p>
      <w:pPr>
        <w:rPr>
          <w:color w:val="auto"/>
          <w:highlight w:val="none"/>
        </w:rPr>
      </w:pPr>
    </w:p>
    <w:bookmarkEnd w:id="100"/>
    <w:bookmarkEnd w:id="101"/>
    <w:p>
      <w:pPr>
        <w:pStyle w:val="5"/>
        <w:spacing w:before="0" w:after="0" w:line="240" w:lineRule="auto"/>
        <w:rPr>
          <w:rFonts w:ascii="宋体" w:hAnsi="宋体" w:eastAsia="宋体" w:cs="宋体"/>
          <w:color w:val="auto"/>
          <w:sz w:val="24"/>
          <w:szCs w:val="24"/>
          <w:highlight w:val="none"/>
        </w:rPr>
      </w:pPr>
      <w:bookmarkStart w:id="102" w:name="_Toc15896"/>
      <w:bookmarkStart w:id="103" w:name="_Toc20939"/>
      <w:bookmarkStart w:id="104" w:name="_Toc4085"/>
      <w:bookmarkStart w:id="105" w:name="_Toc4662"/>
      <w:bookmarkStart w:id="106" w:name="_Toc317341941"/>
      <w:bookmarkStart w:id="107" w:name="_Toc222632758"/>
      <w:r>
        <w:rPr>
          <w:rFonts w:hint="eastAsia" w:ascii="宋体" w:hAnsi="宋体" w:eastAsia="宋体" w:cs="宋体"/>
          <w:color w:val="auto"/>
          <w:sz w:val="24"/>
          <w:szCs w:val="24"/>
          <w:highlight w:val="none"/>
        </w:rPr>
        <w:t>四、开标</w:t>
      </w:r>
      <w:bookmarkEnd w:id="102"/>
      <w:bookmarkEnd w:id="103"/>
      <w:bookmarkEnd w:id="104"/>
      <w:bookmarkEnd w:id="105"/>
      <w:bookmarkEnd w:id="106"/>
      <w:bookmarkEnd w:id="107"/>
    </w:p>
    <w:p>
      <w:pPr>
        <w:adjustRightInd w:val="0"/>
        <w:snapToGrid w:val="0"/>
        <w:spacing w:line="360" w:lineRule="exact"/>
        <w:ind w:firstLine="420" w:firstLineChars="200"/>
        <w:jc w:val="left"/>
        <w:rPr>
          <w:rFonts w:hint="eastAsia" w:ascii="宋体" w:hAnsi="宋体" w:eastAsia="宋体" w:cs="宋体"/>
          <w:color w:val="auto"/>
          <w:szCs w:val="21"/>
          <w:highlight w:val="none"/>
        </w:rPr>
      </w:pPr>
      <w:bookmarkStart w:id="108" w:name="_Toc317341942"/>
      <w:bookmarkStart w:id="109" w:name="_Toc222632759"/>
      <w:r>
        <w:rPr>
          <w:rFonts w:hint="eastAsia" w:ascii="宋体" w:hAnsi="宋体" w:eastAsia="宋体" w:cs="宋体"/>
          <w:color w:val="auto"/>
          <w:szCs w:val="21"/>
          <w:highlight w:val="none"/>
        </w:rPr>
        <w:t>（一）开标形式</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采购组织机构将按照招标文件规定的时间通过“政采云平台”组织开标、开启投标文件，所有投标人均应当准时在线参加。</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开标准备</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开标的准备工作由采购组织机构负责落实；</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（三）开标流程</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开标、开启投标文件时，电子交易平台自动提取所有投标、投标文件，提示采购组织机构和投标人按招标文件规定的方式和时间在线解密。给予投标人在线解密的时间为30分钟。</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投标文件解密后，采购人及采购代理机构将对依法对投标人的资格进行审查，资格审查结束后进入符合性审查和资信技术的评审工作。</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符合性审查、资信技术评审结束后，开启报价文件。</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评标委员会对报价的合理性、准确性等进行审查核实。</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评标委员会完成评审后，通过电子交易平台向采购人及其委托的代理机构提交评审报告。同时打印纸质评审报告签署后由采购代理机构保存。</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评审结束后，代理机构通过电子交易平台或发送邮件形式向各投标人公布中标（成交）候选投标人名单，及采购人最终确定中标或中标人名单的时间和公告方式等。</w:t>
      </w:r>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开标会议结束。</w:t>
      </w:r>
    </w:p>
    <w:p>
      <w:pPr>
        <w:spacing w:after="120" w:line="400" w:lineRule="exact"/>
        <w:ind w:firstLine="373" w:firstLineChars="177"/>
        <w:jc w:val="left"/>
        <w:rPr>
          <w:rFonts w:ascii="宋体" w:hAnsi="宋体" w:cs="宋体"/>
          <w:b/>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pPr>
        <w:spacing w:line="360" w:lineRule="exact"/>
        <w:ind w:firstLine="420" w:firstLineChars="200"/>
        <w:rPr>
          <w:rFonts w:ascii="宋体" w:hAnsi="宋体" w:cs="宋体"/>
          <w:color w:val="auto"/>
          <w:szCs w:val="21"/>
          <w:highlight w:val="none"/>
        </w:rPr>
      </w:pPr>
    </w:p>
    <w:p>
      <w:pPr>
        <w:pStyle w:val="5"/>
        <w:numPr>
          <w:ilvl w:val="0"/>
          <w:numId w:val="6"/>
        </w:numPr>
        <w:spacing w:before="0" w:after="0" w:line="240" w:lineRule="auto"/>
        <w:rPr>
          <w:rFonts w:ascii="宋体" w:hAnsi="宋体" w:eastAsia="宋体" w:cs="宋体"/>
          <w:color w:val="auto"/>
          <w:sz w:val="24"/>
          <w:szCs w:val="24"/>
          <w:highlight w:val="none"/>
        </w:rPr>
      </w:pPr>
      <w:bookmarkStart w:id="110" w:name="_Toc13446"/>
      <w:bookmarkStart w:id="111" w:name="_Toc13947"/>
      <w:bookmarkStart w:id="112" w:name="_Toc17668"/>
      <w:bookmarkStart w:id="113" w:name="_Toc29731"/>
      <w:r>
        <w:rPr>
          <w:rFonts w:hint="eastAsia" w:ascii="宋体" w:hAnsi="宋体" w:eastAsia="宋体" w:cs="宋体"/>
          <w:color w:val="auto"/>
          <w:sz w:val="24"/>
          <w:szCs w:val="24"/>
          <w:highlight w:val="none"/>
        </w:rPr>
        <w:t>资格审查</w:t>
      </w:r>
      <w:bookmarkEnd w:id="110"/>
      <w:bookmarkEnd w:id="111"/>
      <w:bookmarkEnd w:id="112"/>
    </w:p>
    <w:p>
      <w:pPr>
        <w:pStyle w:val="12"/>
        <w:numPr>
          <w:ilvl w:val="0"/>
          <w:numId w:val="7"/>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资格审查人员</w:t>
      </w:r>
    </w:p>
    <w:p>
      <w:pPr>
        <w:pStyle w:val="12"/>
        <w:adjustRightInd w:val="0"/>
        <w:snapToGrid w:val="0"/>
        <w:spacing w:before="0" w:beforeLines="0" w:after="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由采购人及采购代理机构负责。</w:t>
      </w:r>
    </w:p>
    <w:p>
      <w:pPr>
        <w:pStyle w:val="12"/>
        <w:numPr>
          <w:ilvl w:val="0"/>
          <w:numId w:val="7"/>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资格审查依据</w:t>
      </w:r>
    </w:p>
    <w:p>
      <w:pPr>
        <w:pStyle w:val="12"/>
        <w:adjustRightInd w:val="0"/>
        <w:snapToGrid w:val="0"/>
        <w:spacing w:before="0" w:beforeLines="0" w:after="0" w:afterLines="0"/>
        <w:ind w:firstLine="420"/>
        <w:rPr>
          <w:rFonts w:hAnsi="宋体" w:cs="宋体"/>
          <w:bCs/>
          <w:color w:val="auto"/>
          <w:sz w:val="21"/>
          <w:szCs w:val="21"/>
          <w:highlight w:val="none"/>
        </w:rPr>
      </w:pPr>
      <w:r>
        <w:rPr>
          <w:rFonts w:hint="eastAsia" w:hAnsi="宋体" w:cs="宋体"/>
          <w:bCs/>
          <w:color w:val="auto"/>
          <w:sz w:val="21"/>
          <w:szCs w:val="21"/>
          <w:highlight w:val="none"/>
        </w:rPr>
        <w:t>招标文件、投标人的资格证明文件、“信用中国”网站www.creditchina.gov.cn及“中国政府采购网”www.ccgp.gov.cn查询结果。</w:t>
      </w:r>
    </w:p>
    <w:p>
      <w:pPr>
        <w:pStyle w:val="12"/>
        <w:numPr>
          <w:ilvl w:val="0"/>
          <w:numId w:val="7"/>
        </w:numPr>
        <w:adjustRightInd w:val="0"/>
        <w:snapToGrid w:val="0"/>
        <w:spacing w:before="0" w:beforeLines="0" w:after="0" w:afterLines="0"/>
        <w:rPr>
          <w:rFonts w:hAnsi="宋体" w:cs="宋体"/>
          <w:bCs/>
          <w:color w:val="auto"/>
          <w:sz w:val="21"/>
          <w:szCs w:val="21"/>
          <w:highlight w:val="none"/>
        </w:rPr>
      </w:pPr>
      <w:r>
        <w:rPr>
          <w:rFonts w:hint="eastAsia" w:hAnsi="宋体" w:cs="宋体"/>
          <w:bCs/>
          <w:color w:val="auto"/>
          <w:sz w:val="21"/>
          <w:szCs w:val="21"/>
          <w:highlight w:val="none"/>
        </w:rPr>
        <w:t>资格审查方法</w:t>
      </w:r>
    </w:p>
    <w:p>
      <w:pPr>
        <w:numPr>
          <w:ilvl w:val="-1"/>
          <w:numId w:val="0"/>
        </w:num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审查投标人资格证明文件的完整性、符合性。</w:t>
      </w:r>
    </w:p>
    <w:p>
      <w:pPr>
        <w:numPr>
          <w:ilvl w:val="0"/>
          <w:numId w:val="0"/>
        </w:numPr>
        <w:kinsoku/>
        <w:topLinePunct w:val="0"/>
        <w:bidi w:val="0"/>
        <w:spacing w:line="380" w:lineRule="exact"/>
        <w:ind w:firstLine="420" w:firstLineChars="0"/>
        <w:rPr>
          <w:rFonts w:hint="eastAsia" w:ascii="宋体" w:hAnsi="宋体" w:eastAsia="宋体" w:cs="宋体"/>
          <w:b/>
          <w:bCs/>
          <w:szCs w:val="21"/>
          <w:highlight w:val="none"/>
          <w:lang w:val="en-US" w:eastAsia="zh-CN"/>
        </w:rPr>
      </w:pPr>
      <w:r>
        <w:rPr>
          <w:rFonts w:hint="eastAsia" w:ascii="宋体" w:hAnsi="宋体" w:cs="宋体"/>
          <w:b/>
          <w:bCs/>
          <w:kern w:val="0"/>
          <w:szCs w:val="21"/>
          <w:highlight w:val="none"/>
        </w:rPr>
        <w:t>2</w:t>
      </w:r>
      <w:r>
        <w:rPr>
          <w:rFonts w:hint="eastAsia" w:ascii="宋体" w:hAnsi="宋体" w:cs="宋体"/>
          <w:b/>
          <w:bCs/>
          <w:kern w:val="0"/>
          <w:szCs w:val="21"/>
          <w:highlight w:val="none"/>
          <w:lang w:val="en-US" w:eastAsia="zh-CN"/>
        </w:rPr>
        <w:t>.</w:t>
      </w:r>
      <w:r>
        <w:rPr>
          <w:rFonts w:hint="eastAsia" w:ascii="宋体" w:hAnsi="宋体" w:eastAsia="宋体" w:cs="宋体"/>
          <w:b/>
          <w:bCs/>
          <w:szCs w:val="21"/>
          <w:highlight w:val="none"/>
          <w:lang w:val="en-US" w:eastAsia="zh-CN"/>
        </w:rPr>
        <w:t>审查投标人的中小企业声明函时，出现填写错误的，按以下情形处理：</w:t>
      </w:r>
    </w:p>
    <w:p>
      <w:pPr>
        <w:spacing w:line="380" w:lineRule="exact"/>
        <w:ind w:firstLine="422" w:firstLineChars="200"/>
        <w:rPr>
          <w:rFonts w:hint="default" w:ascii="宋体" w:hAnsi="宋体" w:eastAsia="宋体" w:cs="宋体"/>
          <w:b/>
          <w:bCs/>
          <w:sz w:val="21"/>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eastAsia="宋体" w:cs="宋体"/>
          <w:b/>
          <w:bCs/>
          <w:sz w:val="21"/>
          <w:szCs w:val="21"/>
          <w:highlight w:val="none"/>
          <w:lang w:val="en-US" w:eastAsia="zh-CN"/>
        </w:rPr>
        <w:t>中小企业声明函的行业填写</w:t>
      </w:r>
      <w:r>
        <w:rPr>
          <w:rFonts w:hint="eastAsia" w:ascii="宋体" w:hAnsi="宋体" w:eastAsia="宋体" w:cs="宋体"/>
          <w:b/>
          <w:bCs/>
          <w:szCs w:val="21"/>
          <w:highlight w:val="none"/>
          <w:lang w:val="en-US" w:eastAsia="zh-CN"/>
        </w:rPr>
        <w:t>错误</w:t>
      </w:r>
      <w:r>
        <w:rPr>
          <w:rFonts w:hint="eastAsia" w:ascii="宋体" w:hAnsi="宋体" w:eastAsia="宋体" w:cs="宋体"/>
          <w:b/>
          <w:bCs/>
          <w:sz w:val="21"/>
          <w:szCs w:val="21"/>
          <w:highlight w:val="none"/>
          <w:lang w:val="en-US" w:eastAsia="zh-CN"/>
        </w:rPr>
        <w:t>，错填为“采购文件确定的行业”或未填写行业全称经资格审查小组认定为明显笔误的，可以要求投标人在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pPr>
        <w:numPr>
          <w:ilvl w:val="0"/>
          <w:numId w:val="0"/>
        </w:num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（2）投标人填写的行业不是采购文件明确的行业的，如采购文件明确的行业类型是</w:t>
      </w:r>
      <w:r>
        <w:rPr>
          <w:rFonts w:hint="eastAsia" w:ascii="宋体" w:hAnsi="宋体" w:eastAsia="宋体" w:cs="宋体"/>
          <w:b/>
          <w:bCs/>
          <w:sz w:val="21"/>
          <w:szCs w:val="21"/>
          <w:highlight w:val="none"/>
          <w:lang w:eastAsia="zh-CN"/>
        </w:rPr>
        <w:t>租赁和商务服务业，</w:t>
      </w:r>
      <w:r>
        <w:rPr>
          <w:rFonts w:hint="eastAsia" w:ascii="宋体" w:hAnsi="宋体" w:eastAsia="宋体" w:cs="宋体"/>
          <w:b/>
          <w:bCs/>
          <w:sz w:val="21"/>
          <w:szCs w:val="21"/>
          <w:highlight w:val="none"/>
          <w:lang w:val="en-US" w:eastAsia="zh-CN"/>
        </w:rPr>
        <w:t>投标人填写为制造业或其他行业，则</w:t>
      </w:r>
      <w:r>
        <w:rPr>
          <w:rFonts w:hint="eastAsia" w:ascii="宋体" w:hAnsi="宋体" w:cs="宋体"/>
          <w:b/>
          <w:bCs/>
          <w:kern w:val="0"/>
          <w:szCs w:val="21"/>
          <w:highlight w:val="none"/>
        </w:rPr>
        <w:t>作资格审查不通过处理（无效投标）</w:t>
      </w:r>
      <w:r>
        <w:rPr>
          <w:rFonts w:hint="eastAsia" w:ascii="宋体" w:hAnsi="宋体" w:eastAsia="宋体" w:cs="宋体"/>
          <w:b/>
          <w:bCs/>
          <w:sz w:val="21"/>
          <w:szCs w:val="21"/>
          <w:highlight w:val="none"/>
          <w:lang w:val="en-US" w:eastAsia="zh-CN"/>
        </w:rPr>
        <w:t>。</w:t>
      </w:r>
    </w:p>
    <w:p>
      <w:pPr>
        <w:widowControl/>
        <w:numPr>
          <w:ilvl w:val="0"/>
          <w:numId w:val="0"/>
        </w:numPr>
        <w:spacing w:line="380" w:lineRule="exact"/>
        <w:ind w:firstLine="422" w:firstLineChars="200"/>
        <w:jc w:val="left"/>
        <w:rPr>
          <w:rFonts w:hint="eastAsia" w:ascii="宋体" w:hAnsi="宋体" w:eastAsia="宋体" w:cs="宋体"/>
          <w:b/>
          <w:bCs/>
          <w:color w:val="000000"/>
          <w:kern w:val="0"/>
          <w:sz w:val="21"/>
          <w:szCs w:val="21"/>
          <w:highlight w:val="none"/>
          <w:lang w:eastAsia="zh-CN" w:bidi="ar"/>
        </w:rPr>
      </w:pPr>
      <w:r>
        <w:rPr>
          <w:rFonts w:hint="eastAsia" w:ascii="宋体" w:hAnsi="宋体" w:eastAsia="宋体" w:cs="宋体"/>
          <w:b/>
          <w:bCs/>
          <w:sz w:val="21"/>
          <w:szCs w:val="21"/>
          <w:highlight w:val="none"/>
          <w:lang w:val="en-US" w:eastAsia="zh-CN"/>
        </w:rPr>
        <w:t>（3）中小企业声明函的类型和数据有矛盾，</w:t>
      </w:r>
      <w:r>
        <w:rPr>
          <w:rFonts w:hint="eastAsia" w:ascii="宋体" w:hAnsi="宋体" w:eastAsia="宋体" w:cs="宋体"/>
          <w:b/>
          <w:bCs/>
          <w:color w:val="000000"/>
          <w:kern w:val="0"/>
          <w:sz w:val="21"/>
          <w:szCs w:val="21"/>
          <w:highlight w:val="none"/>
          <w:lang w:val="en-US" w:eastAsia="zh-CN" w:bidi="ar"/>
        </w:rPr>
        <w:t>类型正确但数据错误的，</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eastAsia="zh-CN" w:bidi="ar"/>
        </w:rPr>
        <w:t>对填报的数据来源</w:t>
      </w:r>
      <w:r>
        <w:rPr>
          <w:rFonts w:hint="eastAsia" w:ascii="宋体" w:hAnsi="宋体" w:eastAsia="宋体" w:cs="宋体"/>
          <w:b/>
          <w:bCs/>
          <w:color w:val="000000"/>
          <w:kern w:val="0"/>
          <w:sz w:val="21"/>
          <w:szCs w:val="21"/>
          <w:highlight w:val="none"/>
          <w:lang w:val="en-US" w:eastAsia="zh-CN" w:bidi="ar"/>
        </w:rPr>
        <w:t>能</w:t>
      </w:r>
      <w:r>
        <w:rPr>
          <w:rFonts w:hint="eastAsia" w:ascii="宋体" w:hAnsi="宋体" w:eastAsia="宋体" w:cs="宋体"/>
          <w:b/>
          <w:bCs/>
          <w:color w:val="000000"/>
          <w:kern w:val="0"/>
          <w:sz w:val="21"/>
          <w:szCs w:val="21"/>
          <w:highlight w:val="none"/>
          <w:lang w:eastAsia="zh-CN" w:bidi="ar"/>
        </w:rPr>
        <w:t>作出合理解释</w:t>
      </w:r>
      <w:r>
        <w:rPr>
          <w:rFonts w:hint="eastAsia" w:ascii="宋体" w:hAnsi="宋体" w:eastAsia="宋体" w:cs="宋体"/>
          <w:b/>
          <w:bCs/>
          <w:color w:val="000000"/>
          <w:kern w:val="0"/>
          <w:sz w:val="21"/>
          <w:szCs w:val="21"/>
          <w:highlight w:val="none"/>
          <w:lang w:val="en-US" w:eastAsia="zh-CN" w:bidi="ar"/>
        </w:rPr>
        <w:t>的，</w:t>
      </w:r>
      <w:r>
        <w:rPr>
          <w:rFonts w:hint="eastAsia" w:ascii="宋体" w:hAnsi="宋体" w:eastAsia="宋体" w:cs="宋体"/>
          <w:b/>
          <w:bCs/>
          <w:szCs w:val="21"/>
          <w:highlight w:val="none"/>
          <w:lang w:val="en-US" w:eastAsia="zh-CN"/>
        </w:rPr>
        <w:t>可予以认定为中小企业：</w:t>
      </w:r>
    </w:p>
    <w:p>
      <w:pPr>
        <w:widowControl/>
        <w:kinsoku/>
        <w:topLinePunct w:val="0"/>
        <w:bidi w:val="0"/>
        <w:spacing w:line="380" w:lineRule="exact"/>
        <w:ind w:firstLine="422" w:firstLineChars="200"/>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（4）</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填写的类型错误，大型企业填写为中型、或小型、或微型企业的，中小企业声明函无效；</w:t>
      </w:r>
    </w:p>
    <w:p>
      <w:p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
        </w:rPr>
        <w:t>（5）</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填写的类型错误，小型企业填写为中型（或微型）企业的但不影响中小企业政策的，</w:t>
      </w:r>
      <w:r>
        <w:rPr>
          <w:rFonts w:hint="eastAsia" w:ascii="宋体" w:hAnsi="宋体" w:eastAsia="宋体" w:cs="宋体"/>
          <w:b/>
          <w:bCs/>
          <w:sz w:val="21"/>
          <w:szCs w:val="21"/>
          <w:highlight w:val="none"/>
          <w:lang w:val="en-US" w:eastAsia="zh-CN"/>
        </w:rPr>
        <w:t>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pPr>
        <w:spacing w:line="380" w:lineRule="exact"/>
        <w:ind w:firstLine="422" w:firstLineChars="200"/>
        <w:jc w:val="left"/>
        <w:rPr>
          <w:rFonts w:hint="eastAsia" w:ascii="宋体" w:hAnsi="宋体" w:cs="宋体"/>
          <w:color w:val="auto"/>
          <w:kern w:val="0"/>
          <w:szCs w:val="21"/>
          <w:highlight w:val="none"/>
        </w:rPr>
      </w:pPr>
      <w:r>
        <w:rPr>
          <w:rFonts w:hint="eastAsia" w:ascii="宋体" w:hAnsi="宋体" w:eastAsia="宋体" w:cs="宋体"/>
          <w:b/>
          <w:bCs/>
          <w:sz w:val="21"/>
          <w:szCs w:val="21"/>
          <w:highlight w:val="none"/>
          <w:lang w:val="en-US" w:eastAsia="zh-CN"/>
        </w:rPr>
        <w:t>除上述情形外的其他错误情形，由资格审查小组按以上处理方式集体讨论决定。</w:t>
      </w:r>
    </w:p>
    <w:p>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登录“信用中国”网站www.creditchina.gov.cn、“中国政府采购网”www.ccgp.gov.cn查询截止投标时间前的各投标人信用记录，打印相关网页页面留存。</w:t>
      </w:r>
    </w:p>
    <w:p>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打印纸质资格审查表并签字确认。</w:t>
      </w:r>
    </w:p>
    <w:p>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单位负责人为同一人或者存在直接控股、管理关系的不同投标人参加同一合同项下的政府采购活动的，相关投标人均作资格无效处理。</w:t>
      </w:r>
    </w:p>
    <w:p>
      <w:pPr>
        <w:ind w:firstLine="371" w:firstLineChars="177"/>
        <w:jc w:val="left"/>
        <w:rPr>
          <w:rFonts w:ascii="宋体" w:hAnsi="宋体" w:cs="宋体"/>
          <w:color w:val="auto"/>
          <w:kern w:val="0"/>
          <w:szCs w:val="21"/>
          <w:highlight w:val="none"/>
        </w:rPr>
      </w:pPr>
    </w:p>
    <w:p>
      <w:pPr>
        <w:pStyle w:val="5"/>
        <w:numPr>
          <w:ilvl w:val="0"/>
          <w:numId w:val="6"/>
        </w:numPr>
        <w:spacing w:before="0" w:after="0" w:line="240" w:lineRule="auto"/>
        <w:rPr>
          <w:rFonts w:ascii="宋体" w:hAnsi="宋体" w:eastAsia="宋体" w:cs="宋体"/>
          <w:color w:val="auto"/>
          <w:sz w:val="24"/>
          <w:szCs w:val="24"/>
          <w:highlight w:val="none"/>
        </w:rPr>
      </w:pPr>
      <w:bookmarkStart w:id="114" w:name="_Toc16490"/>
      <w:bookmarkStart w:id="115" w:name="_Toc27733"/>
      <w:bookmarkStart w:id="116" w:name="_Toc11885"/>
      <w:r>
        <w:rPr>
          <w:rFonts w:hint="eastAsia" w:ascii="宋体" w:hAnsi="宋体" w:eastAsia="宋体" w:cs="宋体"/>
          <w:color w:val="auto"/>
          <w:sz w:val="24"/>
          <w:szCs w:val="24"/>
          <w:highlight w:val="none"/>
        </w:rPr>
        <w:t>评标</w:t>
      </w:r>
      <w:bookmarkEnd w:id="108"/>
      <w:bookmarkEnd w:id="109"/>
      <w:bookmarkEnd w:id="113"/>
      <w:bookmarkEnd w:id="114"/>
      <w:bookmarkEnd w:id="115"/>
      <w:bookmarkEnd w:id="116"/>
    </w:p>
    <w:p>
      <w:pPr>
        <w:pStyle w:val="12"/>
        <w:tabs>
          <w:tab w:val="left" w:pos="720"/>
        </w:tabs>
        <w:adjustRightInd w:val="0"/>
        <w:snapToGrid w:val="0"/>
        <w:spacing w:before="0" w:beforeLines="0" w:after="0" w:afterLines="0"/>
        <w:rPr>
          <w:rFonts w:hAnsi="宋体" w:cs="宋体"/>
          <w:b/>
          <w:color w:val="auto"/>
          <w:sz w:val="21"/>
          <w:szCs w:val="21"/>
          <w:highlight w:val="none"/>
        </w:rPr>
      </w:pPr>
      <w:bookmarkStart w:id="117" w:name="_Toc317341943"/>
      <w:r>
        <w:rPr>
          <w:rFonts w:hint="eastAsia" w:hAnsi="宋体" w:cs="宋体"/>
          <w:b/>
          <w:color w:val="auto"/>
          <w:sz w:val="21"/>
          <w:szCs w:val="21"/>
          <w:highlight w:val="none"/>
        </w:rPr>
        <w:t>（一）评审工作的组织</w:t>
      </w:r>
    </w:p>
    <w:p>
      <w:pPr>
        <w:spacing w:line="400" w:lineRule="exact"/>
        <w:ind w:firstLine="369" w:firstLineChars="176"/>
        <w:rPr>
          <w:rFonts w:ascii="宋体" w:hAnsi="宋体" w:cs="宋体"/>
          <w:b/>
          <w:color w:val="auto"/>
          <w:szCs w:val="21"/>
          <w:highlight w:val="none"/>
        </w:rPr>
      </w:pPr>
      <w:r>
        <w:rPr>
          <w:rFonts w:hint="eastAsia" w:ascii="宋体" w:hAnsi="宋体" w:cs="宋体"/>
          <w:color w:val="auto"/>
          <w:kern w:val="0"/>
          <w:szCs w:val="21"/>
          <w:highlight w:val="none"/>
        </w:rPr>
        <w:t>采购人或采购代理机构负责组织本项目的评审工作，并依据政府采购法的相关规定履行职责。</w:t>
      </w:r>
    </w:p>
    <w:p>
      <w:pPr>
        <w:pStyle w:val="12"/>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（二）组建评标委员会</w:t>
      </w:r>
    </w:p>
    <w:p>
      <w:pPr>
        <w:pStyle w:val="12"/>
        <w:adjustRightInd w:val="0"/>
        <w:snapToGrid w:val="0"/>
        <w:spacing w:before="0" w:beforeLines="0" w:after="0" w:afterLines="0"/>
        <w:ind w:firstLine="420" w:firstLineChars="200"/>
        <w:rPr>
          <w:rFonts w:hAnsi="宋体" w:cs="宋体"/>
          <w:color w:val="auto"/>
          <w:sz w:val="21"/>
          <w:szCs w:val="21"/>
          <w:highlight w:val="none"/>
        </w:rPr>
      </w:pPr>
      <w:r>
        <w:rPr>
          <w:rFonts w:hint="eastAsia" w:hAnsi="宋体" w:cs="宋体"/>
          <w:color w:val="auto"/>
          <w:sz w:val="21"/>
          <w:szCs w:val="21"/>
          <w:highlight w:val="none"/>
        </w:rPr>
        <w:t>本项目评标委员会由合法组建的5人（含）以上单数组成。评标委员会成员名单在评审结果（采购结果）公告前保密。</w:t>
      </w:r>
    </w:p>
    <w:p>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（三）评标委员会的职责</w:t>
      </w:r>
    </w:p>
    <w:p>
      <w:pPr>
        <w:spacing w:line="400" w:lineRule="exact"/>
        <w:ind w:firstLine="371" w:firstLineChars="176"/>
        <w:rPr>
          <w:rFonts w:ascii="宋体" w:hAnsi="宋体" w:cs="宋体"/>
          <w:b/>
          <w:color w:val="auto"/>
          <w:kern w:val="0"/>
          <w:szCs w:val="21"/>
          <w:highlight w:val="none"/>
        </w:rPr>
      </w:pPr>
      <w:r>
        <w:rPr>
          <w:rFonts w:hint="eastAsia" w:ascii="宋体" w:hAnsi="宋体" w:cs="宋体"/>
          <w:b/>
          <w:color w:val="auto"/>
          <w:kern w:val="0"/>
          <w:szCs w:val="21"/>
          <w:highlight w:val="none"/>
        </w:rPr>
        <w:t>评标委员会负责具体评审事务，并独立履行下列职责：</w:t>
      </w:r>
    </w:p>
    <w:p>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审查、评价投标文件是否符合招标文件的资信、技术等实质性要求；</w:t>
      </w:r>
    </w:p>
    <w:p>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要求投标人对投标文件有关事项作出澄清或者说明；</w:t>
      </w:r>
    </w:p>
    <w:p>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对投标文件进行比较和评价；</w:t>
      </w:r>
    </w:p>
    <w:p>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确定中标候选人名单，以及根据采购人委托直接确定中标人；</w:t>
      </w:r>
    </w:p>
    <w:p>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向采购人、采购代理机构或者有关部门报告评审中发现的违法行为。</w:t>
      </w:r>
    </w:p>
    <w:p>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（四）评审原则和评标办法</w:t>
      </w:r>
    </w:p>
    <w:p>
      <w:pPr>
        <w:spacing w:line="4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评审原则：</w:t>
      </w:r>
      <w:r>
        <w:rPr>
          <w:rFonts w:hint="eastAsia" w:ascii="宋体" w:hAnsi="宋体" w:cs="宋体"/>
          <w:color w:val="auto"/>
          <w:kern w:val="0"/>
          <w:szCs w:val="21"/>
          <w:highlight w:val="none"/>
        </w:rPr>
        <w:t>评标委员会</w:t>
      </w:r>
      <w:r>
        <w:rPr>
          <w:rFonts w:hint="eastAsia" w:ascii="宋体" w:hAnsi="宋体" w:cs="宋体"/>
          <w:color w:val="auto"/>
          <w:szCs w:val="21"/>
          <w:highlight w:val="none"/>
        </w:rPr>
        <w:t>按照客观、公正、审慎、择优的原则，根据招标文件规定的评审程序、评审方法和评审标准进行独立评审。</w:t>
      </w:r>
    </w:p>
    <w:p>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评审工作将依据</w:t>
      </w:r>
      <w:r>
        <w:rPr>
          <w:rFonts w:hint="eastAsia" w:ascii="宋体" w:hAnsi="宋体" w:cs="宋体"/>
          <w:color w:val="auto"/>
          <w:kern w:val="0"/>
          <w:szCs w:val="21"/>
          <w:highlight w:val="none"/>
        </w:rPr>
        <w:t>招标文件、投标文件及招标文件中事先已列明的内容进行。</w:t>
      </w:r>
    </w:p>
    <w:p>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评标办法。本项目采用综合评分法，详见《第四章：评标办法及标准》。</w:t>
      </w:r>
    </w:p>
    <w:p>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（五）评审意见的争议处理</w:t>
      </w:r>
    </w:p>
    <w:p>
      <w:pPr>
        <w:spacing w:line="400" w:lineRule="exact"/>
        <w:ind w:firstLine="371" w:firstLineChars="177"/>
        <w:rPr>
          <w:rFonts w:ascii="宋体" w:hAnsi="宋体" w:cs="宋体"/>
          <w:bCs/>
          <w:color w:val="auto"/>
          <w:szCs w:val="21"/>
          <w:highlight w:val="none"/>
        </w:rPr>
      </w:pPr>
      <w:r>
        <w:rPr>
          <w:rFonts w:hint="eastAsia" w:ascii="宋体" w:hAnsi="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pPr>
        <w:pStyle w:val="12"/>
        <w:tabs>
          <w:tab w:val="left" w:pos="720"/>
        </w:tabs>
        <w:adjustRightInd w:val="0"/>
        <w:snapToGrid w:val="0"/>
        <w:spacing w:before="0" w:beforeLines="0" w:after="0" w:afterLines="0"/>
        <w:rPr>
          <w:rFonts w:hAnsi="宋体" w:cs="宋体"/>
          <w:b/>
          <w:color w:val="auto"/>
          <w:sz w:val="21"/>
          <w:szCs w:val="21"/>
          <w:highlight w:val="none"/>
        </w:rPr>
      </w:pPr>
      <w:r>
        <w:rPr>
          <w:rFonts w:hint="eastAsia" w:hAnsi="宋体" w:cs="宋体"/>
          <w:b/>
          <w:color w:val="auto"/>
          <w:sz w:val="21"/>
          <w:szCs w:val="21"/>
          <w:highlight w:val="none"/>
        </w:rPr>
        <w:t>（六）评审纪律</w:t>
      </w:r>
    </w:p>
    <w:p>
      <w:pPr>
        <w:spacing w:after="120" w:line="400" w:lineRule="exact"/>
        <w:ind w:firstLine="371" w:firstLineChars="177"/>
        <w:rPr>
          <w:rFonts w:ascii="宋体" w:hAnsi="宋体" w:cs="宋体"/>
          <w:b/>
          <w:color w:val="auto"/>
          <w:szCs w:val="21"/>
          <w:highlight w:val="none"/>
        </w:rPr>
      </w:pPr>
      <w:r>
        <w:rPr>
          <w:rFonts w:hint="eastAsia" w:ascii="宋体" w:hAnsi="宋体" w:cs="宋体"/>
          <w:color w:val="auto"/>
          <w:szCs w:val="21"/>
          <w:highlight w:val="none"/>
        </w:rPr>
        <w:t>评标委员会成员必须严格遵守保密规定，不得泄露评审的有关情况</w:t>
      </w:r>
      <w:r>
        <w:rPr>
          <w:rFonts w:hint="eastAsia" w:ascii="宋体" w:hAnsi="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pPr>
        <w:pStyle w:val="12"/>
        <w:tabs>
          <w:tab w:val="left" w:pos="720"/>
        </w:tabs>
        <w:adjustRightInd w:val="0"/>
        <w:snapToGrid w:val="0"/>
        <w:spacing w:before="0" w:beforeLines="0" w:after="0" w:afterLines="0"/>
        <w:rPr>
          <w:rFonts w:hAnsi="宋体" w:cs="宋体"/>
          <w:b/>
          <w:color w:val="auto"/>
          <w:sz w:val="21"/>
          <w:szCs w:val="21"/>
          <w:highlight w:val="none"/>
        </w:rPr>
      </w:pPr>
      <w:bookmarkStart w:id="118" w:name="_Toc24550043"/>
      <w:bookmarkStart w:id="119" w:name="_Toc33194395"/>
      <w:r>
        <w:rPr>
          <w:rFonts w:hint="eastAsia" w:hAnsi="宋体" w:cs="宋体"/>
          <w:b/>
          <w:color w:val="auto"/>
          <w:sz w:val="21"/>
          <w:szCs w:val="21"/>
          <w:highlight w:val="none"/>
        </w:rPr>
        <w:t>（七）</w:t>
      </w:r>
      <w:bookmarkEnd w:id="118"/>
      <w:bookmarkStart w:id="120" w:name="_Toc24550044"/>
      <w:r>
        <w:rPr>
          <w:rFonts w:hint="eastAsia" w:hAnsi="宋体" w:cs="宋体"/>
          <w:b/>
          <w:color w:val="auto"/>
          <w:sz w:val="21"/>
          <w:szCs w:val="21"/>
          <w:highlight w:val="none"/>
        </w:rPr>
        <w:t>评审流程及内容</w:t>
      </w:r>
      <w:bookmarkEnd w:id="119"/>
      <w:bookmarkEnd w:id="120"/>
    </w:p>
    <w:p>
      <w:pPr>
        <w:spacing w:line="400" w:lineRule="exact"/>
        <w:ind w:firstLine="371" w:firstLineChars="176"/>
        <w:rPr>
          <w:rFonts w:ascii="宋体" w:hAnsi="宋体" w:cs="宋体"/>
          <w:color w:val="auto"/>
          <w:szCs w:val="21"/>
          <w:highlight w:val="none"/>
        </w:rPr>
      </w:pPr>
      <w:r>
        <w:rPr>
          <w:rFonts w:hint="eastAsia" w:ascii="宋体" w:hAnsi="宋体" w:cs="宋体"/>
          <w:b/>
          <w:color w:val="auto"/>
          <w:kern w:val="0"/>
          <w:szCs w:val="21"/>
          <w:highlight w:val="none"/>
        </w:rPr>
        <w:t>本项目具体的评审事务由评标委员会负责，评审流程及内容如下：</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评审前准备</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1.1由评审专家推选评审小组组长，采购人代表不得担任评审小组组长。</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投标文件的初步审查、符合性审查</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对所有通过资格审查的投标人的投标文件进行初步审查，审查、评价投标文件是否符合招标文件的资信、技术、服务等实质性要求。</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投标文件的澄清、说明或补正</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spacing w:beforeLines="0" w:afterLines="0" w:line="400" w:lineRule="exact"/>
        <w:ind w:firstLine="367" w:firstLineChars="175"/>
        <w:jc w:val="left"/>
        <w:rPr>
          <w:rFonts w:hint="eastAsia" w:ascii="宋体" w:hAnsi="宋体" w:eastAsia="宋体" w:cs="宋体"/>
          <w:b/>
          <w:bCs/>
          <w:szCs w:val="21"/>
          <w:highlight w:val="none"/>
          <w:lang w:val="en-US" w:eastAsia="zh-CN"/>
        </w:rPr>
      </w:pPr>
      <w:r>
        <w:rPr>
          <w:rFonts w:hint="eastAsia" w:ascii="宋体" w:hAnsi="宋体" w:cs="宋体"/>
          <w:color w:val="auto"/>
          <w:szCs w:val="21"/>
          <w:highlight w:val="none"/>
          <w:lang w:val="en-US" w:eastAsia="zh-CN"/>
        </w:rPr>
        <w:t>3.3</w:t>
      </w:r>
      <w:r>
        <w:rPr>
          <w:rFonts w:hint="eastAsia" w:ascii="宋体" w:hAnsi="宋体" w:eastAsia="宋体" w:cs="宋体"/>
          <w:b/>
          <w:bCs/>
          <w:szCs w:val="21"/>
          <w:highlight w:val="none"/>
          <w:lang w:val="en-US" w:eastAsia="zh-CN"/>
        </w:rPr>
        <w:t>评审中出现以下情形之一的，评审委员会应当启动异常低价投标(响应)审查程序:</w:t>
      </w:r>
    </w:p>
    <w:p>
      <w:pPr>
        <w:spacing w:beforeLines="0" w:afterLines="0" w:line="400" w:lineRule="exact"/>
        <w:ind w:firstLine="369" w:firstLineChars="175"/>
        <w:jc w:val="left"/>
        <w:rPr>
          <w:rFonts w:hint="eastAsia"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1</w:t>
      </w: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投标(响应)报价低于全部通过符合性审查供应商投标(响应)报价平均值50%的，即投标(响应)报价&lt;全部通过符合性审查供应商投标(响应)报价平均值x50%；</w:t>
      </w:r>
    </w:p>
    <w:p>
      <w:pPr>
        <w:spacing w:beforeLines="0" w:afterLines="0" w:line="400" w:lineRule="exact"/>
        <w:ind w:firstLine="369" w:firstLineChars="175"/>
        <w:jc w:val="left"/>
        <w:rPr>
          <w:rFonts w:hint="eastAsia"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w:t>
      </w:r>
      <w:r>
        <w:rPr>
          <w:rFonts w:hint="eastAsia" w:ascii="宋体" w:hAnsi="宋体" w:eastAsia="宋体" w:cs="宋体"/>
          <w:b/>
          <w:bCs/>
          <w:szCs w:val="21"/>
          <w:highlight w:val="none"/>
          <w:lang w:val="en-US" w:eastAsia="zh-CN"/>
        </w:rPr>
        <w:t>2</w:t>
      </w:r>
      <w:r>
        <w:rPr>
          <w:rFonts w:hint="default" w:ascii="宋体" w:hAnsi="宋体" w:eastAsia="宋体" w:cs="宋体"/>
          <w:b/>
          <w:bCs/>
          <w:szCs w:val="21"/>
          <w:highlight w:val="none"/>
          <w:lang w:val="en-US" w:eastAsia="zh-CN"/>
        </w:rPr>
        <w:t>)投标(响应)报价低于通过符合性</w:t>
      </w:r>
      <w:r>
        <w:rPr>
          <w:rFonts w:hint="eastAsia" w:ascii="宋体" w:hAnsi="宋体" w:eastAsia="宋体" w:cs="宋体"/>
          <w:b/>
          <w:bCs/>
          <w:szCs w:val="21"/>
          <w:highlight w:val="none"/>
          <w:lang w:val="en-US" w:eastAsia="zh-CN"/>
        </w:rPr>
        <w:t>审查</w:t>
      </w:r>
      <w:r>
        <w:rPr>
          <w:rFonts w:hint="default" w:ascii="宋体" w:hAnsi="宋体" w:eastAsia="宋体" w:cs="宋体"/>
          <w:b/>
          <w:bCs/>
          <w:szCs w:val="21"/>
          <w:highlight w:val="none"/>
          <w:lang w:val="en-US" w:eastAsia="zh-CN"/>
        </w:rPr>
        <w:t>且报价次低供应商投标(响应)报价50%的，即投标(响应)报价&lt;通过符合性审查且报价次低供应商投标(响应)报价x50%</w:t>
      </w:r>
      <w:r>
        <w:rPr>
          <w:rFonts w:hint="eastAsia" w:ascii="宋体" w:hAnsi="宋体" w:eastAsia="宋体" w:cs="宋体"/>
          <w:b/>
          <w:bCs/>
          <w:szCs w:val="21"/>
          <w:highlight w:val="none"/>
          <w:lang w:val="en-US" w:eastAsia="zh-CN"/>
        </w:rPr>
        <w:t>；</w:t>
      </w:r>
    </w:p>
    <w:p>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(3)投标(响应)报价低于采购项目最高限价 45%的，即投标(响应)报价&lt;采购项目最高限价x45%;</w:t>
      </w:r>
    </w:p>
    <w:p>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(4)其他评审委员会认为供应商报价过低，有可能影响产品质量或者不能诚信履约的</w:t>
      </w:r>
      <w:r>
        <w:rPr>
          <w:rFonts w:hint="eastAsia" w:ascii="宋体" w:hAnsi="宋体" w:eastAsia="宋体" w:cs="宋体"/>
          <w:b/>
          <w:bCs/>
          <w:szCs w:val="21"/>
          <w:highlight w:val="none"/>
          <w:lang w:val="en-US" w:eastAsia="zh-CN"/>
        </w:rPr>
        <w:t>情</w:t>
      </w:r>
      <w:r>
        <w:rPr>
          <w:rFonts w:hint="default" w:ascii="宋体" w:hAnsi="宋体" w:eastAsia="宋体" w:cs="宋体"/>
          <w:b/>
          <w:bCs/>
          <w:szCs w:val="21"/>
          <w:highlight w:val="none"/>
          <w:lang w:val="en-US" w:eastAsia="zh-CN"/>
        </w:rPr>
        <w:t>形。</w:t>
      </w:r>
    </w:p>
    <w:p>
      <w:pPr>
        <w:spacing w:beforeLines="0" w:afterLines="0" w:line="400" w:lineRule="exact"/>
        <w:ind w:firstLine="369" w:firstLineChars="175"/>
        <w:jc w:val="left"/>
        <w:rPr>
          <w:rFonts w:hint="default"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评审委员会启动异常低价投标(响应)审查后，应当要求相关供应商在评审现场合理的时间内(30 分钟内)提供书面说明及必要的证明材料，对投标(响应)价格作出解释。书面说明、证明材料主要是项目具体成本测算等与报价合理性相关的说明、材料。</w:t>
      </w:r>
    </w:p>
    <w:p>
      <w:pPr>
        <w:spacing w:beforeLines="0" w:afterLines="0" w:line="400" w:lineRule="exact"/>
        <w:ind w:firstLine="369" w:firstLineChars="175"/>
        <w:jc w:val="left"/>
        <w:rPr>
          <w:rFonts w:hint="eastAsia"/>
          <w:highlight w:val="none"/>
        </w:rPr>
      </w:pPr>
      <w:r>
        <w:rPr>
          <w:rFonts w:hint="default" w:ascii="宋体" w:hAnsi="宋体" w:eastAsia="宋体" w:cs="宋体"/>
          <w:b/>
          <w:bCs/>
          <w:szCs w:val="21"/>
          <w:highlight w:val="none"/>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投标文件的错误修正</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（3）单价金额小数点或者百分比有明显错位的，应以开标一览表（报价表）的总价为准，并修改单价；</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pPr>
        <w:keepNext w:val="0"/>
        <w:keepLines w:val="0"/>
        <w:pageBreakBefore w:val="0"/>
        <w:widowControl w:val="0"/>
        <w:kinsoku/>
        <w:wordWrap/>
        <w:overflowPunct/>
        <w:topLinePunct w:val="0"/>
        <w:autoSpaceDE/>
        <w:autoSpaceDN/>
        <w:bidi w:val="0"/>
        <w:adjustRightInd/>
        <w:snapToGrid/>
        <w:spacing w:beforeLines="0" w:after="0" w:afterLines="0"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4.2对不同文字文本投标文件的解释发生异议的，以中文文本为准。</w:t>
      </w:r>
    </w:p>
    <w:p>
      <w:pPr>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（八）投标文件有下列情况之一者将视为无效：</w:t>
      </w:r>
    </w:p>
    <w:p>
      <w:pPr>
        <w:spacing w:line="400" w:lineRule="exact"/>
        <w:ind w:firstLine="367" w:firstLineChars="175"/>
        <w:rPr>
          <w:rFonts w:ascii="宋体" w:hAnsi="宋体" w:cs="宋体"/>
          <w:color w:val="auto"/>
          <w:kern w:val="0"/>
          <w:szCs w:val="21"/>
          <w:highlight w:val="none"/>
        </w:rPr>
      </w:pPr>
      <w:bookmarkStart w:id="121" w:name="_Hlk33211013"/>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资信、技术文件符合性审查中，存在下列情形之一的，经评标委员会认定后作无效标处理：</w:t>
      </w:r>
    </w:p>
    <w:p>
      <w:pPr>
        <w:tabs>
          <w:tab w:val="left" w:pos="1110"/>
        </w:tabs>
        <w:spacing w:line="400" w:lineRule="exact"/>
        <w:ind w:firstLine="367" w:firstLineChars="175"/>
        <w:rPr>
          <w:rFonts w:ascii="宋体" w:hAnsi="宋体" w:cs="宋体"/>
          <w:color w:val="auto"/>
          <w:kern w:val="0"/>
          <w:szCs w:val="21"/>
          <w:highlight w:val="none"/>
        </w:rPr>
      </w:pPr>
      <w:bookmarkStart w:id="122" w:name="_Toc33194396"/>
      <w:r>
        <w:rPr>
          <w:rFonts w:hint="eastAsia" w:ascii="宋体" w:hAnsi="宋体" w:cs="宋体"/>
          <w:color w:val="auto"/>
          <w:kern w:val="0"/>
          <w:szCs w:val="21"/>
          <w:highlight w:val="none"/>
        </w:rPr>
        <w:t>（1）投标文件未有效授权，法定代表人授权委托书等填写不完整或有涂改的；</w:t>
      </w:r>
      <w:bookmarkEnd w:id="122"/>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21"/>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报价文件符合性审查中，存在下列情形之一的，经评标委员会认定后作无效标处理：</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投标人串通投标的，投标无效。</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pP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pPr>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根据浙财采监(2025)2号《浙江省财政厅关于进一步规范政府采购秩序促进公平竞争的通知》规定，供应商存在下列情形之一且无法合理解释的，其投标(响应)文件无效:</w:t>
      </w:r>
    </w:p>
    <w:p>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(1)不同供应商的电子投标(响应)文件上传计算机的网卡MAC 地址或硬盘序列号等硬件信息相同的</w:t>
      </w:r>
      <w:r>
        <w:rPr>
          <w:rFonts w:hint="eastAsia" w:ascii="宋体" w:hAnsi="宋体" w:eastAsia="宋体" w:cs="宋体"/>
          <w:b/>
          <w:bCs/>
          <w:szCs w:val="21"/>
          <w:highlight w:val="none"/>
          <w:lang w:eastAsia="zh-CN"/>
        </w:rPr>
        <w:t>；</w:t>
      </w:r>
    </w:p>
    <w:p>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(2)上传的电子投标(响应)文件若出现使用本项目其他投标(响应)供应商的数字证书加密的，或者加盖本项目其他投标(响应)供应商的电子印章的</w:t>
      </w:r>
      <w:r>
        <w:rPr>
          <w:rFonts w:hint="eastAsia" w:ascii="宋体" w:hAnsi="宋体" w:eastAsia="宋体" w:cs="宋体"/>
          <w:b/>
          <w:bCs/>
          <w:szCs w:val="21"/>
          <w:highlight w:val="none"/>
          <w:lang w:eastAsia="zh-CN"/>
        </w:rPr>
        <w:t>；</w:t>
      </w:r>
    </w:p>
    <w:p>
      <w:pPr>
        <w:spacing w:line="38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(3)不同供应商的投标(响应)文件的内容存在3处(含)以上错误一致的</w:t>
      </w:r>
      <w:r>
        <w:rPr>
          <w:rFonts w:hint="eastAsia" w:ascii="宋体" w:hAnsi="宋体" w:eastAsia="宋体" w:cs="宋体"/>
          <w:b/>
          <w:bCs/>
          <w:szCs w:val="21"/>
          <w:highlight w:val="none"/>
          <w:lang w:eastAsia="zh-CN"/>
        </w:rPr>
        <w:t>；</w:t>
      </w:r>
    </w:p>
    <w:p>
      <w:pPr>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(4)不同供应商联系人为同一人或不同联系人的联系电话一致的。</w:t>
      </w:r>
    </w:p>
    <w:p>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法律、法规和招标文件规定的其他无效标情形。</w:t>
      </w:r>
    </w:p>
    <w:p>
      <w:pPr>
        <w:adjustRightInd w:val="0"/>
        <w:snapToGrid w:val="0"/>
        <w:spacing w:line="360" w:lineRule="exact"/>
        <w:ind w:firstLine="422" w:firstLineChars="200"/>
        <w:jc w:val="left"/>
        <w:rPr>
          <w:rFonts w:hint="eastAsia" w:eastAsia="宋体"/>
          <w:lang w:val="en-US" w:eastAsia="zh-CN"/>
        </w:rPr>
      </w:pPr>
      <w:r>
        <w:rPr>
          <w:rFonts w:hint="eastAsia" w:ascii="宋体" w:hAnsi="宋体" w:cs="宋体"/>
          <w:b/>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《中小企业声明函》填写出现以下错误的，投标文件无效：</w:t>
      </w:r>
    </w:p>
    <w:p>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（1）中小企业声明函的行业填写错误（错填为“采购文件确定的行业”、或未填写行业全称经评标委员会认定为明显笔误的除外）或者未填写行业的；</w:t>
      </w:r>
    </w:p>
    <w:p>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kern w:val="0"/>
          <w:szCs w:val="21"/>
          <w:highlight w:val="none"/>
        </w:rPr>
        <w:t>投标人</w:t>
      </w:r>
      <w:r>
        <w:rPr>
          <w:rFonts w:hint="eastAsia" w:ascii="宋体" w:hAnsi="宋体" w:cs="宋体"/>
          <w:b/>
          <w:bCs/>
          <w:szCs w:val="21"/>
          <w:highlight w:val="none"/>
        </w:rPr>
        <w:t>填写的行业不是采购文件明确的行业的（如采购文件明确的行业类型是软件和信息技术服务业，</w:t>
      </w:r>
      <w:r>
        <w:rPr>
          <w:rFonts w:hint="eastAsia" w:ascii="宋体" w:hAnsi="宋体" w:cs="宋体"/>
          <w:b/>
          <w:bCs/>
          <w:kern w:val="0"/>
          <w:szCs w:val="21"/>
          <w:highlight w:val="none"/>
        </w:rPr>
        <w:t>投标人</w:t>
      </w:r>
      <w:r>
        <w:rPr>
          <w:rFonts w:hint="eastAsia" w:ascii="宋体" w:hAnsi="宋体" w:cs="宋体"/>
          <w:b/>
          <w:bCs/>
          <w:szCs w:val="21"/>
          <w:highlight w:val="none"/>
        </w:rPr>
        <w:t>填写为制造业或其他行业的）；</w:t>
      </w:r>
    </w:p>
    <w:p>
      <w:pPr>
        <w:widowControl/>
        <w:spacing w:line="380" w:lineRule="exact"/>
        <w:ind w:firstLine="422" w:firstLineChars="20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（3）</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填写的类型正确、但数据错误的，且</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对填报的数据来源不能作出合理解释或解释不合理评标委员会不认可的；</w:t>
      </w:r>
    </w:p>
    <w:p>
      <w:pPr>
        <w:widowControl/>
        <w:spacing w:line="38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000000"/>
          <w:kern w:val="0"/>
          <w:szCs w:val="21"/>
          <w:highlight w:val="none"/>
        </w:rPr>
        <w:t>（4）</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填写的类型错误，大型企业填写为中型、或小型、或微型企业的。</w:t>
      </w:r>
    </w:p>
    <w:p>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（九）投标文件的评估、比较、评分</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（十）修改评审结果</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评标结果汇总完成后，除下列情形外，任何人不得修改评标结果：</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1.1 分值汇总计算错误的；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1.2 分项评分超出评分标准范围的；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1.3 评标委员会成员对客观评审因素评分不一致的；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1.4 经评标委员会认定评分畸高、畸低的。</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评标报告签署前，经复核发现存在以上情形之一的，评标委员会将当场修改评标结果，并在评标报告中记载。</w:t>
      </w:r>
    </w:p>
    <w:p>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（十一）投标人排序及推荐中标（成交）候选投标人</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综合得分相同的，按投标报价低的优先原则确定排名；</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综合得分和投标报价均相同的，按技术资信得分从高到低确定排名；</w:t>
      </w:r>
    </w:p>
    <w:p>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综合得分、投标报价和技术资信得分均相同的由评标委员会全体成员记名投票按少数服从多数的原则确定排名。</w:t>
      </w:r>
    </w:p>
    <w:p>
      <w:pPr>
        <w:spacing w:line="380" w:lineRule="exact"/>
        <w:ind w:firstLine="373" w:firstLineChars="177"/>
        <w:rPr>
          <w:rFonts w:ascii="宋体" w:hAnsi="宋体" w:cs="宋体"/>
          <w:b/>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en-US" w:eastAsia="zh-CN"/>
        </w:rPr>
        <w:t>.</w:t>
      </w:r>
      <w:r>
        <w:rPr>
          <w:rFonts w:hint="eastAsia" w:ascii="宋体" w:hAnsi="宋体" w:cs="宋体"/>
          <w:b/>
          <w:color w:val="auto"/>
          <w:highlight w:val="none"/>
        </w:rPr>
        <w:t>根据最终得分排序，通过书面评审报告的形式，向采购人推荐</w:t>
      </w:r>
      <w:r>
        <w:rPr>
          <w:rFonts w:hint="eastAsia" w:ascii="宋体" w:hAnsi="宋体" w:cs="宋体"/>
          <w:b/>
          <w:color w:val="auto"/>
          <w:kern w:val="0"/>
          <w:highlight w:val="none"/>
        </w:rPr>
        <w:t>排名第一的投标人为第一中标候选人，排名第二的为第二中标候选人</w:t>
      </w:r>
      <w:r>
        <w:rPr>
          <w:rFonts w:hint="eastAsia" w:ascii="宋体" w:hAnsi="宋体" w:cs="宋体"/>
          <w:b/>
          <w:color w:val="auto"/>
          <w:highlight w:val="none"/>
        </w:rPr>
        <w:t>。</w:t>
      </w:r>
    </w:p>
    <w:p>
      <w:pPr>
        <w:tabs>
          <w:tab w:val="left" w:pos="720"/>
        </w:tabs>
        <w:spacing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（十二）起草、签署评审报告</w:t>
      </w:r>
    </w:p>
    <w:p>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pPr>
        <w:tabs>
          <w:tab w:val="left" w:pos="630"/>
        </w:tabs>
        <w:spacing w:after="120"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（十三）评标过程的保密</w:t>
      </w:r>
    </w:p>
    <w:p>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凡是属于审查、澄清、评审和比较的有关资料以及授标建议，任何人均不得向投标人或其他无关的人员透露。</w:t>
      </w:r>
    </w:p>
    <w:p>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本项目评标过程实行全程录音、录像监控，投标人在评标过程中所进行的力图影响评标结果的不公正活动，可能导致其投标被拒绝。</w:t>
      </w:r>
    </w:p>
    <w:p>
      <w:pPr>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（十四）废标的情形</w:t>
      </w:r>
    </w:p>
    <w:p>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在招标采购中，出现下列情形之一的，应予废标：</w:t>
      </w:r>
    </w:p>
    <w:p>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符合专业条件的投标人或者对招标文件作实质性响应的投标人不足三家的；</w:t>
      </w:r>
    </w:p>
    <w:p>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出现影响采购公正的违法、违规行为的；</w:t>
      </w:r>
    </w:p>
    <w:p>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投标人的报价均超过了采购预算，采购人不能支付的；</w:t>
      </w:r>
    </w:p>
    <w:p>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因重大变故，采购任务取消的。</w:t>
      </w:r>
    </w:p>
    <w:p>
      <w:pPr>
        <w:tabs>
          <w:tab w:val="left" w:pos="720"/>
        </w:tabs>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（十五）可中止电子交易活动的情形</w:t>
      </w:r>
    </w:p>
    <w:p>
      <w:pPr>
        <w:spacing w:line="360" w:lineRule="exact"/>
        <w:ind w:firstLine="371" w:firstLineChars="176"/>
        <w:rPr>
          <w:rFonts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电子交易平台发生故障而无法登录访问的；</w:t>
      </w:r>
    </w:p>
    <w:p>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电子交易平台应用或数据库出现错误，不能进行正常操作的；</w:t>
      </w:r>
    </w:p>
    <w:p>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电子交易平台发现严重安全漏洞，有潜在泄密危险的；</w:t>
      </w:r>
    </w:p>
    <w:p>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病毒发作导致不能进行正常操作的；</w:t>
      </w:r>
    </w:p>
    <w:p>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其他无法保证电子交易的公平、公正和安全的情况。</w:t>
      </w:r>
    </w:p>
    <w:p>
      <w:pPr>
        <w:spacing w:line="360" w:lineRule="exact"/>
        <w:ind w:firstLine="422" w:firstLineChars="200"/>
        <w:rPr>
          <w:rFonts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pPr>
        <w:rPr>
          <w:color w:val="auto"/>
          <w:highlight w:val="none"/>
        </w:rPr>
      </w:pPr>
    </w:p>
    <w:p>
      <w:pPr>
        <w:pStyle w:val="5"/>
        <w:numPr>
          <w:ilvl w:val="0"/>
          <w:numId w:val="6"/>
        </w:numPr>
        <w:spacing w:before="0" w:after="0" w:line="240" w:lineRule="auto"/>
        <w:rPr>
          <w:rFonts w:ascii="宋体" w:hAnsi="宋体" w:eastAsia="宋体" w:cs="宋体"/>
          <w:color w:val="auto"/>
          <w:sz w:val="24"/>
          <w:szCs w:val="24"/>
          <w:highlight w:val="none"/>
        </w:rPr>
      </w:pPr>
      <w:bookmarkStart w:id="123" w:name="_Toc10758"/>
      <w:bookmarkStart w:id="124" w:name="_Toc11475"/>
      <w:bookmarkStart w:id="125" w:name="_Toc30968"/>
      <w:bookmarkStart w:id="126" w:name="_Toc28539"/>
      <w:r>
        <w:rPr>
          <w:rFonts w:hint="eastAsia" w:ascii="宋体" w:hAnsi="宋体" w:eastAsia="宋体" w:cs="宋体"/>
          <w:color w:val="auto"/>
          <w:sz w:val="24"/>
          <w:szCs w:val="24"/>
          <w:highlight w:val="none"/>
        </w:rPr>
        <w:t>定标</w:t>
      </w:r>
      <w:bookmarkEnd w:id="117"/>
      <w:bookmarkEnd w:id="123"/>
      <w:bookmarkEnd w:id="124"/>
      <w:bookmarkEnd w:id="125"/>
      <w:bookmarkEnd w:id="126"/>
    </w:p>
    <w:p>
      <w:pPr>
        <w:adjustRightInd w:val="0"/>
        <w:snapToGrid w:val="0"/>
        <w:spacing w:line="360" w:lineRule="exact"/>
        <w:jc w:val="left"/>
        <w:rPr>
          <w:rFonts w:ascii="宋体" w:hAnsi="宋体" w:cs="宋体"/>
          <w:color w:val="auto"/>
          <w:szCs w:val="21"/>
          <w:highlight w:val="none"/>
        </w:rPr>
      </w:pPr>
      <w:bookmarkStart w:id="127" w:name="_Toc317341944"/>
      <w:bookmarkStart w:id="128" w:name="_Toc222632760"/>
      <w:r>
        <w:rPr>
          <w:rFonts w:hint="eastAsia" w:ascii="宋体" w:hAnsi="宋体" w:cs="宋体"/>
          <w:color w:val="auto"/>
          <w:szCs w:val="21"/>
          <w:highlight w:val="none"/>
        </w:rPr>
        <w:t>（一）确定中标人。本项目由采购单位确定中标人。</w:t>
      </w:r>
    </w:p>
    <w:p>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（二）采购代理机构在评标结束后2个工作日内将评标报告交采购单位。</w:t>
      </w:r>
    </w:p>
    <w:p>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（三）采购人在收到评标报告后5个工作日内按照评标报告推荐的顺序确定中标人。中标候选人顺序并列的，由采购人采购小组成员集体讨论确定。</w:t>
      </w:r>
    </w:p>
    <w:p>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采购代理机构对未通过资格审查的投标人，告知其未通过的原因。对未中标人，告知其本人的评审得分和排序。</w:t>
      </w:r>
    </w:p>
    <w:p>
      <w:pPr>
        <w:jc w:val="left"/>
        <w:rPr>
          <w:color w:val="auto"/>
          <w:highlight w:val="none"/>
        </w:rPr>
      </w:pPr>
    </w:p>
    <w:p>
      <w:pPr>
        <w:pStyle w:val="5"/>
        <w:numPr>
          <w:ilvl w:val="0"/>
          <w:numId w:val="6"/>
        </w:numPr>
        <w:spacing w:before="0" w:after="0" w:line="340" w:lineRule="exact"/>
        <w:rPr>
          <w:rFonts w:ascii="宋体" w:hAnsi="宋体" w:eastAsia="宋体" w:cs="宋体"/>
          <w:color w:val="auto"/>
          <w:sz w:val="24"/>
          <w:szCs w:val="24"/>
          <w:highlight w:val="none"/>
        </w:rPr>
      </w:pPr>
      <w:bookmarkStart w:id="129" w:name="_Toc10354"/>
      <w:bookmarkStart w:id="130" w:name="_Toc15751"/>
      <w:bookmarkStart w:id="131" w:name="_Toc23493"/>
      <w:bookmarkStart w:id="132" w:name="_Toc16672"/>
      <w:r>
        <w:rPr>
          <w:rFonts w:hint="eastAsia" w:ascii="宋体" w:hAnsi="宋体" w:eastAsia="宋体" w:cs="宋体"/>
          <w:color w:val="auto"/>
          <w:sz w:val="24"/>
          <w:szCs w:val="24"/>
          <w:highlight w:val="none"/>
        </w:rPr>
        <w:t>合同的授予</w:t>
      </w:r>
      <w:bookmarkEnd w:id="127"/>
      <w:bookmarkEnd w:id="128"/>
      <w:bookmarkEnd w:id="129"/>
      <w:bookmarkEnd w:id="130"/>
      <w:bookmarkEnd w:id="131"/>
      <w:bookmarkEnd w:id="132"/>
    </w:p>
    <w:p>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（一）授予合同的依据</w:t>
      </w:r>
    </w:p>
    <w:p>
      <w:pPr>
        <w:keepNext w:val="0"/>
        <w:keepLines w:val="0"/>
        <w:pageBreakBefore w:val="0"/>
        <w:kinsoku/>
        <w:wordWrap/>
        <w:overflowPunct/>
        <w:topLinePunct w:val="0"/>
        <w:autoSpaceDE w:val="0"/>
        <w:autoSpaceDN w:val="0"/>
        <w:bidi w:val="0"/>
        <w:adjustRightInd w:val="0"/>
        <w:spacing w:line="400" w:lineRule="exact"/>
        <w:ind w:firstLine="420" w:firstLineChars="200"/>
        <w:jc w:val="left"/>
        <w:rPr>
          <w:rFonts w:hint="eastAsia" w:ascii="宋体" w:hAnsi="宋体" w:eastAsia="宋体"/>
          <w:color w:val="000000"/>
          <w:kern w:val="0"/>
          <w:szCs w:val="21"/>
          <w:highlight w:val="none"/>
          <w:lang w:eastAsia="zh-CN"/>
        </w:rPr>
      </w:pPr>
      <w:r>
        <w:rPr>
          <w:rFonts w:hint="eastAsia" w:ascii="宋体" w:hAnsi="宋体"/>
          <w:b w:val="0"/>
          <w:bCs/>
          <w:color w:val="000000"/>
          <w:kern w:val="0"/>
          <w:szCs w:val="21"/>
          <w:highlight w:val="none"/>
        </w:rPr>
        <w:t>1</w:t>
      </w:r>
      <w:r>
        <w:rPr>
          <w:rFonts w:hint="eastAsia" w:ascii="宋体" w:hAnsi="宋体"/>
          <w:b w:val="0"/>
          <w:bCs/>
          <w:color w:val="000000"/>
          <w:kern w:val="0"/>
          <w:szCs w:val="21"/>
          <w:highlight w:val="none"/>
          <w:lang w:val="en-US" w:eastAsia="zh-CN"/>
        </w:rPr>
        <w:t>.</w:t>
      </w:r>
      <w:r>
        <w:rPr>
          <w:rFonts w:hint="eastAsia" w:ascii="宋体" w:hAnsi="宋体"/>
          <w:color w:val="000000"/>
          <w:kern w:val="0"/>
          <w:szCs w:val="21"/>
          <w:highlight w:val="none"/>
        </w:rPr>
        <w:t>根据浙财采监(2025)2号《浙江省财政厅关于进一步规范政府采购秩序促进公平竞争的通知》要求，在评审结束后、合同签订前，采购人、采购代理机构将通过网站查询、原件核对等方式对中标(成交)供应商在投标(响应)文件中涉及客观分评审内容的检测报告</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认证证书等资料的真实性进行复核，复核情况详细记录，并纳入采购档案。本项目要求成交供应商在领取成交通知书时提供上述资料的原件供采购人和采购代理机构复核。如发现供应商提供虚假材料的，将及时书面报告本级财政部门</w:t>
      </w:r>
      <w:r>
        <w:rPr>
          <w:rFonts w:hint="eastAsia" w:ascii="宋体" w:hAnsi="宋体"/>
          <w:color w:val="000000"/>
          <w:kern w:val="0"/>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color w:val="auto"/>
          <w:szCs w:val="21"/>
          <w:highlight w:val="none"/>
          <w:lang w:eastAsia="zh-CN"/>
        </w:rPr>
      </w:pPr>
      <w:r>
        <w:rPr>
          <w:rFonts w:hint="eastAsia" w:ascii="宋体" w:hAnsi="宋体" w:eastAsia="宋体" w:cs="Times New Roman"/>
          <w:color w:val="000000"/>
          <w:kern w:val="0"/>
          <w:szCs w:val="21"/>
          <w:highlight w:val="none"/>
          <w:lang w:val="en-US" w:eastAsia="zh-CN"/>
        </w:rPr>
        <w:t>2.</w:t>
      </w:r>
      <w:r>
        <w:rPr>
          <w:rFonts w:hint="eastAsia" w:ascii="宋体" w:hAnsi="宋体" w:eastAsia="宋体" w:cs="Times New Roman"/>
          <w:color w:val="000000"/>
          <w:kern w:val="0"/>
          <w:szCs w:val="21"/>
          <w:highlight w:val="none"/>
        </w:rPr>
        <w:t>经资料复核无误，采购人与中标人按照中标通知书的规定时间、地点签订书面合同</w:t>
      </w:r>
      <w:r>
        <w:rPr>
          <w:rFonts w:hint="eastAsia" w:ascii="宋体" w:hAnsi="宋体" w:eastAsia="宋体" w:cs="Times New Roman"/>
          <w:color w:val="000000"/>
          <w:kern w:val="0"/>
          <w:szCs w:val="21"/>
          <w:highlight w:val="none"/>
          <w:lang w:eastAsia="zh-CN"/>
        </w:rPr>
        <w:t>；</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所签订的采购合同内容不得对招标文件和中标人的投标文件作实质性修改；</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采购人不得向中标人提出任何不合理的要求，作为签订合同的条件，不得与中标人私下订立背离合同实质性内容的协议；</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自合同签订之日起二个工作日内，采购人应将合同进行网上公告。</w:t>
      </w:r>
    </w:p>
    <w:p>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（二）签署合同的要求</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采购人与中标人按照中标通知书的规定时间、地点签订书面合同；</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签订合同的时间（以前附表为准）；</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所签订的采购合同内容不得对招标文件和中标人的投标文件作实质性修改；</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采购人不得向中标人提出任何不合理的要求，作为签订合同的条件，不得与中标人私下订立背离合同实质性内容的协议；</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自合同签订之日起二个工作日内，采购人应将合同进行网上公告。</w:t>
      </w:r>
    </w:p>
    <w:p>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（三）中标通知书</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确定中标人后，采购人和采购代理机构将以书面形式发出中标通知书；</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中标通知书为双方签订采购合同的依据；</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中标人应根据中标通知书中规定的时间内，由法定代表人或其授权代理人与采购人签订合同。</w:t>
      </w:r>
    </w:p>
    <w:p>
      <w:pPr>
        <w:adjustRightInd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中标通知书发出后，采购人改变中标结果，或者中标人放弃中标，应当承担相应的法律责任。</w:t>
      </w:r>
    </w:p>
    <w:p>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（四）履约保证金</w:t>
      </w:r>
    </w:p>
    <w:p>
      <w:pPr>
        <w:adjustRightInd w:val="0"/>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不收取。</w:t>
      </w:r>
    </w:p>
    <w:p>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（五）合同签订</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采购人与中标人依据招标文件和中标人的投标文件签订书面合同；</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采购人如不与中标人订立协议的，或者采购人、中标人订立背离实质性内容的协议，由政府有关部门责令改正，同时依法承担相应法律责任；</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中标人如不按规定与采购人订立协议的，则采购人将取消其中标资格，并向其要求以预算金额2%额度的赔偿；</w:t>
      </w:r>
    </w:p>
    <w:p>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中标人应当按照协议约定履行义务，完成项目各项工作，不得将中标项目违法转让（转包）给他人。</w:t>
      </w:r>
    </w:p>
    <w:p>
      <w:pPr>
        <w:pStyle w:val="5"/>
        <w:numPr>
          <w:ilvl w:val="0"/>
          <w:numId w:val="6"/>
        </w:numPr>
        <w:spacing w:before="0" w:after="0" w:line="340" w:lineRule="exact"/>
        <w:rPr>
          <w:rFonts w:ascii="宋体" w:hAnsi="宋体" w:eastAsia="宋体" w:cs="宋体"/>
          <w:color w:val="auto"/>
          <w:sz w:val="24"/>
          <w:szCs w:val="24"/>
          <w:highlight w:val="none"/>
        </w:rPr>
      </w:pPr>
      <w:bookmarkStart w:id="133" w:name="_Toc23166"/>
      <w:r>
        <w:rPr>
          <w:rFonts w:hint="eastAsia" w:ascii="宋体" w:hAnsi="宋体" w:eastAsia="宋体" w:cs="宋体"/>
          <w:color w:val="auto"/>
          <w:sz w:val="24"/>
          <w:szCs w:val="24"/>
          <w:highlight w:val="none"/>
        </w:rPr>
        <w:t>采购项目需要落实的政府采购政策</w:t>
      </w:r>
      <w:bookmarkEnd w:id="133"/>
    </w:p>
    <w:p>
      <w:pPr>
        <w:numPr>
          <w:ilvl w:val="0"/>
          <w:numId w:val="8"/>
        </w:numPr>
        <w:autoSpaceDE w:val="0"/>
        <w:autoSpaceDN w:val="0"/>
        <w:adjustRightInd w:val="0"/>
        <w:snapToGri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采购本国生产的货物、工程和服务（经审批允许进口产品投标的除外）</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8"/>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支持绿色采购</w:t>
      </w:r>
    </w:p>
    <w:p>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节能环保产品</w:t>
      </w:r>
    </w:p>
    <w:p>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pPr>
        <w:autoSpaceDE w:val="0"/>
        <w:autoSpaceDN w:val="0"/>
        <w:adjustRightInd w:val="0"/>
        <w:spacing w:beforeLines="0" w:afterLines="0" w:line="400" w:lineRule="exact"/>
        <w:ind w:left="71" w:right="69" w:firstLine="210" w:firstLineChars="100"/>
        <w:rPr>
          <w:rFonts w:hAnsi="宋体" w:cs="宋体"/>
          <w:color w:val="auto"/>
          <w:sz w:val="21"/>
          <w:szCs w:val="21"/>
          <w:highlight w:val="none"/>
        </w:rPr>
      </w:pPr>
      <w:r>
        <w:rPr>
          <w:rFonts w:hint="eastAsia" w:ascii="宋体" w:hAnsi="宋体" w:eastAsia="宋体" w:cs="宋体"/>
          <w:color w:val="auto"/>
          <w:szCs w:val="21"/>
          <w:highlight w:val="none"/>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对于采购货物的配置中，优先采购绿色低碳产品。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修缮、装修类项目采购建材的，采购人应将绿色建筑和绿色建材性能、指标等作为实质性条件纳入招标文件和合同。</w:t>
      </w:r>
    </w:p>
    <w:p>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优先采购绿色包装产品、绿色物流配送服务以及循环利用产品。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pPr>
        <w:pStyle w:val="12"/>
        <w:spacing w:before="0" w:beforeLines="0" w:after="0" w:afterLines="0"/>
        <w:ind w:firstLine="420" w:firstLineChars="200"/>
        <w:rPr>
          <w:rFonts w:hAnsi="宋体" w:cs="宋体"/>
          <w:color w:val="auto"/>
          <w:sz w:val="21"/>
          <w:szCs w:val="21"/>
          <w:highlight w:val="none"/>
        </w:rPr>
      </w:pPr>
      <w:r>
        <w:rPr>
          <w:rFonts w:hint="eastAsia" w:hAnsi="宋体" w:cs="宋体"/>
          <w:color w:val="auto"/>
          <w:sz w:val="21"/>
          <w:szCs w:val="21"/>
          <w:highlight w:val="none"/>
          <w:shd w:val="clear" w:color="auto" w:fill="FFFFFF"/>
        </w:rPr>
        <w:t>选择合理运输路线，有效利用车辆，科学配装，提高运输效率，降低物流成本和资源消耗，并降低尾气排放。</w:t>
      </w:r>
    </w:p>
    <w:p>
      <w:pPr>
        <w:pStyle w:val="12"/>
        <w:numPr>
          <w:ilvl w:val="-1"/>
          <w:numId w:val="0"/>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加大新能源、清洁能源公务交通工具政府采购力度，机要通信等公务用车除特殊地理环境等因素外原则上采购新能源汽车，优先采购提供新能源交通工具的租赁服务。</w:t>
      </w:r>
    </w:p>
    <w:p>
      <w:pPr>
        <w:numPr>
          <w:ilvl w:val="0"/>
          <w:numId w:val="8"/>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支持科技创新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采购人优先采购被认定为首台套产品和“制造精品”的自主创新产品。</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rPr>
        <w:t>对省级以上主管部门认定的首台套产品，自纳入《省推广应用指导目录》起三年内参加政府采购活动，视同已具备相应销售业绩，业绩分为满分。</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（四）中小企业信用融资</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本采购项目中标单位与采购单位签订的政府采购合同适用于浙江省政府采购贷款政策，简称“政采贷”，具体内容可参阅《安吉财政“政采贷”办理指引》。网址：</w:t>
      </w:r>
      <w:r>
        <w:rPr>
          <w:color w:val="auto"/>
          <w:highlight w:val="none"/>
        </w:rPr>
        <w:fldChar w:fldCharType="begin"/>
      </w:r>
      <w:r>
        <w:rPr>
          <w:color w:val="auto"/>
          <w:highlight w:val="none"/>
        </w:rPr>
        <w:instrText xml:space="preserve"> HYPERLINK "http://www.anji.gov.cn/hzgov/front/s553/zwgk/gggs/20231228/i3691136.html" </w:instrText>
      </w:r>
      <w:r>
        <w:rPr>
          <w:color w:val="auto"/>
          <w:highlight w:val="none"/>
        </w:rPr>
        <w:fldChar w:fldCharType="separate"/>
      </w:r>
      <w:r>
        <w:rPr>
          <w:rFonts w:hint="eastAsia" w:ascii="宋体" w:hAnsi="宋体" w:cs="宋体"/>
          <w:color w:val="auto"/>
          <w:szCs w:val="21"/>
          <w:highlight w:val="none"/>
        </w:rPr>
        <w:t>http://www.anji.gov.cn/hzgov/front/s553/zwgk/gggs/20231228/i3691136.html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pPr>
        <w:spacing w:line="400" w:lineRule="exact"/>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（五）支持中小企业发展</w:t>
      </w:r>
    </w:p>
    <w:p>
      <w:pPr>
        <w:widowControl/>
        <w:spacing w:line="400" w:lineRule="exact"/>
        <w:ind w:firstLine="632" w:firstLineChars="300"/>
        <w:jc w:val="left"/>
        <w:rPr>
          <w:rFonts w:ascii="宋体" w:hAnsi="宋体" w:cs="宋体"/>
          <w:color w:val="auto"/>
          <w:szCs w:val="21"/>
          <w:highlight w:val="none"/>
        </w:rPr>
      </w:pPr>
      <w:r>
        <w:rPr>
          <w:rFonts w:hint="eastAsia" w:ascii="宋体" w:hAnsi="宋体" w:cs="宋体"/>
          <w:b/>
          <w:bCs/>
          <w:color w:val="auto"/>
          <w:szCs w:val="21"/>
          <w:highlight w:val="none"/>
        </w:rPr>
        <w:t>本项目为专门面向中小企业采购</w:t>
      </w:r>
      <w:r>
        <w:rPr>
          <w:rFonts w:hint="eastAsia" w:ascii="宋体" w:hAnsi="宋体" w:cs="宋体"/>
          <w:color w:val="auto"/>
          <w:szCs w:val="21"/>
          <w:highlight w:val="none"/>
        </w:rPr>
        <w:t>，</w:t>
      </w:r>
      <w:r>
        <w:rPr>
          <w:rFonts w:hint="eastAsia" w:ascii="宋体" w:hAnsi="宋体" w:cs="宋体"/>
          <w:color w:val="auto"/>
          <w:kern w:val="0"/>
          <w:szCs w:val="21"/>
          <w:highlight w:val="none"/>
        </w:rPr>
        <w:t>为本项目提供货物的企业按照《关于印发中小企业划型标准规定的通知》（工信部联企业〔2011〕300 号）的所属行业分类为</w:t>
      </w:r>
      <w:r>
        <w:rPr>
          <w:rStyle w:val="23"/>
          <w:rFonts w:hint="eastAsia" w:ascii="宋体" w:hAnsi="宋体" w:cs="宋体"/>
          <w:color w:val="FF0000"/>
          <w:sz w:val="24"/>
          <w:szCs w:val="24"/>
          <w:highlight w:val="yellow"/>
          <w:shd w:val="clear" w:color="auto" w:fill="FFFFFF"/>
        </w:rPr>
        <w:t>其他未列明行业</w:t>
      </w:r>
      <w:r>
        <w:rPr>
          <w:rFonts w:hint="eastAsia" w:ascii="宋体" w:hAnsi="宋体" w:cs="宋体"/>
          <w:b/>
          <w:bCs/>
          <w:color w:val="auto"/>
          <w:kern w:val="0"/>
          <w:szCs w:val="21"/>
          <w:highlight w:val="none"/>
        </w:rPr>
        <w:t>。</w:t>
      </w:r>
      <w:r>
        <w:rPr>
          <w:rFonts w:hint="eastAsia" w:ascii="宋体" w:hAnsi="宋体" w:cs="宋体"/>
          <w:color w:val="auto"/>
          <w:szCs w:val="21"/>
          <w:highlight w:val="none"/>
        </w:rPr>
        <w:t>符合以下条件的中小微型企业应按照采购文件附件的格式要求在资格证明文件中提供《中小企业声明函》。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color w:val="auto"/>
          <w:kern w:val="0"/>
          <w:szCs w:val="21"/>
          <w:highlight w:val="none"/>
        </w:rPr>
        <w:t>在政府采购活动中，投标人提供的货物、工程或者服务符合下列情形的，享受中小企业扶持政策：</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2.1在货物采购项目中，货物由中小企业制造，即货物由中小企业生产且使用该中小企业商号或者注册商标；</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2.2在工程采购项目中，工程由中小企业承建，即工程施工单位为中小企业；</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2.3在服务采购项目中，服务由中小企业承接，即提供服务的人员为中小企业依照《中华人民共和国劳动合同法》订立劳动合同的从业人员。</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符合《关于促进残疾人就业政府采购政策的通知》（财库〔2017〕141号）规定的条件并提供《残疾人福利性单位声明函》（附件1）的残疾人福利性单位视同小型、微型企业；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00" w:lineRule="exact"/>
        <w:ind w:firstLine="420" w:firstLineChars="200"/>
        <w:rPr>
          <w:rFonts w:hint="eastAsi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中小企业享受扶持政策获得政府采购合同的，小微企业不得将合同分包给大中型企业，中型企业不得将合同分包给大型企业。</w:t>
      </w:r>
    </w:p>
    <w:p>
      <w:pPr>
        <w:pStyle w:val="4"/>
        <w:spacing w:after="0" w:afterLines="0" w:afterAutospacing="0" w:line="240" w:lineRule="auto"/>
        <w:jc w:val="center"/>
        <w:rPr>
          <w:rFonts w:hint="eastAsia" w:ascii="宋体" w:hAnsi="宋体" w:cs="宋体"/>
          <w:snapToGrid w:val="0"/>
          <w:sz w:val="40"/>
          <w:szCs w:val="36"/>
          <w:highlight w:val="none"/>
        </w:rPr>
        <w:sectPr>
          <w:pgSz w:w="11906" w:h="16838"/>
          <w:pgMar w:top="964" w:right="1247" w:bottom="964" w:left="1247" w:header="680" w:footer="794" w:gutter="0"/>
          <w:pgBorders>
            <w:top w:val="none" w:sz="0" w:space="0"/>
            <w:left w:val="none" w:sz="0" w:space="0"/>
            <w:bottom w:val="single" w:color="auto" w:sz="4" w:space="1"/>
            <w:right w:val="none" w:sz="0" w:space="0"/>
          </w:pgBorders>
          <w:cols w:space="720" w:num="1"/>
          <w:docGrid w:linePitch="312" w:charSpace="0"/>
        </w:sectPr>
      </w:pPr>
    </w:p>
    <w:p>
      <w:pPr>
        <w:pStyle w:val="4"/>
        <w:spacing w:after="0" w:afterLines="0" w:afterAutospacing="0" w:line="240" w:lineRule="auto"/>
        <w:jc w:val="center"/>
        <w:rPr>
          <w:rFonts w:ascii="宋体" w:hAnsi="宋体" w:cs="宋体"/>
          <w:snapToGrid w:val="0"/>
          <w:sz w:val="40"/>
          <w:szCs w:val="36"/>
          <w:highlight w:val="none"/>
        </w:rPr>
      </w:pPr>
      <w:r>
        <w:rPr>
          <w:rFonts w:hint="eastAsia" w:ascii="宋体" w:hAnsi="宋体" w:cs="宋体"/>
          <w:snapToGrid w:val="0"/>
          <w:sz w:val="40"/>
          <w:szCs w:val="36"/>
          <w:highlight w:val="none"/>
        </w:rPr>
        <w:t xml:space="preserve">第四章 </w:t>
      </w:r>
      <w:bookmarkEnd w:id="33"/>
      <w:bookmarkEnd w:id="34"/>
      <w:r>
        <w:rPr>
          <w:rFonts w:hint="eastAsia" w:ascii="宋体" w:hAnsi="宋体" w:cs="宋体"/>
          <w:snapToGrid w:val="0"/>
          <w:sz w:val="40"/>
          <w:szCs w:val="36"/>
          <w:highlight w:val="none"/>
        </w:rPr>
        <w:t xml:space="preserve"> 评标办法及标准</w:t>
      </w:r>
      <w:bookmarkEnd w:id="35"/>
      <w:bookmarkEnd w:id="36"/>
      <w:bookmarkEnd w:id="37"/>
    </w:p>
    <w:p>
      <w:pPr>
        <w:adjustRightInd w:val="0"/>
        <w:snapToGrid w:val="0"/>
        <w:spacing w:beforeAutospacing="0" w:line="360" w:lineRule="exact"/>
        <w:ind w:firstLine="420" w:firstLineChars="200"/>
        <w:rPr>
          <w:rFonts w:ascii="宋体" w:hAnsi="宋体" w:cs="宋体"/>
          <w:szCs w:val="21"/>
          <w:highlight w:val="none"/>
        </w:rPr>
      </w:pPr>
      <w:r>
        <w:rPr>
          <w:rFonts w:hint="eastAsia" w:ascii="宋体" w:hAnsi="宋体" w:cs="宋体"/>
          <w:szCs w:val="21"/>
          <w:highlight w:val="none"/>
        </w:rPr>
        <w:t>为公正、公平、科学地选择中标人，根据《中华人民共和国政府采购法》《政府采购货物服务招标投标管理办法》等有关法律法规的规定，并结合本项目的实际，制定本办法。</w:t>
      </w:r>
    </w:p>
    <w:p>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本办法适用于</w:t>
      </w:r>
      <w:r>
        <w:rPr>
          <w:rFonts w:hint="eastAsia" w:ascii="宋体" w:hAnsi="宋体" w:cs="宋体"/>
          <w:b/>
          <w:bCs/>
          <w:szCs w:val="21"/>
          <w:highlight w:val="none"/>
          <w:u w:val="single"/>
          <w:lang w:eastAsia="zh-CN"/>
        </w:rPr>
        <w:t>2025年度安吉县水域监测评价相关技术服务采购项目</w:t>
      </w:r>
      <w:r>
        <w:rPr>
          <w:rFonts w:hint="eastAsia" w:ascii="宋体" w:hAnsi="宋体" w:cs="宋体"/>
          <w:szCs w:val="21"/>
          <w:highlight w:val="none"/>
        </w:rPr>
        <w:t>的评标。</w:t>
      </w:r>
    </w:p>
    <w:p>
      <w:pPr>
        <w:adjustRightInd w:val="0"/>
        <w:snapToGrid w:val="0"/>
        <w:spacing w:line="360" w:lineRule="exact"/>
        <w:ind w:firstLine="420" w:firstLineChars="200"/>
        <w:rPr>
          <w:rFonts w:ascii="宋体" w:hAnsi="宋体" w:cs="宋体"/>
          <w:szCs w:val="21"/>
          <w:highlight w:val="none"/>
        </w:rPr>
      </w:pPr>
    </w:p>
    <w:p>
      <w:pPr>
        <w:pStyle w:val="5"/>
        <w:spacing w:line="240" w:lineRule="auto"/>
        <w:rPr>
          <w:rFonts w:ascii="宋体" w:hAnsi="宋体" w:eastAsia="宋体" w:cs="宋体"/>
          <w:sz w:val="24"/>
          <w:szCs w:val="24"/>
          <w:highlight w:val="none"/>
        </w:rPr>
      </w:pPr>
      <w:bookmarkStart w:id="134" w:name="_Toc18753"/>
      <w:bookmarkStart w:id="135" w:name="_Toc27962"/>
      <w:bookmarkStart w:id="136" w:name="_Toc4155"/>
      <w:bookmarkStart w:id="137" w:name="_Toc317341947"/>
      <w:bookmarkStart w:id="138" w:name="_Toc300812053"/>
      <w:bookmarkStart w:id="139" w:name="_Toc294470144"/>
      <w:r>
        <w:rPr>
          <w:rFonts w:hint="eastAsia" w:ascii="宋体" w:hAnsi="宋体" w:eastAsia="宋体" w:cs="宋体"/>
          <w:sz w:val="24"/>
          <w:szCs w:val="24"/>
          <w:highlight w:val="none"/>
        </w:rPr>
        <w:t>一、评标程序与方法</w:t>
      </w:r>
      <w:bookmarkEnd w:id="134"/>
      <w:bookmarkEnd w:id="135"/>
      <w:bookmarkEnd w:id="136"/>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评标委员会对通过资格性检查的投标人进行符合性检查。依据招标文件的规定，从投标文件的有效性、完整性和对招标文件的响应程度进行审查，以确定是否对招标文件的实质性要求做出响应。</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比较与评价。评标委员会按上述规定的评标内容和标准，对符合性检查合格的投标文件进行综合比较与独立评分。</w:t>
      </w:r>
    </w:p>
    <w:p>
      <w:pPr>
        <w:spacing w:line="320" w:lineRule="exact"/>
        <w:ind w:firstLine="420" w:firstLineChars="200"/>
        <w:rPr>
          <w:rFonts w:ascii="宋体" w:hAnsi="宋体" w:cs="宋体"/>
          <w:szCs w:val="21"/>
          <w:highlight w:val="none"/>
        </w:rPr>
      </w:pPr>
    </w:p>
    <w:p>
      <w:pPr>
        <w:pStyle w:val="5"/>
        <w:spacing w:line="240" w:lineRule="auto"/>
        <w:rPr>
          <w:rFonts w:ascii="宋体" w:hAnsi="宋体" w:eastAsia="宋体" w:cs="宋体"/>
          <w:sz w:val="24"/>
          <w:szCs w:val="24"/>
          <w:highlight w:val="none"/>
        </w:rPr>
      </w:pPr>
      <w:bookmarkStart w:id="140" w:name="_Toc26404"/>
      <w:bookmarkStart w:id="141" w:name="_Toc2491"/>
      <w:bookmarkStart w:id="142" w:name="_Toc7267"/>
      <w:r>
        <w:rPr>
          <w:rFonts w:hint="eastAsia" w:ascii="宋体" w:hAnsi="宋体" w:eastAsia="宋体" w:cs="宋体"/>
          <w:sz w:val="24"/>
          <w:szCs w:val="24"/>
          <w:highlight w:val="none"/>
        </w:rPr>
        <w:t>二、综合评分法</w:t>
      </w:r>
      <w:bookmarkEnd w:id="140"/>
      <w:bookmarkEnd w:id="141"/>
      <w:bookmarkEnd w:id="142"/>
    </w:p>
    <w:p>
      <w:pPr>
        <w:adjustRightInd w:val="0"/>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本次评标采用综合评分法，总分为100分，其中价格分</w:t>
      </w:r>
      <w:r>
        <w:rPr>
          <w:rFonts w:hint="eastAsia" w:ascii="宋体" w:hAnsi="宋体" w:cs="宋体"/>
          <w:szCs w:val="21"/>
          <w:highlight w:val="none"/>
          <w:lang w:val="en-US" w:eastAsia="zh-CN"/>
        </w:rPr>
        <w:t>20</w:t>
      </w:r>
      <w:r>
        <w:rPr>
          <w:rFonts w:hint="eastAsia" w:ascii="宋体" w:hAnsi="宋体" w:cs="宋体"/>
          <w:szCs w:val="21"/>
          <w:highlight w:val="none"/>
        </w:rPr>
        <w:t>分、技术商务资信分</w:t>
      </w:r>
      <w:r>
        <w:rPr>
          <w:rFonts w:hint="eastAsia" w:ascii="宋体" w:hAnsi="宋体" w:cs="宋体"/>
          <w:szCs w:val="21"/>
          <w:highlight w:val="none"/>
          <w:lang w:val="en-US" w:eastAsia="zh-CN"/>
        </w:rPr>
        <w:t>80</w:t>
      </w:r>
      <w:r>
        <w:rPr>
          <w:rFonts w:hint="eastAsia" w:ascii="宋体" w:hAnsi="宋体" w:cs="宋体"/>
          <w:szCs w:val="21"/>
          <w:highlight w:val="none"/>
        </w:rPr>
        <w:t>分。合格投标人的评标得分为各项目汇总得分，中标候选资格按评标综合得分由高到低顺序排列，推荐中标候选人；得分相同的，按投标报价由低到高顺序排列；得分且投标报价相同的</w:t>
      </w:r>
      <w:r>
        <w:rPr>
          <w:rFonts w:hint="eastAsia" w:ascii="宋体" w:hAnsi="宋体" w:cs="宋体"/>
          <w:szCs w:val="21"/>
          <w:highlight w:val="none"/>
          <w:lang w:eastAsia="zh-CN"/>
        </w:rPr>
        <w:t>，按技术资信得分从高到低确定排名</w:t>
      </w:r>
      <w:r>
        <w:rPr>
          <w:rFonts w:hint="eastAsia" w:ascii="宋体" w:hAnsi="宋体" w:cs="宋体"/>
          <w:szCs w:val="21"/>
          <w:highlight w:val="none"/>
        </w:rPr>
        <w:t>。</w:t>
      </w:r>
    </w:p>
    <w:p>
      <w:pPr>
        <w:pStyle w:val="2"/>
      </w:pPr>
    </w:p>
    <w:p>
      <w:pPr>
        <w:pStyle w:val="5"/>
        <w:spacing w:line="240" w:lineRule="auto"/>
        <w:rPr>
          <w:rFonts w:hint="eastAsia" w:ascii="宋体" w:hAnsi="宋体" w:eastAsia="宋体" w:cs="宋体"/>
          <w:sz w:val="24"/>
          <w:szCs w:val="24"/>
          <w:highlight w:val="none"/>
        </w:rPr>
      </w:pPr>
      <w:bookmarkStart w:id="143" w:name="_Toc3993"/>
      <w:bookmarkStart w:id="144" w:name="_Toc26255"/>
      <w:bookmarkStart w:id="145" w:name="_Toc14114"/>
      <w:bookmarkStart w:id="146" w:name="_Toc23186"/>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评标内容及标准</w:t>
      </w:r>
      <w:bookmarkEnd w:id="137"/>
      <w:bookmarkEnd w:id="138"/>
      <w:bookmarkEnd w:id="139"/>
      <w:bookmarkEnd w:id="143"/>
      <w:bookmarkEnd w:id="144"/>
      <w:bookmarkEnd w:id="145"/>
      <w:bookmarkEnd w:id="146"/>
    </w:p>
    <w:p>
      <w:pPr>
        <w:spacing w:line="360" w:lineRule="exact"/>
        <w:ind w:firstLine="105" w:firstLineChars="50"/>
        <w:rPr>
          <w:rFonts w:hint="eastAsia" w:ascii="宋体" w:hAnsi="宋体" w:eastAsia="宋体" w:cs="宋体"/>
          <w:b/>
          <w:szCs w:val="21"/>
          <w:highlight w:val="none"/>
          <w:lang w:eastAsia="zh-CN"/>
        </w:rPr>
      </w:pPr>
      <w:r>
        <w:rPr>
          <w:rFonts w:hint="eastAsia" w:ascii="宋体" w:hAnsi="宋体" w:cs="宋体"/>
          <w:b/>
          <w:szCs w:val="21"/>
          <w:highlight w:val="none"/>
        </w:rPr>
        <w:t>（一）价格分（</w:t>
      </w:r>
      <w:r>
        <w:rPr>
          <w:rFonts w:hint="eastAsia" w:ascii="宋体" w:hAnsi="宋体" w:cs="宋体"/>
          <w:b/>
          <w:szCs w:val="21"/>
          <w:highlight w:val="none"/>
          <w:lang w:val="en-US" w:eastAsia="zh-CN"/>
        </w:rPr>
        <w:t>20</w:t>
      </w:r>
      <w:r>
        <w:rPr>
          <w:rFonts w:hint="eastAsia" w:ascii="宋体" w:hAnsi="宋体" w:cs="宋体"/>
          <w:b/>
          <w:szCs w:val="21"/>
          <w:highlight w:val="none"/>
        </w:rPr>
        <w:t>分）</w:t>
      </w:r>
    </w:p>
    <w:p>
      <w:pPr>
        <w:pStyle w:val="33"/>
        <w:adjustRightInd w:val="0"/>
        <w:snapToGrid w:val="0"/>
        <w:spacing w:line="36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价格分采用低价优先法计算，即满足招标文件要求且投标报价最低的价格为评标基准价，其他投标人的价格分按照下列公式计算：</w:t>
      </w:r>
    </w:p>
    <w:p>
      <w:pPr>
        <w:adjustRightInd/>
        <w:snapToGrid/>
        <w:spacing w:line="400" w:lineRule="exact"/>
        <w:ind w:left="0" w:firstLine="420" w:firstLineChars="200"/>
        <w:jc w:val="left"/>
        <w:rPr>
          <w:rFonts w:ascii="宋体" w:hAnsi="宋体" w:cs="宋体"/>
          <w:szCs w:val="21"/>
          <w:highlight w:val="none"/>
        </w:rPr>
      </w:pPr>
      <w:r>
        <w:rPr>
          <w:rFonts w:hint="eastAsia" w:ascii="宋体" w:hAnsi="宋体" w:cs="宋体"/>
          <w:szCs w:val="21"/>
          <w:highlight w:val="none"/>
        </w:rPr>
        <w:t>其他投标人的价格分=评标基准价/投标报价×</w:t>
      </w:r>
      <w:r>
        <w:rPr>
          <w:rFonts w:hint="eastAsia" w:ascii="宋体" w:hAnsi="宋体" w:cs="宋体"/>
          <w:szCs w:val="21"/>
          <w:highlight w:val="none"/>
          <w:lang w:val="en-US" w:eastAsia="zh-CN"/>
        </w:rPr>
        <w:t>20</w:t>
      </w:r>
      <w:r>
        <w:rPr>
          <w:rFonts w:hint="eastAsia" w:ascii="宋体" w:hAnsi="宋体" w:cs="宋体"/>
          <w:szCs w:val="21"/>
          <w:highlight w:val="none"/>
        </w:rPr>
        <w:t>%×100</w:t>
      </w:r>
    </w:p>
    <w:p>
      <w:pPr>
        <w:adjustRightInd w:val="0"/>
        <w:snapToGrid w:val="0"/>
        <w:spacing w:line="360" w:lineRule="exact"/>
        <w:ind w:left="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中小企业政策执行：</w:t>
      </w:r>
      <w:r>
        <w:rPr>
          <w:b/>
          <w:bCs/>
          <w:highlight w:val="none"/>
        </w:rPr>
        <w:t>中小企业政策执行以下第</w:t>
      </w:r>
      <w:r>
        <w:rPr>
          <w:rFonts w:hint="eastAsia"/>
          <w:b/>
          <w:bCs/>
          <w:highlight w:val="none"/>
        </w:rPr>
        <w:t>2.1</w:t>
      </w:r>
      <w:r>
        <w:rPr>
          <w:b/>
          <w:bCs/>
          <w:highlight w:val="none"/>
        </w:rPr>
        <w:t>条</w:t>
      </w:r>
    </w:p>
    <w:p>
      <w:pPr>
        <w:adjustRightInd w:val="0"/>
        <w:snapToGrid w:val="0"/>
        <w:spacing w:line="360" w:lineRule="exact"/>
        <w:ind w:firstLine="422" w:firstLineChars="200"/>
        <w:rPr>
          <w:rFonts w:ascii="宋体" w:hAnsi="宋体" w:cs="宋体"/>
          <w:bCs/>
          <w:szCs w:val="21"/>
          <w:highlight w:val="none"/>
        </w:rPr>
      </w:pPr>
      <w:r>
        <w:rPr>
          <w:rFonts w:hint="eastAsia" w:ascii="宋体" w:hAnsi="宋体" w:cs="宋体"/>
          <w:b/>
          <w:bCs w:val="0"/>
          <w:szCs w:val="21"/>
          <w:highlight w:val="none"/>
        </w:rPr>
        <w:t>2.1 本项目为专门面向中小企业采购</w:t>
      </w:r>
      <w:r>
        <w:rPr>
          <w:rFonts w:hint="eastAsia" w:ascii="宋体" w:hAnsi="宋体" w:cs="宋体"/>
          <w:bCs/>
          <w:szCs w:val="21"/>
          <w:highlight w:val="none"/>
        </w:rPr>
        <w:t>，提</w:t>
      </w:r>
      <w:r>
        <w:rPr>
          <w:rFonts w:hint="eastAsia" w:ascii="宋体" w:hAnsi="宋体" w:cs="宋体"/>
          <w:szCs w:val="21"/>
          <w:highlight w:val="none"/>
        </w:rPr>
        <w:t>供服务的供应商非中小企业的，资格审查不通过；符合上述条件的中小微型企业应按照招标文件附件的格式要求在资格文件中提供《中小企业声明函》</w:t>
      </w:r>
      <w:r>
        <w:rPr>
          <w:rFonts w:hint="eastAsia"/>
          <w:highlight w:val="none"/>
        </w:rPr>
        <w:t>；</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2.2根据</w:t>
      </w:r>
      <w:r>
        <w:rPr>
          <w:rFonts w:hint="eastAsia"/>
          <w:highlight w:val="none"/>
        </w:rPr>
        <w:t>《政府采购促进中小</w:t>
      </w:r>
      <w:r>
        <w:rPr>
          <w:highlight w:val="none"/>
        </w:rPr>
        <w:t>企业发展管理办法》（财库﹝2020﹞46 号）</w:t>
      </w:r>
      <w:r>
        <w:rPr>
          <w:rFonts w:hint="eastAsia" w:ascii="宋体" w:hAnsi="宋体" w:cs="宋体"/>
          <w:bCs/>
          <w:szCs w:val="21"/>
          <w:highlight w:val="none"/>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投标产品生产企业（提供服务的企业）按照《关于印发中小企业划型标准规定的通知》（工信部联企业〔2011〕300 号）的所属行业规定为小型、微型企业。投标文件中必须提供《中小企业声明函》；</w:t>
      </w:r>
    </w:p>
    <w:p>
      <w:pPr>
        <w:widowControl/>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符合中小企业划分标准的个体工商户，视同中小企业。</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w:t>
      </w:r>
      <w:r>
        <w:rPr>
          <w:rFonts w:hint="eastAsia" w:ascii="宋体" w:hAnsi="宋体" w:cs="宋体"/>
          <w:bCs/>
          <w:szCs w:val="21"/>
          <w:highlight w:val="none"/>
        </w:rPr>
        <w:t>残疾人福利性单位视同小微企业，其产品参加本项目投标的，享受小微企业同等的价格扣除。</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3.1残疾人福利性单位应当同时满足以下条件：</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3.2 同时提供以下所有证明材料的投标人被认定为残疾人福利性单位：</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① 提供《残疾人福利性单位声明函》；</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4</w:t>
      </w:r>
      <w:r>
        <w:rPr>
          <w:rFonts w:hint="eastAsia" w:ascii="宋体" w:hAnsi="宋体" w:cs="宋体"/>
          <w:bCs/>
          <w:szCs w:val="21"/>
          <w:highlight w:val="none"/>
          <w:lang w:val="en-US" w:eastAsia="zh-CN"/>
        </w:rPr>
        <w:t>.</w:t>
      </w:r>
      <w:r>
        <w:rPr>
          <w:rFonts w:hint="eastAsia" w:ascii="宋体" w:hAnsi="宋体" w:cs="宋体"/>
          <w:bCs/>
          <w:szCs w:val="21"/>
          <w:highlight w:val="none"/>
        </w:rPr>
        <w:t>监狱企业视同小微企业，其产品参加本项目投标的，享受小微企业同等的价格扣除。</w:t>
      </w:r>
    </w:p>
    <w:p>
      <w:pPr>
        <w:adjustRightInd w:val="0"/>
        <w:snapToGrid w:val="0"/>
        <w:spacing w:line="360" w:lineRule="exact"/>
        <w:ind w:firstLine="420" w:firstLineChars="200"/>
        <w:rPr>
          <w:rFonts w:ascii="宋体" w:hAnsi="宋体" w:cs="宋体"/>
          <w:highlight w:val="none"/>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p>
    <w:p>
      <w:pPr>
        <w:spacing w:line="360" w:lineRule="exact"/>
        <w:ind w:firstLine="105" w:firstLineChars="50"/>
        <w:rPr>
          <w:rFonts w:hint="eastAsia" w:ascii="宋体" w:hAnsi="宋体" w:eastAsia="宋体" w:cs="宋体"/>
          <w:b/>
          <w:szCs w:val="21"/>
          <w:highlight w:val="none"/>
          <w:lang w:eastAsia="zh-CN"/>
        </w:rPr>
      </w:pPr>
    </w:p>
    <w:p>
      <w:pPr>
        <w:spacing w:line="360" w:lineRule="exact"/>
        <w:ind w:firstLine="105" w:firstLineChars="50"/>
        <w:rPr>
          <w:rFonts w:hint="eastAsia" w:ascii="宋体" w:hAnsi="宋体" w:eastAsia="宋体" w:cs="宋体"/>
          <w:b/>
          <w:szCs w:val="21"/>
          <w:highlight w:val="none"/>
        </w:rPr>
      </w:pPr>
      <w:r>
        <w:rPr>
          <w:rFonts w:hint="eastAsia" w:ascii="宋体" w:hAnsi="宋体" w:eastAsia="宋体" w:cs="宋体"/>
          <w:b/>
          <w:szCs w:val="21"/>
          <w:highlight w:val="none"/>
          <w:lang w:eastAsia="zh-CN"/>
        </w:rPr>
        <w:t>（二）</w:t>
      </w:r>
      <w:r>
        <w:rPr>
          <w:rFonts w:hint="eastAsia" w:ascii="宋体" w:hAnsi="宋体" w:eastAsia="宋体" w:cs="宋体"/>
          <w:b/>
          <w:szCs w:val="21"/>
          <w:highlight w:val="none"/>
        </w:rPr>
        <w:t>技术、商务资信分</w:t>
      </w:r>
      <w:r>
        <w:rPr>
          <w:rFonts w:hint="eastAsia" w:ascii="宋体" w:hAnsi="宋体" w:eastAsia="宋体" w:cs="宋体"/>
          <w:b/>
          <w:bCs w:val="0"/>
          <w:szCs w:val="21"/>
          <w:highlight w:val="none"/>
          <w:lang w:eastAsia="zh-CN"/>
        </w:rPr>
        <w:t>（</w:t>
      </w:r>
      <w:r>
        <w:rPr>
          <w:rFonts w:hint="eastAsia" w:ascii="宋体" w:hAnsi="宋体" w:cs="宋体"/>
          <w:b/>
          <w:bCs w:val="0"/>
          <w:szCs w:val="21"/>
          <w:highlight w:val="none"/>
          <w:lang w:val="en-US" w:eastAsia="zh-CN"/>
        </w:rPr>
        <w:t>80</w:t>
      </w:r>
      <w:r>
        <w:rPr>
          <w:rFonts w:hint="eastAsia" w:ascii="宋体" w:hAnsi="宋体" w:eastAsia="宋体" w:cs="宋体"/>
          <w:b/>
          <w:bCs w:val="0"/>
          <w:szCs w:val="21"/>
          <w:highlight w:val="none"/>
          <w:lang w:val="en-US" w:eastAsia="zh-CN"/>
        </w:rPr>
        <w:t>分</w:t>
      </w:r>
      <w:r>
        <w:rPr>
          <w:rFonts w:hint="eastAsia" w:ascii="宋体" w:hAnsi="宋体" w:eastAsia="宋体" w:cs="宋体"/>
          <w:b/>
          <w:bCs w:val="0"/>
          <w:szCs w:val="21"/>
          <w:highlight w:val="none"/>
          <w:lang w:eastAsia="zh-CN"/>
        </w:rPr>
        <w:t>）</w:t>
      </w:r>
    </w:p>
    <w:p>
      <w:pPr>
        <w:adjustRightInd w:val="0"/>
        <w:snapToGrid w:val="0"/>
        <w:spacing w:line="360" w:lineRule="exact"/>
        <w:rPr>
          <w:rFonts w:hint="eastAsia" w:ascii="宋体" w:hAnsi="宋体" w:eastAsia="宋体" w:cs="宋体"/>
          <w:b/>
          <w:bCs w:val="0"/>
          <w:szCs w:val="21"/>
          <w:highlight w:val="none"/>
          <w:lang w:eastAsia="zh-CN"/>
        </w:rPr>
      </w:pPr>
    </w:p>
    <w:tbl>
      <w:tblPr>
        <w:tblStyle w:val="20"/>
        <w:tblW w:w="9468" w:type="dxa"/>
        <w:tblInd w:w="0" w:type="dxa"/>
        <w:tblLayout w:type="fixed"/>
        <w:tblCellMar>
          <w:top w:w="0" w:type="dxa"/>
          <w:left w:w="0" w:type="dxa"/>
          <w:bottom w:w="0" w:type="dxa"/>
          <w:right w:w="0" w:type="dxa"/>
        </w:tblCellMar>
      </w:tblPr>
      <w:tblGrid>
        <w:gridCol w:w="638"/>
        <w:gridCol w:w="569"/>
        <w:gridCol w:w="1300"/>
        <w:gridCol w:w="6013"/>
        <w:gridCol w:w="948"/>
      </w:tblGrid>
      <w:tr>
        <w:tblPrEx>
          <w:tblCellMar>
            <w:top w:w="0" w:type="dxa"/>
            <w:left w:w="0" w:type="dxa"/>
            <w:bottom w:w="0" w:type="dxa"/>
            <w:right w:w="0" w:type="dxa"/>
          </w:tblCellMar>
        </w:tblPrEx>
        <w:trPr>
          <w:trHeight w:val="554"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b w:val="0"/>
                <w:bCs w:val="0"/>
                <w:color w:val="auto"/>
                <w:highlight w:val="none"/>
                <w:lang w:val="en-US" w:eastAsia="zh-CN"/>
              </w:rPr>
            </w:pPr>
            <w:r>
              <w:rPr>
                <w:rFonts w:hint="eastAsia" w:ascii="宋体" w:hAnsi="宋体" w:cs="宋体"/>
                <w:b w:val="0"/>
                <w:bCs w:val="0"/>
                <w:color w:val="auto"/>
                <w:szCs w:val="21"/>
                <w:highlight w:val="none"/>
              </w:rPr>
              <w:t>序号</w:t>
            </w:r>
          </w:p>
        </w:tc>
        <w:tc>
          <w:tcPr>
            <w:tcW w:w="186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b w:val="0"/>
                <w:bCs w:val="0"/>
                <w:color w:val="auto"/>
                <w:highlight w:val="none"/>
              </w:rPr>
            </w:pPr>
            <w:r>
              <w:rPr>
                <w:rFonts w:hint="eastAsia" w:ascii="宋体" w:hAnsi="宋体" w:cs="宋体"/>
                <w:b w:val="0"/>
                <w:bCs w:val="0"/>
                <w:color w:val="auto"/>
                <w:szCs w:val="21"/>
                <w:highlight w:val="none"/>
              </w:rPr>
              <w:t>项目</w:t>
            </w:r>
          </w:p>
        </w:tc>
        <w:tc>
          <w:tcPr>
            <w:tcW w:w="60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b w:val="0"/>
                <w:bCs w:val="0"/>
                <w:color w:val="auto"/>
                <w:highlight w:val="none"/>
              </w:rPr>
            </w:pPr>
            <w:r>
              <w:rPr>
                <w:rFonts w:hint="eastAsia" w:ascii="宋体" w:hAnsi="宋体" w:cs="宋体"/>
                <w:b w:val="0"/>
                <w:bCs w:val="0"/>
                <w:color w:val="auto"/>
                <w:szCs w:val="21"/>
                <w:highlight w:val="none"/>
              </w:rPr>
              <w:t>评分标准</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b w:val="0"/>
                <w:bCs w:val="0"/>
                <w:color w:val="auto"/>
                <w:highlight w:val="none"/>
              </w:rPr>
            </w:pPr>
            <w:r>
              <w:rPr>
                <w:rFonts w:hint="eastAsia" w:ascii="宋体" w:hAnsi="宋体" w:cs="宋体"/>
                <w:b w:val="0"/>
                <w:bCs w:val="0"/>
                <w:color w:val="auto"/>
                <w:szCs w:val="21"/>
                <w:highlight w:val="none"/>
              </w:rPr>
              <w:t>备注</w:t>
            </w:r>
          </w:p>
        </w:tc>
      </w:tr>
      <w:tr>
        <w:tblPrEx>
          <w:tblCellMar>
            <w:top w:w="0" w:type="dxa"/>
            <w:left w:w="0" w:type="dxa"/>
            <w:bottom w:w="0" w:type="dxa"/>
            <w:right w:w="0"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1</w:t>
            </w:r>
          </w:p>
        </w:tc>
        <w:tc>
          <w:tcPr>
            <w:tcW w:w="56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r>
              <w:rPr>
                <w:rFonts w:hint="eastAsia" w:ascii="宋体" w:hAnsi="宋体" w:eastAsia="宋体" w:cs="宋体"/>
                <w:b w:val="0"/>
                <w:bCs w:val="0"/>
                <w:color w:val="auto"/>
                <w:highlight w:val="none"/>
              </w:rPr>
              <w:t>技术分</w:t>
            </w:r>
            <w:r>
              <w:rPr>
                <w:rFonts w:hint="eastAsia" w:ascii="宋体" w:hAnsi="宋体" w:cs="宋体"/>
                <w:b w:val="0"/>
                <w:bCs w:val="0"/>
                <w:color w:val="auto"/>
                <w:highlight w:val="none"/>
                <w:lang w:val="en-US" w:eastAsia="zh-CN"/>
              </w:rPr>
              <w:t>59</w:t>
            </w:r>
            <w:r>
              <w:rPr>
                <w:rFonts w:hint="eastAsia" w:ascii="宋体" w:hAnsi="宋体" w:eastAsia="宋体" w:cs="宋体"/>
                <w:b w:val="0"/>
                <w:bCs w:val="0"/>
                <w:color w:val="auto"/>
                <w:highlight w:val="none"/>
              </w:rPr>
              <w:t>分</w:t>
            </w: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项目的理</w:t>
            </w:r>
          </w:p>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解</w:t>
            </w:r>
            <w:r>
              <w:rPr>
                <w:rFonts w:hint="eastAsia" w:ascii="宋体" w:hAnsi="宋体" w:cs="宋体"/>
                <w:b w:val="0"/>
                <w:bCs w:val="0"/>
                <w:color w:val="auto"/>
                <w:highlight w:val="none"/>
                <w:lang w:val="en-US" w:eastAsia="zh-CN"/>
              </w:rPr>
              <w:t>10分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w:t>
            </w:r>
            <w:bookmarkStart w:id="147" w:name="OLE_LINK7"/>
            <w:r>
              <w:rPr>
                <w:rFonts w:hint="eastAsia" w:ascii="宋体" w:hAnsi="宋体" w:cs="宋体"/>
                <w:b w:val="0"/>
                <w:bCs w:val="0"/>
                <w:color w:val="auto"/>
                <w:sz w:val="21"/>
                <w:szCs w:val="21"/>
                <w:highlight w:val="none"/>
                <w:lang w:val="en-US" w:eastAsia="zh-CN"/>
              </w:rPr>
              <w:t>投</w:t>
            </w:r>
            <w:r>
              <w:rPr>
                <w:rFonts w:hint="eastAsia" w:ascii="宋体" w:hAnsi="宋体" w:eastAsia="宋体" w:cs="宋体"/>
                <w:b w:val="0"/>
                <w:bCs w:val="0"/>
                <w:color w:val="auto"/>
                <w:sz w:val="21"/>
                <w:szCs w:val="21"/>
                <w:highlight w:val="none"/>
              </w:rPr>
              <w:t>标人对本项目招标需求分析、目标任务的理解进行阐述，包括本项目任务解读、对工作目的和工作内容的理解和认识等方面进行</w:t>
            </w:r>
            <w:r>
              <w:rPr>
                <w:rFonts w:hint="eastAsia" w:ascii="宋体" w:hAnsi="宋体" w:cs="宋体"/>
                <w:b w:val="0"/>
                <w:bCs w:val="0"/>
                <w:color w:val="auto"/>
                <w:sz w:val="21"/>
                <w:szCs w:val="21"/>
                <w:highlight w:val="none"/>
                <w:lang w:eastAsia="zh-CN"/>
              </w:rPr>
              <w:t>综合打分：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bookmarkStart w:id="148" w:name="OLE_LINK2"/>
            <w:r>
              <w:rPr>
                <w:rFonts w:hint="eastAsia" w:ascii="宋体" w:hAnsi="宋体" w:cs="宋体"/>
                <w:b w:val="0"/>
                <w:bCs w:val="0"/>
                <w:color w:val="auto"/>
                <w:sz w:val="21"/>
                <w:szCs w:val="21"/>
                <w:highlight w:val="none"/>
                <w:lang w:val="en-US" w:eastAsia="zh-CN"/>
              </w:rPr>
              <w:t>予以10分、9分、8分、7分、6分、5分、4分、3分、2分、1分。</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Calibri"/>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未提供本项内容的本项不得分。</w:t>
            </w:r>
            <w:bookmarkEnd w:id="147"/>
            <w:bookmarkEnd w:id="148"/>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重点难点分析及解决方案</w:t>
            </w:r>
            <w:r>
              <w:rPr>
                <w:rFonts w:hint="eastAsia" w:ascii="宋体" w:hAnsi="宋体" w:cs="宋体"/>
                <w:b w:val="0"/>
                <w:bCs w:val="0"/>
                <w:color w:val="auto"/>
                <w:highlight w:val="none"/>
                <w:lang w:val="en-US" w:eastAsia="zh-CN"/>
              </w:rPr>
              <w:t>10分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投标人针对本项目的重点难点分析及解决方案等内容切合实际、具有可行性可操作性，符合</w:t>
            </w:r>
            <w:r>
              <w:rPr>
                <w:rFonts w:hint="eastAsia" w:ascii="宋体" w:hAnsi="宋体" w:cs="宋体"/>
                <w:b w:val="0"/>
                <w:bCs w:val="0"/>
                <w:color w:val="auto"/>
                <w:sz w:val="21"/>
                <w:szCs w:val="21"/>
                <w:highlight w:val="none"/>
                <w:lang w:val="en-US" w:eastAsia="zh-CN"/>
              </w:rPr>
              <w:t>采购文件需</w:t>
            </w:r>
            <w:r>
              <w:rPr>
                <w:rFonts w:hint="eastAsia" w:ascii="宋体" w:hAnsi="宋体" w:eastAsia="宋体" w:cs="宋体"/>
                <w:b w:val="0"/>
                <w:bCs w:val="0"/>
                <w:color w:val="auto"/>
                <w:sz w:val="21"/>
                <w:szCs w:val="21"/>
                <w:highlight w:val="none"/>
              </w:rPr>
              <w:t>求等进行</w:t>
            </w:r>
            <w:r>
              <w:rPr>
                <w:rFonts w:hint="eastAsia" w:ascii="宋体" w:hAnsi="宋体" w:cs="宋体"/>
                <w:b w:val="0"/>
                <w:bCs w:val="0"/>
                <w:color w:val="auto"/>
                <w:sz w:val="21"/>
                <w:szCs w:val="21"/>
                <w:highlight w:val="none"/>
                <w:lang w:eastAsia="zh-CN"/>
              </w:rPr>
              <w:t>综合打分：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予以10分、9分、8分、7分、6分、5分、4分、3分、2分、1分。</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1651"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line="320" w:lineRule="exact"/>
              <w:jc w:val="center"/>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工作思路8</w:t>
            </w:r>
            <w:r>
              <w:rPr>
                <w:rFonts w:hint="eastAsia" w:ascii="宋体" w:hAnsi="宋体" w:eastAsia="宋体" w:cs="宋体"/>
                <w:b w:val="0"/>
                <w:bCs w:val="0"/>
                <w:color w:val="auto"/>
                <w:highlight w:val="none"/>
                <w:lang w:val="en-US" w:eastAsia="zh-CN"/>
              </w:rPr>
              <w:t>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bidi w:val="0"/>
              <w:spacing w:line="360" w:lineRule="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根据投标人提供的项目技术思路、工作方案、工作部署合理性、可操作性，且符合采购需求的</w:t>
            </w:r>
            <w:r>
              <w:rPr>
                <w:rFonts w:hint="eastAsia" w:ascii="宋体" w:hAnsi="宋体" w:eastAsia="宋体" w:cs="宋体"/>
                <w:b w:val="0"/>
                <w:bCs w:val="0"/>
                <w:color w:val="auto"/>
                <w:sz w:val="21"/>
                <w:szCs w:val="21"/>
                <w:highlight w:val="none"/>
              </w:rPr>
              <w:t>等内容进行综合</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lang w:val="en-US" w:eastAsia="zh-CN"/>
              </w:rPr>
              <w:t>：</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rPr>
              <w:t>予以</w:t>
            </w:r>
            <w:r>
              <w:rPr>
                <w:rFonts w:hint="eastAsia" w:ascii="宋体" w:hAnsi="宋体" w:cs="宋体"/>
                <w:b w:val="0"/>
                <w:bCs w:val="0"/>
                <w:color w:val="auto"/>
                <w:sz w:val="21"/>
                <w:szCs w:val="21"/>
                <w:highlight w:val="none"/>
                <w:lang w:val="en-US" w:eastAsia="zh-CN"/>
              </w:rPr>
              <w:t>8分、7分、6分、5分、4分、3分、2分、1分。</w:t>
            </w:r>
          </w:p>
          <w:p>
            <w:pPr>
              <w:bidi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4</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项目工作</w:t>
            </w:r>
            <w:r>
              <w:rPr>
                <w:rFonts w:hint="eastAsia" w:ascii="宋体" w:hAnsi="宋体" w:cs="宋体"/>
                <w:b w:val="0"/>
                <w:bCs w:val="0"/>
                <w:color w:val="auto"/>
                <w:highlight w:val="none"/>
                <w:lang w:val="en-US" w:eastAsia="zh-CN"/>
              </w:rPr>
              <w:t>内容8分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val="0"/>
                <w:bCs w:val="0"/>
                <w:color w:val="auto"/>
                <w:lang w:eastAsia="zh-CN"/>
              </w:rPr>
            </w:pPr>
            <w:r>
              <w:rPr>
                <w:rFonts w:hint="eastAsia"/>
                <w:b w:val="0"/>
                <w:bCs w:val="0"/>
                <w:color w:val="auto"/>
              </w:rPr>
              <w:t>根据投标人对本区域内水域调查及水域保护规划资料掌握全面和准确情况</w:t>
            </w:r>
            <w:r>
              <w:rPr>
                <w:rFonts w:hint="eastAsia"/>
                <w:b w:val="0"/>
                <w:bCs w:val="0"/>
                <w:color w:val="auto"/>
                <w:lang w:eastAsia="zh-CN"/>
              </w:rPr>
              <w:t>，针对本项目工作内容的全面程度及与招标文件要求的符合程度</w:t>
            </w:r>
            <w:r>
              <w:rPr>
                <w:rFonts w:hint="eastAsia" w:ascii="宋体" w:hAnsi="宋体" w:eastAsia="宋体" w:cs="宋体"/>
                <w:b w:val="0"/>
                <w:bCs w:val="0"/>
                <w:color w:val="auto"/>
                <w:sz w:val="21"/>
                <w:szCs w:val="21"/>
                <w:highlight w:val="none"/>
              </w:rPr>
              <w:t>等内容进行综合</w:t>
            </w:r>
            <w:r>
              <w:rPr>
                <w:rFonts w:hint="eastAsia" w:ascii="宋体" w:hAnsi="宋体" w:eastAsia="宋体" w:cs="宋体"/>
                <w:b w:val="0"/>
                <w:bCs w:val="0"/>
                <w:color w:val="auto"/>
                <w:sz w:val="21"/>
                <w:szCs w:val="21"/>
                <w:highlight w:val="none"/>
                <w:lang w:eastAsia="zh-CN"/>
              </w:rPr>
              <w:t>打分</w:t>
            </w:r>
            <w:r>
              <w:rPr>
                <w:rFonts w:hint="eastAsia"/>
                <w:b w:val="0"/>
                <w:bCs w:val="0"/>
                <w:color w:val="auto"/>
                <w:lang w:eastAsia="zh-CN"/>
              </w:rPr>
              <w:t>：</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予以8分、7分、6分、5分、4分、3分、2分、1分。</w:t>
            </w:r>
          </w:p>
          <w:p>
            <w:pPr>
              <w:pStyle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5</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服务质量保证措施及服务承诺保障</w:t>
            </w:r>
            <w:r>
              <w:rPr>
                <w:rFonts w:hint="eastAsia" w:ascii="宋体" w:hAnsi="宋体" w:cs="宋体"/>
                <w:b w:val="0"/>
                <w:bCs w:val="0"/>
                <w:color w:val="auto"/>
                <w:highlight w:val="none"/>
                <w:lang w:val="en-US" w:eastAsia="zh-CN"/>
              </w:rPr>
              <w:t>6分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投标人针对本项目的服务质量保证措施、</w:t>
            </w:r>
            <w:r>
              <w:rPr>
                <w:rFonts w:hint="eastAsia" w:ascii="宋体" w:hAnsi="宋体" w:eastAsia="宋体" w:cs="宋体"/>
                <w:b w:val="0"/>
                <w:bCs w:val="0"/>
                <w:color w:val="auto"/>
                <w:sz w:val="21"/>
                <w:szCs w:val="21"/>
                <w:highlight w:val="none"/>
                <w:lang w:val="en-US" w:eastAsia="zh-CN"/>
              </w:rPr>
              <w:t>应急保障措施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承诺</w:t>
            </w:r>
            <w:r>
              <w:rPr>
                <w:rFonts w:hint="eastAsia" w:ascii="宋体" w:hAnsi="宋体" w:eastAsia="宋体" w:cs="宋体"/>
                <w:b w:val="0"/>
                <w:bCs w:val="0"/>
                <w:color w:val="auto"/>
                <w:sz w:val="21"/>
                <w:szCs w:val="21"/>
                <w:highlight w:val="none"/>
              </w:rPr>
              <w:t>服务工作内容、服务响应时效性、完善编制后续报告、后续服务资源安排等内容进行综合</w:t>
            </w:r>
            <w:r>
              <w:rPr>
                <w:rFonts w:hint="eastAsia" w:ascii="宋体" w:hAnsi="宋体" w:eastAsia="宋体" w:cs="宋体"/>
                <w:b w:val="0"/>
                <w:bCs w:val="0"/>
                <w:color w:val="auto"/>
                <w:sz w:val="21"/>
                <w:szCs w:val="21"/>
                <w:highlight w:val="none"/>
                <w:lang w:eastAsia="zh-CN"/>
              </w:rPr>
              <w:t>打分：</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予以</w:t>
            </w:r>
            <w:r>
              <w:rPr>
                <w:rFonts w:hint="eastAsia" w:ascii="宋体" w:hAnsi="宋体" w:cs="宋体"/>
                <w:b w:val="0"/>
                <w:bCs w:val="0"/>
                <w:color w:val="auto"/>
                <w:sz w:val="21"/>
                <w:szCs w:val="21"/>
                <w:highlight w:val="none"/>
                <w:lang w:val="en-US" w:eastAsia="zh-CN"/>
              </w:rPr>
              <w:t>6分、5分、4分、3分、2分、1分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2060" w:hRule="atLeast"/>
        </w:trPr>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6</w:t>
            </w:r>
          </w:p>
        </w:tc>
        <w:tc>
          <w:tcPr>
            <w:tcW w:w="56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left"/>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进度安排及保障措施</w:t>
            </w:r>
            <w:r>
              <w:rPr>
                <w:rFonts w:hint="eastAsia" w:ascii="宋体" w:hAnsi="宋体" w:cs="宋体"/>
                <w:b w:val="0"/>
                <w:bCs w:val="0"/>
                <w:color w:val="auto"/>
                <w:highlight w:val="none"/>
                <w:lang w:val="en-US" w:eastAsia="zh-CN"/>
              </w:rPr>
              <w:t>6分</w:t>
            </w:r>
          </w:p>
        </w:tc>
        <w:tc>
          <w:tcPr>
            <w:tcW w:w="60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根据投标人针对本项目进度安排、工作计划与采购需求切合、</w:t>
            </w:r>
          </w:p>
          <w:p>
            <w:pPr>
              <w:keepNext w:val="0"/>
              <w:keepLines w:val="0"/>
              <w:pageBreakBefore w:val="0"/>
              <w:kinsoku/>
              <w:overflowPunct/>
              <w:topLinePunct w:val="0"/>
              <w:autoSpaceDE/>
              <w:autoSpaceDN/>
              <w:bidi w:val="0"/>
              <w:spacing w:line="400" w:lineRule="exact"/>
              <w:textAlignment w:val="auto"/>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合理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保障措施内容是否全面、针对性是否强等内容进行综合</w:t>
            </w:r>
            <w:r>
              <w:rPr>
                <w:rFonts w:hint="eastAsia" w:ascii="宋体" w:hAnsi="宋体" w:eastAsia="宋体" w:cs="宋体"/>
                <w:b w:val="0"/>
                <w:bCs w:val="0"/>
                <w:color w:val="auto"/>
                <w:sz w:val="21"/>
                <w:szCs w:val="21"/>
                <w:highlight w:val="none"/>
                <w:lang w:eastAsia="zh-CN"/>
              </w:rPr>
              <w:t>打分</w:t>
            </w:r>
            <w:r>
              <w:rPr>
                <w:rFonts w:hint="eastAsia" w:ascii="宋体" w:hAnsi="宋体" w:cs="宋体"/>
                <w:b w:val="0"/>
                <w:bCs w:val="0"/>
                <w:color w:val="auto"/>
                <w:sz w:val="21"/>
                <w:szCs w:val="21"/>
                <w:highlight w:val="none"/>
                <w:lang w:eastAsia="zh-CN"/>
              </w:rPr>
              <w:t>：</w:t>
            </w:r>
          </w:p>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予以</w:t>
            </w:r>
            <w:r>
              <w:rPr>
                <w:rFonts w:hint="eastAsia" w:ascii="宋体" w:hAnsi="宋体" w:cs="宋体"/>
                <w:b w:val="0"/>
                <w:bCs w:val="0"/>
                <w:color w:val="auto"/>
                <w:sz w:val="21"/>
                <w:szCs w:val="21"/>
                <w:highlight w:val="none"/>
                <w:lang w:val="en-US" w:eastAsia="zh-CN"/>
              </w:rPr>
              <w:t>6分、5分、4分、3分、2分、1分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微软雅黑" w:hAnsi="微软雅黑" w:eastAsia="宋体" w:cs="Arial"/>
                <w:b w:val="0"/>
                <w:bCs w:val="0"/>
                <w:snapToGrid w:val="0"/>
                <w:color w:val="auto"/>
                <w:kern w:val="0"/>
                <w:sz w:val="21"/>
                <w:szCs w:val="21"/>
                <w:highlight w:val="none"/>
                <w:lang w:val="en-US" w:eastAsia="zh-CN" w:bidi="ar-SA"/>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highlight w:val="none"/>
                <w:lang w:val="en-US" w:eastAsia="zh-CN"/>
              </w:rPr>
              <w:t>7</w:t>
            </w:r>
          </w:p>
        </w:tc>
        <w:tc>
          <w:tcPr>
            <w:tcW w:w="56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宋体" w:hAnsi="宋体" w:eastAsia="宋体"/>
                <w:b w:val="0"/>
                <w:bCs w:val="0"/>
                <w:color w:val="auto"/>
                <w:szCs w:val="21"/>
                <w:highlight w:val="none"/>
                <w:lang w:val="en-US" w:eastAsia="zh-CN"/>
              </w:rPr>
            </w:pPr>
            <w:r>
              <w:rPr>
                <w:rFonts w:hint="eastAsia" w:ascii="宋体" w:hAnsi="宋体" w:cs="宋体"/>
                <w:b w:val="0"/>
                <w:bCs w:val="0"/>
                <w:color w:val="auto"/>
                <w:highlight w:val="none"/>
                <w:lang w:val="en-US" w:eastAsia="zh-CN"/>
              </w:rPr>
              <w:t>合理化建议5分</w:t>
            </w:r>
          </w:p>
        </w:tc>
        <w:tc>
          <w:tcPr>
            <w:tcW w:w="60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bidi w:val="0"/>
              <w:spacing w:line="360" w:lineRule="auto"/>
              <w:rPr>
                <w:rFonts w:hint="eastAsia"/>
                <w:b w:val="0"/>
                <w:bCs w:val="0"/>
                <w:color w:val="auto"/>
                <w:lang w:val="en-US" w:eastAsia="zh-CN"/>
              </w:rPr>
            </w:pPr>
            <w:r>
              <w:rPr>
                <w:rFonts w:hint="eastAsia"/>
                <w:b w:val="0"/>
                <w:bCs w:val="0"/>
                <w:color w:val="auto"/>
                <w:lang w:val="en-US" w:eastAsia="zh-CN"/>
              </w:rPr>
              <w:t>根据投标人对本项目提出的合理化建议，从建议的合理性、可操作性、针对性等进行综合打分：</w:t>
            </w:r>
          </w:p>
          <w:p>
            <w:pPr>
              <w:bidi w:val="0"/>
              <w:spacing w:line="360" w:lineRule="auto"/>
              <w:rPr>
                <w:rFonts w:hint="eastAsia"/>
                <w:b w:val="0"/>
                <w:bCs w:val="0"/>
                <w:color w:val="auto"/>
              </w:rPr>
            </w:pPr>
            <w:r>
              <w:rPr>
                <w:rFonts w:hint="eastAsia"/>
                <w:b w:val="0"/>
                <w:bCs w:val="0"/>
                <w:color w:val="auto"/>
              </w:rPr>
              <w:t>予以</w:t>
            </w:r>
            <w:r>
              <w:rPr>
                <w:rFonts w:hint="eastAsia" w:ascii="宋体" w:hAnsi="宋体" w:cs="宋体"/>
                <w:b w:val="0"/>
                <w:bCs w:val="0"/>
                <w:color w:val="auto"/>
                <w:sz w:val="21"/>
                <w:szCs w:val="21"/>
                <w:highlight w:val="none"/>
                <w:lang w:val="en-US" w:eastAsia="zh-CN"/>
              </w:rPr>
              <w:t>5分</w:t>
            </w:r>
            <w:r>
              <w:rPr>
                <w:rFonts w:hint="eastAsia"/>
                <w:b w:val="0"/>
                <w:bCs w:val="0"/>
                <w:color w:val="auto"/>
                <w:lang w:val="en-US" w:eastAsia="zh-CN"/>
              </w:rPr>
              <w:t>、</w:t>
            </w:r>
            <w:r>
              <w:rPr>
                <w:rFonts w:hint="eastAsia" w:ascii="宋体" w:hAnsi="宋体" w:cs="宋体"/>
                <w:b w:val="0"/>
                <w:bCs w:val="0"/>
                <w:color w:val="auto"/>
                <w:sz w:val="21"/>
                <w:szCs w:val="21"/>
                <w:highlight w:val="none"/>
                <w:lang w:val="en-US" w:eastAsia="zh-CN"/>
              </w:rPr>
              <w:t>4分、3分、2分、1分</w:t>
            </w:r>
            <w:r>
              <w:rPr>
                <w:rFonts w:hint="eastAsia"/>
                <w:b w:val="0"/>
                <w:bCs w:val="0"/>
                <w:color w:val="auto"/>
              </w:rPr>
              <w:t>。</w:t>
            </w:r>
          </w:p>
          <w:p>
            <w:pPr>
              <w:pStyle w:val="2"/>
              <w:rPr>
                <w:rFonts w:hint="default"/>
                <w:b w:val="0"/>
                <w:bCs w:val="0"/>
                <w:color w:val="auto"/>
                <w:lang w:val="en-US" w:eastAsia="zh-CN"/>
              </w:rPr>
            </w:pPr>
            <w:r>
              <w:rPr>
                <w:rFonts w:hint="eastAsia"/>
                <w:b w:val="0"/>
                <w:bCs w:val="0"/>
                <w:color w:val="auto"/>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b w:val="0"/>
                <w:bCs w:val="0"/>
                <w:color w:val="auto"/>
                <w:szCs w:val="21"/>
                <w:highlight w:val="none"/>
                <w:lang w:eastAsia="zh-CN"/>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c>
          <w:tcPr>
            <w:tcW w:w="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8</w:t>
            </w:r>
          </w:p>
        </w:tc>
        <w:tc>
          <w:tcPr>
            <w:tcW w:w="56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after="0" w:line="400" w:lineRule="exact"/>
              <w:jc w:val="center"/>
              <w:textAlignment w:val="auto"/>
              <w:rPr>
                <w:rFonts w:hint="eastAsia" w:ascii="宋体" w:hAnsi="宋体" w:eastAsia="宋体" w:cs="宋体"/>
                <w:b w:val="0"/>
                <w:bCs w:val="0"/>
                <w:color w:val="auto"/>
                <w:sz w:val="20"/>
                <w:highlight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宋体" w:hAnsi="宋体" w:eastAsia="宋体"/>
                <w:b w:val="0"/>
                <w:bCs w:val="0"/>
                <w:color w:val="auto"/>
                <w:szCs w:val="21"/>
                <w:highlight w:val="none"/>
                <w:lang w:val="en-US" w:eastAsia="zh-CN"/>
              </w:rPr>
            </w:pPr>
            <w:r>
              <w:rPr>
                <w:rFonts w:hint="eastAsia" w:ascii="宋体" w:hAnsi="宋体" w:cs="宋体"/>
                <w:b w:val="0"/>
                <w:bCs w:val="0"/>
                <w:color w:val="auto"/>
                <w:highlight w:val="none"/>
                <w:lang w:val="en-US" w:eastAsia="zh-CN"/>
              </w:rPr>
              <w:t>售后服务</w:t>
            </w:r>
            <w:r>
              <w:rPr>
                <w:rFonts w:hint="eastAsia" w:ascii="宋体" w:hAnsi="宋体"/>
                <w:b w:val="0"/>
                <w:bCs w:val="0"/>
                <w:color w:val="auto"/>
                <w:szCs w:val="21"/>
                <w:highlight w:val="none"/>
                <w:lang w:val="en-US" w:eastAsia="zh-CN"/>
              </w:rPr>
              <w:t>6分</w:t>
            </w:r>
          </w:p>
        </w:tc>
        <w:tc>
          <w:tcPr>
            <w:tcW w:w="60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bidi w:val="0"/>
              <w:spacing w:line="360" w:lineRule="auto"/>
              <w:rPr>
                <w:rFonts w:hint="eastAsia"/>
                <w:b w:val="0"/>
                <w:bCs w:val="0"/>
                <w:color w:val="auto"/>
                <w:lang w:eastAsia="zh-CN"/>
              </w:rPr>
            </w:pPr>
            <w:r>
              <w:rPr>
                <w:rFonts w:hint="eastAsia"/>
                <w:b w:val="0"/>
                <w:bCs w:val="0"/>
                <w:color w:val="auto"/>
              </w:rPr>
              <w:t>根据</w:t>
            </w:r>
            <w:r>
              <w:rPr>
                <w:rFonts w:hint="eastAsia"/>
                <w:b w:val="0"/>
                <w:bCs w:val="0"/>
                <w:color w:val="auto"/>
                <w:lang w:val="en-US" w:eastAsia="zh-CN"/>
              </w:rPr>
              <w:t>投标人</w:t>
            </w:r>
            <w:r>
              <w:rPr>
                <w:rFonts w:hint="eastAsia"/>
                <w:b w:val="0"/>
                <w:bCs w:val="0"/>
                <w:color w:val="auto"/>
              </w:rPr>
              <w:t>提供的本项目售后服务方案和服务承诺情况，以及服务承诺的可行性、完整性以及服务承诺落实的保障措施等进行综合</w:t>
            </w:r>
            <w:r>
              <w:rPr>
                <w:rFonts w:hint="eastAsia"/>
                <w:b w:val="0"/>
                <w:bCs w:val="0"/>
                <w:color w:val="auto"/>
                <w:lang w:val="en-US" w:eastAsia="zh-CN"/>
              </w:rPr>
              <w:t>打分</w:t>
            </w:r>
            <w:r>
              <w:rPr>
                <w:rFonts w:hint="eastAsia"/>
                <w:b w:val="0"/>
                <w:bCs w:val="0"/>
                <w:color w:val="auto"/>
                <w:lang w:eastAsia="zh-CN"/>
              </w:rPr>
              <w:t>：</w:t>
            </w:r>
          </w:p>
          <w:p>
            <w:pPr>
              <w:bidi w:val="0"/>
              <w:spacing w:line="360" w:lineRule="auto"/>
              <w:rPr>
                <w:rFonts w:hint="eastAsia"/>
                <w:b w:val="0"/>
                <w:bCs w:val="0"/>
                <w:color w:val="auto"/>
              </w:rPr>
            </w:pPr>
            <w:r>
              <w:rPr>
                <w:rFonts w:hint="eastAsia"/>
                <w:b w:val="0"/>
                <w:bCs w:val="0"/>
                <w:color w:val="auto"/>
              </w:rPr>
              <w:t>予以</w:t>
            </w:r>
            <w:r>
              <w:rPr>
                <w:rFonts w:hint="eastAsia" w:ascii="宋体" w:hAnsi="宋体" w:cs="宋体"/>
                <w:b w:val="0"/>
                <w:bCs w:val="0"/>
                <w:color w:val="auto"/>
                <w:sz w:val="21"/>
                <w:szCs w:val="21"/>
                <w:highlight w:val="none"/>
                <w:lang w:val="en-US" w:eastAsia="zh-CN"/>
              </w:rPr>
              <w:t>6分、5分、4分、3分、2分、1分</w:t>
            </w:r>
            <w:r>
              <w:rPr>
                <w:rFonts w:hint="eastAsia"/>
                <w:b w:val="0"/>
                <w:bCs w:val="0"/>
                <w:color w:val="auto"/>
              </w:rPr>
              <w:t>。</w:t>
            </w:r>
          </w:p>
          <w:p>
            <w:pPr>
              <w:pStyle w:val="2"/>
              <w:rPr>
                <w:rFonts w:hint="eastAsia"/>
                <w:b w:val="0"/>
                <w:bCs w:val="0"/>
                <w:color w:val="auto"/>
                <w:lang w:eastAsia="zh-CN"/>
              </w:rPr>
            </w:pPr>
            <w:r>
              <w:rPr>
                <w:rFonts w:hint="eastAsia"/>
                <w:b w:val="0"/>
                <w:bCs w:val="0"/>
                <w:color w:val="auto"/>
              </w:rPr>
              <w:t>未提供本项内容的本项不得分。</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b w:val="0"/>
                <w:bCs w:val="0"/>
                <w:color w:val="auto"/>
                <w:szCs w:val="21"/>
                <w:highlight w:val="none"/>
                <w:lang w:eastAsia="zh-CN"/>
              </w:rPr>
            </w:pPr>
            <w:r>
              <w:rPr>
                <w:rFonts w:hint="eastAsia" w:ascii="微软雅黑" w:hAnsi="微软雅黑" w:cs="Arial"/>
                <w:b w:val="0"/>
                <w:bCs w:val="0"/>
                <w:snapToGrid w:val="0"/>
                <w:color w:val="auto"/>
                <w:kern w:val="0"/>
                <w:sz w:val="21"/>
                <w:szCs w:val="21"/>
                <w:highlight w:val="none"/>
                <w:lang w:val="en-US" w:eastAsia="zh-CN" w:bidi="ar-SA"/>
              </w:rPr>
              <w:t>主观分</w:t>
            </w:r>
          </w:p>
        </w:tc>
      </w:tr>
      <w:tr>
        <w:tblPrEx>
          <w:tblCellMar>
            <w:top w:w="0" w:type="dxa"/>
            <w:left w:w="0" w:type="dxa"/>
            <w:bottom w:w="0" w:type="dxa"/>
            <w:right w:w="0" w:type="dxa"/>
          </w:tblCellMar>
        </w:tblPrEx>
        <w:tc>
          <w:tcPr>
            <w:tcW w:w="6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9</w:t>
            </w:r>
          </w:p>
        </w:tc>
        <w:tc>
          <w:tcPr>
            <w:tcW w:w="569"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rFonts w:hint="eastAsia" w:ascii="宋体" w:hAnsi="宋体" w:eastAsia="宋体" w:cs="宋体"/>
                <w:b w:val="0"/>
                <w:bCs w:val="0"/>
                <w:color w:val="auto"/>
                <w:sz w:val="20"/>
                <w:highlight w:val="none"/>
              </w:rPr>
            </w:pPr>
            <w:r>
              <w:rPr>
                <w:rFonts w:hint="eastAsia" w:ascii="宋体" w:hAnsi="宋体" w:eastAsia="宋体" w:cs="宋体"/>
                <w:b w:val="0"/>
                <w:bCs w:val="0"/>
                <w:color w:val="auto"/>
                <w:highlight w:val="none"/>
              </w:rPr>
              <w:t>商务</w:t>
            </w:r>
            <w:r>
              <w:rPr>
                <w:rFonts w:hint="eastAsia" w:ascii="宋体" w:hAnsi="宋体" w:eastAsia="宋体" w:cs="宋体"/>
                <w:b w:val="0"/>
                <w:bCs w:val="0"/>
                <w:color w:val="auto"/>
                <w:highlight w:val="none"/>
                <w:lang w:eastAsia="zh-CN"/>
              </w:rPr>
              <w:t>资信</w:t>
            </w:r>
            <w:r>
              <w:rPr>
                <w:rFonts w:hint="eastAsia" w:ascii="宋体" w:hAnsi="宋体" w:eastAsia="宋体" w:cs="宋体"/>
                <w:b w:val="0"/>
                <w:bCs w:val="0"/>
                <w:color w:val="auto"/>
                <w:highlight w:val="none"/>
              </w:rPr>
              <w:t>分</w:t>
            </w:r>
            <w:r>
              <w:rPr>
                <w:rFonts w:hint="eastAsia" w:ascii="宋体" w:hAnsi="宋体" w:cs="宋体"/>
                <w:b w:val="0"/>
                <w:bCs w:val="0"/>
                <w:color w:val="auto"/>
                <w:highlight w:val="none"/>
                <w:lang w:val="en-US" w:eastAsia="zh-CN"/>
              </w:rPr>
              <w:t>21</w:t>
            </w:r>
            <w:r>
              <w:rPr>
                <w:rFonts w:hint="eastAsia" w:ascii="宋体" w:hAnsi="宋体" w:eastAsia="宋体" w:cs="宋体"/>
                <w:b w:val="0"/>
                <w:bCs w:val="0"/>
                <w:color w:val="auto"/>
                <w:highlight w:val="none"/>
              </w:rPr>
              <w:t>分</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napToGrid w:val="0"/>
              <w:spacing w:before="120" w:after="120" w:line="32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rPr>
              <w:t>企业实力</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分</w:t>
            </w:r>
          </w:p>
        </w:tc>
        <w:tc>
          <w:tcPr>
            <w:tcW w:w="601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pPr>
              <w:snapToGrid w:val="0"/>
              <w:spacing w:after="0" w:line="320" w:lineRule="exact"/>
              <w:jc w:val="left"/>
              <w:rPr>
                <w:rFonts w:hint="eastAsia" w:ascii="宋体" w:hAnsi="宋体" w:cs="宋体"/>
                <w:b w:val="0"/>
                <w:bCs w:val="0"/>
                <w:color w:val="auto"/>
                <w:w w:val="100"/>
                <w:sz w:val="21"/>
                <w:szCs w:val="21"/>
                <w:highlight w:val="none"/>
                <w:lang w:eastAsia="zh-CN"/>
              </w:rPr>
            </w:pPr>
            <w:r>
              <w:rPr>
                <w:rFonts w:hint="eastAsia" w:ascii="宋体" w:hAnsi="宋体" w:eastAsia="宋体" w:cs="宋体"/>
                <w:b w:val="0"/>
                <w:bCs w:val="0"/>
                <w:color w:val="auto"/>
                <w:sz w:val="21"/>
                <w:szCs w:val="21"/>
                <w:highlight w:val="none"/>
              </w:rPr>
              <w:t>投标人</w:t>
            </w:r>
            <w:r>
              <w:rPr>
                <w:rFonts w:hint="eastAsia" w:ascii="宋体" w:hAnsi="宋体" w:eastAsia="宋体" w:cs="宋体"/>
                <w:b w:val="0"/>
                <w:bCs w:val="0"/>
                <w:color w:val="auto"/>
                <w:sz w:val="21"/>
                <w:szCs w:val="21"/>
                <w:highlight w:val="none"/>
                <w:lang w:eastAsia="zh-CN"/>
              </w:rPr>
              <w:t>具有</w:t>
            </w:r>
            <w:r>
              <w:rPr>
                <w:rFonts w:hint="eastAsia" w:ascii="宋体" w:hAnsi="宋体" w:eastAsia="宋体" w:cs="宋体"/>
                <w:b w:val="0"/>
                <w:bCs w:val="0"/>
                <w:color w:val="auto"/>
                <w:sz w:val="21"/>
                <w:szCs w:val="21"/>
                <w:highlight w:val="none"/>
              </w:rPr>
              <w:t>质量管理体系认证证书、环境管理体系认证证书、职业健康管理体系认证证书</w:t>
            </w:r>
            <w:r>
              <w:rPr>
                <w:rFonts w:hint="eastAsia" w:ascii="宋体" w:hAnsi="宋体" w:eastAsia="宋体" w:cs="宋体"/>
                <w:b w:val="0"/>
                <w:bCs w:val="0"/>
                <w:color w:val="auto"/>
                <w:w w:val="100"/>
                <w:sz w:val="21"/>
                <w:szCs w:val="21"/>
                <w:highlight w:val="none"/>
              </w:rPr>
              <w:t>，</w:t>
            </w:r>
            <w:r>
              <w:rPr>
                <w:rFonts w:hint="eastAsia" w:ascii="宋体" w:hAnsi="宋体" w:eastAsia="宋体" w:cs="宋体"/>
                <w:b w:val="0"/>
                <w:bCs w:val="0"/>
                <w:color w:val="auto"/>
                <w:w w:val="100"/>
                <w:sz w:val="21"/>
                <w:szCs w:val="21"/>
                <w:highlight w:val="none"/>
                <w:lang w:eastAsia="zh-CN"/>
              </w:rPr>
              <w:t>每个</w:t>
            </w:r>
            <w:r>
              <w:rPr>
                <w:rFonts w:hint="eastAsia" w:ascii="宋体" w:hAnsi="宋体" w:eastAsia="宋体" w:cs="宋体"/>
                <w:b w:val="0"/>
                <w:bCs w:val="0"/>
                <w:color w:val="auto"/>
                <w:w w:val="100"/>
                <w:sz w:val="21"/>
                <w:szCs w:val="21"/>
                <w:highlight w:val="none"/>
              </w:rPr>
              <w:t>得</w:t>
            </w:r>
            <w:r>
              <w:rPr>
                <w:rFonts w:hint="eastAsia" w:ascii="宋体" w:hAnsi="宋体" w:eastAsia="宋体" w:cs="宋体"/>
                <w:b w:val="0"/>
                <w:bCs w:val="0"/>
                <w:color w:val="auto"/>
                <w:w w:val="100"/>
                <w:sz w:val="21"/>
                <w:szCs w:val="21"/>
                <w:highlight w:val="none"/>
                <w:lang w:val="en-US" w:eastAsia="zh-CN"/>
              </w:rPr>
              <w:t>1</w:t>
            </w:r>
            <w:r>
              <w:rPr>
                <w:rFonts w:hint="eastAsia" w:ascii="宋体" w:hAnsi="宋体" w:eastAsia="宋体" w:cs="宋体"/>
                <w:b w:val="0"/>
                <w:bCs w:val="0"/>
                <w:color w:val="auto"/>
                <w:w w:val="100"/>
                <w:sz w:val="21"/>
                <w:szCs w:val="21"/>
                <w:highlight w:val="none"/>
              </w:rPr>
              <w:t>分</w:t>
            </w:r>
            <w:r>
              <w:rPr>
                <w:rFonts w:hint="eastAsia" w:ascii="宋体" w:hAnsi="宋体" w:eastAsia="宋体" w:cs="宋体"/>
                <w:b w:val="0"/>
                <w:bCs w:val="0"/>
                <w:color w:val="auto"/>
                <w:w w:val="100"/>
                <w:sz w:val="21"/>
                <w:szCs w:val="21"/>
                <w:highlight w:val="none"/>
                <w:lang w:eastAsia="zh-CN"/>
              </w:rPr>
              <w:t>，最高得</w:t>
            </w:r>
            <w:r>
              <w:rPr>
                <w:rFonts w:hint="eastAsia" w:ascii="宋体" w:hAnsi="宋体" w:eastAsia="宋体" w:cs="宋体"/>
                <w:b w:val="0"/>
                <w:bCs w:val="0"/>
                <w:color w:val="auto"/>
                <w:w w:val="100"/>
                <w:sz w:val="21"/>
                <w:szCs w:val="21"/>
                <w:highlight w:val="none"/>
                <w:lang w:val="en-US" w:eastAsia="zh-CN"/>
              </w:rPr>
              <w:t>3分</w:t>
            </w:r>
            <w:r>
              <w:rPr>
                <w:rFonts w:hint="eastAsia" w:ascii="宋体" w:hAnsi="宋体" w:eastAsia="宋体" w:cs="宋体"/>
                <w:b w:val="0"/>
                <w:bCs w:val="0"/>
                <w:color w:val="auto"/>
                <w:w w:val="100"/>
                <w:sz w:val="21"/>
                <w:szCs w:val="21"/>
                <w:highlight w:val="none"/>
                <w:lang w:eastAsia="zh-CN"/>
              </w:rPr>
              <w:t>。</w:t>
            </w:r>
          </w:p>
          <w:p>
            <w:pPr>
              <w:snapToGrid w:val="0"/>
              <w:spacing w:after="0" w:line="32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同时提供</w:t>
            </w:r>
            <w:r>
              <w:rPr>
                <w:rFonts w:hint="eastAsia" w:ascii="宋体" w:hAnsi="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lang w:val="en-US" w:eastAsia="zh-CN"/>
              </w:rPr>
              <w:t>证书复印件及国家认监委官网查询页面，缺一不得分。</w:t>
            </w:r>
          </w:p>
        </w:tc>
        <w:tc>
          <w:tcPr>
            <w:tcW w:w="948" w:type="dxa"/>
            <w:tcBorders>
              <w:top w:val="single" w:color="000000"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after="0" w:line="320" w:lineRule="exact"/>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客观分</w:t>
            </w:r>
          </w:p>
        </w:tc>
      </w:tr>
      <w:tr>
        <w:tblPrEx>
          <w:tblCellMar>
            <w:top w:w="0" w:type="dxa"/>
            <w:left w:w="0" w:type="dxa"/>
            <w:bottom w:w="0" w:type="dxa"/>
            <w:right w:w="0" w:type="dxa"/>
          </w:tblCellMar>
        </w:tblPrEx>
        <w:trPr>
          <w:trHeight w:val="0" w:hRule="atLeast"/>
        </w:trPr>
        <w:tc>
          <w:tcPr>
            <w:tcW w:w="638" w:type="dxa"/>
            <w:vMerge w:val="restart"/>
            <w:tcBorders>
              <w:left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rFonts w:hint="default" w:eastAsia="宋体"/>
                <w:b w:val="0"/>
                <w:bCs w:val="0"/>
                <w:color w:val="auto"/>
                <w:lang w:val="en-US" w:eastAsia="zh-CN"/>
              </w:rPr>
            </w:pPr>
            <w:r>
              <w:rPr>
                <w:rFonts w:hint="eastAsia"/>
                <w:b w:val="0"/>
                <w:bCs w:val="0"/>
                <w:color w:val="auto"/>
                <w:lang w:val="en-US" w:eastAsia="zh-CN"/>
              </w:rPr>
              <w:t>10</w:t>
            </w:r>
            <w:bookmarkStart w:id="203" w:name="_GoBack"/>
            <w:bookmarkEnd w:id="203"/>
          </w:p>
        </w:tc>
        <w:tc>
          <w:tcPr>
            <w:tcW w:w="56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b w:val="0"/>
                <w:bCs w:val="0"/>
                <w:color w:val="auto"/>
              </w:rPr>
            </w:pPr>
          </w:p>
        </w:tc>
        <w:tc>
          <w:tcPr>
            <w:tcW w:w="1300" w:type="dxa"/>
            <w:vMerge w:val="restart"/>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技术力量投入12分</w:t>
            </w:r>
          </w:p>
        </w:tc>
        <w:tc>
          <w:tcPr>
            <w:tcW w:w="601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p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、项目负责人:</w:t>
            </w:r>
          </w:p>
          <w:p>
            <w:p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w:t>
            </w:r>
            <w:r>
              <w:rPr>
                <w:rFonts w:hint="eastAsia" w:ascii="宋体" w:hAnsi="宋体" w:cs="宋体"/>
                <w:b w:val="0"/>
                <w:bCs w:val="0"/>
                <w:color w:val="auto"/>
                <w:sz w:val="21"/>
                <w:szCs w:val="21"/>
                <w:highlight w:val="none"/>
                <w:lang w:val="en-US" w:eastAsia="zh-CN"/>
              </w:rPr>
              <w:t>水利或</w:t>
            </w:r>
            <w:r>
              <w:rPr>
                <w:rFonts w:hint="eastAsia" w:ascii="宋体" w:hAnsi="宋体" w:eastAsia="宋体" w:cs="宋体"/>
                <w:b w:val="0"/>
                <w:bCs w:val="0"/>
                <w:color w:val="auto"/>
                <w:sz w:val="21"/>
                <w:szCs w:val="21"/>
                <w:highlight w:val="none"/>
                <w:lang w:val="en-US" w:eastAsia="zh-CN"/>
              </w:rPr>
              <w:t>工程测量等</w:t>
            </w:r>
            <w:r>
              <w:rPr>
                <w:rFonts w:hint="eastAsia" w:ascii="宋体" w:hAnsi="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lang w:val="en-US" w:eastAsia="zh-CN"/>
              </w:rPr>
              <w:t>专业高级及以上职称证书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一级建造师（水利水电等相关专业）</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注册测绘师职业资格证书的，每有1项得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分，最高得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p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提供由投标人为其缴纳的近三个月任意一个月的社保缴纳证明材料及证书扫描件，否则不得分。</w:t>
            </w:r>
          </w:p>
        </w:tc>
        <w:tc>
          <w:tcPr>
            <w:tcW w:w="9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highlight w:val="none"/>
                <w:lang w:val="en-US" w:eastAsia="zh-CN"/>
              </w:rPr>
              <w:t>客观分</w:t>
            </w:r>
          </w:p>
        </w:tc>
      </w:tr>
      <w:tr>
        <w:tblPrEx>
          <w:tblCellMar>
            <w:top w:w="0" w:type="dxa"/>
            <w:left w:w="0" w:type="dxa"/>
            <w:bottom w:w="0" w:type="dxa"/>
            <w:right w:w="0" w:type="dxa"/>
          </w:tblCellMar>
        </w:tblPrEx>
        <w:trPr>
          <w:trHeight w:val="0" w:hRule="atLeast"/>
        </w:trPr>
        <w:tc>
          <w:tcPr>
            <w:tcW w:w="638"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rFonts w:hint="default" w:eastAsia="宋体"/>
                <w:b w:val="0"/>
                <w:bCs w:val="0"/>
                <w:color w:val="auto"/>
                <w:lang w:val="en-US" w:eastAsia="zh-CN"/>
              </w:rPr>
            </w:pPr>
          </w:p>
        </w:tc>
        <w:tc>
          <w:tcPr>
            <w:tcW w:w="56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b w:val="0"/>
                <w:bCs w:val="0"/>
                <w:color w:val="auto"/>
              </w:rPr>
            </w:pPr>
          </w:p>
        </w:tc>
        <w:tc>
          <w:tcPr>
            <w:tcW w:w="1300"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rPr>
            </w:pPr>
          </w:p>
        </w:tc>
        <w:tc>
          <w:tcPr>
            <w:tcW w:w="601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pPr>
              <w:numPr>
                <w:ilvl w:val="0"/>
                <w:numId w:val="0"/>
              </w:num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2、项目组成员(除项目负责人外):</w:t>
            </w:r>
          </w:p>
          <w:p>
            <w:pPr>
              <w:numPr>
                <w:ilvl w:val="0"/>
                <w:numId w:val="0"/>
              </w:numPr>
              <w:snapToGrid w:val="0"/>
              <w:spacing w:after="0" w:line="320" w:lineRule="exact"/>
              <w:jc w:val="left"/>
              <w:rPr>
                <w:rFonts w:hint="eastAsia"/>
                <w:b w:val="0"/>
                <w:bCs w:val="0"/>
                <w:color w:val="auto"/>
                <w:lang w:eastAsia="zh-CN"/>
              </w:rPr>
            </w:pPr>
            <w:r>
              <w:rPr>
                <w:rFonts w:hint="eastAsia"/>
                <w:b w:val="0"/>
                <w:bCs w:val="0"/>
                <w:color w:val="auto"/>
                <w:lang w:val="en-US" w:eastAsia="zh-CN"/>
              </w:rPr>
              <w:t>根据拟投入本项目团队人员综合水平:包括团队人员专业水准、从业经验、岗位设置</w:t>
            </w:r>
            <w:r>
              <w:rPr>
                <w:rFonts w:hint="eastAsia" w:ascii="宋体" w:hAnsi="宋体" w:eastAsia="宋体" w:cs="宋体"/>
                <w:b w:val="0"/>
                <w:bCs w:val="0"/>
                <w:color w:val="auto"/>
                <w:sz w:val="21"/>
                <w:szCs w:val="21"/>
                <w:highlight w:val="none"/>
              </w:rPr>
              <w:t>等内容进行综合</w:t>
            </w:r>
            <w:r>
              <w:rPr>
                <w:rFonts w:hint="eastAsia" w:ascii="宋体" w:hAnsi="宋体" w:eastAsia="宋体" w:cs="宋体"/>
                <w:b w:val="0"/>
                <w:bCs w:val="0"/>
                <w:color w:val="auto"/>
                <w:sz w:val="21"/>
                <w:szCs w:val="21"/>
                <w:highlight w:val="none"/>
                <w:lang w:eastAsia="zh-CN"/>
              </w:rPr>
              <w:t>打</w:t>
            </w:r>
            <w:r>
              <w:rPr>
                <w:rFonts w:hint="eastAsia"/>
                <w:b w:val="0"/>
                <w:bCs w:val="0"/>
                <w:color w:val="auto"/>
                <w:lang w:eastAsia="zh-CN"/>
              </w:rPr>
              <w:t>分：</w:t>
            </w:r>
          </w:p>
          <w:p>
            <w:pPr>
              <w:numPr>
                <w:ilvl w:val="0"/>
                <w:numId w:val="0"/>
              </w:numPr>
              <w:snapToGrid w:val="0"/>
              <w:spacing w:after="0" w:line="320" w:lineRule="exact"/>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予以6分、5分、4分、3分、2分、1分。</w:t>
            </w:r>
          </w:p>
          <w:p>
            <w:pPr>
              <w:numPr>
                <w:ilvl w:val="0"/>
                <w:numId w:val="0"/>
              </w:numPr>
              <w:snapToGrid w:val="0"/>
              <w:spacing w:after="0" w:line="320" w:lineRule="exact"/>
              <w:jc w:val="left"/>
              <w:rPr>
                <w:rFonts w:hint="eastAsia" w:ascii="宋体" w:hAnsi="宋体" w:eastAsia="宋体" w:cs="宋体"/>
                <w:b w:val="0"/>
                <w:bCs w:val="0"/>
                <w:color w:val="auto"/>
                <w:sz w:val="21"/>
                <w:szCs w:val="21"/>
                <w:highlight w:val="none"/>
                <w:lang w:val="en-US" w:eastAsia="zh-CN"/>
              </w:rPr>
            </w:pPr>
            <w:r>
              <w:rPr>
                <w:rFonts w:hint="eastAsia" w:ascii="Calibri" w:hAnsi="Calibri" w:eastAsia="宋体" w:cs="Calibri"/>
                <w:b w:val="0"/>
                <w:bCs w:val="0"/>
                <w:color w:val="auto"/>
                <w:kern w:val="2"/>
                <w:sz w:val="21"/>
                <w:szCs w:val="21"/>
                <w:lang w:val="en-US" w:eastAsia="zh-CN" w:bidi="ar-SA"/>
              </w:rPr>
              <w:t>提供相关人员证书、从业经验等证明材料及近三个月任意一个月投标人为其缴纳的社保证明，否则不得分。</w:t>
            </w:r>
          </w:p>
        </w:tc>
        <w:tc>
          <w:tcPr>
            <w:tcW w:w="9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highlight w:val="none"/>
                <w:lang w:val="en-US" w:eastAsia="zh-CN"/>
              </w:rPr>
              <w:t>主观分</w:t>
            </w:r>
          </w:p>
        </w:tc>
      </w:tr>
      <w:tr>
        <w:tblPrEx>
          <w:tblCellMar>
            <w:top w:w="0" w:type="dxa"/>
            <w:left w:w="0" w:type="dxa"/>
            <w:bottom w:w="0" w:type="dxa"/>
            <w:right w:w="0" w:type="dxa"/>
          </w:tblCellMar>
        </w:tblPrEx>
        <w:trPr>
          <w:trHeight w:val="0" w:hRule="atLeast"/>
        </w:trPr>
        <w:tc>
          <w:tcPr>
            <w:tcW w:w="638"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default" w:eastAsia="宋体"/>
                <w:b w:val="0"/>
                <w:bCs w:val="0"/>
                <w:color w:val="auto"/>
                <w:lang w:val="en-US" w:eastAsia="zh-CN"/>
              </w:rPr>
            </w:pPr>
            <w:r>
              <w:rPr>
                <w:rFonts w:hint="eastAsia"/>
                <w:b w:val="0"/>
                <w:bCs w:val="0"/>
                <w:color w:val="auto"/>
                <w:lang w:val="en-US" w:eastAsia="zh-CN"/>
              </w:rPr>
              <w:t>11</w:t>
            </w:r>
          </w:p>
        </w:tc>
        <w:tc>
          <w:tcPr>
            <w:tcW w:w="56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left"/>
              <w:rPr>
                <w:b w:val="0"/>
                <w:bCs w:val="0"/>
                <w:color w:val="auto"/>
              </w:rPr>
            </w:pPr>
          </w:p>
        </w:tc>
        <w:tc>
          <w:tcPr>
            <w:tcW w:w="1300" w:type="dxa"/>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设备保障</w:t>
            </w:r>
            <w:r>
              <w:rPr>
                <w:rFonts w:hint="eastAsia" w:ascii="宋体" w:hAnsi="宋体" w:eastAsia="宋体" w:cs="宋体"/>
                <w:b w:val="0"/>
                <w:bCs w:val="0"/>
                <w:color w:val="auto"/>
                <w:lang w:val="en-US" w:eastAsia="zh-CN"/>
              </w:rPr>
              <w:t>4分</w:t>
            </w:r>
          </w:p>
        </w:tc>
        <w:tc>
          <w:tcPr>
            <w:tcW w:w="601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pPr>
              <w:numPr>
                <w:ilvl w:val="0"/>
                <w:numId w:val="0"/>
              </w:num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①具有无人机测绘设备，得1分；</w:t>
            </w:r>
          </w:p>
          <w:p>
            <w:pPr>
              <w:numPr>
                <w:ilvl w:val="0"/>
                <w:numId w:val="0"/>
              </w:num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②具有在有效期内的测绘计量中心校准证书的GPS测量设备，得1分；</w:t>
            </w:r>
          </w:p>
          <w:p>
            <w:pPr>
              <w:numPr>
                <w:ilvl w:val="0"/>
                <w:numId w:val="0"/>
              </w:num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③具有测深仪测量设备的得1分；</w:t>
            </w:r>
          </w:p>
          <w:p>
            <w:pPr>
              <w:numPr>
                <w:ilvl w:val="0"/>
                <w:numId w:val="0"/>
              </w:num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④具有全站仪测量设备的得1分。</w:t>
            </w:r>
          </w:p>
          <w:p>
            <w:pPr>
              <w:numPr>
                <w:ilvl w:val="0"/>
                <w:numId w:val="0"/>
              </w:numPr>
              <w:snapToGrid w:val="0"/>
              <w:spacing w:after="0" w:line="32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提供购置发票（如设备租赁，提供租赁协议及出租方购置发票），未提供不得分。</w:t>
            </w:r>
          </w:p>
        </w:tc>
        <w:tc>
          <w:tcPr>
            <w:tcW w:w="9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highlight w:val="none"/>
                <w:lang w:val="en-US" w:eastAsia="zh-CN"/>
              </w:rPr>
              <w:t>客观分</w:t>
            </w:r>
          </w:p>
        </w:tc>
      </w:tr>
      <w:tr>
        <w:tblPrEx>
          <w:tblCellMar>
            <w:top w:w="0" w:type="dxa"/>
            <w:left w:w="0" w:type="dxa"/>
            <w:bottom w:w="0" w:type="dxa"/>
            <w:right w:w="0" w:type="dxa"/>
          </w:tblCellMar>
        </w:tblPrEx>
        <w:trPr>
          <w:trHeight w:val="1118" w:hRule="atLeast"/>
        </w:trPr>
        <w:tc>
          <w:tcPr>
            <w:tcW w:w="6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12</w:t>
            </w:r>
          </w:p>
        </w:tc>
        <w:tc>
          <w:tcPr>
            <w:tcW w:w="56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sz w:val="20"/>
                <w:highlight w:val="none"/>
              </w:rPr>
            </w:pPr>
          </w:p>
        </w:tc>
        <w:tc>
          <w:tcPr>
            <w:tcW w:w="1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position w:val="0"/>
                <w:sz w:val="21"/>
                <w:szCs w:val="21"/>
                <w:highlight w:val="none"/>
                <w:lang w:eastAsia="zh-CN"/>
              </w:rPr>
            </w:pPr>
            <w:r>
              <w:rPr>
                <w:rFonts w:hint="eastAsia" w:ascii="宋体" w:hAnsi="宋体" w:eastAsia="宋体" w:cs="宋体"/>
                <w:b w:val="0"/>
                <w:bCs w:val="0"/>
                <w:color w:val="auto"/>
                <w:position w:val="0"/>
                <w:sz w:val="21"/>
                <w:szCs w:val="21"/>
                <w:highlight w:val="none"/>
                <w:lang w:eastAsia="zh-CN"/>
              </w:rPr>
              <w:t>业绩</w:t>
            </w:r>
            <w:r>
              <w:rPr>
                <w:rFonts w:hint="eastAsia" w:ascii="宋体" w:hAnsi="宋体" w:cs="宋体"/>
                <w:b w:val="0"/>
                <w:bCs w:val="0"/>
                <w:color w:val="auto"/>
                <w:position w:val="0"/>
                <w:sz w:val="21"/>
                <w:szCs w:val="21"/>
                <w:highlight w:val="none"/>
                <w:lang w:val="en-US" w:eastAsia="zh-CN"/>
              </w:rPr>
              <w:t>2</w:t>
            </w:r>
            <w:r>
              <w:rPr>
                <w:rFonts w:hint="eastAsia" w:ascii="宋体" w:hAnsi="宋体" w:eastAsia="宋体" w:cs="宋体"/>
                <w:b w:val="0"/>
                <w:bCs w:val="0"/>
                <w:color w:val="auto"/>
                <w:position w:val="0"/>
                <w:sz w:val="21"/>
                <w:szCs w:val="21"/>
                <w:highlight w:val="none"/>
                <w:lang w:eastAsia="zh-CN"/>
              </w:rPr>
              <w:t>分</w:t>
            </w:r>
          </w:p>
        </w:tc>
        <w:tc>
          <w:tcPr>
            <w:tcW w:w="60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napToGrid w:val="0"/>
              <w:spacing w:after="0" w:line="320" w:lineRule="exact"/>
              <w:jc w:val="left"/>
              <w:rPr>
                <w:rFonts w:hint="eastAsia" w:ascii="宋体" w:hAnsi="宋体" w:eastAsia="宋体" w:cs="宋体"/>
                <w:b w:val="0"/>
                <w:bCs w:val="0"/>
                <w:color w:val="auto"/>
                <w:position w:val="0"/>
                <w:sz w:val="21"/>
                <w:szCs w:val="21"/>
                <w:highlight w:val="none"/>
                <w:lang w:val="en-US" w:eastAsia="zh-CN"/>
              </w:rPr>
            </w:pPr>
            <w:r>
              <w:rPr>
                <w:rFonts w:hint="eastAsia" w:ascii="宋体" w:hAnsi="宋体" w:eastAsia="宋体" w:cs="宋体"/>
                <w:b w:val="0"/>
                <w:bCs w:val="0"/>
                <w:color w:val="auto"/>
                <w:position w:val="0"/>
                <w:sz w:val="21"/>
                <w:szCs w:val="21"/>
                <w:highlight w:val="none"/>
                <w:lang w:eastAsia="zh-CN"/>
              </w:rPr>
              <w:t>投标人在</w:t>
            </w:r>
            <w:r>
              <w:rPr>
                <w:rFonts w:hint="eastAsia" w:ascii="宋体" w:hAnsi="宋体" w:eastAsia="宋体" w:cs="宋体"/>
                <w:b w:val="0"/>
                <w:bCs w:val="0"/>
                <w:color w:val="auto"/>
                <w:position w:val="0"/>
                <w:sz w:val="21"/>
                <w:szCs w:val="21"/>
                <w:highlight w:val="none"/>
                <w:lang w:val="en-US" w:eastAsia="zh-CN"/>
              </w:rPr>
              <w:t>202</w:t>
            </w:r>
            <w:r>
              <w:rPr>
                <w:rFonts w:hint="eastAsia" w:ascii="宋体" w:hAnsi="宋体" w:cs="宋体"/>
                <w:b w:val="0"/>
                <w:bCs w:val="0"/>
                <w:color w:val="auto"/>
                <w:position w:val="0"/>
                <w:sz w:val="21"/>
                <w:szCs w:val="21"/>
                <w:highlight w:val="none"/>
                <w:lang w:val="en-US" w:eastAsia="zh-CN"/>
              </w:rPr>
              <w:t>0</w:t>
            </w:r>
            <w:r>
              <w:rPr>
                <w:rFonts w:hint="eastAsia" w:ascii="宋体" w:hAnsi="宋体" w:eastAsia="宋体" w:cs="宋体"/>
                <w:b w:val="0"/>
                <w:bCs w:val="0"/>
                <w:color w:val="auto"/>
                <w:position w:val="0"/>
                <w:sz w:val="21"/>
                <w:szCs w:val="21"/>
                <w:highlight w:val="none"/>
                <w:lang w:eastAsia="zh-CN"/>
              </w:rPr>
              <w:t>年1月1日（以合同签订日为准）以来</w:t>
            </w:r>
            <w:r>
              <w:rPr>
                <w:rFonts w:hint="eastAsia" w:ascii="宋体" w:hAnsi="宋体" w:eastAsia="宋体" w:cs="宋体"/>
                <w:b w:val="0"/>
                <w:bCs w:val="0"/>
                <w:color w:val="auto"/>
                <w:position w:val="0"/>
                <w:sz w:val="21"/>
                <w:szCs w:val="21"/>
                <w:highlight w:val="none"/>
                <w:lang w:val="en-US" w:eastAsia="zh-CN"/>
              </w:rPr>
              <w:t>具有</w:t>
            </w:r>
            <w:r>
              <w:rPr>
                <w:rFonts w:hint="eastAsia" w:ascii="宋体" w:hAnsi="宋体" w:eastAsia="宋体" w:cs="宋体"/>
                <w:b w:val="0"/>
                <w:bCs w:val="0"/>
                <w:color w:val="auto"/>
                <w:position w:val="0"/>
                <w:sz w:val="21"/>
                <w:szCs w:val="21"/>
                <w:highlight w:val="none"/>
                <w:lang w:eastAsia="zh-CN"/>
              </w:rPr>
              <w:t>同类项目业绩合同的，</w:t>
            </w:r>
            <w:r>
              <w:rPr>
                <w:rFonts w:hint="eastAsia" w:ascii="宋体" w:hAnsi="宋体" w:eastAsia="宋体" w:cs="宋体"/>
                <w:b w:val="0"/>
                <w:bCs w:val="0"/>
                <w:color w:val="auto"/>
                <w:position w:val="0"/>
                <w:sz w:val="21"/>
                <w:szCs w:val="21"/>
                <w:highlight w:val="none"/>
                <w:lang w:val="en-US" w:eastAsia="zh-CN"/>
              </w:rPr>
              <w:t>每个合同得1分，最多得</w:t>
            </w:r>
            <w:r>
              <w:rPr>
                <w:rFonts w:hint="eastAsia" w:ascii="宋体" w:hAnsi="宋体" w:cs="宋体"/>
                <w:b w:val="0"/>
                <w:bCs w:val="0"/>
                <w:color w:val="auto"/>
                <w:position w:val="0"/>
                <w:sz w:val="21"/>
                <w:szCs w:val="21"/>
                <w:highlight w:val="none"/>
                <w:lang w:val="en-US" w:eastAsia="zh-CN"/>
              </w:rPr>
              <w:t>2</w:t>
            </w:r>
            <w:r>
              <w:rPr>
                <w:rFonts w:hint="eastAsia" w:ascii="宋体" w:hAnsi="宋体" w:eastAsia="宋体" w:cs="宋体"/>
                <w:b w:val="0"/>
                <w:bCs w:val="0"/>
                <w:color w:val="auto"/>
                <w:position w:val="0"/>
                <w:sz w:val="21"/>
                <w:szCs w:val="21"/>
                <w:highlight w:val="none"/>
                <w:lang w:val="en-US" w:eastAsia="zh-CN"/>
              </w:rPr>
              <w:t>分</w:t>
            </w:r>
          </w:p>
          <w:p>
            <w:pPr>
              <w:snapToGrid w:val="0"/>
              <w:spacing w:after="0" w:line="320" w:lineRule="exact"/>
              <w:jc w:val="left"/>
              <w:rPr>
                <w:rFonts w:hint="eastAsia" w:ascii="宋体" w:hAnsi="宋体" w:eastAsia="宋体" w:cs="宋体"/>
                <w:b w:val="0"/>
                <w:bCs w:val="0"/>
                <w:color w:val="auto"/>
                <w:position w:val="0"/>
                <w:sz w:val="21"/>
                <w:szCs w:val="21"/>
                <w:highlight w:val="none"/>
                <w:lang w:eastAsia="zh-CN"/>
              </w:rPr>
            </w:pPr>
            <w:r>
              <w:rPr>
                <w:rFonts w:hint="eastAsia" w:ascii="宋体" w:hAnsi="宋体" w:eastAsia="宋体" w:cs="宋体"/>
                <w:b w:val="0"/>
                <w:bCs w:val="0"/>
                <w:color w:val="auto"/>
                <w:position w:val="0"/>
                <w:sz w:val="21"/>
                <w:szCs w:val="21"/>
                <w:highlight w:val="none"/>
                <w:lang w:eastAsia="zh-CN"/>
              </w:rPr>
              <w:t>注：提供合同复印件，否则不得分。</w:t>
            </w:r>
          </w:p>
        </w:tc>
        <w:tc>
          <w:tcPr>
            <w:tcW w:w="9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after="0" w:line="320" w:lineRule="exact"/>
              <w:jc w:val="center"/>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客观分</w:t>
            </w:r>
          </w:p>
        </w:tc>
      </w:tr>
    </w:tbl>
    <w:p>
      <w:pPr>
        <w:numPr>
          <w:ilvl w:val="0"/>
          <w:numId w:val="9"/>
        </w:numPr>
        <w:tabs>
          <w:tab w:val="center" w:pos="4706"/>
        </w:tabs>
        <w:spacing w:line="440" w:lineRule="exact"/>
        <w:rPr>
          <w:rFonts w:ascii="宋体" w:hAnsi="宋体" w:cs="宋体"/>
          <w:b/>
          <w:szCs w:val="21"/>
          <w:highlight w:val="none"/>
        </w:rPr>
      </w:pPr>
      <w:r>
        <w:rPr>
          <w:rFonts w:hint="eastAsia" w:ascii="宋体" w:hAnsi="宋体" w:cs="宋体"/>
          <w:b/>
          <w:szCs w:val="21"/>
          <w:highlight w:val="none"/>
        </w:rPr>
        <w:t>分值计算</w:t>
      </w:r>
    </w:p>
    <w:p>
      <w:pPr>
        <w:numPr>
          <w:ilvl w:val="-1"/>
          <w:numId w:val="0"/>
        </w:numPr>
        <w:tabs>
          <w:tab w:val="center" w:pos="4706"/>
        </w:tabs>
        <w:spacing w:line="480" w:lineRule="exact"/>
        <w:ind w:left="0"/>
        <w:rPr>
          <w:rFonts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价格分</w:t>
      </w:r>
    </w:p>
    <w:p>
      <w:pPr>
        <w:tabs>
          <w:tab w:val="center" w:pos="4706"/>
        </w:tabs>
        <w:spacing w:line="480" w:lineRule="exact"/>
        <w:ind w:firstLine="420" w:firstLineChars="200"/>
        <w:rPr>
          <w:rFonts w:ascii="宋体" w:hAnsi="宋体" w:cs="宋体"/>
          <w:bCs/>
          <w:szCs w:val="21"/>
          <w:highlight w:val="none"/>
        </w:rPr>
      </w:pPr>
      <w:r>
        <w:rPr>
          <w:rFonts w:hint="eastAsia" w:ascii="宋体" w:hAnsi="宋体" w:cs="宋体"/>
          <w:bCs/>
          <w:szCs w:val="21"/>
          <w:highlight w:val="none"/>
        </w:rPr>
        <w:t>调整错误、并执行支付采购政策后按评分细则中的公式计算。</w:t>
      </w:r>
    </w:p>
    <w:p>
      <w:pPr>
        <w:tabs>
          <w:tab w:val="center" w:pos="4706"/>
        </w:tabs>
        <w:spacing w:line="360" w:lineRule="exact"/>
        <w:rPr>
          <w:rFonts w:ascii="宋体" w:hAnsi="宋体" w:cs="宋体"/>
          <w:bCs/>
          <w:szCs w:val="21"/>
          <w:highlight w:val="none"/>
        </w:rPr>
      </w:pPr>
      <w:r>
        <w:rPr>
          <w:rFonts w:hint="eastAsia" w:ascii="宋体" w:hAnsi="宋体" w:cs="宋体"/>
          <w:bCs/>
          <w:szCs w:val="21"/>
          <w:highlight w:val="none"/>
        </w:rPr>
        <w:t>2</w:t>
      </w:r>
      <w:r>
        <w:rPr>
          <w:rFonts w:hint="eastAsia" w:ascii="宋体" w:hAnsi="宋体" w:cs="宋体"/>
          <w:bCs/>
          <w:szCs w:val="21"/>
          <w:highlight w:val="none"/>
          <w:lang w:val="en-US" w:eastAsia="zh-CN"/>
        </w:rPr>
        <w:t>.</w:t>
      </w:r>
      <w:r>
        <w:rPr>
          <w:rFonts w:hint="eastAsia" w:ascii="宋体" w:hAnsi="宋体" w:cs="宋体"/>
          <w:bCs/>
          <w:szCs w:val="21"/>
          <w:highlight w:val="none"/>
        </w:rPr>
        <w:t>技术、商务资信及其他分</w:t>
      </w:r>
    </w:p>
    <w:p>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技术、商务资信及其他分按照评标委员会成员的独立评分结果汇总数算术平均分计算，计算公式为：</w:t>
      </w:r>
    </w:p>
    <w:p>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技术、商务资信及其他分=（评标委员会所有成员评分合计数）/（评标委员会组成人员数）</w:t>
      </w:r>
      <w:bookmarkStart w:id="149" w:name="_Toc317341948"/>
    </w:p>
    <w:p>
      <w:pPr>
        <w:spacing w:line="320" w:lineRule="exact"/>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w:t>
      </w:r>
      <w:r>
        <w:rPr>
          <w:rFonts w:hint="eastAsia" w:ascii="宋体" w:hAnsi="宋体" w:cs="宋体"/>
          <w:bCs/>
          <w:szCs w:val="21"/>
          <w:highlight w:val="none"/>
        </w:rPr>
        <w:t>综合得分</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投标人评标综合得分=技术、商务资信及其他分+价格得分</w:t>
      </w:r>
    </w:p>
    <w:p>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评分过程中采用四舍五入法，并保留小数2位。</w:t>
      </w:r>
    </w:p>
    <w:p>
      <w:pPr>
        <w:rPr>
          <w:highlight w:val="none"/>
        </w:rPr>
      </w:pPr>
    </w:p>
    <w:bookmarkEnd w:id="149"/>
    <w:p>
      <w:pPr>
        <w:pStyle w:val="5"/>
        <w:spacing w:line="240" w:lineRule="auto"/>
        <w:rPr>
          <w:rFonts w:ascii="宋体" w:hAnsi="宋体" w:eastAsia="宋体" w:cs="宋体"/>
          <w:sz w:val="24"/>
          <w:szCs w:val="24"/>
          <w:highlight w:val="none"/>
        </w:rPr>
      </w:pPr>
      <w:bookmarkStart w:id="150" w:name="_Toc317341949"/>
      <w:bookmarkStart w:id="151" w:name="_Toc4136"/>
      <w:bookmarkStart w:id="152" w:name="_Toc6478"/>
      <w:bookmarkStart w:id="153" w:name="_Toc22162"/>
      <w:bookmarkStart w:id="154" w:name="_Toc2756"/>
      <w:r>
        <w:rPr>
          <w:rFonts w:hint="eastAsia" w:ascii="宋体" w:hAnsi="宋体" w:eastAsia="宋体" w:cs="宋体"/>
          <w:sz w:val="24"/>
          <w:szCs w:val="24"/>
          <w:highlight w:val="none"/>
        </w:rPr>
        <w:t>四、监督管理</w:t>
      </w:r>
      <w:bookmarkEnd w:id="150"/>
      <w:bookmarkEnd w:id="151"/>
      <w:bookmarkEnd w:id="152"/>
      <w:bookmarkEnd w:id="153"/>
      <w:bookmarkEnd w:id="154"/>
    </w:p>
    <w:p>
      <w:pPr>
        <w:spacing w:line="480" w:lineRule="exact"/>
        <w:rPr>
          <w:rFonts w:ascii="宋体" w:hAnsi="宋体" w:cs="宋体"/>
          <w:szCs w:val="21"/>
          <w:highlight w:val="none"/>
          <w:u w:val="single"/>
        </w:rPr>
      </w:pPr>
      <w:r>
        <w:rPr>
          <w:rFonts w:hint="eastAsia" w:ascii="宋体" w:hAnsi="宋体" w:cs="宋体"/>
          <w:szCs w:val="21"/>
          <w:highlight w:val="none"/>
        </w:rPr>
        <w:t>本项目评审全程录音录像，监督管理部门为</w:t>
      </w:r>
      <w:r>
        <w:rPr>
          <w:rFonts w:hint="eastAsia" w:ascii="宋体" w:hAnsi="宋体" w:cs="宋体"/>
          <w:szCs w:val="21"/>
          <w:highlight w:val="none"/>
          <w:u w:val="single"/>
        </w:rPr>
        <w:t>安吉县财政局。</w:t>
      </w:r>
    </w:p>
    <w:p>
      <w:pPr>
        <w:pStyle w:val="35"/>
        <w:rPr>
          <w:highlight w:val="none"/>
        </w:rPr>
      </w:pPr>
    </w:p>
    <w:p>
      <w:pPr>
        <w:pStyle w:val="35"/>
        <w:rPr>
          <w:highlight w:val="none"/>
        </w:rPr>
      </w:pPr>
    </w:p>
    <w:p>
      <w:pPr>
        <w:pStyle w:val="4"/>
        <w:spacing w:line="240" w:lineRule="auto"/>
        <w:jc w:val="center"/>
        <w:rPr>
          <w:rFonts w:ascii="宋体" w:hAnsi="宋体" w:cs="微软雅黑"/>
          <w:szCs w:val="21"/>
          <w:highlight w:val="none"/>
        </w:rPr>
      </w:pPr>
      <w:r>
        <w:rPr>
          <w:highlight w:val="none"/>
        </w:rPr>
        <w:br w:type="page"/>
      </w:r>
      <w:bookmarkStart w:id="155" w:name="_Toc317341950"/>
      <w:bookmarkStart w:id="156" w:name="_Toc5807"/>
      <w:bookmarkStart w:id="157" w:name="_Toc21450"/>
      <w:bookmarkStart w:id="158" w:name="_Toc25477"/>
      <w:bookmarkStart w:id="159" w:name="_Toc2987"/>
      <w:r>
        <w:rPr>
          <w:rFonts w:hint="eastAsia" w:ascii="宋体" w:hAnsi="宋体" w:cs="宋体"/>
          <w:snapToGrid w:val="0"/>
          <w:sz w:val="40"/>
          <w:szCs w:val="36"/>
          <w:highlight w:val="none"/>
        </w:rPr>
        <w:t>第五章 合同主要条款</w:t>
      </w:r>
      <w:bookmarkEnd w:id="38"/>
      <w:bookmarkEnd w:id="155"/>
      <w:bookmarkEnd w:id="156"/>
      <w:bookmarkEnd w:id="157"/>
      <w:bookmarkEnd w:id="158"/>
      <w:bookmarkEnd w:id="159"/>
      <w:bookmarkStart w:id="160" w:name="_Toc222632763"/>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项目名称：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项目编号：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  乙方：</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甲乙双方根据</w:t>
      </w:r>
      <w:r>
        <w:rPr>
          <w:rFonts w:hint="eastAsia" w:ascii="宋体" w:hAnsi="宋体" w:eastAsia="宋体" w:cs="宋体"/>
          <w:color w:val="auto"/>
          <w:kern w:val="0"/>
          <w:szCs w:val="21"/>
          <w:highlight w:val="none"/>
          <w:u w:val="single"/>
          <w:lang w:eastAsia="zh-CN"/>
        </w:rPr>
        <w:t>浙江天册工程管理有限公司</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的结果，甲乙双方本着既严格执行国家有关政策，又兼顾双方利益的原则，经协商，特签订本合同书。</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一、服务内容</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二、合同金额</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本合同金额为（大写）：</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  元）</w:t>
      </w:r>
      <w:r>
        <w:rPr>
          <w:rFonts w:hint="eastAsia" w:ascii="宋体" w:hAnsi="宋体" w:eastAsia="宋体" w:cs="宋体"/>
          <w:color w:val="auto"/>
          <w:kern w:val="0"/>
          <w:szCs w:val="21"/>
          <w:highlight w:val="none"/>
        </w:rPr>
        <w:t>人民币。</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三、技术资料</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1.乙方应按采购文件规定的时间向甲方提供服务的有关技术资料。</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四、知识产权</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乙方应保证所提供的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或其任何一部分均不会侵犯任何第三方的知识产权。</w:t>
      </w:r>
    </w:p>
    <w:p>
      <w:pPr>
        <w:autoSpaceDE w:val="0"/>
        <w:autoSpaceDN w:val="0"/>
        <w:adjustRightInd w:val="0"/>
        <w:spacing w:line="360" w:lineRule="exact"/>
        <w:ind w:firstLine="424" w:firstLineChars="202"/>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、转包或分包</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1.本合同范围的服务范围，应由乙方直接负责，不得转让他人；</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2.除非得到甲方的书面同意，乙方不得将本合同范围的货物全部或部分分包给他人供应；</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3.如有转让和未经甲方同意的分包行为，甲方有权解除合同，并追究乙方的违约责任。</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、服务期限：</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1.服务期限：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.服务方式：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.服务地点：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p>
      <w:pPr>
        <w:autoSpaceDE w:val="0"/>
        <w:autoSpaceDN w:val="0"/>
        <w:adjustRightInd w:val="0"/>
        <w:spacing w:line="360" w:lineRule="exact"/>
        <w:ind w:firstLine="424" w:firstLineChars="20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本项目最终结算金额=各项实际工程量×中标单价合计结算，且不得超过中标价。</w:t>
      </w:r>
    </w:p>
    <w:p>
      <w:pPr>
        <w:autoSpaceDE w:val="0"/>
        <w:autoSpaceDN w:val="0"/>
        <w:adjustRightInd w:val="0"/>
        <w:spacing w:line="360" w:lineRule="exact"/>
        <w:ind w:firstLine="424" w:firstLineChars="20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①在合同签订生效以及具备实施条件后7个工作日内，支付合同金额的40%作为预付款；</w:t>
      </w:r>
    </w:p>
    <w:p>
      <w:pPr>
        <w:autoSpaceDE w:val="0"/>
        <w:autoSpaceDN w:val="0"/>
        <w:adjustRightInd w:val="0"/>
        <w:spacing w:line="360" w:lineRule="exact"/>
        <w:ind w:firstLine="424" w:firstLineChars="20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②提交相关报告并经过采购人确认通过后支付至最终结算金额的100%。</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lang w:val="en-US" w:eastAsia="zh-CN"/>
        </w:rPr>
      </w:pPr>
      <w:r>
        <w:rPr>
          <w:rFonts w:hint="eastAsia" w:ascii="Times New Roman" w:hAnsi="Times New Roman" w:eastAsia="宋体" w:cs="Times New Roman"/>
          <w:highlight w:val="none"/>
          <w:lang w:val="en-US" w:eastAsia="zh-CN"/>
        </w:rPr>
        <w:t>乙方应根据采购人需要提交相关的结算资料（包含工程量签证单），并提供税务发票进行结算</w:t>
      </w:r>
      <w:r>
        <w:rPr>
          <w:rFonts w:hint="eastAsia" w:ascii="宋体" w:hAnsi="宋体" w:eastAsia="宋体" w:cs="宋体"/>
          <w:color w:val="auto"/>
          <w:kern w:val="0"/>
          <w:szCs w:val="21"/>
          <w:highlight w:val="none"/>
          <w:lang w:val="en-US" w:eastAsia="zh-CN"/>
        </w:rPr>
        <w:t>。</w:t>
      </w:r>
    </w:p>
    <w:p>
      <w:pPr>
        <w:autoSpaceDE w:val="0"/>
        <w:autoSpaceDN w:val="0"/>
        <w:adjustRightInd w:val="0"/>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注：在签订合同时，乙方明确表示无需预付款或者主动要求降低预付款比例的，甲方可不适用前述规定。</w:t>
      </w:r>
    </w:p>
    <w:p>
      <w:pPr>
        <w:autoSpaceDE w:val="0"/>
        <w:autoSpaceDN w:val="0"/>
        <w:adjustRightInd w:val="0"/>
        <w:spacing w:line="360" w:lineRule="exact"/>
        <w:ind w:firstLine="424" w:firstLineChars="202"/>
        <w:jc w:val="left"/>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、税费</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本合同执行中相关的一切税费均由乙方负担。</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十、后续服务</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乙方应按</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规定向甲方提供服务。</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服务不达标时</w:t>
      </w:r>
      <w:r>
        <w:rPr>
          <w:rFonts w:hint="eastAsia" w:ascii="宋体" w:hAnsi="宋体" w:eastAsia="宋体" w:cs="宋体"/>
          <w:color w:val="auto"/>
          <w:kern w:val="0"/>
          <w:szCs w:val="21"/>
          <w:highlight w:val="none"/>
        </w:rPr>
        <w:t>，根据实际情况，经双方协商，可按照以下办法处理：</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、违约责任</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1.甲方无正当理由拒收服务计划，甲方向乙方偿付拒收服务总值的百分之五违约金。</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2.甲方无故逾期验收和办理服务期限支付手续的,甲方应按逾期付款总额每日万分之五向乙方支付违约金。</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4.乙方所提供的服务质量不符合合同规定及</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规定标准的，甲方有权拒收该继续服务，乙方愿意调整服务质量，按乙方部悔约行为处理。乙方拒绝改进服务的，甲方可单方面解除合同。</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、不可抗力事件处理</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1.在合同有效期内，任何一方因不可抗力事件导致不能履行合同，则合同履行期可延长，其延长期与不可抗力影响期相同。</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2.不可抗力事件发生后，应立即通知对方，并寄送有关权威机构出具的证明。</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3.不可抗力事件延续120天以上，双方应通过友好协商，确定是否继续履行合同。</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、诉讼</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双方在执行合同中所发生的一切争议，应通过协商解决。如协商不成，可向甲方所在地法院起诉。</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bookmarkStart w:id="161" w:name="_Toc309217684"/>
      <w:bookmarkStart w:id="162" w:name="_Toc308510339"/>
      <w:bookmarkStart w:id="163" w:name="_Toc164829162"/>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、合同生效及其它</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1.合同经双方法定代表人或授权代表签字并加盖单位公章后生效。</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2.合同执行中涉及采购资</w:t>
      </w:r>
      <w:r>
        <w:rPr>
          <w:rFonts w:hint="eastAsia" w:ascii="宋体" w:hAnsi="宋体" w:eastAsia="宋体" w:cs="宋体"/>
          <w:color w:val="auto"/>
          <w:sz w:val="24"/>
          <w:highlight w:val="none"/>
        </w:rPr>
        <w:t>金</w:t>
      </w:r>
      <w:r>
        <w:rPr>
          <w:rFonts w:hint="eastAsia" w:ascii="宋体" w:hAnsi="宋体" w:eastAsia="宋体" w:cs="宋体"/>
          <w:color w:val="auto"/>
          <w:kern w:val="0"/>
          <w:szCs w:val="21"/>
          <w:highlight w:val="none"/>
        </w:rPr>
        <w:t>和采购内容修改或补充的，须经财政部门审批，并签书面补充协议报采购代理机构及安吉县政府采购管理部门备案，方可作为主合同不可分割的一部分。</w:t>
      </w:r>
    </w:p>
    <w:p>
      <w:pPr>
        <w:autoSpaceDE w:val="0"/>
        <w:autoSpaceDN w:val="0"/>
        <w:adjustRightInd w:val="0"/>
        <w:spacing w:line="360" w:lineRule="exact"/>
        <w:ind w:firstLine="424" w:firstLine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3.本合同未尽事宜，遵照《中华人民共和国民法典》有关条文执行。</w:t>
      </w:r>
    </w:p>
    <w:bookmarkEnd w:id="161"/>
    <w:bookmarkEnd w:id="162"/>
    <w:bookmarkEnd w:id="163"/>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份，具同等法律效力。</w:t>
      </w:r>
      <w:r>
        <w:rPr>
          <w:rFonts w:hint="eastAsia" w:ascii="宋体" w:hAnsi="宋体" w:eastAsia="宋体" w:cs="宋体"/>
          <w:color w:val="auto"/>
          <w:sz w:val="21"/>
          <w:szCs w:val="21"/>
          <w:highlight w:val="none"/>
          <w:lang w:eastAsia="zh-CN"/>
        </w:rPr>
        <w:t>甲乙</w:t>
      </w:r>
      <w:r>
        <w:rPr>
          <w:rFonts w:hint="eastAsia" w:ascii="宋体" w:hAnsi="宋体" w:eastAsia="宋体" w:cs="宋体"/>
          <w:color w:val="auto"/>
          <w:sz w:val="21"/>
          <w:szCs w:val="21"/>
          <w:highlight w:val="none"/>
        </w:rPr>
        <w:t>双方各执两份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lang w:eastAsia="zh-CN"/>
        </w:rPr>
        <w:t>机构执</w:t>
      </w:r>
      <w:r>
        <w:rPr>
          <w:rFonts w:hint="eastAsia" w:ascii="宋体" w:hAnsi="宋体" w:eastAsia="宋体" w:cs="宋体"/>
          <w:color w:val="auto"/>
          <w:sz w:val="21"/>
          <w:szCs w:val="21"/>
          <w:highlight w:val="none"/>
        </w:rPr>
        <w:t>一份</w:t>
      </w:r>
      <w:r>
        <w:rPr>
          <w:rFonts w:hint="eastAsia" w:ascii="宋体" w:hAnsi="宋体" w:eastAsia="宋体" w:cs="宋体"/>
          <w:color w:val="auto"/>
          <w:sz w:val="21"/>
          <w:szCs w:val="21"/>
          <w:highlight w:val="none"/>
          <w:lang w:eastAsia="zh-CN"/>
        </w:rPr>
        <w:t>备案</w:t>
      </w:r>
      <w:r>
        <w:rPr>
          <w:rFonts w:hint="eastAsia" w:ascii="宋体" w:hAnsi="宋体" w:eastAsia="宋体" w:cs="宋体"/>
          <w:color w:val="auto"/>
          <w:sz w:val="21"/>
          <w:szCs w:val="21"/>
          <w:highlight w:val="none"/>
        </w:rPr>
        <w:t>。</w:t>
      </w:r>
    </w:p>
    <w:p>
      <w:pPr>
        <w:spacing w:line="320" w:lineRule="exact"/>
        <w:ind w:left="0" w:firstLine="420" w:firstLineChars="200"/>
        <w:rPr>
          <w:rFonts w:hint="eastAsia" w:ascii="宋体" w:hAnsi="宋体" w:eastAsia="宋体" w:cs="宋体"/>
          <w:color w:val="auto"/>
          <w:sz w:val="21"/>
          <w:szCs w:val="21"/>
          <w:highlight w:val="none"/>
        </w:rPr>
      </w:pPr>
    </w:p>
    <w:p>
      <w:pPr>
        <w:spacing w:line="3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乙方（盖章）：</w:t>
      </w:r>
    </w:p>
    <w:p>
      <w:pPr>
        <w:spacing w:line="3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p>
    <w:p>
      <w:pPr>
        <w:spacing w:line="3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pPr>
        <w:spacing w:line="3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p>
    <w:p>
      <w:pPr>
        <w:spacing w:line="320" w:lineRule="exact"/>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开户银行名称：</w:t>
      </w:r>
    </w:p>
    <w:p>
      <w:pPr>
        <w:spacing w:line="320" w:lineRule="exact"/>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p>
    <w:p>
      <w:pPr>
        <w:spacing w:line="3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rPr>
          <w:rFonts w:hint="eastAsia" w:ascii="宋体" w:hAnsi="宋体" w:eastAsia="宋体" w:cs="宋体"/>
          <w:color w:val="auto"/>
          <w:highlight w:val="none"/>
        </w:rPr>
      </w:pPr>
    </w:p>
    <w:p>
      <w:pPr>
        <w:pStyle w:val="10"/>
        <w:ind w:firstLine="0" w:firstLineChars="0"/>
        <w:rPr>
          <w:rFonts w:ascii="宋体" w:hAnsi="宋体" w:cs="宋体"/>
          <w:snapToGrid w:val="0"/>
          <w:sz w:val="36"/>
          <w:szCs w:val="36"/>
          <w:highlight w:val="none"/>
        </w:rPr>
      </w:pPr>
      <w:r>
        <w:rPr>
          <w:rFonts w:hint="eastAsia" w:ascii="宋体" w:hAnsi="宋体" w:eastAsia="宋体" w:cs="宋体"/>
          <w:b/>
          <w:color w:val="auto"/>
          <w:sz w:val="28"/>
          <w:szCs w:val="20"/>
          <w:highlight w:val="none"/>
        </w:rPr>
        <w:t>注：本合同作为示范文本，具体以成交供应商与采购人所签定正式合同为准。</w:t>
      </w:r>
    </w:p>
    <w:p>
      <w:pPr>
        <w:rPr>
          <w:highlight w:val="none"/>
        </w:rPr>
      </w:pPr>
    </w:p>
    <w:p>
      <w:pPr>
        <w:pStyle w:val="4"/>
        <w:spacing w:line="240" w:lineRule="auto"/>
        <w:jc w:val="center"/>
        <w:rPr>
          <w:rFonts w:hint="eastAsia" w:ascii="宋体" w:hAnsi="宋体" w:cs="宋体"/>
          <w:snapToGrid w:val="0"/>
          <w:sz w:val="36"/>
          <w:szCs w:val="36"/>
          <w:highlight w:val="none"/>
        </w:rPr>
        <w:sectPr>
          <w:pgSz w:w="11906" w:h="16838"/>
          <w:pgMar w:top="964" w:right="1247" w:bottom="964" w:left="1247" w:header="680" w:footer="794" w:gutter="0"/>
          <w:pgBorders>
            <w:top w:val="none" w:sz="0" w:space="0"/>
            <w:left w:val="none" w:sz="0" w:space="0"/>
            <w:bottom w:val="single" w:color="auto" w:sz="4" w:space="1"/>
            <w:right w:val="none" w:sz="0" w:space="0"/>
          </w:pgBorders>
          <w:cols w:space="720" w:num="1"/>
          <w:docGrid w:linePitch="312" w:charSpace="0"/>
        </w:sectPr>
      </w:pPr>
      <w:bookmarkStart w:id="164" w:name="_Toc27994"/>
      <w:bookmarkStart w:id="165" w:name="_Toc19174"/>
      <w:bookmarkStart w:id="166" w:name="_Toc25035"/>
      <w:bookmarkStart w:id="167" w:name="_Toc317341951"/>
      <w:bookmarkStart w:id="168" w:name="_Toc18881"/>
    </w:p>
    <w:p>
      <w:pPr>
        <w:pStyle w:val="4"/>
        <w:spacing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第六章  投标文件的格式</w:t>
      </w:r>
      <w:bookmarkEnd w:id="160"/>
      <w:bookmarkEnd w:id="164"/>
      <w:bookmarkEnd w:id="165"/>
      <w:bookmarkEnd w:id="166"/>
      <w:bookmarkEnd w:id="167"/>
      <w:bookmarkEnd w:id="168"/>
    </w:p>
    <w:p>
      <w:pPr>
        <w:spacing w:line="320" w:lineRule="exact"/>
        <w:jc w:val="right"/>
        <w:rPr>
          <w:rFonts w:ascii="宋体" w:hAnsi="宋体" w:cs="宋体"/>
          <w:szCs w:val="21"/>
          <w:highlight w:val="none"/>
        </w:rPr>
      </w:pPr>
      <w:bookmarkStart w:id="169" w:name="_Toc286416745"/>
      <w:bookmarkStart w:id="170" w:name="_Toc251601950"/>
      <w:bookmarkStart w:id="171" w:name="_Toc251602205"/>
    </w:p>
    <w:p>
      <w:pPr>
        <w:spacing w:line="320" w:lineRule="exact"/>
        <w:rPr>
          <w:rFonts w:ascii="宋体" w:hAnsi="宋体" w:cs="宋体"/>
          <w:szCs w:val="21"/>
          <w:highlight w:val="none"/>
        </w:rPr>
      </w:pPr>
    </w:p>
    <w:p>
      <w:pPr>
        <w:pStyle w:val="5"/>
        <w:jc w:val="center"/>
        <w:rPr>
          <w:rFonts w:ascii="宋体" w:hAnsi="宋体" w:eastAsia="宋体" w:cs="宋体"/>
          <w:sz w:val="24"/>
          <w:highlight w:val="none"/>
        </w:rPr>
      </w:pPr>
      <w:bookmarkStart w:id="172" w:name="_Toc26573"/>
      <w:bookmarkStart w:id="173" w:name="_Toc2236"/>
      <w:bookmarkStart w:id="174" w:name="_Toc95211197"/>
      <w:bookmarkStart w:id="175" w:name="_Toc4567"/>
      <w:bookmarkStart w:id="176" w:name="_Toc32085"/>
      <w:bookmarkStart w:id="177" w:name="_Toc318084367"/>
      <w:bookmarkStart w:id="178" w:name="_Toc32480"/>
      <w:bookmarkStart w:id="179" w:name="_Toc22205"/>
      <w:r>
        <w:rPr>
          <w:rFonts w:hint="eastAsia" w:ascii="宋体" w:hAnsi="宋体" w:eastAsia="宋体" w:cs="宋体"/>
          <w:sz w:val="28"/>
          <w:szCs w:val="28"/>
          <w:highlight w:val="none"/>
        </w:rPr>
        <w:t>一、资格证明文件格式</w:t>
      </w:r>
      <w:bookmarkEnd w:id="169"/>
      <w:bookmarkEnd w:id="172"/>
      <w:bookmarkEnd w:id="173"/>
      <w:bookmarkEnd w:id="174"/>
      <w:bookmarkEnd w:id="175"/>
      <w:bookmarkEnd w:id="176"/>
      <w:bookmarkEnd w:id="177"/>
      <w:bookmarkEnd w:id="178"/>
      <w:bookmarkEnd w:id="179"/>
    </w:p>
    <w:p>
      <w:pPr>
        <w:adjustRightInd w:val="0"/>
        <w:snapToGrid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 xml:space="preserve">资格证明文件封面格式： </w:t>
      </w: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b/>
          <w:bCs/>
          <w:sz w:val="24"/>
          <w:highlight w:val="none"/>
        </w:rPr>
      </w:pPr>
    </w:p>
    <w:p>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pPr>
        <w:adjustRightInd w:val="0"/>
        <w:snapToGrid w:val="0"/>
        <w:jc w:val="center"/>
        <w:rPr>
          <w:rFonts w:ascii="宋体" w:hAnsi="宋体" w:cs="宋体"/>
          <w:bCs/>
          <w:sz w:val="30"/>
          <w:szCs w:val="30"/>
          <w:highlight w:val="none"/>
        </w:rPr>
      </w:pPr>
    </w:p>
    <w:p>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资格证明文件</w:t>
      </w:r>
    </w:p>
    <w:p>
      <w:pPr>
        <w:adjustRightInd w:val="0"/>
        <w:snapToGrid w:val="0"/>
        <w:jc w:val="center"/>
        <w:rPr>
          <w:rFonts w:ascii="宋体" w:hAnsi="宋体" w:cs="宋体"/>
          <w:b/>
          <w:bCs/>
          <w:sz w:val="44"/>
          <w:szCs w:val="44"/>
          <w:highlight w:val="none"/>
        </w:rPr>
      </w:pPr>
    </w:p>
    <w:p>
      <w:pPr>
        <w:adjustRightInd w:val="0"/>
        <w:snapToGrid w:val="0"/>
        <w:jc w:val="center"/>
        <w:rPr>
          <w:rFonts w:ascii="宋体" w:hAnsi="宋体" w:cs="宋体"/>
          <w:b/>
          <w:bCs/>
          <w:sz w:val="44"/>
          <w:szCs w:val="44"/>
          <w:highlight w:val="none"/>
        </w:rPr>
      </w:pPr>
    </w:p>
    <w:p>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 xml:space="preserve">项目名称： </w:t>
      </w:r>
    </w:p>
    <w:p>
      <w:pPr>
        <w:adjustRightInd w:val="0"/>
        <w:snapToGrid w:val="0"/>
        <w:ind w:firstLine="960" w:firstLineChars="400"/>
        <w:rPr>
          <w:rFonts w:ascii="宋体" w:hAnsi="宋体" w:cs="宋体"/>
          <w:bCs/>
          <w:sz w:val="24"/>
          <w:highlight w:val="none"/>
        </w:rPr>
      </w:pPr>
      <w:r>
        <w:rPr>
          <w:rFonts w:hint="eastAsia" w:ascii="宋体" w:hAnsi="宋体" w:cs="宋体"/>
          <w:bCs/>
          <w:sz w:val="24"/>
          <w:highlight w:val="none"/>
        </w:rPr>
        <w:t>项目编号：</w:t>
      </w:r>
    </w:p>
    <w:p>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标项：</w:t>
      </w:r>
    </w:p>
    <w:p>
      <w:pPr>
        <w:adjustRightInd w:val="0"/>
        <w:snapToGrid w:val="0"/>
        <w:ind w:firstLine="960" w:firstLineChars="400"/>
        <w:rPr>
          <w:rFonts w:hint="eastAsia" w:ascii="宋体" w:hAnsi="宋体" w:cs="宋体"/>
          <w:sz w:val="24"/>
          <w:highlight w:val="none"/>
        </w:rPr>
      </w:pPr>
      <w:r>
        <w:rPr>
          <w:rFonts w:hint="eastAsia" w:ascii="宋体" w:hAnsi="宋体" w:cs="宋体"/>
          <w:sz w:val="24"/>
          <w:highlight w:val="none"/>
        </w:rPr>
        <w:t>投标人名称（盖章）：</w:t>
      </w:r>
    </w:p>
    <w:p>
      <w:pPr>
        <w:adjustRightInd w:val="0"/>
        <w:snapToGrid w:val="0"/>
        <w:ind w:firstLine="960" w:firstLineChars="400"/>
        <w:rPr>
          <w:rFonts w:ascii="宋体" w:hAnsi="宋体" w:cs="宋体"/>
          <w:sz w:val="24"/>
          <w:highlight w:val="none"/>
        </w:rPr>
      </w:pPr>
      <w:r>
        <w:rPr>
          <w:rFonts w:hint="eastAsia" w:ascii="宋体" w:hAnsi="宋体" w:cs="宋体"/>
          <w:sz w:val="24"/>
          <w:highlight w:val="none"/>
        </w:rPr>
        <w:t>投标人地址：</w:t>
      </w:r>
    </w:p>
    <w:p>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pPr>
        <w:adjustRightInd w:val="0"/>
        <w:snapToGrid w:val="0"/>
        <w:ind w:firstLine="645"/>
        <w:jc w:val="right"/>
        <w:rPr>
          <w:rFonts w:ascii="宋体" w:hAnsi="宋体" w:cs="宋体"/>
          <w:sz w:val="24"/>
          <w:highlight w:val="none"/>
        </w:rPr>
      </w:pPr>
      <w:r>
        <w:rPr>
          <w:rFonts w:hint="eastAsia" w:ascii="宋体" w:hAnsi="宋体" w:cs="宋体"/>
          <w:sz w:val="24"/>
          <w:highlight w:val="none"/>
        </w:rPr>
        <w:t>年  月  日</w:t>
      </w:r>
    </w:p>
    <w:p>
      <w:pPr>
        <w:adjustRightInd w:val="0"/>
        <w:snapToGrid w:val="0"/>
        <w:ind w:firstLine="645"/>
        <w:jc w:val="right"/>
        <w:rPr>
          <w:rFonts w:ascii="宋体" w:hAnsi="宋体" w:cs="宋体"/>
          <w:sz w:val="24"/>
          <w:highlight w:val="none"/>
        </w:rPr>
      </w:pPr>
    </w:p>
    <w:p>
      <w:pPr>
        <w:adjustRightInd w:val="0"/>
        <w:snapToGrid w:val="0"/>
        <w:ind w:firstLine="645"/>
        <w:jc w:val="right"/>
        <w:rPr>
          <w:rFonts w:ascii="宋体" w:hAnsi="宋体" w:cs="宋体"/>
          <w:sz w:val="24"/>
          <w:highlight w:val="none"/>
        </w:rPr>
      </w:pPr>
    </w:p>
    <w:p>
      <w:pPr>
        <w:adjustRightInd w:val="0"/>
        <w:snapToGrid w:val="0"/>
        <w:ind w:firstLine="645"/>
        <w:jc w:val="right"/>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ind w:firstLine="240"/>
        <w:rPr>
          <w:rFonts w:ascii="宋体" w:hAnsi="宋体" w:cs="宋体"/>
          <w:sz w:val="24"/>
          <w:highlight w:val="none"/>
        </w:rPr>
      </w:pPr>
    </w:p>
    <w:p>
      <w:pPr>
        <w:rPr>
          <w:rFonts w:ascii="宋体" w:hAnsi="宋体" w:cs="宋体"/>
          <w:sz w:val="24"/>
          <w:highlight w:val="none"/>
        </w:rPr>
      </w:pPr>
    </w:p>
    <w:p>
      <w:pPr>
        <w:pStyle w:val="3"/>
      </w:pPr>
    </w:p>
    <w:p>
      <w:pPr>
        <w:pStyle w:val="3"/>
        <w:ind w:firstLine="240"/>
        <w:rPr>
          <w:rFonts w:ascii="宋体" w:hAnsi="宋体" w:cs="宋体"/>
          <w:sz w:val="24"/>
          <w:highlight w:val="none"/>
        </w:rPr>
      </w:pPr>
    </w:p>
    <w:p>
      <w:pPr>
        <w:adjustRightInd w:val="0"/>
        <w:snapToGrid w:val="0"/>
        <w:jc w:val="left"/>
        <w:rPr>
          <w:rFonts w:hint="eastAsia" w:ascii="宋体" w:hAnsi="宋体" w:cs="宋体"/>
          <w:sz w:val="21"/>
          <w:szCs w:val="18"/>
          <w:highlight w:val="none"/>
        </w:rPr>
      </w:pPr>
    </w:p>
    <w:p>
      <w:pPr>
        <w:adjustRightInd w:val="0"/>
        <w:snapToGrid w:val="0"/>
        <w:rPr>
          <w:rFonts w:hint="eastAsia" w:ascii="宋体" w:hAnsi="宋体" w:cs="宋体"/>
          <w:sz w:val="24"/>
          <w:highlight w:val="none"/>
        </w:rPr>
      </w:pPr>
      <w:r>
        <w:rPr>
          <w:rFonts w:hint="eastAsia" w:ascii="宋体" w:hAnsi="宋体" w:cs="宋体"/>
          <w:sz w:val="24"/>
          <w:highlight w:val="none"/>
        </w:rPr>
        <w:t>目录</w:t>
      </w:r>
    </w:p>
    <w:p>
      <w:pPr>
        <w:pStyle w:val="2"/>
        <w:numPr>
          <w:ilvl w:val="0"/>
          <w:numId w:val="0"/>
        </w:numPr>
      </w:pPr>
    </w:p>
    <w:p>
      <w:pPr>
        <w:adjustRightInd w:val="0"/>
        <w:snapToGrid w:val="0"/>
        <w:spacing w:line="360" w:lineRule="exact"/>
        <w:ind w:firstLine="422" w:firstLineChars="200"/>
        <w:jc w:val="left"/>
        <w:rPr>
          <w:rFonts w:hint="eastAsia" w:ascii="宋体" w:hAnsi="宋体" w:eastAsia="宋体" w:cs="宋体"/>
          <w:b/>
          <w:szCs w:val="21"/>
          <w:highlight w:val="none"/>
          <w:lang w:eastAsia="zh-CN"/>
        </w:rPr>
      </w:pPr>
      <w:r>
        <w:rPr>
          <w:rFonts w:hint="eastAsia" w:ascii="宋体" w:hAnsi="宋体" w:cs="宋体"/>
          <w:b/>
          <w:szCs w:val="21"/>
          <w:highlight w:val="none"/>
        </w:rPr>
        <w:t>1</w:t>
      </w:r>
      <w:r>
        <w:rPr>
          <w:rFonts w:hint="eastAsia" w:ascii="宋体" w:hAnsi="宋体" w:cs="宋体"/>
          <w:b/>
          <w:szCs w:val="21"/>
          <w:highlight w:val="none"/>
          <w:lang w:val="en-US" w:eastAsia="zh-CN"/>
        </w:rPr>
        <w:t>.</w:t>
      </w:r>
      <w:r>
        <w:rPr>
          <w:rFonts w:hint="eastAsia" w:ascii="宋体" w:hAnsi="宋体" w:cs="宋体"/>
          <w:b/>
          <w:szCs w:val="21"/>
          <w:highlight w:val="none"/>
        </w:rPr>
        <w:t>资格证明文件包括：</w:t>
      </w:r>
    </w:p>
    <w:p>
      <w:pPr>
        <w:numPr>
          <w:ilvl w:val="0"/>
          <w:numId w:val="10"/>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pPr>
        <w:numPr>
          <w:ilvl w:val="0"/>
          <w:numId w:val="10"/>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pPr>
        <w:numPr>
          <w:ilvl w:val="0"/>
          <w:numId w:val="10"/>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pPr>
        <w:numPr>
          <w:ilvl w:val="0"/>
          <w:numId w:val="10"/>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pPr>
        <w:numPr>
          <w:ilvl w:val="0"/>
          <w:numId w:val="10"/>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pPr>
        <w:rPr>
          <w:highlight w:val="none"/>
        </w:rPr>
      </w:pPr>
    </w:p>
    <w:p>
      <w:pPr>
        <w:rPr>
          <w:highlight w:val="none"/>
        </w:rPr>
      </w:pPr>
    </w:p>
    <w:p>
      <w:pPr>
        <w:pStyle w:val="3"/>
        <w:ind w:firstLine="210"/>
        <w:rPr>
          <w:highlight w:val="none"/>
        </w:rPr>
      </w:pPr>
    </w:p>
    <w:p>
      <w:pPr>
        <w:rPr>
          <w:highlight w:val="none"/>
        </w:rPr>
      </w:pPr>
    </w:p>
    <w:p>
      <w:pPr>
        <w:rPr>
          <w:highlight w:val="none"/>
        </w:rPr>
      </w:pPr>
    </w:p>
    <w:p>
      <w:pPr>
        <w:pStyle w:val="3"/>
      </w:pPr>
    </w:p>
    <w:p>
      <w:pPr>
        <w:rPr>
          <w:rFonts w:hint="eastAsia" w:ascii="宋体" w:hAnsi="宋体" w:cs="宋体"/>
          <w:sz w:val="21"/>
          <w:szCs w:val="18"/>
          <w:highlight w:val="none"/>
        </w:rPr>
        <w:sectPr>
          <w:headerReference r:id="rId5" w:type="default"/>
          <w:footerReference r:id="rId6" w:type="default"/>
          <w:footerReference r:id="rId7"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rPr>
          <w:rFonts w:ascii="宋体" w:hAnsi="宋体" w:cs="宋体"/>
          <w:sz w:val="21"/>
          <w:szCs w:val="18"/>
          <w:highlight w:val="none"/>
        </w:rPr>
      </w:pPr>
      <w:r>
        <w:rPr>
          <w:rFonts w:hint="eastAsia" w:ascii="宋体" w:hAnsi="宋体" w:cs="宋体"/>
          <w:sz w:val="21"/>
          <w:szCs w:val="18"/>
          <w:highlight w:val="none"/>
        </w:rPr>
        <w:t>3</w:t>
      </w:r>
      <w:r>
        <w:rPr>
          <w:rFonts w:hint="eastAsia" w:ascii="宋体" w:hAnsi="宋体" w:cs="宋体"/>
          <w:sz w:val="21"/>
          <w:szCs w:val="18"/>
          <w:highlight w:val="none"/>
          <w:lang w:eastAsia="zh-CN"/>
        </w:rPr>
        <w:t>.</w:t>
      </w:r>
      <w:r>
        <w:rPr>
          <w:rFonts w:hint="eastAsia" w:ascii="宋体" w:hAnsi="宋体" w:cs="宋体"/>
          <w:sz w:val="21"/>
          <w:szCs w:val="18"/>
          <w:highlight w:val="none"/>
        </w:rPr>
        <w:t>投标资格声明书格式：</w:t>
      </w:r>
    </w:p>
    <w:p>
      <w:pPr>
        <w:rPr>
          <w:highlight w:val="none"/>
        </w:rPr>
      </w:pPr>
    </w:p>
    <w:p>
      <w:pPr>
        <w:adjustRightInd w:val="0"/>
        <w:snapToGrid w:val="0"/>
        <w:jc w:val="center"/>
        <w:rPr>
          <w:rFonts w:ascii="宋体" w:hAnsi="宋体" w:cs="宋体"/>
          <w:b/>
          <w:sz w:val="44"/>
          <w:szCs w:val="44"/>
          <w:highlight w:val="none"/>
        </w:rPr>
      </w:pPr>
      <w:r>
        <w:rPr>
          <w:rFonts w:hint="eastAsia" w:ascii="宋体" w:hAnsi="宋体" w:cs="宋体"/>
          <w:b/>
          <w:sz w:val="36"/>
          <w:szCs w:val="36"/>
          <w:highlight w:val="none"/>
        </w:rPr>
        <w:t>投标资格声明书</w:t>
      </w:r>
    </w:p>
    <w:p>
      <w:pPr>
        <w:adjustRightInd w:val="0"/>
        <w:snapToGrid w:val="0"/>
        <w:spacing w:line="400" w:lineRule="exact"/>
        <w:rPr>
          <w:rFonts w:ascii="宋体" w:hAnsi="宋体" w:cs="宋体"/>
          <w:spacing w:val="8"/>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lang w:eastAsia="zh-CN"/>
        </w:rPr>
        <w:t>安吉县水利局</w:t>
      </w:r>
      <w:r>
        <w:rPr>
          <w:rFonts w:hint="eastAsia" w:ascii="宋体" w:hAnsi="宋体" w:cs="宋体"/>
          <w:szCs w:val="21"/>
          <w:highlight w:val="none"/>
          <w:u w:val="single"/>
        </w:rPr>
        <w:t>：</w:t>
      </w:r>
    </w:p>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u w:val="single"/>
          <w:lang w:eastAsia="zh-CN"/>
        </w:rPr>
        <w:t>浙江天册工程管理有限公司</w:t>
      </w:r>
      <w:r>
        <w:rPr>
          <w:rFonts w:hint="eastAsia" w:ascii="宋体" w:hAnsi="宋体" w:cs="宋体"/>
          <w:szCs w:val="21"/>
          <w:highlight w:val="none"/>
        </w:rPr>
        <w:t>：</w:t>
      </w:r>
    </w:p>
    <w:p>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系中华人民共和国合法企业，经营地址</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（姓名）系</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（投标人名称）的法定代表人，我方愿意参加贵方组织的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szCs w:val="21"/>
          <w:highlight w:val="none"/>
          <w:lang w:eastAsia="zh-CN"/>
        </w:rPr>
        <w:t>，标项</w:t>
      </w:r>
      <w:r>
        <w:rPr>
          <w:rFonts w:hint="eastAsia" w:ascii="宋体" w:hAnsi="宋体" w:cs="宋体"/>
          <w:szCs w:val="21"/>
          <w:highlight w:val="none"/>
          <w:u w:val="single"/>
          <w:lang w:val="en-US" w:eastAsia="zh-CN"/>
        </w:rPr>
        <w:t xml:space="preserve">                  的</w:t>
      </w:r>
      <w:r>
        <w:rPr>
          <w:rFonts w:hint="eastAsia" w:ascii="宋体" w:hAnsi="宋体" w:cs="宋体"/>
          <w:szCs w:val="21"/>
          <w:highlight w:val="none"/>
        </w:rPr>
        <w:t>投标，为便于贵方公正、择优地确定中标人及其投标项目的服务，我方就本次投标有关事项郑重声明如下：</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我方向贵方提交的所有投标文件、资料都是准确的和真实的；</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我方不是采购人的附属机构；在获知本项目采购信息后，与采购人聘请的为此项目提供咨询服务的公司及其附属机构没有任何联系。</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我方承诺已经具备招标文件规定的参加本项目政府采购活动的投标人应当具备的条件：</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（6）至本项目投标截止时间前，我方未列入失信被执行人、重大税收违法失信主体、政府采购严重违法失信行为记录名单；</w:t>
      </w:r>
    </w:p>
    <w:p>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以上事项如有虚假或隐瞒，我方愿意承担一切后果和责任。</w:t>
      </w:r>
    </w:p>
    <w:p>
      <w:pPr>
        <w:adjustRightInd w:val="0"/>
        <w:snapToGrid w:val="0"/>
        <w:spacing w:line="400" w:lineRule="exact"/>
        <w:ind w:firstLine="420" w:firstLineChars="200"/>
        <w:rPr>
          <w:rFonts w:ascii="宋体" w:hAnsi="宋体" w:cs="宋体"/>
          <w:szCs w:val="21"/>
          <w:highlight w:val="none"/>
          <w:u w:val="single"/>
        </w:rPr>
      </w:pP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pPr>
        <w:adjustRightInd w:val="0"/>
        <w:snapToGrid w:val="0"/>
        <w:spacing w:line="400" w:lineRule="exact"/>
        <w:ind w:firstLine="420" w:firstLineChars="200"/>
        <w:rPr>
          <w:rFonts w:ascii="宋体" w:hAnsi="宋体" w:cs="宋体"/>
          <w:szCs w:val="21"/>
          <w:highlight w:val="none"/>
          <w:u w:val="single"/>
        </w:rPr>
      </w:pP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投标人全称（盖章）：</w:t>
      </w:r>
    </w:p>
    <w:p>
      <w:pPr>
        <w:adjustRightInd w:val="0"/>
        <w:snapToGrid w:val="0"/>
        <w:spacing w:line="400" w:lineRule="exact"/>
        <w:ind w:firstLine="210" w:firstLineChars="100"/>
        <w:jc w:val="right"/>
        <w:rPr>
          <w:rFonts w:ascii="宋体" w:hAnsi="宋体" w:cs="宋体"/>
          <w:szCs w:val="21"/>
          <w:highlight w:val="none"/>
        </w:rPr>
      </w:pP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p>
      <w:pPr>
        <w:rPr>
          <w:highlight w:val="none"/>
        </w:rPr>
      </w:pP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说明：重大违法记录是指因违法经营受到刑事处罚或者责令停产停业、吊销许可证或者执照、较大数额罚款（200万元及以上金额）等行政处罚。</w:t>
      </w:r>
    </w:p>
    <w:p>
      <w:pPr>
        <w:adjustRightInd w:val="0"/>
        <w:snapToGrid w:val="0"/>
        <w:ind w:firstLine="645"/>
        <w:jc w:val="left"/>
        <w:rPr>
          <w:rFonts w:ascii="宋体" w:hAnsi="宋体" w:cs="宋体"/>
          <w:sz w:val="24"/>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hint="eastAsia" w:ascii="宋体" w:hAnsi="宋体" w:cs="宋体"/>
          <w:highlight w:val="none"/>
          <w:lang w:val="en-US" w:eastAsia="zh-CN"/>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spacing w:line="400" w:lineRule="exac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中小/小微企业声明函：</w:t>
      </w:r>
    </w:p>
    <w:p>
      <w:pPr>
        <w:snapToGrid w:val="0"/>
        <w:spacing w:before="120" w:beforeLines="50" w:after="120" w:afterLines="50" w:line="500" w:lineRule="exact"/>
        <w:jc w:val="center"/>
        <w:rPr>
          <w:rFonts w:ascii="宋体" w:hAnsi="宋体" w:cs="宋体"/>
          <w:b/>
          <w:color w:val="auto"/>
          <w:kern w:val="0"/>
          <w:szCs w:val="21"/>
          <w:highlight w:val="none"/>
        </w:rPr>
      </w:pPr>
      <w:bookmarkStart w:id="180" w:name="_Toc95211198"/>
      <w:bookmarkStart w:id="181" w:name="_Toc17582"/>
      <w:bookmarkStart w:id="182" w:name="_Toc5664"/>
      <w:bookmarkStart w:id="183" w:name="_Toc8549"/>
      <w:bookmarkStart w:id="184" w:name="_Toc24255"/>
      <w:bookmarkStart w:id="185" w:name="_Toc19603"/>
      <w:r>
        <w:rPr>
          <w:rFonts w:hint="eastAsia" w:ascii="宋体" w:hAnsi="宋体" w:cs="宋体"/>
          <w:b/>
          <w:color w:val="auto"/>
          <w:kern w:val="0"/>
          <w:szCs w:val="21"/>
          <w:highlight w:val="none"/>
        </w:rPr>
        <w:t>中小企业声明函</w:t>
      </w:r>
    </w:p>
    <w:p>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本公司（联合体）郑重声明，根据《政府采购促进中小企业发展管理办法》（财库﹝2020﹞46 号）的规定，本公司（联合体）参加</w:t>
      </w:r>
      <w:r>
        <w:rPr>
          <w:rFonts w:hint="eastAsia" w:ascii="宋体" w:hAnsi="宋体" w:cs="宋体"/>
          <w:bCs/>
          <w:color w:val="auto"/>
          <w:kern w:val="0"/>
          <w:szCs w:val="21"/>
          <w:highlight w:val="none"/>
          <w:u w:val="single"/>
        </w:rPr>
        <w:t xml:space="preserve"> </w:t>
      </w:r>
      <w:r>
        <w:rPr>
          <w:rFonts w:hint="eastAsia" w:ascii="宋体" w:hAnsi="宋体" w:cs="宋体"/>
          <w:b/>
          <w:bCs w:val="0"/>
          <w:color w:val="auto"/>
          <w:kern w:val="0"/>
          <w:szCs w:val="21"/>
          <w:highlight w:val="none"/>
          <w:u w:val="single"/>
        </w:rPr>
        <w:t>安吉县水利局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的</w:t>
      </w:r>
      <w:r>
        <w:rPr>
          <w:rFonts w:hint="eastAsia" w:ascii="宋体" w:hAnsi="宋体" w:cs="宋体"/>
          <w:bCs/>
          <w:color w:val="auto"/>
          <w:kern w:val="0"/>
          <w:szCs w:val="21"/>
          <w:highlight w:val="none"/>
          <w:u w:val="single"/>
        </w:rPr>
        <w:t xml:space="preserve"> </w:t>
      </w:r>
      <w:r>
        <w:rPr>
          <w:rFonts w:hint="eastAsia" w:ascii="宋体" w:hAnsi="宋体" w:cs="宋体"/>
          <w:b/>
          <w:bCs w:val="0"/>
          <w:color w:val="auto"/>
          <w:kern w:val="0"/>
          <w:szCs w:val="21"/>
          <w:highlight w:val="none"/>
          <w:u w:val="single"/>
          <w:lang w:eastAsia="zh-CN"/>
        </w:rPr>
        <w:t>2025年度安吉县水域监测评价相关技术服务采购项目</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采购活动，服务全部由符合政策要求的中小企业承接。相关企业（含联合体中的中小企业、签订分包意向协议的中小企业）的具体情况如下：</w:t>
      </w:r>
    </w:p>
    <w:p>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u w:val="single"/>
        </w:rPr>
        <w:t xml:space="preserve"> </w:t>
      </w:r>
      <w:r>
        <w:rPr>
          <w:rFonts w:hint="eastAsia" w:ascii="宋体" w:hAnsi="宋体" w:cs="宋体"/>
          <w:b/>
          <w:bCs w:val="0"/>
          <w:color w:val="auto"/>
          <w:kern w:val="0"/>
          <w:szCs w:val="21"/>
          <w:highlight w:val="none"/>
          <w:u w:val="single"/>
          <w:lang w:eastAsia="zh-CN"/>
        </w:rPr>
        <w:t>2025年度安吉县水域监测评价相关技术服务采购项目</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，属于</w:t>
      </w:r>
      <w:r>
        <w:rPr>
          <w:rFonts w:hint="eastAsia" w:ascii="宋体" w:hAnsi="宋体" w:cs="宋体"/>
          <w:b/>
          <w:bCs/>
          <w:color w:val="auto"/>
          <w:kern w:val="0"/>
          <w:szCs w:val="21"/>
          <w:highlight w:val="none"/>
          <w:u w:val="single"/>
        </w:rPr>
        <w:t>其他未列明行业</w:t>
      </w:r>
      <w:r>
        <w:rPr>
          <w:rFonts w:hint="eastAsia" w:ascii="宋体" w:hAnsi="宋体" w:cs="宋体"/>
          <w:bCs/>
          <w:color w:val="auto"/>
          <w:kern w:val="0"/>
          <w:szCs w:val="21"/>
          <w:highlight w:val="none"/>
        </w:rPr>
        <w:t>；承建（承接）企业为</w:t>
      </w:r>
      <w:r>
        <w:rPr>
          <w:rFonts w:hint="eastAsia" w:ascii="宋体" w:hAnsi="宋体" w:cs="宋体"/>
          <w:bCs/>
          <w:color w:val="auto"/>
          <w:kern w:val="0"/>
          <w:szCs w:val="21"/>
          <w:highlight w:val="none"/>
          <w:u w:val="single"/>
        </w:rPr>
        <w:t xml:space="preserve">  （企业名称） </w:t>
      </w:r>
      <w:r>
        <w:rPr>
          <w:rFonts w:hint="eastAsia" w:ascii="宋体" w:hAnsi="宋体" w:cs="宋体"/>
          <w:bCs/>
          <w:color w:val="auto"/>
          <w:kern w:val="0"/>
          <w:szCs w:val="21"/>
          <w:highlight w:val="none"/>
        </w:rPr>
        <w:t>，从业人员</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w:t>
      </w:r>
      <w:r>
        <w:rPr>
          <w:rFonts w:hint="eastAsia" w:ascii="宋体" w:hAnsi="宋体" w:cs="宋体"/>
          <w:bCs/>
          <w:color w:val="auto"/>
          <w:kern w:val="0"/>
          <w:szCs w:val="21"/>
          <w:highlight w:val="none"/>
          <w:vertAlign w:val="superscript"/>
        </w:rPr>
        <w:t>1</w:t>
      </w:r>
      <w:r>
        <w:rPr>
          <w:rFonts w:hint="eastAsia" w:ascii="宋体" w:hAnsi="宋体" w:cs="宋体"/>
          <w:bCs/>
          <w:color w:val="auto"/>
          <w:kern w:val="0"/>
          <w:szCs w:val="21"/>
          <w:highlight w:val="none"/>
        </w:rPr>
        <w:t>，属于</w:t>
      </w:r>
      <w:r>
        <w:rPr>
          <w:rFonts w:hint="eastAsia" w:ascii="宋体" w:hAnsi="宋体" w:cs="宋体"/>
          <w:bCs/>
          <w:color w:val="auto"/>
          <w:kern w:val="0"/>
          <w:szCs w:val="21"/>
          <w:highlight w:val="none"/>
          <w:u w:val="single"/>
        </w:rPr>
        <w:t xml:space="preserve"> （中型企业、小型企业、微型企业） </w:t>
      </w:r>
      <w:r>
        <w:rPr>
          <w:rFonts w:hint="eastAsia" w:ascii="宋体" w:hAnsi="宋体" w:cs="宋体"/>
          <w:bCs/>
          <w:color w:val="auto"/>
          <w:kern w:val="0"/>
          <w:szCs w:val="21"/>
          <w:highlight w:val="none"/>
        </w:rPr>
        <w:t>；</w:t>
      </w:r>
    </w:p>
    <w:p>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以上企业，不属于大企业的分支机构，不存在控股股东为大企业的情形，也不存在与大企业的负责人为同一人的情形。</w:t>
      </w:r>
    </w:p>
    <w:p>
      <w:pPr>
        <w:widowControl/>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本企业对上述声明内容的真实性负责。如有虚假，将依法承担相应责任。</w:t>
      </w:r>
    </w:p>
    <w:p>
      <w:pPr>
        <w:widowControl/>
        <w:snapToGrid w:val="0"/>
        <w:spacing w:line="360" w:lineRule="auto"/>
        <w:ind w:firstLine="420" w:firstLineChars="200"/>
        <w:jc w:val="left"/>
        <w:rPr>
          <w:rFonts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供应商盖章：</w:t>
      </w:r>
      <w:r>
        <w:rPr>
          <w:rFonts w:hint="eastAsia" w:ascii="宋体" w:hAnsi="宋体" w:cs="宋体"/>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hAnsi="宋体"/>
          <w:color w:val="auto"/>
          <w:szCs w:val="21"/>
          <w:highlight w:val="none"/>
          <w:u w:val="single"/>
        </w:rPr>
        <w:t xml:space="preserve">   </w:t>
      </w:r>
      <w:r>
        <w:rPr>
          <w:rFonts w:hint="eastAsia" w:ascii="宋体"/>
          <w:bCs/>
          <w:color w:val="auto"/>
          <w:szCs w:val="21"/>
          <w:highlight w:val="none"/>
        </w:rPr>
        <w:t>年</w:t>
      </w:r>
      <w:r>
        <w:rPr>
          <w:rFonts w:hint="eastAsia" w:hAnsi="宋体"/>
          <w:color w:val="auto"/>
          <w:szCs w:val="21"/>
          <w:highlight w:val="none"/>
          <w:u w:val="single"/>
        </w:rPr>
        <w:t xml:space="preserve">   </w:t>
      </w:r>
      <w:r>
        <w:rPr>
          <w:rFonts w:hint="eastAsia" w:ascii="宋体"/>
          <w:bCs/>
          <w:color w:val="auto"/>
          <w:szCs w:val="21"/>
          <w:highlight w:val="none"/>
        </w:rPr>
        <w:t>月</w:t>
      </w:r>
      <w:r>
        <w:rPr>
          <w:rFonts w:hint="eastAsia" w:hAnsi="宋体"/>
          <w:color w:val="auto"/>
          <w:szCs w:val="21"/>
          <w:highlight w:val="none"/>
          <w:u w:val="single"/>
        </w:rPr>
        <w:t xml:space="preserve">   </w:t>
      </w:r>
      <w:r>
        <w:rPr>
          <w:rFonts w:hint="eastAsia" w:ascii="宋体"/>
          <w:bCs/>
          <w:color w:val="auto"/>
          <w:szCs w:val="21"/>
          <w:highlight w:val="none"/>
        </w:rPr>
        <w:t>日</w:t>
      </w:r>
    </w:p>
    <w:p>
      <w:pPr>
        <w:widowControl/>
        <w:snapToGrid w:val="0"/>
        <w:spacing w:line="360" w:lineRule="auto"/>
        <w:ind w:firstLine="420" w:firstLineChars="200"/>
        <w:jc w:val="left"/>
        <w:rPr>
          <w:rFonts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szCs w:val="21"/>
          <w:highlight w:val="none"/>
        </w:rPr>
      </w:pPr>
    </w:p>
    <w:p>
      <w:pPr>
        <w:widowControl/>
        <w:snapToGrid w:val="0"/>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r>
        <w:rPr>
          <w:rFonts w:hint="eastAsia" w:ascii="宋体" w:hAnsi="宋体" w:cs="宋体"/>
          <w:color w:val="auto"/>
          <w:kern w:val="0"/>
          <w:szCs w:val="21"/>
          <w:highlight w:val="none"/>
        </w:rPr>
        <w:t>。</w:t>
      </w:r>
    </w:p>
    <w:p>
      <w:pPr>
        <w:widowControl/>
        <w:snapToGrid w:val="0"/>
        <w:spacing w:line="360" w:lineRule="auto"/>
        <w:ind w:firstLine="480" w:firstLineChars="200"/>
        <w:jc w:val="left"/>
        <w:rPr>
          <w:rFonts w:ascii="宋体" w:hAnsi="宋体" w:cs="宋体"/>
          <w:color w:val="auto"/>
          <w:kern w:val="0"/>
          <w:sz w:val="24"/>
          <w:highlight w:val="none"/>
        </w:rPr>
      </w:pPr>
    </w:p>
    <w:p>
      <w:pPr>
        <w:widowControl/>
        <w:wordWrap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注：1、本项目采购标的对应的中小企业划分标准所属行业为其他未列明行业。</w:t>
      </w:r>
    </w:p>
    <w:p>
      <w:pPr>
        <w:widowControl/>
        <w:wordWrap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2、▲供应商提供的中小企业声明函与实际情况不符的，视为供应商提供虚假材料投标的，投标无效。</w:t>
      </w:r>
    </w:p>
    <w:p>
      <w:pPr>
        <w:pStyle w:val="10"/>
        <w:ind w:firstLine="602"/>
        <w:rPr>
          <w:b/>
          <w:bCs/>
          <w:color w:val="auto"/>
          <w:highlight w:val="none"/>
        </w:rPr>
      </w:pPr>
    </w:p>
    <w:p>
      <w:pPr>
        <w:pStyle w:val="2"/>
        <w:spacing w:after="0" w:line="390" w:lineRule="exact"/>
        <w:rPr>
          <w:rFonts w:ascii="宋体" w:hAnsi="宋体" w:cs="宋体"/>
          <w:color w:val="auto"/>
          <w:kern w:val="0"/>
          <w:szCs w:val="21"/>
          <w:highlight w:val="none"/>
        </w:rPr>
      </w:pPr>
      <w:r>
        <w:rPr>
          <w:rFonts w:hint="eastAsia" w:ascii="宋体" w:hAnsi="宋体" w:cs="宋体"/>
          <w:color w:val="auto"/>
          <w:kern w:val="0"/>
          <w:szCs w:val="21"/>
          <w:highlight w:val="none"/>
        </w:rPr>
        <w:t>说明：1、《关于印发中小企业划型标准规定的通知》（工信部联企业〔2011〕300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2、中小企业划分为中型、小型、微型三种类型，具体标准根据企业从业人员、营业收入、资产总额等指标，结合行业特点制定。各行业划型标准为：</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（一）农、林、牧、渔业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营业收入20000万元以下的为中小微型企业。其中，营业收入500万元及以上的为中型企业，营业收入50万元及以上的为小型企业，营业收入50万元以下的为微型企业。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（二）工业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（三）建筑业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（四）批发业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（五）零售业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（六）交通运输业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从业人员1000人以下或营业收入30000万元以下的为中小微型企业。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（七）仓储业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（八）邮政业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（九）住宿业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（十）餐饮业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（十一）信息传输业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（十二）软件和信息技术服务业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（十三）房地产开发经营</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（十四）物业管理</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（十五）租赁和商务服务业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spacing w:after="0"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（十六）其他未列明行业</w:t>
      </w:r>
    </w:p>
    <w:p>
      <w:pPr>
        <w:pStyle w:val="2"/>
        <w:spacing w:after="0"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从业人员300人以下的为中小微型企业。其中，从业人员100人及以上的为中型企业；从业人员10人及以上的为小型企业；从业人员10人以下的为微型企业。</w:t>
      </w: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adjustRightInd w:val="0"/>
        <w:snapToGrid w:val="0"/>
        <w:spacing w:before="120" w:beforeLines="50" w:after="120" w:afterLines="50" w:line="500" w:lineRule="exact"/>
        <w:outlineLvl w:val="2"/>
        <w:rPr>
          <w:rFonts w:ascii="宋体"/>
          <w:b/>
          <w:bCs/>
          <w:color w:val="auto"/>
          <w:szCs w:val="21"/>
          <w:highlight w:val="none"/>
        </w:rPr>
      </w:pPr>
      <w:r>
        <w:rPr>
          <w:rFonts w:hint="eastAsia" w:ascii="宋体" w:hAnsi="宋体" w:cs="宋体"/>
          <w:b/>
          <w:bCs/>
          <w:color w:val="auto"/>
          <w:szCs w:val="21"/>
          <w:highlight w:val="none"/>
        </w:rPr>
        <w:t>5</w:t>
      </w:r>
      <w:r>
        <w:rPr>
          <w:rFonts w:hint="eastAsia" w:ascii="宋体"/>
          <w:b/>
          <w:bCs/>
          <w:color w:val="auto"/>
          <w:szCs w:val="21"/>
          <w:highlight w:val="none"/>
        </w:rPr>
        <w:t>、残疾人福利性单位声明函</w:t>
      </w:r>
    </w:p>
    <w:p>
      <w:pPr>
        <w:spacing w:line="400" w:lineRule="exact"/>
        <w:jc w:val="center"/>
        <w:rPr>
          <w:rFonts w:ascii="宋体" w:hAnsi="宋体" w:cs="宋体"/>
          <w:b/>
          <w:color w:val="auto"/>
          <w:szCs w:val="21"/>
          <w:highlight w:val="none"/>
        </w:rPr>
      </w:pPr>
    </w:p>
    <w:p>
      <w:pPr>
        <w:spacing w:before="120" w:beforeLines="50" w:after="120" w:afterLines="50" w:line="50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pPr>
        <w:spacing w:line="440" w:lineRule="exact"/>
        <w:ind w:firstLine="504" w:firstLineChars="200"/>
        <w:rPr>
          <w:rFonts w:ascii="宋体" w:hAnsi="宋体" w:cs="宋体"/>
          <w:color w:val="auto"/>
          <w:spacing w:val="6"/>
          <w:sz w:val="24"/>
          <w:highlight w:val="none"/>
        </w:rPr>
      </w:pPr>
    </w:p>
    <w:p>
      <w:pPr>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本单位郑重声明，根据《财政部民政部中国残疾人联合会关于促进残疾人就业政府采购政策的通知》（财库〔2017〕141号）的规定，本单位为符合条件的残疾人福利性单位，且本单位参加______单位的</w:t>
      </w:r>
      <w:r>
        <w:rPr>
          <w:rFonts w:hint="eastAsia" w:ascii="宋体" w:hAnsi="宋体" w:cs="宋体"/>
          <w:color w:val="auto"/>
          <w:spacing w:val="6"/>
          <w:szCs w:val="21"/>
          <w:highlight w:val="none"/>
        </w:rPr>
        <w:tab/>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2"/>
        <w:spacing w:after="0" w:line="400" w:lineRule="exact"/>
        <w:rPr>
          <w:rFonts w:ascii="宋体" w:hAnsi="宋体" w:cs="宋体"/>
          <w:color w:val="auto"/>
          <w:szCs w:val="21"/>
          <w:highlight w:val="none"/>
        </w:rPr>
      </w:pPr>
    </w:p>
    <w:p>
      <w:pPr>
        <w:pStyle w:val="2"/>
        <w:spacing w:after="0" w:line="400" w:lineRule="exact"/>
        <w:rPr>
          <w:rFonts w:ascii="宋体" w:hAnsi="宋体" w:cs="宋体"/>
          <w:color w:val="auto"/>
          <w:szCs w:val="21"/>
          <w:highlight w:val="none"/>
        </w:rPr>
      </w:pPr>
    </w:p>
    <w:p>
      <w:pPr>
        <w:pStyle w:val="2"/>
        <w:spacing w:after="0" w:line="400" w:lineRule="exact"/>
        <w:rPr>
          <w:rFonts w:ascii="宋体" w:hAnsi="宋体" w:cs="宋体"/>
          <w:color w:val="auto"/>
          <w:highlight w:val="none"/>
        </w:rPr>
      </w:pPr>
    </w:p>
    <w:p>
      <w:pPr>
        <w:pStyle w:val="2"/>
        <w:spacing w:after="0" w:line="400" w:lineRule="exact"/>
        <w:rPr>
          <w:rFonts w:ascii="宋体" w:hAnsi="宋体" w:cs="宋体"/>
          <w:color w:val="auto"/>
          <w:sz w:val="17"/>
          <w:highlight w:val="none"/>
        </w:rPr>
      </w:pPr>
    </w:p>
    <w:p>
      <w:pPr>
        <w:wordWrap w:val="0"/>
        <w:spacing w:line="400" w:lineRule="exact"/>
        <w:ind w:left="540" w:right="968" w:rightChars="461" w:hanging="360"/>
        <w:jc w:val="right"/>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pPr>
        <w:wordWrap w:val="0"/>
        <w:spacing w:line="400" w:lineRule="exact"/>
        <w:ind w:left="540" w:leftChars="257" w:right="968" w:rightChars="461" w:firstLine="2730" w:firstLineChars="1300"/>
        <w:jc w:val="right"/>
        <w:rPr>
          <w:rFonts w:ascii="宋体" w:hAnsi="宋体" w:cs="宋体"/>
          <w:color w:val="auto"/>
          <w:szCs w:val="21"/>
          <w:highlight w:val="none"/>
          <w:u w:val="single"/>
        </w:rPr>
      </w:pPr>
      <w:r>
        <w:rPr>
          <w:rFonts w:hint="eastAsia" w:ascii="宋体" w:hAnsi="宋体" w:cs="宋体"/>
          <w:color w:val="auto"/>
          <w:szCs w:val="21"/>
          <w:highlight w:val="none"/>
        </w:rPr>
        <w:t>法定代表人或授权委托人签字：</w:t>
      </w:r>
      <w:r>
        <w:rPr>
          <w:rFonts w:hint="eastAsia" w:ascii="宋体" w:hAnsi="宋体" w:cs="宋体"/>
          <w:color w:val="auto"/>
          <w:szCs w:val="21"/>
          <w:highlight w:val="none"/>
          <w:u w:val="single"/>
        </w:rPr>
        <w:t xml:space="preserve"> </w:t>
      </w:r>
    </w:p>
    <w:p>
      <w:pPr>
        <w:wordWrap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spacing w:line="400" w:lineRule="exact"/>
        <w:jc w:val="left"/>
        <w:rPr>
          <w:rFonts w:ascii="宋体" w:hAnsi="宋体" w:cs="宋体"/>
          <w:color w:val="auto"/>
          <w:szCs w:val="21"/>
          <w:highlight w:val="none"/>
        </w:rPr>
      </w:pPr>
    </w:p>
    <w:p>
      <w:pPr>
        <w:adjustRightInd w:val="0"/>
        <w:snapToGrid w:val="0"/>
        <w:spacing w:line="400" w:lineRule="exact"/>
        <w:jc w:val="left"/>
        <w:rPr>
          <w:rFonts w:ascii="宋体" w:hAnsi="宋体" w:cs="宋体"/>
          <w:color w:val="auto"/>
          <w:szCs w:val="21"/>
          <w:highlight w:val="none"/>
        </w:rPr>
      </w:pP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提供社保缴纳人员名单、录用的残疾人的</w:t>
      </w:r>
      <w:r>
        <w:rPr>
          <w:rFonts w:hint="eastAsia" w:ascii="宋体" w:hAnsi="宋体" w:cs="宋体"/>
          <w:color w:val="auto"/>
          <w:highlight w:val="none"/>
        </w:rPr>
        <w:t>《中华人民共和国残疾人证》或者《中华人民共和国残疾军人证(1至8级)》复印件。</w:t>
      </w:r>
    </w:p>
    <w:p>
      <w:pPr>
        <w:pStyle w:val="36"/>
        <w:spacing w:before="120"/>
        <w:rPr>
          <w:rFonts w:ascii="宋体"/>
          <w:b/>
          <w:color w:val="auto"/>
          <w:szCs w:val="21"/>
          <w:highlight w:val="none"/>
        </w:rPr>
      </w:pPr>
    </w:p>
    <w:p>
      <w:pPr>
        <w:pStyle w:val="36"/>
        <w:spacing w:before="120"/>
        <w:rPr>
          <w:rFonts w:ascii="宋体"/>
          <w:b/>
          <w:color w:val="auto"/>
          <w:szCs w:val="21"/>
          <w:highlight w:val="none"/>
        </w:rPr>
      </w:pPr>
    </w:p>
    <w:p>
      <w:pPr>
        <w:pStyle w:val="36"/>
        <w:spacing w:before="120"/>
        <w:rPr>
          <w:rFonts w:ascii="宋体"/>
          <w:b/>
          <w:color w:val="auto"/>
          <w:szCs w:val="21"/>
          <w:highlight w:val="none"/>
        </w:rPr>
      </w:pPr>
    </w:p>
    <w:p>
      <w:pPr>
        <w:pStyle w:val="36"/>
        <w:spacing w:before="120"/>
        <w:ind w:firstLine="0"/>
        <w:rPr>
          <w:rFonts w:ascii="宋体"/>
          <w:b/>
          <w:color w:val="auto"/>
          <w:szCs w:val="21"/>
          <w:highlight w:val="none"/>
        </w:rPr>
      </w:pPr>
    </w:p>
    <w:p>
      <w:pPr>
        <w:adjustRightInd w:val="0"/>
        <w:snapToGrid w:val="0"/>
        <w:spacing w:before="120" w:beforeLines="50" w:after="120" w:afterLines="50" w:line="500" w:lineRule="exact"/>
        <w:outlineLvl w:val="2"/>
        <w:rPr>
          <w:rFonts w:hint="eastAsia" w:ascii="宋体"/>
          <w:b/>
          <w:bCs/>
          <w:color w:val="auto"/>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adjustRightInd w:val="0"/>
        <w:snapToGrid w:val="0"/>
        <w:spacing w:before="120" w:beforeLines="50" w:after="120" w:afterLines="50" w:line="500" w:lineRule="exact"/>
        <w:outlineLvl w:val="2"/>
        <w:rPr>
          <w:rFonts w:ascii="宋体"/>
          <w:b/>
          <w:color w:val="auto"/>
          <w:szCs w:val="21"/>
          <w:highlight w:val="none"/>
        </w:rPr>
      </w:pPr>
      <w:r>
        <w:rPr>
          <w:rFonts w:hint="eastAsia" w:ascii="宋体"/>
          <w:b/>
          <w:bCs/>
          <w:color w:val="auto"/>
          <w:szCs w:val="21"/>
          <w:highlight w:val="none"/>
        </w:rPr>
        <w:t>6</w:t>
      </w:r>
      <w:r>
        <w:rPr>
          <w:rFonts w:hint="eastAsia" w:ascii="宋体"/>
          <w:b/>
          <w:color w:val="auto"/>
          <w:szCs w:val="21"/>
          <w:highlight w:val="none"/>
        </w:rPr>
        <w:t>、监狱企业声明函</w:t>
      </w:r>
    </w:p>
    <w:p>
      <w:pPr>
        <w:spacing w:before="120" w:beforeLines="50" w:after="120" w:afterLines="50" w:line="500" w:lineRule="exact"/>
        <w:jc w:val="center"/>
        <w:rPr>
          <w:rFonts w:ascii="宋体" w:hAnsi="宋体" w:cs="宋体"/>
          <w:b/>
          <w:color w:val="auto"/>
          <w:szCs w:val="21"/>
          <w:highlight w:val="none"/>
        </w:rPr>
      </w:pPr>
      <w:r>
        <w:rPr>
          <w:rFonts w:hint="eastAsia" w:ascii="宋体" w:hAnsi="宋体" w:cs="宋体"/>
          <w:b/>
          <w:color w:val="auto"/>
          <w:szCs w:val="21"/>
          <w:highlight w:val="none"/>
        </w:rPr>
        <w:t>监狱企业声明函（非监狱企业不用提供）</w:t>
      </w:r>
    </w:p>
    <w:p>
      <w:pPr>
        <w:adjustRightInd w:val="0"/>
        <w:snapToGrid w:val="0"/>
        <w:spacing w:line="320" w:lineRule="exact"/>
        <w:ind w:firstLine="3907" w:firstLineChars="1390"/>
        <w:rPr>
          <w:rFonts w:ascii="宋体" w:hAnsi="宋体" w:cs="宋体"/>
          <w:b/>
          <w:color w:val="auto"/>
          <w:sz w:val="28"/>
          <w:szCs w:val="28"/>
          <w:highlight w:val="none"/>
        </w:rPr>
      </w:pP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（采购人名称）：</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本公司郑重声明，根据《关于政府采购支持监狱企业发展有关问题的通知》（财库〔2014〕68号）的规定，本公司为监狱企业。</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1.本公司为监狱企业的证明材料如下：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附：  </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附：  </w:t>
      </w:r>
      <w:r>
        <w:rPr>
          <w:rFonts w:hint="eastAsia" w:ascii="宋体" w:hAnsi="宋体" w:cs="宋体"/>
          <w:color w:val="auto"/>
          <w:highlight w:val="none"/>
        </w:rPr>
        <w:t>。</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u w:val="single"/>
        </w:rPr>
        <w:t>（采购人名称）</w:t>
      </w:r>
      <w:r>
        <w:rPr>
          <w:rFonts w:hint="eastAsia" w:ascii="宋体" w:hAnsi="宋体" w:cs="宋体"/>
          <w:color w:val="auto"/>
          <w:highlight w:val="none"/>
        </w:rPr>
        <w:t>单位的</w:t>
      </w:r>
      <w:r>
        <w:rPr>
          <w:rFonts w:hint="eastAsia" w:ascii="宋体" w:hAnsi="宋体" w:cs="宋体"/>
          <w:color w:val="auto"/>
          <w:highlight w:val="none"/>
          <w:u w:val="single"/>
        </w:rPr>
        <w:t>（项目名称）</w:t>
      </w:r>
      <w:r>
        <w:rPr>
          <w:rFonts w:hint="eastAsia" w:ascii="宋体" w:hAnsi="宋体" w:cs="宋体"/>
          <w:color w:val="auto"/>
          <w:highlight w:val="none"/>
        </w:rPr>
        <w:t>采购活动。本公司对上述声明的真实性负责。如有虚假，将依法承担相应责任。</w:t>
      </w:r>
    </w:p>
    <w:p>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lang w:val="zh-CN"/>
        </w:rPr>
        <w:t>注：1）本声明函为监狱企业填写。</w:t>
      </w:r>
    </w:p>
    <w:p>
      <w:pPr>
        <w:adjustRightInd w:val="0"/>
        <w:snapToGrid w:val="0"/>
        <w:spacing w:line="400" w:lineRule="exact"/>
        <w:ind w:firstLine="835" w:firstLineChars="3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2）后附相关部门认定盖章认定证明文件</w:t>
      </w:r>
      <w:r>
        <w:rPr>
          <w:rFonts w:hint="eastAsia" w:ascii="宋体" w:hAnsi="宋体" w:cs="宋体"/>
          <w:b/>
          <w:color w:val="auto"/>
          <w:szCs w:val="21"/>
          <w:highlight w:val="none"/>
        </w:rPr>
        <w:t>且有效期内</w:t>
      </w:r>
      <w:r>
        <w:rPr>
          <w:rFonts w:hint="eastAsia" w:ascii="宋体" w:hAnsi="宋体" w:cs="宋体"/>
          <w:b/>
          <w:color w:val="auto"/>
          <w:kern w:val="0"/>
          <w:szCs w:val="21"/>
          <w:highlight w:val="none"/>
          <w:lang w:val="zh-CN"/>
        </w:rPr>
        <w:t>。</w:t>
      </w:r>
    </w:p>
    <w:p>
      <w:pPr>
        <w:adjustRightInd w:val="0"/>
        <w:snapToGrid w:val="0"/>
        <w:spacing w:line="400" w:lineRule="exact"/>
        <w:rPr>
          <w:rFonts w:ascii="宋体" w:hAnsi="宋体" w:cs="宋体"/>
          <w:color w:val="auto"/>
          <w:kern w:val="0"/>
          <w:highlight w:val="none"/>
          <w:lang w:val="zh-CN"/>
        </w:rPr>
      </w:pPr>
    </w:p>
    <w:p>
      <w:pPr>
        <w:wordWrap w:val="0"/>
        <w:spacing w:line="400" w:lineRule="exact"/>
        <w:ind w:left="540" w:right="968" w:rightChars="461" w:hanging="360"/>
        <w:jc w:val="right"/>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pPr>
        <w:wordWrap w:val="0"/>
        <w:spacing w:line="400" w:lineRule="exact"/>
        <w:ind w:left="540" w:leftChars="257" w:right="968" w:rightChars="461" w:firstLine="2730" w:firstLineChars="1300"/>
        <w:jc w:val="right"/>
        <w:rPr>
          <w:rFonts w:ascii="宋体" w:hAnsi="宋体" w:cs="宋体"/>
          <w:color w:val="auto"/>
          <w:szCs w:val="21"/>
          <w:highlight w:val="none"/>
          <w:u w:val="single"/>
        </w:rPr>
      </w:pPr>
      <w:r>
        <w:rPr>
          <w:rFonts w:hint="eastAsia" w:ascii="宋体" w:hAnsi="宋体" w:cs="宋体"/>
          <w:color w:val="auto"/>
          <w:szCs w:val="21"/>
          <w:highlight w:val="none"/>
        </w:rPr>
        <w:t>法定代表人或授权委托人签字：</w:t>
      </w:r>
      <w:r>
        <w:rPr>
          <w:rFonts w:hint="eastAsia" w:ascii="宋体" w:hAnsi="宋体" w:cs="宋体"/>
          <w:color w:val="auto"/>
          <w:szCs w:val="21"/>
          <w:highlight w:val="none"/>
          <w:u w:val="single"/>
        </w:rPr>
        <w:t xml:space="preserve"> </w:t>
      </w:r>
    </w:p>
    <w:p>
      <w:pPr>
        <w:wordWrap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spacing w:before="120" w:beforeLines="50" w:after="120" w:afterLines="50" w:line="500" w:lineRule="exact"/>
        <w:outlineLvl w:val="2"/>
        <w:rPr>
          <w:rFonts w:ascii="宋体"/>
          <w:b/>
          <w:color w:val="auto"/>
          <w:szCs w:val="21"/>
          <w:highlight w:val="none"/>
        </w:rPr>
      </w:pPr>
    </w:p>
    <w:p>
      <w:pPr>
        <w:adjustRightInd w:val="0"/>
        <w:snapToGrid w:val="0"/>
        <w:spacing w:before="120" w:beforeLines="50" w:after="120" w:afterLines="50" w:line="500" w:lineRule="exact"/>
        <w:outlineLvl w:val="2"/>
        <w:rPr>
          <w:rFonts w:ascii="宋体"/>
          <w:b/>
          <w:color w:val="auto"/>
          <w:szCs w:val="21"/>
          <w:highlight w:val="none"/>
        </w:rPr>
      </w:pPr>
    </w:p>
    <w:p>
      <w:pPr>
        <w:pStyle w:val="5"/>
        <w:jc w:val="center"/>
        <w:rPr>
          <w:rFonts w:hint="eastAsia" w:ascii="宋体" w:hAnsi="宋体" w:eastAsia="宋体" w:cs="宋体"/>
          <w:sz w:val="28"/>
          <w:szCs w:val="28"/>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pStyle w:val="5"/>
        <w:jc w:val="center"/>
        <w:rPr>
          <w:rFonts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eastAsia="zh-CN"/>
        </w:rPr>
        <w:t>商务技术文件</w:t>
      </w:r>
      <w:r>
        <w:rPr>
          <w:rFonts w:hint="eastAsia" w:ascii="宋体" w:hAnsi="宋体" w:eastAsia="宋体" w:cs="宋体"/>
          <w:sz w:val="28"/>
          <w:szCs w:val="28"/>
          <w:highlight w:val="none"/>
        </w:rPr>
        <w:t>格式</w:t>
      </w:r>
      <w:bookmarkEnd w:id="180"/>
      <w:bookmarkEnd w:id="181"/>
      <w:bookmarkEnd w:id="182"/>
      <w:bookmarkEnd w:id="183"/>
      <w:bookmarkEnd w:id="184"/>
      <w:bookmarkEnd w:id="185"/>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lang w:eastAsia="zh-CN"/>
        </w:rPr>
        <w:t>商务技术文件</w:t>
      </w:r>
      <w:r>
        <w:rPr>
          <w:rFonts w:hint="eastAsia" w:ascii="宋体" w:hAnsi="宋体" w:cs="宋体"/>
          <w:sz w:val="24"/>
          <w:highlight w:val="none"/>
        </w:rPr>
        <w:t xml:space="preserve">封面格式： </w:t>
      </w:r>
    </w:p>
    <w:p>
      <w:pPr>
        <w:adjustRightInd w:val="0"/>
        <w:snapToGrid w:val="0"/>
        <w:rPr>
          <w:rFonts w:ascii="宋体" w:hAnsi="宋体" w:cs="宋体"/>
          <w:sz w:val="24"/>
          <w:highlight w:val="none"/>
        </w:rPr>
      </w:pPr>
    </w:p>
    <w:p>
      <w:pPr>
        <w:adjustRightInd w:val="0"/>
        <w:snapToGrid w:val="0"/>
        <w:rPr>
          <w:rFonts w:ascii="宋体" w:hAnsi="宋体" w:cs="宋体"/>
          <w:b/>
          <w:bCs/>
          <w:sz w:val="24"/>
          <w:highlight w:val="none"/>
        </w:rPr>
      </w:pPr>
    </w:p>
    <w:p>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pPr>
        <w:adjustRightInd w:val="0"/>
        <w:snapToGrid w:val="0"/>
        <w:jc w:val="center"/>
        <w:rPr>
          <w:rFonts w:ascii="宋体" w:hAnsi="宋体" w:cs="宋体"/>
          <w:bCs/>
          <w:sz w:val="30"/>
          <w:szCs w:val="30"/>
          <w:highlight w:val="none"/>
        </w:rPr>
      </w:pPr>
    </w:p>
    <w:p>
      <w:pPr>
        <w:adjustRightInd w:val="0"/>
        <w:snapToGrid w:val="0"/>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商务技术文件</w:t>
      </w:r>
    </w:p>
    <w:p>
      <w:pPr>
        <w:adjustRightInd w:val="0"/>
        <w:snapToGrid w:val="0"/>
        <w:jc w:val="center"/>
        <w:rPr>
          <w:rFonts w:ascii="宋体" w:hAnsi="宋体" w:cs="宋体"/>
          <w:b/>
          <w:bCs/>
          <w:sz w:val="44"/>
          <w:szCs w:val="44"/>
          <w:highlight w:val="none"/>
        </w:rPr>
      </w:pPr>
    </w:p>
    <w:p>
      <w:pPr>
        <w:adjustRightInd w:val="0"/>
        <w:snapToGrid w:val="0"/>
        <w:ind w:left="0" w:leftChars="0" w:firstLine="0" w:firstLineChars="0"/>
        <w:rPr>
          <w:rFonts w:ascii="宋体" w:hAnsi="宋体" w:cs="宋体"/>
          <w:bCs/>
          <w:sz w:val="24"/>
          <w:highlight w:val="none"/>
        </w:rPr>
      </w:pPr>
      <w:r>
        <w:rPr>
          <w:rFonts w:hint="eastAsia" w:ascii="宋体" w:hAnsi="宋体" w:cs="宋体"/>
          <w:bCs/>
          <w:sz w:val="24"/>
          <w:highlight w:val="none"/>
        </w:rPr>
        <w:t xml:space="preserve">项目名称： </w:t>
      </w:r>
    </w:p>
    <w:p>
      <w:pPr>
        <w:adjustRightInd w:val="0"/>
        <w:snapToGrid w:val="0"/>
        <w:ind w:firstLine="0" w:firstLineChars="0"/>
        <w:rPr>
          <w:rFonts w:ascii="宋体" w:hAnsi="宋体" w:cs="宋体"/>
          <w:bCs/>
          <w:sz w:val="24"/>
          <w:highlight w:val="none"/>
        </w:rPr>
      </w:pPr>
      <w:r>
        <w:rPr>
          <w:rFonts w:hint="eastAsia" w:ascii="宋体" w:hAnsi="宋体" w:cs="宋体"/>
          <w:bCs/>
          <w:sz w:val="24"/>
          <w:highlight w:val="none"/>
        </w:rPr>
        <w:t>项目编号：</w:t>
      </w:r>
    </w:p>
    <w:p>
      <w:pPr>
        <w:adjustRightInd w:val="0"/>
        <w:snapToGrid w:val="0"/>
        <w:ind w:firstLine="0" w:firstLineChars="0"/>
        <w:rPr>
          <w:rFonts w:ascii="宋体" w:hAnsi="宋体" w:cs="宋体"/>
          <w:bCs/>
          <w:sz w:val="24"/>
          <w:highlight w:val="none"/>
        </w:rPr>
      </w:pPr>
      <w:r>
        <w:rPr>
          <w:rFonts w:hint="eastAsia" w:ascii="宋体" w:hAnsi="宋体" w:cs="宋体"/>
          <w:bCs/>
          <w:sz w:val="24"/>
          <w:highlight w:val="none"/>
        </w:rPr>
        <w:t>标项：</w:t>
      </w:r>
    </w:p>
    <w:p>
      <w:pPr>
        <w:adjustRightInd w:val="0"/>
        <w:snapToGrid w:val="0"/>
        <w:ind w:firstLine="0" w:firstLineChars="0"/>
        <w:rPr>
          <w:rFonts w:ascii="宋体" w:hAnsi="宋体" w:cs="宋体"/>
          <w:sz w:val="24"/>
          <w:highlight w:val="none"/>
        </w:rPr>
      </w:pPr>
      <w:r>
        <w:rPr>
          <w:rFonts w:hint="eastAsia" w:ascii="宋体" w:hAnsi="宋体" w:cs="宋体"/>
          <w:sz w:val="24"/>
          <w:highlight w:val="none"/>
        </w:rPr>
        <w:t>投标人名称（盖章）：</w:t>
      </w:r>
    </w:p>
    <w:p>
      <w:pPr>
        <w:adjustRightInd w:val="0"/>
        <w:snapToGrid w:val="0"/>
        <w:ind w:firstLine="0" w:firstLineChars="0"/>
        <w:rPr>
          <w:rFonts w:ascii="宋体" w:hAnsi="宋体" w:cs="宋体"/>
          <w:sz w:val="24"/>
          <w:highlight w:val="none"/>
        </w:rPr>
      </w:pPr>
      <w:r>
        <w:rPr>
          <w:rFonts w:hint="eastAsia" w:ascii="宋体" w:hAnsi="宋体" w:cs="宋体"/>
          <w:sz w:val="24"/>
          <w:highlight w:val="none"/>
        </w:rPr>
        <w:t>投标人地址：</w:t>
      </w:r>
    </w:p>
    <w:p>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pPr>
        <w:adjustRightInd w:val="0"/>
        <w:snapToGrid w:val="0"/>
        <w:ind w:firstLine="645"/>
        <w:jc w:val="right"/>
        <w:rPr>
          <w:rFonts w:ascii="宋体" w:hAnsi="宋体" w:cs="宋体"/>
          <w:sz w:val="24"/>
          <w:highlight w:val="none"/>
        </w:rPr>
      </w:pPr>
      <w:r>
        <w:rPr>
          <w:rFonts w:hint="eastAsia" w:ascii="宋体" w:hAnsi="宋体" w:cs="宋体"/>
          <w:sz w:val="24"/>
          <w:highlight w:val="none"/>
        </w:rPr>
        <w:t>年  月  日</w:t>
      </w: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pStyle w:val="3"/>
        <w:ind w:firstLine="210"/>
        <w:rPr>
          <w:highlight w:val="none"/>
        </w:rPr>
      </w:pPr>
    </w:p>
    <w:p>
      <w:pPr>
        <w:numPr>
          <w:ilvl w:val="-1"/>
          <w:numId w:val="0"/>
        </w:numPr>
        <w:tabs>
          <w:tab w:val="left" w:pos="8280"/>
        </w:tabs>
        <w:adjustRightInd w:val="0"/>
        <w:snapToGrid w:val="0"/>
        <w:ind w:left="0" w:leftChars="0" w:firstLine="0" w:firstLineChars="0"/>
        <w:rPr>
          <w:rFonts w:hint="eastAsia" w:ascii="宋体" w:hAnsi="宋体" w:cs="宋体"/>
          <w:sz w:val="21"/>
          <w:szCs w:val="15"/>
          <w:highlight w:val="none"/>
          <w:lang w:val="en-US" w:eastAsia="zh-CN"/>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numPr>
          <w:ilvl w:val="-1"/>
          <w:numId w:val="0"/>
        </w:numPr>
        <w:tabs>
          <w:tab w:val="left" w:pos="8280"/>
        </w:tabs>
        <w:adjustRightInd w:val="0"/>
        <w:snapToGrid w:val="0"/>
        <w:ind w:left="0" w:leftChars="0" w:firstLine="0" w:firstLineChars="0"/>
        <w:rPr>
          <w:rFonts w:hint="eastAsia" w:ascii="宋体" w:hAnsi="宋体" w:cs="宋体"/>
          <w:sz w:val="21"/>
          <w:szCs w:val="15"/>
          <w:highlight w:val="none"/>
        </w:rPr>
      </w:pPr>
      <w:r>
        <w:rPr>
          <w:rFonts w:hint="eastAsia" w:ascii="宋体" w:hAnsi="宋体" w:cs="宋体"/>
          <w:sz w:val="21"/>
          <w:szCs w:val="15"/>
          <w:highlight w:val="none"/>
          <w:lang w:val="en-US" w:eastAsia="zh-CN"/>
        </w:rPr>
        <w:t>2.</w:t>
      </w:r>
      <w:r>
        <w:rPr>
          <w:rFonts w:hint="eastAsia" w:ascii="宋体" w:hAnsi="宋体" w:cs="宋体"/>
          <w:sz w:val="21"/>
          <w:szCs w:val="15"/>
          <w:highlight w:val="none"/>
        </w:rPr>
        <w:t>目录</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投标函（格式见第六章）；</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法定代表人身份证明书、法定代表人授权委托书（格式见第六章）</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投标单位情况表（格式见第六章）；</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技术响应表（格式见第六章）；</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lang w:val="en-US" w:eastAsia="zh-CN"/>
        </w:rPr>
        <w:t>项目理解</w:t>
      </w:r>
      <w:r>
        <w:rPr>
          <w:rStyle w:val="25"/>
          <w:rFonts w:hint="eastAsia" w:ascii="宋体" w:hAnsi="宋体" w:eastAsia="宋体" w:cs="宋体"/>
          <w:color w:val="auto"/>
          <w:szCs w:val="21"/>
          <w:highlight w:val="none"/>
          <w:u w:val="none"/>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重点难点分析及解决方案</w:t>
      </w:r>
      <w:r>
        <w:rPr>
          <w:rStyle w:val="25"/>
          <w:rFonts w:hint="eastAsia" w:ascii="宋体" w:hAnsi="宋体" w:eastAsia="宋体" w:cs="宋体"/>
          <w:color w:val="auto"/>
          <w:szCs w:val="21"/>
          <w:highlight w:val="none"/>
          <w:u w:val="none"/>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工作内容及</w:t>
      </w:r>
      <w:r>
        <w:rPr>
          <w:rFonts w:hint="eastAsia" w:ascii="宋体" w:hAnsi="宋体" w:eastAsia="宋体" w:cs="宋体"/>
          <w:color w:val="auto"/>
          <w:szCs w:val="21"/>
          <w:highlight w:val="none"/>
          <w:lang w:eastAsia="zh-CN"/>
        </w:rPr>
        <w:t>工作思路</w:t>
      </w:r>
      <w:r>
        <w:rPr>
          <w:rFonts w:hint="eastAsia" w:ascii="宋体" w:hAnsi="宋体" w:cs="宋体"/>
          <w:color w:val="auto"/>
          <w:szCs w:val="21"/>
          <w:highlight w:val="none"/>
          <w:lang w:eastAsia="zh-CN"/>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服务质量保证措施及服务承诺保障</w:t>
      </w:r>
      <w:r>
        <w:rPr>
          <w:rFonts w:hint="eastAsia" w:ascii="宋体" w:hAnsi="宋体" w:eastAsia="宋体" w:cs="宋体"/>
          <w:color w:val="auto"/>
          <w:szCs w:val="21"/>
          <w:highlight w:val="none"/>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进度安排及保障措施</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售后服务及承诺</w:t>
      </w:r>
      <w:r>
        <w:rPr>
          <w:rFonts w:hint="eastAsia" w:ascii="宋体" w:hAnsi="宋体" w:eastAsia="宋体" w:cs="宋体"/>
          <w:color w:val="auto"/>
          <w:szCs w:val="21"/>
          <w:highlight w:val="none"/>
          <w:lang w:eastAsia="zh-CN"/>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highlight w:val="none"/>
        </w:rPr>
      </w:pPr>
      <w:r>
        <w:rPr>
          <w:rFonts w:hint="eastAsia" w:ascii="宋体" w:hAnsi="宋体" w:cs="宋体"/>
          <w:color w:val="auto"/>
          <w:szCs w:val="21"/>
          <w:highlight w:val="none"/>
          <w:lang w:val="en-US" w:eastAsia="zh-CN"/>
        </w:rPr>
        <w:t>合理化建议</w:t>
      </w:r>
      <w:r>
        <w:rPr>
          <w:rFonts w:hint="eastAsia" w:ascii="宋体" w:hAnsi="宋体" w:eastAsia="宋体" w:cs="宋体"/>
          <w:color w:val="auto"/>
          <w:szCs w:val="21"/>
          <w:highlight w:val="none"/>
          <w:lang w:eastAsia="zh-CN"/>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企业实力</w:t>
      </w:r>
      <w:r>
        <w:rPr>
          <w:rFonts w:hint="eastAsia" w:ascii="宋体" w:hAnsi="宋体" w:eastAsia="宋体" w:cs="宋体"/>
          <w:color w:val="auto"/>
          <w:szCs w:val="21"/>
          <w:highlight w:val="none"/>
        </w:rPr>
        <w:t>；</w:t>
      </w:r>
    </w:p>
    <w:p>
      <w:pPr>
        <w:numPr>
          <w:ilvl w:val="0"/>
          <w:numId w:val="11"/>
        </w:numPr>
        <w:adjustRightInd w:val="0"/>
        <w:snapToGrid w:val="0"/>
        <w:spacing w:line="360" w:lineRule="exact"/>
        <w:ind w:left="533" w:leftChars="0" w:hanging="42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技术力量投入；</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项目负责人一览表</w:t>
      </w:r>
      <w:r>
        <w:rPr>
          <w:rFonts w:hint="eastAsia" w:ascii="宋体" w:hAnsi="宋体" w:eastAsia="宋体" w:cs="宋体"/>
          <w:color w:val="auto"/>
          <w:szCs w:val="21"/>
          <w:highlight w:val="none"/>
        </w:rPr>
        <w:t>（格式见第六章）；</w:t>
      </w:r>
    </w:p>
    <w:p>
      <w:pPr>
        <w:numPr>
          <w:ilvl w:val="0"/>
          <w:numId w:val="11"/>
        </w:numPr>
        <w:adjustRightInd w:val="0"/>
        <w:snapToGrid w:val="0"/>
        <w:spacing w:line="360" w:lineRule="exact"/>
        <w:ind w:left="533"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拟投入实施的团队人员配置（格式见第六章）；</w:t>
      </w:r>
    </w:p>
    <w:p>
      <w:pPr>
        <w:numPr>
          <w:ilvl w:val="0"/>
          <w:numId w:val="11"/>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商务响应表（格式见第六章）；</w:t>
      </w:r>
    </w:p>
    <w:p>
      <w:pPr>
        <w:numPr>
          <w:ilvl w:val="0"/>
          <w:numId w:val="11"/>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同类项目实施情况一览表（格式见第六章）；</w:t>
      </w:r>
    </w:p>
    <w:p>
      <w:pPr>
        <w:numPr>
          <w:ilvl w:val="0"/>
          <w:numId w:val="11"/>
        </w:numPr>
        <w:adjustRightInd w:val="0"/>
        <w:snapToGrid w:val="0"/>
        <w:spacing w:line="360" w:lineRule="exact"/>
        <w:ind w:left="533" w:leftChars="0" w:hanging="420" w:firstLineChars="0"/>
        <w:jc w:val="left"/>
        <w:rPr>
          <w:rStyle w:val="40"/>
          <w:rFonts w:hint="eastAsia" w:ascii="宋体" w:hAnsi="宋体" w:eastAsia="宋体" w:cs="宋体"/>
          <w:color w:val="auto"/>
          <w:szCs w:val="21"/>
          <w:highlight w:val="none"/>
        </w:rPr>
      </w:pPr>
      <w:r>
        <w:rPr>
          <w:rStyle w:val="40"/>
          <w:rFonts w:hint="eastAsia" w:ascii="宋体" w:hAnsi="宋体" w:eastAsia="宋体" w:cs="宋体"/>
          <w:color w:val="auto"/>
          <w:szCs w:val="21"/>
          <w:highlight w:val="none"/>
        </w:rPr>
        <w:t>根据评分表及项目需求情况，自行添加相关表格及资料。</w:t>
      </w:r>
    </w:p>
    <w:p>
      <w:pPr>
        <w:tabs>
          <w:tab w:val="left" w:pos="533"/>
        </w:tabs>
        <w:adjustRightInd w:val="0"/>
        <w:snapToGrid w:val="0"/>
        <w:spacing w:line="360" w:lineRule="exact"/>
        <w:jc w:val="left"/>
        <w:rPr>
          <w:rFonts w:hint="eastAsia" w:ascii="宋体" w:hAnsi="宋体" w:cs="宋体"/>
          <w:sz w:val="24"/>
          <w:highlight w:val="none"/>
          <w:lang w:val="en-US" w:eastAsia="zh-CN"/>
        </w:rPr>
      </w:pPr>
    </w:p>
    <w:p>
      <w:pPr>
        <w:pStyle w:val="19"/>
        <w:rPr>
          <w:rFonts w:hint="eastAsia"/>
          <w:lang w:val="en-US" w:eastAsia="zh-CN"/>
        </w:rPr>
      </w:pPr>
    </w:p>
    <w:p>
      <w:pPr>
        <w:tabs>
          <w:tab w:val="left" w:pos="533"/>
        </w:tabs>
        <w:adjustRightInd w:val="0"/>
        <w:snapToGrid w:val="0"/>
        <w:spacing w:line="360" w:lineRule="exact"/>
        <w:jc w:val="left"/>
        <w:rPr>
          <w:rFonts w:hint="eastAsia" w:ascii="宋体" w:hAnsi="宋体" w:cs="宋体"/>
          <w:sz w:val="21"/>
          <w:szCs w:val="18"/>
          <w:highlight w:val="none"/>
          <w:lang w:val="en-US" w:eastAsia="zh-CN"/>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tabs>
          <w:tab w:val="left" w:pos="533"/>
        </w:tabs>
        <w:adjustRightInd w:val="0"/>
        <w:snapToGrid w:val="0"/>
        <w:spacing w:line="360" w:lineRule="exact"/>
        <w:jc w:val="left"/>
        <w:rPr>
          <w:rFonts w:ascii="宋体" w:hAnsi="宋体" w:cs="宋体"/>
          <w:sz w:val="21"/>
          <w:szCs w:val="18"/>
          <w:highlight w:val="none"/>
        </w:rPr>
      </w:pPr>
      <w:r>
        <w:rPr>
          <w:rFonts w:hint="eastAsia" w:ascii="宋体" w:hAnsi="宋体" w:cs="宋体"/>
          <w:sz w:val="21"/>
          <w:szCs w:val="18"/>
          <w:highlight w:val="none"/>
          <w:lang w:val="en-US" w:eastAsia="zh-CN"/>
        </w:rPr>
        <w:t>3</w:t>
      </w:r>
      <w:r>
        <w:rPr>
          <w:rFonts w:hint="eastAsia" w:ascii="宋体" w:hAnsi="宋体" w:cs="宋体"/>
          <w:sz w:val="21"/>
          <w:szCs w:val="18"/>
          <w:highlight w:val="none"/>
          <w:lang w:eastAsia="zh-CN"/>
        </w:rPr>
        <w:t>.</w:t>
      </w:r>
      <w:r>
        <w:rPr>
          <w:rFonts w:hint="eastAsia" w:ascii="宋体" w:hAnsi="宋体" w:cs="宋体"/>
          <w:sz w:val="21"/>
          <w:szCs w:val="18"/>
          <w:highlight w:val="none"/>
        </w:rPr>
        <w:t>投标函格式</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 标 函</w:t>
      </w:r>
    </w:p>
    <w:p>
      <w:pPr>
        <w:spacing w:line="420" w:lineRule="exact"/>
        <w:rPr>
          <w:rFonts w:ascii="宋体" w:hAnsi="宋体" w:cs="宋体"/>
          <w:szCs w:val="21"/>
          <w:highlight w:val="none"/>
          <w:u w:val="single"/>
        </w:rPr>
      </w:pPr>
      <w:r>
        <w:rPr>
          <w:rFonts w:hint="eastAsia" w:ascii="宋体" w:hAnsi="宋体" w:cs="宋体"/>
          <w:szCs w:val="21"/>
          <w:highlight w:val="none"/>
          <w:u w:val="single"/>
        </w:rPr>
        <w:t>致：</w:t>
      </w:r>
      <w:r>
        <w:rPr>
          <w:rFonts w:hint="eastAsia" w:ascii="宋体" w:hAnsi="宋体" w:cs="宋体"/>
          <w:szCs w:val="21"/>
          <w:highlight w:val="none"/>
          <w:u w:val="single"/>
          <w:lang w:eastAsia="zh-CN"/>
        </w:rPr>
        <w:t>安吉县水利局</w:t>
      </w:r>
      <w:r>
        <w:rPr>
          <w:rFonts w:hint="eastAsia" w:ascii="宋体" w:hAnsi="宋体" w:cs="宋体"/>
          <w:szCs w:val="21"/>
          <w:highlight w:val="none"/>
          <w:u w:val="single"/>
        </w:rPr>
        <w:t>：</w:t>
      </w:r>
    </w:p>
    <w:p>
      <w:pPr>
        <w:spacing w:line="420" w:lineRule="exact"/>
        <w:ind w:firstLine="210" w:firstLineChars="100"/>
        <w:rPr>
          <w:rFonts w:ascii="宋体" w:hAnsi="宋体" w:cs="宋体"/>
          <w:szCs w:val="21"/>
          <w:highlight w:val="none"/>
          <w:u w:val="single"/>
        </w:rPr>
      </w:pPr>
      <w:r>
        <w:rPr>
          <w:rFonts w:hint="eastAsia" w:ascii="宋体" w:hAnsi="宋体" w:cs="宋体"/>
          <w:szCs w:val="21"/>
          <w:highlight w:val="none"/>
          <w:u w:val="single"/>
          <w:lang w:eastAsia="zh-CN"/>
        </w:rPr>
        <w:t>浙江天册工程管理有限公司</w:t>
      </w:r>
      <w:r>
        <w:rPr>
          <w:rFonts w:hint="eastAsia" w:ascii="宋体" w:hAnsi="宋体" w:cs="宋体"/>
          <w:szCs w:val="21"/>
          <w:highlight w:val="none"/>
          <w:u w:val="singl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根据已收到贵方的招标文件编号</w:t>
      </w:r>
      <w:r>
        <w:rPr>
          <w:rFonts w:hint="eastAsia" w:ascii="宋体" w:hAnsi="宋体" w:cs="宋体"/>
          <w:szCs w:val="21"/>
          <w:highlight w:val="none"/>
          <w:u w:val="single"/>
          <w:lang w:eastAsia="zh-CN"/>
        </w:rPr>
        <w:t>TCCG202507-01</w:t>
      </w:r>
      <w:r>
        <w:rPr>
          <w:rFonts w:hint="eastAsia" w:ascii="宋体" w:hAnsi="宋体" w:cs="宋体"/>
          <w:szCs w:val="21"/>
          <w:highlight w:val="none"/>
        </w:rPr>
        <w:t xml:space="preserve">的 </w:t>
      </w:r>
      <w:r>
        <w:rPr>
          <w:rFonts w:hint="eastAsia" w:ascii="宋体" w:hAnsi="宋体" w:cs="宋体"/>
          <w:szCs w:val="21"/>
          <w:highlight w:val="none"/>
          <w:u w:val="single"/>
        </w:rPr>
        <w:t>《</w:t>
      </w:r>
      <w:r>
        <w:rPr>
          <w:rFonts w:hint="eastAsia" w:ascii="宋体" w:hAnsi="宋体" w:cs="宋体"/>
          <w:szCs w:val="21"/>
          <w:highlight w:val="none"/>
          <w:u w:val="single"/>
          <w:lang w:eastAsia="zh-CN"/>
        </w:rPr>
        <w:t>2025年度安吉县水域监测评价相关技术服务采购项目</w:t>
      </w:r>
      <w:r>
        <w:rPr>
          <w:rFonts w:hint="eastAsia" w:ascii="宋体" w:hAnsi="宋体" w:cs="宋体"/>
          <w:szCs w:val="21"/>
          <w:highlight w:val="none"/>
          <w:u w:val="single"/>
        </w:rPr>
        <w:t>》</w:t>
      </w:r>
      <w:r>
        <w:rPr>
          <w:rFonts w:hint="eastAsia" w:ascii="宋体" w:hAnsi="宋体" w:cs="宋体"/>
          <w:szCs w:val="21"/>
          <w:highlight w:val="none"/>
        </w:rPr>
        <w:t>招标文件，正式授权下述签字人：</w:t>
      </w:r>
      <w:r>
        <w:rPr>
          <w:rFonts w:hint="eastAsia" w:ascii="宋体" w:hAnsi="宋体" w:cs="宋体"/>
          <w:szCs w:val="21"/>
          <w:highlight w:val="none"/>
          <w:u w:val="single"/>
        </w:rPr>
        <w:t>（姓名和职务）</w:t>
      </w:r>
      <w:r>
        <w:rPr>
          <w:rFonts w:hint="eastAsia" w:ascii="宋体" w:hAnsi="宋体" w:cs="宋体"/>
          <w:szCs w:val="21"/>
          <w:highlight w:val="none"/>
        </w:rPr>
        <w:t>为我公司在职职工，代表</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投标人（即投标单位）</w:t>
      </w:r>
      <w:r>
        <w:rPr>
          <w:rFonts w:hint="eastAsia" w:ascii="宋体" w:hAnsi="宋体" w:cs="宋体"/>
          <w:szCs w:val="21"/>
          <w:highlight w:val="none"/>
        </w:rPr>
        <w:t>，按招标文件要求提交投标文件。</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pPr>
        <w:spacing w:line="42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r>
        <w:rPr>
          <w:rFonts w:hint="eastAsia" w:ascii="宋体" w:hAnsi="宋体" w:cs="宋体"/>
          <w:szCs w:val="21"/>
          <w:highlight w:val="none"/>
          <w:lang w:eastAsia="zh-CN"/>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pPr>
        <w:adjustRightInd w:val="0"/>
        <w:snapToGrid w:val="0"/>
        <w:spacing w:line="420" w:lineRule="exact"/>
        <w:ind w:firstLine="420" w:firstLineChars="200"/>
        <w:rPr>
          <w:rFonts w:ascii="宋体" w:hAnsi="宋体" w:cs="宋体"/>
          <w:sz w:val="24"/>
          <w:highlight w:val="none"/>
        </w:rPr>
      </w:pPr>
      <w:r>
        <w:rPr>
          <w:rFonts w:hint="eastAsia" w:ascii="宋体" w:hAnsi="宋体" w:cs="宋体"/>
          <w:szCs w:val="21"/>
          <w:highlight w:val="none"/>
        </w:rPr>
        <w:t>3. 本投标有效期自开标日起</w:t>
      </w:r>
      <w:r>
        <w:rPr>
          <w:rFonts w:hint="eastAsia" w:ascii="宋体" w:hAnsi="宋体" w:cs="宋体"/>
          <w:szCs w:val="21"/>
          <w:highlight w:val="none"/>
          <w:u w:val="single"/>
        </w:rPr>
        <w:t xml:space="preserve"> 90个</w:t>
      </w:r>
      <w:r>
        <w:rPr>
          <w:rFonts w:hint="eastAsia" w:ascii="宋体" w:hAnsi="宋体" w:cs="宋体"/>
          <w:szCs w:val="21"/>
          <w:highlight w:val="none"/>
        </w:rPr>
        <w:t>日历天；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 我单位同意提供采购人和采购代理机构可能另外要求的与其招标有关的任何数据或资料；</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 我单位同意按照招标文件中规定的服务期限如期提供服务；</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 我单位保证所供服务项目质量符合国家强制性规范和标准，达到招标文件规定的要求；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 我单位同意所提交的投标文件在招标有效期内有效，在此期间我方的投标有可能中标，我方将受此约束；</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8. 除非另外达成协议并生效，招标文件、招标文件补充、修改通知、技术规范、中标通知书和本投标文件将构成约束我们双方的合同。</w:t>
      </w:r>
    </w:p>
    <w:p>
      <w:pPr>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9. 与本次投标有关的一切正式往来函件信息如下：</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通信地址：</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电子邮箱：</w:t>
      </w:r>
      <w:r>
        <w:rPr>
          <w:rFonts w:hint="eastAsia" w:ascii="宋体" w:hAnsi="宋体" w:cs="宋体"/>
          <w:szCs w:val="21"/>
          <w:highlight w:val="none"/>
          <w:u w:val="single"/>
          <w:lang w:val="en-US" w:eastAsia="zh-CN"/>
        </w:rPr>
        <w:t xml:space="preserve">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电话：</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传真： </w:t>
      </w:r>
      <w:r>
        <w:rPr>
          <w:rFonts w:hint="eastAsia" w:ascii="宋体" w:hAnsi="宋体" w:cs="宋体"/>
          <w:szCs w:val="21"/>
          <w:highlight w:val="none"/>
          <w:u w:val="single"/>
          <w:lang w:val="en-US" w:eastAsia="zh-CN"/>
        </w:rPr>
        <w:t xml:space="preserve">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开户银行：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银行帐号：</w:t>
      </w:r>
      <w:r>
        <w:rPr>
          <w:rFonts w:hint="eastAsia" w:ascii="宋体" w:hAnsi="宋体" w:cs="宋体"/>
          <w:szCs w:val="21"/>
          <w:highlight w:val="none"/>
          <w:u w:val="single"/>
          <w:lang w:val="en-US" w:eastAsia="zh-CN"/>
        </w:rPr>
        <w:t xml:space="preserve">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投标人代表姓名</w:t>
      </w:r>
      <w:r>
        <w:rPr>
          <w:rFonts w:hint="eastAsia" w:ascii="宋体" w:hAnsi="宋体" w:cs="宋体"/>
          <w:szCs w:val="21"/>
          <w:highlight w:val="non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职务：</w:t>
      </w:r>
      <w:r>
        <w:rPr>
          <w:rFonts w:hint="eastAsia" w:ascii="宋体" w:hAnsi="宋体" w:cs="宋体"/>
          <w:szCs w:val="21"/>
          <w:highlight w:val="none"/>
          <w:u w:val="single"/>
          <w:lang w:val="en-US" w:eastAsia="zh-CN"/>
        </w:rPr>
        <w:t xml:space="preserve">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lang w:val="en-US" w:eastAsia="zh-CN"/>
        </w:rPr>
        <w:t xml:space="preserve">                 </w:t>
      </w:r>
    </w:p>
    <w:p>
      <w:pPr>
        <w:pStyle w:val="11"/>
        <w:tabs>
          <w:tab w:val="left" w:pos="939"/>
        </w:tabs>
        <w:snapToGrid w:val="0"/>
        <w:spacing w:line="420" w:lineRule="exact"/>
        <w:ind w:left="0" w:leftChars="0" w:firstLine="420" w:firstLineChars="200"/>
        <w:rPr>
          <w:rFonts w:ascii="宋体" w:hAnsi="宋体" w:cs="宋体"/>
          <w:szCs w:val="21"/>
          <w:highlight w:val="none"/>
        </w:rPr>
      </w:pPr>
    </w:p>
    <w:p>
      <w:pPr>
        <w:pStyle w:val="11"/>
        <w:tabs>
          <w:tab w:val="left" w:pos="939"/>
        </w:tabs>
        <w:snapToGrid w:val="0"/>
        <w:spacing w:line="420" w:lineRule="exact"/>
        <w:ind w:left="0" w:leftChars="0" w:firstLine="420" w:firstLineChars="200"/>
        <w:rPr>
          <w:rFonts w:ascii="宋体" w:hAnsi="宋体" w:cs="宋体"/>
          <w:szCs w:val="21"/>
          <w:highlight w:val="none"/>
        </w:rPr>
      </w:pPr>
      <w:r>
        <w:rPr>
          <w:rFonts w:hint="eastAsia" w:ascii="宋体" w:hAnsi="宋体" w:cs="宋体"/>
          <w:szCs w:val="21"/>
          <w:highlight w:val="none"/>
        </w:rPr>
        <w:t>投标人全称（公章）：</w:t>
      </w:r>
      <w:r>
        <w:rPr>
          <w:rFonts w:hint="eastAsia" w:ascii="宋体" w:hAnsi="宋体" w:cs="宋体"/>
          <w:szCs w:val="21"/>
          <w:highlight w:val="none"/>
          <w:u w:val="single"/>
          <w:lang w:val="en-US" w:eastAsia="zh-CN"/>
        </w:rPr>
        <w:t xml:space="preserve">                 </w:t>
      </w:r>
    </w:p>
    <w:p>
      <w:pPr>
        <w:ind w:firstLine="420" w:firstLineChars="200"/>
        <w:rPr>
          <w:rFonts w:ascii="宋体" w:hAnsi="宋体" w:cs="宋体"/>
          <w:sz w:val="24"/>
          <w:highlight w:val="none"/>
        </w:rPr>
      </w:pPr>
      <w:r>
        <w:rPr>
          <w:rFonts w:hint="eastAsia" w:ascii="宋体" w:hAnsi="宋体" w:cs="宋体"/>
          <w:szCs w:val="21"/>
          <w:highlight w:val="none"/>
        </w:rPr>
        <w:t>日 期：</w:t>
      </w:r>
      <w:r>
        <w:rPr>
          <w:rFonts w:hint="eastAsia" w:ascii="宋体" w:hAnsi="宋体" w:cs="宋体"/>
          <w:szCs w:val="21"/>
          <w:highlight w:val="none"/>
          <w:u w:val="single"/>
          <w:lang w:val="en-US" w:eastAsia="zh-CN"/>
        </w:rPr>
        <w:t xml:space="preserve">                 </w:t>
      </w: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1"/>
          <w:szCs w:val="18"/>
          <w:highlight w:val="none"/>
        </w:rPr>
      </w:pPr>
      <w:r>
        <w:rPr>
          <w:rFonts w:hint="eastAsia" w:ascii="宋体" w:hAnsi="宋体" w:cs="宋体"/>
          <w:sz w:val="21"/>
          <w:szCs w:val="18"/>
          <w:highlight w:val="none"/>
          <w:lang w:val="en-US" w:eastAsia="zh-CN"/>
        </w:rPr>
        <w:t>4</w:t>
      </w:r>
      <w:r>
        <w:rPr>
          <w:rFonts w:hint="eastAsia" w:ascii="宋体" w:hAnsi="宋体" w:cs="宋体"/>
          <w:sz w:val="21"/>
          <w:szCs w:val="18"/>
          <w:highlight w:val="none"/>
          <w:lang w:eastAsia="zh-CN"/>
        </w:rPr>
        <w:t>.</w:t>
      </w:r>
      <w:r>
        <w:rPr>
          <w:rFonts w:hint="eastAsia" w:ascii="宋体" w:hAnsi="宋体" w:cs="宋体"/>
          <w:sz w:val="21"/>
          <w:szCs w:val="18"/>
          <w:highlight w:val="none"/>
        </w:rPr>
        <w:t>法定代表人身份证明书格式</w:t>
      </w:r>
    </w:p>
    <w:p>
      <w:pPr>
        <w:adjustRightInd w:val="0"/>
        <w:snapToGrid w:val="0"/>
        <w:jc w:val="center"/>
        <w:rPr>
          <w:rFonts w:ascii="宋体" w:hAnsi="宋体" w:cs="宋体"/>
          <w:b/>
          <w:sz w:val="36"/>
          <w:szCs w:val="36"/>
          <w:highlight w:val="none"/>
        </w:rPr>
      </w:pPr>
    </w:p>
    <w:p>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法定代表人身份证明书</w:t>
      </w:r>
    </w:p>
    <w:p>
      <w:pPr>
        <w:spacing w:line="480" w:lineRule="auto"/>
        <w:ind w:firstLine="403" w:firstLineChars="192"/>
        <w:rPr>
          <w:rFonts w:ascii="宋体" w:hAnsi="宋体" w:cs="宋体"/>
          <w:szCs w:val="21"/>
          <w:highlight w:val="none"/>
        </w:rPr>
      </w:pPr>
    </w:p>
    <w:p>
      <w:pPr>
        <w:adjustRightInd w:val="0"/>
        <w:snapToGrid w:val="0"/>
        <w:spacing w:line="360" w:lineRule="auto"/>
        <w:jc w:val="left"/>
        <w:rPr>
          <w:rFonts w:ascii="宋体" w:hAnsi="宋体" w:cs="宋体"/>
          <w:sz w:val="24"/>
          <w:highlight w:val="none"/>
        </w:rPr>
      </w:pPr>
      <w:bookmarkStart w:id="186" w:name="_Toc24953114"/>
      <w:r>
        <w:rPr>
          <w:rFonts w:hint="eastAsia" w:ascii="宋体" w:hAnsi="宋体" w:cs="宋体"/>
          <w:sz w:val="24"/>
          <w:highlight w:val="none"/>
        </w:rPr>
        <w:t>致</w:t>
      </w:r>
      <w:r>
        <w:rPr>
          <w:rFonts w:hint="eastAsia" w:ascii="宋体" w:hAnsi="宋体" w:cs="宋体"/>
          <w:sz w:val="24"/>
          <w:highlight w:val="none"/>
          <w:lang w:eastAsia="zh-CN"/>
        </w:rPr>
        <w:t>安吉县水利局</w:t>
      </w:r>
      <w:r>
        <w:rPr>
          <w:rFonts w:hint="eastAsia" w:ascii="宋体" w:hAnsi="宋体" w:cs="宋体"/>
          <w:sz w:val="24"/>
          <w:highlight w:val="none"/>
        </w:rPr>
        <w:t>：</w:t>
      </w: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lang w:eastAsia="zh-CN"/>
        </w:rPr>
        <w:t>浙江天册工程管理有限公司</w:t>
      </w:r>
      <w:r>
        <w:rPr>
          <w:rFonts w:hint="eastAsia" w:ascii="宋体" w:hAnsi="宋体" w:cs="宋体"/>
          <w:sz w:val="24"/>
          <w:highlight w:val="none"/>
        </w:rPr>
        <w:t>：</w:t>
      </w:r>
    </w:p>
    <w:p>
      <w:pPr>
        <w:adjustRightInd w:val="0"/>
        <w:snapToGrid w:val="0"/>
        <w:spacing w:line="360" w:lineRule="auto"/>
        <w:jc w:val="left"/>
        <w:rPr>
          <w:rFonts w:ascii="宋体" w:hAnsi="宋体" w:cs="宋体"/>
          <w:sz w:val="24"/>
          <w:highlight w:val="none"/>
        </w:rPr>
      </w:pPr>
    </w:p>
    <w:p>
      <w:pPr>
        <w:adjustRightInd w:val="0"/>
        <w:snapToGrid w:val="0"/>
        <w:spacing w:line="360" w:lineRule="auto"/>
        <w:ind w:firstLine="600" w:firstLineChars="250"/>
        <w:jc w:val="lef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，性别</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，职务</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，是</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的法定代表人。联系电话</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传真</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通讯地址：</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pPr>
        <w:adjustRightInd w:val="0"/>
        <w:snapToGrid w:val="0"/>
        <w:spacing w:line="360" w:lineRule="auto"/>
        <w:jc w:val="center"/>
        <w:rPr>
          <w:rFonts w:ascii="宋体" w:hAnsi="宋体" w:cs="宋体"/>
          <w:sz w:val="24"/>
          <w:highlight w:val="none"/>
        </w:rPr>
      </w:pPr>
    </w:p>
    <w:p>
      <w:pPr>
        <w:adjustRightInd w:val="0"/>
        <w:snapToGrid w:val="0"/>
        <w:spacing w:line="360" w:lineRule="auto"/>
        <w:jc w:val="center"/>
        <w:rPr>
          <w:rFonts w:hint="eastAsia" w:ascii="宋体" w:hAnsi="宋体" w:cs="宋体"/>
          <w:sz w:val="24"/>
          <w:highlight w:val="none"/>
        </w:rPr>
      </w:pPr>
    </w:p>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特此证明</w:t>
      </w:r>
    </w:p>
    <w:p>
      <w:pPr>
        <w:adjustRightInd w:val="0"/>
        <w:snapToGrid w:val="0"/>
        <w:jc w:val="right"/>
        <w:rPr>
          <w:rFonts w:ascii="宋体" w:hAnsi="宋体" w:cs="宋体"/>
          <w:sz w:val="24"/>
          <w:highlight w:val="none"/>
        </w:rPr>
      </w:pPr>
    </w:p>
    <w:p>
      <w:pPr>
        <w:adjustRightInd w:val="0"/>
        <w:snapToGrid w:val="0"/>
        <w:jc w:val="both"/>
        <w:rPr>
          <w:rFonts w:hint="eastAsia" w:ascii="宋体" w:hAnsi="宋体" w:cs="宋体"/>
          <w:sz w:val="24"/>
          <w:highlight w:val="none"/>
        </w:rPr>
      </w:pPr>
    </w:p>
    <w:p>
      <w:pPr>
        <w:adjustRightInd w:val="0"/>
        <w:snapToGrid w:val="0"/>
        <w:ind w:firstLine="6000" w:firstLineChars="2500"/>
        <w:jc w:val="both"/>
        <w:rPr>
          <w:rFonts w:ascii="宋体" w:hAnsi="宋体" w:cs="宋体"/>
          <w:sz w:val="24"/>
          <w:highlight w:val="none"/>
        </w:rPr>
      </w:pPr>
      <w:r>
        <w:rPr>
          <w:rFonts w:hint="eastAsia" w:ascii="宋体" w:hAnsi="宋体" w:cs="宋体"/>
          <w:sz w:val="24"/>
          <w:highlight w:val="none"/>
        </w:rPr>
        <w:t>投标人全称：（公章）</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 xml:space="preserve">       </w:t>
      </w:r>
    </w:p>
    <w:p>
      <w:pPr>
        <w:wordWrap/>
        <w:adjustRightInd w:val="0"/>
        <w:snapToGrid w:val="0"/>
        <w:jc w:val="right"/>
        <w:rPr>
          <w:rFonts w:hint="eastAsia" w:ascii="宋体" w:hAnsi="宋体" w:cs="宋体"/>
          <w:sz w:val="24"/>
          <w:highlight w:val="none"/>
        </w:rPr>
      </w:pPr>
    </w:p>
    <w:p>
      <w:pPr>
        <w:wordWrap w:val="0"/>
        <w:adjustRightInd w:val="0"/>
        <w:snapToGrid w:val="0"/>
        <w:jc w:val="right"/>
        <w:rPr>
          <w:rFonts w:hint="eastAsia" w:ascii="宋体" w:hAnsi="宋体" w:cs="宋体"/>
          <w:sz w:val="24"/>
          <w:highlight w:val="none"/>
        </w:rPr>
      </w:pPr>
    </w:p>
    <w:p>
      <w:pPr>
        <w:wordWrap w:val="0"/>
        <w:adjustRightInd w:val="0"/>
        <w:snapToGrid w:val="0"/>
        <w:jc w:val="right"/>
        <w:rPr>
          <w:rFonts w:ascii="宋体" w:hAnsi="宋体" w:cs="宋体"/>
          <w:sz w:val="24"/>
          <w:highlight w:val="none"/>
          <w:u w:val="single"/>
        </w:rPr>
      </w:pPr>
      <w:r>
        <w:rPr>
          <w:rFonts w:hint="eastAsia" w:ascii="宋体" w:hAnsi="宋体" w:cs="宋体"/>
          <w:sz w:val="24"/>
          <w:highlight w:val="none"/>
        </w:rPr>
        <w:t>日期：</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w:t>
      </w:r>
    </w:p>
    <w:p>
      <w:pPr>
        <w:adjustRightInd w:val="0"/>
        <w:snapToGrid w:val="0"/>
        <w:jc w:val="right"/>
        <w:rPr>
          <w:rFonts w:ascii="宋体" w:hAnsi="宋体" w:cs="宋体"/>
          <w:sz w:val="24"/>
          <w:highlight w:val="none"/>
          <w:u w:val="single"/>
        </w:rPr>
      </w:pPr>
    </w:p>
    <w:p>
      <w:pPr>
        <w:adjustRightInd w:val="0"/>
        <w:snapToGrid w:val="0"/>
        <w:jc w:val="right"/>
        <w:rPr>
          <w:rFonts w:ascii="宋体" w:hAnsi="宋体" w:cs="宋体"/>
          <w:sz w:val="24"/>
          <w:highlight w:val="none"/>
          <w:u w:val="single"/>
        </w:rPr>
      </w:pPr>
    </w:p>
    <w:p>
      <w:pPr>
        <w:adjustRightInd w:val="0"/>
        <w:snapToGrid w:val="0"/>
        <w:jc w:val="right"/>
        <w:rPr>
          <w:rFonts w:ascii="宋体" w:hAnsi="宋体" w:cs="宋体"/>
          <w:sz w:val="24"/>
          <w:highlight w:val="none"/>
        </w:rPr>
      </w:pPr>
      <w:r>
        <w:rPr>
          <w:rFonts w:hint="eastAsia" w:ascii="宋体" w:hAnsi="宋体" w:cs="宋体"/>
          <w:sz w:val="24"/>
          <w:highlight w:val="none"/>
        </w:rPr>
        <w:t>------------------------------------------------------------------------------</w:t>
      </w:r>
    </w:p>
    <w:p>
      <w:pPr>
        <w:adjustRightInd w:val="0"/>
        <w:snapToGrid w:val="0"/>
        <w:jc w:val="center"/>
        <w:rPr>
          <w:rFonts w:ascii="宋体" w:hAnsi="宋体" w:cs="宋体"/>
          <w:sz w:val="24"/>
          <w:highlight w:val="none"/>
        </w:rPr>
      </w:pPr>
    </w:p>
    <w:p>
      <w:pPr>
        <w:adjustRightInd w:val="0"/>
        <w:snapToGrid w:val="0"/>
        <w:jc w:val="center"/>
        <w:rPr>
          <w:rFonts w:ascii="宋体" w:hAnsi="宋体" w:cs="宋体"/>
          <w:sz w:val="24"/>
          <w:highlight w:val="none"/>
        </w:rPr>
      </w:pPr>
      <w:r>
        <w:rPr>
          <w:rFonts w:hint="eastAsia" w:ascii="宋体" w:hAnsi="宋体" w:cs="宋体"/>
          <w:sz w:val="24"/>
          <w:highlight w:val="none"/>
        </w:rPr>
        <w:t>法定代表人身份证复印件黏贴处</w:t>
      </w:r>
    </w:p>
    <w:p>
      <w:pPr>
        <w:adjustRightInd w:val="0"/>
        <w:snapToGrid w:val="0"/>
        <w:rPr>
          <w:rFonts w:ascii="宋体" w:hAnsi="宋体" w:cs="宋体"/>
          <w:sz w:val="24"/>
          <w:highlight w:val="none"/>
          <w:u w:val="single"/>
        </w:rPr>
      </w:pPr>
      <w:r>
        <w:rPr>
          <w:rFonts w:hint="eastAsia" w:ascii="宋体" w:hAnsi="宋体" w:cs="宋体"/>
          <w:bCs/>
          <w:sz w:val="24"/>
          <w:highlight w:val="none"/>
        </w:rPr>
        <w:br w:type="page"/>
      </w:r>
      <w:bookmarkEnd w:id="186"/>
      <w:bookmarkStart w:id="187" w:name="_Toc251602206"/>
      <w:bookmarkStart w:id="188" w:name="_Toc251601951"/>
      <w:r>
        <w:rPr>
          <w:rFonts w:hint="eastAsia" w:ascii="宋体" w:hAnsi="宋体" w:cs="宋体"/>
          <w:bCs/>
          <w:sz w:val="21"/>
          <w:szCs w:val="18"/>
          <w:highlight w:val="none"/>
          <w:lang w:val="en-US" w:eastAsia="zh-CN"/>
        </w:rPr>
        <w:t>5</w:t>
      </w:r>
      <w:r>
        <w:rPr>
          <w:rFonts w:hint="eastAsia" w:ascii="宋体" w:hAnsi="宋体" w:cs="宋体"/>
          <w:sz w:val="21"/>
          <w:szCs w:val="18"/>
          <w:highlight w:val="none"/>
          <w:lang w:eastAsia="zh-CN"/>
        </w:rPr>
        <w:t>.</w:t>
      </w:r>
      <w:r>
        <w:rPr>
          <w:rFonts w:hint="eastAsia" w:ascii="宋体" w:hAnsi="宋体" w:cs="宋体"/>
          <w:sz w:val="21"/>
          <w:szCs w:val="18"/>
          <w:highlight w:val="none"/>
        </w:rPr>
        <w:t>法定代表人授权委托书格式：</w:t>
      </w:r>
    </w:p>
    <w:p>
      <w:pPr>
        <w:spacing w:line="360" w:lineRule="auto"/>
        <w:jc w:val="center"/>
        <w:rPr>
          <w:rFonts w:ascii="宋体" w:hAnsi="宋体" w:cs="宋体"/>
          <w:b/>
          <w:sz w:val="28"/>
          <w:szCs w:val="28"/>
          <w:highlight w:val="none"/>
        </w:rPr>
      </w:pPr>
    </w:p>
    <w:p>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法定代表人授权委托书</w:t>
      </w:r>
      <w:bookmarkEnd w:id="187"/>
      <w:bookmarkEnd w:id="188"/>
    </w:p>
    <w:p>
      <w:pPr>
        <w:spacing w:line="360" w:lineRule="auto"/>
        <w:jc w:val="center"/>
        <w:rPr>
          <w:rFonts w:ascii="宋体" w:hAnsi="宋体" w:cs="宋体"/>
          <w:b/>
          <w:sz w:val="28"/>
          <w:szCs w:val="28"/>
          <w:highlight w:val="none"/>
        </w:rPr>
      </w:pP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本授权委托书声明: 我</w:t>
      </w:r>
      <w:r>
        <w:rPr>
          <w:rFonts w:hint="eastAsia" w:ascii="宋体" w:hAnsi="宋体" w:cs="宋体"/>
          <w:szCs w:val="21"/>
          <w:highlight w:val="none"/>
          <w:u w:val="single"/>
        </w:rPr>
        <w:t xml:space="preserve"> （姓名）</w:t>
      </w:r>
      <w:r>
        <w:rPr>
          <w:rFonts w:hint="eastAsia" w:ascii="宋体" w:hAnsi="宋体" w:cs="宋体"/>
          <w:szCs w:val="21"/>
          <w:highlight w:val="none"/>
        </w:rPr>
        <w:t>系</w:t>
      </w:r>
      <w:r>
        <w:rPr>
          <w:rFonts w:hint="eastAsia" w:ascii="宋体" w:hAnsi="宋体" w:cs="宋体"/>
          <w:szCs w:val="21"/>
          <w:highlight w:val="none"/>
          <w:u w:val="single"/>
        </w:rPr>
        <w:t xml:space="preserve">   （投标人名称）</w:t>
      </w:r>
      <w:r>
        <w:rPr>
          <w:rFonts w:hint="eastAsia" w:ascii="宋体" w:hAnsi="宋体" w:cs="宋体"/>
          <w:szCs w:val="21"/>
          <w:highlight w:val="none"/>
        </w:rPr>
        <w:t>的法定代表人，现授权委托</w:t>
      </w:r>
      <w:r>
        <w:rPr>
          <w:rFonts w:hint="eastAsia" w:ascii="宋体" w:hAnsi="宋体" w:cs="宋体"/>
          <w:szCs w:val="21"/>
          <w:highlight w:val="none"/>
          <w:u w:val="single"/>
        </w:rPr>
        <w:t>（姓名）</w:t>
      </w:r>
      <w:r>
        <w:rPr>
          <w:rFonts w:hint="eastAsia" w:ascii="宋体" w:hAnsi="宋体" w:cs="宋体"/>
          <w:szCs w:val="21"/>
          <w:highlight w:val="none"/>
        </w:rPr>
        <w:t>身份证号：为我公司授权代表，以本公司的名义参加</w:t>
      </w:r>
      <w:r>
        <w:rPr>
          <w:rFonts w:hint="eastAsia" w:ascii="宋体" w:hAnsi="宋体" w:cs="宋体"/>
          <w:szCs w:val="21"/>
          <w:highlight w:val="none"/>
          <w:u w:val="single"/>
          <w:lang w:eastAsia="zh-CN"/>
        </w:rPr>
        <w:t>安吉县水利局</w:t>
      </w:r>
      <w:r>
        <w:rPr>
          <w:rFonts w:hint="eastAsia" w:ascii="宋体" w:hAnsi="宋体" w:cs="宋体"/>
          <w:szCs w:val="21"/>
          <w:highlight w:val="none"/>
        </w:rPr>
        <w:t>的</w:t>
      </w:r>
      <w:r>
        <w:rPr>
          <w:rFonts w:hint="eastAsia" w:ascii="宋体" w:hAnsi="宋体" w:cs="宋体"/>
          <w:szCs w:val="21"/>
          <w:highlight w:val="none"/>
          <w:u w:val="single"/>
          <w:lang w:eastAsia="zh-CN"/>
        </w:rPr>
        <w:t>2025年度安吉县水域监测评价相关技术服务采购项目</w:t>
      </w:r>
      <w:r>
        <w:rPr>
          <w:rFonts w:hint="eastAsia" w:ascii="宋体" w:hAnsi="宋体" w:cs="宋体"/>
          <w:szCs w:val="21"/>
          <w:highlight w:val="none"/>
        </w:rPr>
        <w:t>的投标活动。授权代表在开标、询标、合同招标过程中所签署的一切文件和处理与之有关的一切事务，我均予以承认。</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 授权代表无转委托权。特此委托。</w:t>
      </w:r>
    </w:p>
    <w:p>
      <w:pPr>
        <w:pStyle w:val="13"/>
        <w:spacing w:line="480" w:lineRule="auto"/>
        <w:ind w:left="5250"/>
        <w:rPr>
          <w:rFonts w:ascii="宋体" w:eastAsia="宋体" w:cs="宋体"/>
          <w:sz w:val="21"/>
          <w:szCs w:val="21"/>
          <w:highlight w:val="none"/>
        </w:rPr>
      </w:pP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授权代表（签字）：</w:t>
      </w:r>
      <w:r>
        <w:rPr>
          <w:rFonts w:hint="eastAsia" w:ascii="宋体" w:hAnsi="宋体" w:cs="宋体"/>
          <w:szCs w:val="21"/>
          <w:highlight w:val="none"/>
          <w:u w:val="single"/>
        </w:rPr>
        <w:t xml:space="preserve">   　　　 </w:t>
      </w:r>
      <w:r>
        <w:rPr>
          <w:rFonts w:hint="eastAsia" w:ascii="宋体" w:hAnsi="宋体" w:cs="宋体"/>
          <w:szCs w:val="21"/>
          <w:highlight w:val="none"/>
        </w:rPr>
        <w:t>性  别：</w:t>
      </w:r>
      <w:r>
        <w:rPr>
          <w:rFonts w:hint="eastAsia" w:ascii="宋体" w:hAnsi="宋体" w:cs="宋体"/>
          <w:szCs w:val="21"/>
          <w:highlight w:val="none"/>
          <w:u w:val="single"/>
        </w:rPr>
        <w:t xml:space="preserve">　　　  </w:t>
      </w:r>
      <w:r>
        <w:rPr>
          <w:rFonts w:hint="eastAsia" w:ascii="宋体" w:hAnsi="宋体" w:cs="宋体"/>
          <w:szCs w:val="21"/>
          <w:highlight w:val="none"/>
        </w:rPr>
        <w:t>年  龄：</w:t>
      </w:r>
      <w:r>
        <w:rPr>
          <w:rFonts w:hint="eastAsia" w:ascii="宋体" w:hAnsi="宋体" w:cs="宋体"/>
          <w:sz w:val="24"/>
          <w:highlight w:val="none"/>
          <w:u w:val="single"/>
          <w:lang w:val="en-US" w:eastAsia="zh-CN"/>
        </w:rPr>
        <w:t xml:space="preserve">       </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p>
    <w:p>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部门：</w:t>
      </w:r>
      <w:r>
        <w:rPr>
          <w:rFonts w:hint="eastAsia" w:ascii="宋体" w:hAnsi="宋体" w:cs="宋体"/>
          <w:szCs w:val="21"/>
          <w:highlight w:val="none"/>
          <w:u w:val="single"/>
        </w:rPr>
        <w:t xml:space="preserve">   　　　　　</w:t>
      </w:r>
      <w:r>
        <w:rPr>
          <w:rFonts w:hint="eastAsia" w:ascii="宋体" w:hAnsi="宋体" w:cs="宋体"/>
          <w:szCs w:val="21"/>
          <w:highlight w:val="none"/>
        </w:rPr>
        <w:t xml:space="preserve">职   务： </w:t>
      </w:r>
      <w:r>
        <w:rPr>
          <w:rFonts w:hint="eastAsia" w:ascii="宋体" w:hAnsi="宋体" w:cs="宋体"/>
          <w:szCs w:val="21"/>
          <w:highlight w:val="none"/>
          <w:u w:val="single"/>
        </w:rPr>
        <w:t xml:space="preserve">  　　　　　　　　　　</w:t>
      </w:r>
    </w:p>
    <w:p>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投标人 (盖章)：</w:t>
      </w:r>
      <w:r>
        <w:rPr>
          <w:rFonts w:hint="eastAsia" w:ascii="宋体" w:hAnsi="宋体" w:cs="宋体"/>
          <w:sz w:val="24"/>
          <w:highlight w:val="none"/>
          <w:u w:val="single"/>
          <w:lang w:val="en-US" w:eastAsia="zh-CN"/>
        </w:rPr>
        <w:t xml:space="preserve">              </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法定代表人(签字)： </w:t>
      </w:r>
      <w:r>
        <w:rPr>
          <w:rFonts w:hint="eastAsia" w:ascii="宋体" w:hAnsi="宋体" w:cs="宋体"/>
          <w:sz w:val="24"/>
          <w:highlight w:val="none"/>
          <w:u w:val="single"/>
          <w:lang w:val="en-US" w:eastAsia="zh-CN"/>
        </w:rPr>
        <w:t xml:space="preserve">              </w:t>
      </w:r>
    </w:p>
    <w:p>
      <w:pPr>
        <w:pStyle w:val="13"/>
        <w:spacing w:line="480" w:lineRule="auto"/>
        <w:ind w:left="5250"/>
        <w:rPr>
          <w:rFonts w:ascii="宋体" w:eastAsia="宋体" w:cs="宋体"/>
          <w:sz w:val="21"/>
          <w:szCs w:val="21"/>
          <w:highlight w:val="none"/>
        </w:rPr>
      </w:pPr>
    </w:p>
    <w:p>
      <w:pPr>
        <w:spacing w:line="480" w:lineRule="exact"/>
        <w:ind w:firstLine="480" w:firstLineChars="200"/>
        <w:rPr>
          <w:rFonts w:ascii="宋体" w:hAnsi="宋体" w:cs="宋体"/>
          <w:szCs w:val="21"/>
          <w:highlight w:val="none"/>
        </w:rPr>
      </w:pPr>
      <w:r>
        <w:rPr>
          <w:rFonts w:hint="eastAsia" w:ascii="宋体" w:hAnsi="宋体" w:cs="宋体"/>
          <w:sz w:val="24"/>
          <w:highlight w:val="none"/>
          <w:u w:val="single"/>
          <w:lang w:val="en-US" w:eastAsia="zh-CN"/>
        </w:rPr>
        <w:t xml:space="preserve">       </w:t>
      </w:r>
      <w:r>
        <w:rPr>
          <w:rFonts w:hint="eastAsia" w:ascii="宋体" w:hAnsi="宋体" w:cs="宋体"/>
          <w:szCs w:val="21"/>
          <w:highlight w:val="none"/>
        </w:rPr>
        <w:t>年</w:t>
      </w:r>
      <w:r>
        <w:rPr>
          <w:rFonts w:hint="eastAsia" w:ascii="宋体" w:hAnsi="宋体" w:cs="宋体"/>
          <w:sz w:val="24"/>
          <w:highlight w:val="none"/>
          <w:u w:val="single"/>
          <w:lang w:val="en-US" w:eastAsia="zh-CN"/>
        </w:rPr>
        <w:t xml:space="preserve">       </w:t>
      </w:r>
      <w:r>
        <w:rPr>
          <w:rFonts w:hint="eastAsia" w:ascii="宋体" w:hAnsi="宋体" w:cs="宋体"/>
          <w:szCs w:val="21"/>
          <w:highlight w:val="none"/>
        </w:rPr>
        <w:t xml:space="preserve"> 月 </w:t>
      </w:r>
      <w:r>
        <w:rPr>
          <w:rFonts w:hint="eastAsia" w:ascii="宋体" w:hAnsi="宋体" w:cs="宋体"/>
          <w:sz w:val="24"/>
          <w:highlight w:val="none"/>
          <w:u w:val="single"/>
          <w:lang w:val="en-US" w:eastAsia="zh-CN"/>
        </w:rPr>
        <w:t xml:space="preserve">       </w:t>
      </w:r>
      <w:r>
        <w:rPr>
          <w:rFonts w:hint="eastAsia" w:ascii="宋体" w:hAnsi="宋体" w:cs="宋体"/>
          <w:szCs w:val="21"/>
          <w:highlight w:val="none"/>
        </w:rPr>
        <w:t>日</w:t>
      </w:r>
    </w:p>
    <w:p>
      <w:pPr>
        <w:snapToGrid w:val="0"/>
        <w:spacing w:line="360" w:lineRule="auto"/>
        <w:rPr>
          <w:rFonts w:ascii="宋体" w:hAnsi="宋体" w:cs="宋体"/>
          <w:b/>
          <w:sz w:val="24"/>
          <w:highlight w:val="none"/>
          <w:u w:val="dash"/>
        </w:rPr>
      </w:pPr>
    </w:p>
    <w:p>
      <w:pPr>
        <w:spacing w:line="360" w:lineRule="auto"/>
        <w:jc w:val="center"/>
        <w:rPr>
          <w:rFonts w:ascii="宋体" w:hAnsi="宋体" w:cs="宋体"/>
          <w:bCs/>
          <w:sz w:val="24"/>
          <w:highlight w:val="none"/>
        </w:rPr>
      </w:pPr>
    </w:p>
    <w:p>
      <w:pPr>
        <w:spacing w:line="360" w:lineRule="auto"/>
        <w:jc w:val="center"/>
        <w:rPr>
          <w:rFonts w:ascii="宋体" w:hAnsi="宋体" w:cs="宋体"/>
          <w:bCs/>
          <w:sz w:val="24"/>
          <w:highlight w:val="none"/>
        </w:rPr>
      </w:pPr>
      <w:r>
        <w:rPr>
          <w:rFonts w:hint="eastAsia" w:ascii="宋体" w:hAnsi="宋体" w:cs="宋体"/>
          <w:bCs/>
          <w:sz w:val="24"/>
          <w:highlight w:val="none"/>
        </w:rPr>
        <w:t>被授权人身份证复印件黏贴处</w:t>
      </w:r>
    </w:p>
    <w:p>
      <w:pPr>
        <w:spacing w:line="540" w:lineRule="exact"/>
        <w:rPr>
          <w:rFonts w:ascii="宋体" w:hAnsi="宋体" w:cs="宋体"/>
          <w:sz w:val="32"/>
          <w:szCs w:val="32"/>
          <w:highlight w:val="none"/>
        </w:rPr>
      </w:pPr>
    </w:p>
    <w:p>
      <w:pPr>
        <w:spacing w:line="540" w:lineRule="exact"/>
        <w:rPr>
          <w:rFonts w:ascii="宋体" w:hAnsi="宋体" w:cs="宋体"/>
          <w:sz w:val="32"/>
          <w:szCs w:val="32"/>
          <w:highlight w:val="none"/>
        </w:rPr>
      </w:pPr>
    </w:p>
    <w:p>
      <w:pPr>
        <w:spacing w:line="540" w:lineRule="exact"/>
        <w:rPr>
          <w:rFonts w:ascii="宋体" w:hAnsi="宋体" w:cs="宋体"/>
          <w:sz w:val="32"/>
          <w:szCs w:val="32"/>
          <w:highlight w:val="none"/>
        </w:rPr>
      </w:pPr>
    </w:p>
    <w:p>
      <w:pPr>
        <w:spacing w:line="540" w:lineRule="exact"/>
        <w:rPr>
          <w:rFonts w:ascii="宋体" w:hAnsi="宋体" w:cs="宋体"/>
          <w:sz w:val="32"/>
          <w:szCs w:val="32"/>
          <w:highlight w:val="none"/>
        </w:rPr>
      </w:pPr>
    </w:p>
    <w:p>
      <w:pPr>
        <w:spacing w:line="540" w:lineRule="exact"/>
        <w:rPr>
          <w:rFonts w:ascii="宋体" w:hAnsi="宋体" w:cs="宋体"/>
          <w:sz w:val="32"/>
          <w:szCs w:val="32"/>
          <w:highlight w:val="none"/>
        </w:rPr>
      </w:pPr>
    </w:p>
    <w:p>
      <w:pPr>
        <w:spacing w:line="540" w:lineRule="exact"/>
        <w:rPr>
          <w:rFonts w:ascii="宋体" w:hAnsi="宋体" w:cs="宋体"/>
          <w:sz w:val="32"/>
          <w:szCs w:val="32"/>
          <w:highlight w:val="none"/>
        </w:rPr>
      </w:pPr>
    </w:p>
    <w:p>
      <w:pPr>
        <w:pStyle w:val="3"/>
        <w:ind w:firstLine="210"/>
        <w:rPr>
          <w:highlight w:val="none"/>
        </w:rPr>
      </w:pPr>
    </w:p>
    <w:p>
      <w:pPr>
        <w:pStyle w:val="17"/>
      </w:pPr>
    </w:p>
    <w:p>
      <w:pPr>
        <w:spacing w:line="540" w:lineRule="exact"/>
        <w:rPr>
          <w:rFonts w:ascii="宋体" w:hAnsi="宋体" w:cs="宋体"/>
          <w:sz w:val="32"/>
          <w:szCs w:val="32"/>
          <w:highlight w:val="none"/>
        </w:rPr>
      </w:pPr>
    </w:p>
    <w:p>
      <w:pPr>
        <w:adjustRightInd w:val="0"/>
        <w:snapToGrid w:val="0"/>
        <w:jc w:val="left"/>
        <w:rPr>
          <w:rFonts w:ascii="宋体" w:hAnsi="宋体" w:cs="宋体"/>
          <w:sz w:val="24"/>
          <w:highlight w:val="none"/>
        </w:rPr>
      </w:pPr>
    </w:p>
    <w:p>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6.</w:t>
      </w:r>
      <w:r>
        <w:rPr>
          <w:rFonts w:hint="eastAsia" w:ascii="宋体" w:hAnsi="宋体" w:cs="宋体"/>
          <w:sz w:val="21"/>
          <w:szCs w:val="18"/>
          <w:highlight w:val="none"/>
        </w:rPr>
        <w:t>投标单位情况表格式：</w:t>
      </w:r>
    </w:p>
    <w:p>
      <w:pPr>
        <w:spacing w:line="360" w:lineRule="exact"/>
        <w:ind w:firstLine="281" w:firstLineChars="100"/>
        <w:jc w:val="center"/>
        <w:rPr>
          <w:rFonts w:ascii="宋体" w:hAnsi="宋体" w:cs="宋体"/>
          <w:b/>
          <w:sz w:val="28"/>
          <w:szCs w:val="28"/>
          <w:highlight w:val="none"/>
        </w:rPr>
      </w:pPr>
    </w:p>
    <w:p>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pPr>
        <w:spacing w:line="360" w:lineRule="exact"/>
        <w:ind w:firstLine="210" w:firstLineChars="100"/>
        <w:rPr>
          <w:rFonts w:ascii="宋体" w:hAnsi="宋体" w:cs="宋体"/>
          <w:szCs w:val="21"/>
          <w:highlight w:val="none"/>
        </w:rPr>
      </w:pPr>
      <w:r>
        <w:rPr>
          <w:rFonts w:hint="eastAsia" w:ascii="宋体" w:hAnsi="宋体" w:cs="宋体"/>
          <w:szCs w:val="21"/>
          <w:highlight w:val="none"/>
        </w:rPr>
        <w:t>项目名称： 项目编号：</w:t>
      </w:r>
    </w:p>
    <w:tbl>
      <w:tblPr>
        <w:tblStyle w:val="20"/>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pPr>
              <w:pStyle w:val="7"/>
              <w:ind w:firstLine="0"/>
              <w:jc w:val="center"/>
              <w:rPr>
                <w:rFonts w:ascii="宋体" w:hAnsi="宋体" w:cs="宋体"/>
                <w:szCs w:val="21"/>
                <w:highlight w:val="none"/>
              </w:rPr>
            </w:pPr>
          </w:p>
        </w:tc>
        <w:tc>
          <w:tcPr>
            <w:tcW w:w="1722"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pPr>
              <w:pStyle w:val="7"/>
              <w:ind w:firstLine="0"/>
              <w:jc w:val="center"/>
              <w:rPr>
                <w:rFonts w:ascii="宋体" w:hAnsi="宋体" w:cs="宋体"/>
                <w:szCs w:val="21"/>
                <w:highlight w:val="none"/>
              </w:rPr>
            </w:pPr>
          </w:p>
        </w:tc>
        <w:tc>
          <w:tcPr>
            <w:tcW w:w="1722"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pPr>
              <w:pStyle w:val="7"/>
              <w:ind w:firstLine="0"/>
              <w:jc w:val="center"/>
              <w:rPr>
                <w:rFonts w:ascii="宋体" w:hAnsi="宋体" w:cs="宋体"/>
                <w:szCs w:val="21"/>
                <w:highlight w:val="none"/>
              </w:rPr>
            </w:pPr>
          </w:p>
        </w:tc>
        <w:tc>
          <w:tcPr>
            <w:tcW w:w="1722"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pPr>
              <w:pStyle w:val="7"/>
              <w:ind w:firstLine="0"/>
              <w:jc w:val="center"/>
              <w:rPr>
                <w:rFonts w:ascii="宋体" w:hAnsi="宋体" w:cs="宋体"/>
                <w:szCs w:val="21"/>
                <w:highlight w:val="none"/>
              </w:rPr>
            </w:pPr>
          </w:p>
        </w:tc>
        <w:tc>
          <w:tcPr>
            <w:tcW w:w="105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pPr>
              <w:pStyle w:val="7"/>
              <w:ind w:firstLine="0"/>
              <w:jc w:val="center"/>
              <w:rPr>
                <w:rFonts w:ascii="宋体" w:hAnsi="宋体" w:cs="宋体"/>
                <w:szCs w:val="21"/>
                <w:highlight w:val="none"/>
              </w:rPr>
            </w:pPr>
          </w:p>
        </w:tc>
        <w:tc>
          <w:tcPr>
            <w:tcW w:w="880"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pPr>
              <w:pStyle w:val="7"/>
              <w:ind w:firstLine="0"/>
              <w:jc w:val="center"/>
              <w:rPr>
                <w:rFonts w:ascii="宋体" w:hAnsi="宋体" w:cs="宋体"/>
                <w:szCs w:val="21"/>
                <w:highlight w:val="none"/>
              </w:rPr>
            </w:pPr>
          </w:p>
        </w:tc>
        <w:tc>
          <w:tcPr>
            <w:tcW w:w="1722"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pPr>
              <w:pStyle w:val="7"/>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pPr>
              <w:pStyle w:val="7"/>
              <w:ind w:firstLine="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pPr>
              <w:pStyle w:val="7"/>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pPr>
              <w:pStyle w:val="7"/>
              <w:ind w:firstLine="0"/>
              <w:jc w:val="center"/>
              <w:rPr>
                <w:rFonts w:ascii="宋体" w:hAnsi="宋体" w:cs="宋体"/>
                <w:szCs w:val="21"/>
                <w:highlight w:val="none"/>
              </w:rPr>
            </w:pPr>
          </w:p>
        </w:tc>
      </w:tr>
    </w:tbl>
    <w:p>
      <w:pPr>
        <w:spacing w:line="360" w:lineRule="exact"/>
        <w:rPr>
          <w:rFonts w:ascii="宋体" w:hAnsi="宋体" w:cs="宋体"/>
          <w:szCs w:val="21"/>
          <w:highlight w:val="none"/>
        </w:rPr>
      </w:pP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月日</w:t>
      </w:r>
    </w:p>
    <w:p>
      <w:pPr>
        <w:spacing w:line="480" w:lineRule="exact"/>
        <w:ind w:firstLine="420" w:firstLineChars="200"/>
        <w:rPr>
          <w:rFonts w:ascii="宋体" w:hAnsi="宋体" w:cs="宋体"/>
          <w:szCs w:val="21"/>
          <w:highlight w:val="none"/>
        </w:rPr>
      </w:pPr>
    </w:p>
    <w:p>
      <w:pPr>
        <w:spacing w:line="480" w:lineRule="exact"/>
        <w:ind w:firstLine="420" w:firstLineChars="200"/>
        <w:rPr>
          <w:rFonts w:ascii="宋体" w:hAnsi="宋体" w:cs="宋体"/>
          <w:szCs w:val="21"/>
          <w:highlight w:val="none"/>
        </w:rPr>
      </w:pPr>
    </w:p>
    <w:p>
      <w:pPr>
        <w:spacing w:line="480" w:lineRule="exact"/>
        <w:ind w:firstLine="420" w:firstLineChars="200"/>
        <w:rPr>
          <w:rFonts w:ascii="宋体" w:hAnsi="宋体" w:cs="宋体"/>
          <w:szCs w:val="21"/>
          <w:highlight w:val="none"/>
        </w:rPr>
      </w:pPr>
    </w:p>
    <w:p>
      <w:pPr>
        <w:spacing w:line="480" w:lineRule="exact"/>
        <w:ind w:firstLine="420" w:firstLineChars="200"/>
        <w:rPr>
          <w:rFonts w:ascii="宋体" w:hAnsi="宋体" w:cs="宋体"/>
          <w:szCs w:val="21"/>
          <w:highlight w:val="none"/>
        </w:rPr>
      </w:pPr>
    </w:p>
    <w:p>
      <w:pPr>
        <w:tabs>
          <w:tab w:val="left" w:pos="450"/>
          <w:tab w:val="left" w:pos="8280"/>
        </w:tabs>
        <w:rPr>
          <w:rFonts w:ascii="宋体" w:hAnsi="宋体" w:cs="宋体"/>
          <w:sz w:val="24"/>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pPr>
        <w:tabs>
          <w:tab w:val="left" w:pos="450"/>
          <w:tab w:val="left" w:pos="8280"/>
        </w:tabs>
        <w:rPr>
          <w:rFonts w:ascii="宋体" w:hAnsi="宋体" w:cs="宋体"/>
          <w:sz w:val="21"/>
          <w:szCs w:val="18"/>
          <w:highlight w:val="none"/>
        </w:rPr>
      </w:pPr>
      <w:r>
        <w:rPr>
          <w:rFonts w:hint="eastAsia" w:ascii="宋体" w:hAnsi="宋体" w:cs="宋体"/>
          <w:sz w:val="21"/>
          <w:szCs w:val="18"/>
          <w:highlight w:val="none"/>
          <w:lang w:val="en-US" w:eastAsia="zh-CN"/>
        </w:rPr>
        <w:t>7.</w:t>
      </w:r>
      <w:r>
        <w:rPr>
          <w:rFonts w:hint="eastAsia" w:ascii="宋体" w:hAnsi="宋体" w:cs="宋体"/>
          <w:sz w:val="21"/>
          <w:szCs w:val="18"/>
          <w:highlight w:val="none"/>
        </w:rPr>
        <w:t>同类项目实施情况一览表格式</w:t>
      </w:r>
    </w:p>
    <w:p>
      <w:pPr>
        <w:rPr>
          <w:highlight w:val="none"/>
        </w:rPr>
      </w:pPr>
    </w:p>
    <w:p>
      <w:pPr>
        <w:rPr>
          <w:highlight w:val="none"/>
        </w:rPr>
      </w:pPr>
    </w:p>
    <w:p>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pPr>
        <w:spacing w:line="380" w:lineRule="exact"/>
        <w:rPr>
          <w:rFonts w:ascii="宋体" w:hAnsi="宋体" w:cs="宋体"/>
          <w:szCs w:val="21"/>
          <w:highlight w:val="none"/>
        </w:rPr>
      </w:pPr>
      <w:r>
        <w:rPr>
          <w:rFonts w:hint="eastAsia" w:ascii="宋体" w:hAnsi="宋体" w:cs="宋体"/>
          <w:szCs w:val="21"/>
          <w:highlight w:val="none"/>
        </w:rPr>
        <w:t xml:space="preserve">项目编号： </w:t>
      </w:r>
    </w:p>
    <w:tbl>
      <w:tblPr>
        <w:tblStyle w:val="20"/>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153"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项目名称</w:t>
            </w:r>
          </w:p>
        </w:tc>
        <w:tc>
          <w:tcPr>
            <w:tcW w:w="1551"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项目服务时间</w:t>
            </w:r>
          </w:p>
        </w:tc>
        <w:tc>
          <w:tcPr>
            <w:tcW w:w="1832"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采购人名称</w:t>
            </w:r>
          </w:p>
        </w:tc>
        <w:tc>
          <w:tcPr>
            <w:tcW w:w="1936"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pPr>
              <w:spacing w:line="360" w:lineRule="exact"/>
              <w:jc w:val="center"/>
              <w:rPr>
                <w:rFonts w:ascii="宋体" w:hAnsi="宋体" w:cs="宋体"/>
                <w:szCs w:val="21"/>
                <w:highlight w:val="none"/>
              </w:rPr>
            </w:pPr>
          </w:p>
        </w:tc>
        <w:tc>
          <w:tcPr>
            <w:tcW w:w="1153" w:type="dxa"/>
            <w:noWrap/>
            <w:vAlign w:val="center"/>
          </w:tcPr>
          <w:p>
            <w:pPr>
              <w:spacing w:line="360" w:lineRule="exact"/>
              <w:jc w:val="center"/>
              <w:rPr>
                <w:rFonts w:ascii="宋体" w:hAnsi="宋体" w:cs="宋体"/>
                <w:szCs w:val="21"/>
                <w:highlight w:val="none"/>
              </w:rPr>
            </w:pPr>
          </w:p>
        </w:tc>
        <w:tc>
          <w:tcPr>
            <w:tcW w:w="1551" w:type="dxa"/>
            <w:noWrap/>
            <w:vAlign w:val="center"/>
          </w:tcPr>
          <w:p>
            <w:pPr>
              <w:spacing w:line="360" w:lineRule="exact"/>
              <w:jc w:val="center"/>
              <w:rPr>
                <w:rFonts w:ascii="宋体" w:hAnsi="宋体" w:cs="宋体"/>
                <w:szCs w:val="21"/>
                <w:highlight w:val="none"/>
              </w:rPr>
            </w:pPr>
          </w:p>
        </w:tc>
        <w:tc>
          <w:tcPr>
            <w:tcW w:w="1832" w:type="dxa"/>
            <w:noWrap/>
            <w:vAlign w:val="center"/>
          </w:tcPr>
          <w:p>
            <w:pPr>
              <w:spacing w:line="360" w:lineRule="exact"/>
              <w:jc w:val="center"/>
              <w:rPr>
                <w:rFonts w:ascii="宋体" w:hAnsi="宋体" w:cs="宋体"/>
                <w:szCs w:val="21"/>
                <w:highlight w:val="none"/>
              </w:rPr>
            </w:pPr>
          </w:p>
        </w:tc>
        <w:tc>
          <w:tcPr>
            <w:tcW w:w="1936" w:type="dxa"/>
            <w:noWrap/>
            <w:vAlign w:val="center"/>
          </w:tcPr>
          <w:p>
            <w:pPr>
              <w:spacing w:line="360" w:lineRule="exact"/>
              <w:jc w:val="center"/>
              <w:rPr>
                <w:rFonts w:ascii="宋体" w:hAnsi="宋体" w:cs="宋体"/>
                <w:szCs w:val="21"/>
                <w:highlight w:val="none"/>
              </w:rPr>
            </w:pPr>
          </w:p>
        </w:tc>
        <w:tc>
          <w:tcPr>
            <w:tcW w:w="1182" w:type="dxa"/>
            <w:noWrap/>
            <w:vAlign w:val="center"/>
          </w:tcPr>
          <w:p>
            <w:pPr>
              <w:spacing w:line="360" w:lineRule="exact"/>
              <w:jc w:val="center"/>
              <w:rPr>
                <w:rFonts w:ascii="宋体" w:hAnsi="宋体" w:cs="宋体"/>
                <w:szCs w:val="21"/>
                <w:highlight w:val="none"/>
              </w:rPr>
            </w:pPr>
          </w:p>
        </w:tc>
      </w:tr>
    </w:tbl>
    <w:p>
      <w:pPr>
        <w:snapToGrid w:val="0"/>
        <w:spacing w:line="440" w:lineRule="exact"/>
        <w:rPr>
          <w:rFonts w:ascii="宋体" w:hAnsi="宋体" w:cs="宋体"/>
          <w:szCs w:val="21"/>
          <w:highlight w:val="none"/>
        </w:rPr>
      </w:pPr>
    </w:p>
    <w:p>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r>
        <w:rPr>
          <w:rFonts w:hint="eastAsia" w:ascii="宋体" w:hAnsi="宋体" w:cs="宋体"/>
          <w:szCs w:val="21"/>
          <w:highlight w:val="none"/>
          <w:u w:val="single"/>
          <w:lang w:val="en-US" w:eastAsia="zh-CN"/>
        </w:rPr>
        <w:t xml:space="preserve">                 </w:t>
      </w:r>
    </w:p>
    <w:p>
      <w:pPr>
        <w:pStyle w:val="2"/>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r>
        <w:rPr>
          <w:rFonts w:hint="eastAsia" w:ascii="宋体" w:hAnsi="宋体" w:cs="宋体"/>
          <w:szCs w:val="21"/>
          <w:highlight w:val="none"/>
          <w:u w:val="single"/>
          <w:lang w:val="en-US" w:eastAsia="zh-CN"/>
        </w:rPr>
        <w:t xml:space="preserve">                 </w:t>
      </w:r>
    </w:p>
    <w:p>
      <w:pPr>
        <w:adjustRightInd w:val="0"/>
        <w:snapToGrid w:val="0"/>
        <w:spacing w:line="440" w:lineRule="exact"/>
        <w:rPr>
          <w:rFonts w:ascii="宋体" w:hAnsi="宋体" w:cs="宋体"/>
          <w:bCs/>
          <w:szCs w:val="21"/>
          <w:highlight w:val="none"/>
        </w:rPr>
      </w:pP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日</w:t>
      </w:r>
    </w:p>
    <w:p>
      <w:pPr>
        <w:adjustRightInd w:val="0"/>
        <w:snapToGrid w:val="0"/>
        <w:jc w:val="left"/>
        <w:rPr>
          <w:rFonts w:ascii="宋体" w:hAnsi="宋体" w:cs="宋体"/>
          <w:sz w:val="24"/>
          <w:highlight w:val="none"/>
        </w:rPr>
      </w:pPr>
    </w:p>
    <w:p>
      <w:pPr>
        <w:adjustRightInd w:val="0"/>
        <w:snapToGrid w:val="0"/>
        <w:jc w:val="left"/>
        <w:rPr>
          <w:rFonts w:ascii="宋体" w:hAnsi="宋体" w:cs="宋体"/>
          <w:sz w:val="24"/>
          <w:highlight w:val="none"/>
        </w:rPr>
      </w:pPr>
    </w:p>
    <w:p>
      <w:pPr>
        <w:autoSpaceDE w:val="0"/>
        <w:autoSpaceDN w:val="0"/>
        <w:adjustRightInd w:val="0"/>
        <w:snapToGrid w:val="0"/>
        <w:spacing w:line="440" w:lineRule="exact"/>
        <w:ind w:firstLine="420" w:firstLineChars="200"/>
        <w:rPr>
          <w:rFonts w:ascii="宋体" w:hAnsi="宋体" w:cs="宋体"/>
          <w:sz w:val="24"/>
          <w:highlight w:val="none"/>
        </w:rPr>
      </w:pPr>
      <w:r>
        <w:rPr>
          <w:rFonts w:hint="eastAsia" w:ascii="宋体" w:hAnsi="宋体" w:cs="宋体"/>
          <w:szCs w:val="21"/>
          <w:highlight w:val="none"/>
        </w:rPr>
        <w:t>注：1、附件资料按评分标准提供。</w:t>
      </w:r>
    </w:p>
    <w:p>
      <w:pPr>
        <w:adjustRightInd w:val="0"/>
        <w:snapToGrid w:val="0"/>
        <w:jc w:val="left"/>
        <w:rPr>
          <w:rFonts w:ascii="宋体" w:hAnsi="宋体" w:cs="宋体"/>
          <w:sz w:val="24"/>
          <w:highlight w:val="none"/>
        </w:rPr>
      </w:pPr>
    </w:p>
    <w:p>
      <w:pPr>
        <w:adjustRightInd w:val="0"/>
        <w:snapToGrid w:val="0"/>
        <w:jc w:val="left"/>
        <w:rPr>
          <w:rFonts w:hint="eastAsia" w:ascii="宋体" w:hAnsi="宋体" w:cs="宋体"/>
          <w:b/>
          <w:sz w:val="21"/>
          <w:szCs w:val="18"/>
          <w:highlight w:val="none"/>
          <w:lang w:val="en-US" w:eastAsia="zh-CN"/>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pPr>
        <w:adjustRightInd w:val="0"/>
        <w:snapToGrid w:val="0"/>
        <w:jc w:val="left"/>
        <w:rPr>
          <w:rFonts w:ascii="宋体" w:hAnsi="宋体" w:cs="宋体"/>
          <w:b/>
          <w:sz w:val="21"/>
          <w:szCs w:val="18"/>
          <w:highlight w:val="none"/>
        </w:rPr>
      </w:pPr>
      <w:r>
        <w:rPr>
          <w:rFonts w:hint="eastAsia" w:ascii="宋体" w:hAnsi="宋体" w:cs="宋体"/>
          <w:b/>
          <w:sz w:val="21"/>
          <w:szCs w:val="18"/>
          <w:highlight w:val="none"/>
          <w:lang w:val="en-US" w:eastAsia="zh-CN"/>
        </w:rPr>
        <w:t>8.</w:t>
      </w:r>
      <w:r>
        <w:rPr>
          <w:rFonts w:hint="eastAsia" w:ascii="宋体" w:hAnsi="宋体" w:cs="宋体"/>
          <w:b/>
          <w:sz w:val="21"/>
          <w:szCs w:val="18"/>
          <w:highlight w:val="none"/>
        </w:rPr>
        <w:t>商务响应表格式:</w:t>
      </w:r>
    </w:p>
    <w:p>
      <w:pPr>
        <w:adjustRightInd w:val="0"/>
        <w:snapToGrid w:val="0"/>
        <w:rPr>
          <w:rFonts w:ascii="宋体" w:hAnsi="宋体" w:cs="宋体"/>
          <w:b/>
          <w:sz w:val="44"/>
          <w:szCs w:val="44"/>
          <w:highlight w:val="none"/>
        </w:rPr>
      </w:pPr>
    </w:p>
    <w:p>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20"/>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1596"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snapToGrid w:val="0"/>
              <w:spacing w:after="0" w:line="360" w:lineRule="exact"/>
              <w:jc w:val="left"/>
              <w:rPr>
                <w:rFonts w:ascii="宋体" w:hAnsi="宋体" w:cs="宋体"/>
                <w:b/>
                <w:sz w:val="18"/>
                <w:szCs w:val="18"/>
                <w:highlight w:val="none"/>
              </w:rPr>
            </w:pPr>
          </w:p>
        </w:tc>
        <w:tc>
          <w:tcPr>
            <w:tcW w:w="4043" w:type="dxa"/>
            <w:noWrap/>
            <w:vAlign w:val="top"/>
          </w:tcPr>
          <w:p>
            <w:pPr>
              <w:snapToGrid w:val="0"/>
              <w:spacing w:after="0" w:line="360" w:lineRule="exact"/>
              <w:rPr>
                <w:rFonts w:ascii="宋体" w:hAnsi="宋体" w:cs="宋体"/>
                <w:sz w:val="18"/>
                <w:szCs w:val="18"/>
                <w:highlight w:val="none"/>
              </w:rPr>
            </w:pPr>
          </w:p>
        </w:tc>
        <w:tc>
          <w:tcPr>
            <w:tcW w:w="1265" w:type="dxa"/>
            <w:noWrap/>
            <w:vAlign w:val="center"/>
          </w:tcPr>
          <w:p>
            <w:pPr>
              <w:adjustRightInd w:val="0"/>
              <w:snapToGrid w:val="0"/>
              <w:spacing w:line="240" w:lineRule="exact"/>
              <w:jc w:val="center"/>
              <w:rPr>
                <w:rFonts w:ascii="宋体" w:hAnsi="宋体" w:cs="宋体"/>
                <w:b/>
                <w:sz w:val="18"/>
                <w:szCs w:val="18"/>
                <w:highlight w:val="none"/>
              </w:rPr>
            </w:pPr>
          </w:p>
        </w:tc>
        <w:tc>
          <w:tcPr>
            <w:tcW w:w="1596" w:type="dxa"/>
            <w:noWrap/>
            <w:vAlign w:val="center"/>
          </w:tcPr>
          <w:p>
            <w:pPr>
              <w:adjustRightInd w:val="0"/>
              <w:snapToGrid w:val="0"/>
              <w:spacing w:line="240" w:lineRule="exact"/>
              <w:jc w:val="center"/>
              <w:rPr>
                <w:rFonts w:ascii="宋体" w:hAnsi="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020" w:type="dxa"/>
            <w:noWrap/>
            <w:vAlign w:val="center"/>
          </w:tcPr>
          <w:p>
            <w:pPr>
              <w:snapToGrid w:val="0"/>
              <w:spacing w:after="0" w:line="360" w:lineRule="exact"/>
              <w:jc w:val="left"/>
              <w:rPr>
                <w:rFonts w:ascii="宋体" w:hAnsi="宋体" w:cs="宋体"/>
                <w:b/>
                <w:sz w:val="18"/>
                <w:szCs w:val="18"/>
                <w:highlight w:val="none"/>
              </w:rPr>
            </w:pPr>
          </w:p>
        </w:tc>
        <w:tc>
          <w:tcPr>
            <w:tcW w:w="4043" w:type="dxa"/>
            <w:noWrap/>
            <w:vAlign w:val="top"/>
          </w:tcPr>
          <w:p>
            <w:pPr>
              <w:snapToGrid w:val="0"/>
              <w:spacing w:after="0" w:line="360" w:lineRule="exact"/>
              <w:rPr>
                <w:rFonts w:ascii="宋体" w:hAnsi="宋体" w:cs="宋体"/>
                <w:sz w:val="18"/>
                <w:szCs w:val="18"/>
                <w:highlight w:val="none"/>
              </w:rPr>
            </w:pPr>
          </w:p>
        </w:tc>
        <w:tc>
          <w:tcPr>
            <w:tcW w:w="1265" w:type="dxa"/>
            <w:noWrap/>
            <w:vAlign w:val="center"/>
          </w:tcPr>
          <w:p>
            <w:pPr>
              <w:adjustRightInd w:val="0"/>
              <w:snapToGrid w:val="0"/>
              <w:spacing w:line="240" w:lineRule="exact"/>
              <w:rPr>
                <w:rFonts w:ascii="宋体" w:hAnsi="宋体" w:cs="宋体"/>
                <w:sz w:val="18"/>
                <w:szCs w:val="18"/>
                <w:highlight w:val="none"/>
              </w:rPr>
            </w:pPr>
          </w:p>
        </w:tc>
        <w:tc>
          <w:tcPr>
            <w:tcW w:w="1596" w:type="dxa"/>
            <w:noWrap/>
            <w:vAlign w:val="center"/>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snapToGrid w:val="0"/>
              <w:spacing w:after="0" w:line="360" w:lineRule="exact"/>
              <w:jc w:val="left"/>
              <w:rPr>
                <w:rFonts w:ascii="宋体" w:hAnsi="宋体" w:cs="宋体"/>
                <w:b/>
                <w:sz w:val="18"/>
                <w:szCs w:val="18"/>
                <w:highlight w:val="none"/>
              </w:rPr>
            </w:pPr>
          </w:p>
        </w:tc>
        <w:tc>
          <w:tcPr>
            <w:tcW w:w="4043" w:type="dxa"/>
            <w:noWrap/>
            <w:vAlign w:val="top"/>
          </w:tcPr>
          <w:p>
            <w:pPr>
              <w:snapToGrid w:val="0"/>
              <w:spacing w:after="0" w:line="360" w:lineRule="exact"/>
              <w:jc w:val="left"/>
              <w:rPr>
                <w:rFonts w:ascii="宋体" w:hAnsi="宋体" w:cs="宋体"/>
                <w:b/>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1596"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snapToGrid w:val="0"/>
              <w:spacing w:after="0" w:line="360" w:lineRule="exact"/>
              <w:jc w:val="left"/>
              <w:rPr>
                <w:rFonts w:ascii="宋体" w:hAnsi="宋体" w:cs="宋体"/>
                <w:b/>
                <w:sz w:val="18"/>
                <w:szCs w:val="18"/>
                <w:highlight w:val="none"/>
              </w:rPr>
            </w:pPr>
          </w:p>
        </w:tc>
        <w:tc>
          <w:tcPr>
            <w:tcW w:w="4043" w:type="dxa"/>
            <w:noWrap/>
            <w:vAlign w:val="top"/>
          </w:tcPr>
          <w:p>
            <w:pPr>
              <w:snapToGrid w:val="0"/>
              <w:spacing w:after="0" w:line="360" w:lineRule="exact"/>
              <w:rPr>
                <w:rFonts w:ascii="宋体" w:hAnsi="宋体" w:cs="宋体"/>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1596"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utoSpaceDE w:val="0"/>
              <w:autoSpaceDN w:val="0"/>
              <w:snapToGrid w:val="0"/>
              <w:spacing w:after="0" w:line="360" w:lineRule="exact"/>
              <w:jc w:val="left"/>
              <w:rPr>
                <w:rFonts w:ascii="宋体" w:hAnsi="宋体" w:cs="宋体"/>
                <w:b/>
                <w:sz w:val="18"/>
                <w:szCs w:val="18"/>
                <w:highlight w:val="none"/>
              </w:rPr>
            </w:pPr>
          </w:p>
        </w:tc>
        <w:tc>
          <w:tcPr>
            <w:tcW w:w="4043" w:type="dxa"/>
            <w:noWrap/>
            <w:vAlign w:val="center"/>
          </w:tcPr>
          <w:p>
            <w:pPr>
              <w:snapToGrid w:val="0"/>
              <w:spacing w:after="0" w:line="360" w:lineRule="exact"/>
              <w:jc w:val="both"/>
              <w:rPr>
                <w:rFonts w:ascii="宋体" w:hAnsi="宋体" w:cs="宋体"/>
                <w:kern w:val="0"/>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1596"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snapToGrid w:val="0"/>
              <w:spacing w:after="0" w:line="360" w:lineRule="exact"/>
              <w:jc w:val="left"/>
              <w:rPr>
                <w:rFonts w:ascii="宋体" w:hAnsi="宋体" w:cs="宋体"/>
                <w:b/>
                <w:sz w:val="18"/>
                <w:szCs w:val="18"/>
                <w:highlight w:val="none"/>
              </w:rPr>
            </w:pPr>
          </w:p>
        </w:tc>
        <w:tc>
          <w:tcPr>
            <w:tcW w:w="4043" w:type="dxa"/>
            <w:noWrap/>
            <w:vAlign w:val="top"/>
          </w:tcPr>
          <w:p>
            <w:pPr>
              <w:snapToGrid w:val="0"/>
              <w:spacing w:after="0" w:line="360" w:lineRule="exact"/>
              <w:rPr>
                <w:rFonts w:ascii="宋体" w:hAnsi="宋体" w:cs="宋体"/>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1596" w:type="dxa"/>
            <w:noWrap/>
          </w:tcPr>
          <w:p>
            <w:pPr>
              <w:adjustRightInd w:val="0"/>
              <w:snapToGrid w:val="0"/>
              <w:spacing w:line="240" w:lineRule="exact"/>
              <w:rPr>
                <w:rFonts w:ascii="宋体" w:hAnsi="宋体" w:cs="宋体"/>
                <w:sz w:val="18"/>
                <w:szCs w:val="18"/>
                <w:highlight w:val="none"/>
              </w:rPr>
            </w:pPr>
          </w:p>
        </w:tc>
      </w:tr>
    </w:tbl>
    <w:p>
      <w:pPr>
        <w:snapToGrid w:val="0"/>
        <w:spacing w:before="50" w:after="50"/>
        <w:rPr>
          <w:rFonts w:hint="eastAsia" w:ascii="宋体" w:hAnsi="宋体" w:cs="宋体"/>
          <w:sz w:val="24"/>
          <w:highlight w:val="none"/>
        </w:rPr>
      </w:pPr>
    </w:p>
    <w:p>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r>
        <w:rPr>
          <w:rFonts w:hint="eastAsia" w:ascii="宋体" w:hAnsi="宋体" w:cs="宋体"/>
          <w:sz w:val="24"/>
          <w:highlight w:val="none"/>
          <w:u w:val="single"/>
          <w:lang w:val="en-US" w:eastAsia="zh-CN"/>
        </w:rPr>
        <w:t xml:space="preserve">              </w:t>
      </w:r>
    </w:p>
    <w:p>
      <w:pPr>
        <w:pStyle w:val="2"/>
        <w:snapToGrid w:val="0"/>
        <w:ind w:right="280"/>
        <w:rPr>
          <w:rFonts w:cs="宋体"/>
          <w:sz w:val="24"/>
          <w:highlight w:val="none"/>
        </w:rPr>
      </w:pPr>
      <w:r>
        <w:rPr>
          <w:rFonts w:cs="宋体"/>
          <w:sz w:val="24"/>
          <w:highlight w:val="none"/>
        </w:rPr>
        <w:t>投标人全称（盖章）：</w:t>
      </w:r>
      <w:r>
        <w:rPr>
          <w:rFonts w:hint="eastAsia" w:ascii="宋体" w:hAnsi="宋体" w:cs="宋体"/>
          <w:sz w:val="24"/>
          <w:highlight w:val="none"/>
          <w:u w:val="single"/>
          <w:lang w:val="en-US" w:eastAsia="zh-CN"/>
        </w:rPr>
        <w:t xml:space="preserve">       </w:t>
      </w:r>
      <w:r>
        <w:rPr>
          <w:rFonts w:cs="宋体"/>
          <w:sz w:val="24"/>
          <w:highlight w:val="none"/>
        </w:rPr>
        <w:t>年</w:t>
      </w:r>
      <w:r>
        <w:rPr>
          <w:rFonts w:hint="eastAsia" w:ascii="宋体" w:hAnsi="宋体" w:cs="宋体"/>
          <w:sz w:val="24"/>
          <w:highlight w:val="none"/>
          <w:u w:val="single"/>
          <w:lang w:val="en-US" w:eastAsia="zh-CN"/>
        </w:rPr>
        <w:t xml:space="preserve">       </w:t>
      </w:r>
      <w:r>
        <w:rPr>
          <w:rFonts w:cs="宋体"/>
          <w:sz w:val="24"/>
          <w:highlight w:val="none"/>
        </w:rPr>
        <w:t>月</w:t>
      </w:r>
      <w:r>
        <w:rPr>
          <w:rFonts w:hint="eastAsia" w:ascii="宋体" w:hAnsi="宋体" w:cs="宋体"/>
          <w:sz w:val="24"/>
          <w:highlight w:val="none"/>
          <w:u w:val="single"/>
          <w:lang w:val="en-US" w:eastAsia="zh-CN"/>
        </w:rPr>
        <w:t xml:space="preserve">       </w:t>
      </w:r>
      <w:r>
        <w:rPr>
          <w:rFonts w:cs="宋体"/>
          <w:sz w:val="24"/>
          <w:highlight w:val="none"/>
        </w:rPr>
        <w:t>日</w:t>
      </w:r>
    </w:p>
    <w:p>
      <w:pPr>
        <w:adjustRightInd w:val="0"/>
        <w:snapToGrid w:val="0"/>
        <w:jc w:val="left"/>
        <w:rPr>
          <w:rFonts w:ascii="宋体" w:hAnsi="宋体" w:cs="宋体"/>
          <w:sz w:val="24"/>
          <w:highlight w:val="none"/>
        </w:rPr>
      </w:pPr>
    </w:p>
    <w:p>
      <w:pPr>
        <w:adjustRightInd w:val="0"/>
        <w:snapToGrid w:val="0"/>
        <w:jc w:val="left"/>
        <w:rPr>
          <w:rFonts w:ascii="宋体" w:hAnsi="宋体" w:cs="宋体"/>
          <w:sz w:val="24"/>
          <w:highlight w:val="none"/>
        </w:rPr>
      </w:pPr>
    </w:p>
    <w:p>
      <w:pPr>
        <w:pStyle w:val="9"/>
        <w:adjustRightInd w:val="0"/>
        <w:snapToGrid w:val="0"/>
        <w:rPr>
          <w:rFonts w:ascii="宋体" w:hAnsi="宋体" w:cs="宋体"/>
          <w:sz w:val="21"/>
          <w:szCs w:val="21"/>
          <w:highlight w:val="none"/>
        </w:rPr>
      </w:pPr>
      <w:r>
        <w:rPr>
          <w:rFonts w:hint="eastAsia" w:ascii="宋体" w:hAnsi="宋体" w:cs="宋体"/>
          <w:sz w:val="21"/>
          <w:szCs w:val="21"/>
          <w:highlight w:val="none"/>
        </w:rPr>
        <w:t>注：按招标文件第二章商务要求列表，对照招标文件要求在“偏离情况”栏注明“正偏离”、“负偏离”或“无偏离”。不填写视同</w:t>
      </w:r>
      <w:r>
        <w:rPr>
          <w:rFonts w:hint="eastAsia" w:ascii="宋体" w:hAnsi="宋体" w:cs="宋体"/>
          <w:sz w:val="21"/>
          <w:szCs w:val="21"/>
          <w:highlight w:val="none"/>
          <w:lang w:eastAsia="zh-CN"/>
        </w:rPr>
        <w:t>完全响应招标文件</w:t>
      </w:r>
      <w:r>
        <w:rPr>
          <w:rFonts w:hint="eastAsia" w:ascii="宋体" w:hAnsi="宋体" w:cs="宋体"/>
          <w:sz w:val="21"/>
          <w:szCs w:val="21"/>
          <w:highlight w:val="none"/>
        </w:rPr>
        <w:t>。</w:t>
      </w: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pStyle w:val="9"/>
        <w:adjustRightInd w:val="0"/>
        <w:snapToGrid w:val="0"/>
        <w:rPr>
          <w:rFonts w:ascii="宋体" w:hAnsi="宋体" w:cs="宋体"/>
          <w:sz w:val="21"/>
          <w:szCs w:val="21"/>
          <w:highlight w:val="none"/>
        </w:rPr>
      </w:pPr>
    </w:p>
    <w:p>
      <w:pPr>
        <w:adjustRightInd w:val="0"/>
        <w:snapToGrid w:val="0"/>
        <w:jc w:val="left"/>
        <w:rPr>
          <w:rFonts w:ascii="宋体" w:hAnsi="宋体" w:cs="宋体"/>
          <w:b/>
          <w:sz w:val="21"/>
          <w:szCs w:val="18"/>
          <w:highlight w:val="none"/>
        </w:rPr>
      </w:pPr>
      <w:r>
        <w:rPr>
          <w:rFonts w:hint="eastAsia" w:ascii="宋体" w:hAnsi="宋体" w:cs="宋体"/>
          <w:b/>
          <w:sz w:val="21"/>
          <w:szCs w:val="18"/>
          <w:highlight w:val="none"/>
          <w:lang w:val="en-US" w:eastAsia="zh-CN"/>
        </w:rPr>
        <w:t>9.</w:t>
      </w:r>
      <w:r>
        <w:rPr>
          <w:rFonts w:hint="eastAsia" w:ascii="宋体" w:hAnsi="宋体" w:cs="宋体"/>
          <w:b/>
          <w:sz w:val="21"/>
          <w:szCs w:val="18"/>
          <w:highlight w:val="none"/>
        </w:rPr>
        <w:t>技术响应表格式:</w:t>
      </w:r>
    </w:p>
    <w:p>
      <w:pPr>
        <w:adjustRightInd w:val="0"/>
        <w:snapToGrid w:val="0"/>
        <w:rPr>
          <w:rFonts w:ascii="宋体" w:hAnsi="宋体" w:cs="宋体"/>
          <w:b/>
          <w:sz w:val="44"/>
          <w:szCs w:val="44"/>
          <w:highlight w:val="none"/>
        </w:rPr>
      </w:pPr>
    </w:p>
    <w:p>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20"/>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2204" w:type="dxa"/>
            <w:noWrap/>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rPr>
                <w:rFonts w:ascii="宋体" w:hAnsi="宋体" w:cs="宋体"/>
                <w:b/>
                <w:sz w:val="18"/>
                <w:szCs w:val="18"/>
                <w:highlight w:val="none"/>
              </w:rPr>
            </w:pPr>
          </w:p>
        </w:tc>
        <w:tc>
          <w:tcPr>
            <w:tcW w:w="4043" w:type="dxa"/>
            <w:noWrap/>
            <w:vAlign w:val="center"/>
          </w:tcPr>
          <w:p>
            <w:pPr>
              <w:adjustRightInd w:val="0"/>
              <w:snapToGrid w:val="0"/>
              <w:rPr>
                <w:rFonts w:ascii="宋体" w:hAnsi="宋体" w:cs="宋体"/>
                <w:sz w:val="18"/>
                <w:szCs w:val="18"/>
                <w:highlight w:val="none"/>
              </w:rPr>
            </w:pPr>
          </w:p>
        </w:tc>
        <w:tc>
          <w:tcPr>
            <w:tcW w:w="1265" w:type="dxa"/>
            <w:noWrap/>
            <w:vAlign w:val="center"/>
          </w:tcPr>
          <w:p>
            <w:pPr>
              <w:adjustRightInd w:val="0"/>
              <w:snapToGrid w:val="0"/>
              <w:spacing w:line="240" w:lineRule="exact"/>
              <w:jc w:val="center"/>
              <w:rPr>
                <w:rFonts w:ascii="宋体" w:hAnsi="宋体" w:cs="宋体"/>
                <w:b/>
                <w:sz w:val="18"/>
                <w:szCs w:val="18"/>
                <w:highlight w:val="none"/>
              </w:rPr>
            </w:pPr>
          </w:p>
        </w:tc>
        <w:tc>
          <w:tcPr>
            <w:tcW w:w="2204" w:type="dxa"/>
            <w:noWrap/>
            <w:vAlign w:val="center"/>
          </w:tcPr>
          <w:p>
            <w:pPr>
              <w:adjustRightInd w:val="0"/>
              <w:snapToGrid w:val="0"/>
              <w:spacing w:line="240" w:lineRule="exact"/>
              <w:jc w:val="center"/>
              <w:rPr>
                <w:rFonts w:ascii="宋体" w:hAnsi="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rPr>
                <w:rFonts w:ascii="宋体" w:hAnsi="宋体" w:cs="宋体"/>
                <w:b/>
                <w:sz w:val="18"/>
                <w:szCs w:val="18"/>
                <w:highlight w:val="none"/>
              </w:rPr>
            </w:pPr>
          </w:p>
        </w:tc>
        <w:tc>
          <w:tcPr>
            <w:tcW w:w="4043" w:type="dxa"/>
            <w:noWrap/>
          </w:tcPr>
          <w:p>
            <w:pPr>
              <w:adjustRightInd w:val="0"/>
              <w:snapToGrid w:val="0"/>
              <w:ind w:firstLine="360" w:firstLineChars="200"/>
              <w:rPr>
                <w:rFonts w:ascii="宋体" w:hAnsi="宋体" w:cs="宋体"/>
                <w:sz w:val="18"/>
                <w:szCs w:val="18"/>
                <w:highlight w:val="none"/>
              </w:rPr>
            </w:pPr>
          </w:p>
        </w:tc>
        <w:tc>
          <w:tcPr>
            <w:tcW w:w="1265" w:type="dxa"/>
            <w:noWrap/>
            <w:vAlign w:val="center"/>
          </w:tcPr>
          <w:p>
            <w:pPr>
              <w:adjustRightInd w:val="0"/>
              <w:snapToGrid w:val="0"/>
              <w:spacing w:line="240" w:lineRule="exact"/>
              <w:rPr>
                <w:rFonts w:ascii="宋体" w:hAnsi="宋体" w:cs="宋体"/>
                <w:sz w:val="18"/>
                <w:szCs w:val="18"/>
                <w:highlight w:val="none"/>
              </w:rPr>
            </w:pPr>
          </w:p>
        </w:tc>
        <w:tc>
          <w:tcPr>
            <w:tcW w:w="2204" w:type="dxa"/>
            <w:noWrap/>
            <w:vAlign w:val="center"/>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rPr>
                <w:rFonts w:ascii="宋体" w:hAnsi="宋体" w:cs="宋体"/>
                <w:b/>
                <w:sz w:val="18"/>
                <w:szCs w:val="18"/>
                <w:highlight w:val="none"/>
              </w:rPr>
            </w:pPr>
          </w:p>
        </w:tc>
        <w:tc>
          <w:tcPr>
            <w:tcW w:w="4043" w:type="dxa"/>
            <w:noWrap/>
          </w:tcPr>
          <w:p>
            <w:pPr>
              <w:adjustRightInd w:val="0"/>
              <w:snapToGrid w:val="0"/>
              <w:rPr>
                <w:rFonts w:ascii="宋体" w:hAnsi="宋体" w:cs="宋体"/>
                <w:b/>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2204"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jc w:val="center"/>
              <w:rPr>
                <w:rFonts w:ascii="宋体" w:hAnsi="宋体" w:cs="宋体"/>
                <w:b/>
                <w:sz w:val="18"/>
                <w:szCs w:val="18"/>
                <w:highlight w:val="none"/>
              </w:rPr>
            </w:pPr>
          </w:p>
        </w:tc>
        <w:tc>
          <w:tcPr>
            <w:tcW w:w="4043" w:type="dxa"/>
            <w:noWrap/>
          </w:tcPr>
          <w:p>
            <w:pPr>
              <w:adjustRightInd w:val="0"/>
              <w:snapToGrid w:val="0"/>
              <w:rPr>
                <w:rFonts w:ascii="宋体" w:hAnsi="宋体" w:cs="宋体"/>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2204"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jc w:val="center"/>
              <w:rPr>
                <w:rFonts w:ascii="宋体" w:hAnsi="宋体" w:cs="宋体"/>
                <w:b/>
                <w:sz w:val="18"/>
                <w:szCs w:val="18"/>
                <w:highlight w:val="none"/>
              </w:rPr>
            </w:pPr>
          </w:p>
        </w:tc>
        <w:tc>
          <w:tcPr>
            <w:tcW w:w="4043" w:type="dxa"/>
            <w:noWrap/>
          </w:tcPr>
          <w:p>
            <w:pPr>
              <w:autoSpaceDE w:val="0"/>
              <w:autoSpaceDN w:val="0"/>
              <w:adjustRightInd w:val="0"/>
              <w:ind w:right="-100"/>
              <w:jc w:val="left"/>
              <w:rPr>
                <w:rFonts w:ascii="宋体" w:hAnsi="宋体" w:cs="宋体"/>
                <w:kern w:val="0"/>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2204"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jc w:val="center"/>
              <w:rPr>
                <w:rFonts w:ascii="宋体" w:hAnsi="宋体" w:cs="宋体"/>
                <w:b/>
                <w:sz w:val="18"/>
                <w:szCs w:val="18"/>
                <w:highlight w:val="none"/>
              </w:rPr>
            </w:pPr>
          </w:p>
        </w:tc>
        <w:tc>
          <w:tcPr>
            <w:tcW w:w="4043" w:type="dxa"/>
            <w:noWrap/>
            <w:vAlign w:val="center"/>
          </w:tcPr>
          <w:p>
            <w:pPr>
              <w:adjustRightInd w:val="0"/>
              <w:snapToGrid w:val="0"/>
              <w:rPr>
                <w:rFonts w:ascii="宋体" w:hAnsi="宋体" w:cs="宋体"/>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2204" w:type="dxa"/>
            <w:noWrap/>
          </w:tcPr>
          <w:p>
            <w:pPr>
              <w:adjustRightInd w:val="0"/>
              <w:snapToGrid w:val="0"/>
              <w:spacing w:line="240" w:lineRule="exact"/>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pPr>
              <w:adjustRightInd w:val="0"/>
              <w:snapToGrid w:val="0"/>
              <w:jc w:val="center"/>
              <w:rPr>
                <w:rFonts w:ascii="宋体" w:hAnsi="宋体" w:cs="宋体"/>
                <w:b/>
                <w:sz w:val="18"/>
                <w:szCs w:val="18"/>
                <w:highlight w:val="none"/>
              </w:rPr>
            </w:pPr>
          </w:p>
        </w:tc>
        <w:tc>
          <w:tcPr>
            <w:tcW w:w="4043" w:type="dxa"/>
            <w:noWrap/>
            <w:vAlign w:val="center"/>
          </w:tcPr>
          <w:p>
            <w:pPr>
              <w:rPr>
                <w:rFonts w:ascii="宋体" w:hAnsi="宋体" w:cs="宋体"/>
                <w:sz w:val="18"/>
                <w:szCs w:val="18"/>
                <w:highlight w:val="none"/>
              </w:rPr>
            </w:pPr>
          </w:p>
        </w:tc>
        <w:tc>
          <w:tcPr>
            <w:tcW w:w="1265" w:type="dxa"/>
            <w:noWrap/>
          </w:tcPr>
          <w:p>
            <w:pPr>
              <w:adjustRightInd w:val="0"/>
              <w:snapToGrid w:val="0"/>
              <w:spacing w:line="240" w:lineRule="exact"/>
              <w:rPr>
                <w:rFonts w:ascii="宋体" w:hAnsi="宋体" w:cs="宋体"/>
                <w:sz w:val="18"/>
                <w:szCs w:val="18"/>
                <w:highlight w:val="none"/>
              </w:rPr>
            </w:pPr>
          </w:p>
        </w:tc>
        <w:tc>
          <w:tcPr>
            <w:tcW w:w="2204" w:type="dxa"/>
            <w:noWrap/>
          </w:tcPr>
          <w:p>
            <w:pPr>
              <w:adjustRightInd w:val="0"/>
              <w:snapToGrid w:val="0"/>
              <w:spacing w:line="240" w:lineRule="exact"/>
              <w:rPr>
                <w:rFonts w:ascii="宋体" w:hAnsi="宋体" w:cs="宋体"/>
                <w:sz w:val="18"/>
                <w:szCs w:val="18"/>
                <w:highlight w:val="none"/>
              </w:rPr>
            </w:pPr>
          </w:p>
        </w:tc>
      </w:tr>
    </w:tbl>
    <w:p>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pPr>
        <w:pStyle w:val="2"/>
        <w:snapToGrid w:val="0"/>
        <w:ind w:right="280"/>
        <w:rPr>
          <w:rFonts w:cs="宋体"/>
          <w:sz w:val="24"/>
          <w:highlight w:val="none"/>
        </w:rPr>
      </w:pPr>
      <w:r>
        <w:rPr>
          <w:rFonts w:cs="宋体"/>
          <w:sz w:val="24"/>
          <w:highlight w:val="none"/>
        </w:rPr>
        <w:t>投标人全称（盖章）：</w:t>
      </w:r>
      <w:r>
        <w:rPr>
          <w:rFonts w:hint="eastAsia" w:ascii="宋体" w:hAnsi="宋体" w:cs="宋体"/>
          <w:sz w:val="24"/>
          <w:highlight w:val="none"/>
          <w:u w:val="single"/>
          <w:lang w:val="en-US" w:eastAsia="zh-CN"/>
        </w:rPr>
        <w:t xml:space="preserve">       </w:t>
      </w:r>
      <w:r>
        <w:rPr>
          <w:rFonts w:cs="宋体"/>
          <w:sz w:val="24"/>
          <w:highlight w:val="none"/>
        </w:rPr>
        <w:t>年</w:t>
      </w:r>
      <w:r>
        <w:rPr>
          <w:rFonts w:hint="eastAsia" w:ascii="宋体" w:hAnsi="宋体" w:cs="宋体"/>
          <w:sz w:val="24"/>
          <w:highlight w:val="none"/>
          <w:u w:val="single"/>
          <w:lang w:val="en-US" w:eastAsia="zh-CN"/>
        </w:rPr>
        <w:t xml:space="preserve">       </w:t>
      </w:r>
      <w:r>
        <w:rPr>
          <w:rFonts w:cs="宋体"/>
          <w:sz w:val="24"/>
          <w:highlight w:val="none"/>
        </w:rPr>
        <w:t>月</w:t>
      </w:r>
      <w:r>
        <w:rPr>
          <w:rFonts w:hint="eastAsia" w:ascii="宋体" w:hAnsi="宋体" w:cs="宋体"/>
          <w:sz w:val="24"/>
          <w:highlight w:val="none"/>
          <w:u w:val="single"/>
          <w:lang w:val="en-US" w:eastAsia="zh-CN"/>
        </w:rPr>
        <w:t xml:space="preserve">       </w:t>
      </w:r>
      <w:r>
        <w:rPr>
          <w:rFonts w:cs="宋体"/>
          <w:sz w:val="24"/>
          <w:highlight w:val="none"/>
        </w:rPr>
        <w:t>日</w:t>
      </w:r>
    </w:p>
    <w:p>
      <w:pPr>
        <w:adjustRightInd w:val="0"/>
        <w:snapToGrid w:val="0"/>
        <w:jc w:val="left"/>
        <w:rPr>
          <w:rFonts w:ascii="宋体" w:hAnsi="宋体" w:cs="宋体"/>
          <w:sz w:val="24"/>
          <w:highlight w:val="none"/>
        </w:rPr>
      </w:pPr>
    </w:p>
    <w:p>
      <w:pPr>
        <w:adjustRightInd w:val="0"/>
        <w:snapToGrid w:val="0"/>
        <w:jc w:val="left"/>
        <w:rPr>
          <w:rFonts w:ascii="宋体" w:hAnsi="宋体" w:cs="宋体"/>
          <w:sz w:val="24"/>
          <w:highlight w:val="none"/>
        </w:rPr>
      </w:pPr>
    </w:p>
    <w:p>
      <w:pPr>
        <w:pStyle w:val="9"/>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w:t>
      </w:r>
      <w:r>
        <w:rPr>
          <w:rFonts w:hint="eastAsia" w:ascii="宋体" w:hAnsi="宋体" w:cs="宋体"/>
          <w:sz w:val="21"/>
          <w:szCs w:val="21"/>
          <w:highlight w:val="none"/>
          <w:lang w:eastAsia="zh-CN"/>
        </w:rPr>
        <w:t>完全响应招标文件</w:t>
      </w:r>
      <w:r>
        <w:rPr>
          <w:rFonts w:hint="eastAsia" w:ascii="宋体" w:hAnsi="宋体" w:cs="宋体"/>
          <w:sz w:val="21"/>
          <w:szCs w:val="21"/>
          <w:highlight w:val="none"/>
        </w:rPr>
        <w:t>。</w:t>
      </w:r>
    </w:p>
    <w:p>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10.</w:t>
      </w:r>
      <w:r>
        <w:rPr>
          <w:rFonts w:hint="eastAsia" w:ascii="宋体" w:hAnsi="宋体" w:cs="宋体"/>
          <w:sz w:val="21"/>
          <w:szCs w:val="18"/>
          <w:highlight w:val="none"/>
        </w:rPr>
        <w:t>拟投入实施的团队人员配置表格式</w:t>
      </w:r>
    </w:p>
    <w:p>
      <w:pPr>
        <w:adjustRightInd w:val="0"/>
        <w:snapToGrid w:val="0"/>
        <w:jc w:val="left"/>
        <w:rPr>
          <w:rFonts w:ascii="宋体" w:hAnsi="宋体" w:cs="宋体"/>
          <w:sz w:val="24"/>
          <w:highlight w:val="none"/>
        </w:rPr>
      </w:pPr>
    </w:p>
    <w:p>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pPr>
        <w:adjustRightInd w:val="0"/>
        <w:snapToGrid w:val="0"/>
        <w:spacing w:line="440" w:lineRule="exact"/>
        <w:jc w:val="center"/>
        <w:rPr>
          <w:rFonts w:ascii="宋体" w:hAnsi="宋体" w:cs="宋体"/>
          <w:b/>
          <w:sz w:val="28"/>
          <w:szCs w:val="28"/>
          <w:highlight w:val="none"/>
        </w:rPr>
      </w:pPr>
    </w:p>
    <w:p>
      <w:pPr>
        <w:adjustRightInd w:val="0"/>
        <w:snapToGrid w:val="0"/>
        <w:spacing w:line="440" w:lineRule="exact"/>
        <w:rPr>
          <w:rFonts w:hint="eastAsia" w:ascii="宋体" w:hAnsi="宋体" w:eastAsia="宋体" w:cs="宋体"/>
          <w:sz w:val="24"/>
          <w:highlight w:val="none"/>
          <w:lang w:eastAsia="zh-CN"/>
        </w:rPr>
      </w:pPr>
      <w:r>
        <w:rPr>
          <w:rFonts w:hint="eastAsia" w:ascii="宋体" w:hAnsi="宋体" w:cs="宋体"/>
          <w:sz w:val="24"/>
          <w:highlight w:val="none"/>
        </w:rPr>
        <w:t>项目名称：</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项目编号：</w:t>
      </w:r>
    </w:p>
    <w:tbl>
      <w:tblPr>
        <w:tblStyle w:val="2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pPr>
              <w:spacing w:line="480" w:lineRule="exact"/>
              <w:ind w:firstLine="420" w:firstLineChars="200"/>
              <w:rPr>
                <w:rFonts w:ascii="宋体" w:hAnsi="宋体" w:cs="宋体"/>
                <w:szCs w:val="21"/>
                <w:highlight w:val="none"/>
              </w:rPr>
            </w:pPr>
            <w:r>
              <w:rPr>
                <w:rFonts w:hint="eastAsia" w:ascii="宋体" w:hAnsi="宋体" w:cs="宋体"/>
                <w:szCs w:val="21"/>
                <w:highlight w:val="none"/>
              </w:rPr>
              <w:t>本项目拟任</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岗位</w:t>
            </w:r>
          </w:p>
        </w:tc>
        <w:tc>
          <w:tcPr>
            <w:tcW w:w="595" w:type="dxa"/>
            <w:tcBorders>
              <w:top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年龄</w:t>
            </w:r>
          </w:p>
        </w:tc>
        <w:tc>
          <w:tcPr>
            <w:tcW w:w="564" w:type="dxa"/>
            <w:tcBorders>
              <w:top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性别</w:t>
            </w:r>
          </w:p>
        </w:tc>
        <w:tc>
          <w:tcPr>
            <w:tcW w:w="941" w:type="dxa"/>
            <w:tcBorders>
              <w:top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专 业</w:t>
            </w:r>
          </w:p>
        </w:tc>
        <w:tc>
          <w:tcPr>
            <w:tcW w:w="1163" w:type="dxa"/>
            <w:tcBorders>
              <w:top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职 称与证书</w:t>
            </w:r>
          </w:p>
        </w:tc>
        <w:tc>
          <w:tcPr>
            <w:tcW w:w="1317" w:type="dxa"/>
            <w:tcBorders>
              <w:top w:val="single" w:color="auto" w:sz="12" w:space="0"/>
              <w:bottom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pPr>
              <w:spacing w:line="480" w:lineRule="exact"/>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pPr>
              <w:spacing w:line="360" w:lineRule="auto"/>
              <w:rPr>
                <w:rFonts w:ascii="宋体" w:hAnsi="宋体" w:cs="宋体"/>
                <w:szCs w:val="21"/>
                <w:highlight w:val="none"/>
              </w:rPr>
            </w:pPr>
          </w:p>
        </w:tc>
        <w:tc>
          <w:tcPr>
            <w:tcW w:w="2039" w:type="dxa"/>
            <w:tcBorders>
              <w:top w:val="single" w:color="auto" w:sz="12" w:space="0"/>
            </w:tcBorders>
            <w:noWrap/>
            <w:vAlign w:val="center"/>
          </w:tcPr>
          <w:p>
            <w:pPr>
              <w:spacing w:line="360" w:lineRule="auto"/>
              <w:jc w:val="center"/>
              <w:rPr>
                <w:rFonts w:ascii="宋体" w:hAnsi="宋体" w:cs="宋体"/>
                <w:sz w:val="16"/>
                <w:szCs w:val="21"/>
                <w:highlight w:val="none"/>
              </w:rPr>
            </w:pPr>
            <w:r>
              <w:rPr>
                <w:rFonts w:hint="eastAsia" w:ascii="宋体" w:hAnsi="宋体" w:cs="宋体"/>
                <w:szCs w:val="21"/>
                <w:highlight w:val="none"/>
              </w:rPr>
              <w:t>项目负责人</w:t>
            </w:r>
          </w:p>
        </w:tc>
        <w:tc>
          <w:tcPr>
            <w:tcW w:w="595" w:type="dxa"/>
            <w:tcBorders>
              <w:top w:val="single" w:color="auto" w:sz="12" w:space="0"/>
            </w:tcBorders>
            <w:noWrap/>
            <w:vAlign w:val="center"/>
          </w:tcPr>
          <w:p>
            <w:pPr>
              <w:spacing w:line="360" w:lineRule="auto"/>
              <w:rPr>
                <w:rFonts w:ascii="宋体" w:hAnsi="宋体" w:cs="宋体"/>
                <w:szCs w:val="21"/>
                <w:highlight w:val="none"/>
              </w:rPr>
            </w:pPr>
          </w:p>
        </w:tc>
        <w:tc>
          <w:tcPr>
            <w:tcW w:w="564" w:type="dxa"/>
            <w:tcBorders>
              <w:top w:val="single" w:color="auto" w:sz="12" w:space="0"/>
            </w:tcBorders>
            <w:noWrap/>
            <w:vAlign w:val="center"/>
          </w:tcPr>
          <w:p>
            <w:pPr>
              <w:spacing w:line="360" w:lineRule="auto"/>
              <w:rPr>
                <w:rFonts w:ascii="宋体" w:hAnsi="宋体" w:cs="宋体"/>
                <w:szCs w:val="21"/>
                <w:highlight w:val="none"/>
              </w:rPr>
            </w:pPr>
          </w:p>
        </w:tc>
        <w:tc>
          <w:tcPr>
            <w:tcW w:w="941" w:type="dxa"/>
            <w:tcBorders>
              <w:top w:val="single" w:color="auto" w:sz="12" w:space="0"/>
            </w:tcBorders>
            <w:noWrap/>
            <w:vAlign w:val="center"/>
          </w:tcPr>
          <w:p>
            <w:pPr>
              <w:spacing w:line="360" w:lineRule="auto"/>
              <w:rPr>
                <w:rFonts w:ascii="宋体" w:hAnsi="宋体" w:cs="宋体"/>
                <w:szCs w:val="21"/>
                <w:highlight w:val="none"/>
              </w:rPr>
            </w:pPr>
          </w:p>
        </w:tc>
        <w:tc>
          <w:tcPr>
            <w:tcW w:w="1163" w:type="dxa"/>
            <w:tcBorders>
              <w:top w:val="single" w:color="auto" w:sz="12" w:space="0"/>
            </w:tcBorders>
            <w:noWrap/>
            <w:vAlign w:val="center"/>
          </w:tcPr>
          <w:p>
            <w:pPr>
              <w:spacing w:line="360" w:lineRule="auto"/>
              <w:rPr>
                <w:rFonts w:ascii="宋体" w:hAnsi="宋体" w:cs="宋体"/>
                <w:szCs w:val="21"/>
                <w:highlight w:val="none"/>
              </w:rPr>
            </w:pPr>
          </w:p>
        </w:tc>
        <w:tc>
          <w:tcPr>
            <w:tcW w:w="1317" w:type="dxa"/>
            <w:tcBorders>
              <w:top w:val="single" w:color="auto" w:sz="12" w:space="0"/>
            </w:tcBorders>
            <w:noWrap/>
            <w:vAlign w:val="center"/>
          </w:tcPr>
          <w:p>
            <w:pPr>
              <w:pStyle w:val="13"/>
              <w:spacing w:line="360" w:lineRule="auto"/>
              <w:ind w:left="5250"/>
              <w:rPr>
                <w:rFonts w:ascii="宋体" w:eastAsia="宋体" w:cs="宋体"/>
                <w:sz w:val="21"/>
                <w:szCs w:val="21"/>
                <w:highlight w:val="none"/>
                <w:lang w:val="en-US" w:eastAsia="zh-CN"/>
              </w:rPr>
            </w:pPr>
          </w:p>
        </w:tc>
        <w:tc>
          <w:tcPr>
            <w:tcW w:w="1232" w:type="dxa"/>
            <w:tcBorders>
              <w:top w:val="single" w:color="auto" w:sz="12" w:space="0"/>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ascii="宋体" w:hAnsi="宋体" w:cs="宋体"/>
                <w:szCs w:val="21"/>
                <w:highlight w:val="none"/>
              </w:rPr>
            </w:pP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ascii="宋体" w:hAnsi="宋体" w:cs="宋体"/>
                <w:szCs w:val="21"/>
                <w:highlight w:val="none"/>
              </w:rPr>
            </w:pP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ascii="宋体" w:hAnsi="宋体" w:cs="宋体"/>
                <w:szCs w:val="21"/>
                <w:highlight w:val="none"/>
              </w:rPr>
            </w:pP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ascii="宋体" w:hAnsi="宋体" w:cs="宋体"/>
                <w:szCs w:val="21"/>
                <w:highlight w:val="none"/>
              </w:rPr>
            </w:pP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pPr>
              <w:spacing w:line="360" w:lineRule="auto"/>
              <w:rPr>
                <w:rFonts w:ascii="宋体" w:hAnsi="宋体" w:cs="宋体"/>
                <w:szCs w:val="21"/>
                <w:highlight w:val="none"/>
              </w:rPr>
            </w:pPr>
          </w:p>
        </w:tc>
        <w:tc>
          <w:tcPr>
            <w:tcW w:w="2039" w:type="dxa"/>
            <w:noWrap/>
            <w:vAlign w:val="center"/>
          </w:tcPr>
          <w:p>
            <w:pPr>
              <w:spacing w:line="360" w:lineRule="auto"/>
              <w:rPr>
                <w:rFonts w:ascii="宋体" w:hAnsi="宋体" w:cs="宋体"/>
                <w:szCs w:val="21"/>
                <w:highlight w:val="none"/>
              </w:rPr>
            </w:pPr>
          </w:p>
        </w:tc>
        <w:tc>
          <w:tcPr>
            <w:tcW w:w="595" w:type="dxa"/>
            <w:noWrap/>
            <w:vAlign w:val="center"/>
          </w:tcPr>
          <w:p>
            <w:pPr>
              <w:spacing w:line="360" w:lineRule="auto"/>
              <w:rPr>
                <w:rFonts w:ascii="宋体" w:hAnsi="宋体" w:cs="宋体"/>
                <w:szCs w:val="21"/>
                <w:highlight w:val="none"/>
              </w:rPr>
            </w:pPr>
          </w:p>
        </w:tc>
        <w:tc>
          <w:tcPr>
            <w:tcW w:w="564" w:type="dxa"/>
            <w:noWrap/>
            <w:vAlign w:val="center"/>
          </w:tcPr>
          <w:p>
            <w:pPr>
              <w:spacing w:line="360" w:lineRule="auto"/>
              <w:rPr>
                <w:rFonts w:ascii="宋体" w:hAnsi="宋体" w:cs="宋体"/>
                <w:szCs w:val="21"/>
                <w:highlight w:val="none"/>
              </w:rPr>
            </w:pPr>
          </w:p>
        </w:tc>
        <w:tc>
          <w:tcPr>
            <w:tcW w:w="941" w:type="dxa"/>
            <w:noWrap/>
            <w:vAlign w:val="center"/>
          </w:tcPr>
          <w:p>
            <w:pPr>
              <w:spacing w:line="360" w:lineRule="auto"/>
              <w:rPr>
                <w:rFonts w:ascii="宋体" w:hAnsi="宋体" w:cs="宋体"/>
                <w:szCs w:val="21"/>
                <w:highlight w:val="none"/>
              </w:rPr>
            </w:pPr>
          </w:p>
        </w:tc>
        <w:tc>
          <w:tcPr>
            <w:tcW w:w="1163" w:type="dxa"/>
            <w:noWrap/>
            <w:vAlign w:val="center"/>
          </w:tcPr>
          <w:p>
            <w:pPr>
              <w:spacing w:line="360" w:lineRule="auto"/>
              <w:rPr>
                <w:rFonts w:ascii="宋体" w:hAnsi="宋体" w:cs="宋体"/>
                <w:szCs w:val="21"/>
                <w:highlight w:val="none"/>
              </w:rPr>
            </w:pPr>
          </w:p>
        </w:tc>
        <w:tc>
          <w:tcPr>
            <w:tcW w:w="1317" w:type="dxa"/>
            <w:noWrap/>
            <w:vAlign w:val="center"/>
          </w:tcPr>
          <w:p>
            <w:pPr>
              <w:spacing w:line="360" w:lineRule="auto"/>
              <w:rPr>
                <w:rFonts w:ascii="宋体" w:hAnsi="宋体" w:cs="宋体"/>
                <w:szCs w:val="21"/>
                <w:highlight w:val="none"/>
              </w:rPr>
            </w:pPr>
          </w:p>
        </w:tc>
        <w:tc>
          <w:tcPr>
            <w:tcW w:w="1232" w:type="dxa"/>
            <w:tcBorders>
              <w:right w:val="single" w:color="auto" w:sz="12" w:space="0"/>
            </w:tcBorders>
            <w:noWrap/>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pPr>
              <w:spacing w:line="480" w:lineRule="exact"/>
              <w:ind w:firstLine="420" w:firstLineChars="200"/>
              <w:rPr>
                <w:rFonts w:ascii="宋体" w:hAnsi="宋体" w:cs="宋体"/>
                <w:szCs w:val="21"/>
                <w:highlight w:val="none"/>
              </w:rPr>
            </w:pPr>
            <w:r>
              <w:rPr>
                <w:rFonts w:hint="eastAsia" w:ascii="宋体" w:hAnsi="宋体" w:cs="宋体"/>
                <w:szCs w:val="21"/>
                <w:highlight w:val="none"/>
              </w:rPr>
              <w:t>说明：</w:t>
            </w:r>
          </w:p>
        </w:tc>
      </w:tr>
    </w:tbl>
    <w:p>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pPr>
        <w:pStyle w:val="2"/>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pPr>
        <w:adjustRightInd w:val="0"/>
        <w:snapToGrid w:val="0"/>
        <w:spacing w:line="440" w:lineRule="exact"/>
        <w:rPr>
          <w:rFonts w:ascii="宋体" w:hAnsi="宋体" w:cs="宋体"/>
          <w:bCs/>
          <w:szCs w:val="21"/>
          <w:highlight w:val="none"/>
        </w:rPr>
      </w:pP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日</w:t>
      </w:r>
    </w:p>
    <w:p>
      <w:pPr>
        <w:adjustRightInd w:val="0"/>
        <w:snapToGrid w:val="0"/>
        <w:spacing w:line="440" w:lineRule="exact"/>
        <w:rPr>
          <w:rFonts w:ascii="宋体" w:hAnsi="宋体" w:cs="宋体"/>
          <w:bCs/>
          <w:szCs w:val="21"/>
          <w:highlight w:val="none"/>
        </w:rPr>
      </w:pPr>
    </w:p>
    <w:p>
      <w:pPr>
        <w:snapToGrid w:val="0"/>
        <w:spacing w:line="440" w:lineRule="exact"/>
        <w:rPr>
          <w:rFonts w:ascii="宋体" w:hAnsi="宋体" w:cs="宋体"/>
          <w:szCs w:val="21"/>
          <w:highlight w:val="none"/>
        </w:rPr>
      </w:pPr>
      <w:r>
        <w:rPr>
          <w:rFonts w:hint="eastAsia" w:ascii="宋体" w:hAnsi="宋体" w:cs="宋体"/>
          <w:szCs w:val="21"/>
          <w:highlight w:val="none"/>
        </w:rPr>
        <w:t>注：1、按评分标准细则提供。</w:t>
      </w:r>
    </w:p>
    <w:p>
      <w:pPr>
        <w:ind w:firstLine="482" w:firstLineChars="200"/>
        <w:rPr>
          <w:rFonts w:ascii="宋体" w:hAnsi="宋体" w:cs="宋体"/>
          <w:b/>
          <w:sz w:val="24"/>
          <w:highlight w:val="none"/>
          <w:shd w:val="clear" w:color="auto" w:fill="FFFF00"/>
        </w:rPr>
      </w:pPr>
    </w:p>
    <w:p>
      <w:pPr>
        <w:ind w:firstLine="482" w:firstLineChars="200"/>
        <w:rPr>
          <w:rFonts w:ascii="宋体" w:hAnsi="宋体" w:cs="宋体"/>
          <w:b/>
          <w:sz w:val="24"/>
          <w:highlight w:val="none"/>
          <w:shd w:val="clear" w:color="auto" w:fill="FFFF00"/>
        </w:rPr>
      </w:pPr>
    </w:p>
    <w:p>
      <w:pPr>
        <w:ind w:firstLine="482" w:firstLineChars="200"/>
        <w:rPr>
          <w:rFonts w:ascii="宋体" w:hAnsi="宋体" w:cs="宋体"/>
          <w:b/>
          <w:sz w:val="24"/>
          <w:highlight w:val="none"/>
          <w:shd w:val="clear" w:color="auto" w:fill="FFFF00"/>
        </w:rPr>
      </w:pPr>
    </w:p>
    <w:p>
      <w:pPr>
        <w:pStyle w:val="19"/>
      </w:pPr>
    </w:p>
    <w:p>
      <w:pPr>
        <w:adjustRightInd w:val="0"/>
        <w:snapToGrid w:val="0"/>
        <w:jc w:val="left"/>
        <w:rPr>
          <w:rFonts w:ascii="宋体" w:hAnsi="宋体" w:cs="宋体"/>
          <w:sz w:val="24"/>
          <w:highlight w:val="none"/>
        </w:rPr>
      </w:pPr>
    </w:p>
    <w:p>
      <w:pPr>
        <w:adjustRightInd w:val="0"/>
        <w:snapToGrid w:val="0"/>
        <w:jc w:val="left"/>
        <w:rPr>
          <w:rFonts w:ascii="宋体" w:hAnsi="宋体" w:cs="宋体"/>
          <w:sz w:val="21"/>
          <w:szCs w:val="18"/>
          <w:highlight w:val="none"/>
        </w:rPr>
      </w:pPr>
      <w:r>
        <w:rPr>
          <w:rFonts w:hint="eastAsia" w:ascii="宋体" w:hAnsi="宋体" w:cs="宋体"/>
          <w:sz w:val="21"/>
          <w:szCs w:val="18"/>
          <w:highlight w:val="none"/>
          <w:lang w:val="en-US" w:eastAsia="zh-CN"/>
        </w:rPr>
        <w:t>11.</w:t>
      </w:r>
      <w:r>
        <w:rPr>
          <w:rFonts w:hint="eastAsia" w:ascii="宋体" w:hAnsi="宋体" w:cs="宋体"/>
          <w:sz w:val="21"/>
          <w:szCs w:val="18"/>
          <w:highlight w:val="none"/>
        </w:rPr>
        <w:t>项目负责人一览表</w:t>
      </w:r>
    </w:p>
    <w:p>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pPr>
        <w:spacing w:line="360" w:lineRule="auto"/>
        <w:ind w:right="658"/>
        <w:rPr>
          <w:rFonts w:ascii="宋体" w:hAnsi="宋体" w:cs="宋体"/>
          <w:sz w:val="24"/>
          <w:highlight w:val="none"/>
        </w:rPr>
      </w:pPr>
    </w:p>
    <w:p>
      <w:pPr>
        <w:spacing w:line="360" w:lineRule="auto"/>
        <w:ind w:right="658"/>
        <w:rPr>
          <w:rFonts w:hint="eastAsia" w:ascii="宋体" w:hAnsi="宋体" w:eastAsia="宋体" w:cs="宋体"/>
          <w:sz w:val="24"/>
          <w:highlight w:val="none"/>
          <w:lang w:eastAsia="zh-CN"/>
        </w:rPr>
      </w:pPr>
      <w:r>
        <w:rPr>
          <w:rFonts w:hint="eastAsia" w:ascii="宋体" w:hAnsi="宋体" w:cs="宋体"/>
          <w:sz w:val="24"/>
          <w:highlight w:val="none"/>
        </w:rPr>
        <w:t>项目名称：</w:t>
      </w:r>
    </w:p>
    <w:p>
      <w:pPr>
        <w:spacing w:line="360" w:lineRule="auto"/>
        <w:ind w:right="658"/>
        <w:rPr>
          <w:rFonts w:ascii="宋体" w:hAnsi="宋体" w:cs="宋体"/>
          <w:sz w:val="24"/>
          <w:highlight w:val="none"/>
        </w:rPr>
      </w:pPr>
      <w:r>
        <w:rPr>
          <w:rFonts w:hint="eastAsia" w:ascii="宋体" w:hAnsi="宋体" w:cs="宋体"/>
          <w:sz w:val="24"/>
          <w:highlight w:val="none"/>
        </w:rPr>
        <w:t>项目编号：</w:t>
      </w:r>
    </w:p>
    <w:tbl>
      <w:tblPr>
        <w:tblStyle w:val="20"/>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同类项目业绩情况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highlight w:val="none"/>
              </w:rPr>
            </w:pPr>
          </w:p>
        </w:tc>
      </w:tr>
    </w:tbl>
    <w:p>
      <w:pPr>
        <w:snapToGrid w:val="0"/>
        <w:spacing w:line="440" w:lineRule="exact"/>
        <w:rPr>
          <w:rFonts w:ascii="宋体" w:hAnsi="宋体" w:cs="宋体"/>
          <w:szCs w:val="21"/>
          <w:highlight w:val="none"/>
        </w:rPr>
      </w:pPr>
    </w:p>
    <w:p>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pPr>
        <w:pStyle w:val="2"/>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pPr>
        <w:adjustRightInd w:val="0"/>
        <w:snapToGrid w:val="0"/>
        <w:spacing w:line="440" w:lineRule="exact"/>
        <w:rPr>
          <w:rFonts w:ascii="宋体" w:hAnsi="宋体" w:cs="宋体"/>
          <w:bCs/>
          <w:szCs w:val="21"/>
          <w:highlight w:val="none"/>
        </w:rPr>
      </w:pP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sz w:val="24"/>
          <w:highlight w:val="none"/>
          <w:u w:val="single"/>
          <w:lang w:val="en-US" w:eastAsia="zh-CN"/>
        </w:rPr>
        <w:t xml:space="preserve">       </w:t>
      </w:r>
      <w:r>
        <w:rPr>
          <w:rFonts w:hint="eastAsia" w:ascii="宋体" w:hAnsi="宋体" w:cs="宋体"/>
          <w:bCs/>
          <w:szCs w:val="21"/>
          <w:highlight w:val="none"/>
        </w:rPr>
        <w:t>日</w:t>
      </w:r>
    </w:p>
    <w:p>
      <w:pPr>
        <w:adjustRightInd w:val="0"/>
        <w:snapToGrid w:val="0"/>
        <w:spacing w:line="440" w:lineRule="exact"/>
        <w:rPr>
          <w:rFonts w:ascii="宋体" w:hAnsi="宋体" w:cs="宋体"/>
          <w:bCs/>
          <w:szCs w:val="21"/>
          <w:highlight w:val="none"/>
        </w:rPr>
      </w:pPr>
    </w:p>
    <w:p>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注：后附符合招标文件要求的项目负责人有效的资质证书或业绩证明材料，社保缴纳证明材料（按评分要求提供）。</w:t>
      </w:r>
    </w:p>
    <w:p>
      <w:pPr>
        <w:spacing w:line="360" w:lineRule="auto"/>
        <w:ind w:right="658"/>
        <w:rPr>
          <w:rFonts w:ascii="宋体" w:hAnsi="宋体" w:cs="宋体"/>
          <w:sz w:val="24"/>
          <w:highlight w:val="none"/>
        </w:rPr>
      </w:pPr>
    </w:p>
    <w:p>
      <w:pPr>
        <w:spacing w:line="360" w:lineRule="auto"/>
        <w:ind w:right="658"/>
        <w:rPr>
          <w:rFonts w:ascii="宋体" w:hAnsi="宋体" w:cs="宋体"/>
          <w:sz w:val="24"/>
          <w:highlight w:val="none"/>
        </w:rPr>
      </w:pPr>
    </w:p>
    <w:p>
      <w:pPr>
        <w:spacing w:line="360" w:lineRule="auto"/>
        <w:ind w:right="658"/>
        <w:rPr>
          <w:rFonts w:ascii="宋体" w:hAnsi="宋体" w:cs="宋体"/>
          <w:sz w:val="24"/>
          <w:highlight w:val="none"/>
        </w:rPr>
      </w:pPr>
    </w:p>
    <w:p>
      <w:pPr>
        <w:pStyle w:val="5"/>
        <w:jc w:val="center"/>
        <w:rPr>
          <w:rFonts w:ascii="宋体" w:hAnsi="宋体" w:eastAsia="宋体" w:cs="宋体"/>
          <w:sz w:val="28"/>
          <w:szCs w:val="28"/>
          <w:highlight w:val="none"/>
        </w:rPr>
      </w:pPr>
      <w:bookmarkStart w:id="189" w:name="_Toc30195"/>
      <w:bookmarkStart w:id="190" w:name="_Toc15923"/>
      <w:bookmarkStart w:id="191" w:name="_Toc5232"/>
      <w:bookmarkStart w:id="192" w:name="_Toc13626"/>
      <w:bookmarkStart w:id="193" w:name="_Toc14504"/>
      <w:bookmarkStart w:id="194" w:name="_Toc4910"/>
      <w:bookmarkStart w:id="195" w:name="_Toc95211199"/>
      <w:r>
        <w:rPr>
          <w:rFonts w:hint="eastAsia" w:ascii="宋体" w:hAnsi="宋体" w:eastAsia="宋体" w:cs="宋体"/>
          <w:sz w:val="28"/>
          <w:szCs w:val="28"/>
          <w:highlight w:val="none"/>
        </w:rPr>
        <w:t>三、报价文件格式</w:t>
      </w:r>
      <w:bookmarkEnd w:id="189"/>
      <w:bookmarkEnd w:id="190"/>
      <w:bookmarkEnd w:id="191"/>
      <w:bookmarkEnd w:id="192"/>
      <w:bookmarkEnd w:id="193"/>
      <w:bookmarkEnd w:id="194"/>
      <w:bookmarkEnd w:id="195"/>
    </w:p>
    <w:p>
      <w:pPr>
        <w:adjustRightInd w:val="0"/>
        <w:snapToGrid w:val="0"/>
        <w:rPr>
          <w:rFonts w:ascii="宋体" w:hAnsi="宋体" w:cs="宋体"/>
          <w:bCs/>
          <w:sz w:val="24"/>
          <w:highlight w:val="none"/>
        </w:rPr>
      </w:pPr>
    </w:p>
    <w:p>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w:t>
      </w:r>
      <w:r>
        <w:rPr>
          <w:rFonts w:hint="eastAsia" w:ascii="宋体" w:hAnsi="宋体" w:cs="宋体"/>
          <w:sz w:val="24"/>
          <w:highlight w:val="none"/>
        </w:rPr>
        <w:t xml:space="preserve">报价文件封面格式： </w:t>
      </w:r>
    </w:p>
    <w:p>
      <w:pPr>
        <w:adjustRightInd w:val="0"/>
        <w:snapToGrid w:val="0"/>
        <w:rPr>
          <w:rFonts w:ascii="宋体" w:hAnsi="宋体" w:cs="宋体"/>
          <w:b/>
          <w:bCs/>
          <w:sz w:val="24"/>
          <w:highlight w:val="none"/>
        </w:rPr>
      </w:pPr>
    </w:p>
    <w:p>
      <w:pPr>
        <w:adjustRightInd w:val="0"/>
        <w:snapToGrid w:val="0"/>
        <w:jc w:val="center"/>
        <w:rPr>
          <w:rFonts w:ascii="宋体" w:hAnsi="宋体" w:cs="宋体"/>
          <w:bCs/>
          <w:sz w:val="24"/>
          <w:highlight w:val="none"/>
        </w:rPr>
      </w:pPr>
      <w:r>
        <w:rPr>
          <w:rFonts w:hint="eastAsia" w:ascii="宋体" w:hAnsi="宋体" w:cs="宋体"/>
          <w:bCs/>
          <w:sz w:val="24"/>
          <w:highlight w:val="none"/>
        </w:rPr>
        <w:t>×××（投标人名称）</w:t>
      </w:r>
    </w:p>
    <w:p>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pPr>
        <w:adjustRightInd w:val="0"/>
        <w:snapToGrid w:val="0"/>
        <w:ind w:left="2245"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lang w:eastAsia="zh-CN"/>
        </w:rPr>
        <w:t>标项：</w:t>
      </w:r>
    </w:p>
    <w:p>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pPr>
        <w:adjustRightInd w:val="0"/>
        <w:snapToGrid w:val="0"/>
        <w:jc w:val="right"/>
        <w:rPr>
          <w:rFonts w:ascii="宋体" w:hAnsi="宋体" w:cs="宋体"/>
          <w:sz w:val="24"/>
          <w:highlight w:val="none"/>
        </w:rPr>
      </w:pPr>
      <w:r>
        <w:rPr>
          <w:rFonts w:hint="eastAsia" w:ascii="宋体" w:hAnsi="宋体" w:cs="宋体"/>
          <w:sz w:val="24"/>
          <w:highlight w:val="none"/>
        </w:rPr>
        <w:t>年  月  日</w:t>
      </w:r>
    </w:p>
    <w:p>
      <w:pPr>
        <w:spacing w:line="540" w:lineRule="exact"/>
        <w:rPr>
          <w:rFonts w:ascii="宋体" w:hAnsi="宋体" w:cs="宋体"/>
          <w:sz w:val="32"/>
          <w:szCs w:val="32"/>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p>
    <w:p>
      <w:pPr>
        <w:adjustRightInd w:val="0"/>
        <w:snapToGrid w:val="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目录</w:t>
      </w:r>
    </w:p>
    <w:p>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报价文件包括：</w:t>
      </w:r>
    </w:p>
    <w:p>
      <w:pPr>
        <w:numPr>
          <w:ilvl w:val="0"/>
          <w:numId w:val="12"/>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pPr>
        <w:numPr>
          <w:ilvl w:val="0"/>
          <w:numId w:val="12"/>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val="en-US" w:eastAsia="zh-CN"/>
        </w:rPr>
        <w:t>报价明细表</w:t>
      </w:r>
      <w:r>
        <w:rPr>
          <w:rFonts w:hint="eastAsia" w:ascii="宋体" w:hAnsi="宋体" w:cs="宋体"/>
          <w:szCs w:val="21"/>
          <w:highlight w:val="none"/>
        </w:rPr>
        <w:t>（格式见附件）；</w:t>
      </w:r>
    </w:p>
    <w:p>
      <w:pPr>
        <w:numPr>
          <w:ilvl w:val="0"/>
          <w:numId w:val="12"/>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pPr>
        <w:pStyle w:val="12"/>
        <w:spacing w:before="120" w:after="120"/>
        <w:rPr>
          <w:highlight w:val="none"/>
        </w:rPr>
        <w:sectPr>
          <w:footerReference r:id="rId8" w:type="default"/>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pPr>
        <w:spacing w:line="520" w:lineRule="exact"/>
        <w:rPr>
          <w:rFonts w:ascii="宋体" w:hAnsi="宋体" w:cs="宋体"/>
          <w:sz w:val="21"/>
          <w:szCs w:val="18"/>
          <w:highlight w:val="none"/>
        </w:rPr>
      </w:pPr>
      <w:r>
        <w:rPr>
          <w:rFonts w:hint="eastAsia" w:ascii="宋体" w:hAnsi="宋体" w:cs="宋体"/>
          <w:sz w:val="21"/>
          <w:szCs w:val="18"/>
          <w:highlight w:val="none"/>
        </w:rPr>
        <w:t>3</w:t>
      </w:r>
      <w:r>
        <w:rPr>
          <w:rFonts w:hint="eastAsia" w:ascii="宋体" w:hAnsi="宋体" w:cs="宋体"/>
          <w:sz w:val="21"/>
          <w:szCs w:val="18"/>
          <w:highlight w:val="none"/>
          <w:lang w:val="en-US" w:eastAsia="zh-CN"/>
        </w:rPr>
        <w:t>.</w:t>
      </w:r>
      <w:r>
        <w:rPr>
          <w:rFonts w:hint="eastAsia" w:ascii="宋体" w:hAnsi="宋体" w:cs="宋体"/>
          <w:sz w:val="21"/>
          <w:szCs w:val="18"/>
          <w:highlight w:val="none"/>
        </w:rPr>
        <w:t>开标一览表格式</w:t>
      </w:r>
    </w:p>
    <w:p>
      <w:pPr>
        <w:spacing w:line="500" w:lineRule="exact"/>
        <w:jc w:val="center"/>
        <w:rPr>
          <w:rFonts w:hint="eastAsia" w:ascii="宋体" w:hAnsi="宋体" w:eastAsia="宋体" w:cs="宋体"/>
          <w:spacing w:val="-20"/>
          <w:szCs w:val="21"/>
          <w:highlight w:val="none"/>
          <w:lang w:eastAsia="zh-CN"/>
        </w:rPr>
      </w:pPr>
      <w:r>
        <w:rPr>
          <w:rFonts w:hint="eastAsia" w:ascii="宋体" w:hAnsi="宋体" w:cs="宋体"/>
          <w:bCs/>
          <w:sz w:val="44"/>
          <w:highlight w:val="none"/>
        </w:rPr>
        <w:t>开标一览表</w:t>
      </w:r>
    </w:p>
    <w:p>
      <w:pPr>
        <w:pStyle w:val="7"/>
        <w:tabs>
          <w:tab w:val="left" w:pos="4477"/>
        </w:tabs>
        <w:spacing w:line="400" w:lineRule="exact"/>
        <w:ind w:firstLine="0"/>
        <w:rPr>
          <w:rFonts w:hint="eastAsia" w:ascii="宋体" w:hAnsi="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2025年度安吉县水域监测评价相关技术服务采购项目</w:t>
      </w:r>
    </w:p>
    <w:p>
      <w:pPr>
        <w:rPr>
          <w:rFonts w:hint="eastAsia" w:ascii="宋体" w:hAnsi="宋体" w:eastAsia="宋体"/>
          <w:szCs w:val="21"/>
          <w:highlight w:val="none"/>
          <w:lang w:eastAsia="zh-CN"/>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TCCG202507-01</w:t>
      </w:r>
    </w:p>
    <w:p>
      <w:pPr>
        <w:pStyle w:val="2"/>
        <w:rPr>
          <w:rFonts w:hint="eastAsia"/>
          <w:lang w:eastAsia="zh-CN"/>
        </w:rPr>
      </w:pPr>
    </w:p>
    <w:tbl>
      <w:tblPr>
        <w:tblStyle w:val="20"/>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3826"/>
        <w:gridCol w:w="1711"/>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3" w:type="dxa"/>
            <w:noWrap w:val="0"/>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826" w:type="dxa"/>
            <w:noWrap w:val="0"/>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项目内容</w:t>
            </w:r>
          </w:p>
        </w:tc>
        <w:tc>
          <w:tcPr>
            <w:tcW w:w="1711" w:type="dxa"/>
            <w:noWrap w:val="0"/>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数量</w:t>
            </w:r>
          </w:p>
        </w:tc>
        <w:tc>
          <w:tcPr>
            <w:tcW w:w="2095" w:type="dxa"/>
            <w:noWrap w:val="0"/>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3" w:type="dxa"/>
            <w:noWrap w:val="0"/>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3826" w:type="dxa"/>
            <w:noWrap w:val="0"/>
            <w:vAlign w:val="center"/>
          </w:tcPr>
          <w:p>
            <w:pPr>
              <w:spacing w:line="400" w:lineRule="exact"/>
              <w:jc w:val="center"/>
              <w:rPr>
                <w:rFonts w:hint="eastAsia" w:ascii="宋体" w:hAnsi="宋体" w:eastAsia="宋体" w:cs="宋体"/>
                <w:b/>
                <w:bCs/>
                <w:color w:val="auto"/>
                <w:szCs w:val="21"/>
                <w:highlight w:val="none"/>
                <w:lang w:eastAsia="zh-CN"/>
              </w:rPr>
            </w:pPr>
            <w:r>
              <w:rPr>
                <w:rFonts w:hint="eastAsia" w:ascii="宋体" w:hAnsi="宋体"/>
                <w:szCs w:val="21"/>
                <w:highlight w:val="none"/>
                <w:lang w:eastAsia="zh-CN"/>
              </w:rPr>
              <w:t>2025年度安吉县水域监测评价相关技术服务采购项目</w:t>
            </w:r>
          </w:p>
        </w:tc>
        <w:tc>
          <w:tcPr>
            <w:tcW w:w="1711" w:type="dxa"/>
            <w:noWrap w:val="0"/>
            <w:vAlign w:val="center"/>
          </w:tcPr>
          <w:p>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1项</w:t>
            </w:r>
          </w:p>
        </w:tc>
        <w:tc>
          <w:tcPr>
            <w:tcW w:w="2095" w:type="dxa"/>
            <w:noWrap w:val="0"/>
            <w:vAlign w:val="center"/>
          </w:tcPr>
          <w:p>
            <w:pPr>
              <w:spacing w:line="400" w:lineRule="exact"/>
              <w:jc w:val="center"/>
              <w:rPr>
                <w:rFonts w:hint="eastAsia" w:ascii="宋体" w:hAnsi="宋体" w:eastAsia="宋体" w:cs="宋体"/>
                <w:b/>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805" w:type="dxa"/>
            <w:gridSpan w:val="4"/>
            <w:noWrap w:val="0"/>
            <w:vAlign w:val="center"/>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（小写）：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元</w:t>
            </w:r>
          </w:p>
          <w:p>
            <w:pPr>
              <w:spacing w:line="40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元</w:t>
            </w:r>
          </w:p>
        </w:tc>
      </w:tr>
    </w:tbl>
    <w:p>
      <w:pPr>
        <w:pStyle w:val="7"/>
        <w:tabs>
          <w:tab w:val="left" w:pos="4477"/>
        </w:tabs>
        <w:spacing w:line="400" w:lineRule="exact"/>
        <w:ind w:firstLine="0"/>
        <w:rPr>
          <w:rFonts w:hint="eastAsia" w:ascii="宋体" w:hAnsi="宋体" w:cs="宋体"/>
          <w:szCs w:val="21"/>
          <w:highlight w:val="none"/>
        </w:rPr>
      </w:pPr>
    </w:p>
    <w:p>
      <w:pPr>
        <w:pStyle w:val="12"/>
        <w:widowControl/>
        <w:numPr>
          <w:ilvl w:val="0"/>
          <w:numId w:val="13"/>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pPr>
        <w:pStyle w:val="12"/>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r>
        <w:rPr>
          <w:rFonts w:hint="eastAsia" w:hAnsi="宋体" w:cs="宋体"/>
          <w:b/>
          <w:sz w:val="21"/>
          <w:szCs w:val="21"/>
          <w:highlight w:val="none"/>
          <w:lang w:val="en-US" w:eastAsia="zh-CN"/>
        </w:rPr>
        <w:t>.</w:t>
      </w:r>
      <w:r>
        <w:rPr>
          <w:rFonts w:hint="eastAsia" w:ascii="宋体" w:hAnsi="宋体" w:eastAsia="宋体" w:cs="宋体"/>
          <w:b/>
          <w:sz w:val="21"/>
          <w:szCs w:val="21"/>
          <w:highlight w:val="none"/>
          <w:lang w:eastAsia="zh-CN"/>
        </w:rPr>
        <w:t>投标报价不得超</w:t>
      </w:r>
      <w:r>
        <w:rPr>
          <w:rFonts w:hint="eastAsia" w:hAnsi="宋体" w:cs="宋体"/>
          <w:b/>
          <w:sz w:val="21"/>
          <w:szCs w:val="21"/>
          <w:highlight w:val="none"/>
          <w:lang w:val="en-US" w:eastAsia="zh-CN"/>
        </w:rPr>
        <w:t>最高限价</w:t>
      </w:r>
      <w:r>
        <w:rPr>
          <w:rFonts w:hint="eastAsia" w:ascii="宋体" w:hAnsi="宋体" w:eastAsia="宋体" w:cs="宋体"/>
          <w:b/>
          <w:sz w:val="21"/>
          <w:szCs w:val="21"/>
          <w:highlight w:val="none"/>
          <w:lang w:eastAsia="zh-CN"/>
        </w:rPr>
        <w:t>，否则投标无效。</w:t>
      </w:r>
    </w:p>
    <w:p>
      <w:pPr>
        <w:pStyle w:val="12"/>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pPr>
        <w:pStyle w:val="12"/>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pPr>
        <w:pStyle w:val="12"/>
        <w:spacing w:before="120" w:after="120" w:line="240" w:lineRule="exact"/>
        <w:rPr>
          <w:rFonts w:hAnsi="宋体" w:cs="宋体"/>
          <w:b/>
          <w:sz w:val="21"/>
          <w:szCs w:val="21"/>
          <w:highlight w:val="none"/>
        </w:rPr>
      </w:pPr>
    </w:p>
    <w:p>
      <w:pPr>
        <w:widowControl/>
        <w:spacing w:line="460" w:lineRule="atLeast"/>
        <w:ind w:right="66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投标人全称：（盖章）</w:t>
      </w:r>
    </w:p>
    <w:p>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月   日</w:t>
      </w: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pPr>
    </w:p>
    <w:p>
      <w:pPr>
        <w:spacing w:line="500" w:lineRule="exact"/>
        <w:jc w:val="center"/>
        <w:rPr>
          <w:rFonts w:hint="eastAsia" w:ascii="宋体" w:hAnsi="宋体" w:cs="宋体"/>
          <w:bCs/>
          <w:sz w:val="44"/>
          <w:highlight w:val="none"/>
        </w:rPr>
        <w:sectPr>
          <w:pgSz w:w="11906" w:h="16838"/>
          <w:pgMar w:top="1440" w:right="1800" w:bottom="1440" w:left="1800" w:header="851" w:footer="992" w:gutter="0"/>
          <w:pgBorders>
            <w:top w:val="none" w:sz="0" w:space="0"/>
            <w:left w:val="none" w:sz="0" w:space="0"/>
            <w:bottom w:val="single" w:color="auto" w:sz="4" w:space="1"/>
            <w:right w:val="none" w:sz="0" w:space="0"/>
          </w:pgBorders>
          <w:cols w:space="425" w:num="1"/>
          <w:docGrid w:type="lines" w:linePitch="312" w:charSpace="0"/>
        </w:sect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报价明细表：</w:t>
      </w:r>
    </w:p>
    <w:p>
      <w:pPr>
        <w:spacing w:before="156" w:beforeLines="50" w:after="156" w:afterLines="50"/>
        <w:jc w:val="center"/>
        <w:rPr>
          <w:rFonts w:hint="eastAsia" w:ascii="宋体" w:hAnsi="宋体" w:eastAsia="宋体" w:cs="宋体"/>
          <w:bCs/>
          <w:color w:val="auto"/>
          <w:sz w:val="30"/>
          <w:highlight w:val="none"/>
        </w:rPr>
      </w:pPr>
      <w:r>
        <w:rPr>
          <w:rFonts w:hint="eastAsia" w:ascii="宋体" w:hAnsi="宋体" w:eastAsia="宋体" w:cs="宋体"/>
          <w:bCs/>
          <w:color w:val="auto"/>
          <w:sz w:val="30"/>
          <w:highlight w:val="none"/>
        </w:rPr>
        <w:t>报价明细表</w:t>
      </w:r>
    </w:p>
    <w:p>
      <w:pPr>
        <w:pStyle w:val="7"/>
        <w:tabs>
          <w:tab w:val="left" w:pos="4477"/>
        </w:tabs>
        <w:spacing w:line="400" w:lineRule="exact"/>
        <w:ind w:firstLine="0"/>
        <w:rPr>
          <w:rFonts w:hint="eastAsia" w:ascii="宋体" w:hAnsi="宋体" w:eastAsia="宋体" w:cs="宋体"/>
          <w:b/>
          <w:color w:val="auto"/>
          <w:szCs w:val="24"/>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2025年度安吉县水域监测评价相关技术服务采购项目</w:t>
      </w:r>
    </w:p>
    <w:p>
      <w:pPr>
        <w:pStyle w:val="7"/>
        <w:tabs>
          <w:tab w:val="left" w:pos="4477"/>
        </w:tabs>
        <w:spacing w:line="400" w:lineRule="exact"/>
        <w:ind w:firstLine="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项目编号：</w:t>
      </w:r>
      <w:r>
        <w:rPr>
          <w:rFonts w:hint="eastAsia" w:ascii="宋体" w:hAnsi="宋体" w:cs="宋体"/>
          <w:b/>
          <w:color w:val="auto"/>
          <w:szCs w:val="24"/>
          <w:highlight w:val="none"/>
          <w:lang w:eastAsia="zh-CN"/>
        </w:rPr>
        <w:t>TCCG202507-01</w:t>
      </w:r>
    </w:p>
    <w:tbl>
      <w:tblPr>
        <w:tblStyle w:val="20"/>
        <w:tblW w:w="8991" w:type="dxa"/>
        <w:tblInd w:w="0" w:type="dxa"/>
        <w:tblLayout w:type="fixed"/>
        <w:tblCellMar>
          <w:top w:w="0" w:type="dxa"/>
          <w:left w:w="108" w:type="dxa"/>
          <w:bottom w:w="0" w:type="dxa"/>
          <w:right w:w="108" w:type="dxa"/>
        </w:tblCellMar>
      </w:tblPr>
      <w:tblGrid>
        <w:gridCol w:w="1137"/>
        <w:gridCol w:w="3062"/>
        <w:gridCol w:w="1501"/>
        <w:gridCol w:w="1203"/>
        <w:gridCol w:w="930"/>
        <w:gridCol w:w="1158"/>
      </w:tblGrid>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0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内容</w:t>
            </w:r>
          </w:p>
        </w:tc>
        <w:tc>
          <w:tcPr>
            <w:tcW w:w="150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120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单价</w:t>
            </w:r>
            <w:r>
              <w:rPr>
                <w:rFonts w:hint="eastAsia" w:ascii="宋体" w:hAnsi="宋体"/>
                <w:color w:val="auto"/>
                <w:szCs w:val="21"/>
                <w:highlight w:val="none"/>
                <w:lang w:val="en-US" w:eastAsia="zh-CN"/>
              </w:rPr>
              <w:t>限价</w:t>
            </w: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投标单价</w:t>
            </w:r>
          </w:p>
        </w:tc>
        <w:tc>
          <w:tcPr>
            <w:tcW w:w="11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合计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r>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.1</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水域监测-遥感卫片（含预处理、数据传输、存储等）</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1886平方公里*4季度=7544平方公里</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15</w:t>
            </w:r>
            <w:r>
              <w:rPr>
                <w:rFonts w:hint="eastAsia" w:ascii="宋体" w:hAnsi="宋体" w:cs="宋体"/>
                <w:b w:val="0"/>
                <w:bCs w:val="0"/>
                <w:color w:val="auto"/>
                <w:szCs w:val="21"/>
                <w:lang w:val="en-US" w:eastAsia="zh-CN"/>
              </w:rPr>
              <w:t>元/平方公里</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FF0000"/>
                <w:szCs w:val="21"/>
                <w:highlight w:val="none"/>
              </w:rPr>
            </w:pPr>
          </w:p>
        </w:tc>
      </w:tr>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1.2</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水域监测-识别复核判绘</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600个</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150</w:t>
            </w:r>
            <w:r>
              <w:rPr>
                <w:rFonts w:hint="eastAsia" w:ascii="宋体" w:hAnsi="宋体" w:cs="宋体"/>
                <w:b w:val="0"/>
                <w:bCs w:val="0"/>
                <w:color w:val="auto"/>
                <w:szCs w:val="21"/>
                <w:lang w:val="en-US" w:eastAsia="zh-CN"/>
              </w:rPr>
              <w:t>元/个</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FF0000"/>
                <w:szCs w:val="21"/>
                <w:highlight w:val="none"/>
              </w:rPr>
            </w:pPr>
          </w:p>
        </w:tc>
      </w:tr>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2</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rPr>
              <w:t>执法技术鉴定</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30个</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9000</w:t>
            </w:r>
            <w:r>
              <w:rPr>
                <w:rFonts w:hint="eastAsia" w:ascii="宋体" w:hAnsi="宋体" w:cs="宋体"/>
                <w:b w:val="0"/>
                <w:bCs w:val="0"/>
                <w:color w:val="auto"/>
                <w:szCs w:val="21"/>
                <w:lang w:val="en-US" w:eastAsia="zh-CN"/>
              </w:rPr>
              <w:t>元/个</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FF0000"/>
                <w:szCs w:val="21"/>
                <w:highlight w:val="none"/>
              </w:rPr>
            </w:pPr>
          </w:p>
        </w:tc>
      </w:tr>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3</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Cs w:val="21"/>
                <w:highlight w:val="none"/>
              </w:rPr>
            </w:pPr>
            <w:r>
              <w:rPr>
                <w:rFonts w:hint="eastAsia" w:ascii="宋体" w:hAnsi="宋体" w:eastAsia="宋体" w:cs="宋体"/>
                <w:b w:val="0"/>
                <w:bCs w:val="0"/>
                <w:color w:val="auto"/>
                <w:sz w:val="21"/>
                <w:szCs w:val="21"/>
                <w:lang w:val="en-US" w:eastAsia="zh-CN"/>
              </w:rPr>
              <w:t>时点变更</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300个</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r>
              <w:rPr>
                <w:rFonts w:hint="eastAsia" w:ascii="宋体" w:hAnsi="宋体" w:eastAsia="宋体" w:cs="宋体"/>
                <w:b w:val="0"/>
                <w:bCs w:val="0"/>
                <w:color w:val="auto"/>
                <w:szCs w:val="21"/>
                <w:lang w:val="en-US" w:eastAsia="zh-CN"/>
              </w:rPr>
              <w:t>600</w:t>
            </w:r>
            <w:r>
              <w:rPr>
                <w:rFonts w:hint="eastAsia" w:ascii="宋体" w:hAnsi="宋体" w:cs="宋体"/>
                <w:b w:val="0"/>
                <w:bCs w:val="0"/>
                <w:color w:val="auto"/>
                <w:szCs w:val="21"/>
                <w:lang w:val="en-US" w:eastAsia="zh-CN"/>
              </w:rPr>
              <w:t>元/个</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FF0000"/>
                <w:szCs w:val="21"/>
                <w:highlight w:val="none"/>
              </w:rPr>
            </w:pPr>
          </w:p>
        </w:tc>
      </w:tr>
      <w:tr>
        <w:tblPrEx>
          <w:tblCellMar>
            <w:top w:w="0" w:type="dxa"/>
            <w:left w:w="108" w:type="dxa"/>
            <w:bottom w:w="0" w:type="dxa"/>
            <w:right w:w="108" w:type="dxa"/>
          </w:tblCellMar>
        </w:tblPrEx>
        <w:trPr>
          <w:trHeight w:val="545" w:hRule="atLeast"/>
        </w:trPr>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 w:val="21"/>
                <w:szCs w:val="21"/>
                <w:lang w:val="en-US" w:eastAsia="zh-CN"/>
              </w:rPr>
              <w:t>4</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变更调查报告</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1项</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27000</w:t>
            </w:r>
            <w:r>
              <w:rPr>
                <w:rFonts w:hint="eastAsia" w:ascii="宋体" w:hAnsi="宋体" w:cs="宋体"/>
                <w:b w:val="0"/>
                <w:bCs w:val="0"/>
                <w:color w:val="auto"/>
                <w:szCs w:val="21"/>
                <w:lang w:val="en-US" w:eastAsia="zh-CN"/>
              </w:rPr>
              <w:t>元/项</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auto"/>
                <w:szCs w:val="21"/>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color w:val="FF0000"/>
                <w:szCs w:val="21"/>
                <w:highlight w:val="none"/>
              </w:rPr>
            </w:pPr>
          </w:p>
        </w:tc>
      </w:tr>
      <w:tr>
        <w:tblPrEx>
          <w:tblCellMar>
            <w:top w:w="0" w:type="dxa"/>
            <w:left w:w="108" w:type="dxa"/>
            <w:bottom w:w="0" w:type="dxa"/>
            <w:right w:w="108" w:type="dxa"/>
          </w:tblCellMar>
        </w:tblPrEx>
        <w:trPr>
          <w:trHeight w:val="571" w:hRule="atLeast"/>
        </w:trPr>
        <w:tc>
          <w:tcPr>
            <w:tcW w:w="7833"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color w:val="auto"/>
                <w:szCs w:val="21"/>
                <w:highlight w:val="none"/>
              </w:rPr>
            </w:pPr>
            <w:r>
              <w:rPr>
                <w:rFonts w:hint="eastAsia" w:ascii="宋体" w:hAnsi="宋体"/>
                <w:color w:val="auto"/>
                <w:szCs w:val="21"/>
                <w:highlight w:val="none"/>
              </w:rPr>
              <w:t>合计金额（应与开标一览表总价相一致）</w:t>
            </w:r>
          </w:p>
        </w:tc>
        <w:tc>
          <w:tcPr>
            <w:tcW w:w="115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color w:val="auto"/>
                <w:szCs w:val="21"/>
                <w:highlight w:val="none"/>
              </w:rPr>
            </w:pPr>
          </w:p>
        </w:tc>
      </w:tr>
    </w:tbl>
    <w:p>
      <w:pPr>
        <w:spacing w:line="360" w:lineRule="exact"/>
        <w:rPr>
          <w:rFonts w:hint="eastAsia" w:ascii="宋体" w:hAnsi="宋体" w:eastAsia="宋体" w:cs="宋体"/>
          <w:color w:val="auto"/>
          <w:highlight w:val="none"/>
        </w:rPr>
      </w:pPr>
    </w:p>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（盖章）：</w:t>
      </w:r>
    </w:p>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授权代表（签字）：</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pStyle w:val="2"/>
        <w:rPr>
          <w:rFonts w:hint="eastAsia"/>
          <w:color w:val="auto"/>
        </w:rPr>
      </w:pPr>
    </w:p>
    <w:p>
      <w:pPr>
        <w:numPr>
          <w:ilvl w:val="0"/>
          <w:numId w:val="0"/>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注：1、最终合计金额必须包括实施本项目所需的一切费用，并与开标一览表中总价相一致。</w:t>
      </w:r>
    </w:p>
    <w:p>
      <w:pPr>
        <w:pStyle w:val="41"/>
        <w:numPr>
          <w:ilvl w:val="0"/>
          <w:numId w:val="0"/>
        </w:numPr>
        <w:spacing w:line="360" w:lineRule="auto"/>
        <w:ind w:left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2、投标报价应包括服务内容、人工、机械、材料、保险、税金、安装、培训、售后服务费、专家评审费、税费、利润等一切以及实施本项目所需的其他一切费用。</w:t>
      </w:r>
    </w:p>
    <w:p>
      <w:pPr>
        <w:spacing w:line="440" w:lineRule="exact"/>
        <w:rPr>
          <w:rFonts w:hint="eastAsia" w:ascii="宋体" w:hAnsi="宋体" w:eastAsia="宋体" w:cs="宋体"/>
          <w:color w:val="auto"/>
          <w:szCs w:val="21"/>
          <w:highlight w:val="none"/>
        </w:rPr>
      </w:pPr>
    </w:p>
    <w:p>
      <w:pPr>
        <w:pStyle w:val="2"/>
        <w:rPr>
          <w:rFonts w:hint="eastAsia"/>
        </w:rPr>
      </w:pPr>
    </w:p>
    <w:p>
      <w:pPr>
        <w:spacing w:line="500" w:lineRule="exact"/>
        <w:jc w:val="center"/>
        <w:rPr>
          <w:rFonts w:hint="eastAsia" w:ascii="宋体" w:hAnsi="宋体" w:cs="宋体"/>
          <w:bCs/>
          <w:sz w:val="44"/>
          <w:highlight w:val="none"/>
        </w:rPr>
      </w:pPr>
    </w:p>
    <w:bookmarkEnd w:id="170"/>
    <w:bookmarkEnd w:id="171"/>
    <w:p>
      <w:pPr>
        <w:snapToGrid w:val="0"/>
        <w:rPr>
          <w:rFonts w:hint="eastAsia" w:ascii="宋体" w:hAnsi="宋体" w:cs="宋体"/>
          <w:b/>
          <w:color w:val="auto"/>
          <w:szCs w:val="21"/>
          <w:highlight w:val="none"/>
          <w:u w:val="single"/>
        </w:rPr>
      </w:pPr>
      <w:bookmarkStart w:id="196" w:name="_Toc31956"/>
      <w:bookmarkStart w:id="197" w:name="_Toc530041770"/>
      <w:bookmarkStart w:id="198" w:name="_Toc8807242"/>
      <w:bookmarkStart w:id="199" w:name="_Toc27716"/>
      <w:bookmarkStart w:id="200" w:name="_Toc526960898"/>
      <w:bookmarkStart w:id="201" w:name="_Toc17729"/>
      <w:bookmarkStart w:id="202" w:name="_Toc2464"/>
    </w:p>
    <w:bookmarkEnd w:id="196"/>
    <w:bookmarkEnd w:id="197"/>
    <w:bookmarkEnd w:id="198"/>
    <w:bookmarkEnd w:id="199"/>
    <w:bookmarkEnd w:id="200"/>
    <w:p>
      <w:pPr>
        <w:adjustRightInd w:val="0"/>
        <w:snapToGrid w:val="0"/>
        <w:jc w:val="center"/>
        <w:rPr>
          <w:rFonts w:hint="eastAsia" w:ascii="宋体" w:hAnsi="宋体" w:cs="宋体"/>
          <w:b/>
          <w:sz w:val="44"/>
          <w:szCs w:val="44"/>
          <w:highlight w:val="none"/>
        </w:rPr>
        <w:sectPr>
          <w:pgSz w:w="11906" w:h="16838"/>
          <w:pgMar w:top="1440" w:right="1800" w:bottom="1440" w:left="1800" w:header="851" w:footer="992" w:gutter="0"/>
          <w:pgBorders>
            <w:top w:val="none" w:sz="0" w:space="0"/>
            <w:left w:val="none" w:sz="0" w:space="0"/>
            <w:bottom w:val="single" w:color="auto" w:sz="4" w:space="1"/>
            <w:right w:val="none" w:sz="0" w:space="0"/>
          </w:pgBorders>
          <w:cols w:space="425" w:num="1"/>
          <w:docGrid w:type="lines" w:linePitch="312" w:charSpace="0"/>
        </w:sectPr>
      </w:pPr>
    </w:p>
    <w:p>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五、其他文书、文件格式</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评分表格式（评分内容参见第四章）</w:t>
      </w:r>
    </w:p>
    <w:p>
      <w:pPr>
        <w:jc w:val="center"/>
        <w:rPr>
          <w:rFonts w:ascii="宋体" w:hAnsi="宋体" w:cs="宋体"/>
          <w:sz w:val="32"/>
          <w:szCs w:val="32"/>
          <w:highlight w:val="none"/>
        </w:rPr>
      </w:pPr>
      <w:r>
        <w:rPr>
          <w:rFonts w:hint="eastAsia" w:ascii="宋体" w:hAnsi="宋体" w:cs="宋体"/>
          <w:sz w:val="32"/>
          <w:szCs w:val="32"/>
          <w:highlight w:val="none"/>
        </w:rPr>
        <w:t>采购项目评分表</w:t>
      </w:r>
    </w:p>
    <w:p>
      <w:pPr>
        <w:spacing w:line="440" w:lineRule="exact"/>
        <w:rPr>
          <w:rFonts w:ascii="宋体" w:hAnsi="宋体" w:cs="宋体"/>
          <w:szCs w:val="21"/>
          <w:highlight w:val="none"/>
        </w:rPr>
      </w:pPr>
      <w:r>
        <w:rPr>
          <w:rFonts w:hint="eastAsia" w:ascii="宋体" w:hAnsi="宋体" w:cs="宋体"/>
          <w:szCs w:val="21"/>
          <w:highlight w:val="none"/>
        </w:rPr>
        <w:t xml:space="preserve">投标人名称： </w:t>
      </w:r>
    </w:p>
    <w:p>
      <w:pPr>
        <w:rPr>
          <w:rFonts w:ascii="宋体" w:hAnsi="宋体" w:cs="宋体"/>
          <w:szCs w:val="21"/>
          <w:highlight w:val="none"/>
        </w:rPr>
      </w:pPr>
      <w:r>
        <w:rPr>
          <w:rFonts w:hint="eastAsia" w:ascii="宋体" w:hAnsi="宋体" w:cs="宋体"/>
          <w:szCs w:val="21"/>
          <w:highlight w:val="none"/>
        </w:rPr>
        <w:t xml:space="preserve">项目编号：  </w:t>
      </w:r>
    </w:p>
    <w:tbl>
      <w:tblPr>
        <w:tblStyle w:val="20"/>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49"/>
        <w:gridCol w:w="787"/>
        <w:gridCol w:w="888"/>
        <w:gridCol w:w="761"/>
        <w:gridCol w:w="822"/>
        <w:gridCol w:w="83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620"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r>
              <w:rPr>
                <w:rFonts w:hint="eastAsia" w:ascii="宋体" w:hAnsi="宋体" w:cs="宋体"/>
                <w:szCs w:val="21"/>
                <w:highlight w:val="none"/>
              </w:rPr>
              <w:t>评标内容及分值</w:t>
            </w:r>
          </w:p>
        </w:tc>
        <w:tc>
          <w:tcPr>
            <w:tcW w:w="2436" w:type="dxa"/>
            <w:gridSpan w:val="3"/>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r>
              <w:rPr>
                <w:rFonts w:hint="eastAsia" w:ascii="宋体" w:hAnsi="宋体" w:cs="宋体"/>
                <w:szCs w:val="21"/>
                <w:highlight w:val="none"/>
              </w:rPr>
              <w:t>投标人自评栏</w:t>
            </w:r>
          </w:p>
        </w:tc>
        <w:tc>
          <w:tcPr>
            <w:tcW w:w="2522" w:type="dxa"/>
            <w:gridSpan w:val="3"/>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r>
              <w:rPr>
                <w:rFonts w:hint="eastAsia" w:ascii="宋体" w:hAnsi="宋体" w:cs="宋体"/>
                <w:szCs w:val="21"/>
                <w:highlight w:val="none"/>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620" w:type="dxa"/>
            <w:gridSpan w:val="2"/>
            <w:vMerge w:val="continue"/>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响应</w:t>
            </w:r>
          </w:p>
          <w:p>
            <w:pPr>
              <w:rPr>
                <w:rFonts w:ascii="宋体" w:hAnsi="宋体" w:cs="宋体"/>
                <w:szCs w:val="21"/>
                <w:highlight w:val="none"/>
              </w:rPr>
            </w:pPr>
            <w:r>
              <w:rPr>
                <w:rFonts w:hint="eastAsia" w:ascii="宋体" w:hAnsi="宋体" w:cs="宋体"/>
                <w:szCs w:val="21"/>
                <w:highlight w:val="none"/>
              </w:rPr>
              <w:t>程度</w:t>
            </w:r>
          </w:p>
        </w:tc>
        <w:tc>
          <w:tcPr>
            <w:tcW w:w="88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响应文件页码</w:t>
            </w:r>
          </w:p>
        </w:tc>
        <w:tc>
          <w:tcPr>
            <w:tcW w:w="76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自评分</w:t>
            </w:r>
          </w:p>
        </w:tc>
        <w:tc>
          <w:tcPr>
            <w:tcW w:w="82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专家</w:t>
            </w:r>
          </w:p>
          <w:p>
            <w:pPr>
              <w:rPr>
                <w:rFonts w:ascii="宋体" w:hAnsi="宋体" w:cs="宋体"/>
                <w:szCs w:val="21"/>
                <w:highlight w:val="none"/>
              </w:rPr>
            </w:pPr>
            <w:r>
              <w:rPr>
                <w:rFonts w:hint="eastAsia" w:ascii="宋体" w:hAnsi="宋体" w:cs="宋体"/>
                <w:szCs w:val="21"/>
                <w:highlight w:val="none"/>
              </w:rPr>
              <w:t>评定分</w:t>
            </w:r>
          </w:p>
        </w:tc>
        <w:tc>
          <w:tcPr>
            <w:tcW w:w="83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偏离</w:t>
            </w:r>
          </w:p>
          <w:p>
            <w:pPr>
              <w:rPr>
                <w:rFonts w:ascii="宋体" w:hAnsi="宋体" w:cs="宋体"/>
                <w:szCs w:val="21"/>
                <w:highlight w:val="none"/>
              </w:rPr>
            </w:pPr>
            <w:r>
              <w:rPr>
                <w:rFonts w:hint="eastAsia" w:ascii="宋体" w:hAnsi="宋体" w:cs="宋体"/>
                <w:szCs w:val="21"/>
                <w:highlight w:val="none"/>
              </w:rPr>
              <w:t>情况</w:t>
            </w:r>
          </w:p>
        </w:tc>
        <w:tc>
          <w:tcPr>
            <w:tcW w:w="86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扣分</w:t>
            </w:r>
          </w:p>
          <w:p>
            <w:pPr>
              <w:rPr>
                <w:rFonts w:ascii="宋体" w:hAnsi="宋体" w:cs="宋体"/>
                <w:szCs w:val="21"/>
                <w:highlight w:val="none"/>
              </w:rPr>
            </w:pPr>
            <w:r>
              <w:rPr>
                <w:rFonts w:hint="eastAsia" w:ascii="宋体" w:hAnsi="宋体" w:cs="宋体"/>
                <w:szCs w:val="21"/>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r>
              <w:rPr>
                <w:rFonts w:hint="eastAsia" w:ascii="宋体" w:hAnsi="宋体" w:cs="宋体"/>
                <w:szCs w:val="21"/>
                <w:highlight w:val="none"/>
              </w:rPr>
              <w:t>价格分（分）</w:t>
            </w:r>
          </w:p>
        </w:tc>
        <w:tc>
          <w:tcPr>
            <w:tcW w:w="787" w:type="dxa"/>
            <w:tcBorders>
              <w:top w:val="single" w:color="auto" w:sz="4" w:space="0"/>
              <w:left w:val="single" w:color="auto" w:sz="4" w:space="0"/>
              <w:bottom w:val="single" w:color="auto" w:sz="4" w:space="0"/>
              <w:right w:val="single" w:color="auto" w:sz="4" w:space="0"/>
              <w:tr2bl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r2bl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r2bl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1"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2849" w:type="dxa"/>
            <w:tcBorders>
              <w:top w:val="single" w:color="auto" w:sz="4" w:space="0"/>
              <w:left w:val="single" w:color="auto" w:sz="4" w:space="0"/>
              <w:bottom w:val="single" w:color="auto" w:sz="4" w:space="0"/>
              <w:right w:val="single" w:color="auto" w:sz="4" w:space="0"/>
            </w:tcBorders>
            <w:noWrap/>
            <w:vAlign w:val="center"/>
          </w:tcPr>
          <w:p>
            <w:pPr>
              <w:ind w:left="16" w:hanging="16"/>
              <w:rPr>
                <w:rFonts w:ascii="宋体" w:hAnsi="宋体" w:cs="宋体"/>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71" w:type="dxa"/>
            <w:vMerge w:val="continue"/>
            <w:tcBorders>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284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afterLines="50"/>
              <w:textAlignment w:val="baseline"/>
              <w:rPr>
                <w:rFonts w:ascii="宋体" w:hAnsi="宋体" w:cs="宋体"/>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71" w:type="dxa"/>
            <w:vMerge w:val="continue"/>
            <w:tcBorders>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adjustRightInd w:val="0"/>
              <w:spacing w:beforeLines="50" w:afterLines="50"/>
              <w:textAlignment w:val="baseline"/>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71" w:type="dxa"/>
            <w:vMerge w:val="restart"/>
            <w:tcBorders>
              <w:left w:val="single" w:color="auto" w:sz="4" w:space="0"/>
              <w:right w:val="single" w:color="auto" w:sz="4" w:space="0"/>
            </w:tcBorders>
            <w:noWrap/>
            <w:vAlign w:val="center"/>
          </w:tcPr>
          <w:p>
            <w:pPr>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71" w:type="dxa"/>
            <w:vMerge w:val="continue"/>
            <w:tcBorders>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adjustRightInd w:val="0"/>
              <w:spacing w:beforeLines="50" w:afterLines="50"/>
              <w:jc w:val="center"/>
              <w:textAlignment w:val="baseline"/>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71" w:type="dxa"/>
            <w:vMerge w:val="continue"/>
            <w:tcBorders>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adjustRightInd w:val="0"/>
              <w:spacing w:beforeLines="50" w:afterLines="50"/>
              <w:jc w:val="center"/>
              <w:textAlignment w:val="baseline"/>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71"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Merge w:val="continue"/>
            <w:tcBorders>
              <w:left w:val="single" w:color="auto" w:sz="4" w:space="0"/>
              <w:right w:val="single" w:color="auto" w:sz="4" w:space="0"/>
            </w:tcBorders>
            <w:noWrap/>
            <w:vAlign w:val="center"/>
          </w:tcPr>
          <w:p>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noWrap/>
            <w:vAlign w:val="center"/>
          </w:tcPr>
          <w:p>
            <w:pPr>
              <w:adjustRightInd w:val="0"/>
              <w:spacing w:beforeLines="50" w:afterLines="50"/>
              <w:jc w:val="center"/>
              <w:textAlignment w:val="baseline"/>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continue"/>
            <w:tcBorders>
              <w:left w:val="single" w:color="auto" w:sz="4" w:space="0"/>
              <w:right w:val="single" w:color="auto" w:sz="4" w:space="0"/>
            </w:tcBorders>
            <w:noWrap/>
            <w:vAlign w:val="center"/>
          </w:tcPr>
          <w:p>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1" w:type="dxa"/>
            <w:vMerge w:val="restart"/>
            <w:tcBorders>
              <w:left w:val="single" w:color="auto" w:sz="4" w:space="0"/>
              <w:right w:val="single" w:color="auto" w:sz="4" w:space="0"/>
            </w:tcBorders>
            <w:noWrap/>
            <w:vAlign w:val="center"/>
          </w:tcPr>
          <w:p>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1" w:type="dxa"/>
            <w:vMerge w:val="continue"/>
            <w:tcBorders>
              <w:left w:val="single" w:color="auto" w:sz="4" w:space="0"/>
              <w:right w:val="single" w:color="auto" w:sz="4" w:space="0"/>
            </w:tcBorders>
            <w:noWrap/>
            <w:vAlign w:val="center"/>
          </w:tcPr>
          <w:p>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noWrap/>
            <w:vAlign w:val="center"/>
          </w:tcPr>
          <w:p>
            <w:pP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1" w:type="dxa"/>
            <w:vMerge w:val="continue"/>
            <w:tcBorders>
              <w:left w:val="single" w:color="auto" w:sz="4" w:space="0"/>
              <w:right w:val="single" w:color="auto" w:sz="4" w:space="0"/>
            </w:tcBorders>
            <w:noWrap/>
            <w:vAlign w:val="center"/>
          </w:tcPr>
          <w:p>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noWrap/>
            <w:vAlign w:val="center"/>
          </w:tcPr>
          <w:p>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noWrap/>
            <w:vAlign w:val="center"/>
          </w:tcPr>
          <w:p>
            <w:pPr>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620" w:type="dxa"/>
            <w:gridSpan w:val="2"/>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r>
              <w:rPr>
                <w:rFonts w:hint="eastAsia" w:ascii="宋体" w:hAnsi="宋体" w:cs="宋体"/>
                <w:szCs w:val="21"/>
                <w:highlight w:val="none"/>
              </w:rPr>
              <w:t>合计得分</w:t>
            </w:r>
          </w:p>
        </w:tc>
        <w:tc>
          <w:tcPr>
            <w:tcW w:w="243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s="宋体"/>
                <w:szCs w:val="21"/>
                <w:highlight w:val="none"/>
              </w:rPr>
            </w:pPr>
          </w:p>
        </w:tc>
        <w:tc>
          <w:tcPr>
            <w:tcW w:w="1700"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pPr>
              <w:ind w:firstLine="420" w:firstLineChars="200"/>
              <w:rPr>
                <w:rFonts w:ascii="宋体" w:hAnsi="宋体" w:cs="宋体"/>
                <w:szCs w:val="21"/>
                <w:highlight w:val="none"/>
              </w:rPr>
            </w:pPr>
          </w:p>
        </w:tc>
      </w:tr>
    </w:tbl>
    <w:p>
      <w:pPr>
        <w:rPr>
          <w:rFonts w:ascii="宋体" w:hAnsi="宋体" w:cs="宋体"/>
          <w:highlight w:val="none"/>
        </w:rPr>
      </w:pPr>
      <w:r>
        <w:rPr>
          <w:rFonts w:hint="eastAsia" w:ascii="宋体" w:hAnsi="宋体" w:cs="宋体"/>
          <w:highlight w:val="none"/>
        </w:rPr>
        <w:t>本表格需参照第四章评分条款，认真填写，并附在</w:t>
      </w:r>
      <w:r>
        <w:rPr>
          <w:rFonts w:hint="eastAsia" w:ascii="宋体" w:hAnsi="宋体" w:cs="宋体"/>
          <w:highlight w:val="none"/>
          <w:lang w:eastAsia="zh-CN"/>
        </w:rPr>
        <w:t>商务技术文件</w:t>
      </w:r>
      <w:r>
        <w:rPr>
          <w:rFonts w:hint="eastAsia" w:ascii="宋体" w:hAnsi="宋体" w:cs="宋体"/>
          <w:highlight w:val="none"/>
        </w:rPr>
        <w:t>目录后，方便评委评分时核对</w:t>
      </w:r>
    </w:p>
    <w:bookmarkEnd w:id="201"/>
    <w:bookmarkEnd w:id="202"/>
    <w:p>
      <w:pPr>
        <w:adjustRightInd w:val="0"/>
        <w:snapToGrid w:val="0"/>
        <w:spacing w:line="360" w:lineRule="auto"/>
        <w:jc w:val="left"/>
        <w:rPr>
          <w:rFonts w:hint="eastAsia" w:eastAsia="宋体"/>
          <w:highlight w:val="none"/>
          <w:lang w:eastAsia="zh-CN"/>
        </w:rPr>
      </w:pPr>
      <w:r>
        <w:rPr>
          <w:rFonts w:hint="eastAsia" w:ascii="宋体" w:hAnsi="宋体" w:cs="宋体"/>
          <w:b/>
          <w:bCs/>
          <w:i/>
          <w:iCs/>
          <w:sz w:val="24"/>
          <w:highlight w:val="none"/>
        </w:rPr>
        <w:t>招标文件无格式但需要提供的资料或者影响投标人得分以及资格认定的资料请投标人另行自拟添加</w:t>
      </w:r>
      <w:r>
        <w:rPr>
          <w:rFonts w:hint="eastAsia" w:ascii="宋体" w:hAnsi="宋体" w:cs="宋体"/>
          <w:b/>
          <w:bCs/>
          <w:i/>
          <w:iCs/>
          <w:sz w:val="24"/>
          <w:highlight w:val="none"/>
          <w:lang w:eastAsia="zh-CN"/>
        </w:rPr>
        <w:t>。</w:t>
      </w:r>
    </w:p>
    <w:sectPr>
      <w:pgSz w:w="11906" w:h="16838"/>
      <w:pgMar w:top="1440" w:right="1800" w:bottom="1440" w:left="1800" w:header="851" w:footer="992" w:gutter="0"/>
      <w:pgBorders>
        <w:top w:val="none" w:sz="0" w:space="0"/>
        <w:left w:val="none" w:sz="0" w:space="0"/>
        <w:bottom w:val="single" w:color="auto" w:sz="4" w:space="1"/>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5D5C64-4070-4425-BB1F-1E8DCB4164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843256-5D14-4137-A19D-6D3DFA7E2C9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30A49DE2-F3A2-409B-8096-DE0C15EF0321}"/>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embedRegular r:id="rId4" w:fontKey="{6E66B783-71F8-4341-9DDC-1B5E09BFAC8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eastAsia="zh-CN"/>
      </w:rPr>
      <w:t>浙江天册工程管理有限公司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ind w:right="360" w:rightChars="0"/>
      <w:jc w:val="both"/>
      <w:rPr>
        <w:rFonts w:hint="eastAsia" w:eastAsia="宋体"/>
        <w:i/>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Style w:val="24"/>
                            </w:rPr>
                          </w:pPr>
                          <w:r>
                            <w:fldChar w:fldCharType="begin"/>
                          </w:r>
                          <w:r>
                            <w:rPr>
                              <w:rStyle w:val="24"/>
                            </w:rPr>
                            <w:instrText xml:space="preserve">PAGE  </w:instrText>
                          </w:r>
                          <w:r>
                            <w:fldChar w:fldCharType="separate"/>
                          </w:r>
                          <w:r>
                            <w:rPr>
                              <w:rStyle w:val="24"/>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pPr>
                      <w:pStyle w:val="14"/>
                      <w:rPr>
                        <w:rStyle w:val="24"/>
                      </w:rPr>
                    </w:pPr>
                    <w:r>
                      <w:fldChar w:fldCharType="begin"/>
                    </w:r>
                    <w:r>
                      <w:rPr>
                        <w:rStyle w:val="24"/>
                      </w:rPr>
                      <w:instrText xml:space="preserve">PAGE  </w:instrText>
                    </w:r>
                    <w:r>
                      <w:fldChar w:fldCharType="separate"/>
                    </w:r>
                    <w:r>
                      <w:rPr>
                        <w:rStyle w:val="24"/>
                      </w:rPr>
                      <w:t>67</w:t>
                    </w:r>
                    <w:r>
                      <w:fldChar w:fldCharType="end"/>
                    </w:r>
                  </w:p>
                </w:txbxContent>
              </v:textbox>
            </v:shape>
          </w:pict>
        </mc:Fallback>
      </mc:AlternateContent>
    </w:r>
    <w:r>
      <w:rPr>
        <w:rFonts w:hint="eastAsia"/>
        <w:i/>
        <w:lang w:eastAsia="zh-CN"/>
      </w:rPr>
      <w:t>浙江天册工程管理有限公司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fldChar w:fldCharType="begin"/>
    </w:r>
    <w:r>
      <w:rPr>
        <w:rStyle w:val="24"/>
      </w:rPr>
      <w:instrText xml:space="preserve">PAGE  </w:instrText>
    </w:r>
    <w:r>
      <w:fldChar w:fldCharType="end"/>
    </w:r>
  </w:p>
  <w:p>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ind w:right="360" w:rightChars="0"/>
      <w:jc w:val="both"/>
      <w:rPr>
        <w:rFonts w:hint="eastAsia" w:eastAsia="宋体"/>
        <w:i/>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Style w:val="24"/>
                            </w:rPr>
                          </w:pPr>
                          <w:r>
                            <w:fldChar w:fldCharType="begin"/>
                          </w:r>
                          <w:r>
                            <w:rPr>
                              <w:rStyle w:val="24"/>
                            </w:rPr>
                            <w:instrText xml:space="preserve">PAGE  </w:instrText>
                          </w:r>
                          <w:r>
                            <w:fldChar w:fldCharType="separate"/>
                          </w:r>
                          <w:r>
                            <w:rPr>
                              <w:rStyle w:val="24"/>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DC&#10;ksKf7AEAANYDAAAOAAAAAAAAAAEAIAAAACIBAABkcnMvZTJvRG9jLnhtbFBLBQYAAAAABgAGAFkB&#10;AACABQAAAAA=&#10;">
              <v:fill on="f" focussize="0,0"/>
              <v:stroke on="f" weight="1.25pt"/>
              <v:imagedata o:title=""/>
              <o:lock v:ext="edit" aspectratio="f"/>
              <v:textbox inset="0mm,0mm,0mm,0mm" style="mso-fit-shape-to-text:t;">
                <w:txbxContent>
                  <w:p>
                    <w:pPr>
                      <w:pStyle w:val="14"/>
                      <w:rPr>
                        <w:rStyle w:val="24"/>
                      </w:rPr>
                    </w:pPr>
                    <w:r>
                      <w:fldChar w:fldCharType="begin"/>
                    </w:r>
                    <w:r>
                      <w:rPr>
                        <w:rStyle w:val="24"/>
                      </w:rPr>
                      <w:instrText xml:space="preserve">PAGE  </w:instrText>
                    </w:r>
                    <w:r>
                      <w:fldChar w:fldCharType="separate"/>
                    </w:r>
                    <w:r>
                      <w:rPr>
                        <w:rStyle w:val="24"/>
                      </w:rPr>
                      <w:t>67</w:t>
                    </w:r>
                    <w:r>
                      <w:fldChar w:fldCharType="end"/>
                    </w:r>
                  </w:p>
                </w:txbxContent>
              </v:textbox>
            </v:shape>
          </w:pict>
        </mc:Fallback>
      </mc:AlternateContent>
    </w:r>
    <w:r>
      <w:rPr>
        <w:rFonts w:hint="eastAsia"/>
        <w:i/>
        <w:lang w:eastAsia="zh-CN"/>
      </w:rPr>
      <w:t>浙江天册工程管理有限公司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rPr>
        <w:rFonts w:hint="eastAsia"/>
        <w:lang w:val="en-US" w:eastAsia="zh-CN"/>
      </w:rPr>
      <w:t>2025年度安吉县水域监测评价相关技术服务采购项目</w:t>
    </w:r>
    <w:r>
      <w:rPr>
        <w:rFonts w:hint="eastAsia"/>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single" w:color="auto" w:sz="4" w:space="1"/>
        <w:right w:val="none" w:color="auto" w:sz="0" w:space="4"/>
        <w:between w:val="none" w:color="auto" w:sz="0" w:space="0"/>
      </w:pBdr>
      <w:wordWrap w:val="0"/>
      <w:snapToGrid w:val="0"/>
      <w:jc w:val="right"/>
      <w:rPr>
        <w:i/>
        <w:color w:val="000000"/>
        <w:sz w:val="16"/>
        <w:szCs w:val="15"/>
      </w:rPr>
    </w:pPr>
    <w:r>
      <w:rPr>
        <w:rFonts w:hint="eastAsia"/>
        <w:i/>
        <w:iCs/>
        <w:lang w:eastAsia="zh-CN"/>
      </w:rPr>
      <w:t>2025年度安吉县水域监测评价相关技术服务采购项目采购项目</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893FE"/>
    <w:multiLevelType w:val="multilevel"/>
    <w:tmpl w:val="D20893FE"/>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EEDF682C"/>
    <w:multiLevelType w:val="multilevel"/>
    <w:tmpl w:val="EEDF682C"/>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F11F0F65"/>
    <w:multiLevelType w:val="multilevel"/>
    <w:tmpl w:val="F11F0F65"/>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A44B75"/>
    <w:multiLevelType w:val="singleLevel"/>
    <w:tmpl w:val="15A44B75"/>
    <w:lvl w:ilvl="0" w:tentative="0">
      <w:start w:val="2"/>
      <w:numFmt w:val="chineseCounting"/>
      <w:suff w:val="nothing"/>
      <w:lvlText w:val="（%1）"/>
      <w:lvlJc w:val="left"/>
      <w:rPr>
        <w:rFonts w:hint="eastAsia"/>
      </w:rPr>
    </w:lvl>
  </w:abstractNum>
  <w:abstractNum w:abstractNumId="5">
    <w:nsid w:val="2DD7910F"/>
    <w:multiLevelType w:val="singleLevel"/>
    <w:tmpl w:val="2DD7910F"/>
    <w:lvl w:ilvl="0" w:tentative="0">
      <w:start w:val="2"/>
      <w:numFmt w:val="chineseCounting"/>
      <w:suff w:val="nothing"/>
      <w:lvlText w:val="%1、"/>
      <w:lvlJc w:val="left"/>
      <w:rPr>
        <w:rFonts w:hint="eastAsia"/>
      </w:rPr>
    </w:lvl>
  </w:abstractNum>
  <w:abstractNum w:abstractNumId="6">
    <w:nsid w:val="34FB759D"/>
    <w:multiLevelType w:val="singleLevel"/>
    <w:tmpl w:val="34FB759D"/>
    <w:lvl w:ilvl="0" w:tentative="0">
      <w:start w:val="1"/>
      <w:numFmt w:val="chineseCounting"/>
      <w:suff w:val="nothing"/>
      <w:lvlText w:val="（%1）"/>
      <w:lvlJc w:val="left"/>
      <w:rPr>
        <w:rFonts w:hint="eastAsia"/>
      </w:rPr>
    </w:lvl>
  </w:abstractNum>
  <w:abstractNum w:abstractNumId="7">
    <w:nsid w:val="3B20696E"/>
    <w:multiLevelType w:val="multilevel"/>
    <w:tmpl w:val="3B20696E"/>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48745E46"/>
    <w:multiLevelType w:val="singleLevel"/>
    <w:tmpl w:val="48745E46"/>
    <w:lvl w:ilvl="0" w:tentative="0">
      <w:start w:val="1"/>
      <w:numFmt w:val="chineseCounting"/>
      <w:suff w:val="nothing"/>
      <w:lvlText w:val="（%1）"/>
      <w:lvlJc w:val="left"/>
      <w:rPr>
        <w:rFonts w:hint="eastAsia"/>
      </w:rPr>
    </w:lvl>
  </w:abstractNum>
  <w:abstractNum w:abstractNumId="9">
    <w:nsid w:val="59D7428E"/>
    <w:multiLevelType w:val="singleLevel"/>
    <w:tmpl w:val="59D7428E"/>
    <w:lvl w:ilvl="0" w:tentative="0">
      <w:start w:val="5"/>
      <w:numFmt w:val="chineseCounting"/>
      <w:suff w:val="nothing"/>
      <w:lvlText w:val="%1、"/>
      <w:lvlJc w:val="left"/>
    </w:lvl>
  </w:abstractNum>
  <w:abstractNum w:abstractNumId="10">
    <w:nsid w:val="59D7508F"/>
    <w:multiLevelType w:val="singleLevel"/>
    <w:tmpl w:val="59D7508F"/>
    <w:lvl w:ilvl="0" w:tentative="0">
      <w:start w:val="1"/>
      <w:numFmt w:val="chineseCounting"/>
      <w:suff w:val="nothing"/>
      <w:lvlText w:val="（%1）"/>
      <w:lvlJc w:val="left"/>
    </w:lvl>
  </w:abstractNum>
  <w:abstractNum w:abstractNumId="11">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BCCFEC2"/>
    <w:multiLevelType w:val="multilevel"/>
    <w:tmpl w:val="7BCCFEC2"/>
    <w:lvl w:ilvl="0" w:tentative="0">
      <w:start w:val="1"/>
      <w:numFmt w:val="decimal"/>
      <w:suff w:val="nothing"/>
      <w:lvlText w:val="(%1)"/>
      <w:lvlJc w:val="left"/>
      <w:pPr>
        <w:ind w:left="533" w:hanging="420"/>
      </w:pPr>
      <w:rPr>
        <w:rFonts w:hint="eastAsia"/>
      </w:rPr>
    </w:lvl>
    <w:lvl w:ilvl="1" w:tentative="0">
      <w:start w:val="3"/>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5"/>
  </w:num>
  <w:num w:numId="2">
    <w:abstractNumId w:val="6"/>
  </w:num>
  <w:num w:numId="3">
    <w:abstractNumId w:val="12"/>
  </w:num>
  <w:num w:numId="4">
    <w:abstractNumId w:val="7"/>
  </w:num>
  <w:num w:numId="5">
    <w:abstractNumId w:val="1"/>
  </w:num>
  <w:num w:numId="6">
    <w:abstractNumId w:val="9"/>
  </w:num>
  <w:num w:numId="7">
    <w:abstractNumId w:val="10"/>
  </w:num>
  <w:num w:numId="8">
    <w:abstractNumId w:val="8"/>
  </w:num>
  <w:num w:numId="9">
    <w:abstractNumId w:val="4"/>
  </w:num>
  <w:num w:numId="10">
    <w:abstractNumId w:val="2"/>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ThhOTlkZjEwM2VlOTU2ZDM3NmZiMmFjMDkyMzEifQ=="/>
    <w:docVar w:name="KSO_WPS_MARK_KEY" w:val="6990bbe3-91f7-4e1c-a7d4-8d8adfd372eb"/>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A65AF"/>
    <w:rsid w:val="001C6347"/>
    <w:rsid w:val="00244CA9"/>
    <w:rsid w:val="0024621F"/>
    <w:rsid w:val="002529DF"/>
    <w:rsid w:val="00252A79"/>
    <w:rsid w:val="00262291"/>
    <w:rsid w:val="002B0941"/>
    <w:rsid w:val="002D6360"/>
    <w:rsid w:val="002E512C"/>
    <w:rsid w:val="002F02E5"/>
    <w:rsid w:val="002F1E86"/>
    <w:rsid w:val="00313984"/>
    <w:rsid w:val="00337820"/>
    <w:rsid w:val="00350271"/>
    <w:rsid w:val="003B0EBC"/>
    <w:rsid w:val="003B5B49"/>
    <w:rsid w:val="003E1DA0"/>
    <w:rsid w:val="003F1C87"/>
    <w:rsid w:val="003F5213"/>
    <w:rsid w:val="003F7431"/>
    <w:rsid w:val="00444DD4"/>
    <w:rsid w:val="00467ECD"/>
    <w:rsid w:val="00521ECB"/>
    <w:rsid w:val="00537C28"/>
    <w:rsid w:val="00560EC5"/>
    <w:rsid w:val="005804E8"/>
    <w:rsid w:val="00585F35"/>
    <w:rsid w:val="005B539A"/>
    <w:rsid w:val="005D0042"/>
    <w:rsid w:val="005D635B"/>
    <w:rsid w:val="00603439"/>
    <w:rsid w:val="00610597"/>
    <w:rsid w:val="00612CA0"/>
    <w:rsid w:val="006414B9"/>
    <w:rsid w:val="00643D6A"/>
    <w:rsid w:val="0066795B"/>
    <w:rsid w:val="0067105E"/>
    <w:rsid w:val="00686906"/>
    <w:rsid w:val="006E30FE"/>
    <w:rsid w:val="006E7AA5"/>
    <w:rsid w:val="006E7C47"/>
    <w:rsid w:val="007322C7"/>
    <w:rsid w:val="007402CA"/>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53809"/>
    <w:rsid w:val="00C61E39"/>
    <w:rsid w:val="00C705D9"/>
    <w:rsid w:val="00C76719"/>
    <w:rsid w:val="00C91C79"/>
    <w:rsid w:val="00CD1086"/>
    <w:rsid w:val="00D0163F"/>
    <w:rsid w:val="00D168D6"/>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6805"/>
    <w:rsid w:val="00F77157"/>
    <w:rsid w:val="00FB236B"/>
    <w:rsid w:val="00FB2EC0"/>
    <w:rsid w:val="00FB4A91"/>
    <w:rsid w:val="00FC6AEE"/>
    <w:rsid w:val="00FF1F91"/>
    <w:rsid w:val="013845BB"/>
    <w:rsid w:val="014F6641"/>
    <w:rsid w:val="01626374"/>
    <w:rsid w:val="01A71FD9"/>
    <w:rsid w:val="01B3097E"/>
    <w:rsid w:val="01F64D0F"/>
    <w:rsid w:val="029F0F02"/>
    <w:rsid w:val="029F5991"/>
    <w:rsid w:val="02E1151B"/>
    <w:rsid w:val="02E80AFB"/>
    <w:rsid w:val="02F6483A"/>
    <w:rsid w:val="03065425"/>
    <w:rsid w:val="031C6AB0"/>
    <w:rsid w:val="036068E4"/>
    <w:rsid w:val="036839EA"/>
    <w:rsid w:val="03830824"/>
    <w:rsid w:val="0388458D"/>
    <w:rsid w:val="03BD3D36"/>
    <w:rsid w:val="03CE5F43"/>
    <w:rsid w:val="048F7409"/>
    <w:rsid w:val="0495287E"/>
    <w:rsid w:val="04CD3744"/>
    <w:rsid w:val="05121E5F"/>
    <w:rsid w:val="05620502"/>
    <w:rsid w:val="05A607FA"/>
    <w:rsid w:val="05AE3027"/>
    <w:rsid w:val="06264F1F"/>
    <w:rsid w:val="0651629F"/>
    <w:rsid w:val="065268CE"/>
    <w:rsid w:val="06581AF4"/>
    <w:rsid w:val="068F128E"/>
    <w:rsid w:val="06B55198"/>
    <w:rsid w:val="06F832D7"/>
    <w:rsid w:val="06F84997"/>
    <w:rsid w:val="07391925"/>
    <w:rsid w:val="073A38EF"/>
    <w:rsid w:val="076C7F03"/>
    <w:rsid w:val="07794418"/>
    <w:rsid w:val="078B2432"/>
    <w:rsid w:val="079F3A46"/>
    <w:rsid w:val="07AF0CF9"/>
    <w:rsid w:val="07C221BE"/>
    <w:rsid w:val="07E23BA8"/>
    <w:rsid w:val="07E5385B"/>
    <w:rsid w:val="07EB0A54"/>
    <w:rsid w:val="07EC4BEA"/>
    <w:rsid w:val="07FD6DF7"/>
    <w:rsid w:val="082D0D5E"/>
    <w:rsid w:val="082F4AD6"/>
    <w:rsid w:val="086E3851"/>
    <w:rsid w:val="08D76F24"/>
    <w:rsid w:val="08F22DC5"/>
    <w:rsid w:val="08FE1287"/>
    <w:rsid w:val="09012917"/>
    <w:rsid w:val="09051133"/>
    <w:rsid w:val="09302F0B"/>
    <w:rsid w:val="095F6FD1"/>
    <w:rsid w:val="09783930"/>
    <w:rsid w:val="09817A35"/>
    <w:rsid w:val="098236DF"/>
    <w:rsid w:val="0985092D"/>
    <w:rsid w:val="098560BB"/>
    <w:rsid w:val="09D21BBD"/>
    <w:rsid w:val="09DA7622"/>
    <w:rsid w:val="09DE4A06"/>
    <w:rsid w:val="09FC30DE"/>
    <w:rsid w:val="0A0A6645"/>
    <w:rsid w:val="0A1B16F2"/>
    <w:rsid w:val="0A4A2720"/>
    <w:rsid w:val="0A99092D"/>
    <w:rsid w:val="0AE522E5"/>
    <w:rsid w:val="0B1F0E32"/>
    <w:rsid w:val="0B5C63A5"/>
    <w:rsid w:val="0BE3661A"/>
    <w:rsid w:val="0BEC7B89"/>
    <w:rsid w:val="0BFC3391"/>
    <w:rsid w:val="0C450D6C"/>
    <w:rsid w:val="0C4C20FB"/>
    <w:rsid w:val="0C7156BE"/>
    <w:rsid w:val="0C8C6F90"/>
    <w:rsid w:val="0CCF0636"/>
    <w:rsid w:val="0D35493D"/>
    <w:rsid w:val="0D793DF7"/>
    <w:rsid w:val="0D7D62E4"/>
    <w:rsid w:val="0D933D59"/>
    <w:rsid w:val="0DE03333"/>
    <w:rsid w:val="0DE95727"/>
    <w:rsid w:val="0DF77E44"/>
    <w:rsid w:val="0E010CC3"/>
    <w:rsid w:val="0E172295"/>
    <w:rsid w:val="0E3D16C9"/>
    <w:rsid w:val="0E3F3599"/>
    <w:rsid w:val="0E722129"/>
    <w:rsid w:val="0E8E4823"/>
    <w:rsid w:val="0E9A63F5"/>
    <w:rsid w:val="0E9D7D0E"/>
    <w:rsid w:val="0EE02FCE"/>
    <w:rsid w:val="0EEC0F05"/>
    <w:rsid w:val="0F2029AB"/>
    <w:rsid w:val="0F3A0931"/>
    <w:rsid w:val="0F7E2A8B"/>
    <w:rsid w:val="0F84395A"/>
    <w:rsid w:val="0F8C6CB2"/>
    <w:rsid w:val="0FBD026B"/>
    <w:rsid w:val="10294501"/>
    <w:rsid w:val="103B693C"/>
    <w:rsid w:val="10531F79"/>
    <w:rsid w:val="105A2246"/>
    <w:rsid w:val="108F244A"/>
    <w:rsid w:val="10CB6ACA"/>
    <w:rsid w:val="10E072B6"/>
    <w:rsid w:val="11064B21"/>
    <w:rsid w:val="111365EE"/>
    <w:rsid w:val="112847B9"/>
    <w:rsid w:val="1182036D"/>
    <w:rsid w:val="11B31F97"/>
    <w:rsid w:val="11C97D4A"/>
    <w:rsid w:val="11CE7DA8"/>
    <w:rsid w:val="121216F1"/>
    <w:rsid w:val="122D5442"/>
    <w:rsid w:val="12486A9B"/>
    <w:rsid w:val="12582E7C"/>
    <w:rsid w:val="12AE6C92"/>
    <w:rsid w:val="12BA70FA"/>
    <w:rsid w:val="13021765"/>
    <w:rsid w:val="134A310C"/>
    <w:rsid w:val="13D749A0"/>
    <w:rsid w:val="13FF16EC"/>
    <w:rsid w:val="144A5B8E"/>
    <w:rsid w:val="14A076FB"/>
    <w:rsid w:val="14F267F7"/>
    <w:rsid w:val="152359C3"/>
    <w:rsid w:val="15282FD9"/>
    <w:rsid w:val="154B2D39"/>
    <w:rsid w:val="155E2E9F"/>
    <w:rsid w:val="15834B5D"/>
    <w:rsid w:val="15B8435D"/>
    <w:rsid w:val="15CE1DD3"/>
    <w:rsid w:val="15F5110D"/>
    <w:rsid w:val="15FC4288"/>
    <w:rsid w:val="15FD7FC2"/>
    <w:rsid w:val="16004F92"/>
    <w:rsid w:val="16290DB7"/>
    <w:rsid w:val="162C3C3A"/>
    <w:rsid w:val="1644177C"/>
    <w:rsid w:val="164478A7"/>
    <w:rsid w:val="16450268"/>
    <w:rsid w:val="1683496B"/>
    <w:rsid w:val="16A923AE"/>
    <w:rsid w:val="16AA7FE8"/>
    <w:rsid w:val="16B40FC8"/>
    <w:rsid w:val="16F60853"/>
    <w:rsid w:val="170006FC"/>
    <w:rsid w:val="172C4A01"/>
    <w:rsid w:val="175F02F7"/>
    <w:rsid w:val="17A34B99"/>
    <w:rsid w:val="17C326BD"/>
    <w:rsid w:val="17C509C6"/>
    <w:rsid w:val="17FA7FA2"/>
    <w:rsid w:val="182061EA"/>
    <w:rsid w:val="184039D1"/>
    <w:rsid w:val="188E5849"/>
    <w:rsid w:val="189A5610"/>
    <w:rsid w:val="18AD1BA5"/>
    <w:rsid w:val="18D019BE"/>
    <w:rsid w:val="18D524FF"/>
    <w:rsid w:val="18EF6999"/>
    <w:rsid w:val="191013EB"/>
    <w:rsid w:val="192E27A4"/>
    <w:rsid w:val="19341F4D"/>
    <w:rsid w:val="19410D70"/>
    <w:rsid w:val="19483C4A"/>
    <w:rsid w:val="199602F4"/>
    <w:rsid w:val="19A25B19"/>
    <w:rsid w:val="19B249C3"/>
    <w:rsid w:val="19B7492C"/>
    <w:rsid w:val="19D92807"/>
    <w:rsid w:val="19E528A1"/>
    <w:rsid w:val="19F7106C"/>
    <w:rsid w:val="1A151EDD"/>
    <w:rsid w:val="1A2A3AC4"/>
    <w:rsid w:val="1A307936"/>
    <w:rsid w:val="1A50725A"/>
    <w:rsid w:val="1A6117E4"/>
    <w:rsid w:val="1A8962C8"/>
    <w:rsid w:val="1AA7401C"/>
    <w:rsid w:val="1AAF0DCC"/>
    <w:rsid w:val="1AFA5418"/>
    <w:rsid w:val="1B020C35"/>
    <w:rsid w:val="1B1069E9"/>
    <w:rsid w:val="1B621DBF"/>
    <w:rsid w:val="1BA1486E"/>
    <w:rsid w:val="1C024584"/>
    <w:rsid w:val="1C112BB1"/>
    <w:rsid w:val="1C4701E9"/>
    <w:rsid w:val="1C4A7CD9"/>
    <w:rsid w:val="1C6C52EB"/>
    <w:rsid w:val="1C8431EB"/>
    <w:rsid w:val="1CD40AE2"/>
    <w:rsid w:val="1CE87315"/>
    <w:rsid w:val="1D0045D4"/>
    <w:rsid w:val="1D123295"/>
    <w:rsid w:val="1D1D0F4A"/>
    <w:rsid w:val="1D2624F4"/>
    <w:rsid w:val="1D9A2DC7"/>
    <w:rsid w:val="1DDE692B"/>
    <w:rsid w:val="1E1C321D"/>
    <w:rsid w:val="1E363DC4"/>
    <w:rsid w:val="1E4D475F"/>
    <w:rsid w:val="1E58492F"/>
    <w:rsid w:val="1E676920"/>
    <w:rsid w:val="1E8A0AED"/>
    <w:rsid w:val="1E8F7C25"/>
    <w:rsid w:val="1E9A4F48"/>
    <w:rsid w:val="1EA33B4F"/>
    <w:rsid w:val="1EA9518B"/>
    <w:rsid w:val="1ED27283"/>
    <w:rsid w:val="1EE0511D"/>
    <w:rsid w:val="1EFE7DC6"/>
    <w:rsid w:val="1F1D3483"/>
    <w:rsid w:val="1F522B70"/>
    <w:rsid w:val="1F617814"/>
    <w:rsid w:val="1F6410B2"/>
    <w:rsid w:val="1F833C2E"/>
    <w:rsid w:val="1F8B01AA"/>
    <w:rsid w:val="1FB865E8"/>
    <w:rsid w:val="1FCA03A9"/>
    <w:rsid w:val="1FCA360B"/>
    <w:rsid w:val="1FEE1531"/>
    <w:rsid w:val="20262A26"/>
    <w:rsid w:val="204E26BA"/>
    <w:rsid w:val="20523084"/>
    <w:rsid w:val="206E043A"/>
    <w:rsid w:val="20BE1835"/>
    <w:rsid w:val="20E22BD6"/>
    <w:rsid w:val="20F070A1"/>
    <w:rsid w:val="21020C28"/>
    <w:rsid w:val="21025026"/>
    <w:rsid w:val="21110E24"/>
    <w:rsid w:val="21815F4B"/>
    <w:rsid w:val="21A32365"/>
    <w:rsid w:val="21C56EFE"/>
    <w:rsid w:val="21D97B35"/>
    <w:rsid w:val="21EB1616"/>
    <w:rsid w:val="224F45A3"/>
    <w:rsid w:val="22620514"/>
    <w:rsid w:val="22652989"/>
    <w:rsid w:val="22A53EBB"/>
    <w:rsid w:val="22EB3FC4"/>
    <w:rsid w:val="235356EF"/>
    <w:rsid w:val="23625C82"/>
    <w:rsid w:val="238B30B1"/>
    <w:rsid w:val="23A73422"/>
    <w:rsid w:val="23E629DD"/>
    <w:rsid w:val="23E8006E"/>
    <w:rsid w:val="240D7F6A"/>
    <w:rsid w:val="24484500"/>
    <w:rsid w:val="24861ACA"/>
    <w:rsid w:val="24A73741"/>
    <w:rsid w:val="24BC1A5F"/>
    <w:rsid w:val="24EA2059"/>
    <w:rsid w:val="253612D9"/>
    <w:rsid w:val="257F27A2"/>
    <w:rsid w:val="25B85CB3"/>
    <w:rsid w:val="25E116AE"/>
    <w:rsid w:val="2604634A"/>
    <w:rsid w:val="261849A4"/>
    <w:rsid w:val="262C5023"/>
    <w:rsid w:val="26453897"/>
    <w:rsid w:val="266B6B16"/>
    <w:rsid w:val="267F0A80"/>
    <w:rsid w:val="26AB556C"/>
    <w:rsid w:val="26B26BA7"/>
    <w:rsid w:val="26DE174A"/>
    <w:rsid w:val="26E66850"/>
    <w:rsid w:val="26F64CE5"/>
    <w:rsid w:val="26FB2E83"/>
    <w:rsid w:val="274719E5"/>
    <w:rsid w:val="275814FC"/>
    <w:rsid w:val="275911F3"/>
    <w:rsid w:val="275E288B"/>
    <w:rsid w:val="27605B3E"/>
    <w:rsid w:val="27684734"/>
    <w:rsid w:val="277D3273"/>
    <w:rsid w:val="27DF1C1D"/>
    <w:rsid w:val="27F76801"/>
    <w:rsid w:val="280F6322"/>
    <w:rsid w:val="28137B19"/>
    <w:rsid w:val="281573ED"/>
    <w:rsid w:val="28206627"/>
    <w:rsid w:val="287405B8"/>
    <w:rsid w:val="28E03E9F"/>
    <w:rsid w:val="28E31299"/>
    <w:rsid w:val="28F6108D"/>
    <w:rsid w:val="29437386"/>
    <w:rsid w:val="296248B4"/>
    <w:rsid w:val="296F1DD2"/>
    <w:rsid w:val="298F4F7D"/>
    <w:rsid w:val="299D6F78"/>
    <w:rsid w:val="29D10D88"/>
    <w:rsid w:val="29DF2580"/>
    <w:rsid w:val="29ED3C96"/>
    <w:rsid w:val="29F714A0"/>
    <w:rsid w:val="2A367122"/>
    <w:rsid w:val="2A7C2BFC"/>
    <w:rsid w:val="2A7D74CC"/>
    <w:rsid w:val="2A9036A3"/>
    <w:rsid w:val="2ACA2711"/>
    <w:rsid w:val="2ADA11FD"/>
    <w:rsid w:val="2AE5579D"/>
    <w:rsid w:val="2AFC6642"/>
    <w:rsid w:val="2B1C0A93"/>
    <w:rsid w:val="2B3E6C5B"/>
    <w:rsid w:val="2B876618"/>
    <w:rsid w:val="2BCF6AFB"/>
    <w:rsid w:val="2C0E7918"/>
    <w:rsid w:val="2C171438"/>
    <w:rsid w:val="2C175DA1"/>
    <w:rsid w:val="2C5F332D"/>
    <w:rsid w:val="2C697D08"/>
    <w:rsid w:val="2C931228"/>
    <w:rsid w:val="2CE13D42"/>
    <w:rsid w:val="2CF54C59"/>
    <w:rsid w:val="2D0637A8"/>
    <w:rsid w:val="2D6B49AD"/>
    <w:rsid w:val="2D8017AD"/>
    <w:rsid w:val="2DA71EB0"/>
    <w:rsid w:val="2DC7118A"/>
    <w:rsid w:val="2DCA2A28"/>
    <w:rsid w:val="2DCC054E"/>
    <w:rsid w:val="2DD218DC"/>
    <w:rsid w:val="2DE0224B"/>
    <w:rsid w:val="2DEE662F"/>
    <w:rsid w:val="2DF6381D"/>
    <w:rsid w:val="2E0004FC"/>
    <w:rsid w:val="2E323D1F"/>
    <w:rsid w:val="2E33339C"/>
    <w:rsid w:val="2E876B6B"/>
    <w:rsid w:val="2E8B665B"/>
    <w:rsid w:val="2E953036"/>
    <w:rsid w:val="2E97523C"/>
    <w:rsid w:val="2E9848D4"/>
    <w:rsid w:val="2EAA3A90"/>
    <w:rsid w:val="2EEE237D"/>
    <w:rsid w:val="2F1E6C43"/>
    <w:rsid w:val="2F3C7955"/>
    <w:rsid w:val="2F436F36"/>
    <w:rsid w:val="2F4D3910"/>
    <w:rsid w:val="2F8D1F5F"/>
    <w:rsid w:val="2F9B7F0F"/>
    <w:rsid w:val="2F9C61F6"/>
    <w:rsid w:val="2FBC45F2"/>
    <w:rsid w:val="2FF41FDE"/>
    <w:rsid w:val="3049232A"/>
    <w:rsid w:val="30503896"/>
    <w:rsid w:val="30590093"/>
    <w:rsid w:val="30CA35E3"/>
    <w:rsid w:val="30DC651F"/>
    <w:rsid w:val="310A1CA2"/>
    <w:rsid w:val="31466AED"/>
    <w:rsid w:val="318A49A8"/>
    <w:rsid w:val="3192385D"/>
    <w:rsid w:val="31CF4AB1"/>
    <w:rsid w:val="31DF445D"/>
    <w:rsid w:val="321919B9"/>
    <w:rsid w:val="3220355E"/>
    <w:rsid w:val="323B06A0"/>
    <w:rsid w:val="324A10CE"/>
    <w:rsid w:val="327B2543"/>
    <w:rsid w:val="32823E47"/>
    <w:rsid w:val="32945777"/>
    <w:rsid w:val="32A315C1"/>
    <w:rsid w:val="32B8733E"/>
    <w:rsid w:val="332826CA"/>
    <w:rsid w:val="33B70E94"/>
    <w:rsid w:val="33D463AE"/>
    <w:rsid w:val="33E848E8"/>
    <w:rsid w:val="341C47F6"/>
    <w:rsid w:val="342F1837"/>
    <w:rsid w:val="343455CA"/>
    <w:rsid w:val="34441786"/>
    <w:rsid w:val="34515C51"/>
    <w:rsid w:val="34BE3DA6"/>
    <w:rsid w:val="34C5786A"/>
    <w:rsid w:val="34E16FD5"/>
    <w:rsid w:val="35400F5E"/>
    <w:rsid w:val="35656C57"/>
    <w:rsid w:val="358E6A31"/>
    <w:rsid w:val="358F5BF0"/>
    <w:rsid w:val="35B451CA"/>
    <w:rsid w:val="35D9162D"/>
    <w:rsid w:val="35E0728C"/>
    <w:rsid w:val="35E83F69"/>
    <w:rsid w:val="35E84393"/>
    <w:rsid w:val="360D5BA8"/>
    <w:rsid w:val="360F1920"/>
    <w:rsid w:val="36735A62"/>
    <w:rsid w:val="369F6181"/>
    <w:rsid w:val="36A67AE4"/>
    <w:rsid w:val="36E921E3"/>
    <w:rsid w:val="373E2BDA"/>
    <w:rsid w:val="37403D5B"/>
    <w:rsid w:val="375F3051"/>
    <w:rsid w:val="378E17BE"/>
    <w:rsid w:val="37CA3C84"/>
    <w:rsid w:val="37E312B6"/>
    <w:rsid w:val="3857135C"/>
    <w:rsid w:val="386F3073"/>
    <w:rsid w:val="38CE46E8"/>
    <w:rsid w:val="38FB2756"/>
    <w:rsid w:val="39002DFE"/>
    <w:rsid w:val="390A4620"/>
    <w:rsid w:val="39227BBC"/>
    <w:rsid w:val="394967A2"/>
    <w:rsid w:val="394B4083"/>
    <w:rsid w:val="398F400C"/>
    <w:rsid w:val="39C2243E"/>
    <w:rsid w:val="39D32C64"/>
    <w:rsid w:val="39D36224"/>
    <w:rsid w:val="39F2049F"/>
    <w:rsid w:val="3A080BE1"/>
    <w:rsid w:val="3A38689A"/>
    <w:rsid w:val="3A4C7271"/>
    <w:rsid w:val="3A6A67D9"/>
    <w:rsid w:val="3A6D50EE"/>
    <w:rsid w:val="3A9B13EC"/>
    <w:rsid w:val="3AF86E26"/>
    <w:rsid w:val="3B023801"/>
    <w:rsid w:val="3B044CF4"/>
    <w:rsid w:val="3B2A0FAA"/>
    <w:rsid w:val="3B7346FF"/>
    <w:rsid w:val="3B8B5CAC"/>
    <w:rsid w:val="3BD17677"/>
    <w:rsid w:val="3BF21AC7"/>
    <w:rsid w:val="3C2E6878"/>
    <w:rsid w:val="3C662451"/>
    <w:rsid w:val="3C7544A7"/>
    <w:rsid w:val="3C936DD0"/>
    <w:rsid w:val="3C9A74EF"/>
    <w:rsid w:val="3CA775D3"/>
    <w:rsid w:val="3CA97838"/>
    <w:rsid w:val="3CF33D49"/>
    <w:rsid w:val="3D4225DB"/>
    <w:rsid w:val="3D714300"/>
    <w:rsid w:val="3D884009"/>
    <w:rsid w:val="3D8C3C51"/>
    <w:rsid w:val="3E015FF2"/>
    <w:rsid w:val="3E0F7EB7"/>
    <w:rsid w:val="3E226C84"/>
    <w:rsid w:val="3E235618"/>
    <w:rsid w:val="3E3D10AA"/>
    <w:rsid w:val="3E6622F9"/>
    <w:rsid w:val="3E6F38A3"/>
    <w:rsid w:val="3EF77F91"/>
    <w:rsid w:val="3F125FDD"/>
    <w:rsid w:val="3F19380F"/>
    <w:rsid w:val="3F321B7A"/>
    <w:rsid w:val="3FC01EDD"/>
    <w:rsid w:val="3FF878C8"/>
    <w:rsid w:val="4071440F"/>
    <w:rsid w:val="40EA7211"/>
    <w:rsid w:val="41384420"/>
    <w:rsid w:val="415100B3"/>
    <w:rsid w:val="417E7959"/>
    <w:rsid w:val="418F1B67"/>
    <w:rsid w:val="41C95079"/>
    <w:rsid w:val="41CD59DE"/>
    <w:rsid w:val="41F32EDF"/>
    <w:rsid w:val="41FD11C6"/>
    <w:rsid w:val="42162288"/>
    <w:rsid w:val="42274A0D"/>
    <w:rsid w:val="422936B2"/>
    <w:rsid w:val="422A60DC"/>
    <w:rsid w:val="42976F25"/>
    <w:rsid w:val="42FB0005"/>
    <w:rsid w:val="43065E58"/>
    <w:rsid w:val="431D5E0E"/>
    <w:rsid w:val="432664FB"/>
    <w:rsid w:val="437644C5"/>
    <w:rsid w:val="43AB5F4E"/>
    <w:rsid w:val="43B753A5"/>
    <w:rsid w:val="43C90EB3"/>
    <w:rsid w:val="43E02B4D"/>
    <w:rsid w:val="43EA7528"/>
    <w:rsid w:val="43F6411F"/>
    <w:rsid w:val="44054362"/>
    <w:rsid w:val="44352C3F"/>
    <w:rsid w:val="444552B2"/>
    <w:rsid w:val="444906F3"/>
    <w:rsid w:val="449D4702"/>
    <w:rsid w:val="44D90EA6"/>
    <w:rsid w:val="44FE4DD1"/>
    <w:rsid w:val="45071373"/>
    <w:rsid w:val="451A208F"/>
    <w:rsid w:val="45462E84"/>
    <w:rsid w:val="456926CF"/>
    <w:rsid w:val="45901F42"/>
    <w:rsid w:val="45921C25"/>
    <w:rsid w:val="459E05CA"/>
    <w:rsid w:val="45C43A17"/>
    <w:rsid w:val="45F91CA4"/>
    <w:rsid w:val="460A3EB2"/>
    <w:rsid w:val="4651388E"/>
    <w:rsid w:val="46601D24"/>
    <w:rsid w:val="46661838"/>
    <w:rsid w:val="466F2F5C"/>
    <w:rsid w:val="4694582D"/>
    <w:rsid w:val="46A11889"/>
    <w:rsid w:val="46A75BA4"/>
    <w:rsid w:val="46C027C2"/>
    <w:rsid w:val="46D421A4"/>
    <w:rsid w:val="46DD15C6"/>
    <w:rsid w:val="47176886"/>
    <w:rsid w:val="475F1C7D"/>
    <w:rsid w:val="47C43A54"/>
    <w:rsid w:val="47C63E08"/>
    <w:rsid w:val="482374AD"/>
    <w:rsid w:val="48541414"/>
    <w:rsid w:val="48C12F4D"/>
    <w:rsid w:val="48C4659A"/>
    <w:rsid w:val="48C7608A"/>
    <w:rsid w:val="491D1373"/>
    <w:rsid w:val="49261002"/>
    <w:rsid w:val="493C6A78"/>
    <w:rsid w:val="49442815"/>
    <w:rsid w:val="49B20AE8"/>
    <w:rsid w:val="49B605D8"/>
    <w:rsid w:val="4A3A133A"/>
    <w:rsid w:val="4A54394D"/>
    <w:rsid w:val="4A6D06E4"/>
    <w:rsid w:val="4A7925A6"/>
    <w:rsid w:val="4B2D2F15"/>
    <w:rsid w:val="4B350A3D"/>
    <w:rsid w:val="4B425E9C"/>
    <w:rsid w:val="4B7324F9"/>
    <w:rsid w:val="4B7818BD"/>
    <w:rsid w:val="4BB943B0"/>
    <w:rsid w:val="4BD929FD"/>
    <w:rsid w:val="4BFB6776"/>
    <w:rsid w:val="4C31495F"/>
    <w:rsid w:val="4C3347A3"/>
    <w:rsid w:val="4C4923A0"/>
    <w:rsid w:val="4C704344"/>
    <w:rsid w:val="4C79769B"/>
    <w:rsid w:val="4CC80E43"/>
    <w:rsid w:val="4CCF375F"/>
    <w:rsid w:val="4D2C6E03"/>
    <w:rsid w:val="4D31441A"/>
    <w:rsid w:val="4D802835"/>
    <w:rsid w:val="4D9329DF"/>
    <w:rsid w:val="4DD728CB"/>
    <w:rsid w:val="4DD74FC1"/>
    <w:rsid w:val="4E105DDD"/>
    <w:rsid w:val="4E7E71EB"/>
    <w:rsid w:val="4EDE7C89"/>
    <w:rsid w:val="4F14130C"/>
    <w:rsid w:val="4F165675"/>
    <w:rsid w:val="4F473291"/>
    <w:rsid w:val="4F675ED1"/>
    <w:rsid w:val="4F6940CD"/>
    <w:rsid w:val="4F986DFB"/>
    <w:rsid w:val="4FB235F0"/>
    <w:rsid w:val="506568B4"/>
    <w:rsid w:val="507C3BFE"/>
    <w:rsid w:val="508B2007"/>
    <w:rsid w:val="50A702EA"/>
    <w:rsid w:val="50C555A5"/>
    <w:rsid w:val="50F95004"/>
    <w:rsid w:val="514166D1"/>
    <w:rsid w:val="517174DB"/>
    <w:rsid w:val="51834313"/>
    <w:rsid w:val="51925455"/>
    <w:rsid w:val="51AC681B"/>
    <w:rsid w:val="51ED4B41"/>
    <w:rsid w:val="51F37EF0"/>
    <w:rsid w:val="52065E75"/>
    <w:rsid w:val="521B56D7"/>
    <w:rsid w:val="521C11F4"/>
    <w:rsid w:val="52257019"/>
    <w:rsid w:val="529B4BC2"/>
    <w:rsid w:val="52A92354"/>
    <w:rsid w:val="52C11D9C"/>
    <w:rsid w:val="52C97A4D"/>
    <w:rsid w:val="52CA3997"/>
    <w:rsid w:val="53064E64"/>
    <w:rsid w:val="532D23B1"/>
    <w:rsid w:val="53874D93"/>
    <w:rsid w:val="538C7F03"/>
    <w:rsid w:val="53E55153"/>
    <w:rsid w:val="54253448"/>
    <w:rsid w:val="545A4256"/>
    <w:rsid w:val="547D1CF3"/>
    <w:rsid w:val="54815C87"/>
    <w:rsid w:val="5482536B"/>
    <w:rsid w:val="54F55D2D"/>
    <w:rsid w:val="54FA534C"/>
    <w:rsid w:val="553C3C40"/>
    <w:rsid w:val="55651104"/>
    <w:rsid w:val="560C332E"/>
    <w:rsid w:val="562539B5"/>
    <w:rsid w:val="56371ED0"/>
    <w:rsid w:val="5688177C"/>
    <w:rsid w:val="56E10C5F"/>
    <w:rsid w:val="56E54719"/>
    <w:rsid w:val="57352A0E"/>
    <w:rsid w:val="57723E71"/>
    <w:rsid w:val="57843928"/>
    <w:rsid w:val="57F86260"/>
    <w:rsid w:val="58114F1B"/>
    <w:rsid w:val="58357685"/>
    <w:rsid w:val="58360B36"/>
    <w:rsid w:val="58496ABB"/>
    <w:rsid w:val="58580AAD"/>
    <w:rsid w:val="585F008D"/>
    <w:rsid w:val="586A12C9"/>
    <w:rsid w:val="586C4558"/>
    <w:rsid w:val="58A27F7A"/>
    <w:rsid w:val="58AD2046"/>
    <w:rsid w:val="58C779E0"/>
    <w:rsid w:val="58CE6FC1"/>
    <w:rsid w:val="593C217C"/>
    <w:rsid w:val="59802ADB"/>
    <w:rsid w:val="59853B23"/>
    <w:rsid w:val="59DD53DB"/>
    <w:rsid w:val="59F36CDF"/>
    <w:rsid w:val="5A310179"/>
    <w:rsid w:val="5A696FA1"/>
    <w:rsid w:val="5A6D2C5B"/>
    <w:rsid w:val="5A6E7E94"/>
    <w:rsid w:val="5A902C05"/>
    <w:rsid w:val="5AA93841"/>
    <w:rsid w:val="5B0E7B48"/>
    <w:rsid w:val="5B765F8F"/>
    <w:rsid w:val="5B852D7E"/>
    <w:rsid w:val="5BA069F2"/>
    <w:rsid w:val="5BAA5AC3"/>
    <w:rsid w:val="5BB404C3"/>
    <w:rsid w:val="5BB60D4C"/>
    <w:rsid w:val="5BEE619D"/>
    <w:rsid w:val="5C05315B"/>
    <w:rsid w:val="5C317F92"/>
    <w:rsid w:val="5C321615"/>
    <w:rsid w:val="5C4F54D6"/>
    <w:rsid w:val="5C56505E"/>
    <w:rsid w:val="5C8A56BD"/>
    <w:rsid w:val="5CAD712D"/>
    <w:rsid w:val="5CBD748C"/>
    <w:rsid w:val="5CE62B2B"/>
    <w:rsid w:val="5D066D29"/>
    <w:rsid w:val="5D254521"/>
    <w:rsid w:val="5D374438"/>
    <w:rsid w:val="5DB04EE7"/>
    <w:rsid w:val="5E0314BA"/>
    <w:rsid w:val="5E033269"/>
    <w:rsid w:val="5E16300A"/>
    <w:rsid w:val="5E304CC0"/>
    <w:rsid w:val="5E581E7E"/>
    <w:rsid w:val="5E693A13"/>
    <w:rsid w:val="5EA93E10"/>
    <w:rsid w:val="5EAF78C6"/>
    <w:rsid w:val="5ED54C05"/>
    <w:rsid w:val="5F022D09"/>
    <w:rsid w:val="5F4D6AD0"/>
    <w:rsid w:val="5F8605F5"/>
    <w:rsid w:val="5F9D0AD6"/>
    <w:rsid w:val="5FA840C8"/>
    <w:rsid w:val="6000685D"/>
    <w:rsid w:val="605E53B0"/>
    <w:rsid w:val="607B0408"/>
    <w:rsid w:val="607D4225"/>
    <w:rsid w:val="607D5554"/>
    <w:rsid w:val="60820DBC"/>
    <w:rsid w:val="609E6689"/>
    <w:rsid w:val="60C5514D"/>
    <w:rsid w:val="60E05AE3"/>
    <w:rsid w:val="60E70C20"/>
    <w:rsid w:val="61076C14"/>
    <w:rsid w:val="61265BEC"/>
    <w:rsid w:val="617D3332"/>
    <w:rsid w:val="618912A3"/>
    <w:rsid w:val="6197561D"/>
    <w:rsid w:val="619F78E4"/>
    <w:rsid w:val="61B2122D"/>
    <w:rsid w:val="61BF7BD1"/>
    <w:rsid w:val="61C64CD9"/>
    <w:rsid w:val="61D90EB0"/>
    <w:rsid w:val="621519D0"/>
    <w:rsid w:val="629C7595"/>
    <w:rsid w:val="62F51D1A"/>
    <w:rsid w:val="633F11E7"/>
    <w:rsid w:val="63556314"/>
    <w:rsid w:val="635A680F"/>
    <w:rsid w:val="6397692D"/>
    <w:rsid w:val="63C1395C"/>
    <w:rsid w:val="63C20D7E"/>
    <w:rsid w:val="63C62C1B"/>
    <w:rsid w:val="63CF1F1A"/>
    <w:rsid w:val="63FE4BFE"/>
    <w:rsid w:val="641A4CE6"/>
    <w:rsid w:val="643112AA"/>
    <w:rsid w:val="646B1B68"/>
    <w:rsid w:val="64B559C9"/>
    <w:rsid w:val="64E616CF"/>
    <w:rsid w:val="64E818E3"/>
    <w:rsid w:val="64F25DE5"/>
    <w:rsid w:val="64F97173"/>
    <w:rsid w:val="651741AC"/>
    <w:rsid w:val="65F413C2"/>
    <w:rsid w:val="65FF6A0B"/>
    <w:rsid w:val="66061B48"/>
    <w:rsid w:val="661A02E8"/>
    <w:rsid w:val="665B6338"/>
    <w:rsid w:val="666425FC"/>
    <w:rsid w:val="667271DD"/>
    <w:rsid w:val="669411F0"/>
    <w:rsid w:val="66AB6105"/>
    <w:rsid w:val="66AE1605"/>
    <w:rsid w:val="66D12703"/>
    <w:rsid w:val="66D93700"/>
    <w:rsid w:val="66ED0F5A"/>
    <w:rsid w:val="66ED176B"/>
    <w:rsid w:val="66FC2970"/>
    <w:rsid w:val="66FF1BB1"/>
    <w:rsid w:val="673503FE"/>
    <w:rsid w:val="6751550C"/>
    <w:rsid w:val="67670D0C"/>
    <w:rsid w:val="67830ADB"/>
    <w:rsid w:val="67B657F0"/>
    <w:rsid w:val="67B8723F"/>
    <w:rsid w:val="67CA2DD7"/>
    <w:rsid w:val="67FD0A18"/>
    <w:rsid w:val="68071723"/>
    <w:rsid w:val="68921DB9"/>
    <w:rsid w:val="68AD6BF3"/>
    <w:rsid w:val="691A3D76"/>
    <w:rsid w:val="6990454A"/>
    <w:rsid w:val="699D0A15"/>
    <w:rsid w:val="69DA3A17"/>
    <w:rsid w:val="69E55F18"/>
    <w:rsid w:val="6A107439"/>
    <w:rsid w:val="6A425452"/>
    <w:rsid w:val="6A4B221F"/>
    <w:rsid w:val="6A575068"/>
    <w:rsid w:val="6A9A0C7E"/>
    <w:rsid w:val="6AE70738"/>
    <w:rsid w:val="6AEA7C8A"/>
    <w:rsid w:val="6AF64384"/>
    <w:rsid w:val="6B19231D"/>
    <w:rsid w:val="6B3C08A6"/>
    <w:rsid w:val="6B731A0F"/>
    <w:rsid w:val="6BA53BB1"/>
    <w:rsid w:val="6BAF73B1"/>
    <w:rsid w:val="6BB25390"/>
    <w:rsid w:val="6BB71975"/>
    <w:rsid w:val="6BD25936"/>
    <w:rsid w:val="6BEE5837"/>
    <w:rsid w:val="6BF40694"/>
    <w:rsid w:val="6CE41EEA"/>
    <w:rsid w:val="6D3C22F3"/>
    <w:rsid w:val="6D6C2BD8"/>
    <w:rsid w:val="6D837F22"/>
    <w:rsid w:val="6DF07B6C"/>
    <w:rsid w:val="6E3661C1"/>
    <w:rsid w:val="6EA40BC9"/>
    <w:rsid w:val="6EAB5982"/>
    <w:rsid w:val="6EB365E5"/>
    <w:rsid w:val="6EBC36EB"/>
    <w:rsid w:val="6EC46A44"/>
    <w:rsid w:val="6EE669BA"/>
    <w:rsid w:val="6F223AF6"/>
    <w:rsid w:val="6F3C1435"/>
    <w:rsid w:val="6F455A37"/>
    <w:rsid w:val="6F69246C"/>
    <w:rsid w:val="6F7264A0"/>
    <w:rsid w:val="6F741C1C"/>
    <w:rsid w:val="6F777C6F"/>
    <w:rsid w:val="6F7C7C3D"/>
    <w:rsid w:val="6F957859"/>
    <w:rsid w:val="6F997ED1"/>
    <w:rsid w:val="6FA43C71"/>
    <w:rsid w:val="6FA92C32"/>
    <w:rsid w:val="6FC21A38"/>
    <w:rsid w:val="705F2915"/>
    <w:rsid w:val="708E10B8"/>
    <w:rsid w:val="708E5D82"/>
    <w:rsid w:val="70B60969"/>
    <w:rsid w:val="70CC1BE0"/>
    <w:rsid w:val="70E84C6C"/>
    <w:rsid w:val="71184E25"/>
    <w:rsid w:val="7139226D"/>
    <w:rsid w:val="71634662"/>
    <w:rsid w:val="71782967"/>
    <w:rsid w:val="71D23226"/>
    <w:rsid w:val="71EE109B"/>
    <w:rsid w:val="72086C48"/>
    <w:rsid w:val="7218051A"/>
    <w:rsid w:val="721A2556"/>
    <w:rsid w:val="721A4443"/>
    <w:rsid w:val="721C2EEC"/>
    <w:rsid w:val="72200435"/>
    <w:rsid w:val="72255A4C"/>
    <w:rsid w:val="72B50B7E"/>
    <w:rsid w:val="72C07522"/>
    <w:rsid w:val="72EB07E3"/>
    <w:rsid w:val="73214465"/>
    <w:rsid w:val="732775A1"/>
    <w:rsid w:val="733221CE"/>
    <w:rsid w:val="73335F4D"/>
    <w:rsid w:val="735D669D"/>
    <w:rsid w:val="73866295"/>
    <w:rsid w:val="73DC038C"/>
    <w:rsid w:val="73EC4507"/>
    <w:rsid w:val="73FF8ECC"/>
    <w:rsid w:val="74051691"/>
    <w:rsid w:val="74583EB6"/>
    <w:rsid w:val="74A97782"/>
    <w:rsid w:val="74B80DF9"/>
    <w:rsid w:val="75287D2D"/>
    <w:rsid w:val="7541494A"/>
    <w:rsid w:val="75422FE9"/>
    <w:rsid w:val="756923C9"/>
    <w:rsid w:val="757A7CB1"/>
    <w:rsid w:val="75A650F5"/>
    <w:rsid w:val="75C873BB"/>
    <w:rsid w:val="75CC2E8E"/>
    <w:rsid w:val="75F04C7F"/>
    <w:rsid w:val="76342701"/>
    <w:rsid w:val="763F52B9"/>
    <w:rsid w:val="767B20DE"/>
    <w:rsid w:val="76BD4B5F"/>
    <w:rsid w:val="76D0242A"/>
    <w:rsid w:val="76D80565"/>
    <w:rsid w:val="76E77774"/>
    <w:rsid w:val="76FF1707"/>
    <w:rsid w:val="76FF4ABD"/>
    <w:rsid w:val="773A78A3"/>
    <w:rsid w:val="7768524B"/>
    <w:rsid w:val="776A7E92"/>
    <w:rsid w:val="7771323A"/>
    <w:rsid w:val="77F04406"/>
    <w:rsid w:val="77FA7033"/>
    <w:rsid w:val="784C1F46"/>
    <w:rsid w:val="78672E77"/>
    <w:rsid w:val="786A7D18"/>
    <w:rsid w:val="78850FF2"/>
    <w:rsid w:val="78911745"/>
    <w:rsid w:val="78AE7934"/>
    <w:rsid w:val="78C80EDF"/>
    <w:rsid w:val="78CD23C5"/>
    <w:rsid w:val="78D25AFB"/>
    <w:rsid w:val="78ED39B6"/>
    <w:rsid w:val="78EE6B97"/>
    <w:rsid w:val="79535D61"/>
    <w:rsid w:val="796C0E5E"/>
    <w:rsid w:val="797A042B"/>
    <w:rsid w:val="798412AA"/>
    <w:rsid w:val="79D7762B"/>
    <w:rsid w:val="79EB757B"/>
    <w:rsid w:val="79EF748B"/>
    <w:rsid w:val="79F7426E"/>
    <w:rsid w:val="79F877B0"/>
    <w:rsid w:val="7A462A03"/>
    <w:rsid w:val="7A9C0875"/>
    <w:rsid w:val="7A9E572A"/>
    <w:rsid w:val="7AB91427"/>
    <w:rsid w:val="7ADB139D"/>
    <w:rsid w:val="7B30793B"/>
    <w:rsid w:val="7B310FBD"/>
    <w:rsid w:val="7B590514"/>
    <w:rsid w:val="7B767318"/>
    <w:rsid w:val="7C364721"/>
    <w:rsid w:val="7C456945"/>
    <w:rsid w:val="7C49114F"/>
    <w:rsid w:val="7C4B60AF"/>
    <w:rsid w:val="7C583FDD"/>
    <w:rsid w:val="7CF14EA8"/>
    <w:rsid w:val="7D365262"/>
    <w:rsid w:val="7D46669D"/>
    <w:rsid w:val="7D5316BF"/>
    <w:rsid w:val="7D9F2B56"/>
    <w:rsid w:val="7DB3215D"/>
    <w:rsid w:val="7DE22A43"/>
    <w:rsid w:val="7E503E50"/>
    <w:rsid w:val="7E5A3FF1"/>
    <w:rsid w:val="7E941F8F"/>
    <w:rsid w:val="7ECF3FA0"/>
    <w:rsid w:val="7EE65B98"/>
    <w:rsid w:val="7F4E5C6F"/>
    <w:rsid w:val="7F5A3979"/>
    <w:rsid w:val="7F7122D0"/>
    <w:rsid w:val="7F7B1866"/>
    <w:rsid w:val="7F985AAF"/>
    <w:rsid w:val="7FC307D4"/>
    <w:rsid w:val="7FEF94E8"/>
    <w:rsid w:val="7FF55EF5"/>
    <w:rsid w:val="B7F34C85"/>
    <w:rsid w:val="E75E2F6B"/>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29"/>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semiHidden/>
    <w:unhideWhenUsed/>
    <w:qFormat/>
    <w:uiPriority w:val="99"/>
    <w:pPr>
      <w:spacing w:after="120"/>
    </w:pPr>
  </w:style>
  <w:style w:type="paragraph" w:styleId="3">
    <w:name w:val="Body Text First Indent"/>
    <w:basedOn w:val="2"/>
    <w:next w:val="1"/>
    <w:link w:val="31"/>
    <w:unhideWhenUsed/>
    <w:qFormat/>
    <w:uiPriority w:val="99"/>
    <w:pPr>
      <w:ind w:firstLine="420" w:firstLineChars="100"/>
    </w:pPr>
    <w:rPr>
      <w:rFonts w:ascii="Times New Roman" w:hAnsi="Times New Roman" w:cs="Times New Roman"/>
      <w:szCs w:val="24"/>
    </w:rPr>
  </w:style>
  <w:style w:type="paragraph" w:styleId="7">
    <w:name w:val="Normal Indent"/>
    <w:basedOn w:val="1"/>
    <w:next w:val="1"/>
    <w:qFormat/>
    <w:uiPriority w:val="0"/>
    <w:pPr>
      <w:ind w:firstLine="420"/>
    </w:pPr>
    <w:rPr>
      <w:szCs w:val="20"/>
    </w:rPr>
  </w:style>
  <w:style w:type="paragraph" w:styleId="8">
    <w:name w:val="annotation text"/>
    <w:basedOn w:val="1"/>
    <w:semiHidden/>
    <w:qFormat/>
    <w:uiPriority w:val="0"/>
    <w:pPr>
      <w:jc w:val="left"/>
    </w:pPr>
  </w:style>
  <w:style w:type="paragraph" w:styleId="9">
    <w:name w:val="Body Text 3"/>
    <w:basedOn w:val="1"/>
    <w:qFormat/>
    <w:uiPriority w:val="0"/>
    <w:rPr>
      <w:sz w:val="16"/>
      <w:szCs w:val="16"/>
    </w:rPr>
  </w:style>
  <w:style w:type="paragraph" w:styleId="10">
    <w:name w:val="Body Text Indent"/>
    <w:basedOn w:val="1"/>
    <w:next w:val="7"/>
    <w:qFormat/>
    <w:uiPriority w:val="0"/>
    <w:pPr>
      <w:spacing w:line="360" w:lineRule="auto"/>
      <w:ind w:firstLine="600" w:firstLineChars="200"/>
    </w:pPr>
    <w:rPr>
      <w:rFonts w:ascii="仿宋_GB2312" w:hAnsi="宋体" w:eastAsia="仿宋_GB2312"/>
      <w:sz w:val="30"/>
    </w:rPr>
  </w:style>
  <w:style w:type="paragraph" w:styleId="11">
    <w:name w:val="List 2"/>
    <w:basedOn w:val="1"/>
    <w:qFormat/>
    <w:uiPriority w:val="0"/>
    <w:pPr>
      <w:ind w:left="100" w:leftChars="200" w:hanging="200" w:hangingChars="200"/>
    </w:pPr>
  </w:style>
  <w:style w:type="paragraph" w:styleId="12">
    <w:name w:val="Plain Text"/>
    <w:basedOn w:val="1"/>
    <w:next w:val="1"/>
    <w:qFormat/>
    <w:uiPriority w:val="0"/>
    <w:pPr>
      <w:spacing w:beforeLines="50" w:afterLines="50" w:line="400" w:lineRule="exact"/>
    </w:pPr>
    <w:rPr>
      <w:rFonts w:ascii="宋体" w:hAnsi="Courier New"/>
      <w:sz w:val="24"/>
    </w:rPr>
  </w:style>
  <w:style w:type="paragraph" w:styleId="13">
    <w:name w:val="Date"/>
    <w:basedOn w:val="1"/>
    <w:next w:val="1"/>
    <w:link w:val="26"/>
    <w:semiHidden/>
    <w:qFormat/>
    <w:uiPriority w:val="99"/>
    <w:pPr>
      <w:ind w:left="100" w:leftChars="2500"/>
    </w:pPr>
  </w:style>
  <w:style w:type="paragraph" w:styleId="14">
    <w:name w:val="footer"/>
    <w:basedOn w:val="1"/>
    <w:link w:val="28"/>
    <w:semiHidden/>
    <w:unhideWhenUsed/>
    <w:qFormat/>
    <w:uiPriority w:val="99"/>
    <w:pPr>
      <w:tabs>
        <w:tab w:val="center" w:pos="4153"/>
        <w:tab w:val="right" w:pos="8306"/>
      </w:tabs>
      <w:snapToGrid w:val="0"/>
      <w:jc w:val="left"/>
    </w:pPr>
    <w:rPr>
      <w:sz w:val="18"/>
      <w:szCs w:val="18"/>
    </w:rPr>
  </w:style>
  <w:style w:type="paragraph" w:styleId="15">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locked/>
    <w:uiPriority w:val="39"/>
  </w:style>
  <w:style w:type="paragraph" w:styleId="17">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Body Text First Indent 2"/>
    <w:basedOn w:val="10"/>
    <w:qFormat/>
    <w:uiPriority w:val="0"/>
    <w:pPr>
      <w:spacing w:after="120"/>
      <w:ind w:firstLine="420" w:firstLineChars="200"/>
    </w:pPr>
  </w:style>
  <w:style w:type="table" w:styleId="21">
    <w:name w:val="Table Grid"/>
    <w:basedOn w:val="2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character" w:customStyle="1" w:styleId="26">
    <w:name w:val="日期 Char"/>
    <w:basedOn w:val="22"/>
    <w:link w:val="13"/>
    <w:semiHidden/>
    <w:qFormat/>
    <w:locked/>
    <w:uiPriority w:val="99"/>
  </w:style>
  <w:style w:type="character" w:customStyle="1" w:styleId="27">
    <w:name w:val="页眉 Char"/>
    <w:basedOn w:val="22"/>
    <w:link w:val="15"/>
    <w:semiHidden/>
    <w:qFormat/>
    <w:uiPriority w:val="99"/>
    <w:rPr>
      <w:rFonts w:cs="Calibri"/>
      <w:sz w:val="18"/>
      <w:szCs w:val="18"/>
    </w:rPr>
  </w:style>
  <w:style w:type="character" w:customStyle="1" w:styleId="28">
    <w:name w:val="页脚 Char"/>
    <w:basedOn w:val="22"/>
    <w:link w:val="14"/>
    <w:semiHidden/>
    <w:qFormat/>
    <w:uiPriority w:val="99"/>
    <w:rPr>
      <w:rFonts w:cs="Calibri"/>
      <w:sz w:val="18"/>
      <w:szCs w:val="18"/>
    </w:rPr>
  </w:style>
  <w:style w:type="character" w:customStyle="1" w:styleId="29">
    <w:name w:val="标题 3 Char"/>
    <w:basedOn w:val="22"/>
    <w:link w:val="6"/>
    <w:qFormat/>
    <w:uiPriority w:val="9"/>
    <w:rPr>
      <w:rFonts w:ascii="Times New Roman" w:hAnsi="Times New Roman" w:eastAsia="楷体_GB2312"/>
      <w:b/>
      <w:bCs/>
      <w:kern w:val="2"/>
      <w:sz w:val="32"/>
      <w:szCs w:val="32"/>
    </w:rPr>
  </w:style>
  <w:style w:type="character" w:customStyle="1" w:styleId="30">
    <w:name w:val="正文文本 Char"/>
    <w:basedOn w:val="22"/>
    <w:link w:val="2"/>
    <w:semiHidden/>
    <w:qFormat/>
    <w:uiPriority w:val="99"/>
    <w:rPr>
      <w:rFonts w:cs="Calibri"/>
      <w:kern w:val="2"/>
      <w:sz w:val="21"/>
      <w:szCs w:val="21"/>
    </w:rPr>
  </w:style>
  <w:style w:type="character" w:customStyle="1" w:styleId="31">
    <w:name w:val="正文首行缩进 Char"/>
    <w:basedOn w:val="30"/>
    <w:link w:val="3"/>
    <w:qFormat/>
    <w:uiPriority w:val="99"/>
    <w:rPr>
      <w:rFonts w:ascii="Times New Roman" w:hAnsi="Times New Roman"/>
      <w:szCs w:val="24"/>
    </w:rPr>
  </w:style>
  <w:style w:type="character" w:customStyle="1" w:styleId="32">
    <w:name w:val="newsitemtext1"/>
    <w:qFormat/>
    <w:uiPriority w:val="0"/>
    <w:rPr>
      <w:color w:val="000000"/>
      <w:spacing w:val="320"/>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Normal]"/>
    <w:qFormat/>
    <w:uiPriority w:val="0"/>
    <w:rPr>
      <w:rFonts w:ascii="宋体" w:hAnsi="宋体" w:eastAsia="Times New Roman" w:cs="Times New Roman"/>
      <w:sz w:val="24"/>
      <w:szCs w:val="24"/>
      <w:lang w:val="en-US" w:eastAsia="zh-CN" w:bidi="ar-SA"/>
    </w:r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37">
    <w:name w:val="段"/>
    <w:next w:val="1"/>
    <w:qFormat/>
    <w:uiPriority w:val="0"/>
    <w:pPr>
      <w:autoSpaceDE w:val="0"/>
      <w:autoSpaceDN w:val="0"/>
      <w:ind w:firstLine="200"/>
      <w:jc w:val="both"/>
    </w:pPr>
    <w:rPr>
      <w:rFonts w:ascii="Times New Roman" w:hAnsi="Times New Roman" w:eastAsia="宋体" w:cs="Times New Roman"/>
      <w:sz w:val="21"/>
      <w:lang w:val="en-US" w:eastAsia="zh-CN" w:bidi="ar-SA"/>
    </w:rPr>
  </w:style>
  <w:style w:type="paragraph" w:customStyle="1" w:styleId="38">
    <w:name w:val="Default"/>
    <w:next w:val="3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9">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sz w:val="21"/>
    </w:rPr>
  </w:style>
  <w:style w:type="character" w:customStyle="1" w:styleId="40">
    <w:name w:val="NormalCharacter"/>
    <w:qFormat/>
    <w:uiPriority w:val="0"/>
  </w:style>
  <w:style w:type="paragraph" w:customStyle="1" w:styleId="41">
    <w:name w:val="正文 New"/>
    <w:basedOn w:val="1"/>
    <w:qFormat/>
    <w:uiPriority w:val="0"/>
    <w:pPr>
      <w:spacing w:line="440" w:lineRule="exact"/>
      <w:ind w:left="357" w:hanging="357"/>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55</Pages>
  <Words>33515</Words>
  <Characters>35441</Characters>
  <Lines>21</Lines>
  <Paragraphs>6</Paragraphs>
  <TotalTime>5</TotalTime>
  <ScaleCrop>false</ScaleCrop>
  <LinksUpToDate>false</LinksUpToDate>
  <CharactersWithSpaces>36573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2019-07-24T11:23:00Z</dcterms:created>
  <dc:creator>xb21cn</dc:creator>
  <cp:lastModifiedBy>Administrator</cp:lastModifiedBy>
  <cp:lastPrinted>2025-04-23T01:51:00Z</cp:lastPrinted>
  <dcterms:modified xsi:type="dcterms:W3CDTF">2025-07-03T09:57:04Z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F0DFF3708BFC4C63B5131C3CF6D32418_13</vt:lpwstr>
  </property>
  <property fmtid="{D5CDD505-2E9C-101B-9397-08002B2CF9AE}" pid="4" name="KSOTemplateDocerSaveRecord">
    <vt:lpwstr>eyJoZGlkIjoiZWU0ZDdlMDA2OWMyNmM3OGQxNWRlMWU0ZTA2ZjRjOTkiLCJ1c2VySWQiOiIxNDY5NTQ2MzEwIn0=</vt:lpwstr>
  </property>
</Properties>
</file>