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3970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6A52B03">
            <w:pPr>
              <w:adjustRightInd/>
              <w:spacing w:line="360" w:lineRule="auto"/>
              <w:jc w:val="center"/>
              <w:rPr>
                <w:rFonts w:hint="eastAsia" w:ascii="仿宋" w:hAnsi="仿宋" w:eastAsia="仿宋" w:cs="仿宋"/>
                <w:color w:val="auto"/>
                <w:sz w:val="48"/>
                <w:szCs w:val="48"/>
              </w:rPr>
            </w:pPr>
            <w:bookmarkStart w:id="0" w:name="_Hlt74707423"/>
            <w:bookmarkEnd w:id="0"/>
            <w:bookmarkStart w:id="1" w:name="_Hlt74649545"/>
            <w:bookmarkEnd w:id="1"/>
            <w:bookmarkStart w:id="2" w:name="_Hlt74728647"/>
            <w:bookmarkEnd w:id="2"/>
            <w:bookmarkStart w:id="3" w:name="_Hlt74729822"/>
            <w:bookmarkEnd w:id="3"/>
            <w:bookmarkStart w:id="4" w:name="第二部分"/>
            <w:bookmarkStart w:id="5" w:name="_Toc91899870"/>
            <w:bookmarkStart w:id="6" w:name="_Toc91899871"/>
          </w:p>
        </w:tc>
      </w:tr>
      <w:tr w14:paraId="0C86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9E54B4E">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新街街道全域生活垃圾清运服务项目</w:t>
            </w:r>
          </w:p>
        </w:tc>
      </w:tr>
      <w:tr w14:paraId="7E74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6FDD642">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14:paraId="73116C4D">
            <w:pPr>
              <w:adjustRightInd/>
              <w:spacing w:line="360" w:lineRule="auto"/>
              <w:jc w:val="center"/>
              <w:rPr>
                <w:rFonts w:hint="eastAsia" w:ascii="仿宋" w:hAnsi="仿宋" w:eastAsia="仿宋" w:cs="仿宋"/>
                <w:color w:val="auto"/>
              </w:rPr>
            </w:pPr>
            <w:r>
              <w:rPr>
                <w:rFonts w:hint="eastAsia" w:ascii="仿宋" w:hAnsi="仿宋" w:eastAsia="仿宋" w:cs="仿宋"/>
                <w:b/>
                <w:color w:val="auto"/>
                <w:sz w:val="44"/>
                <w:szCs w:val="44"/>
              </w:rPr>
              <w:t>（电子招投标）</w:t>
            </w:r>
          </w:p>
        </w:tc>
      </w:tr>
      <w:tr w14:paraId="6CD0F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8440" w:type="dxa"/>
          </w:tcPr>
          <w:p w14:paraId="61F771AD">
            <w:pPr>
              <w:pStyle w:val="4"/>
              <w:jc w:val="center"/>
              <w:rPr>
                <w:rFonts w:hint="eastAsia" w:ascii="仿宋" w:eastAsia="仿宋" w:cs="仿宋"/>
                <w:color w:val="auto"/>
                <w:lang w:val="en-US"/>
              </w:rPr>
            </w:pPr>
            <w:r>
              <w:rPr>
                <w:rFonts w:hint="eastAsia" w:ascii="仿宋" w:eastAsia="仿宋" w:cs="仿宋"/>
                <w:color w:val="auto"/>
                <w:sz w:val="30"/>
                <w:szCs w:val="30"/>
              </w:rPr>
              <w:t>编号:</w:t>
            </w:r>
            <w:r>
              <w:rPr>
                <w:rFonts w:hint="eastAsia" w:ascii="仿宋" w:eastAsia="仿宋" w:cs="仿宋"/>
                <w:color w:val="auto"/>
                <w:sz w:val="30"/>
                <w:szCs w:val="30"/>
                <w:lang w:val="en-US"/>
              </w:rPr>
              <w:t>HXXS2025-XJ-ZCY008</w:t>
            </w:r>
          </w:p>
        </w:tc>
      </w:tr>
      <w:tr w14:paraId="5B69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27469FB5">
            <w:pPr>
              <w:snapToGrid w:val="0"/>
              <w:spacing w:line="360" w:lineRule="auto"/>
              <w:rPr>
                <w:rFonts w:hint="eastAsia" w:ascii="仿宋" w:hAnsi="仿宋" w:eastAsia="仿宋" w:cs="仿宋"/>
                <w:color w:val="auto"/>
                <w:sz w:val="48"/>
                <w:szCs w:val="48"/>
              </w:rPr>
            </w:pPr>
          </w:p>
        </w:tc>
      </w:tr>
      <w:tr w14:paraId="7E20C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00E27700">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杭州市萧山区人民政府新街街道办事处</w:t>
            </w:r>
          </w:p>
          <w:p w14:paraId="0AFBEF87">
            <w:pPr>
              <w:snapToGrid w:val="0"/>
              <w:spacing w:line="360" w:lineRule="auto"/>
              <w:rPr>
                <w:rFonts w:hint="eastAsia" w:ascii="仿宋" w:hAnsi="仿宋" w:eastAsia="仿宋" w:cs="仿宋"/>
                <w:color w:val="auto"/>
                <w:sz w:val="48"/>
                <w:szCs w:val="48"/>
              </w:rPr>
            </w:pPr>
          </w:p>
        </w:tc>
      </w:tr>
      <w:tr w14:paraId="6D3DA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4B92B2A2">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浙江华夏工程管理有限公司</w:t>
            </w:r>
          </w:p>
          <w:p w14:paraId="55DBD315">
            <w:pPr>
              <w:snapToGrid w:val="0"/>
              <w:spacing w:line="360" w:lineRule="auto"/>
              <w:jc w:val="center"/>
              <w:rPr>
                <w:rFonts w:hint="eastAsia" w:ascii="仿宋" w:hAnsi="仿宋" w:eastAsia="仿宋" w:cs="仿宋"/>
                <w:color w:val="auto"/>
                <w:sz w:val="48"/>
                <w:szCs w:val="48"/>
              </w:rPr>
            </w:pPr>
            <w:r>
              <w:rPr>
                <w:rFonts w:hint="eastAsia" w:ascii="仿宋" w:hAnsi="仿宋" w:eastAsia="仿宋" w:cs="仿宋"/>
                <w:bCs/>
                <w:color w:val="auto"/>
                <w:sz w:val="32"/>
                <w:szCs w:val="32"/>
              </w:rPr>
              <w:t xml:space="preserve">  2025年07月0</w:t>
            </w:r>
            <w:r>
              <w:rPr>
                <w:rFonts w:hint="eastAsia" w:ascii="仿宋" w:hAnsi="仿宋" w:eastAsia="仿宋" w:cs="仿宋"/>
                <w:bCs/>
                <w:color w:val="auto"/>
                <w:sz w:val="32"/>
                <w:szCs w:val="32"/>
                <w:lang w:val="en-US" w:eastAsia="zh-CN"/>
              </w:rPr>
              <w:t>8</w:t>
            </w:r>
            <w:r>
              <w:rPr>
                <w:rFonts w:hint="eastAsia" w:ascii="仿宋" w:hAnsi="仿宋" w:eastAsia="仿宋" w:cs="仿宋"/>
                <w:bCs/>
                <w:color w:val="auto"/>
                <w:sz w:val="32"/>
                <w:szCs w:val="32"/>
              </w:rPr>
              <w:t>日</w:t>
            </w:r>
          </w:p>
        </w:tc>
      </w:tr>
    </w:tbl>
    <w:p w14:paraId="71E8B299">
      <w:pPr>
        <w:jc w:val="left"/>
        <w:rPr>
          <w:rFonts w:hint="eastAsia" w:ascii="仿宋" w:hAnsi="仿宋" w:eastAsia="仿宋" w:cs="仿宋"/>
          <w:color w:val="auto"/>
        </w:rPr>
      </w:pPr>
      <w:r>
        <w:rPr>
          <w:rFonts w:hint="eastAsia" w:ascii="仿宋" w:hAnsi="仿宋" w:eastAsia="仿宋" w:cs="仿宋"/>
          <w:color w:val="auto"/>
        </w:rPr>
        <w:t>本招标文件为2025年4月1日稿</w:t>
      </w:r>
    </w:p>
    <w:p w14:paraId="07188FD9">
      <w:pPr>
        <w:rPr>
          <w:rFonts w:hint="eastAsia" w:ascii="仿宋" w:hAnsi="仿宋" w:eastAsia="仿宋" w:cs="仿宋"/>
          <w:color w:val="auto"/>
        </w:rPr>
      </w:pPr>
      <w:r>
        <w:rPr>
          <w:rFonts w:hint="eastAsia" w:ascii="仿宋" w:hAnsi="仿宋" w:eastAsia="仿宋" w:cs="仿宋"/>
          <w:color w:val="auto"/>
        </w:rPr>
        <w:br w:type="page"/>
      </w:r>
    </w:p>
    <w:p w14:paraId="54531979">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13052627">
      <w:pPr>
        <w:spacing w:line="360" w:lineRule="auto"/>
        <w:rPr>
          <w:rFonts w:hint="eastAsia" w:ascii="仿宋" w:hAnsi="仿宋" w:eastAsia="仿宋" w:cs="仿宋"/>
          <w:color w:val="auto"/>
          <w:sz w:val="32"/>
          <w:szCs w:val="32"/>
        </w:rPr>
      </w:pPr>
    </w:p>
    <w:p w14:paraId="47956EEC">
      <w:pPr>
        <w:spacing w:line="360" w:lineRule="auto"/>
        <w:rPr>
          <w:rFonts w:hint="eastAsia" w:ascii="仿宋" w:hAnsi="仿宋" w:eastAsia="仿宋" w:cs="仿宋"/>
          <w:color w:val="auto"/>
          <w:sz w:val="32"/>
          <w:szCs w:val="32"/>
        </w:rPr>
      </w:pPr>
    </w:p>
    <w:p w14:paraId="4ACD3BE2">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14:paraId="3E7F3960">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14:paraId="31C8DD69">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01E2CE34">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14:paraId="750D582F">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1BFD053B">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54BE601B">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679C413">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2863E5B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1B6F9A8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rPr>
        <w:t>新街街道全域生活垃圾清运服务项目</w:t>
      </w:r>
      <w:r>
        <w:rPr>
          <w:rFonts w:hint="eastAsia" w:ascii="仿宋" w:hAnsi="仿宋" w:eastAsia="仿宋" w:cs="仿宋"/>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仿宋" w:hAnsi="仿宋" w:eastAsia="仿宋" w:cs="仿宋"/>
          <w:snapToGrid/>
          <w:color w:val="auto"/>
          <w:kern w:val="2"/>
          <w:sz w:val="24"/>
          <w:szCs w:val="24"/>
        </w:rPr>
        <w:t>https://www.zcygov.cn/）获取（下载）招标文件，并于2025年07月</w:t>
      </w:r>
      <w:r>
        <w:rPr>
          <w:rStyle w:val="76"/>
          <w:rFonts w:hint="eastAsia" w:ascii="仿宋" w:hAnsi="仿宋" w:eastAsia="仿宋" w:cs="仿宋"/>
          <w:snapToGrid/>
          <w:color w:val="auto"/>
          <w:kern w:val="2"/>
          <w:sz w:val="24"/>
          <w:szCs w:val="24"/>
          <w:lang w:val="en-US" w:eastAsia="zh-CN"/>
        </w:rPr>
        <w:t>28</w:t>
      </w:r>
      <w:r>
        <w:rPr>
          <w:rStyle w:val="76"/>
          <w:rFonts w:hint="eastAsia" w:ascii="仿宋" w:hAnsi="仿宋" w:eastAsia="仿宋" w:cs="仿宋"/>
          <w:snapToGrid/>
          <w:color w:val="auto"/>
          <w:kern w:val="2"/>
          <w:sz w:val="24"/>
          <w:szCs w:val="24"/>
        </w:rPr>
        <w:t>日09点30分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23873396">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14D2CA7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rPr>
        <w:t>HXXS2025-XJ-ZCY008</w:t>
      </w:r>
    </w:p>
    <w:p w14:paraId="75AE5AA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color w:val="auto"/>
          <w:sz w:val="24"/>
        </w:rPr>
        <w:t>新街街道全域生活垃圾清运服务项目</w:t>
      </w:r>
    </w:p>
    <w:p w14:paraId="3CD8723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color w:val="auto"/>
          <w:sz w:val="24"/>
        </w:rPr>
        <w:t>7450000.00</w:t>
      </w:r>
    </w:p>
    <w:p w14:paraId="56A26EA3">
      <w:pPr>
        <w:spacing w:line="36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color w:val="auto"/>
          <w:sz w:val="24"/>
        </w:rPr>
        <w:t>7450000.00</w:t>
      </w:r>
    </w:p>
    <w:p w14:paraId="307B4812">
      <w:pPr>
        <w:pStyle w:val="2"/>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rPr>
        <w:t>新街街道全域生活垃圾清运服务项目</w:t>
      </w:r>
      <w:r>
        <w:rPr>
          <w:rFonts w:hint="eastAsia" w:ascii="仿宋" w:hAnsi="仿宋" w:eastAsia="仿宋" w:cs="仿宋"/>
          <w:bCs/>
          <w:snapToGrid/>
          <w:color w:val="auto"/>
          <w:kern w:val="2"/>
          <w:sz w:val="24"/>
          <w:szCs w:val="24"/>
        </w:rPr>
        <w:t xml:space="preserve"> 主要内容：</w:t>
      </w:r>
      <w:r>
        <w:rPr>
          <w:rFonts w:hint="eastAsia" w:ascii="仿宋" w:hAnsi="仿宋" w:eastAsia="仿宋" w:cs="仿宋"/>
          <w:color w:val="auto"/>
          <w:sz w:val="24"/>
        </w:rPr>
        <w:t>新新街街道全域生活垃圾清运服务项目</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0488A0C0">
      <w:pPr>
        <w:pStyle w:val="129"/>
        <w:ind w:firstLine="482"/>
        <w:outlineLvl w:val="2"/>
        <w:rPr>
          <w:rFonts w:hint="eastAsia" w:ascii="仿宋" w:hAnsi="仿宋" w:eastAsia="仿宋" w:cs="仿宋"/>
          <w:color w:val="auto"/>
        </w:rPr>
      </w:pPr>
      <w:r>
        <w:rPr>
          <w:rFonts w:hint="eastAsia" w:ascii="仿宋" w:hAnsi="仿宋" w:eastAsia="仿宋" w:cs="仿宋"/>
          <w:b/>
          <w:color w:val="auto"/>
        </w:rPr>
        <w:t>合同履约期限：一年，详见招标文件</w:t>
      </w:r>
    </w:p>
    <w:p w14:paraId="088BA0CC">
      <w:pPr>
        <w:pStyle w:val="2"/>
        <w:spacing w:line="360" w:lineRule="auto"/>
        <w:ind w:firstLine="480"/>
        <w:rPr>
          <w:rFonts w:hint="eastAsia" w:ascii="仿宋" w:hAnsi="仿宋" w:eastAsia="仿宋" w:cs="仿宋"/>
          <w:color w:val="auto"/>
          <w:kern w:val="0"/>
          <w:sz w:val="24"/>
          <w:lang w:val="en-US" w:eastAsia="zh-CN"/>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Wingdings" w:hAnsi="Wingdings" w:eastAsia="仿宋" w:cs="仿宋"/>
              <w:snapToGrid/>
              <w:color w:val="auto"/>
              <w:kern w:val="2"/>
              <w:sz w:val="24"/>
              <w:szCs w:val="24"/>
            </w:rPr>
            <w:t>þ</w:t>
          </w:r>
        </w:sdtContent>
      </w:sdt>
      <w:r>
        <w:rPr>
          <w:rFonts w:hint="eastAsia" w:ascii="仿宋" w:hAnsi="仿宋" w:eastAsia="仿宋" w:cs="仿宋"/>
          <w:snapToGrid/>
          <w:color w:val="auto"/>
          <w:kern w:val="2"/>
          <w:sz w:val="24"/>
          <w:szCs w:val="24"/>
        </w:rPr>
        <w:t xml:space="preserve"> 是；</w:t>
      </w:r>
      <w:sdt>
        <w:sdtPr>
          <w:rPr>
            <w:rFonts w:hint="eastAsia" w:ascii="仿宋" w:hAnsi="仿宋" w:eastAsia="仿宋" w:cs="仿宋"/>
            <w:snapToGrid/>
            <w:color w:val="auto"/>
            <w:kern w:val="2"/>
            <w:sz w:val="24"/>
            <w:szCs w:val="24"/>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仿宋" w:hAnsi="仿宋" w:eastAsia="仿宋" w:cs="仿宋"/>
              <w:snapToGrid/>
              <w:color w:val="auto"/>
              <w:kern w:val="2"/>
              <w:sz w:val="24"/>
              <w:szCs w:val="24"/>
            </w:rPr>
            <w:t>☐</w:t>
          </w:r>
        </w:sdtContent>
      </w:sdt>
      <w:r>
        <w:rPr>
          <w:rFonts w:hint="eastAsia" w:ascii="仿宋" w:hAnsi="仿宋" w:eastAsia="仿宋" w:cs="仿宋"/>
          <w:snapToGrid/>
          <w:color w:val="auto"/>
          <w:kern w:val="2"/>
          <w:sz w:val="24"/>
          <w:szCs w:val="24"/>
        </w:rPr>
        <w:t xml:space="preserve"> 否</w:t>
      </w:r>
      <w:r>
        <w:rPr>
          <w:rFonts w:hint="eastAsia" w:ascii="仿宋" w:hAnsi="仿宋" w:eastAsia="仿宋" w:cs="仿宋"/>
          <w:snapToGrid/>
          <w:color w:val="auto"/>
          <w:kern w:val="2"/>
          <w:sz w:val="24"/>
          <w:szCs w:val="24"/>
          <w:lang w:val="en-US" w:eastAsia="zh-CN"/>
        </w:rPr>
        <w:t>y</w:t>
      </w:r>
    </w:p>
    <w:p w14:paraId="6FA46AAD">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119D745F">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0862E5C">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14:paraId="16AD7510">
      <w:pPr>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szCs w:val="20"/>
        </w:rPr>
        <w:t>3.落实政府采购政策需满足的资格要求：</w:t>
      </w:r>
      <w:sdt>
        <w:sdtPr>
          <w:rPr>
            <w:rFonts w:hint="eastAsia" w:ascii="仿宋" w:hAnsi="仿宋" w:eastAsia="仿宋" w:cs="仿宋"/>
            <w:color w:val="auto"/>
            <w:kern w:val="0"/>
            <w:sz w:val="24"/>
          </w:rPr>
          <w:id w:val="1474679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sdt>
        <w:sdtPr>
          <w:rPr>
            <w:rFonts w:hint="eastAsia" w:ascii="仿宋" w:hAnsi="仿宋" w:eastAsia="仿宋" w:cs="仿宋"/>
            <w:color w:val="auto"/>
            <w:kern w:val="0"/>
            <w:sz w:val="24"/>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sz w:val="24"/>
        </w:rPr>
        <w:t>服务全部由符合政策要求的中小微企业承接，提供中小企业声明函；</w:t>
      </w:r>
    </w:p>
    <w:p w14:paraId="1770A10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4.本项目的特定资格要求：</w:t>
      </w:r>
      <w:sdt>
        <w:sdtPr>
          <w:rPr>
            <w:rFonts w:hint="eastAsia" w:ascii="仿宋" w:hAnsi="仿宋" w:eastAsia="仿宋" w:cs="仿宋"/>
            <w:color w:val="auto"/>
            <w:sz w:val="24"/>
          </w:rPr>
          <w:id w:val="147462821"/>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Wingdings" w:hAnsi="Wingdings" w:eastAsia="仿宋" w:cs="仿宋"/>
              <w:color w:val="auto"/>
              <w:sz w:val="24"/>
            </w:rPr>
            <w:t>þ</w:t>
          </w:r>
        </w:sdtContent>
      </w:sdt>
      <w:r>
        <w:rPr>
          <w:rFonts w:hint="eastAsia" w:ascii="仿宋" w:hAnsi="仿宋" w:eastAsia="仿宋" w:cs="仿宋"/>
          <w:color w:val="auto"/>
          <w:sz w:val="24"/>
        </w:rPr>
        <w:t>无。</w:t>
      </w:r>
    </w:p>
    <w:p w14:paraId="56DE8EE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1D8D23">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0FBC414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2025年07月</w:t>
      </w:r>
      <w:r>
        <w:rPr>
          <w:rFonts w:hint="eastAsia" w:ascii="仿宋" w:hAnsi="仿宋" w:eastAsia="仿宋" w:cs="仿宋"/>
          <w:color w:val="auto"/>
          <w:sz w:val="24"/>
          <w:u w:val="single"/>
          <w:lang w:val="en-US" w:eastAsia="zh-CN"/>
        </w:rPr>
        <w:t>28</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4421C252">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5E28A917">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58EBC75F">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684C768E">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586D06C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2025年07月</w:t>
      </w:r>
      <w:r>
        <w:rPr>
          <w:rFonts w:hint="eastAsia" w:ascii="仿宋" w:hAnsi="仿宋" w:eastAsia="仿宋" w:cs="仿宋"/>
          <w:color w:val="auto"/>
          <w:sz w:val="24"/>
          <w:u w:val="single"/>
          <w:lang w:val="en-US" w:eastAsia="zh-CN"/>
        </w:rPr>
        <w:t>28</w:t>
      </w:r>
      <w:r>
        <w:rPr>
          <w:rFonts w:hint="eastAsia" w:ascii="仿宋" w:hAnsi="仿宋" w:eastAsia="仿宋" w:cs="仿宋"/>
          <w:color w:val="auto"/>
          <w:sz w:val="24"/>
          <w:u w:val="single"/>
        </w:rPr>
        <w:t>日09点30分00秒</w:t>
      </w:r>
      <w:r>
        <w:rPr>
          <w:rFonts w:hint="eastAsia" w:ascii="仿宋" w:hAnsi="仿宋" w:eastAsia="仿宋" w:cs="仿宋"/>
          <w:color w:val="auto"/>
          <w:sz w:val="24"/>
        </w:rPr>
        <w:t>（北京时间）</w:t>
      </w:r>
    </w:p>
    <w:p w14:paraId="69A97D98">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26441BBE">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2025年07月</w:t>
      </w:r>
      <w:r>
        <w:rPr>
          <w:rFonts w:hint="eastAsia" w:ascii="仿宋" w:hAnsi="仿宋" w:eastAsia="仿宋" w:cs="仿宋"/>
          <w:color w:val="auto"/>
          <w:sz w:val="24"/>
          <w:u w:val="single"/>
          <w:lang w:val="en-US" w:eastAsia="zh-CN"/>
        </w:rPr>
        <w:t>28</w:t>
      </w:r>
      <w:r>
        <w:rPr>
          <w:rFonts w:hint="eastAsia" w:ascii="仿宋" w:hAnsi="仿宋" w:eastAsia="仿宋" w:cs="仿宋"/>
          <w:color w:val="auto"/>
          <w:sz w:val="24"/>
          <w:u w:val="single"/>
        </w:rPr>
        <w:t>日09点30分00秒</w:t>
      </w:r>
      <w:r>
        <w:rPr>
          <w:rFonts w:hint="eastAsia" w:ascii="仿宋" w:hAnsi="仿宋" w:eastAsia="仿宋" w:cs="仿宋"/>
          <w:color w:val="auto"/>
          <w:sz w:val="24"/>
        </w:rPr>
        <w:t>（北京时间）</w:t>
      </w:r>
    </w:p>
    <w:p w14:paraId="1DE9149A">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11C823DA">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461415B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0B931908">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2533F6D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590582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930B7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2C982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2D5A633">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7955B56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14:paraId="681E6B64">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名 称：杭州市萧山区人民政府新街街道办事处</w:t>
      </w:r>
    </w:p>
    <w:p w14:paraId="720AD622">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地址：杭州市萧山区新街街道府前路1号   </w:t>
      </w:r>
    </w:p>
    <w:p w14:paraId="24C5CB64">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传    真： /</w:t>
      </w:r>
    </w:p>
    <w:p w14:paraId="53188AAD">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项目联系人（询问）：吴张镭</w:t>
      </w:r>
    </w:p>
    <w:p w14:paraId="6F8CF665">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项目联系方式（询问）：0571-83829171</w:t>
      </w:r>
    </w:p>
    <w:p w14:paraId="0DD581F2">
      <w:pPr>
        <w:widowControl/>
        <w:adjustRightInd/>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质疑联系人： 倪建波</w:t>
      </w:r>
    </w:p>
    <w:p w14:paraId="52E6E120">
      <w:pPr>
        <w:widowControl/>
        <w:adjustRightInd/>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质疑联系方式：0571-82609950 </w:t>
      </w:r>
    </w:p>
    <w:p w14:paraId="7E577C0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（请通过以下路径在线提起质疑：政采云-项目采购-询问质疑投诉-质疑列表）</w:t>
      </w:r>
    </w:p>
    <w:p w14:paraId="7D3D74C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14:paraId="39B6C419">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名    称：浙江华夏工程管理有限公司</w:t>
      </w:r>
    </w:p>
    <w:p w14:paraId="338DD504">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szCs w:val="28"/>
        </w:rPr>
        <w:t>杭州市萧山区北干街道金城路540号心意广场3幢1802室</w:t>
      </w:r>
    </w:p>
    <w:p w14:paraId="6331BD7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14:paraId="063D5A5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项目联系人（询问）：林洒 </w:t>
      </w:r>
    </w:p>
    <w:p w14:paraId="7AC0721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项目联系方式（询问）：18268834344</w:t>
      </w:r>
    </w:p>
    <w:p w14:paraId="43E66B39">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质疑联系人：傅翔 </w:t>
      </w:r>
    </w:p>
    <w:p w14:paraId="79AC3575">
      <w:pPr>
        <w:spacing w:line="360" w:lineRule="auto"/>
        <w:rPr>
          <w:rFonts w:hint="eastAsia" w:ascii="仿宋" w:hAnsi="仿宋" w:eastAsia="仿宋" w:cs="仿宋"/>
          <w:color w:val="auto"/>
          <w:sz w:val="24"/>
        </w:rPr>
      </w:pPr>
      <w:r>
        <w:rPr>
          <w:rFonts w:hint="eastAsia" w:ascii="仿宋" w:hAnsi="仿宋" w:eastAsia="仿宋" w:cs="仿宋"/>
          <w:color w:val="auto"/>
          <w:sz w:val="24"/>
        </w:rPr>
        <w:t>质疑联系方式：0571-57572683（请通过以下路径在线提起质疑：政采云-项目采购-询问质疑投诉-质疑列表）</w:t>
      </w:r>
    </w:p>
    <w:p w14:paraId="5E8BBBD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w:t>
      </w:r>
      <w:r>
        <w:rPr>
          <w:rFonts w:hint="eastAsia" w:ascii="仿宋" w:hAnsi="仿宋" w:eastAsia="仿宋" w:cs="仿宋"/>
          <w:color w:val="auto"/>
        </w:rPr>
        <w:t xml:space="preserve"> </w:t>
      </w:r>
      <w:r>
        <w:rPr>
          <w:rFonts w:hint="eastAsia" w:ascii="仿宋" w:hAnsi="仿宋" w:eastAsia="仿宋" w:cs="仿宋"/>
          <w:color w:val="auto"/>
          <w:sz w:val="24"/>
        </w:rPr>
        <w:t xml:space="preserve">同级政府采购监督管理部门            </w:t>
      </w:r>
    </w:p>
    <w:p w14:paraId="31B22E8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名    称：杭州市萧山区财政局、浙江省政府采购行政裁决服务中心（杭州）</w:t>
      </w:r>
    </w:p>
    <w:p w14:paraId="1BAEC6F5">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地    址：杭州市上城区清泰街549号城建综合大楼11楼（快递仅限ems或顺丰）</w:t>
      </w:r>
    </w:p>
    <w:p w14:paraId="1B13726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传    真：/</w:t>
      </w:r>
    </w:p>
    <w:p w14:paraId="5418CB9C">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联系人 ：朱老师</w:t>
      </w:r>
    </w:p>
    <w:p w14:paraId="5647F29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监督投诉电话：0571-87800218</w:t>
      </w:r>
    </w:p>
    <w:p w14:paraId="21337429">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14:paraId="4DFC1DC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5C0FA081">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5E8D51B3">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4"/>
      <w:r>
        <w:rPr>
          <w:rFonts w:hint="eastAsia" w:ascii="仿宋" w:hAnsi="仿宋" w:eastAsia="仿宋" w:cs="仿宋"/>
          <w:b/>
          <w:color w:val="auto"/>
          <w:sz w:val="36"/>
          <w:szCs w:val="20"/>
        </w:rPr>
        <w:t xml:space="preserve"> 投标人须知</w:t>
      </w:r>
      <w:bookmarkEnd w:id="5"/>
    </w:p>
    <w:p w14:paraId="6E841BE3">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C92D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5D2EC7D4">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6B4ED4D">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600824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2015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 w:hRule="atLeast"/>
        </w:trPr>
        <w:tc>
          <w:tcPr>
            <w:tcW w:w="629" w:type="dxa"/>
            <w:tcBorders>
              <w:top w:val="single" w:color="auto" w:sz="4" w:space="0"/>
              <w:left w:val="single" w:color="auto" w:sz="4" w:space="0"/>
              <w:bottom w:val="single" w:color="auto" w:sz="4" w:space="0"/>
              <w:right w:val="single" w:color="auto" w:sz="4" w:space="0"/>
            </w:tcBorders>
            <w:vAlign w:val="center"/>
          </w:tcPr>
          <w:p w14:paraId="49A04E34">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5E50A7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ECF4E72">
            <w:pPr>
              <w:spacing w:line="360" w:lineRule="auto"/>
              <w:rPr>
                <w:rFonts w:hint="eastAsia" w:ascii="仿宋" w:hAnsi="仿宋" w:eastAsia="仿宋" w:cs="仿宋"/>
                <w:color w:val="auto"/>
                <w:sz w:val="24"/>
              </w:rPr>
            </w:pPr>
            <w:r>
              <w:rPr>
                <w:rFonts w:hint="eastAsia" w:ascii="仿宋" w:hAnsi="仿宋" w:eastAsia="仿宋" w:cs="仿宋"/>
                <w:color w:val="auto"/>
                <w:sz w:val="24"/>
              </w:rPr>
              <w:t>服务类。</w:t>
            </w:r>
          </w:p>
        </w:tc>
      </w:tr>
      <w:tr w14:paraId="02744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8" w:hRule="atLeast"/>
        </w:trPr>
        <w:tc>
          <w:tcPr>
            <w:tcW w:w="629" w:type="dxa"/>
            <w:tcBorders>
              <w:top w:val="single" w:color="auto" w:sz="4" w:space="0"/>
              <w:left w:val="single" w:color="auto" w:sz="4" w:space="0"/>
              <w:bottom w:val="single" w:color="auto" w:sz="4" w:space="0"/>
              <w:right w:val="single" w:color="auto" w:sz="4" w:space="0"/>
            </w:tcBorders>
            <w:vAlign w:val="center"/>
          </w:tcPr>
          <w:p w14:paraId="184303D6">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DF6E9D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4764A7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（1）标的：</w:t>
            </w:r>
            <w:r>
              <w:rPr>
                <w:rFonts w:hint="eastAsia" w:ascii="仿宋" w:hAnsi="仿宋" w:eastAsia="仿宋" w:cs="仿宋"/>
                <w:color w:val="auto"/>
                <w:sz w:val="24"/>
                <w:u w:val="single"/>
              </w:rPr>
              <w:t>新街街道全域生活垃圾清运服务项目，</w:t>
            </w:r>
            <w:r>
              <w:rPr>
                <w:rFonts w:hint="eastAsia" w:ascii="仿宋" w:hAnsi="仿宋" w:eastAsia="仿宋" w:cs="仿宋"/>
                <w:color w:val="auto"/>
                <w:sz w:val="24"/>
              </w:rPr>
              <w:t>属于</w:t>
            </w:r>
            <w:r>
              <w:rPr>
                <w:rFonts w:hint="eastAsia" w:ascii="仿宋" w:hAnsi="仿宋" w:eastAsia="仿宋" w:cs="仿宋"/>
                <w:color w:val="auto"/>
                <w:sz w:val="24"/>
                <w:u w:val="single"/>
              </w:rPr>
              <w:t>交通运输业</w:t>
            </w:r>
            <w:r>
              <w:rPr>
                <w:rFonts w:hint="eastAsia" w:ascii="仿宋" w:hAnsi="仿宋" w:eastAsia="仿宋" w:cs="仿宋"/>
                <w:color w:val="auto"/>
                <w:sz w:val="24"/>
              </w:rPr>
              <w:t>；</w:t>
            </w:r>
          </w:p>
          <w:p w14:paraId="291414F2">
            <w:pPr>
              <w:rPr>
                <w:rFonts w:hint="eastAsia" w:ascii="仿宋" w:hAnsi="仿宋" w:eastAsia="仿宋" w:cs="仿宋"/>
                <w:color w:val="auto"/>
              </w:rPr>
            </w:pPr>
            <w:r>
              <w:rPr>
                <w:rFonts w:hint="eastAsia" w:ascii="仿宋" w:hAnsi="仿宋" w:eastAsia="仿宋" w:cs="仿宋"/>
                <w:color w:val="auto"/>
                <w:sz w:val="24"/>
              </w:rPr>
              <w:t>注：中小企业划型标准详见附件8。</w:t>
            </w:r>
          </w:p>
        </w:tc>
      </w:tr>
      <w:tr w14:paraId="380ED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rPr>
        <w:tc>
          <w:tcPr>
            <w:tcW w:w="629" w:type="dxa"/>
            <w:tcBorders>
              <w:top w:val="single" w:color="auto" w:sz="4" w:space="0"/>
              <w:left w:val="single" w:color="auto" w:sz="4" w:space="0"/>
              <w:bottom w:val="single" w:color="auto" w:sz="4" w:space="0"/>
              <w:right w:val="single" w:color="auto" w:sz="4" w:space="0"/>
            </w:tcBorders>
            <w:vAlign w:val="center"/>
          </w:tcPr>
          <w:p w14:paraId="42D1BD93">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36285D4">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B4BCD3">
            <w:pPr>
              <w:rPr>
                <w:rFonts w:hint="eastAsia" w:ascii="仿宋" w:hAnsi="仿宋" w:eastAsia="仿宋" w:cs="仿宋"/>
                <w:color w:val="auto"/>
                <w:sz w:val="24"/>
              </w:rPr>
            </w:pPr>
            <w:sdt>
              <w:sdtPr>
                <w:rPr>
                  <w:rFonts w:hint="eastAsia" w:ascii="仿宋" w:hAnsi="仿宋" w:eastAsia="仿宋" w:cs="仿宋"/>
                  <w:color w:val="auto"/>
                  <w:sz w:val="24"/>
                </w:rPr>
                <w:id w:val="4658"/>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仿宋" w:hAnsi="仿宋" w:eastAsia="仿宋" w:cs="仿宋"/>
                    <w:color w:val="auto"/>
                    <w:sz w:val="24"/>
                  </w:rPr>
                  <w:sym w:font="Wingdings" w:char="F0FE"/>
                </w:r>
              </w:sdtContent>
            </w:sdt>
            <w:r>
              <w:rPr>
                <w:rFonts w:hint="eastAsia" w:ascii="仿宋" w:hAnsi="仿宋" w:eastAsia="仿宋" w:cs="仿宋"/>
                <w:color w:val="auto"/>
                <w:sz w:val="24"/>
              </w:rPr>
              <w:t>本项目不允许采购进口产品。</w:t>
            </w:r>
          </w:p>
          <w:p w14:paraId="31BCEE4D">
            <w:pPr>
              <w:rPr>
                <w:rFonts w:hint="eastAsia" w:ascii="仿宋" w:hAnsi="仿宋" w:eastAsia="仿宋" w:cs="仿宋"/>
                <w:color w:val="auto"/>
              </w:rPr>
            </w:pPr>
            <w:sdt>
              <w:sdtPr>
                <w:rPr>
                  <w:rFonts w:hint="eastAsia" w:ascii="仿宋" w:hAnsi="仿宋" w:eastAsia="仿宋" w:cs="仿宋"/>
                  <w:color w:val="auto"/>
                  <w:sz w:val="24"/>
                </w:rPr>
                <w:id w:val="4659"/>
                <w14:checkbox>
                  <w14:checked w14:val="0"/>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仿宋" w:hAnsi="仿宋" w:eastAsia="仿宋" w:cs="仿宋"/>
                    <w:color w:val="auto"/>
                    <w:sz w:val="24"/>
                  </w:rPr>
                  <w:t>☐</w:t>
                </w:r>
              </w:sdtContent>
            </w:sdt>
            <w:r>
              <w:rPr>
                <w:rFonts w:hint="eastAsia" w:ascii="仿宋" w:hAnsi="仿宋" w:eastAsia="仿宋" w:cs="仿宋"/>
                <w:color w:val="auto"/>
                <w:sz w:val="24"/>
              </w:rPr>
              <w:t>可以就    采购进口产品。</w:t>
            </w:r>
            <w:r>
              <w:rPr>
                <w:rFonts w:hint="eastAsia" w:ascii="仿宋" w:hAnsi="仿宋" w:eastAsia="仿宋" w:cs="仿宋"/>
                <w:color w:val="auto"/>
                <w:kern w:val="0"/>
                <w:sz w:val="24"/>
              </w:rPr>
              <w:t>优先采购向我国企业转让技术、与我国企业签订消化吸收再创新方案的供应商的进口产品，详见</w:t>
            </w:r>
            <w:r>
              <w:rPr>
                <w:rFonts w:hint="eastAsia" w:ascii="仿宋" w:hAnsi="仿宋" w:eastAsia="仿宋" w:cs="仿宋"/>
                <w:color w:val="auto"/>
                <w:kern w:val="0"/>
                <w:sz w:val="24"/>
                <w:u w:val="single"/>
              </w:rPr>
              <w:t>评分标准</w:t>
            </w:r>
            <w:r>
              <w:rPr>
                <w:rFonts w:hint="eastAsia" w:ascii="仿宋" w:hAnsi="仿宋" w:eastAsia="仿宋" w:cs="仿宋"/>
                <w:color w:val="auto"/>
                <w:kern w:val="0"/>
                <w:sz w:val="24"/>
              </w:rPr>
              <w:t>。</w:t>
            </w:r>
          </w:p>
        </w:tc>
      </w:tr>
      <w:tr w14:paraId="73FFB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trPr>
        <w:tc>
          <w:tcPr>
            <w:tcW w:w="629" w:type="dxa"/>
            <w:tcBorders>
              <w:top w:val="single" w:color="auto" w:sz="4" w:space="0"/>
              <w:left w:val="single" w:color="auto" w:sz="4" w:space="0"/>
              <w:bottom w:val="single" w:color="auto" w:sz="4" w:space="0"/>
              <w:right w:val="single" w:color="auto" w:sz="4" w:space="0"/>
            </w:tcBorders>
            <w:vAlign w:val="center"/>
          </w:tcPr>
          <w:p w14:paraId="2D9B88AA">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D6BD1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3212BAB">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4660"/>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rPr>
                  <w:t>☐</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sdt>
              <w:sdtPr>
                <w:rPr>
                  <w:rFonts w:hint="eastAsia" w:ascii="仿宋" w:hAnsi="仿宋" w:eastAsia="仿宋" w:cs="仿宋"/>
                  <w:color w:val="auto"/>
                  <w:kern w:val="0"/>
                  <w:sz w:val="24"/>
                </w:rPr>
                <w:id w:val="466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p w14:paraId="6A9512D0">
            <w:pPr>
              <w:spacing w:line="360" w:lineRule="auto"/>
              <w:rPr>
                <w:rFonts w:hint="eastAsia"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14:paraId="54076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4" w:hRule="atLeast"/>
        </w:trPr>
        <w:tc>
          <w:tcPr>
            <w:tcW w:w="629" w:type="dxa"/>
            <w:tcBorders>
              <w:top w:val="single" w:color="auto" w:sz="4" w:space="0"/>
              <w:left w:val="single" w:color="auto" w:sz="4" w:space="0"/>
              <w:bottom w:val="single" w:color="auto" w:sz="4" w:space="0"/>
              <w:right w:val="single" w:color="auto" w:sz="4" w:space="0"/>
            </w:tcBorders>
            <w:vAlign w:val="center"/>
          </w:tcPr>
          <w:p w14:paraId="334ED8FD">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E737D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B568D26">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4745387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3271B476">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14745228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p w14:paraId="4F24DB8C">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rPr>
                  <w:t>☐</w:t>
                </w:r>
              </w:sdtContent>
            </w:sdt>
            <w:r>
              <w:rPr>
                <w:rFonts w:hint="eastAsia" w:ascii="仿宋" w:hAnsi="仿宋" w:eastAsia="仿宋" w:cs="仿宋"/>
                <w:color w:val="auto"/>
                <w:sz w:val="24"/>
              </w:rPr>
              <w:t>C不统一组织，供应商在获取采购文件后，自行至项目现场考察。地点：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tc>
      </w:tr>
      <w:tr w14:paraId="033A5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trPr>
        <w:tc>
          <w:tcPr>
            <w:tcW w:w="629" w:type="dxa"/>
            <w:tcBorders>
              <w:top w:val="single" w:color="auto" w:sz="4" w:space="0"/>
              <w:left w:val="single" w:color="auto" w:sz="4" w:space="0"/>
              <w:bottom w:val="single" w:color="auto" w:sz="4" w:space="0"/>
              <w:right w:val="single" w:color="auto" w:sz="4" w:space="0"/>
            </w:tcBorders>
            <w:vAlign w:val="center"/>
          </w:tcPr>
          <w:p w14:paraId="3BA24F07">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CBE84B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3F5B9F8">
            <w:pPr>
              <w:spacing w:line="360" w:lineRule="auto"/>
              <w:rPr>
                <w:rFonts w:hint="eastAsia" w:ascii="仿宋" w:hAnsi="仿宋" w:eastAsia="仿宋" w:cs="仿宋"/>
                <w:color w:val="auto"/>
                <w:sz w:val="24"/>
              </w:rPr>
            </w:pPr>
            <w:sdt>
              <w:sdtPr>
                <w:rPr>
                  <w:rFonts w:hint="eastAsia" w:ascii="仿宋" w:hAnsi="仿宋" w:eastAsia="仿宋" w:cs="仿宋"/>
                  <w:color w:val="auto"/>
                  <w:sz w:val="24"/>
                </w:rPr>
                <w:id w:val="4664"/>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Wingdings" w:hAnsi="Wingdings" w:eastAsia="仿宋" w:cs="仿宋"/>
                    <w:color w:val="auto"/>
                    <w:sz w:val="24"/>
                  </w:rPr>
                  <w:t>þ</w:t>
                </w:r>
              </w:sdtContent>
            </w:sdt>
            <w:r>
              <w:rPr>
                <w:rFonts w:hint="eastAsia" w:ascii="仿宋" w:hAnsi="仿宋" w:eastAsia="仿宋" w:cs="仿宋"/>
                <w:color w:val="auto"/>
                <w:sz w:val="24"/>
              </w:rPr>
              <w:t>A不要求提供。</w:t>
            </w:r>
          </w:p>
          <w:p w14:paraId="54EC2AFF">
            <w:pPr>
              <w:rPr>
                <w:color w:val="auto"/>
              </w:rPr>
            </w:pPr>
            <w:sdt>
              <w:sdtPr>
                <w:rPr>
                  <w:rFonts w:hint="eastAsia" w:ascii="仿宋" w:hAnsi="仿宋" w:eastAsia="仿宋" w:cs="仿宋"/>
                  <w:color w:val="auto"/>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MS Gothic" w:hAnsi="MS Gothic" w:eastAsia="仿宋" w:cs="仿宋"/>
                    <w:color w:val="auto"/>
                    <w:sz w:val="24"/>
                  </w:rPr>
                  <w:t>☐</w:t>
                </w:r>
              </w:sdtContent>
            </w:sdt>
            <w:r>
              <w:rPr>
                <w:rFonts w:hint="eastAsia" w:ascii="仿宋" w:hAnsi="仿宋" w:eastAsia="仿宋" w:cs="仿宋"/>
                <w:color w:val="auto"/>
                <w:sz w:val="24"/>
              </w:rPr>
              <w:t>B要求提供</w:t>
            </w:r>
            <w:r>
              <w:rPr>
                <w:rFonts w:hint="eastAsia" w:ascii="仿宋" w:hAnsi="仿宋" w:eastAsia="仿宋" w:cs="仿宋"/>
                <w:color w:val="auto"/>
                <w:kern w:val="0"/>
                <w:sz w:val="24"/>
              </w:rPr>
              <w:t>（未提供样品或提供样品不满足采购需求实质性条件的供应商，投标无效）</w:t>
            </w:r>
          </w:p>
        </w:tc>
      </w:tr>
      <w:tr w14:paraId="2CF59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0" w:hRule="atLeast"/>
        </w:trPr>
        <w:tc>
          <w:tcPr>
            <w:tcW w:w="629" w:type="dxa"/>
            <w:tcBorders>
              <w:top w:val="single" w:color="auto" w:sz="4" w:space="0"/>
              <w:left w:val="single" w:color="auto" w:sz="4" w:space="0"/>
              <w:bottom w:val="single" w:color="auto" w:sz="4" w:space="0"/>
              <w:right w:val="single" w:color="auto" w:sz="4" w:space="0"/>
            </w:tcBorders>
            <w:vAlign w:val="center"/>
          </w:tcPr>
          <w:p w14:paraId="6F7DC3DC">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6CFCA8E">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A8F44">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4076E9D6">
            <w:pPr>
              <w:spacing w:line="360" w:lineRule="auto"/>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tc>
      </w:tr>
      <w:tr w14:paraId="30585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63CF74C4">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28BF61FD">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11EF822">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2C22064C">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61E3C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47563808">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51B06C03">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82C9883">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r>
              <w:rPr>
                <w:rFonts w:hint="eastAsia" w:ascii="仿宋" w:hAnsi="仿宋" w:eastAsia="仿宋" w:cs="仿宋"/>
                <w:color w:val="auto"/>
                <w:sz w:val="24"/>
                <w:u w:val="single"/>
              </w:rPr>
              <w:t>有效的资信证明文件。</w:t>
            </w:r>
          </w:p>
        </w:tc>
      </w:tr>
      <w:tr w14:paraId="29668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AABCF25">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36C22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C3ABAF">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采购人拟采购的产品属于品目清单范围的，采购人将依据国家确定的认证机构出具的、处于有效期之内的节能产品、环境标志产品认证证书，对获得证书的产品实施政府优先采购或强制采购。</w:t>
            </w:r>
          </w:p>
          <w:p w14:paraId="2C9E3E07">
            <w:pPr>
              <w:pStyle w:val="964"/>
              <w:spacing w:line="360" w:lineRule="auto"/>
              <w:ind w:firstLine="480"/>
              <w:jc w:val="both"/>
              <w:rPr>
                <w:rFonts w:hint="eastAsia" w:ascii="仿宋" w:hAnsi="仿宋" w:eastAsia="仿宋" w:cs="仿宋"/>
                <w:color w:val="auto"/>
                <w:sz w:val="24"/>
                <w:lang w:val="zh-CN"/>
              </w:rPr>
            </w:pPr>
            <w:sdt>
              <w:sdtPr>
                <w:rPr>
                  <w:rFonts w:hint="eastAsia" w:ascii="仿宋" w:hAnsi="仿宋" w:eastAsia="仿宋" w:cs="仿宋"/>
                  <w:color w:val="auto"/>
                  <w:kern w:val="2"/>
                  <w:sz w:val="24"/>
                  <w:szCs w:val="24"/>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rPr>
              </w:sdtEndPr>
              <w:sdtContent>
                <w:r>
                  <w:rPr>
                    <w:rFonts w:hint="eastAsia" w:ascii="仿宋" w:hAnsi="仿宋" w:eastAsia="仿宋" w:cs="仿宋"/>
                    <w:color w:val="auto"/>
                    <w:kern w:val="2"/>
                    <w:sz w:val="24"/>
                    <w:szCs w:val="24"/>
                  </w:rPr>
                  <w:t>☐</w:t>
                </w:r>
              </w:sdtContent>
            </w:sdt>
            <w:r>
              <w:rPr>
                <w:rFonts w:hint="eastAsia" w:ascii="仿宋" w:hAnsi="仿宋" w:eastAsia="仿宋" w:cs="仿宋"/>
                <w:color w:val="auto"/>
                <w:kern w:val="2"/>
                <w:sz w:val="24"/>
                <w:szCs w:val="24"/>
              </w:rPr>
              <w:t>强制采购。产品：</w:t>
            </w:r>
            <w:r>
              <w:rPr>
                <w:rFonts w:hint="eastAsia" w:ascii="仿宋" w:hAnsi="仿宋" w:eastAsia="仿宋" w:cs="仿宋"/>
                <w:color w:val="auto"/>
                <w:kern w:val="2"/>
                <w:sz w:val="24"/>
                <w:szCs w:val="24"/>
                <w:u w:val="single"/>
                <w:shd w:val="clear" w:color="FFFFFF" w:fill="D9D9D9"/>
              </w:rPr>
              <w:t xml:space="preserve">        。</w:t>
            </w:r>
            <w:r>
              <w:rPr>
                <w:rFonts w:hint="eastAsia" w:ascii="仿宋" w:hAnsi="仿宋" w:eastAsia="仿宋" w:cs="仿宋"/>
                <w:color w:val="auto"/>
                <w:sz w:val="24"/>
              </w:rPr>
              <w:t>▲</w:t>
            </w:r>
            <w:r>
              <w:rPr>
                <w:rFonts w:hint="eastAsia" w:ascii="仿宋" w:hAnsi="仿宋" w:eastAsia="仿宋" w:cs="仿宋"/>
                <w:color w:val="auto"/>
                <w:sz w:val="24"/>
                <w:lang w:val="zh-CN"/>
              </w:rPr>
              <w:t>对实施政府强制采购，</w:t>
            </w:r>
            <w:r>
              <w:rPr>
                <w:rFonts w:hint="eastAsia" w:ascii="仿宋" w:hAnsi="仿宋" w:eastAsia="仿宋" w:cs="仿宋"/>
                <w:b/>
                <w:bCs/>
                <w:color w:val="auto"/>
                <w:sz w:val="24"/>
                <w:lang w:val="zh-CN"/>
              </w:rPr>
              <w:t>投标人</w:t>
            </w:r>
            <w:r>
              <w:rPr>
                <w:rFonts w:hint="eastAsia" w:ascii="仿宋" w:hAnsi="仿宋" w:eastAsia="仿宋" w:cs="仿宋"/>
                <w:b/>
                <w:bCs/>
                <w:color w:val="auto"/>
                <w:sz w:val="24"/>
              </w:rPr>
              <w:t>就</w:t>
            </w:r>
            <w:r>
              <w:rPr>
                <w:rFonts w:hint="eastAsia" w:ascii="仿宋" w:hAnsi="仿宋" w:eastAsia="仿宋" w:cs="仿宋"/>
                <w:b/>
                <w:bCs/>
                <w:color w:val="auto"/>
                <w:sz w:val="24"/>
                <w:lang w:val="zh-CN"/>
              </w:rPr>
              <w:t>相应的投标产品未</w:t>
            </w:r>
            <w:r>
              <w:rPr>
                <w:rFonts w:hint="eastAsia" w:ascii="仿宋" w:hAnsi="仿宋" w:eastAsia="仿宋" w:cs="仿宋"/>
                <w:b/>
                <w:bCs/>
                <w:color w:val="auto"/>
                <w:sz w:val="24"/>
              </w:rPr>
              <w:t>提供</w:t>
            </w:r>
            <w:r>
              <w:rPr>
                <w:rFonts w:hint="eastAsia" w:ascii="仿宋" w:hAnsi="仿宋" w:eastAsia="仿宋" w:cs="仿宋"/>
                <w:b/>
                <w:bCs/>
                <w:color w:val="auto"/>
                <w:sz w:val="24"/>
                <w:lang w:val="zh-CN"/>
              </w:rPr>
              <w:t>国家确定的认证机构出具的、处于有效期之内的节能产品认证证书的，投标无效</w:t>
            </w:r>
            <w:r>
              <w:rPr>
                <w:rFonts w:hint="eastAsia" w:ascii="仿宋" w:hAnsi="仿宋" w:eastAsia="仿宋" w:cs="仿宋"/>
                <w:color w:val="auto"/>
                <w:sz w:val="24"/>
                <w:lang w:val="zh-CN"/>
              </w:rPr>
              <w:t>。</w:t>
            </w:r>
          </w:p>
          <w:p w14:paraId="4DBE6A22">
            <w:pPr>
              <w:pStyle w:val="964"/>
              <w:spacing w:line="360" w:lineRule="auto"/>
              <w:ind w:firstLine="480"/>
              <w:jc w:val="both"/>
              <w:rPr>
                <w:rFonts w:hint="eastAsia" w:ascii="仿宋" w:hAnsi="仿宋" w:eastAsia="仿宋" w:cs="仿宋"/>
                <w:color w:val="auto"/>
                <w:kern w:val="2"/>
                <w:sz w:val="24"/>
                <w:szCs w:val="24"/>
                <w:u w:val="single"/>
                <w:shd w:val="clear" w:color="FFFFFF" w:fill="D9D9D9"/>
              </w:rPr>
            </w:pPr>
            <w:r>
              <w:rPr>
                <w:rFonts w:hint="eastAsia" w:ascii="仿宋" w:hAnsi="仿宋" w:eastAsia="仿宋" w:cs="仿宋"/>
                <w:color w:val="auto"/>
                <w:kern w:val="2"/>
                <w:sz w:val="24"/>
                <w:szCs w:val="24"/>
              </w:rPr>
              <w:t>□优先采购节能产品。产品：</w:t>
            </w:r>
            <w:r>
              <w:rPr>
                <w:rFonts w:hint="eastAsia" w:ascii="仿宋" w:hAnsi="仿宋" w:eastAsia="仿宋" w:cs="仿宋"/>
                <w:color w:val="auto"/>
                <w:kern w:val="2"/>
                <w:sz w:val="24"/>
                <w:szCs w:val="24"/>
                <w:u w:val="single"/>
                <w:shd w:val="clear" w:color="FFFFFF" w:fill="D9D9D9"/>
              </w:rPr>
              <w:t xml:space="preserve">        </w:t>
            </w:r>
          </w:p>
          <w:p w14:paraId="1CFA8128">
            <w:pPr>
              <w:pStyle w:val="964"/>
              <w:spacing w:line="360" w:lineRule="auto"/>
              <w:ind w:firstLine="480"/>
              <w:jc w:val="both"/>
              <w:rPr>
                <w:rFonts w:hint="eastAsia" w:ascii="仿宋" w:hAnsi="仿宋" w:eastAsia="仿宋" w:cs="仿宋"/>
                <w:color w:val="auto"/>
                <w:kern w:val="2"/>
                <w:sz w:val="24"/>
                <w:szCs w:val="24"/>
                <w:u w:val="single"/>
                <w:shd w:val="clear" w:color="FFFFFF" w:fill="D9D9D9"/>
              </w:rPr>
            </w:pPr>
            <w:r>
              <w:rPr>
                <w:rFonts w:hint="eastAsia" w:ascii="仿宋" w:hAnsi="仿宋" w:eastAsia="仿宋" w:cs="仿宋"/>
                <w:color w:val="auto"/>
                <w:kern w:val="2"/>
                <w:sz w:val="24"/>
                <w:szCs w:val="24"/>
              </w:rPr>
              <w:t>□优先采购环保产品。产品：</w:t>
            </w:r>
            <w:r>
              <w:rPr>
                <w:rFonts w:hint="eastAsia" w:ascii="仿宋" w:hAnsi="仿宋" w:eastAsia="仿宋" w:cs="仿宋"/>
                <w:color w:val="auto"/>
                <w:kern w:val="2"/>
                <w:sz w:val="24"/>
                <w:szCs w:val="24"/>
                <w:u w:val="single"/>
                <w:shd w:val="clear" w:color="FFFFFF" w:fill="D9D9D9"/>
              </w:rPr>
              <w:t xml:space="preserve">        </w:t>
            </w:r>
          </w:p>
          <w:p w14:paraId="51399719">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☑无。</w:t>
            </w:r>
          </w:p>
        </w:tc>
      </w:tr>
      <w:tr w14:paraId="3E191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CCCFBA2">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EDE6C8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F6B92E">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14:paraId="152B0BC1">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2F6EB046">
            <w:pPr>
              <w:snapToGrid w:val="0"/>
              <w:spacing w:line="36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14:paraId="446D3A02">
            <w:pPr>
              <w:snapToGrid w:val="0"/>
              <w:spacing w:line="360" w:lineRule="auto"/>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14:paraId="2D572AA1">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rPr>
              <w:t>;</w:t>
            </w:r>
          </w:p>
          <w:p w14:paraId="040B3C68">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14:paraId="0F89B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632358B7">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tcBorders>
              <w:top w:val="single" w:color="000000" w:sz="8" w:space="0"/>
              <w:left w:val="single" w:color="000000" w:sz="2" w:space="0"/>
              <w:right w:val="single" w:color="000000" w:sz="8" w:space="0"/>
            </w:tcBorders>
            <w:vAlign w:val="center"/>
          </w:tcPr>
          <w:p w14:paraId="5E0F5971">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0DE732A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98EC1A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本项目支持《杭州市萧山区政府采购支持中小企业信用融资暂行办法》。</w:t>
            </w:r>
          </w:p>
          <w:p w14:paraId="74A8EC9A">
            <w:pPr>
              <w:rPr>
                <w:rFonts w:hint="eastAsia" w:ascii="仿宋" w:hAnsi="仿宋" w:eastAsia="仿宋" w:cs="仿宋"/>
                <w:color w:val="auto"/>
                <w:sz w:val="24"/>
              </w:rPr>
            </w:pPr>
            <w:r>
              <w:rPr>
                <w:rFonts w:hint="eastAsia" w:ascii="仿宋" w:hAnsi="仿宋" w:eastAsia="仿宋" w:cs="仿宋"/>
                <w:color w:val="auto"/>
                <w:sz w:val="24"/>
              </w:rPr>
              <w:t>有融资需求的中标供应商可参照相关规定及银行方案凭政府采购合同向相关合作银行提出信用融资（贷款）申请。详见</w:t>
            </w:r>
            <w:r>
              <w:rPr>
                <w:color w:val="auto"/>
              </w:rPr>
              <w:fldChar w:fldCharType="begin"/>
            </w:r>
            <w:r>
              <w:rPr>
                <w:color w:val="auto"/>
              </w:rPr>
              <w:instrText xml:space="preserve"> HYPERLINK "http://www.xiaoshan.gov.cn/art/2018/12/20/art_1229293109_1559514.html" </w:instrText>
            </w:r>
            <w:r>
              <w:rPr>
                <w:color w:val="auto"/>
              </w:rPr>
              <w:fldChar w:fldCharType="separate"/>
            </w:r>
            <w:r>
              <w:rPr>
                <w:rStyle w:val="76"/>
                <w:rFonts w:hint="eastAsia" w:ascii="仿宋" w:hAnsi="仿宋" w:eastAsia="仿宋" w:cs="仿宋"/>
                <w:snapToGrid/>
                <w:color w:val="auto"/>
                <w:sz w:val="24"/>
                <w:szCs w:val="24"/>
              </w:rPr>
              <w:t>http://www.xiaoshan.gov.cn/art/2018/12/20/art_1229293109_1559514.html</w:t>
            </w:r>
            <w:r>
              <w:rPr>
                <w:rStyle w:val="76"/>
                <w:rFonts w:hint="eastAsia" w:ascii="仿宋" w:hAnsi="仿宋" w:eastAsia="仿宋" w:cs="仿宋"/>
                <w:snapToGrid/>
                <w:color w:val="auto"/>
                <w:sz w:val="24"/>
                <w:szCs w:val="24"/>
              </w:rPr>
              <w:fldChar w:fldCharType="end"/>
            </w:r>
          </w:p>
        </w:tc>
      </w:tr>
      <w:tr w14:paraId="0EA31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1993ADE">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E7429D1">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9752898">
            <w:pPr>
              <w:pStyle w:val="33"/>
              <w:spacing w:line="360" w:lineRule="auto"/>
              <w:rPr>
                <w:rFonts w:hint="eastAsia"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sz w:val="24"/>
                <w:u w:val="single"/>
              </w:rPr>
              <w:t xml:space="preserve"> 萧山区金城路540号心意广场3幢1802室 </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u w:val="single"/>
              </w:rPr>
              <w:t xml:space="preserve"> 18268834344 </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采购人、采购机构不强制或变相强制投标人提交备份投标文件。</w:t>
            </w:r>
          </w:p>
        </w:tc>
      </w:tr>
      <w:tr w14:paraId="4F4B8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1D2F3FF">
            <w:pPr>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E74FE9">
            <w:pPr>
              <w:jc w:val="center"/>
              <w:rPr>
                <w:rFonts w:hint="eastAsia" w:ascii="仿宋" w:hAnsi="仿宋" w:eastAsia="仿宋" w:cs="仿宋"/>
                <w:b/>
                <w:color w:val="auto"/>
                <w:sz w:val="24"/>
              </w:rPr>
            </w:pPr>
            <w:r>
              <w:rPr>
                <w:rFonts w:hint="eastAsia" w:ascii="仿宋" w:hAnsi="仿宋" w:eastAsia="仿宋" w:cs="仿宋"/>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8F1620E">
            <w:pPr>
              <w:rPr>
                <w:rFonts w:hint="eastAsia" w:ascii="仿宋" w:hAnsi="仿宋" w:eastAsia="仿宋" w:cs="仿宋"/>
                <w:color w:val="auto"/>
                <w:kern w:val="28"/>
                <w:sz w:val="24"/>
              </w:rPr>
            </w:pPr>
            <w:r>
              <w:rPr>
                <w:rFonts w:hint="eastAsia" w:ascii="仿宋" w:hAnsi="仿宋" w:eastAsia="仿宋" w:cs="仿宋"/>
                <w:color w:val="auto"/>
                <w:kern w:val="28"/>
                <w:sz w:val="24"/>
              </w:rPr>
              <w:t>招标代理服务费计费标准：以中标（成交）金额为计费基准，按计价格[2002]1980号文规定的收费标准的40%计取。由中标人支付。</w:t>
            </w:r>
          </w:p>
        </w:tc>
      </w:tr>
      <w:tr w14:paraId="68AFE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F7B9C81">
            <w:pPr>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FD707">
            <w:pPr>
              <w:jc w:val="center"/>
              <w:rPr>
                <w:rFonts w:hint="eastAsia" w:ascii="仿宋" w:hAnsi="仿宋" w:eastAsia="仿宋" w:cs="仿宋"/>
                <w:color w:val="auto"/>
              </w:rPr>
            </w:pPr>
            <w:r>
              <w:rPr>
                <w:rFonts w:hint="eastAsia" w:ascii="仿宋" w:hAnsi="仿宋" w:eastAsia="仿宋"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A592367">
            <w:pPr>
              <w:rPr>
                <w:rFonts w:hint="eastAsia" w:ascii="仿宋" w:hAnsi="仿宋" w:eastAsia="仿宋" w:cs="仿宋"/>
                <w:color w:val="auto"/>
              </w:rPr>
            </w:pPr>
            <w:r>
              <w:rPr>
                <w:rFonts w:hint="eastAsia" w:ascii="仿宋" w:hAnsi="仿宋" w:eastAsia="仿宋" w:cs="仿宋"/>
                <w:color w:val="auto"/>
                <w:sz w:val="24"/>
              </w:rPr>
              <w:t>本项目由采购人进行资格文件及信用信息查询。</w:t>
            </w:r>
          </w:p>
        </w:tc>
      </w:tr>
      <w:tr w14:paraId="2A4D2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EB9C72E">
            <w:pPr>
              <w:jc w:val="center"/>
              <w:rPr>
                <w:rFonts w:hint="eastAsia" w:ascii="仿宋" w:hAnsi="仿宋" w:eastAsia="仿宋" w:cs="仿宋"/>
                <w:color w:val="auto"/>
                <w:sz w:val="24"/>
              </w:rPr>
            </w:pPr>
            <w:r>
              <w:rPr>
                <w:rFonts w:hint="eastAsia" w:ascii="仿宋" w:hAnsi="仿宋" w:eastAsia="仿宋" w:cs="仿宋"/>
                <w:color w:val="auto"/>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81B0E91">
            <w:pPr>
              <w:jc w:val="center"/>
              <w:rPr>
                <w:rFonts w:hint="eastAsia" w:ascii="仿宋" w:hAnsi="仿宋" w:eastAsia="仿宋" w:cs="仿宋"/>
                <w:b/>
                <w:color w:val="auto"/>
                <w:sz w:val="22"/>
              </w:rPr>
            </w:pPr>
            <w:r>
              <w:rPr>
                <w:rFonts w:hint="eastAsia" w:ascii="仿宋" w:hAnsi="仿宋" w:eastAsia="仿宋"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10ACF3B">
            <w:pPr>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采购人、采购机构质疑接收人、联系方式：详见公告</w:t>
            </w:r>
          </w:p>
          <w:p w14:paraId="56BCDC54">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线上提交质疑方式：政采云线上质疑路径：项目采购-询问质疑投诉-质疑列表。请使用ca签章在每一页质疑文件中加盖电子公章，上传完整附件。</w:t>
            </w:r>
          </w:p>
          <w:p w14:paraId="265D70D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本项目涉及资格条件、采购需求、评分办法及采购过程中有关现场考察或开标前答疑会等事项由</w:t>
            </w:r>
            <w:r>
              <w:rPr>
                <w:rFonts w:hint="eastAsia" w:ascii="仿宋" w:hAnsi="仿宋" w:eastAsia="仿宋" w:cs="仿宋"/>
                <w:b/>
                <w:bCs/>
                <w:color w:val="auto"/>
                <w:sz w:val="24"/>
              </w:rPr>
              <w:t>采购人</w:t>
            </w:r>
            <w:r>
              <w:rPr>
                <w:rFonts w:hint="eastAsia" w:ascii="仿宋" w:hAnsi="仿宋" w:eastAsia="仿宋" w:cs="仿宋"/>
                <w:color w:val="auto"/>
                <w:sz w:val="24"/>
              </w:rPr>
              <w:t>进行答复。</w:t>
            </w:r>
          </w:p>
          <w:p w14:paraId="69BD9D6C">
            <w:pPr>
              <w:rPr>
                <w:rFonts w:hint="eastAsia" w:ascii="仿宋" w:hAnsi="仿宋" w:eastAsia="仿宋" w:cs="仿宋"/>
                <w:color w:val="auto"/>
                <w:sz w:val="22"/>
              </w:rPr>
            </w:pPr>
            <w:r>
              <w:rPr>
                <w:rFonts w:hint="eastAsia" w:ascii="仿宋" w:hAnsi="仿宋" w:eastAsia="仿宋" w:cs="仿宋"/>
                <w:color w:val="auto"/>
                <w:sz w:val="24"/>
              </w:rPr>
              <w:t>涉及流程规范性、组织程序等相关事项，由</w:t>
            </w:r>
            <w:r>
              <w:rPr>
                <w:rFonts w:hint="eastAsia" w:ascii="仿宋" w:hAnsi="仿宋" w:eastAsia="仿宋" w:cs="仿宋"/>
                <w:b/>
                <w:bCs/>
                <w:color w:val="auto"/>
                <w:sz w:val="24"/>
              </w:rPr>
              <w:t>采购代理机构</w:t>
            </w:r>
            <w:r>
              <w:rPr>
                <w:rFonts w:hint="eastAsia" w:ascii="仿宋" w:hAnsi="仿宋" w:eastAsia="仿宋" w:cs="仿宋"/>
                <w:color w:val="auto"/>
                <w:sz w:val="24"/>
              </w:rPr>
              <w:t>进行答复。</w:t>
            </w:r>
          </w:p>
        </w:tc>
      </w:tr>
      <w:tr w14:paraId="0662E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D89A8BB">
            <w:pPr>
              <w:jc w:val="center"/>
              <w:rPr>
                <w:rFonts w:hint="eastAsia" w:ascii="仿宋" w:hAnsi="仿宋" w:eastAsia="仿宋" w:cs="仿宋"/>
                <w:color w:val="auto"/>
                <w:sz w:val="24"/>
              </w:rPr>
            </w:pPr>
            <w:r>
              <w:rPr>
                <w:rFonts w:hint="eastAsia" w:ascii="仿宋" w:hAnsi="仿宋" w:eastAsia="仿宋" w:cs="仿宋"/>
                <w:color w:val="auto"/>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51AFDBA">
            <w:pPr>
              <w:jc w:val="center"/>
              <w:rPr>
                <w:rFonts w:hint="eastAsia" w:ascii="仿宋" w:hAnsi="仿宋" w:eastAsia="仿宋" w:cs="仿宋"/>
                <w:b/>
                <w:color w:val="auto"/>
                <w:sz w:val="22"/>
              </w:rPr>
            </w:pPr>
            <w:r>
              <w:rPr>
                <w:rFonts w:hint="eastAsia" w:ascii="仿宋" w:hAnsi="仿宋" w:eastAsia="仿宋"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784A2B6">
            <w:pPr>
              <w:spacing w:line="360" w:lineRule="auto"/>
              <w:rPr>
                <w:rFonts w:hint="eastAsia" w:ascii="仿宋" w:hAnsi="仿宋" w:eastAsia="仿宋" w:cs="仿宋"/>
                <w:color w:val="auto"/>
                <w:sz w:val="22"/>
              </w:rPr>
            </w:pPr>
            <w:r>
              <w:rPr>
                <w:rFonts w:hint="eastAsia" w:ascii="仿宋" w:hAnsi="仿宋" w:eastAsia="仿宋" w:cs="仿宋"/>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rPr>
              <w:br w:type="textWrapping"/>
            </w:r>
            <w:r>
              <w:rPr>
                <w:rFonts w:hint="eastAsia" w:ascii="仿宋" w:hAnsi="仿宋" w:eastAsia="仿宋" w:cs="仿宋"/>
                <w:color w:val="auto"/>
                <w:sz w:val="24"/>
              </w:rPr>
              <w:t>联系电话: 0571-83587785/0571-82816012 联系地址: 萧山区通惠北路2-1号304室</w:t>
            </w:r>
          </w:p>
        </w:tc>
      </w:tr>
      <w:tr w14:paraId="68627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1B503DE1">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17</w:t>
            </w:r>
          </w:p>
        </w:tc>
        <w:tc>
          <w:tcPr>
            <w:tcW w:w="1843" w:type="dxa"/>
            <w:vMerge w:val="restart"/>
            <w:tcBorders>
              <w:top w:val="single" w:color="000000" w:sz="8" w:space="0"/>
              <w:left w:val="single" w:color="000000" w:sz="2" w:space="0"/>
              <w:right w:val="single" w:color="000000" w:sz="8" w:space="0"/>
            </w:tcBorders>
            <w:vAlign w:val="center"/>
          </w:tcPr>
          <w:p w14:paraId="7062B07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1882E6">
            <w:pPr>
              <w:pStyle w:val="4"/>
              <w:ind w:left="0" w:firstLine="0"/>
              <w:rPr>
                <w:rFonts w:hint="eastAsia" w:ascii="仿宋" w:eastAsia="仿宋" w:cs="仿宋"/>
                <w:snapToGrid w:val="0"/>
                <w:color w:val="auto"/>
                <w:kern w:val="28"/>
                <w:sz w:val="24"/>
              </w:rPr>
            </w:pPr>
            <w:r>
              <w:rPr>
                <w:rFonts w:hint="eastAsia" w:ascii="仿宋" w:eastAsia="仿宋" w:cs="仿宋"/>
                <w:b w:val="0"/>
                <w:bCs w:val="0"/>
                <w:color w:val="auto"/>
                <w:sz w:val="24"/>
                <w:szCs w:val="24"/>
                <w:lang w:val="en-US"/>
              </w:rPr>
              <w:t>联合体投标的，联合体各方分别提供与联合体协议中规定的分工内容相应的业绩证明材料，业绩数量以提供材料较少的一方为准。</w:t>
            </w:r>
          </w:p>
        </w:tc>
      </w:tr>
      <w:tr w14:paraId="3ABF3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249F14FD">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right w:val="single" w:color="000000" w:sz="8" w:space="0"/>
            </w:tcBorders>
            <w:vAlign w:val="center"/>
          </w:tcPr>
          <w:p w14:paraId="05F5049B">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3BE67DB">
            <w:pPr>
              <w:spacing w:line="360" w:lineRule="auto"/>
              <w:rPr>
                <w:rFonts w:hint="eastAsia" w:ascii="仿宋" w:hAnsi="仿宋" w:eastAsia="仿宋" w:cs="仿宋"/>
                <w:color w:val="auto"/>
                <w:sz w:val="24"/>
              </w:rPr>
            </w:pPr>
            <w:sdt>
              <w:sdtPr>
                <w:rPr>
                  <w:rFonts w:hint="eastAsia" w:ascii="仿宋" w:hAnsi="仿宋" w:eastAsia="仿宋" w:cs="仿宋"/>
                  <w:color w:val="auto"/>
                  <w:sz w:val="24"/>
                </w:rPr>
                <w:id w:val="4672"/>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Wingdings" w:hAnsi="Wingdings" w:eastAsia="仿宋" w:cs="仿宋"/>
                    <w:color w:val="auto"/>
                    <w:sz w:val="24"/>
                  </w:rPr>
                  <w:t>þ</w:t>
                </w:r>
              </w:sdtContent>
            </w:sdt>
            <w:r>
              <w:rPr>
                <w:rFonts w:hint="eastAsia" w:ascii="仿宋" w:hAnsi="仿宋" w:eastAsia="仿宋" w:cs="仿宋"/>
                <w:color w:val="auto"/>
                <w:sz w:val="24"/>
              </w:rPr>
              <w:t>联合体投标的，联合体各方均需按招标文件第四部分评标标准要求提供资信证明文件，否则视为不符合相关要求。</w:t>
            </w:r>
          </w:p>
          <w:p w14:paraId="5AA30337">
            <w:pPr>
              <w:pStyle w:val="4"/>
              <w:ind w:left="0" w:firstLine="0"/>
              <w:rPr>
                <w:rFonts w:hint="eastAsia" w:ascii="仿宋" w:eastAsia="仿宋" w:cs="仿宋"/>
                <w:color w:val="auto"/>
              </w:rPr>
            </w:pPr>
            <w:sdt>
              <w:sdtPr>
                <w:rPr>
                  <w:rFonts w:hint="eastAsia" w:ascii="仿宋" w:eastAsia="仿宋" w:cs="仿宋"/>
                  <w:color w:val="auto"/>
                  <w:sz w:val="24"/>
                  <w:szCs w:val="24"/>
                </w:rPr>
                <w:id w:val="1052570136"/>
                <w14:checkbox>
                  <w14:checked w14:val="0"/>
                  <w14:checkedState w14:val="00FE" w14:font="Wingdings"/>
                  <w14:uncheckedState w14:val="2610" w14:font="MS Gothic"/>
                </w14:checkbox>
              </w:sdtPr>
              <w:sdtEndPr>
                <w:rPr>
                  <w:rFonts w:hint="eastAsia" w:ascii="仿宋" w:eastAsia="仿宋" w:cs="仿宋"/>
                  <w:color w:val="auto"/>
                  <w:sz w:val="24"/>
                  <w:szCs w:val="24"/>
                </w:rPr>
              </w:sdtEndPr>
              <w:sdtContent>
                <w:r>
                  <w:rPr>
                    <w:rFonts w:hint="eastAsia" w:ascii="MS Gothic" w:hAnsi="MS Gothic" w:eastAsia="仿宋" w:cs="仿宋"/>
                    <w:color w:val="auto"/>
                    <w:sz w:val="24"/>
                    <w:szCs w:val="24"/>
                  </w:rPr>
                  <w:t>☐</w:t>
                </w:r>
              </w:sdtContent>
            </w:sdt>
            <w:r>
              <w:rPr>
                <w:rFonts w:hint="eastAsia" w:ascii="仿宋" w:eastAsia="仿宋" w:cs="仿宋"/>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43DBB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551A8CF3">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769E27AE">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C654383">
            <w:pPr>
              <w:spacing w:line="360" w:lineRule="auto"/>
              <w:rPr>
                <w:rFonts w:hint="eastAsia" w:ascii="仿宋" w:hAnsi="仿宋" w:eastAsia="仿宋" w:cs="仿宋"/>
                <w:b/>
                <w:bCs/>
                <w:color w:val="auto"/>
              </w:rPr>
            </w:pPr>
            <w:r>
              <w:rPr>
                <w:rFonts w:hint="eastAsia" w:ascii="仿宋" w:hAnsi="仿宋" w:eastAsia="仿宋" w:cs="仿宋"/>
                <w:color w:val="auto"/>
                <w:kern w:val="0"/>
                <w:sz w:val="24"/>
              </w:rPr>
              <w:t>招标文件第四部分评审因素对应的要求及第五部分采购合同的内容视为采购需求的一部分。</w:t>
            </w:r>
          </w:p>
        </w:tc>
      </w:tr>
      <w:bookmarkEnd w:id="6"/>
    </w:tbl>
    <w:p w14:paraId="5E33D089">
      <w:pPr>
        <w:rPr>
          <w:rFonts w:hint="eastAsia" w:ascii="仿宋" w:hAnsi="仿宋" w:eastAsia="仿宋" w:cs="仿宋"/>
          <w:b/>
          <w:color w:val="auto"/>
          <w:sz w:val="32"/>
          <w:szCs w:val="20"/>
        </w:rPr>
      </w:pPr>
      <w:bookmarkStart w:id="7" w:name="第三部分"/>
      <w:bookmarkStart w:id="8" w:name="_Toc164416483"/>
      <w:r>
        <w:rPr>
          <w:rFonts w:hint="eastAsia" w:ascii="仿宋" w:hAnsi="仿宋" w:eastAsia="仿宋" w:cs="仿宋"/>
          <w:b/>
          <w:color w:val="auto"/>
          <w:sz w:val="32"/>
          <w:szCs w:val="20"/>
        </w:rPr>
        <w:br w:type="page"/>
      </w:r>
    </w:p>
    <w:p w14:paraId="04D3FB5A">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535E6E88">
      <w:pPr>
        <w:snapToGrid w:val="0"/>
        <w:spacing w:line="360" w:lineRule="auto"/>
        <w:jc w:val="left"/>
        <w:outlineLvl w:val="1"/>
        <w:rPr>
          <w:rFonts w:hint="eastAsia" w:ascii="仿宋" w:hAnsi="仿宋" w:eastAsia="仿宋" w:cs="仿宋"/>
          <w:b/>
          <w:color w:val="auto"/>
          <w:sz w:val="24"/>
        </w:rPr>
      </w:pPr>
      <w:bookmarkStart w:id="9" w:name="_Toc91899903"/>
      <w:r>
        <w:rPr>
          <w:rFonts w:hint="eastAsia" w:ascii="仿宋" w:hAnsi="仿宋" w:eastAsia="仿宋" w:cs="仿宋"/>
          <w:b/>
          <w:color w:val="auto"/>
          <w:sz w:val="24"/>
        </w:rPr>
        <w:t>1. 适用范围</w:t>
      </w:r>
    </w:p>
    <w:p w14:paraId="68C33224">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23678E02">
      <w:pPr>
        <w:numPr>
          <w:ilvl w:val="0"/>
          <w:numId w:val="1"/>
        </w:num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定义</w:t>
      </w:r>
    </w:p>
    <w:p w14:paraId="56BFB10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12F72C4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2F69F49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14:paraId="0ED7F33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0D9A094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961C3A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14:paraId="669BAA9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14:paraId="7CED5E24">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394176C0">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1F757E57">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14:paraId="797C9A3B">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C35C65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606C9A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rPr>
        <w:t>鼓励采购单位优先采购秸秆环保板材等资源综合利用产品。鼓励采购单位优先采购绿色物流配送服务、提供新能源交通工具的租赁服务。</w:t>
      </w:r>
    </w:p>
    <w:p w14:paraId="7D72E18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3B4324E7">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 支持中小企业发展</w:t>
      </w:r>
    </w:p>
    <w:p w14:paraId="19EB8D8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A2600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7C4B6F91">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5040B54">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373386E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rPr>
        <w:t>联合协议或者分包意向协议约定小微企业的合同份额占到合同总金额30%以上的</w:t>
      </w:r>
      <w:bookmarkEnd w:id="11"/>
      <w:r>
        <w:rPr>
          <w:rFonts w:hint="eastAsia" w:ascii="仿宋" w:hAnsi="仿宋" w:eastAsia="仿宋" w:cs="仿宋"/>
          <w:color w:val="auto"/>
          <w:sz w:val="24"/>
        </w:rPr>
        <w:t>，对联合体或者大中型企业的报价给予4%-6%（</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给予6%的扣除）的扣除，用扣除后的价格参加评审。组成联合体或者接受分包的小微企业与联合体内其他企业、分包企业之间存在直接控股、管理关系的，不享受价格扣除优惠政策。</w:t>
      </w:r>
    </w:p>
    <w:p w14:paraId="4ECA5F3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44B2EBD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0F49F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w:t>
      </w:r>
      <w:r>
        <w:rPr>
          <w:rFonts w:hint="eastAsia" w:ascii="仿宋" w:hAnsi="仿宋" w:eastAsia="仿宋" w:cs="仿宋"/>
          <w:color w:val="auto"/>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rPr>
        <w:t>。</w:t>
      </w:r>
    </w:p>
    <w:p w14:paraId="28944F0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5CA9C83E">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3.4 </w:t>
      </w:r>
      <w:r>
        <w:rPr>
          <w:rFonts w:hint="eastAsia" w:ascii="仿宋" w:hAnsi="仿宋" w:eastAsia="仿宋" w:cs="仿宋"/>
          <w:bCs/>
          <w:color w:val="auto"/>
          <w:sz w:val="24"/>
        </w:rPr>
        <w:t>支持创新发展</w:t>
      </w:r>
    </w:p>
    <w:p w14:paraId="7873CB8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首台套、“制造精品”、“专精特新”等创新产品按规定享受政府采购支持政策。</w:t>
      </w:r>
    </w:p>
    <w:p w14:paraId="0D543EE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3.4.2采购人应当贯彻落实知识产权保护相关法律法规，应当采购使用正版软件。</w:t>
      </w:r>
    </w:p>
    <w:p w14:paraId="73FD1E2B">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3.5 平等对待内外资企业和符合条件的破产重整企业</w:t>
      </w:r>
    </w:p>
    <w:p w14:paraId="507B4F0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2594BA9B">
      <w:pPr>
        <w:spacing w:line="360" w:lineRule="auto"/>
        <w:rPr>
          <w:rFonts w:hint="eastAsia" w:ascii="仿宋" w:hAnsi="仿宋" w:eastAsia="仿宋" w:cs="仿宋"/>
          <w:b/>
          <w:color w:val="auto"/>
        </w:rPr>
      </w:pPr>
      <w:r>
        <w:rPr>
          <w:rFonts w:hint="eastAsia" w:ascii="仿宋" w:hAnsi="仿宋" w:eastAsia="仿宋" w:cs="仿宋"/>
          <w:b/>
          <w:color w:val="auto"/>
          <w:sz w:val="24"/>
        </w:rPr>
        <w:t>4. 询问、质疑、投诉</w:t>
      </w:r>
    </w:p>
    <w:p w14:paraId="55C7A313">
      <w:pPr>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4.1</w:t>
      </w:r>
      <w:r>
        <w:rPr>
          <w:rFonts w:hint="eastAsia" w:ascii="仿宋" w:hAnsi="仿宋" w:eastAsia="仿宋" w:cs="仿宋"/>
          <w:color w:val="auto"/>
          <w:sz w:val="24"/>
        </w:rPr>
        <w:t xml:space="preserve"> </w:t>
      </w:r>
      <w:r>
        <w:rPr>
          <w:rFonts w:hint="eastAsia" w:ascii="仿宋" w:hAnsi="仿宋" w:eastAsia="仿宋" w:cs="仿宋"/>
          <w:color w:val="auto"/>
          <w:sz w:val="24"/>
          <w:lang w:val="zh-CN"/>
        </w:rPr>
        <w:t>在线询问、质疑、投诉</w:t>
      </w:r>
    </w:p>
    <w:p w14:paraId="66C7F6C7">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531932">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供应商询问</w:t>
      </w:r>
    </w:p>
    <w:p w14:paraId="2EFA5208">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29BF97">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供应商质疑</w:t>
      </w:r>
    </w:p>
    <w:p w14:paraId="60A7F70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26BC5BA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313D6A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4.3.2.1对招标文件提出质疑的，质疑期限为供应商获得招标文件之日或者招标文件公告期限届满之日起计算。</w:t>
      </w:r>
    </w:p>
    <w:p w14:paraId="4B1F849D">
      <w:pPr>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14:paraId="132F45BE">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4.3.3</w:t>
      </w:r>
      <w:r>
        <w:rPr>
          <w:rFonts w:hint="eastAsia" w:ascii="仿宋" w:hAnsi="仿宋" w:eastAsia="仿宋" w:cs="仿宋"/>
          <w:color w:val="auto"/>
          <w:sz w:val="24"/>
        </w:rPr>
        <w:t>供应商提出质疑应当提交质疑函和必要的证明材料。质疑函应当包括下列内容：</w:t>
      </w:r>
    </w:p>
    <w:p w14:paraId="1793412C">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4.3.3.1供应商的姓名或者名称、地址、邮编、联系人及联系电话；</w:t>
      </w:r>
    </w:p>
    <w:p w14:paraId="073802D7">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4.3.3.2质疑项目的名称、编号；</w:t>
      </w:r>
    </w:p>
    <w:p w14:paraId="0AD19B05">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4.3.3.3具体、明确的质疑事项和与质疑事项相关的请求；</w:t>
      </w:r>
    </w:p>
    <w:p w14:paraId="2634C90A">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4.3.3.4事实依据；</w:t>
      </w:r>
    </w:p>
    <w:p w14:paraId="52113D47">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4.3.3.5必要的法律依据；</w:t>
      </w:r>
    </w:p>
    <w:p w14:paraId="7A68B2EB">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4.3.3.6提出质疑的日期。</w:t>
      </w:r>
    </w:p>
    <w:p w14:paraId="1DA4D151">
      <w:pPr>
        <w:spacing w:line="360" w:lineRule="auto"/>
        <w:ind w:left="479" w:leftChars="228"/>
        <w:rPr>
          <w:rFonts w:hint="eastAsia" w:ascii="仿宋" w:hAnsi="仿宋" w:eastAsia="仿宋" w:cs="仿宋"/>
          <w:color w:val="auto"/>
        </w:rPr>
      </w:pPr>
      <w:r>
        <w:rPr>
          <w:rFonts w:hint="eastAsia" w:ascii="仿宋" w:hAnsi="仿宋" w:eastAsia="仿宋" w:cs="仿宋"/>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6FED249">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4.3.4对同一采购程序环节的质疑，供应商须在法定质疑期内一次性提出。</w:t>
      </w:r>
    </w:p>
    <w:p w14:paraId="08D62DC3">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BA65341">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4.3.6询问或者质疑事项可能影响采购结果的，采购人应当暂停签订合同，已经签订合同的，应当中止履行合同。</w:t>
      </w:r>
    </w:p>
    <w:p w14:paraId="56D4AE0B">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4.4</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供应商投诉</w:t>
      </w:r>
    </w:p>
    <w:p w14:paraId="3825B623">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19C923E6">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4.4.2供应商投诉的事项不得超出已质疑事项的范围，基于质疑答复内容提出的投诉事项除外。</w:t>
      </w:r>
    </w:p>
    <w:p w14:paraId="5472F776">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4.4.3供应商投诉应当有明确的请求和必要的证明材料。</w:t>
      </w:r>
    </w:p>
    <w:p w14:paraId="598C3997">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4.4.4 以联合体形式参加政府采购活动的，其投诉应当由组成联合体的所有供应商共同提出。</w:t>
      </w:r>
    </w:p>
    <w:p w14:paraId="738A39E2">
      <w:pPr>
        <w:pStyle w:val="887"/>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18DB7FC0">
      <w:pPr>
        <w:pStyle w:val="887"/>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4.5 补偿救济</w:t>
      </w:r>
    </w:p>
    <w:p w14:paraId="37C0AAEA">
      <w:pPr>
        <w:pStyle w:val="887"/>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采购人因政策变化、规划调整而不履行政府采购合同的，供应商可依据《杭州市涉企补偿救济实施办法（试行）》向采购人提起补偿申请。</w:t>
      </w:r>
    </w:p>
    <w:p w14:paraId="75699564">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投诉书范本及制作说明详见附件3。</w:t>
      </w:r>
    </w:p>
    <w:p w14:paraId="6E951AFB">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14:paraId="6939008C">
      <w:pPr>
        <w:spacing w:line="360" w:lineRule="auto"/>
        <w:rPr>
          <w:rFonts w:hint="eastAsia" w:ascii="仿宋" w:hAnsi="仿宋" w:eastAsia="仿宋" w:cs="仿宋"/>
          <w:b/>
          <w:color w:val="auto"/>
          <w:sz w:val="24"/>
        </w:rPr>
      </w:pPr>
      <w:r>
        <w:rPr>
          <w:rFonts w:hint="eastAsia" w:ascii="仿宋" w:hAnsi="仿宋" w:eastAsia="仿宋" w:cs="仿宋"/>
          <w:b/>
          <w:color w:val="auto"/>
          <w:sz w:val="24"/>
        </w:rPr>
        <w:t>5. 招标文件的构成</w:t>
      </w:r>
    </w:p>
    <w:p w14:paraId="4AD6F451">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5.1 招标文件包括下列文件及附件：</w:t>
      </w:r>
    </w:p>
    <w:p w14:paraId="3367B220">
      <w:pPr>
        <w:pStyle w:val="33"/>
        <w:tabs>
          <w:tab w:val="left" w:pos="840"/>
        </w:tabs>
        <w:spacing w:line="360" w:lineRule="auto"/>
        <w:ind w:firstLine="960" w:firstLineChars="4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5.1.1招标公告；</w:t>
      </w:r>
    </w:p>
    <w:p w14:paraId="2C294247">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snapToGrid/>
          <w:color w:val="auto"/>
          <w:sz w:val="24"/>
          <w:szCs w:val="24"/>
          <w:lang w:val="zh-CN"/>
        </w:rPr>
        <w:t>.1.2投标人须知</w:t>
      </w:r>
      <w:r>
        <w:rPr>
          <w:rFonts w:hint="eastAsia" w:ascii="仿宋" w:hAnsi="仿宋" w:eastAsia="仿宋" w:cs="仿宋"/>
          <w:color w:val="auto"/>
          <w:sz w:val="24"/>
          <w:szCs w:val="24"/>
        </w:rPr>
        <w:t>；</w:t>
      </w:r>
    </w:p>
    <w:p w14:paraId="45E070AA">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4E4EFF8D">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47AE9D3D">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10D2FEE9">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0989EAA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0AFB5FB0">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14:paraId="689288B3">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14:paraId="589329D8">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B9361C">
      <w:pPr>
        <w:adjustRightInd/>
        <w:spacing w:line="360" w:lineRule="auto"/>
        <w:jc w:val="center"/>
        <w:outlineLvl w:val="0"/>
        <w:rPr>
          <w:rFonts w:hint="eastAsia" w:ascii="仿宋" w:hAnsi="仿宋" w:eastAsia="仿宋" w:cs="仿宋"/>
          <w:b/>
          <w:color w:val="auto"/>
          <w:sz w:val="32"/>
          <w:szCs w:val="21"/>
        </w:rPr>
      </w:pPr>
      <w:r>
        <w:rPr>
          <w:rFonts w:hint="eastAsia" w:ascii="仿宋" w:hAnsi="仿宋" w:eastAsia="仿宋" w:cs="仿宋"/>
          <w:b/>
          <w:color w:val="auto"/>
          <w:sz w:val="32"/>
          <w:szCs w:val="21"/>
        </w:rPr>
        <w:t>三、投标</w:t>
      </w:r>
    </w:p>
    <w:p w14:paraId="7C5DA690">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14:paraId="2FCBCCB6">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38793942">
      <w:pPr>
        <w:pStyle w:val="33"/>
        <w:numPr>
          <w:ilvl w:val="0"/>
          <w:numId w:val="2"/>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开标前答疑会或现场考察</w:t>
      </w:r>
    </w:p>
    <w:p w14:paraId="1D967C55">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312C9D2D">
      <w:pPr>
        <w:pStyle w:val="33"/>
        <w:numPr>
          <w:ilvl w:val="0"/>
          <w:numId w:val="2"/>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投标保证金</w:t>
      </w:r>
    </w:p>
    <w:p w14:paraId="17968817">
      <w:pPr>
        <w:pStyle w:val="2"/>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04EF8B70">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74C4FA30">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43BEED9C">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0EAE625A">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snapToGrid w:val="0"/>
          <w:color w:val="auto"/>
          <w:sz w:val="24"/>
        </w:rPr>
        <w:t>▲投标文件至少应包括以下文件。</w:t>
      </w:r>
    </w:p>
    <w:p w14:paraId="52FFC0A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388EBC15">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14:paraId="56D23D4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bookmarkStart w:id="12" w:name="_Hlk101259339"/>
      <w:r>
        <w:rPr>
          <w:rFonts w:hint="eastAsia" w:ascii="仿宋" w:hAnsi="仿宋" w:eastAsia="仿宋" w:cs="仿宋"/>
          <w:snapToGrid w:val="0"/>
          <w:color w:val="auto"/>
          <w:kern w:val="28"/>
          <w:sz w:val="24"/>
          <w:szCs w:val="20"/>
        </w:rPr>
        <w:t>联合协议</w:t>
      </w:r>
      <w:bookmarkEnd w:id="12"/>
      <w:r>
        <w:rPr>
          <w:rFonts w:hint="eastAsia" w:ascii="仿宋" w:hAnsi="仿宋" w:eastAsia="仿宋" w:cs="仿宋"/>
          <w:snapToGrid w:val="0"/>
          <w:color w:val="auto"/>
          <w:kern w:val="28"/>
          <w:sz w:val="24"/>
          <w:szCs w:val="20"/>
        </w:rPr>
        <w:t>（如果有)；</w:t>
      </w:r>
    </w:p>
    <w:p w14:paraId="5A86C4B5">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F3538C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37CF3E9F">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24A2330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14:paraId="7D8B6DA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14:paraId="68FA73A9">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6B340C0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46BF8A5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3D2B253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3B3F814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0E4E5F07">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6FA03CCC">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71495338">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250A87F4">
      <w:pPr>
        <w:pStyle w:val="965"/>
        <w:adjustRightInd w:val="0"/>
        <w:spacing w:line="360" w:lineRule="auto"/>
        <w:ind w:firstLine="960" w:firstLineChars="400"/>
        <w:rPr>
          <w:rFonts w:hint="eastAsia" w:ascii="仿宋" w:hAnsi="仿宋" w:eastAsia="仿宋" w:cs="仿宋"/>
          <w:color w:val="auto"/>
        </w:rPr>
      </w:pPr>
      <w:r>
        <w:rPr>
          <w:rFonts w:hint="eastAsia" w:ascii="仿宋" w:hAnsi="仿宋" w:eastAsia="仿宋" w:cs="仿宋"/>
          <w:color w:val="auto"/>
          <w:sz w:val="24"/>
          <w:szCs w:val="24"/>
          <w:lang w:val="en-US"/>
        </w:rPr>
        <w:t>11.3.2 报价情况说明（如供应商报价低于项目预算50%的，应当提交本文档，详细阐述不影响产品质量或者诚信履约的具体原因）；</w:t>
      </w:r>
    </w:p>
    <w:p w14:paraId="200E51D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11.3.3中小企业声明函。</w:t>
      </w:r>
    </w:p>
    <w:p w14:paraId="60657EEA">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30C2B57E">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投标人提供虚假材料投标的，投标无效。</w:t>
      </w:r>
    </w:p>
    <w:p w14:paraId="38B97E7D">
      <w:pPr>
        <w:spacing w:line="360" w:lineRule="auto"/>
        <w:ind w:firstLine="720" w:firstLineChars="300"/>
        <w:rPr>
          <w:rFonts w:hint="eastAsia" w:ascii="仿宋" w:hAnsi="仿宋" w:eastAsia="仿宋" w:cs="仿宋"/>
          <w:color w:val="auto"/>
        </w:rPr>
      </w:pPr>
      <w:r>
        <w:rPr>
          <w:rFonts w:hint="eastAsia" w:ascii="仿宋" w:hAnsi="仿宋" w:eastAsia="仿宋" w:cs="仿宋"/>
          <w:color w:val="auto"/>
          <w:sz w:val="24"/>
          <w:shd w:val="clear" w:color="auto" w:fill="FFFFFF"/>
        </w:rPr>
        <w:t>投标人应对投标文件中材料的真实性、合法性负责。投标人可事先在公开官网查询、核对相关证书和报告内容，确保投标文件资料准确无误。</w:t>
      </w:r>
    </w:p>
    <w:p w14:paraId="3F364179">
      <w:pPr>
        <w:pStyle w:val="129"/>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14:paraId="1F7AA46A">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3F0227BC">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0BB3E19">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3A4A2704">
      <w:pPr>
        <w:numPr>
          <w:ilvl w:val="0"/>
          <w:numId w:val="3"/>
        </w:num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投标文件的签署、盖章</w:t>
      </w:r>
    </w:p>
    <w:p w14:paraId="49C78770">
      <w:pPr>
        <w:pStyle w:val="129"/>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06A3BC5E">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527E0C1C">
      <w:pPr>
        <w:pStyle w:val="129"/>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48A35D39">
      <w:pPr>
        <w:pStyle w:val="12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14:paraId="3E3C1F63">
      <w:pPr>
        <w:pStyle w:val="129"/>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38CDDFA">
      <w:pPr>
        <w:pStyle w:val="129"/>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E2C7E75">
      <w:pPr>
        <w:pStyle w:val="129"/>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3BFC4903">
      <w:pPr>
        <w:pStyle w:val="33"/>
        <w:numPr>
          <w:ilvl w:val="0"/>
          <w:numId w:val="4"/>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备份投标文件</w:t>
      </w:r>
    </w:p>
    <w:p w14:paraId="5889D154">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14:paraId="3A306A2B">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14:paraId="6E65C79D">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51A7C3A0">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2C08B90D">
      <w:pPr>
        <w:pStyle w:val="33"/>
        <w:spacing w:line="360" w:lineRule="auto"/>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14:paraId="65AFFF16">
      <w:pPr>
        <w:pStyle w:val="129"/>
        <w:numPr>
          <w:ilvl w:val="0"/>
          <w:numId w:val="5"/>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投标文件的无效处理</w:t>
      </w:r>
    </w:p>
    <w:p w14:paraId="2BD9E741">
      <w:pPr>
        <w:pStyle w:val="25"/>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4.2规定</w:t>
      </w:r>
      <w:r>
        <w:rPr>
          <w:rFonts w:hint="eastAsia" w:ascii="仿宋" w:hAnsi="仿宋" w:eastAsia="仿宋" w:cs="仿宋"/>
          <w:color w:val="auto"/>
          <w:szCs w:val="21"/>
        </w:rPr>
        <w:t>的情形之一的，投标无效：</w:t>
      </w:r>
    </w:p>
    <w:p w14:paraId="6189708B">
      <w:pPr>
        <w:pStyle w:val="129"/>
        <w:numPr>
          <w:ilvl w:val="0"/>
          <w:numId w:val="5"/>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投标有效期</w:t>
      </w:r>
    </w:p>
    <w:p w14:paraId="70AF6CB8">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14EAC216">
      <w:pPr>
        <w:pStyle w:val="129"/>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0D24878F">
      <w:pPr>
        <w:pStyle w:val="129"/>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4D7129F4">
      <w:pPr>
        <w:pStyle w:val="129"/>
        <w:spacing w:before="0"/>
        <w:ind w:firstLine="480"/>
        <w:rPr>
          <w:rFonts w:hint="eastAsia" w:ascii="仿宋" w:hAnsi="仿宋" w:eastAsia="仿宋" w:cs="仿宋"/>
          <w:color w:val="auto"/>
        </w:rPr>
      </w:pPr>
      <w:r>
        <w:rPr>
          <w:rFonts w:hint="eastAsia" w:ascii="仿宋" w:hAnsi="仿宋" w:eastAsia="仿宋" w:cs="仿宋"/>
          <w:color w:val="auto"/>
        </w:rPr>
        <w:t>17.4在投标截止时间起至投标有效期届满，供应商投标文件不可撤销。</w:t>
      </w:r>
    </w:p>
    <w:p w14:paraId="0963478A">
      <w:pPr>
        <w:pStyle w:val="129"/>
        <w:spacing w:before="0"/>
        <w:ind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四、开标</w:t>
      </w:r>
    </w:p>
    <w:p w14:paraId="40BC4110">
      <w:pPr>
        <w:pStyle w:val="555"/>
        <w:spacing w:before="0" w:line="360" w:lineRule="auto"/>
        <w:ind w:left="0" w:firstLine="0"/>
        <w:contextualSpacing/>
        <w:rPr>
          <w:rFonts w:hint="eastAsia" w:ascii="仿宋" w:hAnsi="仿宋" w:eastAsia="仿宋" w:cs="仿宋"/>
          <w:color w:val="auto"/>
          <w:sz w:val="24"/>
        </w:rPr>
      </w:pPr>
      <w:r>
        <w:rPr>
          <w:rFonts w:hint="eastAsia" w:ascii="仿宋" w:hAnsi="仿宋" w:eastAsia="仿宋" w:cs="仿宋"/>
          <w:b/>
          <w:color w:val="auto"/>
          <w:sz w:val="24"/>
          <w:szCs w:val="24"/>
        </w:rPr>
        <w:t>18. 开标</w:t>
      </w:r>
      <w:r>
        <w:rPr>
          <w:rFonts w:hint="eastAsia" w:ascii="仿宋" w:hAnsi="仿宋" w:eastAsia="仿宋" w:cs="仿宋"/>
          <w:color w:val="auto"/>
          <w:sz w:val="24"/>
        </w:rPr>
        <w:t xml:space="preserve"> </w:t>
      </w:r>
    </w:p>
    <w:p w14:paraId="1118EB0A">
      <w:pPr>
        <w:pStyle w:val="555"/>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14:paraId="03FDAB83">
      <w:pPr>
        <w:pStyle w:val="555"/>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35A98201">
      <w:pPr>
        <w:pStyle w:val="555"/>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14:paraId="42ED29CB">
      <w:pPr>
        <w:pStyle w:val="129"/>
        <w:spacing w:before="0"/>
        <w:ind w:firstLine="0" w:firstLineChars="0"/>
        <w:jc w:val="center"/>
        <w:rPr>
          <w:rFonts w:hint="eastAsia" w:ascii="仿宋" w:hAnsi="仿宋" w:eastAsia="仿宋" w:cs="仿宋"/>
          <w:b/>
          <w:color w:val="auto"/>
        </w:rPr>
      </w:pPr>
      <w:r>
        <w:rPr>
          <w:rFonts w:hint="eastAsia" w:ascii="仿宋" w:hAnsi="仿宋" w:eastAsia="仿宋" w:cs="仿宋"/>
          <w:b/>
          <w:color w:val="auto"/>
          <w:sz w:val="32"/>
        </w:rPr>
        <w:t>五、资格审查</w:t>
      </w:r>
    </w:p>
    <w:p w14:paraId="1F692AE3">
      <w:pPr>
        <w:widowControl/>
        <w:numPr>
          <w:ilvl w:val="0"/>
          <w:numId w:val="6"/>
        </w:numPr>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资格审查</w:t>
      </w:r>
    </w:p>
    <w:p w14:paraId="209F0DA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14:paraId="10DB6237">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14:paraId="4B538157">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14:paraId="5D95CAA2">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14:paraId="568B957F">
      <w:pPr>
        <w:pStyle w:val="129"/>
        <w:numPr>
          <w:ilvl w:val="0"/>
          <w:numId w:val="6"/>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信用信息查询</w:t>
      </w:r>
    </w:p>
    <w:p w14:paraId="43F31183">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5EF3A967">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44B6B3F4">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302261D2">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320F8863">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六、评标</w:t>
      </w:r>
    </w:p>
    <w:p w14:paraId="18F0024D">
      <w:pPr>
        <w:spacing w:line="360" w:lineRule="auto"/>
        <w:rPr>
          <w:rFonts w:hint="eastAsia" w:ascii="仿宋" w:hAnsi="仿宋" w:eastAsia="仿宋" w:cs="仿宋"/>
          <w:b/>
          <w:color w:val="auto"/>
          <w:sz w:val="24"/>
        </w:rPr>
      </w:pPr>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14:paraId="4A9510A0">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七、定标</w:t>
      </w:r>
    </w:p>
    <w:p w14:paraId="53AB9CFF">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14:paraId="79B2B86D">
      <w:pPr>
        <w:pStyle w:val="129"/>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85A2CF9">
      <w:pPr>
        <w:pStyle w:val="129"/>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14:paraId="167C4492">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14:paraId="385F4F09">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B67D660">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1997ED01">
      <w:pPr>
        <w:pStyle w:val="4"/>
        <w:tabs>
          <w:tab w:val="clear" w:pos="432"/>
        </w:tabs>
        <w:ind w:left="12" w:hanging="12"/>
        <w:rPr>
          <w:rFonts w:hint="eastAsia" w:ascii="仿宋" w:eastAsia="仿宋" w:cs="仿宋"/>
          <w:color w:val="auto"/>
        </w:rPr>
      </w:pPr>
      <w:r>
        <w:rPr>
          <w:rFonts w:hint="eastAsia" w:ascii="仿宋" w:eastAsia="仿宋" w:cs="仿宋"/>
          <w:color w:val="auto"/>
          <w:sz w:val="24"/>
          <w:szCs w:val="24"/>
        </w:rPr>
        <w:t>24.及时复核供应商材料。</w:t>
      </w:r>
      <w:r>
        <w:rPr>
          <w:rFonts w:hint="eastAsia" w:ascii="仿宋" w:eastAsia="仿宋" w:cs="仿宋"/>
          <w:b w:val="0"/>
          <w:bCs w:val="0"/>
          <w:color w:val="auto"/>
          <w:sz w:val="24"/>
          <w:szCs w:val="24"/>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746C07D1">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八、合同授予</w:t>
      </w:r>
    </w:p>
    <w:p w14:paraId="6F74CF90">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25. </w:t>
      </w:r>
      <w:r>
        <w:rPr>
          <w:rFonts w:hint="eastAsia" w:ascii="仿宋" w:hAnsi="仿宋" w:eastAsia="仿宋" w:cs="仿宋"/>
          <w:color w:val="auto"/>
        </w:rPr>
        <w:t>合同主要条款详见第五部分拟签订的合同文本。</w:t>
      </w:r>
    </w:p>
    <w:p w14:paraId="6F4BC437">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合同的签订</w:t>
      </w:r>
    </w:p>
    <w:p w14:paraId="48B36A64">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26.1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055446">
      <w:pPr>
        <w:pStyle w:val="129"/>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w:t>
      </w:r>
      <w:r>
        <w:rPr>
          <w:rFonts w:hint="eastAsia" w:ascii="仿宋" w:hAnsi="仿宋" w:eastAsia="仿宋" w:cs="仿宋"/>
          <w:color w:val="auto"/>
          <w:kern w:val="0"/>
        </w:rPr>
        <w:t>6</w:t>
      </w:r>
      <w:r>
        <w:rPr>
          <w:rFonts w:hint="eastAsia" w:ascii="仿宋" w:hAnsi="仿宋" w:eastAsia="仿宋" w:cs="仿宋"/>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357EC205">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26.3如签订合同并生效后，供应商无故拒绝或延期，除按照合同条款处理外，列入不良行为记录一次，并给予通报。</w:t>
      </w:r>
    </w:p>
    <w:p w14:paraId="5AE60352">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26.4中标供应商拒绝与采购人签订合同的，采购人可以按照评审报告推荐的中标或者成交候选人名单排序，确定下一候选人为中标供应商，也可以重新开展政府采购活动。</w:t>
      </w:r>
    </w:p>
    <w:p w14:paraId="451A41E5">
      <w:pPr>
        <w:pStyle w:val="129"/>
        <w:snapToGrid w:val="0"/>
        <w:spacing w:before="0" w:after="120"/>
        <w:ind w:firstLine="480"/>
        <w:rPr>
          <w:rFonts w:hint="eastAsia" w:ascii="仿宋" w:hAnsi="仿宋" w:eastAsia="仿宋" w:cs="仿宋"/>
          <w:color w:val="auto"/>
        </w:rPr>
      </w:pPr>
      <w:r>
        <w:rPr>
          <w:rFonts w:hint="eastAsia" w:ascii="仿宋" w:hAnsi="仿宋" w:eastAsia="仿宋" w:cs="仿宋"/>
          <w:color w:val="auto"/>
        </w:rPr>
        <w:t>26.5采购合同由采购人与中标供应商根据招标文件、投标文件等内容通过政府采购电子交易平台在线签订，自动备案。</w:t>
      </w:r>
    </w:p>
    <w:p w14:paraId="1B5ED79E">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27. 履约保证金</w:t>
      </w:r>
    </w:p>
    <w:p w14:paraId="208291AE">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C1B8C6A">
      <w:pPr>
        <w:tabs>
          <w:tab w:val="left" w:pos="0"/>
        </w:tabs>
        <w:spacing w:line="360" w:lineRule="auto"/>
        <w:ind w:firstLine="482"/>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7E68DEE">
      <w:pPr>
        <w:pStyle w:val="4"/>
        <w:ind w:left="0" w:firstLine="0"/>
        <w:rPr>
          <w:rFonts w:hint="eastAsia" w:ascii="仿宋" w:eastAsia="仿宋" w:cs="仿宋"/>
          <w:color w:val="auto"/>
        </w:rPr>
      </w:pPr>
      <w:r>
        <w:rPr>
          <w:rFonts w:hint="eastAsia" w:ascii="仿宋" w:eastAsia="仿宋" w:cs="仿宋"/>
          <w:color w:val="auto"/>
          <w:sz w:val="24"/>
          <w:lang w:val="en-US"/>
        </w:rPr>
        <w:t>28.预付款</w:t>
      </w:r>
    </w:p>
    <w:p w14:paraId="42DFD1FB">
      <w:pPr>
        <w:adjustRightInd/>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1F8760F4">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九、电子交易活动的中止</w:t>
      </w:r>
    </w:p>
    <w:p w14:paraId="279F3128">
      <w:pPr>
        <w:pStyle w:val="129"/>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szCs w:val="24"/>
        </w:rPr>
        <w:t>9</w:t>
      </w:r>
      <w:r>
        <w:rPr>
          <w:rFonts w:hint="eastAsia" w:ascii="仿宋" w:hAnsi="仿宋" w:eastAsia="仿宋" w:cs="仿宋"/>
          <w:b/>
          <w:color w:val="auto"/>
          <w:szCs w:val="24"/>
        </w:rPr>
        <w:t>. 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14:paraId="212D8E12">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29.1电子交易平台发生故障而无法登录访问的； </w:t>
      </w:r>
    </w:p>
    <w:p w14:paraId="6BB00767">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29.2电子交易平台应用或数据库出现错误，不能进行正常操作的；</w:t>
      </w:r>
    </w:p>
    <w:p w14:paraId="5B18E377">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29.3电子交易平台发现严重安全漏洞，有潜在泄密危险的；</w:t>
      </w:r>
    </w:p>
    <w:p w14:paraId="64DB3F8B">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29.4病毒发作导致不能进行正常操作的； </w:t>
      </w:r>
    </w:p>
    <w:p w14:paraId="4A21A63D">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29.5其他无法保证电子交易的公平、公正和安全的情况。</w:t>
      </w:r>
    </w:p>
    <w:p w14:paraId="07F35DD6">
      <w:pPr>
        <w:pStyle w:val="129"/>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30.出现以上情形，不影响采购公平、公正性的，采购组织机构可以待上述情形消除后继续组织电子交易活动，也可以决定某些环节以纸质形式进行；影响或可能影响采购公平、公正性的，应当重新采购。</w:t>
      </w:r>
    </w:p>
    <w:p w14:paraId="1E638EE5">
      <w:pPr>
        <w:snapToGrid w:val="0"/>
        <w:spacing w:line="360" w:lineRule="auto"/>
        <w:ind w:left="120" w:leftChars="57" w:firstLine="482" w:firstLineChars="150"/>
        <w:jc w:val="center"/>
        <w:rPr>
          <w:rFonts w:hint="eastAsia" w:ascii="仿宋" w:hAnsi="仿宋" w:eastAsia="仿宋" w:cs="仿宋"/>
          <w:b/>
          <w:color w:val="auto"/>
          <w:sz w:val="32"/>
        </w:rPr>
      </w:pPr>
    </w:p>
    <w:p w14:paraId="6C6DAAD9">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十、验收</w:t>
      </w:r>
    </w:p>
    <w:p w14:paraId="464047DC">
      <w:pPr>
        <w:pStyle w:val="25"/>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31. 验收</w:t>
      </w:r>
    </w:p>
    <w:p w14:paraId="2B1194AC">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81447A">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31.2采购人可以邀请参加本项目的其他投标人或者第三方机构参与验收。参与验收的投标人或者第三方机构的意见作为验收书的参考资料一并存档。</w:t>
      </w:r>
    </w:p>
    <w:p w14:paraId="662CECC9">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84CD82">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CCE30B">
      <w:pPr>
        <w:pStyle w:val="965"/>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szCs w:val="24"/>
          <w:lang w:val="en-US"/>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7"/>
    <w:bookmarkEnd w:id="8"/>
    <w:bookmarkEnd w:id="9"/>
    <w:p w14:paraId="302F0FA3">
      <w:pPr>
        <w:widowControl/>
        <w:adjustRightInd/>
        <w:jc w:val="left"/>
        <w:rPr>
          <w:rFonts w:hint="eastAsia" w:ascii="仿宋" w:hAnsi="仿宋" w:eastAsia="仿宋" w:cs="仿宋"/>
          <w:color w:val="auto"/>
          <w:kern w:val="0"/>
          <w:sz w:val="24"/>
        </w:rPr>
      </w:pPr>
      <w:bookmarkStart w:id="13" w:name="_Hlt74714665"/>
      <w:bookmarkEnd w:id="13"/>
      <w:bookmarkStart w:id="14" w:name="_Hlt74707468"/>
      <w:bookmarkEnd w:id="14"/>
      <w:bookmarkStart w:id="15" w:name="_Hlt68073093"/>
      <w:bookmarkEnd w:id="15"/>
      <w:bookmarkStart w:id="16" w:name="_Hlt68072990"/>
      <w:bookmarkEnd w:id="16"/>
      <w:bookmarkStart w:id="17" w:name="_Hlt75236011"/>
      <w:bookmarkEnd w:id="17"/>
      <w:bookmarkStart w:id="18" w:name="_Hlt68072998"/>
      <w:bookmarkEnd w:id="18"/>
      <w:bookmarkStart w:id="19" w:name="_Hlt75236101"/>
      <w:bookmarkEnd w:id="19"/>
      <w:bookmarkStart w:id="20" w:name="_Hlt68403820"/>
      <w:bookmarkEnd w:id="20"/>
      <w:bookmarkStart w:id="21" w:name="_Hlt75236290"/>
      <w:bookmarkEnd w:id="21"/>
      <w:bookmarkStart w:id="22" w:name="_Hlt68057669"/>
      <w:bookmarkEnd w:id="22"/>
      <w:bookmarkStart w:id="23" w:name="_Hlt74730295"/>
      <w:bookmarkEnd w:id="23"/>
      <w:bookmarkStart w:id="24" w:name="_Hlt74729768"/>
      <w:bookmarkEnd w:id="24"/>
      <w:bookmarkStart w:id="25" w:name="第四部分"/>
      <w:r>
        <w:rPr>
          <w:rFonts w:hint="eastAsia" w:ascii="仿宋" w:hAnsi="仿宋" w:eastAsia="仿宋" w:cs="仿宋"/>
          <w:color w:val="auto"/>
          <w:kern w:val="0"/>
          <w:sz w:val="24"/>
        </w:rPr>
        <w:br w:type="page"/>
      </w:r>
    </w:p>
    <w:p w14:paraId="1877B69C">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14:paraId="43A542B5">
      <w:pPr>
        <w:snapToGrid w:val="0"/>
        <w:rPr>
          <w:rStyle w:val="963"/>
          <w:rFonts w:hint="eastAsia" w:ascii="仿宋" w:hAnsi="仿宋" w:eastAsia="仿宋" w:cs="仿宋"/>
          <w:i w:val="0"/>
          <w:iCs w:val="0"/>
          <w:color w:val="auto"/>
        </w:rPr>
      </w:pPr>
      <w:r>
        <w:rPr>
          <w:rStyle w:val="963"/>
          <w:rFonts w:hint="eastAsia" w:ascii="仿宋" w:hAnsi="仿宋" w:eastAsia="仿宋" w:cs="仿宋"/>
          <w:i w:val="0"/>
          <w:iCs w:val="0"/>
          <w:color w:val="auto"/>
        </w:rPr>
        <w:t>属于实质性要求条款的，请用符号“▲”标明，否则属于非实质性要求。“★”系产品采购项目中单一产品或核心产品。</w:t>
      </w:r>
    </w:p>
    <w:p w14:paraId="35FCF0E5">
      <w:pPr>
        <w:pStyle w:val="4"/>
        <w:numPr>
          <w:ilvl w:val="0"/>
          <w:numId w:val="7"/>
        </w:numPr>
        <w:jc w:val="center"/>
        <w:rPr>
          <w:rFonts w:hint="eastAsia" w:ascii="仿宋" w:eastAsia="仿宋" w:cs="仿宋"/>
          <w:color w:val="auto"/>
          <w:sz w:val="24"/>
          <w:szCs w:val="24"/>
        </w:rPr>
      </w:pPr>
      <w:r>
        <w:rPr>
          <w:rFonts w:hint="eastAsia" w:ascii="仿宋" w:eastAsia="仿宋" w:cs="仿宋"/>
          <w:color w:val="auto"/>
          <w:sz w:val="24"/>
          <w:szCs w:val="24"/>
        </w:rPr>
        <w:t>招标一览表</w:t>
      </w:r>
    </w:p>
    <w:p w14:paraId="43B2648C">
      <w:pPr>
        <w:pStyle w:val="6"/>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标项一：新街街道全域生活垃圾清运服务项目 </w:t>
      </w:r>
    </w:p>
    <w:tbl>
      <w:tblPr>
        <w:tblStyle w:val="62"/>
        <w:tblpPr w:leftFromText="180" w:rightFromText="180" w:vertAnchor="text" w:horzAnchor="margin" w:tblpY="63"/>
        <w:tblOverlap w:val="never"/>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506"/>
        <w:gridCol w:w="721"/>
        <w:gridCol w:w="687"/>
        <w:gridCol w:w="1347"/>
        <w:gridCol w:w="1813"/>
        <w:gridCol w:w="1440"/>
      </w:tblGrid>
      <w:tr w14:paraId="3883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2" w:hRule="atLeast"/>
        </w:trPr>
        <w:tc>
          <w:tcPr>
            <w:tcW w:w="523" w:type="dxa"/>
            <w:tcMar>
              <w:top w:w="15" w:type="dxa"/>
              <w:left w:w="15" w:type="dxa"/>
              <w:bottom w:w="0" w:type="dxa"/>
              <w:right w:w="15" w:type="dxa"/>
            </w:tcMar>
            <w:vAlign w:val="center"/>
          </w:tcPr>
          <w:p w14:paraId="2DC82328">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506" w:type="dxa"/>
            <w:tcMar>
              <w:top w:w="15" w:type="dxa"/>
              <w:left w:w="15" w:type="dxa"/>
              <w:bottom w:w="0" w:type="dxa"/>
              <w:right w:w="15" w:type="dxa"/>
            </w:tcMar>
            <w:vAlign w:val="center"/>
          </w:tcPr>
          <w:p w14:paraId="71F97644">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721" w:type="dxa"/>
            <w:tcMar>
              <w:top w:w="15" w:type="dxa"/>
              <w:left w:w="15" w:type="dxa"/>
              <w:bottom w:w="0" w:type="dxa"/>
              <w:right w:w="15" w:type="dxa"/>
            </w:tcMar>
            <w:vAlign w:val="center"/>
          </w:tcPr>
          <w:p w14:paraId="0A3B0C83">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687" w:type="dxa"/>
            <w:tcMar>
              <w:top w:w="15" w:type="dxa"/>
              <w:left w:w="15" w:type="dxa"/>
              <w:bottom w:w="0" w:type="dxa"/>
              <w:right w:w="15" w:type="dxa"/>
            </w:tcMar>
            <w:vAlign w:val="center"/>
          </w:tcPr>
          <w:p w14:paraId="165BB02B">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单位</w:t>
            </w:r>
          </w:p>
        </w:tc>
        <w:tc>
          <w:tcPr>
            <w:tcW w:w="1347" w:type="dxa"/>
            <w:vAlign w:val="center"/>
          </w:tcPr>
          <w:p w14:paraId="56822C66">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预算（元）</w:t>
            </w:r>
          </w:p>
        </w:tc>
        <w:tc>
          <w:tcPr>
            <w:tcW w:w="1813" w:type="dxa"/>
            <w:vAlign w:val="center"/>
          </w:tcPr>
          <w:p w14:paraId="5AEE2988">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简要规格描述或基本情况介绍</w:t>
            </w:r>
          </w:p>
        </w:tc>
        <w:tc>
          <w:tcPr>
            <w:tcW w:w="1440" w:type="dxa"/>
            <w:vAlign w:val="center"/>
          </w:tcPr>
          <w:p w14:paraId="7DBC367F">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最高限价（元）</w:t>
            </w:r>
          </w:p>
        </w:tc>
      </w:tr>
      <w:tr w14:paraId="4424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2C0A3AF1">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506" w:type="dxa"/>
            <w:tcMar>
              <w:top w:w="15" w:type="dxa"/>
              <w:left w:w="15" w:type="dxa"/>
              <w:bottom w:w="0" w:type="dxa"/>
              <w:right w:w="15" w:type="dxa"/>
            </w:tcMar>
            <w:vAlign w:val="center"/>
          </w:tcPr>
          <w:p w14:paraId="1F8400ED">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新街街道全域生活垃圾清运服务项目</w:t>
            </w:r>
          </w:p>
        </w:tc>
        <w:tc>
          <w:tcPr>
            <w:tcW w:w="721" w:type="dxa"/>
            <w:tcMar>
              <w:top w:w="15" w:type="dxa"/>
              <w:left w:w="15" w:type="dxa"/>
              <w:bottom w:w="0" w:type="dxa"/>
              <w:right w:w="15" w:type="dxa"/>
            </w:tcMar>
            <w:vAlign w:val="center"/>
          </w:tcPr>
          <w:p w14:paraId="2624419E">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687" w:type="dxa"/>
            <w:tcMar>
              <w:top w:w="15" w:type="dxa"/>
              <w:left w:w="15" w:type="dxa"/>
              <w:bottom w:w="0" w:type="dxa"/>
              <w:right w:w="15" w:type="dxa"/>
            </w:tcMar>
            <w:vAlign w:val="center"/>
          </w:tcPr>
          <w:p w14:paraId="57F602BE">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年</w:t>
            </w:r>
          </w:p>
        </w:tc>
        <w:tc>
          <w:tcPr>
            <w:tcW w:w="1347" w:type="dxa"/>
            <w:vAlign w:val="center"/>
          </w:tcPr>
          <w:p w14:paraId="13D423A5">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 xml:space="preserve">7450000.00 </w:t>
            </w:r>
          </w:p>
        </w:tc>
        <w:tc>
          <w:tcPr>
            <w:tcW w:w="1813" w:type="dxa"/>
            <w:vAlign w:val="center"/>
          </w:tcPr>
          <w:p w14:paraId="4C6824A4">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二、招标需求</w:t>
            </w:r>
          </w:p>
        </w:tc>
        <w:tc>
          <w:tcPr>
            <w:tcW w:w="1440" w:type="dxa"/>
            <w:vAlign w:val="center"/>
          </w:tcPr>
          <w:p w14:paraId="52528E27">
            <w:pPr>
              <w:tabs>
                <w:tab w:val="left" w:pos="0"/>
              </w:tabs>
              <w:snapToGrid w:val="0"/>
              <w:jc w:val="center"/>
              <w:rPr>
                <w:rFonts w:hint="eastAsia" w:ascii="仿宋" w:hAnsi="仿宋" w:eastAsia="仿宋" w:cs="仿宋"/>
                <w:color w:val="auto"/>
                <w:sz w:val="24"/>
              </w:rPr>
            </w:pPr>
            <w:r>
              <w:rPr>
                <w:rFonts w:hint="eastAsia" w:ascii="仿宋" w:hAnsi="仿宋" w:eastAsia="仿宋" w:cs="仿宋"/>
                <w:color w:val="auto"/>
                <w:sz w:val="24"/>
              </w:rPr>
              <w:t xml:space="preserve">7450000.00 </w:t>
            </w:r>
          </w:p>
        </w:tc>
      </w:tr>
    </w:tbl>
    <w:p w14:paraId="42BF7A4C">
      <w:pPr>
        <w:pStyle w:val="4"/>
        <w:ind w:left="0" w:firstLine="0"/>
        <w:rPr>
          <w:rFonts w:hint="eastAsia" w:ascii="仿宋" w:eastAsia="仿宋" w:cs="仿宋"/>
          <w:color w:val="auto"/>
          <w:sz w:val="24"/>
          <w:szCs w:val="24"/>
        </w:rPr>
      </w:pPr>
      <w:r>
        <w:rPr>
          <w:rFonts w:hint="eastAsia" w:ascii="仿宋" w:eastAsia="仿宋" w:cs="仿宋"/>
          <w:color w:val="auto"/>
          <w:sz w:val="24"/>
          <w:szCs w:val="24"/>
        </w:rPr>
        <w:t>注：▲投标人需在投标（开标）一览表中明确投标报价（总价），总报价不得超过上表各最高限价。</w:t>
      </w:r>
    </w:p>
    <w:p w14:paraId="46C39D29">
      <w:pPr>
        <w:pStyle w:val="4"/>
        <w:numPr>
          <w:ilvl w:val="0"/>
          <w:numId w:val="7"/>
        </w:numPr>
        <w:jc w:val="center"/>
        <w:rPr>
          <w:rFonts w:hint="eastAsia" w:ascii="仿宋" w:eastAsia="仿宋" w:cs="仿宋"/>
          <w:color w:val="auto"/>
          <w:sz w:val="24"/>
          <w:szCs w:val="24"/>
        </w:rPr>
      </w:pPr>
      <w:r>
        <w:rPr>
          <w:rFonts w:hint="eastAsia" w:ascii="仿宋" w:eastAsia="仿宋" w:cs="仿宋"/>
          <w:color w:val="auto"/>
          <w:sz w:val="24"/>
          <w:szCs w:val="24"/>
        </w:rPr>
        <w:t>采购需求</w:t>
      </w:r>
    </w:p>
    <w:p w14:paraId="597108C8">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一、项目</w:t>
      </w:r>
      <w:r>
        <w:rPr>
          <w:rFonts w:hint="eastAsia" w:ascii="仿宋" w:hAnsi="仿宋" w:eastAsia="仿宋" w:cs="仿宋"/>
          <w:color w:val="auto"/>
          <w:kern w:val="0"/>
          <w:sz w:val="24"/>
        </w:rPr>
        <w:t>概况</w:t>
      </w:r>
    </w:p>
    <w:p w14:paraId="606AC728">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fldChar w:fldCharType="begin"/>
      </w:r>
      <w:r>
        <w:rPr>
          <w:rFonts w:hint="eastAsia" w:ascii="仿宋" w:hAnsi="仿宋" w:eastAsia="仿宋" w:cs="仿宋"/>
          <w:color w:val="auto"/>
          <w:kern w:val="0"/>
          <w:sz w:val="24"/>
          <w:lang w:val="zh-CN"/>
        </w:rPr>
        <w:instrText xml:space="preserve">= 1 \* GB2</w:instrText>
      </w:r>
      <w:r>
        <w:rPr>
          <w:rFonts w:hint="eastAsia" w:ascii="仿宋" w:hAnsi="仿宋" w:eastAsia="仿宋" w:cs="仿宋"/>
          <w:color w:val="auto"/>
          <w:kern w:val="0"/>
          <w:sz w:val="24"/>
          <w:lang w:val="zh-CN"/>
        </w:rPr>
        <w:fldChar w:fldCharType="separate"/>
      </w:r>
      <w:r>
        <w:rPr>
          <w:rFonts w:hint="eastAsia" w:ascii="仿宋" w:hAnsi="仿宋" w:eastAsia="仿宋" w:cs="仿宋"/>
          <w:color w:val="auto"/>
          <w:kern w:val="0"/>
          <w:sz w:val="24"/>
          <w:lang w:val="zh-CN"/>
        </w:rPr>
        <w:t>⑴</w:t>
      </w:r>
      <w:r>
        <w:rPr>
          <w:rFonts w:hint="eastAsia" w:ascii="仿宋" w:hAnsi="仿宋" w:eastAsia="仿宋" w:cs="仿宋"/>
          <w:color w:val="auto"/>
          <w:kern w:val="0"/>
          <w:sz w:val="24"/>
          <w:lang w:val="zh-CN"/>
        </w:rPr>
        <w:fldChar w:fldCharType="end"/>
      </w:r>
      <w:r>
        <w:rPr>
          <w:rFonts w:hint="eastAsia" w:ascii="仿宋" w:hAnsi="仿宋" w:eastAsia="仿宋" w:cs="仿宋"/>
          <w:color w:val="auto"/>
          <w:kern w:val="0"/>
          <w:sz w:val="24"/>
          <w:lang w:val="zh-CN"/>
        </w:rPr>
        <w:t>、</w:t>
      </w:r>
      <w:bookmarkStart w:id="26" w:name="OLE_LINK7"/>
      <w:bookmarkStart w:id="27" w:name="OLE_LINK6"/>
      <w:r>
        <w:rPr>
          <w:rFonts w:hint="eastAsia" w:ascii="仿宋" w:hAnsi="仿宋" w:eastAsia="仿宋" w:cs="仿宋"/>
          <w:color w:val="auto"/>
          <w:kern w:val="0"/>
          <w:sz w:val="24"/>
          <w:lang w:val="zh-CN"/>
        </w:rPr>
        <w:t>本次招标的内容为新街街道全域范围内生活垃圾（本项目特指生活垃圾中经分类收集的其他垃圾）清运，清运量超过5万吨的按5万吨包干计算(若实际清运量低于5万吨，按实结算)，预计总费用约745万元左右，其中包含新街街道各村生活垃圾清运(158元/吨)和除各自然村以外的其他单位(各住宅小区、商贸综合体、其他企事业单位等等)产生的生活垃圾清运(68元/吨)。</w:t>
      </w:r>
      <w:bookmarkEnd w:id="26"/>
      <w:bookmarkEnd w:id="27"/>
    </w:p>
    <w:p w14:paraId="7B6735F3">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fldChar w:fldCharType="begin"/>
      </w:r>
      <w:r>
        <w:rPr>
          <w:rFonts w:hint="eastAsia" w:ascii="仿宋" w:hAnsi="仿宋" w:eastAsia="仿宋" w:cs="仿宋"/>
          <w:color w:val="auto"/>
          <w:kern w:val="0"/>
          <w:sz w:val="24"/>
          <w:lang w:val="zh-CN"/>
        </w:rPr>
        <w:instrText xml:space="preserve">= 2 \* GB2</w:instrText>
      </w:r>
      <w:r>
        <w:rPr>
          <w:rFonts w:hint="eastAsia" w:ascii="仿宋" w:hAnsi="仿宋" w:eastAsia="仿宋" w:cs="仿宋"/>
          <w:color w:val="auto"/>
          <w:kern w:val="0"/>
          <w:sz w:val="24"/>
          <w:lang w:val="zh-CN"/>
        </w:rPr>
        <w:fldChar w:fldCharType="separate"/>
      </w:r>
      <w:r>
        <w:rPr>
          <w:rFonts w:hint="eastAsia" w:ascii="仿宋" w:hAnsi="仿宋" w:eastAsia="仿宋" w:cs="仿宋"/>
          <w:color w:val="auto"/>
          <w:kern w:val="0"/>
          <w:sz w:val="24"/>
          <w:lang w:val="zh-CN"/>
        </w:rPr>
        <w:t>⑵</w:t>
      </w:r>
      <w:r>
        <w:rPr>
          <w:rFonts w:hint="eastAsia" w:ascii="仿宋" w:hAnsi="仿宋" w:eastAsia="仿宋" w:cs="仿宋"/>
          <w:color w:val="auto"/>
          <w:kern w:val="0"/>
          <w:sz w:val="24"/>
          <w:lang w:val="zh-CN"/>
        </w:rPr>
        <w:fldChar w:fldCharType="end"/>
      </w:r>
      <w:r>
        <w:rPr>
          <w:rFonts w:hint="eastAsia" w:ascii="仿宋" w:hAnsi="仿宋" w:eastAsia="仿宋" w:cs="仿宋"/>
          <w:color w:val="auto"/>
          <w:kern w:val="0"/>
          <w:sz w:val="24"/>
          <w:lang w:val="zh-CN"/>
        </w:rPr>
        <w:t>、本项目必须配备满足日清运总量不少于</w:t>
      </w:r>
      <w:r>
        <w:rPr>
          <w:rFonts w:hint="eastAsia" w:ascii="仿宋" w:hAnsi="仿宋" w:eastAsia="仿宋" w:cs="仿宋"/>
          <w:color w:val="auto"/>
          <w:kern w:val="0"/>
          <w:sz w:val="24"/>
          <w:lang w:val="en-US" w:eastAsia="zh-CN"/>
        </w:rPr>
        <w:t>180</w:t>
      </w:r>
      <w:r>
        <w:rPr>
          <w:rFonts w:hint="eastAsia" w:ascii="仿宋" w:hAnsi="仿宋" w:eastAsia="仿宋" w:cs="仿宋"/>
          <w:color w:val="auto"/>
          <w:kern w:val="0"/>
          <w:sz w:val="24"/>
        </w:rPr>
        <w:t>吨的垃圾清运车辆，</w:t>
      </w:r>
      <w:r>
        <w:rPr>
          <w:rFonts w:hint="eastAsia" w:ascii="仿宋" w:hAnsi="仿宋" w:eastAsia="仿宋" w:cs="仿宋"/>
          <w:color w:val="auto"/>
          <w:kern w:val="0"/>
          <w:sz w:val="24"/>
          <w:lang w:val="zh-CN"/>
        </w:rPr>
        <w:t>管理用专职巡查车1辆，以上配置为本项目的最低设备配置，所有配备车辆必须证照齐全有效，并满足萧山区城市管理局对生活垃圾运输车辆的要求。中标人须根据情况及时补充必要的设备以保证本项目的顺利实施。</w:t>
      </w:r>
    </w:p>
    <w:p w14:paraId="418DA51C">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fldChar w:fldCharType="begin"/>
      </w:r>
      <w:r>
        <w:rPr>
          <w:rFonts w:hint="eastAsia" w:ascii="仿宋" w:hAnsi="仿宋" w:eastAsia="仿宋" w:cs="仿宋"/>
          <w:color w:val="auto"/>
          <w:kern w:val="0"/>
          <w:sz w:val="24"/>
          <w:lang w:val="zh-CN"/>
        </w:rPr>
        <w:instrText xml:space="preserve">= 3 \* GB2</w:instrText>
      </w:r>
      <w:r>
        <w:rPr>
          <w:rFonts w:hint="eastAsia" w:ascii="仿宋" w:hAnsi="仿宋" w:eastAsia="仿宋" w:cs="仿宋"/>
          <w:color w:val="auto"/>
          <w:kern w:val="0"/>
          <w:sz w:val="24"/>
          <w:lang w:val="zh-CN"/>
        </w:rPr>
        <w:fldChar w:fldCharType="separate"/>
      </w:r>
      <w:r>
        <w:rPr>
          <w:rFonts w:hint="eastAsia" w:ascii="仿宋" w:hAnsi="仿宋" w:eastAsia="仿宋" w:cs="仿宋"/>
          <w:color w:val="auto"/>
          <w:kern w:val="0"/>
          <w:sz w:val="24"/>
          <w:lang w:val="zh-CN"/>
        </w:rPr>
        <w:t>⑶</w:t>
      </w:r>
      <w:r>
        <w:rPr>
          <w:rFonts w:hint="eastAsia" w:ascii="仿宋" w:hAnsi="仿宋" w:eastAsia="仿宋" w:cs="仿宋"/>
          <w:color w:val="auto"/>
          <w:kern w:val="0"/>
          <w:sz w:val="24"/>
          <w:lang w:val="zh-CN"/>
        </w:rPr>
        <w:fldChar w:fldCharType="end"/>
      </w:r>
      <w:r>
        <w:rPr>
          <w:rFonts w:hint="eastAsia" w:ascii="仿宋" w:hAnsi="仿宋" w:eastAsia="仿宋" w:cs="仿宋"/>
          <w:color w:val="auto"/>
          <w:kern w:val="0"/>
          <w:sz w:val="24"/>
          <w:lang w:val="zh-CN"/>
        </w:rPr>
        <w:t>、配备项目管理员（1人）、巡查员（至少1人），做好日常清运管理和台账工作。每辆车（不含巡查车辆）配备司机（1人）、跟车辅助工（至少1人）清扫装卸。</w:t>
      </w:r>
    </w:p>
    <w:p w14:paraId="72040A7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lang w:val="zh-CN"/>
        </w:rPr>
        <w:fldChar w:fldCharType="begin"/>
      </w:r>
      <w:r>
        <w:rPr>
          <w:rFonts w:hint="eastAsia" w:ascii="仿宋" w:hAnsi="仿宋" w:eastAsia="仿宋" w:cs="仿宋"/>
          <w:color w:val="auto"/>
          <w:kern w:val="0"/>
          <w:sz w:val="24"/>
          <w:lang w:val="zh-CN"/>
        </w:rPr>
        <w:instrText xml:space="preserve"> = 4 \* GB2 </w:instrText>
      </w:r>
      <w:r>
        <w:rPr>
          <w:rFonts w:hint="eastAsia" w:ascii="仿宋" w:hAnsi="仿宋" w:eastAsia="仿宋" w:cs="仿宋"/>
          <w:color w:val="auto"/>
          <w:kern w:val="0"/>
          <w:sz w:val="24"/>
          <w:lang w:val="zh-CN"/>
        </w:rPr>
        <w:fldChar w:fldCharType="separate"/>
      </w:r>
      <w:r>
        <w:rPr>
          <w:rFonts w:hint="eastAsia" w:ascii="仿宋" w:hAnsi="仿宋" w:eastAsia="仿宋" w:cs="仿宋"/>
          <w:color w:val="auto"/>
          <w:kern w:val="0"/>
          <w:sz w:val="24"/>
          <w:lang w:val="zh-CN"/>
        </w:rPr>
        <w:t>⑷</w:t>
      </w:r>
      <w:r>
        <w:rPr>
          <w:rFonts w:hint="eastAsia" w:ascii="仿宋" w:hAnsi="仿宋" w:eastAsia="仿宋" w:cs="仿宋"/>
          <w:color w:val="auto"/>
          <w:kern w:val="0"/>
          <w:sz w:val="24"/>
          <w:lang w:val="zh-CN"/>
        </w:rPr>
        <w:fldChar w:fldCharType="end"/>
      </w:r>
      <w:r>
        <w:rPr>
          <w:rFonts w:hint="eastAsia" w:ascii="仿宋" w:hAnsi="仿宋" w:eastAsia="仿宋" w:cs="仿宋"/>
          <w:color w:val="auto"/>
          <w:kern w:val="0"/>
          <w:sz w:val="24"/>
          <w:lang w:val="zh-CN"/>
        </w:rPr>
        <w:t>、为更好的推进街道垃圾分类工作，按照新街街道往年垃圾产生的情况，各村产生的生活垃圾</w:t>
      </w:r>
      <w:r>
        <w:rPr>
          <w:rFonts w:hint="eastAsia" w:ascii="仿宋" w:hAnsi="仿宋" w:eastAsia="仿宋" w:cs="仿宋"/>
          <w:color w:val="auto"/>
          <w:kern w:val="0"/>
          <w:sz w:val="24"/>
        </w:rPr>
        <w:t>包含在招标总价中，中标单位不得另行收费</w:t>
      </w:r>
      <w:r>
        <w:rPr>
          <w:rFonts w:hint="eastAsia" w:ascii="仿宋" w:hAnsi="仿宋" w:eastAsia="仿宋" w:cs="仿宋"/>
          <w:color w:val="auto"/>
          <w:kern w:val="0"/>
          <w:sz w:val="24"/>
          <w:lang w:val="zh-CN"/>
        </w:rPr>
        <w:t>，并做好日常清运数量的登记工作；</w:t>
      </w:r>
      <w:r>
        <w:rPr>
          <w:rFonts w:hint="eastAsia" w:ascii="仿宋" w:hAnsi="仿宋" w:eastAsia="仿宋" w:cs="仿宋"/>
          <w:color w:val="auto"/>
          <w:kern w:val="0"/>
          <w:sz w:val="24"/>
        </w:rPr>
        <w:t>除各自然村以外的其他单位（</w:t>
      </w:r>
      <w:r>
        <w:rPr>
          <w:rFonts w:hint="eastAsia" w:ascii="仿宋" w:hAnsi="仿宋" w:eastAsia="仿宋" w:cs="仿宋"/>
          <w:color w:val="auto"/>
          <w:kern w:val="0"/>
          <w:sz w:val="24"/>
          <w:lang w:val="zh-CN"/>
        </w:rPr>
        <w:t>各住宅小区、商贸综合体、</w:t>
      </w:r>
      <w:r>
        <w:rPr>
          <w:rFonts w:hint="eastAsia" w:ascii="仿宋" w:hAnsi="仿宋" w:eastAsia="仿宋" w:cs="仿宋"/>
          <w:color w:val="auto"/>
          <w:kern w:val="0"/>
          <w:sz w:val="24"/>
        </w:rPr>
        <w:t>其他</w:t>
      </w:r>
      <w:r>
        <w:rPr>
          <w:rFonts w:hint="eastAsia" w:ascii="仿宋" w:hAnsi="仿宋" w:eastAsia="仿宋" w:cs="仿宋"/>
          <w:color w:val="auto"/>
          <w:kern w:val="0"/>
          <w:sz w:val="24"/>
          <w:lang w:val="zh-CN"/>
        </w:rPr>
        <w:t>企事业单位</w:t>
      </w:r>
      <w:r>
        <w:rPr>
          <w:rFonts w:hint="eastAsia" w:ascii="仿宋" w:hAnsi="仿宋" w:eastAsia="仿宋" w:cs="仿宋"/>
          <w:color w:val="auto"/>
          <w:kern w:val="0"/>
          <w:sz w:val="24"/>
        </w:rPr>
        <w:t>等）</w:t>
      </w:r>
      <w:r>
        <w:rPr>
          <w:rFonts w:hint="eastAsia" w:ascii="仿宋" w:hAnsi="仿宋" w:eastAsia="仿宋" w:cs="仿宋"/>
          <w:color w:val="auto"/>
          <w:kern w:val="0"/>
          <w:sz w:val="24"/>
          <w:lang w:val="zh-CN"/>
        </w:rPr>
        <w:t>实行政府补贴＋收费相结合的模式，</w:t>
      </w:r>
      <w:r>
        <w:rPr>
          <w:rFonts w:hint="eastAsia" w:ascii="仿宋" w:hAnsi="仿宋" w:eastAsia="仿宋" w:cs="仿宋"/>
          <w:color w:val="auto"/>
          <w:kern w:val="0"/>
          <w:sz w:val="24"/>
        </w:rPr>
        <w:t>即只补贴街道界至焚烧厂的运输费用（预算单价为68元/吨），辖区内接驳由中标单位与各垃圾产生单位自行协商，</w:t>
      </w:r>
      <w:r>
        <w:rPr>
          <w:rFonts w:hint="eastAsia" w:ascii="仿宋" w:hAnsi="仿宋" w:eastAsia="仿宋" w:cs="仿宋"/>
          <w:color w:val="auto"/>
          <w:kern w:val="0"/>
          <w:sz w:val="24"/>
          <w:lang w:val="zh-CN"/>
        </w:rPr>
        <w:t>收费标准最高不得超过以下</w:t>
      </w:r>
      <w:r>
        <w:rPr>
          <w:rFonts w:hint="eastAsia" w:ascii="仿宋" w:hAnsi="仿宋" w:eastAsia="仿宋" w:cs="仿宋"/>
          <w:color w:val="auto"/>
          <w:kern w:val="0"/>
          <w:sz w:val="24"/>
        </w:rPr>
        <w:t>限价：</w:t>
      </w:r>
    </w:p>
    <w:p w14:paraId="2013967C">
      <w:pPr>
        <w:snapToGrid w:val="0"/>
        <w:spacing w:line="360" w:lineRule="auto"/>
        <w:ind w:firstLine="480" w:firstLineChars="200"/>
        <w:jc w:val="left"/>
        <w:rPr>
          <w:rFonts w:hint="eastAsia" w:ascii="仿宋" w:hAnsi="仿宋" w:eastAsia="仿宋" w:cs="仿宋"/>
          <w:color w:val="auto"/>
          <w:kern w:val="0"/>
          <w:sz w:val="24"/>
        </w:rPr>
      </w:pPr>
    </w:p>
    <w:tbl>
      <w:tblPr>
        <w:tblStyle w:val="62"/>
        <w:tblW w:w="7860" w:type="dxa"/>
        <w:jc w:val="center"/>
        <w:tblLayout w:type="fixed"/>
        <w:tblCellMar>
          <w:top w:w="0" w:type="dxa"/>
          <w:left w:w="108" w:type="dxa"/>
          <w:bottom w:w="0" w:type="dxa"/>
          <w:right w:w="108" w:type="dxa"/>
        </w:tblCellMar>
      </w:tblPr>
      <w:tblGrid>
        <w:gridCol w:w="846"/>
        <w:gridCol w:w="4119"/>
        <w:gridCol w:w="2895"/>
      </w:tblGrid>
      <w:tr w14:paraId="0265105A">
        <w:tblPrEx>
          <w:tblCellMar>
            <w:top w:w="0" w:type="dxa"/>
            <w:left w:w="108" w:type="dxa"/>
            <w:bottom w:w="0" w:type="dxa"/>
            <w:right w:w="108"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DFB3">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序号</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A8E6">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单位类型</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5559">
            <w:pPr>
              <w:snapToGrid w:val="0"/>
              <w:spacing w:line="360" w:lineRule="auto"/>
              <w:ind w:firstLine="0" w:firstLineChars="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最高限价（元/桶）</w:t>
            </w:r>
          </w:p>
        </w:tc>
      </w:tr>
      <w:tr w14:paraId="54CC1EBA">
        <w:tblPrEx>
          <w:tblCellMar>
            <w:top w:w="0" w:type="dxa"/>
            <w:left w:w="108" w:type="dxa"/>
            <w:bottom w:w="0" w:type="dxa"/>
            <w:right w:w="108"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F813">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F7A0">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安置房住宅小区</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964E">
            <w:pPr>
              <w:snapToGrid w:val="0"/>
              <w:spacing w:line="360" w:lineRule="auto"/>
              <w:ind w:firstLine="0" w:firstLineChars="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7.00</w:t>
            </w:r>
          </w:p>
        </w:tc>
      </w:tr>
      <w:tr w14:paraId="116E5082">
        <w:tblPrEx>
          <w:tblCellMar>
            <w:top w:w="0" w:type="dxa"/>
            <w:left w:w="108" w:type="dxa"/>
            <w:bottom w:w="0" w:type="dxa"/>
            <w:right w:w="108"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B118">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B24C">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商品房住宅（70年产权）</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D984">
            <w:pPr>
              <w:snapToGrid w:val="0"/>
              <w:spacing w:line="360" w:lineRule="auto"/>
              <w:ind w:firstLine="0" w:firstLineChars="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7.00</w:t>
            </w:r>
          </w:p>
        </w:tc>
      </w:tr>
      <w:tr w14:paraId="592111DF">
        <w:tblPrEx>
          <w:tblCellMar>
            <w:top w:w="0" w:type="dxa"/>
            <w:left w:w="108" w:type="dxa"/>
            <w:bottom w:w="0" w:type="dxa"/>
            <w:right w:w="108"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3D81">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5323">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其他企事业单位等等</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0DF3">
            <w:pPr>
              <w:snapToGrid w:val="0"/>
              <w:spacing w:line="360" w:lineRule="auto"/>
              <w:ind w:firstLine="0" w:firstLineChars="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12.00</w:t>
            </w:r>
          </w:p>
        </w:tc>
      </w:tr>
    </w:tbl>
    <w:p w14:paraId="64B775BF">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w:t>
      </w:r>
      <w:r>
        <w:rPr>
          <w:rFonts w:hint="eastAsia" w:ascii="仿宋" w:hAnsi="仿宋" w:eastAsia="仿宋" w:cs="仿宋"/>
          <w:color w:val="auto"/>
          <w:kern w:val="0"/>
          <w:sz w:val="24"/>
          <w:lang w:val="zh-CN"/>
        </w:rPr>
        <w:t>二、服务期</w:t>
      </w:r>
    </w:p>
    <w:p w14:paraId="6D2D0324">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lang w:val="zh-CN"/>
        </w:rPr>
        <w:t>本项目服务期</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年（具体以合同签订时间为准。</w:t>
      </w:r>
      <w:r>
        <w:rPr>
          <w:rFonts w:hint="eastAsia" w:ascii="仿宋" w:hAnsi="仿宋" w:eastAsia="仿宋" w:cs="仿宋"/>
          <w:color w:val="auto"/>
          <w:kern w:val="0"/>
          <w:sz w:val="24"/>
        </w:rPr>
        <w:t>如中标人在服务期内违反合同约定，经考核不合格，采购单位有权提前终止合同</w:t>
      </w:r>
      <w:r>
        <w:rPr>
          <w:rFonts w:hint="eastAsia" w:ascii="仿宋" w:hAnsi="仿宋" w:eastAsia="仿宋" w:cs="仿宋"/>
          <w:color w:val="auto"/>
          <w:kern w:val="0"/>
          <w:sz w:val="24"/>
          <w:lang w:val="zh-CN"/>
        </w:rPr>
        <w:t>）；清运量超过5万吨的按5万吨包干计算(若实际清运量低于5万吨，按实结算)，日清运能力不少于</w:t>
      </w:r>
      <w:r>
        <w:rPr>
          <w:rFonts w:hint="eastAsia" w:ascii="仿宋" w:hAnsi="仿宋" w:eastAsia="仿宋" w:cs="仿宋"/>
          <w:color w:val="auto"/>
          <w:kern w:val="0"/>
          <w:sz w:val="24"/>
        </w:rPr>
        <w:t>180</w:t>
      </w:r>
      <w:r>
        <w:rPr>
          <w:rFonts w:hint="eastAsia" w:ascii="仿宋" w:hAnsi="仿宋" w:eastAsia="仿宋" w:cs="仿宋"/>
          <w:color w:val="auto"/>
          <w:kern w:val="0"/>
          <w:sz w:val="24"/>
          <w:lang w:val="zh-CN"/>
        </w:rPr>
        <w:t>吨，直至清运完毕为止。具体实施进度由中标人根据项目街道产生生活垃圾量安排，由新街街道界运输至萧山区指定的垃圾焚烧厂。</w:t>
      </w:r>
    </w:p>
    <w:p w14:paraId="72DE6559">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三、服务要求与质量标准 </w:t>
      </w:r>
    </w:p>
    <w:p w14:paraId="58E30F7A">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1、垃圾清运车辆应符合下列要求：</w:t>
      </w:r>
    </w:p>
    <w:p w14:paraId="19D596C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 1 \* GB2</w:instrText>
      </w:r>
      <w:r>
        <w:rPr>
          <w:rFonts w:hint="eastAsia" w:ascii="仿宋" w:hAnsi="仿宋" w:eastAsia="仿宋" w:cs="仿宋"/>
          <w:color w:val="auto"/>
          <w:kern w:val="0"/>
          <w:sz w:val="24"/>
        </w:rPr>
        <w:fldChar w:fldCharType="separate"/>
      </w:r>
      <w:r>
        <w:rPr>
          <w:rFonts w:hint="eastAsia" w:ascii="仿宋" w:hAnsi="仿宋" w:eastAsia="仿宋" w:cs="仿宋"/>
          <w:color w:val="auto"/>
          <w:kern w:val="0"/>
          <w:sz w:val="24"/>
        </w:rPr>
        <w:t>⑴</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、车辆应满足环保、安全等交通运输管理要求。运输车辆需专用于该项目，不得挪作他用或混用。</w:t>
      </w:r>
    </w:p>
    <w:p w14:paraId="320754B9">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 2 \* GB2</w:instrText>
      </w:r>
      <w:r>
        <w:rPr>
          <w:rFonts w:hint="eastAsia" w:ascii="仿宋" w:hAnsi="仿宋" w:eastAsia="仿宋" w:cs="仿宋"/>
          <w:color w:val="auto"/>
          <w:kern w:val="0"/>
          <w:sz w:val="24"/>
        </w:rPr>
        <w:fldChar w:fldCharType="separate"/>
      </w:r>
      <w:r>
        <w:rPr>
          <w:rFonts w:hint="eastAsia" w:ascii="仿宋" w:hAnsi="仿宋" w:eastAsia="仿宋" w:cs="仿宋"/>
          <w:color w:val="auto"/>
          <w:kern w:val="0"/>
          <w:sz w:val="24"/>
        </w:rPr>
        <w:t>⑵</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、垃圾清洁运输车辆应配备有效的防臭、降尘、防滴漏设施，运输密闭性能良好，并保证正常使用。</w:t>
      </w:r>
      <w:r>
        <w:rPr>
          <w:rFonts w:hint="eastAsia" w:ascii="仿宋" w:hAnsi="仿宋" w:eastAsia="仿宋" w:cs="仿宋"/>
          <w:bCs w:val="0"/>
          <w:color w:val="auto"/>
          <w:kern w:val="0"/>
          <w:sz w:val="24"/>
          <w:lang w:bidi="ar"/>
        </w:rPr>
        <w:t>垃圾清洁运输车辆运输过程中不得滴漏污水。车辆应匀速行驶，不得急停急起，防止污水外溢。垃圾运输车出垃圾房作业前、在各垃圾集置点清运完成后须及时排空污水箱中的污水，并将污水排水口密闭，遮挡板盖合，连接桥连接污水槽后，才能执行垃圾清运任务。</w:t>
      </w:r>
    </w:p>
    <w:p w14:paraId="5E4A08A9">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 3 \* GB2</w:instrText>
      </w:r>
      <w:r>
        <w:rPr>
          <w:rFonts w:hint="eastAsia" w:ascii="仿宋" w:hAnsi="仿宋" w:eastAsia="仿宋" w:cs="仿宋"/>
          <w:color w:val="auto"/>
          <w:kern w:val="0"/>
          <w:sz w:val="24"/>
        </w:rPr>
        <w:fldChar w:fldCharType="separate"/>
      </w:r>
      <w:r>
        <w:rPr>
          <w:rFonts w:hint="eastAsia" w:ascii="仿宋" w:hAnsi="仿宋" w:eastAsia="仿宋" w:cs="仿宋"/>
          <w:color w:val="auto"/>
          <w:kern w:val="0"/>
          <w:sz w:val="24"/>
        </w:rPr>
        <w:t>⑶</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、垃圾清洁运输车辆应按要求统一喷涂颜色、编号、标识等，分类垃圾清洁运输车辆须按要求喷涂分类标识。</w:t>
      </w:r>
    </w:p>
    <w:p w14:paraId="593B11DC">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 4 \* GB2</w:instrText>
      </w:r>
      <w:r>
        <w:rPr>
          <w:rFonts w:hint="eastAsia" w:ascii="仿宋" w:hAnsi="仿宋" w:eastAsia="仿宋" w:cs="仿宋"/>
          <w:color w:val="auto"/>
          <w:kern w:val="0"/>
          <w:sz w:val="24"/>
        </w:rPr>
        <w:fldChar w:fldCharType="separate"/>
      </w:r>
      <w:r>
        <w:rPr>
          <w:rFonts w:hint="eastAsia" w:ascii="仿宋" w:hAnsi="仿宋" w:eastAsia="仿宋" w:cs="仿宋"/>
          <w:color w:val="auto"/>
          <w:kern w:val="0"/>
          <w:sz w:val="24"/>
        </w:rPr>
        <w:t>⑷</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、实行生活垃圾分类的区域，应按要求实行分类运输，严禁将分类垃圾混合装运。</w:t>
      </w:r>
    </w:p>
    <w:p w14:paraId="4A29164A">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 5 \* GB2</w:instrText>
      </w:r>
      <w:r>
        <w:rPr>
          <w:rFonts w:hint="eastAsia" w:ascii="仿宋" w:hAnsi="仿宋" w:eastAsia="仿宋" w:cs="仿宋"/>
          <w:color w:val="auto"/>
          <w:kern w:val="0"/>
          <w:sz w:val="24"/>
        </w:rPr>
        <w:fldChar w:fldCharType="separate"/>
      </w:r>
      <w:r>
        <w:rPr>
          <w:rFonts w:hint="eastAsia" w:ascii="仿宋" w:hAnsi="仿宋" w:eastAsia="仿宋" w:cs="仿宋"/>
          <w:color w:val="auto"/>
          <w:kern w:val="0"/>
          <w:sz w:val="24"/>
        </w:rPr>
        <w:t>⑸</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、垃圾清洁运输应做到车辆整洁无污染，垃圾无吊挂，垃圾无暴露，污水无滴漏，设施无破损，作业无扰民，市民无投诉。</w:t>
      </w:r>
    </w:p>
    <w:p w14:paraId="2548E7E8">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 = 6 \* GB2 </w:instrText>
      </w:r>
      <w:r>
        <w:rPr>
          <w:rFonts w:hint="eastAsia" w:ascii="仿宋" w:hAnsi="仿宋" w:eastAsia="仿宋" w:cs="仿宋"/>
          <w:color w:val="auto"/>
          <w:kern w:val="0"/>
          <w:sz w:val="24"/>
        </w:rPr>
        <w:fldChar w:fldCharType="separate"/>
      </w:r>
      <w:r>
        <w:rPr>
          <w:rFonts w:hint="eastAsia" w:ascii="仿宋" w:hAnsi="仿宋" w:eastAsia="仿宋" w:cs="仿宋"/>
          <w:color w:val="auto"/>
          <w:kern w:val="0"/>
          <w:sz w:val="24"/>
        </w:rPr>
        <w:t>⑹</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、清洁运输单位应合理确定清洁运输的时间、频次、作业点和线路，清洁运输车辆应在规定的区域、线路行驶，不得跨区作业。</w:t>
      </w:r>
    </w:p>
    <w:p w14:paraId="78F56CA5">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 = 7 \* GB2 </w:instrText>
      </w:r>
      <w:r>
        <w:rPr>
          <w:rFonts w:hint="eastAsia" w:ascii="仿宋" w:hAnsi="仿宋" w:eastAsia="仿宋" w:cs="仿宋"/>
          <w:color w:val="auto"/>
          <w:kern w:val="0"/>
          <w:sz w:val="24"/>
        </w:rPr>
        <w:fldChar w:fldCharType="separate"/>
      </w:r>
      <w:r>
        <w:rPr>
          <w:rFonts w:hint="eastAsia" w:ascii="仿宋" w:hAnsi="仿宋" w:eastAsia="仿宋" w:cs="仿宋"/>
          <w:color w:val="auto"/>
          <w:kern w:val="0"/>
          <w:sz w:val="24"/>
        </w:rPr>
        <w:t>⑺</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、清洁运输过程中不得有垃圾抛撒滴漏、吊挂，污水、油污滴漏等现象。</w:t>
      </w:r>
    </w:p>
    <w:p w14:paraId="7A55ED13">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 = 8 \* GB2 </w:instrText>
      </w:r>
      <w:r>
        <w:rPr>
          <w:rFonts w:hint="eastAsia" w:ascii="仿宋" w:hAnsi="仿宋" w:eastAsia="仿宋" w:cs="仿宋"/>
          <w:color w:val="auto"/>
          <w:kern w:val="0"/>
          <w:sz w:val="24"/>
        </w:rPr>
        <w:fldChar w:fldCharType="separate"/>
      </w:r>
      <w:r>
        <w:rPr>
          <w:rFonts w:hint="eastAsia" w:ascii="仿宋" w:hAnsi="仿宋" w:eastAsia="仿宋" w:cs="仿宋"/>
          <w:color w:val="auto"/>
          <w:kern w:val="0"/>
          <w:sz w:val="24"/>
        </w:rPr>
        <w:t>⑻</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、清洁运输单位未经主管部门同意，不得私自清运街道范围以外的垃圾。禁止运输途中人为掺入非生活垃圾。</w:t>
      </w:r>
    </w:p>
    <w:p w14:paraId="4D74EAE9">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 = 9 \* GB2 </w:instrText>
      </w:r>
      <w:r>
        <w:rPr>
          <w:rFonts w:hint="eastAsia" w:ascii="仿宋" w:hAnsi="仿宋" w:eastAsia="仿宋" w:cs="仿宋"/>
          <w:color w:val="auto"/>
          <w:kern w:val="0"/>
          <w:sz w:val="24"/>
        </w:rPr>
        <w:fldChar w:fldCharType="separate"/>
      </w:r>
      <w:r>
        <w:rPr>
          <w:rFonts w:hint="eastAsia" w:ascii="仿宋" w:hAnsi="仿宋" w:eastAsia="仿宋" w:cs="仿宋"/>
          <w:color w:val="auto"/>
          <w:kern w:val="0"/>
          <w:sz w:val="24"/>
        </w:rPr>
        <w:t>⑼</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、清洁运输单位应按要求排空垃圾清洁运输车辆污水收集箱污水，卸料倾倒应服从现场指挥调度。</w:t>
      </w:r>
    </w:p>
    <w:p w14:paraId="1964D3F9">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2、规范作业</w:t>
      </w:r>
    </w:p>
    <w:p w14:paraId="4C24BD71">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 1 \* GB2</w:instrText>
      </w:r>
      <w:r>
        <w:rPr>
          <w:rFonts w:hint="eastAsia" w:ascii="仿宋" w:hAnsi="仿宋" w:eastAsia="仿宋" w:cs="仿宋"/>
          <w:color w:val="auto"/>
          <w:kern w:val="0"/>
          <w:sz w:val="24"/>
        </w:rPr>
        <w:fldChar w:fldCharType="separate"/>
      </w:r>
      <w:r>
        <w:rPr>
          <w:rFonts w:hint="eastAsia" w:ascii="仿宋" w:hAnsi="仿宋" w:eastAsia="仿宋" w:cs="仿宋"/>
          <w:color w:val="auto"/>
          <w:kern w:val="0"/>
          <w:sz w:val="24"/>
        </w:rPr>
        <w:t>⑴</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、作业人员工作期间不得无故缺岗、离岗，不得迟到早退，不得消极怠工，不得酒后作业；不得集聚闲聊，不做与作业无关的事。</w:t>
      </w:r>
    </w:p>
    <w:p w14:paraId="3884648E">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 2 \* GB2</w:instrText>
      </w:r>
      <w:r>
        <w:rPr>
          <w:rFonts w:hint="eastAsia" w:ascii="仿宋" w:hAnsi="仿宋" w:eastAsia="仿宋" w:cs="仿宋"/>
          <w:color w:val="auto"/>
          <w:kern w:val="0"/>
          <w:sz w:val="24"/>
        </w:rPr>
        <w:fldChar w:fldCharType="separate"/>
      </w:r>
      <w:r>
        <w:rPr>
          <w:rFonts w:hint="eastAsia" w:ascii="仿宋" w:hAnsi="仿宋" w:eastAsia="仿宋" w:cs="仿宋"/>
          <w:color w:val="auto"/>
          <w:kern w:val="0"/>
          <w:sz w:val="24"/>
        </w:rPr>
        <w:t>⑵</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、垃圾运输车辆应经常检查，及时发现排除故障，不得带故障运行；所有车辆停放必须遵守交通法规。</w:t>
      </w:r>
    </w:p>
    <w:p w14:paraId="4A126085">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 3 \* GB2</w:instrText>
      </w:r>
      <w:r>
        <w:rPr>
          <w:rFonts w:hint="eastAsia" w:ascii="仿宋" w:hAnsi="仿宋" w:eastAsia="仿宋" w:cs="仿宋"/>
          <w:color w:val="auto"/>
          <w:kern w:val="0"/>
          <w:sz w:val="24"/>
        </w:rPr>
        <w:fldChar w:fldCharType="separate"/>
      </w:r>
      <w:r>
        <w:rPr>
          <w:rFonts w:hint="eastAsia" w:ascii="仿宋" w:hAnsi="仿宋" w:eastAsia="仿宋" w:cs="仿宋"/>
          <w:color w:val="auto"/>
          <w:kern w:val="0"/>
          <w:sz w:val="24"/>
        </w:rPr>
        <w:t>⑶</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、加强作业车辆的日常管理，确保专车专用，遵守交通规则，文明行驶，安全行驶。</w:t>
      </w:r>
    </w:p>
    <w:p w14:paraId="3E0DAC5A">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 4 \* GB2</w:instrText>
      </w:r>
      <w:r>
        <w:rPr>
          <w:rFonts w:hint="eastAsia" w:ascii="仿宋" w:hAnsi="仿宋" w:eastAsia="仿宋" w:cs="仿宋"/>
          <w:color w:val="auto"/>
          <w:kern w:val="0"/>
          <w:sz w:val="24"/>
        </w:rPr>
        <w:fldChar w:fldCharType="separate"/>
      </w:r>
      <w:r>
        <w:rPr>
          <w:rFonts w:hint="eastAsia" w:ascii="仿宋" w:hAnsi="仿宋" w:eastAsia="仿宋" w:cs="仿宋"/>
          <w:color w:val="auto"/>
          <w:kern w:val="0"/>
          <w:sz w:val="24"/>
        </w:rPr>
        <w:t>⑷</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、根据采购的要求和自身实际作业标准建立相关台账，做好车辆使用记录。</w:t>
      </w:r>
    </w:p>
    <w:p w14:paraId="2D99D0F6">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 5 \* GB2</w:instrText>
      </w:r>
      <w:r>
        <w:rPr>
          <w:rFonts w:hint="eastAsia" w:ascii="仿宋" w:hAnsi="仿宋" w:eastAsia="仿宋" w:cs="仿宋"/>
          <w:color w:val="auto"/>
          <w:kern w:val="0"/>
          <w:sz w:val="24"/>
        </w:rPr>
        <w:fldChar w:fldCharType="separate"/>
      </w:r>
      <w:r>
        <w:rPr>
          <w:rFonts w:hint="eastAsia" w:ascii="仿宋" w:hAnsi="仿宋" w:eastAsia="仿宋" w:cs="仿宋"/>
          <w:color w:val="auto"/>
          <w:kern w:val="0"/>
          <w:sz w:val="24"/>
        </w:rPr>
        <w:t>⑸</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、加强对作业人员的职业技能、职业道德、安全作业的知识教育，平时工作中要文明操作、优质服务。</w:t>
      </w:r>
    </w:p>
    <w:p w14:paraId="00F24629">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3、遇有重大活动或突发事件，及时组织力量听从采购人的指挥和调度无条件配合采购人做好相关工作。</w:t>
      </w:r>
    </w:p>
    <w:p w14:paraId="697A4FBC">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4、制定详尽的运输实施方案、服务质量保证措施、文明安全施工措施和垃圾外运环保措施，建立符合实际情况的各种人员及车辆、设备的管理制度，圆满完成本项目的任务。</w:t>
      </w:r>
    </w:p>
    <w:p w14:paraId="1451CC06">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四、其他要求</w:t>
      </w:r>
    </w:p>
    <w:p w14:paraId="210CB043">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1、服务期内中标供应商所属人员、车辆如发生各种意外事故（包括给第三方造成损害）全部责任由中标供应商自行承担，依照法律法规妥善处理，采购人概不负责。</w:t>
      </w:r>
    </w:p>
    <w:p w14:paraId="7ED2C903">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2、本项目生活垃圾的装卸、运输期间所需的设备由中标人自行负责。</w:t>
      </w:r>
    </w:p>
    <w:p w14:paraId="77766DA6">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3、所涉及的人员住房和作业车辆、工具、服装均由中标供应商自行负责解决。</w:t>
      </w:r>
    </w:p>
    <w:p w14:paraId="1559795C">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4、中标供应商须自行负责车辆保险及车辆的日常维护和保养工作，车辆造成的交通事故及安全、环保责任等均由中标供应商负责，采购人有权定期对中标供应商的车辆进行各方面的检查工作并提出相关意见。</w:t>
      </w:r>
    </w:p>
    <w:p w14:paraId="2491823C">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5、在服务期内中标单位应严格履行合同，合同履行完毕后，在未找到接替清运公司前，中标单位应延续服务，费用按合同签订的承包费用标准和方式支付。合同期满后，妥善处理退场移交、人员安置，如果出现劳资纠纷，责任在中标单位。</w:t>
      </w:r>
    </w:p>
    <w:p w14:paraId="7D3DFA08">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6、垃圾转运车辆需按区城管局要求纳入统一监管，并按要求安装GPS行车记录仪等设备。</w:t>
      </w:r>
    </w:p>
    <w:p w14:paraId="4DADF4A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7、生活垃圾实行日产日清，合同履行期间，业主因工作或环境等需要，可对运输车次作相应调整，中标供应商应予以配合，同时做好有需求住宅小区等的即时清运服务。</w:t>
      </w:r>
    </w:p>
    <w:p w14:paraId="258E715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8、严禁运输非本项目范围内的垃圾。如有发现，甲方有权按照相关规定进行处理；负有刑事责任的，依法移交相关司法机关处理；情节严重的，甲方有权终止合同并没收履约保证金。</w:t>
      </w:r>
    </w:p>
    <w:p w14:paraId="64A01BC8">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1 ▲9、投标单位在投标报价部分需列明村产生的生活垃圾清运投标单价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元/吨”，除各自然村以外的其他单位（各住宅小区、商贸综合体、其他企事业单位等等）产生的生活垃圾清运投标单价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元/吨”，投标总价不得超过招标限价。</w:t>
      </w:r>
    </w:p>
    <w:p w14:paraId="6D56B26D">
      <w:pPr>
        <w:numPr>
          <w:ilvl w:val="255"/>
          <w:numId w:val="0"/>
        </w:numPr>
        <w:spacing w:line="500" w:lineRule="exact"/>
        <w:ind w:firstLine="480" w:firstLineChars="200"/>
        <w:rPr>
          <w:rFonts w:hint="eastAsia" w:ascii="宋体" w:hAnsi="宋体" w:cs="宋体"/>
          <w:bCs/>
          <w:color w:val="auto"/>
          <w:sz w:val="24"/>
        </w:rPr>
      </w:pPr>
      <w:r>
        <w:rPr>
          <w:rFonts w:hint="eastAsia" w:ascii="仿宋" w:hAnsi="仿宋" w:eastAsia="仿宋" w:cs="仿宋"/>
          <w:color w:val="auto"/>
          <w:kern w:val="0"/>
          <w:sz w:val="24"/>
        </w:rPr>
        <w:t>▲10、付款方式：每月结算支付一次，并根据考核结果扣除相应费用。本项目</w:t>
      </w:r>
      <w:r>
        <w:rPr>
          <w:rFonts w:hint="eastAsia" w:ascii="仿宋" w:hAnsi="仿宋" w:eastAsia="仿宋" w:cs="仿宋"/>
          <w:color w:val="auto"/>
          <w:kern w:val="0"/>
          <w:sz w:val="24"/>
          <w:lang w:val="zh-CN"/>
        </w:rPr>
        <w:t>各村产生的生活垃圾</w:t>
      </w:r>
      <w:r>
        <w:rPr>
          <w:rFonts w:hint="eastAsia" w:ascii="仿宋" w:hAnsi="仿宋" w:eastAsia="仿宋" w:cs="仿宋"/>
          <w:color w:val="auto"/>
          <w:kern w:val="0"/>
          <w:sz w:val="24"/>
        </w:rPr>
        <w:t>按照预算总吨位90%核定（45000吨），本项目</w:t>
      </w:r>
      <w:r>
        <w:rPr>
          <w:rFonts w:hint="eastAsia" w:ascii="仿宋" w:hAnsi="仿宋" w:eastAsia="仿宋" w:cs="仿宋"/>
          <w:color w:val="auto"/>
          <w:kern w:val="0"/>
          <w:sz w:val="24"/>
          <w:lang w:val="zh-CN"/>
        </w:rPr>
        <w:t>除各自然村以外的其他单位（各住宅小区、商贸综合体、</w:t>
      </w:r>
      <w:r>
        <w:rPr>
          <w:rFonts w:hint="eastAsia" w:ascii="仿宋" w:hAnsi="仿宋" w:eastAsia="仿宋" w:cs="仿宋"/>
          <w:color w:val="auto"/>
          <w:kern w:val="0"/>
          <w:sz w:val="24"/>
        </w:rPr>
        <w:t>其他</w:t>
      </w:r>
      <w:r>
        <w:rPr>
          <w:rFonts w:hint="eastAsia" w:ascii="仿宋" w:hAnsi="仿宋" w:eastAsia="仿宋" w:cs="仿宋"/>
          <w:color w:val="auto"/>
          <w:kern w:val="0"/>
          <w:sz w:val="24"/>
          <w:lang w:val="zh-CN"/>
        </w:rPr>
        <w:t>企事业单位等）产生的生活垃圾</w:t>
      </w:r>
      <w:r>
        <w:rPr>
          <w:rFonts w:hint="eastAsia" w:ascii="仿宋" w:hAnsi="仿宋" w:eastAsia="仿宋" w:cs="仿宋"/>
          <w:color w:val="auto"/>
          <w:kern w:val="0"/>
          <w:sz w:val="24"/>
        </w:rPr>
        <w:t>按照预算总吨位10%核定（5000吨）。</w:t>
      </w:r>
      <w:r>
        <w:rPr>
          <w:rFonts w:hint="eastAsia" w:ascii="仿宋" w:hAnsi="仿宋" w:eastAsia="仿宋" w:cs="仿宋"/>
          <w:color w:val="auto"/>
          <w:kern w:val="0"/>
          <w:sz w:val="24"/>
          <w:lang w:val="zh-CN"/>
        </w:rPr>
        <w:t>本合同期内</w:t>
      </w:r>
      <w:r>
        <w:rPr>
          <w:rFonts w:hint="eastAsia" w:ascii="仿宋" w:hAnsi="仿宋" w:eastAsia="仿宋" w:cs="仿宋"/>
          <w:bCs w:val="0"/>
          <w:color w:val="auto"/>
          <w:kern w:val="0"/>
          <w:sz w:val="24"/>
          <w:lang w:val="zh-CN"/>
        </w:rPr>
        <w:t>生活垃圾</w:t>
      </w:r>
      <w:r>
        <w:rPr>
          <w:rFonts w:hint="eastAsia" w:ascii="仿宋" w:hAnsi="仿宋" w:eastAsia="仿宋" w:cs="仿宋"/>
          <w:bCs w:val="0"/>
          <w:color w:val="auto"/>
          <w:kern w:val="0"/>
          <w:sz w:val="24"/>
        </w:rPr>
        <w:t>清运数量在45000吨及以下部分按照“村产生的生活垃圾清运投标单价”结算，清运数量45000吨至50000部分按照“除各自然村以外的其他单位（各住宅小区、商贸综合体、其他企事业单位等等）产生的生活垃圾清运投标单价”结算。</w:t>
      </w:r>
      <w:r>
        <w:rPr>
          <w:rFonts w:hint="eastAsia" w:ascii="仿宋" w:hAnsi="仿宋" w:eastAsia="仿宋" w:cs="仿宋"/>
          <w:bCs w:val="0"/>
          <w:color w:val="auto"/>
          <w:kern w:val="0"/>
          <w:sz w:val="24"/>
          <w:lang w:val="zh-CN"/>
        </w:rPr>
        <w:t>本合同期内不足</w:t>
      </w:r>
      <w:r>
        <w:rPr>
          <w:rFonts w:hint="eastAsia" w:ascii="仿宋" w:hAnsi="仿宋" w:eastAsia="仿宋" w:cs="仿宋"/>
          <w:bCs w:val="0"/>
          <w:color w:val="auto"/>
          <w:kern w:val="0"/>
          <w:sz w:val="24"/>
        </w:rPr>
        <w:t>50000</w:t>
      </w:r>
      <w:r>
        <w:rPr>
          <w:rFonts w:hint="eastAsia" w:ascii="仿宋" w:hAnsi="仿宋" w:eastAsia="仿宋" w:cs="仿宋"/>
          <w:bCs w:val="0"/>
          <w:color w:val="auto"/>
          <w:kern w:val="0"/>
          <w:sz w:val="24"/>
          <w:lang w:val="zh-CN"/>
        </w:rPr>
        <w:t>吨的</w:t>
      </w:r>
      <w:r>
        <w:rPr>
          <w:rFonts w:hint="eastAsia" w:ascii="仿宋" w:hAnsi="仿宋" w:eastAsia="仿宋" w:cs="仿宋"/>
          <w:bCs w:val="0"/>
          <w:color w:val="auto"/>
          <w:kern w:val="0"/>
          <w:sz w:val="24"/>
        </w:rPr>
        <w:t>根据</w:t>
      </w:r>
      <w:r>
        <w:rPr>
          <w:rFonts w:hint="eastAsia" w:ascii="仿宋" w:hAnsi="仿宋" w:eastAsia="仿宋" w:cs="仿宋"/>
          <w:bCs w:val="0"/>
          <w:color w:val="auto"/>
          <w:kern w:val="0"/>
          <w:sz w:val="24"/>
          <w:lang w:val="zh-CN"/>
        </w:rPr>
        <w:t>实际清运量按上述</w:t>
      </w:r>
      <w:r>
        <w:rPr>
          <w:rFonts w:hint="eastAsia" w:ascii="仿宋" w:hAnsi="仿宋" w:eastAsia="仿宋" w:cs="仿宋"/>
          <w:bCs w:val="0"/>
          <w:color w:val="auto"/>
          <w:kern w:val="0"/>
          <w:sz w:val="24"/>
        </w:rPr>
        <w:t>清运数量范围</w:t>
      </w:r>
      <w:r>
        <w:rPr>
          <w:rFonts w:hint="eastAsia" w:ascii="仿宋" w:hAnsi="仿宋" w:eastAsia="仿宋" w:cs="仿宋"/>
          <w:bCs w:val="0"/>
          <w:color w:val="auto"/>
          <w:kern w:val="0"/>
          <w:sz w:val="24"/>
          <w:lang w:val="zh-CN"/>
        </w:rPr>
        <w:t>乘以中标单价结算，超出</w:t>
      </w:r>
      <w:r>
        <w:rPr>
          <w:rFonts w:hint="eastAsia" w:ascii="仿宋" w:hAnsi="仿宋" w:eastAsia="仿宋" w:cs="仿宋"/>
          <w:bCs w:val="0"/>
          <w:color w:val="auto"/>
          <w:kern w:val="0"/>
          <w:sz w:val="24"/>
        </w:rPr>
        <w:t>50000</w:t>
      </w:r>
      <w:r>
        <w:rPr>
          <w:rFonts w:hint="eastAsia" w:ascii="仿宋" w:hAnsi="仿宋" w:eastAsia="仿宋" w:cs="仿宋"/>
          <w:bCs w:val="0"/>
          <w:color w:val="auto"/>
          <w:kern w:val="0"/>
          <w:sz w:val="24"/>
          <w:lang w:val="zh-CN"/>
        </w:rPr>
        <w:t>吨一次性包干计算。</w:t>
      </w:r>
    </w:p>
    <w:p w14:paraId="3207F995">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lang w:val="zh-CN"/>
        </w:rPr>
        <w:t>不足</w:t>
      </w:r>
      <w:r>
        <w:rPr>
          <w:rFonts w:hint="eastAsia" w:ascii="仿宋" w:hAnsi="仿宋" w:eastAsia="仿宋" w:cs="仿宋"/>
          <w:color w:val="auto"/>
          <w:kern w:val="0"/>
          <w:sz w:val="24"/>
        </w:rPr>
        <w:t>50000</w:t>
      </w:r>
      <w:r>
        <w:rPr>
          <w:rFonts w:hint="eastAsia" w:ascii="仿宋" w:hAnsi="仿宋" w:eastAsia="仿宋" w:cs="仿宋"/>
          <w:color w:val="auto"/>
          <w:kern w:val="0"/>
          <w:sz w:val="24"/>
          <w:lang w:val="zh-CN"/>
        </w:rPr>
        <w:t>吨的</w:t>
      </w:r>
      <w:r>
        <w:rPr>
          <w:rFonts w:hint="eastAsia" w:ascii="仿宋" w:hAnsi="仿宋" w:eastAsia="仿宋" w:cs="仿宋"/>
          <w:color w:val="auto"/>
          <w:kern w:val="0"/>
          <w:sz w:val="24"/>
        </w:rPr>
        <w:t>根据</w:t>
      </w:r>
      <w:r>
        <w:rPr>
          <w:rFonts w:hint="eastAsia" w:ascii="仿宋" w:hAnsi="仿宋" w:eastAsia="仿宋" w:cs="仿宋"/>
          <w:color w:val="auto"/>
          <w:kern w:val="0"/>
          <w:sz w:val="24"/>
          <w:lang w:val="zh-CN"/>
        </w:rPr>
        <w:t>实际清运量按上述比例分配后乘以中标单价结算，超出指导数</w:t>
      </w:r>
      <w:r>
        <w:rPr>
          <w:rFonts w:hint="eastAsia" w:ascii="仿宋" w:hAnsi="仿宋" w:eastAsia="仿宋" w:cs="仿宋"/>
          <w:color w:val="auto"/>
          <w:kern w:val="0"/>
          <w:sz w:val="24"/>
        </w:rPr>
        <w:t>50000</w:t>
      </w:r>
      <w:r>
        <w:rPr>
          <w:rFonts w:hint="eastAsia" w:ascii="仿宋" w:hAnsi="仿宋" w:eastAsia="仿宋" w:cs="仿宋"/>
          <w:color w:val="auto"/>
          <w:kern w:val="0"/>
          <w:sz w:val="24"/>
          <w:lang w:val="zh-CN"/>
        </w:rPr>
        <w:t>吨一次性包干计算。</w:t>
      </w:r>
    </w:p>
    <w:p w14:paraId="76FE97E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注：</w:t>
      </w:r>
    </w:p>
    <w:p w14:paraId="201568E8">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1.除采购文件标注的参考品牌外，欢迎其它能满足本项目技术需求且性能与所注品牌相当的产品参与。</w:t>
      </w:r>
    </w:p>
    <w:p w14:paraId="706661EC">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2.如有附图，仅作参考。</w:t>
      </w:r>
    </w:p>
    <w:p w14:paraId="22C78C2E">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3.招标文件中打▲内容为实质性要求，不允许有负偏离，否则将以涉及无效投标条款作无效投标。</w:t>
      </w:r>
    </w:p>
    <w:p w14:paraId="5C59747C">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4、中标供应商所提供的货物、服务须与投标承诺一致，不得以次充好、偷工减料，若在项目验收中发现有上述情况，将向有关部门举报，根据相关规定进行处理。</w:t>
      </w:r>
    </w:p>
    <w:p w14:paraId="6ED6A697">
      <w:pPr>
        <w:snapToGrid w:val="0"/>
        <w:spacing w:line="360" w:lineRule="auto"/>
        <w:ind w:firstLine="48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br w:type="page"/>
      </w:r>
      <w:r>
        <w:rPr>
          <w:rFonts w:hint="eastAsia" w:ascii="仿宋" w:hAnsi="仿宋" w:eastAsia="仿宋" w:cs="仿宋"/>
          <w:b/>
          <w:bCs/>
          <w:color w:val="auto"/>
          <w:kern w:val="0"/>
          <w:sz w:val="24"/>
        </w:rPr>
        <w:t>《新街街道生活垃圾清洁直运日常管理考核表》</w:t>
      </w:r>
    </w:p>
    <w:tbl>
      <w:tblPr>
        <w:tblStyle w:val="62"/>
        <w:tblpPr w:leftFromText="180" w:rightFromText="180" w:vertAnchor="text" w:horzAnchor="page" w:tblpXSpec="center" w:tblpY="521"/>
        <w:tblOverlap w:val="never"/>
        <w:tblW w:w="10722" w:type="dxa"/>
        <w:jc w:val="center"/>
        <w:tblLayout w:type="fixed"/>
        <w:tblCellMar>
          <w:top w:w="0" w:type="dxa"/>
          <w:left w:w="0" w:type="dxa"/>
          <w:bottom w:w="0" w:type="dxa"/>
          <w:right w:w="0" w:type="dxa"/>
        </w:tblCellMar>
      </w:tblPr>
      <w:tblGrid>
        <w:gridCol w:w="869"/>
        <w:gridCol w:w="3419"/>
        <w:gridCol w:w="4083"/>
        <w:gridCol w:w="690"/>
        <w:gridCol w:w="853"/>
        <w:gridCol w:w="808"/>
      </w:tblGrid>
      <w:tr w14:paraId="3F5F620B">
        <w:tblPrEx>
          <w:tblCellMar>
            <w:top w:w="0" w:type="dxa"/>
            <w:left w:w="0" w:type="dxa"/>
            <w:bottom w:w="0" w:type="dxa"/>
            <w:right w:w="0" w:type="dxa"/>
          </w:tblCellMar>
        </w:tblPrEx>
        <w:trPr>
          <w:trHeight w:val="54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1DE20">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考核</w:t>
            </w:r>
          </w:p>
          <w:p w14:paraId="1773416D">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项目</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1B73C">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管理内容</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F3AF5">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扣分标准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5B1C0">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分值</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1069">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问题数</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F30C8">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扣分</w:t>
            </w:r>
          </w:p>
        </w:tc>
      </w:tr>
      <w:tr w14:paraId="01B623D7">
        <w:tblPrEx>
          <w:tblCellMar>
            <w:top w:w="0" w:type="dxa"/>
            <w:left w:w="0" w:type="dxa"/>
            <w:bottom w:w="0" w:type="dxa"/>
            <w:right w:w="0" w:type="dxa"/>
          </w:tblCellMar>
        </w:tblPrEx>
        <w:trPr>
          <w:trHeight w:val="402" w:hRule="atLeast"/>
          <w:jc w:val="center"/>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1145D">
            <w:pPr>
              <w:snapToGrid w:val="0"/>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台帐资</w:t>
            </w:r>
            <w:r>
              <w:rPr>
                <w:rFonts w:hint="eastAsia" w:ascii="仿宋" w:hAnsi="仿宋" w:eastAsia="仿宋" w:cs="仿宋"/>
                <w:color w:val="auto"/>
                <w:kern w:val="0"/>
                <w:sz w:val="24"/>
                <w:lang w:eastAsia="zh-Hans"/>
              </w:rPr>
              <w:t>料</w:t>
            </w:r>
            <w:r>
              <w:rPr>
                <w:rFonts w:hint="eastAsia" w:ascii="仿宋" w:hAnsi="仿宋" w:eastAsia="仿宋" w:cs="仿宋"/>
                <w:color w:val="auto"/>
                <w:kern w:val="0"/>
                <w:sz w:val="24"/>
              </w:rPr>
              <w:t>（20分）</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721DA">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1、层层落实管理责任制。</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A1E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1、未落实责任制的扣5分。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10DFB">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5分</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2168B">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7D3D3">
            <w:pPr>
              <w:snapToGrid w:val="0"/>
              <w:spacing w:line="360" w:lineRule="auto"/>
              <w:ind w:firstLine="480" w:firstLineChars="200"/>
              <w:jc w:val="center"/>
              <w:rPr>
                <w:rFonts w:hint="eastAsia" w:ascii="仿宋" w:hAnsi="仿宋" w:eastAsia="仿宋" w:cs="仿宋"/>
                <w:color w:val="auto"/>
                <w:kern w:val="0"/>
                <w:sz w:val="24"/>
              </w:rPr>
            </w:pPr>
          </w:p>
        </w:tc>
      </w:tr>
      <w:tr w14:paraId="13081891">
        <w:tblPrEx>
          <w:tblCellMar>
            <w:top w:w="0" w:type="dxa"/>
            <w:left w:w="0" w:type="dxa"/>
            <w:bottom w:w="0" w:type="dxa"/>
            <w:right w:w="0" w:type="dxa"/>
          </w:tblCellMar>
        </w:tblPrEx>
        <w:trPr>
          <w:trHeight w:val="402" w:hRule="atLeast"/>
          <w:jc w:val="center"/>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9AEF2">
            <w:pPr>
              <w:snapToGrid w:val="0"/>
              <w:spacing w:line="360" w:lineRule="auto"/>
              <w:ind w:firstLine="480" w:firstLineChars="200"/>
              <w:jc w:val="left"/>
              <w:rPr>
                <w:rFonts w:hint="eastAsia" w:ascii="仿宋" w:hAnsi="仿宋" w:eastAsia="仿宋" w:cs="仿宋"/>
                <w:color w:val="auto"/>
                <w:kern w:val="0"/>
                <w:sz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4A78">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2、按行业要求建好台帐。</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A8BD3">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2、台帐每缺一项扣3分。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2FA43">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9分</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7C9A9">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032C1">
            <w:pPr>
              <w:snapToGrid w:val="0"/>
              <w:spacing w:line="360" w:lineRule="auto"/>
              <w:ind w:firstLine="480" w:firstLineChars="200"/>
              <w:jc w:val="center"/>
              <w:rPr>
                <w:rFonts w:hint="eastAsia" w:ascii="仿宋" w:hAnsi="仿宋" w:eastAsia="仿宋" w:cs="仿宋"/>
                <w:color w:val="auto"/>
                <w:kern w:val="0"/>
                <w:sz w:val="24"/>
              </w:rPr>
            </w:pPr>
          </w:p>
        </w:tc>
      </w:tr>
      <w:tr w14:paraId="50E804E6">
        <w:tblPrEx>
          <w:tblCellMar>
            <w:top w:w="0" w:type="dxa"/>
            <w:left w:w="0" w:type="dxa"/>
            <w:bottom w:w="0" w:type="dxa"/>
            <w:right w:w="0" w:type="dxa"/>
          </w:tblCellMar>
        </w:tblPrEx>
        <w:trPr>
          <w:trHeight w:val="842" w:hRule="atLeast"/>
          <w:jc w:val="center"/>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32F4B">
            <w:pPr>
              <w:snapToGrid w:val="0"/>
              <w:spacing w:line="360" w:lineRule="auto"/>
              <w:ind w:firstLine="480" w:firstLineChars="200"/>
              <w:jc w:val="left"/>
              <w:rPr>
                <w:rFonts w:hint="eastAsia" w:ascii="仿宋" w:hAnsi="仿宋" w:eastAsia="仿宋" w:cs="仿宋"/>
                <w:color w:val="auto"/>
                <w:kern w:val="0"/>
                <w:sz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A280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3、制定日产日清的直运时间、作业点和直运线路方案，做好应急预案。</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FC329">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3、未制定并上报直运时间、频次、作业点和直运线路方案的扣4分。未制定应预案的扣 2分。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EAB1A">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6分</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6C88F">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8CDB1">
            <w:pPr>
              <w:snapToGrid w:val="0"/>
              <w:spacing w:line="360" w:lineRule="auto"/>
              <w:ind w:firstLine="480" w:firstLineChars="200"/>
              <w:jc w:val="center"/>
              <w:rPr>
                <w:rFonts w:hint="eastAsia" w:ascii="仿宋" w:hAnsi="仿宋" w:eastAsia="仿宋" w:cs="仿宋"/>
                <w:color w:val="auto"/>
                <w:kern w:val="0"/>
                <w:sz w:val="24"/>
              </w:rPr>
            </w:pPr>
          </w:p>
        </w:tc>
      </w:tr>
      <w:tr w14:paraId="23100359">
        <w:tblPrEx>
          <w:tblCellMar>
            <w:top w:w="0" w:type="dxa"/>
            <w:left w:w="0" w:type="dxa"/>
            <w:bottom w:w="0" w:type="dxa"/>
            <w:right w:w="0" w:type="dxa"/>
          </w:tblCellMar>
        </w:tblPrEx>
        <w:trPr>
          <w:trHeight w:val="600" w:hRule="atLeast"/>
          <w:jc w:val="center"/>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0C04C">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现场检查（50分）</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E0E28">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4、在规定时间内完成垃圾日产日清，重大活动保障期间安排即时清运服务。</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1F9C3">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4、未在规定时间内完成垃圾日产日清的每次扣0.2分，重大活动保障期间未安排清运的每次扣1分。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77087">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10分</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4B7D8">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DBA48">
            <w:pPr>
              <w:snapToGrid w:val="0"/>
              <w:spacing w:line="360" w:lineRule="auto"/>
              <w:ind w:firstLine="480" w:firstLineChars="200"/>
              <w:jc w:val="center"/>
              <w:rPr>
                <w:rFonts w:hint="eastAsia" w:ascii="仿宋" w:hAnsi="仿宋" w:eastAsia="仿宋" w:cs="仿宋"/>
                <w:color w:val="auto"/>
                <w:kern w:val="0"/>
                <w:sz w:val="24"/>
              </w:rPr>
            </w:pPr>
          </w:p>
        </w:tc>
      </w:tr>
      <w:tr w14:paraId="4A52F624">
        <w:tblPrEx>
          <w:tblCellMar>
            <w:top w:w="0" w:type="dxa"/>
            <w:left w:w="0" w:type="dxa"/>
            <w:bottom w:w="0" w:type="dxa"/>
            <w:right w:w="0" w:type="dxa"/>
          </w:tblCellMar>
        </w:tblPrEx>
        <w:trPr>
          <w:trHeight w:val="600" w:hRule="atLeast"/>
          <w:jc w:val="center"/>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20BC">
            <w:pPr>
              <w:snapToGrid w:val="0"/>
              <w:spacing w:line="360" w:lineRule="auto"/>
              <w:ind w:firstLine="480" w:firstLineChars="200"/>
              <w:jc w:val="left"/>
              <w:rPr>
                <w:rFonts w:hint="eastAsia" w:ascii="仿宋" w:hAnsi="仿宋" w:eastAsia="仿宋" w:cs="仿宋"/>
                <w:color w:val="auto"/>
                <w:kern w:val="0"/>
                <w:sz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D970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5、垃圾分类收集点实施分类收集、分类运输，严禁混装混运。</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6B882">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5、垃圾分类收集点未实施分类收集、分类运输，出现混装混运的每次扣1分。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14770">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10分</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E8965">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9F5AF">
            <w:pPr>
              <w:snapToGrid w:val="0"/>
              <w:spacing w:line="360" w:lineRule="auto"/>
              <w:ind w:firstLine="480" w:firstLineChars="200"/>
              <w:jc w:val="center"/>
              <w:rPr>
                <w:rFonts w:hint="eastAsia" w:ascii="仿宋" w:hAnsi="仿宋" w:eastAsia="仿宋" w:cs="仿宋"/>
                <w:color w:val="auto"/>
                <w:kern w:val="0"/>
                <w:sz w:val="24"/>
              </w:rPr>
            </w:pPr>
          </w:p>
        </w:tc>
      </w:tr>
      <w:tr w14:paraId="22F2E772">
        <w:tblPrEx>
          <w:tblCellMar>
            <w:top w:w="0" w:type="dxa"/>
            <w:left w:w="0" w:type="dxa"/>
            <w:bottom w:w="0" w:type="dxa"/>
            <w:right w:w="0" w:type="dxa"/>
          </w:tblCellMar>
        </w:tblPrEx>
        <w:trPr>
          <w:trHeight w:val="1200" w:hRule="atLeast"/>
          <w:jc w:val="center"/>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9AC6D">
            <w:pPr>
              <w:snapToGrid w:val="0"/>
              <w:spacing w:line="360" w:lineRule="auto"/>
              <w:ind w:firstLine="480" w:firstLineChars="200"/>
              <w:jc w:val="left"/>
              <w:rPr>
                <w:rFonts w:hint="eastAsia" w:ascii="仿宋" w:hAnsi="仿宋" w:eastAsia="仿宋" w:cs="仿宋"/>
                <w:color w:val="auto"/>
                <w:kern w:val="0"/>
                <w:sz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8D146">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6、直运收集点必须按照清洁直运作业规范收运，不得落地转运，收集后将垃圾收集容器放回原处。</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1580D">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6、直运收集点垃圾落地装运的，每次（处）扣0.5分，收集后垃圾收集容器没有正确放回至原处的每次扣0.2分。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BBA99">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5分</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24B30">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B2E7B">
            <w:pPr>
              <w:snapToGrid w:val="0"/>
              <w:spacing w:line="360" w:lineRule="auto"/>
              <w:ind w:firstLine="480" w:firstLineChars="200"/>
              <w:jc w:val="center"/>
              <w:rPr>
                <w:rFonts w:hint="eastAsia" w:ascii="仿宋" w:hAnsi="仿宋" w:eastAsia="仿宋" w:cs="仿宋"/>
                <w:color w:val="auto"/>
                <w:kern w:val="0"/>
                <w:sz w:val="24"/>
              </w:rPr>
            </w:pPr>
          </w:p>
        </w:tc>
      </w:tr>
      <w:tr w14:paraId="0CD4C5FA">
        <w:tblPrEx>
          <w:tblCellMar>
            <w:top w:w="0" w:type="dxa"/>
            <w:left w:w="0" w:type="dxa"/>
            <w:bottom w:w="0" w:type="dxa"/>
            <w:right w:w="0" w:type="dxa"/>
          </w:tblCellMar>
        </w:tblPrEx>
        <w:trPr>
          <w:trHeight w:val="977" w:hRule="atLeast"/>
          <w:jc w:val="center"/>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5D42F">
            <w:pPr>
              <w:snapToGrid w:val="0"/>
              <w:spacing w:line="360" w:lineRule="auto"/>
              <w:ind w:firstLine="480" w:firstLineChars="200"/>
              <w:jc w:val="left"/>
              <w:rPr>
                <w:rFonts w:hint="eastAsia" w:ascii="仿宋" w:hAnsi="仿宋" w:eastAsia="仿宋" w:cs="仿宋"/>
                <w:color w:val="auto"/>
                <w:kern w:val="0"/>
                <w:sz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9EBC4">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7、垃圾收运时轻拿轻放，防止噪音扰民，防止人为损坏垃圾收集容器。</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665C3">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7、未做到垃圾收运时轻拿轻放，出现作业噪音扰民情况的每次扣0.5分，人为损坏垃圾收集容器的每次扣0.5分。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AE673">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5分</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77FF4">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473A0">
            <w:pPr>
              <w:snapToGrid w:val="0"/>
              <w:spacing w:line="360" w:lineRule="auto"/>
              <w:ind w:firstLine="480" w:firstLineChars="200"/>
              <w:jc w:val="center"/>
              <w:rPr>
                <w:rFonts w:hint="eastAsia" w:ascii="仿宋" w:hAnsi="仿宋" w:eastAsia="仿宋" w:cs="仿宋"/>
                <w:color w:val="auto"/>
                <w:kern w:val="0"/>
                <w:sz w:val="24"/>
              </w:rPr>
            </w:pPr>
          </w:p>
        </w:tc>
      </w:tr>
      <w:tr w14:paraId="55ED96AF">
        <w:tblPrEx>
          <w:tblCellMar>
            <w:top w:w="0" w:type="dxa"/>
            <w:left w:w="0" w:type="dxa"/>
            <w:bottom w:w="0" w:type="dxa"/>
            <w:right w:w="0" w:type="dxa"/>
          </w:tblCellMar>
        </w:tblPrEx>
        <w:trPr>
          <w:trHeight w:val="1200" w:hRule="atLeast"/>
          <w:jc w:val="center"/>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BBD3E">
            <w:pPr>
              <w:snapToGrid w:val="0"/>
              <w:spacing w:line="360" w:lineRule="auto"/>
              <w:ind w:firstLine="480" w:firstLineChars="200"/>
              <w:jc w:val="left"/>
              <w:rPr>
                <w:rFonts w:hint="eastAsia" w:ascii="仿宋" w:hAnsi="仿宋" w:eastAsia="仿宋" w:cs="仿宋"/>
                <w:color w:val="auto"/>
                <w:kern w:val="0"/>
                <w:sz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7E0EC">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8、作业人员必须证件齐全，证驾相符，作业安全驾驶。作业人员必须规范穿着工作服。</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C78B4">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8、证件不齐、证驾不符的每次扣1分，作业时不遵守交通规则的每次扣1分，作业人员未规范穿着工作服的每人次扣0.2分。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F695C">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5分</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9AB57">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EF5EF">
            <w:pPr>
              <w:snapToGrid w:val="0"/>
              <w:spacing w:line="360" w:lineRule="auto"/>
              <w:ind w:firstLine="480" w:firstLineChars="200"/>
              <w:jc w:val="center"/>
              <w:rPr>
                <w:rFonts w:hint="eastAsia" w:ascii="仿宋" w:hAnsi="仿宋" w:eastAsia="仿宋" w:cs="仿宋"/>
                <w:color w:val="auto"/>
                <w:kern w:val="0"/>
                <w:sz w:val="24"/>
              </w:rPr>
            </w:pPr>
          </w:p>
        </w:tc>
      </w:tr>
      <w:tr w14:paraId="344395E2">
        <w:tblPrEx>
          <w:tblCellMar>
            <w:top w:w="0" w:type="dxa"/>
            <w:left w:w="0" w:type="dxa"/>
            <w:bottom w:w="0" w:type="dxa"/>
            <w:right w:w="0" w:type="dxa"/>
          </w:tblCellMar>
        </w:tblPrEx>
        <w:trPr>
          <w:trHeight w:val="1755" w:hRule="atLeast"/>
          <w:jc w:val="center"/>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A8EA5">
            <w:pPr>
              <w:snapToGrid w:val="0"/>
              <w:spacing w:line="360" w:lineRule="auto"/>
              <w:ind w:firstLine="480" w:firstLineChars="200"/>
              <w:jc w:val="left"/>
              <w:rPr>
                <w:rFonts w:hint="eastAsia" w:ascii="仿宋" w:hAnsi="仿宋" w:eastAsia="仿宋" w:cs="仿宋"/>
                <w:color w:val="auto"/>
                <w:kern w:val="0"/>
                <w:sz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F05F8">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9、垃圾收集清运车辆（含机动车和非机动车）车容车貌整洁，无破损，运输过程中应密闭运输，无吊挂，无抛、撒垃圾现象，垃圾压缩车填塞器内不得装载垃圾行驶。</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4AD26">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9、垃圾收集清运车辆外观不洁、破损的每车/次扣0.2分。运输过程中未密闭（超高）运输的每车/次扣0.5分。车辆吊挂垃圾的每车/次扣0.2分，抛、撒垃圾的每车/次扣1分。垃圾压缩车填塞器内装载垃圾行驶的每车/次扣1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34B2B">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5分</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78B96">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2C09A">
            <w:pPr>
              <w:snapToGrid w:val="0"/>
              <w:spacing w:line="360" w:lineRule="auto"/>
              <w:ind w:firstLine="480" w:firstLineChars="200"/>
              <w:jc w:val="center"/>
              <w:rPr>
                <w:rFonts w:hint="eastAsia" w:ascii="仿宋" w:hAnsi="仿宋" w:eastAsia="仿宋" w:cs="仿宋"/>
                <w:color w:val="auto"/>
                <w:kern w:val="0"/>
                <w:sz w:val="24"/>
              </w:rPr>
            </w:pPr>
          </w:p>
        </w:tc>
      </w:tr>
      <w:tr w14:paraId="5186F7DB">
        <w:tblPrEx>
          <w:tblCellMar>
            <w:top w:w="0" w:type="dxa"/>
            <w:left w:w="0" w:type="dxa"/>
            <w:bottom w:w="0" w:type="dxa"/>
            <w:right w:w="0" w:type="dxa"/>
          </w:tblCellMar>
        </w:tblPrEx>
        <w:trPr>
          <w:trHeight w:val="2370" w:hRule="atLeast"/>
          <w:jc w:val="center"/>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D2F3">
            <w:pPr>
              <w:snapToGrid w:val="0"/>
              <w:spacing w:line="360" w:lineRule="auto"/>
              <w:ind w:firstLine="480" w:firstLineChars="200"/>
              <w:jc w:val="left"/>
              <w:rPr>
                <w:rFonts w:hint="eastAsia" w:ascii="仿宋" w:hAnsi="仿宋" w:eastAsia="仿宋" w:cs="仿宋"/>
                <w:color w:val="auto"/>
                <w:kern w:val="0"/>
                <w:sz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E7193">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10、垃圾运输车辆运输过程中不得滴漏污水。车辆应匀速行驶，不得急停急起，防止污水外溢。垃圾运输车出垃圾房作业前、在垃圾处理场所倾倒垃圾后须及时排空污水箱中的污水，并将污水排水口密闭，遮挡板盖合，连接桥连接污水槽后，才能执行垃圾清运任务。</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7B7D8">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10、垃圾运输车辆相关设施破损影响正常作业的扣1分。污水排水口未密闭，连接桥脱落，污水槽堵塞的每项扣1分。运输途中污水滴漏的每车/次扣1分。出垃圾房作业前、在垃圾处理场所倾倒垃圾后未及时排放污水、污水排水口未密闭、遮挡板未关闭垃圾外露的每车/次扣1分，连接桥未对接污水槽的每车/次扣1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4B017">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5分</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42BEF">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657E6">
            <w:pPr>
              <w:snapToGrid w:val="0"/>
              <w:spacing w:line="360" w:lineRule="auto"/>
              <w:ind w:firstLine="480" w:firstLineChars="200"/>
              <w:jc w:val="center"/>
              <w:rPr>
                <w:rFonts w:hint="eastAsia" w:ascii="仿宋" w:hAnsi="仿宋" w:eastAsia="仿宋" w:cs="仿宋"/>
                <w:color w:val="auto"/>
                <w:kern w:val="0"/>
                <w:sz w:val="24"/>
              </w:rPr>
            </w:pPr>
          </w:p>
        </w:tc>
      </w:tr>
      <w:tr w14:paraId="68D315EC">
        <w:tblPrEx>
          <w:tblCellMar>
            <w:top w:w="0" w:type="dxa"/>
            <w:left w:w="0" w:type="dxa"/>
            <w:bottom w:w="0" w:type="dxa"/>
            <w:right w:w="0" w:type="dxa"/>
          </w:tblCellMar>
        </w:tblPrEx>
        <w:trPr>
          <w:trHeight w:val="1365" w:hRule="atLeast"/>
          <w:jc w:val="center"/>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F7C94">
            <w:pPr>
              <w:snapToGrid w:val="0"/>
              <w:spacing w:line="360" w:lineRule="auto"/>
              <w:ind w:firstLine="480" w:firstLineChars="200"/>
              <w:jc w:val="left"/>
              <w:rPr>
                <w:rFonts w:hint="eastAsia" w:ascii="仿宋" w:hAnsi="仿宋" w:eastAsia="仿宋" w:cs="仿宋"/>
                <w:color w:val="auto"/>
                <w:kern w:val="0"/>
                <w:sz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B0272">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11、垃圾运输车辆（含机动车、非机动车）作业完毕后应冲洗干净，做到车厢无积存垃圾、无污垢、无油污，底盘无垃圾、无污物、无油污、无泥浆。</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9B098">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11、车厢有积存垃圾、污垢、油污，底盘有垃圾、污物、油污、泥浆的每项扣0.1分。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8A79D">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5分</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2F733">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05BE">
            <w:pPr>
              <w:snapToGrid w:val="0"/>
              <w:spacing w:line="360" w:lineRule="auto"/>
              <w:ind w:firstLine="480" w:firstLineChars="200"/>
              <w:jc w:val="center"/>
              <w:rPr>
                <w:rFonts w:hint="eastAsia" w:ascii="仿宋" w:hAnsi="仿宋" w:eastAsia="仿宋" w:cs="仿宋"/>
                <w:color w:val="auto"/>
                <w:kern w:val="0"/>
                <w:sz w:val="24"/>
              </w:rPr>
            </w:pPr>
          </w:p>
        </w:tc>
      </w:tr>
      <w:tr w14:paraId="6C0E0DFB">
        <w:tblPrEx>
          <w:tblCellMar>
            <w:top w:w="0" w:type="dxa"/>
            <w:left w:w="0" w:type="dxa"/>
            <w:bottom w:w="0" w:type="dxa"/>
            <w:right w:w="0" w:type="dxa"/>
          </w:tblCellMar>
        </w:tblPrEx>
        <w:trPr>
          <w:trHeight w:val="1002" w:hRule="atLeast"/>
          <w:jc w:val="center"/>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CFF04">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公众监督处理</w:t>
            </w:r>
            <w:r>
              <w:rPr>
                <w:rFonts w:hint="eastAsia" w:ascii="仿宋" w:hAnsi="仿宋" w:eastAsia="仿宋" w:cs="仿宋"/>
                <w:color w:val="auto"/>
                <w:kern w:val="0"/>
                <w:sz w:val="24"/>
                <w:lang w:eastAsia="zh-Hans"/>
              </w:rPr>
              <w:t>情</w:t>
            </w:r>
            <w:r>
              <w:rPr>
                <w:rFonts w:hint="eastAsia" w:ascii="仿宋" w:hAnsi="仿宋" w:eastAsia="仿宋" w:cs="仿宋"/>
                <w:color w:val="auto"/>
                <w:kern w:val="0"/>
                <w:sz w:val="24"/>
              </w:rPr>
              <w:t>况（30分）</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EEBA">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12、无有责投诉（包括电话、信访、市长公开电话等），有责投诉后处置及时。</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5133">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12、出现一次有责投诉扣1分，不及时处理的扣1.5分。</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606A3">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30分</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997BF">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F5008">
            <w:pPr>
              <w:snapToGrid w:val="0"/>
              <w:spacing w:line="360" w:lineRule="auto"/>
              <w:ind w:firstLine="480" w:firstLineChars="200"/>
              <w:jc w:val="center"/>
              <w:rPr>
                <w:rFonts w:hint="eastAsia" w:ascii="仿宋" w:hAnsi="仿宋" w:eastAsia="仿宋" w:cs="仿宋"/>
                <w:color w:val="auto"/>
                <w:kern w:val="0"/>
                <w:sz w:val="24"/>
              </w:rPr>
            </w:pPr>
          </w:p>
        </w:tc>
      </w:tr>
      <w:tr w14:paraId="146E8280">
        <w:tblPrEx>
          <w:tblCellMar>
            <w:top w:w="0" w:type="dxa"/>
            <w:left w:w="0" w:type="dxa"/>
            <w:bottom w:w="0" w:type="dxa"/>
            <w:right w:w="0" w:type="dxa"/>
          </w:tblCellMar>
        </w:tblPrEx>
        <w:trPr>
          <w:trHeight w:val="600" w:hRule="atLeast"/>
          <w:jc w:val="center"/>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B5688">
            <w:pPr>
              <w:snapToGrid w:val="0"/>
              <w:spacing w:line="360" w:lineRule="auto"/>
              <w:ind w:firstLine="480" w:firstLineChars="200"/>
              <w:jc w:val="left"/>
              <w:rPr>
                <w:rFonts w:hint="eastAsia" w:ascii="仿宋" w:hAnsi="仿宋" w:eastAsia="仿宋" w:cs="仿宋"/>
                <w:color w:val="auto"/>
                <w:kern w:val="0"/>
                <w:sz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3A573">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13、无新闻媒体曝光。</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F2B56">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13、新闻媒体曝光查实有责的每次扣1-5分，不及时处理的扣3-8分。</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E2DB4">
            <w:pPr>
              <w:snapToGrid w:val="0"/>
              <w:spacing w:line="360" w:lineRule="auto"/>
              <w:ind w:firstLine="480" w:firstLineChars="200"/>
              <w:jc w:val="center"/>
              <w:rPr>
                <w:rFonts w:hint="eastAsia" w:ascii="仿宋" w:hAnsi="仿宋" w:eastAsia="仿宋" w:cs="仿宋"/>
                <w:color w:val="auto"/>
                <w:kern w:val="0"/>
                <w:sz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C135B">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F500B">
            <w:pPr>
              <w:snapToGrid w:val="0"/>
              <w:spacing w:line="360" w:lineRule="auto"/>
              <w:ind w:firstLine="480" w:firstLineChars="200"/>
              <w:jc w:val="center"/>
              <w:rPr>
                <w:rFonts w:hint="eastAsia" w:ascii="仿宋" w:hAnsi="仿宋" w:eastAsia="仿宋" w:cs="仿宋"/>
                <w:color w:val="auto"/>
                <w:kern w:val="0"/>
                <w:sz w:val="24"/>
              </w:rPr>
            </w:pPr>
          </w:p>
        </w:tc>
      </w:tr>
      <w:tr w14:paraId="2C1F9F05">
        <w:tblPrEx>
          <w:tblCellMar>
            <w:top w:w="0" w:type="dxa"/>
            <w:left w:w="0" w:type="dxa"/>
            <w:bottom w:w="0" w:type="dxa"/>
            <w:right w:w="0" w:type="dxa"/>
          </w:tblCellMar>
        </w:tblPrEx>
        <w:trPr>
          <w:trHeight w:val="600" w:hRule="atLeast"/>
          <w:jc w:val="center"/>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12D6E">
            <w:pPr>
              <w:snapToGrid w:val="0"/>
              <w:spacing w:line="360" w:lineRule="auto"/>
              <w:ind w:firstLine="480" w:firstLineChars="200"/>
              <w:jc w:val="left"/>
              <w:rPr>
                <w:rFonts w:hint="eastAsia" w:ascii="仿宋" w:hAnsi="仿宋" w:eastAsia="仿宋" w:cs="仿宋"/>
                <w:color w:val="auto"/>
                <w:kern w:val="0"/>
                <w:sz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8D95C">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14、区级以上检查和重大活动保障不失责任分。</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776C3">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14、失责任分将根据情况扣1-10分。</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3F69A">
            <w:pPr>
              <w:snapToGrid w:val="0"/>
              <w:spacing w:line="360" w:lineRule="auto"/>
              <w:ind w:firstLine="480" w:firstLineChars="200"/>
              <w:jc w:val="center"/>
              <w:rPr>
                <w:rFonts w:hint="eastAsia" w:ascii="仿宋" w:hAnsi="仿宋" w:eastAsia="仿宋" w:cs="仿宋"/>
                <w:color w:val="auto"/>
                <w:kern w:val="0"/>
                <w:sz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82AAB">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9A8DB">
            <w:pPr>
              <w:snapToGrid w:val="0"/>
              <w:spacing w:line="360" w:lineRule="auto"/>
              <w:ind w:firstLine="480" w:firstLineChars="200"/>
              <w:jc w:val="center"/>
              <w:rPr>
                <w:rFonts w:hint="eastAsia" w:ascii="仿宋" w:hAnsi="仿宋" w:eastAsia="仿宋" w:cs="仿宋"/>
                <w:color w:val="auto"/>
                <w:kern w:val="0"/>
                <w:sz w:val="24"/>
              </w:rPr>
            </w:pPr>
          </w:p>
        </w:tc>
      </w:tr>
      <w:tr w14:paraId="093EA3B1">
        <w:tblPrEx>
          <w:tblCellMar>
            <w:top w:w="0" w:type="dxa"/>
            <w:left w:w="0" w:type="dxa"/>
            <w:bottom w:w="0" w:type="dxa"/>
            <w:right w:w="0" w:type="dxa"/>
          </w:tblCellMar>
        </w:tblPrEx>
        <w:trPr>
          <w:trHeight w:val="600" w:hRule="atLeast"/>
          <w:jc w:val="center"/>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444E7">
            <w:pPr>
              <w:snapToGrid w:val="0"/>
              <w:spacing w:line="360" w:lineRule="auto"/>
              <w:ind w:firstLine="480" w:firstLineChars="200"/>
              <w:jc w:val="left"/>
              <w:rPr>
                <w:rFonts w:hint="eastAsia" w:ascii="仿宋" w:hAnsi="仿宋" w:eastAsia="仿宋" w:cs="仿宋"/>
                <w:color w:val="auto"/>
                <w:kern w:val="0"/>
                <w:sz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433B4">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15、积极推进完成市区政府和主管部门交办的重大工作。</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3571">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15、未完成市区政府和主管部门交办的重大工作根据情况扣5-10分。</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EFA9C">
            <w:pPr>
              <w:snapToGrid w:val="0"/>
              <w:spacing w:line="360" w:lineRule="auto"/>
              <w:ind w:firstLine="480" w:firstLineChars="200"/>
              <w:jc w:val="center"/>
              <w:rPr>
                <w:rFonts w:hint="eastAsia" w:ascii="仿宋" w:hAnsi="仿宋" w:eastAsia="仿宋" w:cs="仿宋"/>
                <w:color w:val="auto"/>
                <w:kern w:val="0"/>
                <w:sz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0DBE1">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04331">
            <w:pPr>
              <w:snapToGrid w:val="0"/>
              <w:spacing w:line="360" w:lineRule="auto"/>
              <w:ind w:firstLine="480" w:firstLineChars="200"/>
              <w:jc w:val="center"/>
              <w:rPr>
                <w:rFonts w:hint="eastAsia" w:ascii="仿宋" w:hAnsi="仿宋" w:eastAsia="仿宋" w:cs="仿宋"/>
                <w:color w:val="auto"/>
                <w:kern w:val="0"/>
                <w:sz w:val="24"/>
              </w:rPr>
            </w:pPr>
          </w:p>
        </w:tc>
      </w:tr>
      <w:tr w14:paraId="5759B80B">
        <w:tblPrEx>
          <w:tblCellMar>
            <w:top w:w="0" w:type="dxa"/>
            <w:left w:w="0" w:type="dxa"/>
            <w:bottom w:w="0" w:type="dxa"/>
            <w:right w:w="0" w:type="dxa"/>
          </w:tblCellMar>
        </w:tblPrEx>
        <w:trPr>
          <w:trHeight w:val="600" w:hRule="atLeast"/>
          <w:jc w:val="center"/>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A7E90">
            <w:pPr>
              <w:snapToGrid w:val="0"/>
              <w:spacing w:line="360" w:lineRule="auto"/>
              <w:ind w:firstLine="480" w:firstLineChars="200"/>
              <w:jc w:val="left"/>
              <w:rPr>
                <w:rFonts w:hint="eastAsia" w:ascii="仿宋" w:hAnsi="仿宋" w:eastAsia="仿宋" w:cs="仿宋"/>
                <w:color w:val="auto"/>
                <w:kern w:val="0"/>
                <w:sz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63C2B">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16、无重大失责行为或社会影响极坏的事件。</w:t>
            </w: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F200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16、有重大失责行为或社会影响极坏的最多可以扣除20分。</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B8CCB">
            <w:pPr>
              <w:snapToGrid w:val="0"/>
              <w:spacing w:line="360" w:lineRule="auto"/>
              <w:ind w:firstLine="480" w:firstLineChars="200"/>
              <w:jc w:val="center"/>
              <w:rPr>
                <w:rFonts w:hint="eastAsia" w:ascii="仿宋" w:hAnsi="仿宋" w:eastAsia="仿宋" w:cs="仿宋"/>
                <w:color w:val="auto"/>
                <w:kern w:val="0"/>
                <w:sz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3E0E">
            <w:pPr>
              <w:snapToGrid w:val="0"/>
              <w:spacing w:line="360" w:lineRule="auto"/>
              <w:ind w:firstLine="480" w:firstLineChars="200"/>
              <w:jc w:val="center"/>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A9819">
            <w:pPr>
              <w:snapToGrid w:val="0"/>
              <w:spacing w:line="360" w:lineRule="auto"/>
              <w:ind w:firstLine="480" w:firstLineChars="200"/>
              <w:jc w:val="center"/>
              <w:rPr>
                <w:rFonts w:hint="eastAsia" w:ascii="仿宋" w:hAnsi="仿宋" w:eastAsia="仿宋" w:cs="仿宋"/>
                <w:color w:val="auto"/>
                <w:kern w:val="0"/>
                <w:sz w:val="24"/>
              </w:rPr>
            </w:pPr>
          </w:p>
        </w:tc>
      </w:tr>
      <w:tr w14:paraId="2572E24C">
        <w:tblPrEx>
          <w:tblCellMar>
            <w:top w:w="0" w:type="dxa"/>
            <w:left w:w="0" w:type="dxa"/>
            <w:bottom w:w="0" w:type="dxa"/>
            <w:right w:w="0" w:type="dxa"/>
          </w:tblCellMar>
        </w:tblPrEx>
        <w:trPr>
          <w:trHeight w:val="553"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66A58">
            <w:pPr>
              <w:snapToGrid w:val="0"/>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其他</w:t>
            </w:r>
          </w:p>
        </w:tc>
        <w:tc>
          <w:tcPr>
            <w:tcW w:w="3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A7E79">
            <w:pPr>
              <w:snapToGrid w:val="0"/>
              <w:spacing w:line="360" w:lineRule="auto"/>
              <w:ind w:firstLine="480" w:firstLineChars="200"/>
              <w:jc w:val="left"/>
              <w:rPr>
                <w:rFonts w:hint="eastAsia" w:ascii="仿宋" w:hAnsi="仿宋" w:eastAsia="仿宋" w:cs="仿宋"/>
                <w:color w:val="auto"/>
                <w:kern w:val="0"/>
                <w:sz w:val="24"/>
              </w:rPr>
            </w:pPr>
          </w:p>
        </w:tc>
        <w:tc>
          <w:tcPr>
            <w:tcW w:w="4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2ACE4">
            <w:pPr>
              <w:snapToGrid w:val="0"/>
              <w:spacing w:line="360" w:lineRule="auto"/>
              <w:ind w:firstLine="480" w:firstLineChars="200"/>
              <w:jc w:val="left"/>
              <w:rPr>
                <w:rFonts w:hint="eastAsia" w:ascii="仿宋" w:hAnsi="仿宋" w:eastAsia="仿宋" w:cs="仿宋"/>
                <w:color w:val="auto"/>
                <w:kern w:val="0"/>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84DD">
            <w:pPr>
              <w:snapToGrid w:val="0"/>
              <w:spacing w:line="360" w:lineRule="auto"/>
              <w:ind w:firstLine="480" w:firstLineChars="200"/>
              <w:jc w:val="left"/>
              <w:rPr>
                <w:rFonts w:hint="eastAsia" w:ascii="仿宋" w:hAnsi="仿宋" w:eastAsia="仿宋" w:cs="仿宋"/>
                <w:color w:val="auto"/>
                <w:kern w:val="0"/>
                <w:sz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8EA8D">
            <w:pPr>
              <w:snapToGrid w:val="0"/>
              <w:spacing w:line="360" w:lineRule="auto"/>
              <w:ind w:firstLine="480" w:firstLineChars="200"/>
              <w:jc w:val="left"/>
              <w:rPr>
                <w:rFonts w:hint="eastAsia" w:ascii="仿宋" w:hAnsi="仿宋" w:eastAsia="仿宋" w:cs="仿宋"/>
                <w:color w:val="auto"/>
                <w:kern w:val="0"/>
                <w:sz w:val="24"/>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AFC04">
            <w:pPr>
              <w:snapToGrid w:val="0"/>
              <w:spacing w:line="360" w:lineRule="auto"/>
              <w:ind w:firstLine="480" w:firstLineChars="200"/>
              <w:jc w:val="left"/>
              <w:rPr>
                <w:rFonts w:hint="eastAsia" w:ascii="仿宋" w:hAnsi="仿宋" w:eastAsia="仿宋" w:cs="仿宋"/>
                <w:color w:val="auto"/>
                <w:kern w:val="0"/>
                <w:sz w:val="24"/>
              </w:rPr>
            </w:pPr>
          </w:p>
        </w:tc>
      </w:tr>
      <w:tr w14:paraId="5B529198">
        <w:tblPrEx>
          <w:tblCellMar>
            <w:top w:w="0" w:type="dxa"/>
            <w:left w:w="0" w:type="dxa"/>
            <w:bottom w:w="0" w:type="dxa"/>
            <w:right w:w="0" w:type="dxa"/>
          </w:tblCellMar>
        </w:tblPrEx>
        <w:trPr>
          <w:trHeight w:val="675" w:hRule="atLeast"/>
          <w:jc w:val="center"/>
        </w:trPr>
        <w:tc>
          <w:tcPr>
            <w:tcW w:w="8371"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36043F8">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合计</w:t>
            </w:r>
          </w:p>
        </w:tc>
        <w:tc>
          <w:tcPr>
            <w:tcW w:w="2351"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F1C4A13">
            <w:pPr>
              <w:snapToGrid w:val="0"/>
              <w:spacing w:line="360" w:lineRule="auto"/>
              <w:ind w:firstLine="480" w:firstLineChars="200"/>
              <w:jc w:val="left"/>
              <w:rPr>
                <w:rFonts w:hint="eastAsia" w:ascii="仿宋" w:hAnsi="仿宋" w:eastAsia="仿宋" w:cs="仿宋"/>
                <w:color w:val="auto"/>
                <w:kern w:val="0"/>
                <w:sz w:val="24"/>
              </w:rPr>
            </w:pPr>
          </w:p>
        </w:tc>
      </w:tr>
    </w:tbl>
    <w:p w14:paraId="09A85421">
      <w:pPr>
        <w:jc w:val="lef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19B03CA6">
      <w:pPr>
        <w:spacing w:line="360" w:lineRule="auto"/>
        <w:ind w:firstLine="2891" w:firstLineChars="8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第四部分   评标办法</w:t>
      </w:r>
    </w:p>
    <w:p w14:paraId="19136ACC">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3"/>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739"/>
        <w:gridCol w:w="5890"/>
        <w:gridCol w:w="919"/>
        <w:gridCol w:w="1284"/>
      </w:tblGrid>
      <w:tr w14:paraId="6916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06" w:type="dxa"/>
            <w:vAlign w:val="center"/>
          </w:tcPr>
          <w:p w14:paraId="18F4DA52">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6629" w:type="dxa"/>
            <w:gridSpan w:val="2"/>
            <w:vAlign w:val="center"/>
          </w:tcPr>
          <w:p w14:paraId="046836D6">
            <w:pPr>
              <w:pStyle w:val="2"/>
              <w:rPr>
                <w:rFonts w:hint="eastAsia" w:ascii="仿宋" w:hAnsi="仿宋" w:eastAsia="仿宋" w:cs="仿宋"/>
                <w:color w:val="auto"/>
                <w:sz w:val="24"/>
                <w:szCs w:val="24"/>
              </w:rPr>
            </w:pPr>
            <w:r>
              <w:rPr>
                <w:rFonts w:hint="eastAsia" w:ascii="仿宋" w:hAnsi="仿宋" w:eastAsia="仿宋" w:cs="仿宋"/>
                <w:color w:val="auto"/>
                <w:sz w:val="24"/>
                <w:szCs w:val="24"/>
              </w:rPr>
              <w:t>评分内容和标准</w:t>
            </w:r>
          </w:p>
        </w:tc>
        <w:tc>
          <w:tcPr>
            <w:tcW w:w="919" w:type="dxa"/>
            <w:vAlign w:val="center"/>
          </w:tcPr>
          <w:p w14:paraId="2D0C6851">
            <w:pPr>
              <w:pStyle w:val="2"/>
              <w:ind w:right="-136" w:rightChars="-65"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分值</w:t>
            </w:r>
          </w:p>
          <w:p w14:paraId="500AA439">
            <w:pPr>
              <w:pStyle w:val="2"/>
              <w:ind w:right="-136" w:rightChars="-65"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权重</w:t>
            </w:r>
          </w:p>
        </w:tc>
        <w:tc>
          <w:tcPr>
            <w:tcW w:w="1284" w:type="dxa"/>
            <w:vAlign w:val="center"/>
          </w:tcPr>
          <w:p w14:paraId="434AEC68">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主客</w:t>
            </w:r>
          </w:p>
          <w:p w14:paraId="2C5C397C">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观分</w:t>
            </w:r>
          </w:p>
        </w:tc>
      </w:tr>
      <w:tr w14:paraId="75F1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206" w:type="dxa"/>
            <w:vMerge w:val="restart"/>
            <w:vAlign w:val="center"/>
          </w:tcPr>
          <w:p w14:paraId="0DEAB57D">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资信分（11分）</w:t>
            </w:r>
          </w:p>
        </w:tc>
        <w:tc>
          <w:tcPr>
            <w:tcW w:w="739" w:type="dxa"/>
            <w:vAlign w:val="center"/>
          </w:tcPr>
          <w:p w14:paraId="00414339">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890" w:type="dxa"/>
            <w:vAlign w:val="center"/>
          </w:tcPr>
          <w:p w14:paraId="62BC87C5">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投标人自2022年01月01日至今（以合同签订时间为准）完成过同类镇街案例业绩的，每提供一个业绩得0.2分，最高得1分。（投标文件中提供业绩汇总表及合同）</w:t>
            </w:r>
          </w:p>
        </w:tc>
        <w:tc>
          <w:tcPr>
            <w:tcW w:w="919" w:type="dxa"/>
            <w:vAlign w:val="center"/>
          </w:tcPr>
          <w:p w14:paraId="75B174E5">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84" w:type="dxa"/>
            <w:vAlign w:val="center"/>
          </w:tcPr>
          <w:p w14:paraId="33DE65BC">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7C7A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jc w:val="center"/>
        </w:trPr>
        <w:tc>
          <w:tcPr>
            <w:tcW w:w="1206" w:type="dxa"/>
            <w:vMerge w:val="continue"/>
            <w:vAlign w:val="center"/>
          </w:tcPr>
          <w:p w14:paraId="540E96C4">
            <w:pPr>
              <w:pStyle w:val="2"/>
              <w:rPr>
                <w:rFonts w:hint="eastAsia" w:ascii="仿宋" w:hAnsi="仿宋" w:eastAsia="仿宋" w:cs="仿宋"/>
                <w:color w:val="auto"/>
                <w:sz w:val="24"/>
                <w:szCs w:val="24"/>
              </w:rPr>
            </w:pPr>
          </w:p>
        </w:tc>
        <w:tc>
          <w:tcPr>
            <w:tcW w:w="739" w:type="dxa"/>
            <w:vAlign w:val="center"/>
          </w:tcPr>
          <w:p w14:paraId="4EBAC820">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890" w:type="dxa"/>
            <w:vAlign w:val="center"/>
          </w:tcPr>
          <w:p w14:paraId="6E9C552E">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⑴</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投标人有固定办公场所400㎡（含）以上的得2分，200㎡（不含）至400㎡（不含）的得1分，其余不得分；（自有的需提供土地使用权证或土地使用证明复印件，租赁的需同时提供场地租赁合同复印件及土地拥有人的土地使用权证或土地使用证明复印件。）</w:t>
            </w:r>
          </w:p>
          <w:p w14:paraId="7E7CB294">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⑵</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投标人有停车场所，面积在400㎡（含）以上的得2分，200㎡（不含）至400㎡（不含）的得1分，其余不得分。（自有的需提供土地使用权证或土地使用证明复印件，租赁的需同时提供场地租赁合同复印件及土地拥有人的土地使用权证或土地使用证明复印件。）</w:t>
            </w:r>
          </w:p>
        </w:tc>
        <w:tc>
          <w:tcPr>
            <w:tcW w:w="919" w:type="dxa"/>
            <w:vAlign w:val="center"/>
          </w:tcPr>
          <w:p w14:paraId="10DBD520">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284" w:type="dxa"/>
            <w:vAlign w:val="center"/>
          </w:tcPr>
          <w:p w14:paraId="5C8BDBC1">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5CAA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jc w:val="center"/>
        </w:trPr>
        <w:tc>
          <w:tcPr>
            <w:tcW w:w="1206" w:type="dxa"/>
            <w:vMerge w:val="continue"/>
            <w:vAlign w:val="center"/>
          </w:tcPr>
          <w:p w14:paraId="7D8CB5A0">
            <w:pPr>
              <w:pStyle w:val="2"/>
              <w:rPr>
                <w:rFonts w:hint="eastAsia" w:ascii="仿宋" w:hAnsi="仿宋" w:eastAsia="仿宋" w:cs="仿宋"/>
                <w:color w:val="auto"/>
                <w:sz w:val="24"/>
                <w:szCs w:val="24"/>
              </w:rPr>
            </w:pPr>
          </w:p>
        </w:tc>
        <w:tc>
          <w:tcPr>
            <w:tcW w:w="739" w:type="dxa"/>
            <w:vAlign w:val="center"/>
          </w:tcPr>
          <w:p w14:paraId="1A20C06D">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890" w:type="dxa"/>
            <w:vAlign w:val="center"/>
          </w:tcPr>
          <w:p w14:paraId="7582CE77">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投标人具有质量管理体系认证证书、环境管理体系认证证书、职业健康安全管理体系认证证书的，每项得1分，最高得3分。</w:t>
            </w:r>
          </w:p>
          <w:p w14:paraId="3637A643">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提供有效期内的证书复印件，认证范围需包含垃圾清运，提供全国认证认可信息公共服务平台网站（http：//www.cnca.gov.cn/）查询页面截图及体系证书复制件，证书须处于“有效”状态,不提供、提供不全或不符合要求不得分）</w:t>
            </w:r>
          </w:p>
        </w:tc>
        <w:tc>
          <w:tcPr>
            <w:tcW w:w="919" w:type="dxa"/>
            <w:vAlign w:val="center"/>
          </w:tcPr>
          <w:p w14:paraId="0FF23C13">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84" w:type="dxa"/>
            <w:vAlign w:val="center"/>
          </w:tcPr>
          <w:p w14:paraId="5AF74F4F">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6397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1206" w:type="dxa"/>
            <w:vMerge w:val="continue"/>
            <w:vAlign w:val="center"/>
          </w:tcPr>
          <w:p w14:paraId="145F8144">
            <w:pPr>
              <w:pStyle w:val="2"/>
              <w:rPr>
                <w:rFonts w:hint="eastAsia" w:ascii="仿宋" w:hAnsi="仿宋" w:eastAsia="仿宋" w:cs="仿宋"/>
                <w:color w:val="auto"/>
                <w:sz w:val="24"/>
                <w:szCs w:val="24"/>
              </w:rPr>
            </w:pPr>
          </w:p>
        </w:tc>
        <w:tc>
          <w:tcPr>
            <w:tcW w:w="739" w:type="dxa"/>
            <w:vAlign w:val="center"/>
          </w:tcPr>
          <w:p w14:paraId="2EEED4F6">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890" w:type="dxa"/>
            <w:vAlign w:val="center"/>
          </w:tcPr>
          <w:p w14:paraId="1B6CB13E">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投标人获得省级及以上政府部门颁发的环卫荣誉的得3分，获得市级政府部门颁发的环卫荣誉的得2分，获得区级政府部门颁发的环卫荣誉的得1分，没有的不得分。（同一类型按最高标准计取，不累计加分。投标文件中提供相关证明材料复印件。）</w:t>
            </w:r>
          </w:p>
        </w:tc>
        <w:tc>
          <w:tcPr>
            <w:tcW w:w="919" w:type="dxa"/>
            <w:vAlign w:val="center"/>
          </w:tcPr>
          <w:p w14:paraId="33D86321">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84" w:type="dxa"/>
            <w:vAlign w:val="center"/>
          </w:tcPr>
          <w:p w14:paraId="0F5FA708">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4032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206" w:type="dxa"/>
            <w:vMerge w:val="restart"/>
            <w:vAlign w:val="center"/>
          </w:tcPr>
          <w:p w14:paraId="4AFB93E4">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技术分（79分）</w:t>
            </w:r>
          </w:p>
        </w:tc>
        <w:tc>
          <w:tcPr>
            <w:tcW w:w="739" w:type="dxa"/>
            <w:vAlign w:val="center"/>
          </w:tcPr>
          <w:p w14:paraId="30656E84">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5890" w:type="dxa"/>
          </w:tcPr>
          <w:p w14:paraId="3E4D8BE1">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投标人方案是否全面、科学、合理。要点内容清晰、完整，完全吻合项目需求的得5分；要点内容略有瑕疵，基本满足项目需求的得4分；要点内容简单明确得3分；要点内容不清晰，内容缺失的得2分；要点内容混乱，内容缺失严重的得1分；未提供服务方案的不得分。</w:t>
            </w:r>
          </w:p>
        </w:tc>
        <w:tc>
          <w:tcPr>
            <w:tcW w:w="919" w:type="dxa"/>
            <w:vAlign w:val="center"/>
          </w:tcPr>
          <w:p w14:paraId="3FFC0CFB">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84" w:type="dxa"/>
            <w:vAlign w:val="center"/>
          </w:tcPr>
          <w:p w14:paraId="438AD5A5">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5B30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jc w:val="center"/>
        </w:trPr>
        <w:tc>
          <w:tcPr>
            <w:tcW w:w="1206" w:type="dxa"/>
            <w:vMerge w:val="continue"/>
            <w:vAlign w:val="center"/>
          </w:tcPr>
          <w:p w14:paraId="7EBA24C1">
            <w:pPr>
              <w:pStyle w:val="2"/>
              <w:rPr>
                <w:rFonts w:hint="eastAsia" w:ascii="仿宋" w:hAnsi="仿宋" w:eastAsia="仿宋" w:cs="仿宋"/>
                <w:color w:val="auto"/>
                <w:sz w:val="24"/>
                <w:szCs w:val="24"/>
              </w:rPr>
            </w:pPr>
          </w:p>
        </w:tc>
        <w:tc>
          <w:tcPr>
            <w:tcW w:w="739" w:type="dxa"/>
            <w:vAlign w:val="center"/>
          </w:tcPr>
          <w:p w14:paraId="462101D0">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5890" w:type="dxa"/>
          </w:tcPr>
          <w:p w14:paraId="7B4F7295">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投标人平稳交接过渡方案；服务平稳过渡交接，制定相关的平稳过渡交接实施措施的合理性。</w:t>
            </w:r>
          </w:p>
          <w:p w14:paraId="31EBBF28">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方案内容完整且与项目匹配度好的得5分；</w:t>
            </w:r>
          </w:p>
          <w:p w14:paraId="3C113347">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方案内容较为较完整与项目匹配度较好的得4分；</w:t>
            </w:r>
          </w:p>
          <w:p w14:paraId="7AE90B26">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方案内容基本完整与项目基本匹配的得3分；</w:t>
            </w:r>
          </w:p>
          <w:p w14:paraId="595DA145">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方案内容与项目匹配度存在欠缺的得2分；</w:t>
            </w:r>
          </w:p>
          <w:p w14:paraId="7800C6A1">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方案内容缺失严重或与项目不匹配的得1分；</w:t>
            </w:r>
          </w:p>
          <w:p w14:paraId="50D10446">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不提供不得分</w:t>
            </w:r>
            <w:r>
              <w:rPr>
                <w:rFonts w:hint="eastAsia" w:ascii="仿宋" w:hAnsi="仿宋" w:eastAsia="仿宋" w:cs="仿宋"/>
                <w:color w:val="auto"/>
                <w:sz w:val="24"/>
                <w:szCs w:val="24"/>
                <w:lang w:val="zh-CN"/>
              </w:rPr>
              <w:t>。</w:t>
            </w:r>
          </w:p>
        </w:tc>
        <w:tc>
          <w:tcPr>
            <w:tcW w:w="919" w:type="dxa"/>
            <w:vAlign w:val="center"/>
          </w:tcPr>
          <w:p w14:paraId="7D9DDFF2">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84" w:type="dxa"/>
            <w:vAlign w:val="center"/>
          </w:tcPr>
          <w:p w14:paraId="2CA5440C">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72F5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1206" w:type="dxa"/>
            <w:vMerge w:val="continue"/>
            <w:vAlign w:val="center"/>
          </w:tcPr>
          <w:p w14:paraId="653B53A7">
            <w:pPr>
              <w:pStyle w:val="2"/>
              <w:rPr>
                <w:rFonts w:hint="eastAsia" w:ascii="仿宋" w:hAnsi="仿宋" w:eastAsia="仿宋" w:cs="仿宋"/>
                <w:color w:val="auto"/>
                <w:sz w:val="24"/>
                <w:szCs w:val="24"/>
              </w:rPr>
            </w:pPr>
          </w:p>
        </w:tc>
        <w:tc>
          <w:tcPr>
            <w:tcW w:w="739" w:type="dxa"/>
            <w:vAlign w:val="center"/>
          </w:tcPr>
          <w:p w14:paraId="30050AA8">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5890" w:type="dxa"/>
          </w:tcPr>
          <w:p w14:paraId="4C769277">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lang w:val="zh-CN"/>
              </w:rPr>
              <w:t>根据</w:t>
            </w:r>
            <w:r>
              <w:rPr>
                <w:rFonts w:hint="eastAsia" w:ascii="仿宋" w:hAnsi="仿宋" w:eastAsia="仿宋" w:cs="仿宋"/>
                <w:color w:val="auto"/>
                <w:sz w:val="24"/>
                <w:szCs w:val="24"/>
              </w:rPr>
              <w:t>投标人</w:t>
            </w:r>
            <w:r>
              <w:rPr>
                <w:rFonts w:hint="eastAsia" w:ascii="仿宋" w:hAnsi="仿宋" w:eastAsia="仿宋" w:cs="仿宋"/>
                <w:color w:val="auto"/>
                <w:sz w:val="24"/>
                <w:szCs w:val="24"/>
                <w:lang w:val="zh-CN"/>
              </w:rPr>
              <w:t>对本项目的</w:t>
            </w:r>
            <w:r>
              <w:rPr>
                <w:rFonts w:hint="eastAsia" w:ascii="仿宋" w:hAnsi="仿宋" w:eastAsia="仿宋" w:cs="仿宋"/>
                <w:color w:val="auto"/>
                <w:sz w:val="24"/>
                <w:szCs w:val="24"/>
              </w:rPr>
              <w:t>采购需求理解与分析。</w:t>
            </w:r>
          </w:p>
          <w:p w14:paraId="7BDDCB59">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理解深刻、</w:t>
            </w:r>
            <w:r>
              <w:rPr>
                <w:rFonts w:hint="eastAsia" w:ascii="仿宋" w:hAnsi="仿宋" w:eastAsia="仿宋" w:cs="仿宋"/>
                <w:color w:val="auto"/>
                <w:sz w:val="24"/>
                <w:szCs w:val="24"/>
              </w:rPr>
              <w:t>分析透彻</w:t>
            </w:r>
            <w:r>
              <w:rPr>
                <w:rFonts w:hint="eastAsia" w:ascii="仿宋" w:hAnsi="仿宋" w:eastAsia="仿宋" w:cs="仿宋"/>
                <w:color w:val="auto"/>
                <w:sz w:val="24"/>
                <w:szCs w:val="24"/>
                <w:lang w:val="zh-CN"/>
              </w:rPr>
              <w:t>的得</w:t>
            </w: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分；</w:t>
            </w:r>
          </w:p>
          <w:p w14:paraId="06CF19A9">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理解较深刻、</w:t>
            </w:r>
            <w:r>
              <w:rPr>
                <w:rFonts w:hint="eastAsia" w:ascii="仿宋" w:hAnsi="仿宋" w:eastAsia="仿宋" w:cs="仿宋"/>
                <w:color w:val="auto"/>
                <w:sz w:val="24"/>
                <w:szCs w:val="24"/>
              </w:rPr>
              <w:t>分析较为透彻</w:t>
            </w:r>
            <w:r>
              <w:rPr>
                <w:rFonts w:hint="eastAsia" w:ascii="仿宋" w:hAnsi="仿宋" w:eastAsia="仿宋" w:cs="仿宋"/>
                <w:color w:val="auto"/>
                <w:sz w:val="24"/>
                <w:szCs w:val="24"/>
                <w:lang w:val="zh-CN"/>
              </w:rPr>
              <w:t>的得</w:t>
            </w: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分；</w:t>
            </w:r>
          </w:p>
          <w:p w14:paraId="5218137A">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理解基本深刻、分析基本</w:t>
            </w:r>
            <w:r>
              <w:rPr>
                <w:rFonts w:hint="eastAsia" w:ascii="仿宋" w:hAnsi="仿宋" w:eastAsia="仿宋" w:cs="仿宋"/>
                <w:color w:val="auto"/>
                <w:sz w:val="24"/>
                <w:szCs w:val="24"/>
              </w:rPr>
              <w:t>透彻</w:t>
            </w:r>
            <w:r>
              <w:rPr>
                <w:rFonts w:hint="eastAsia" w:ascii="仿宋" w:hAnsi="仿宋" w:eastAsia="仿宋" w:cs="仿宋"/>
                <w:color w:val="auto"/>
                <w:sz w:val="24"/>
                <w:szCs w:val="24"/>
                <w:lang w:val="zh-CN"/>
              </w:rPr>
              <w:t>的得</w:t>
            </w: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分；</w:t>
            </w:r>
          </w:p>
          <w:p w14:paraId="00B01A2C">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理解与</w:t>
            </w:r>
            <w:r>
              <w:rPr>
                <w:rFonts w:hint="eastAsia" w:ascii="仿宋" w:hAnsi="仿宋" w:eastAsia="仿宋" w:cs="仿宋"/>
                <w:color w:val="auto"/>
                <w:sz w:val="24"/>
                <w:szCs w:val="24"/>
              </w:rPr>
              <w:t>分析缺失较多</w:t>
            </w:r>
            <w:r>
              <w:rPr>
                <w:rFonts w:hint="eastAsia" w:ascii="仿宋" w:hAnsi="仿宋" w:eastAsia="仿宋" w:cs="仿宋"/>
                <w:color w:val="auto"/>
                <w:sz w:val="24"/>
                <w:szCs w:val="24"/>
                <w:lang w:val="zh-CN"/>
              </w:rPr>
              <w:t>的得</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分；</w:t>
            </w:r>
          </w:p>
          <w:p w14:paraId="7EE8BE35">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lang w:val="zh-CN"/>
              </w:rPr>
              <w:t>理解与分析</w:t>
            </w:r>
            <w:r>
              <w:rPr>
                <w:rFonts w:hint="eastAsia" w:ascii="仿宋" w:hAnsi="仿宋" w:eastAsia="仿宋" w:cs="仿宋"/>
                <w:color w:val="auto"/>
                <w:sz w:val="24"/>
                <w:szCs w:val="24"/>
              </w:rPr>
              <w:t>缺失严重的得1分；</w:t>
            </w:r>
          </w:p>
          <w:p w14:paraId="41D5E83F">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不提供不得分</w:t>
            </w:r>
            <w:r>
              <w:rPr>
                <w:rFonts w:hint="eastAsia" w:ascii="仿宋" w:hAnsi="仿宋" w:eastAsia="仿宋" w:cs="仿宋"/>
                <w:color w:val="auto"/>
                <w:sz w:val="24"/>
                <w:szCs w:val="24"/>
                <w:lang w:val="zh-CN"/>
              </w:rPr>
              <w:t>。</w:t>
            </w:r>
          </w:p>
        </w:tc>
        <w:tc>
          <w:tcPr>
            <w:tcW w:w="919" w:type="dxa"/>
            <w:vAlign w:val="center"/>
          </w:tcPr>
          <w:p w14:paraId="463B9AF8">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84" w:type="dxa"/>
            <w:vAlign w:val="center"/>
          </w:tcPr>
          <w:p w14:paraId="77B4ED03">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3062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3" w:hRule="atLeast"/>
          <w:jc w:val="center"/>
        </w:trPr>
        <w:tc>
          <w:tcPr>
            <w:tcW w:w="1206" w:type="dxa"/>
            <w:vMerge w:val="continue"/>
            <w:vAlign w:val="center"/>
          </w:tcPr>
          <w:p w14:paraId="5210DF9D">
            <w:pPr>
              <w:pStyle w:val="2"/>
              <w:rPr>
                <w:rFonts w:hint="eastAsia" w:ascii="仿宋" w:hAnsi="仿宋" w:eastAsia="仿宋" w:cs="仿宋"/>
                <w:color w:val="auto"/>
                <w:sz w:val="24"/>
                <w:szCs w:val="24"/>
              </w:rPr>
            </w:pPr>
          </w:p>
        </w:tc>
        <w:tc>
          <w:tcPr>
            <w:tcW w:w="739" w:type="dxa"/>
            <w:vAlign w:val="center"/>
          </w:tcPr>
          <w:p w14:paraId="6C5F5915">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5890" w:type="dxa"/>
          </w:tcPr>
          <w:p w14:paraId="20E96CAC">
            <w:pPr>
              <w:pStyle w:val="2"/>
              <w:ind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针对本项目重点、难点分析及采取的相应措施，根据内容完整性、合理性、周密性进行打分。</w:t>
            </w:r>
          </w:p>
          <w:p w14:paraId="35FAC7A5">
            <w:pPr>
              <w:pStyle w:val="2"/>
              <w:ind w:firstLine="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方案内容完整、分析到位且与项目匹配度好的得</w:t>
            </w: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分；</w:t>
            </w:r>
          </w:p>
          <w:p w14:paraId="70C9D184">
            <w:pPr>
              <w:pStyle w:val="2"/>
              <w:ind w:firstLine="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方案内容</w:t>
            </w:r>
            <w:r>
              <w:rPr>
                <w:rFonts w:hint="eastAsia" w:ascii="仿宋" w:hAnsi="仿宋" w:eastAsia="仿宋" w:cs="仿宋"/>
                <w:color w:val="auto"/>
                <w:sz w:val="24"/>
                <w:szCs w:val="24"/>
              </w:rPr>
              <w:t>较为较</w:t>
            </w:r>
            <w:r>
              <w:rPr>
                <w:rFonts w:hint="eastAsia" w:ascii="仿宋" w:hAnsi="仿宋" w:eastAsia="仿宋" w:cs="仿宋"/>
                <w:color w:val="auto"/>
                <w:sz w:val="24"/>
                <w:szCs w:val="24"/>
                <w:lang w:val="zh-CN"/>
              </w:rPr>
              <w:t>完整、分析较到位与项目匹配度较好的得</w:t>
            </w: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分；</w:t>
            </w:r>
          </w:p>
          <w:p w14:paraId="0977A739">
            <w:pPr>
              <w:pStyle w:val="2"/>
              <w:ind w:firstLine="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方案内容基本完整、分析基本到位与项目基本匹配的得</w:t>
            </w: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分；方案内容与项目匹配度存在欠缺的得</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分；</w:t>
            </w:r>
          </w:p>
          <w:p w14:paraId="4E56E955">
            <w:pPr>
              <w:pStyle w:val="2"/>
              <w:ind w:firstLine="0"/>
              <w:jc w:val="left"/>
              <w:rPr>
                <w:rFonts w:hint="eastAsia" w:ascii="仿宋" w:hAnsi="仿宋" w:eastAsia="仿宋" w:cs="仿宋"/>
                <w:color w:val="auto"/>
                <w:sz w:val="24"/>
                <w:szCs w:val="24"/>
              </w:rPr>
            </w:pPr>
            <w:r>
              <w:rPr>
                <w:rFonts w:hint="eastAsia" w:ascii="仿宋" w:hAnsi="仿宋" w:eastAsia="仿宋" w:cs="仿宋"/>
                <w:color w:val="auto"/>
                <w:sz w:val="24"/>
                <w:szCs w:val="24"/>
                <w:lang w:val="zh-CN"/>
              </w:rPr>
              <w:t>方案内容缺失严重、分析不全面或与项目不匹配的得</w:t>
            </w: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分；</w:t>
            </w:r>
            <w:r>
              <w:rPr>
                <w:rFonts w:hint="eastAsia" w:ascii="仿宋" w:hAnsi="仿宋" w:eastAsia="仿宋" w:cs="仿宋"/>
                <w:color w:val="auto"/>
                <w:sz w:val="24"/>
                <w:szCs w:val="24"/>
              </w:rPr>
              <w:t>不提供不得分</w:t>
            </w:r>
            <w:r>
              <w:rPr>
                <w:rFonts w:hint="eastAsia" w:ascii="仿宋" w:hAnsi="仿宋" w:eastAsia="仿宋" w:cs="仿宋"/>
                <w:color w:val="auto"/>
                <w:sz w:val="24"/>
                <w:szCs w:val="24"/>
                <w:lang w:val="zh-CN"/>
              </w:rPr>
              <w:t>。</w:t>
            </w:r>
          </w:p>
        </w:tc>
        <w:tc>
          <w:tcPr>
            <w:tcW w:w="919" w:type="dxa"/>
            <w:vAlign w:val="center"/>
          </w:tcPr>
          <w:p w14:paraId="7742417C">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84" w:type="dxa"/>
            <w:vAlign w:val="center"/>
          </w:tcPr>
          <w:p w14:paraId="43D7298F">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3384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1206" w:type="dxa"/>
            <w:vMerge w:val="continue"/>
            <w:vAlign w:val="center"/>
          </w:tcPr>
          <w:p w14:paraId="3FBF25AE">
            <w:pPr>
              <w:pStyle w:val="2"/>
              <w:rPr>
                <w:rFonts w:hint="eastAsia" w:ascii="仿宋" w:hAnsi="仿宋" w:eastAsia="仿宋" w:cs="仿宋"/>
                <w:color w:val="auto"/>
                <w:sz w:val="24"/>
                <w:szCs w:val="24"/>
              </w:rPr>
            </w:pPr>
          </w:p>
        </w:tc>
        <w:tc>
          <w:tcPr>
            <w:tcW w:w="739" w:type="dxa"/>
            <w:vAlign w:val="center"/>
          </w:tcPr>
          <w:p w14:paraId="23154939">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5890" w:type="dxa"/>
            <w:vAlign w:val="center"/>
          </w:tcPr>
          <w:p w14:paraId="02A6CE5A">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根据投标人针对本项目的服务理念、目标：根据本项目服务特点提出合理的服务理念。</w:t>
            </w:r>
          </w:p>
          <w:p w14:paraId="5447007A">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服务理念内容完整且与项目匹配度好的得</w:t>
            </w: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分；</w:t>
            </w:r>
          </w:p>
          <w:p w14:paraId="42EA217D">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服务理念内容</w:t>
            </w:r>
            <w:r>
              <w:rPr>
                <w:rFonts w:hint="eastAsia" w:ascii="仿宋" w:hAnsi="仿宋" w:eastAsia="仿宋" w:cs="仿宋"/>
                <w:color w:val="auto"/>
                <w:sz w:val="24"/>
                <w:szCs w:val="24"/>
              </w:rPr>
              <w:t>较为较</w:t>
            </w:r>
            <w:r>
              <w:rPr>
                <w:rFonts w:hint="eastAsia" w:ascii="仿宋" w:hAnsi="仿宋" w:eastAsia="仿宋" w:cs="仿宋"/>
                <w:color w:val="auto"/>
                <w:sz w:val="24"/>
                <w:szCs w:val="24"/>
                <w:lang w:val="zh-CN"/>
              </w:rPr>
              <w:t>完整与项目匹配度较好的得</w:t>
            </w: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分；</w:t>
            </w:r>
          </w:p>
          <w:p w14:paraId="2B1388BC">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理念内容基本完整与项目基本匹配的得</w:t>
            </w: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分；</w:t>
            </w:r>
          </w:p>
          <w:p w14:paraId="27716359">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服务理念内容与项目匹配度存在欠缺的得</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分；</w:t>
            </w:r>
          </w:p>
          <w:p w14:paraId="43FD1902">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服务理念内容缺失严重或与项目不匹配的得</w:t>
            </w: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分；</w:t>
            </w:r>
          </w:p>
          <w:p w14:paraId="5FB54D19">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rPr>
              <w:t>不提供不得分</w:t>
            </w:r>
            <w:r>
              <w:rPr>
                <w:rFonts w:hint="eastAsia" w:ascii="仿宋" w:hAnsi="仿宋" w:eastAsia="仿宋" w:cs="仿宋"/>
                <w:color w:val="auto"/>
                <w:sz w:val="24"/>
                <w:szCs w:val="24"/>
                <w:lang w:val="zh-CN"/>
              </w:rPr>
              <w:t>。</w:t>
            </w:r>
          </w:p>
        </w:tc>
        <w:tc>
          <w:tcPr>
            <w:tcW w:w="919" w:type="dxa"/>
            <w:vAlign w:val="center"/>
          </w:tcPr>
          <w:p w14:paraId="495B9D16">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84" w:type="dxa"/>
            <w:vAlign w:val="center"/>
          </w:tcPr>
          <w:p w14:paraId="5AA62923">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5918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jc w:val="center"/>
        </w:trPr>
        <w:tc>
          <w:tcPr>
            <w:tcW w:w="1206" w:type="dxa"/>
            <w:vMerge w:val="continue"/>
            <w:vAlign w:val="center"/>
          </w:tcPr>
          <w:p w14:paraId="0FE6236D">
            <w:pPr>
              <w:pStyle w:val="2"/>
              <w:rPr>
                <w:rFonts w:hint="eastAsia" w:ascii="仿宋" w:hAnsi="仿宋" w:eastAsia="仿宋" w:cs="仿宋"/>
                <w:color w:val="auto"/>
                <w:sz w:val="24"/>
                <w:szCs w:val="24"/>
              </w:rPr>
            </w:pPr>
          </w:p>
        </w:tc>
        <w:tc>
          <w:tcPr>
            <w:tcW w:w="739" w:type="dxa"/>
            <w:vAlign w:val="center"/>
          </w:tcPr>
          <w:p w14:paraId="0AE9BE5B">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5890" w:type="dxa"/>
            <w:vAlign w:val="center"/>
          </w:tcPr>
          <w:p w14:paraId="44384D8C">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根据投标人内部主要管理流程及监督考核办法，包括运作流程、监督机制、自我约束机制及处理等机制合理性、科学性、全面性进行评分。</w:t>
            </w:r>
          </w:p>
          <w:p w14:paraId="3F03DF4F">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方案内容完整且与项目匹配度好的得</w:t>
            </w: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分；</w:t>
            </w:r>
          </w:p>
          <w:p w14:paraId="129A9F50">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方案内容</w:t>
            </w:r>
            <w:r>
              <w:rPr>
                <w:rFonts w:hint="eastAsia" w:ascii="仿宋" w:hAnsi="仿宋" w:eastAsia="仿宋" w:cs="仿宋"/>
                <w:color w:val="auto"/>
                <w:sz w:val="24"/>
                <w:szCs w:val="24"/>
              </w:rPr>
              <w:t>较为较</w:t>
            </w:r>
            <w:r>
              <w:rPr>
                <w:rFonts w:hint="eastAsia" w:ascii="仿宋" w:hAnsi="仿宋" w:eastAsia="仿宋" w:cs="仿宋"/>
                <w:color w:val="auto"/>
                <w:sz w:val="24"/>
                <w:szCs w:val="24"/>
                <w:lang w:val="zh-CN"/>
              </w:rPr>
              <w:t>完整与项目匹配度较好的得</w:t>
            </w: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分；</w:t>
            </w:r>
          </w:p>
          <w:p w14:paraId="50DE69B9">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方案内容基本完整与项目基本匹配的得</w:t>
            </w: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分；</w:t>
            </w:r>
          </w:p>
          <w:p w14:paraId="7F8AB7BE">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方案内容与项目匹配度存在欠缺的得</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分；</w:t>
            </w:r>
          </w:p>
          <w:p w14:paraId="07B7F68D">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方案内容缺失严重或与项目不匹配的得</w:t>
            </w: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分；</w:t>
            </w:r>
          </w:p>
          <w:p w14:paraId="377A42E2">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不提供不得分</w:t>
            </w:r>
            <w:r>
              <w:rPr>
                <w:rFonts w:hint="eastAsia" w:ascii="仿宋" w:hAnsi="仿宋" w:eastAsia="仿宋" w:cs="仿宋"/>
                <w:color w:val="auto"/>
                <w:sz w:val="24"/>
                <w:szCs w:val="24"/>
                <w:lang w:val="zh-CN"/>
              </w:rPr>
              <w:t>。</w:t>
            </w:r>
          </w:p>
        </w:tc>
        <w:tc>
          <w:tcPr>
            <w:tcW w:w="919" w:type="dxa"/>
            <w:vAlign w:val="center"/>
          </w:tcPr>
          <w:p w14:paraId="6864B2C3">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84" w:type="dxa"/>
            <w:vAlign w:val="center"/>
          </w:tcPr>
          <w:p w14:paraId="7A2ADACC">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5B10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1206" w:type="dxa"/>
            <w:vMerge w:val="continue"/>
            <w:vAlign w:val="center"/>
          </w:tcPr>
          <w:p w14:paraId="25136F8A">
            <w:pPr>
              <w:pStyle w:val="2"/>
              <w:rPr>
                <w:rFonts w:hint="eastAsia" w:ascii="仿宋" w:hAnsi="仿宋" w:eastAsia="仿宋" w:cs="仿宋"/>
                <w:color w:val="auto"/>
                <w:sz w:val="24"/>
                <w:szCs w:val="24"/>
              </w:rPr>
            </w:pPr>
          </w:p>
        </w:tc>
        <w:tc>
          <w:tcPr>
            <w:tcW w:w="739" w:type="dxa"/>
            <w:vAlign w:val="center"/>
          </w:tcPr>
          <w:p w14:paraId="75AACC82">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5890" w:type="dxa"/>
          </w:tcPr>
          <w:p w14:paraId="34748D17">
            <w:pPr>
              <w:pStyle w:val="2"/>
              <w:ind w:firstLine="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对紧急事件（包括气象灾害、抗雪防冻、大型活动、节庆假日及其他突发事件）时的应急预案及相应的措施。</w:t>
            </w:r>
          </w:p>
          <w:p w14:paraId="76557A8D">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方案内容完整科学且具有可操作性的得5分；</w:t>
            </w:r>
          </w:p>
          <w:p w14:paraId="484B7333">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方案内容较为较完整科学与较具有可操作性的得4分；</w:t>
            </w:r>
          </w:p>
          <w:p w14:paraId="118F4EA9">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方案内容基本完整科学与基本具有可操作性的得3分；</w:t>
            </w:r>
          </w:p>
          <w:p w14:paraId="41C968C9">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方案内容与可操作性存在欠缺的得2分；</w:t>
            </w:r>
          </w:p>
          <w:p w14:paraId="66C5B41E">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方案内容缺失严重或与不太具有可操作性的得1分；</w:t>
            </w:r>
          </w:p>
          <w:p w14:paraId="499BDF94">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不提供不得分</w:t>
            </w:r>
            <w:r>
              <w:rPr>
                <w:rFonts w:hint="eastAsia" w:ascii="仿宋" w:hAnsi="仿宋" w:eastAsia="仿宋" w:cs="仿宋"/>
                <w:color w:val="auto"/>
                <w:sz w:val="24"/>
                <w:szCs w:val="24"/>
                <w:lang w:val="zh-CN"/>
              </w:rPr>
              <w:t>。</w:t>
            </w:r>
          </w:p>
        </w:tc>
        <w:tc>
          <w:tcPr>
            <w:tcW w:w="919" w:type="dxa"/>
            <w:vAlign w:val="center"/>
          </w:tcPr>
          <w:p w14:paraId="7BDD1431">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84" w:type="dxa"/>
            <w:vAlign w:val="center"/>
          </w:tcPr>
          <w:p w14:paraId="6B5C9D6D">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5904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1206" w:type="dxa"/>
            <w:vMerge w:val="continue"/>
            <w:vAlign w:val="center"/>
          </w:tcPr>
          <w:p w14:paraId="19B66267">
            <w:pPr>
              <w:pStyle w:val="2"/>
              <w:rPr>
                <w:rFonts w:hint="eastAsia" w:ascii="仿宋" w:hAnsi="仿宋" w:eastAsia="仿宋" w:cs="仿宋"/>
                <w:color w:val="auto"/>
                <w:sz w:val="24"/>
                <w:szCs w:val="24"/>
              </w:rPr>
            </w:pPr>
          </w:p>
        </w:tc>
        <w:tc>
          <w:tcPr>
            <w:tcW w:w="739" w:type="dxa"/>
            <w:vAlign w:val="center"/>
          </w:tcPr>
          <w:p w14:paraId="04E9B721">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5890" w:type="dxa"/>
          </w:tcPr>
          <w:p w14:paraId="152318D3">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⑴</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投标人派驻项目负责人有较强的管理能力和素质，具有全日制本科及以上学历并取得人社部颁发的高级职称的得2分，完成与本项目类似镇街清运管理经验项目的得1分，具有省级及以上政府部门颁发的与本项目相关个人荣誉的得1分，本项最高得4分。</w:t>
            </w:r>
          </w:p>
          <w:p w14:paraId="7E7C1417">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⑵</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、项目班组成员（除项目负责人）提供A1、A2或B2准驾驾驶证,20人及以上的得2分，10至19人的得1分，其余不得分。</w:t>
            </w:r>
          </w:p>
          <w:p w14:paraId="20BBB62D">
            <w:pPr>
              <w:pStyle w:val="2"/>
              <w:rPr>
                <w:color w:val="auto"/>
              </w:rPr>
            </w:pPr>
            <w:r>
              <w:rPr>
                <w:rFonts w:hint="eastAsia" w:ascii="仿宋" w:hAnsi="仿宋" w:eastAsia="仿宋" w:cs="仿宋"/>
                <w:color w:val="auto"/>
                <w:sz w:val="24"/>
                <w:szCs w:val="24"/>
              </w:rPr>
              <w:t>（投标文件中提供评分点所需的学历、职称和荣誉，全日制学历需提供学信网查询证明截图，投标文件中提供业绩中标公示网页及网址、合同、中标通知书和业主证明复印件，提供人员不能重复，若有重复只能按一人次计，</w:t>
            </w:r>
            <w:r>
              <w:rPr>
                <w:rFonts w:hint="eastAsia" w:ascii="仿宋" w:hAnsi="仿宋" w:eastAsia="仿宋" w:cs="仿宋"/>
                <w:color w:val="auto"/>
                <w:sz w:val="24"/>
                <w:szCs w:val="24"/>
                <w:lang w:val="zh-CN"/>
              </w:rPr>
              <w:t>提供</w:t>
            </w:r>
            <w:r>
              <w:rPr>
                <w:rFonts w:hint="eastAsia" w:ascii="仿宋" w:hAnsi="仿宋" w:eastAsia="仿宋" w:cs="仿宋"/>
                <w:color w:val="auto"/>
                <w:sz w:val="24"/>
                <w:szCs w:val="24"/>
              </w:rPr>
              <w:t>响应截止时间前</w:t>
            </w:r>
            <w:r>
              <w:rPr>
                <w:rFonts w:hint="eastAsia" w:ascii="仿宋" w:hAnsi="仿宋" w:eastAsia="仿宋" w:cs="仿宋"/>
                <w:color w:val="auto"/>
                <w:sz w:val="24"/>
                <w:szCs w:val="24"/>
                <w:lang w:val="zh-CN"/>
              </w:rPr>
              <w:t>三个月</w:t>
            </w:r>
            <w:r>
              <w:rPr>
                <w:rFonts w:hint="eastAsia" w:ascii="仿宋" w:hAnsi="仿宋" w:eastAsia="仿宋" w:cs="仿宋"/>
                <w:color w:val="auto"/>
                <w:sz w:val="24"/>
                <w:szCs w:val="24"/>
              </w:rPr>
              <w:t>中任意一个月</w:t>
            </w:r>
            <w:r>
              <w:rPr>
                <w:rFonts w:hint="eastAsia" w:ascii="仿宋" w:hAnsi="仿宋" w:eastAsia="仿宋" w:cs="仿宋"/>
                <w:color w:val="auto"/>
                <w:sz w:val="24"/>
                <w:szCs w:val="24"/>
                <w:lang w:val="zh-CN"/>
              </w:rPr>
              <w:t>经社保部门盖章的在</w:t>
            </w:r>
            <w:r>
              <w:rPr>
                <w:rFonts w:hint="eastAsia" w:ascii="仿宋" w:hAnsi="仿宋" w:eastAsia="仿宋" w:cs="仿宋"/>
                <w:color w:val="auto"/>
                <w:sz w:val="24"/>
                <w:szCs w:val="24"/>
              </w:rPr>
              <w:t>响应</w:t>
            </w:r>
            <w:r>
              <w:rPr>
                <w:rFonts w:hint="eastAsia" w:ascii="仿宋" w:hAnsi="仿宋" w:eastAsia="仿宋" w:cs="仿宋"/>
                <w:color w:val="auto"/>
                <w:sz w:val="24"/>
                <w:szCs w:val="24"/>
                <w:lang w:val="zh-CN"/>
              </w:rPr>
              <w:t>人处的参保到账凭证</w:t>
            </w:r>
            <w:r>
              <w:rPr>
                <w:rFonts w:hint="eastAsia" w:ascii="仿宋" w:hAnsi="仿宋" w:eastAsia="仿宋" w:cs="仿宋"/>
                <w:color w:val="auto"/>
                <w:sz w:val="24"/>
                <w:szCs w:val="24"/>
              </w:rPr>
              <w:t>及相应证书材料，未按要求提供证明材料的不得分)</w:t>
            </w:r>
          </w:p>
          <w:p w14:paraId="525EC128">
            <w:pPr>
              <w:jc w:val="left"/>
              <w:rPr>
                <w:color w:val="auto"/>
              </w:rPr>
            </w:pPr>
          </w:p>
        </w:tc>
        <w:tc>
          <w:tcPr>
            <w:tcW w:w="919" w:type="dxa"/>
            <w:vAlign w:val="center"/>
          </w:tcPr>
          <w:p w14:paraId="1825087B">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284" w:type="dxa"/>
            <w:vAlign w:val="center"/>
          </w:tcPr>
          <w:p w14:paraId="5FC30E34">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7E42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1206" w:type="dxa"/>
            <w:vMerge w:val="continue"/>
            <w:vAlign w:val="center"/>
          </w:tcPr>
          <w:p w14:paraId="28E9222A">
            <w:pPr>
              <w:pStyle w:val="2"/>
              <w:rPr>
                <w:rFonts w:hint="eastAsia" w:ascii="仿宋" w:hAnsi="仿宋" w:eastAsia="仿宋" w:cs="仿宋"/>
                <w:color w:val="auto"/>
                <w:sz w:val="24"/>
                <w:szCs w:val="24"/>
              </w:rPr>
            </w:pPr>
          </w:p>
        </w:tc>
        <w:tc>
          <w:tcPr>
            <w:tcW w:w="739" w:type="dxa"/>
            <w:vAlign w:val="center"/>
          </w:tcPr>
          <w:p w14:paraId="12D0615A">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5890" w:type="dxa"/>
          </w:tcPr>
          <w:p w14:paraId="5F338718">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⑴</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、投标人自有垃圾压缩车总运能180吨/天（每车每天运输按2趟计量）不得分；另外增加运量的，每增加10吨/天运量得1分，本项最高得4分。</w:t>
            </w:r>
          </w:p>
          <w:p w14:paraId="56D295E9">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⑵</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bookmarkStart w:id="28" w:name="OLE_LINK2"/>
            <w:r>
              <w:rPr>
                <w:rFonts w:hint="eastAsia" w:ascii="仿宋" w:hAnsi="仿宋" w:eastAsia="仿宋" w:cs="仿宋"/>
                <w:color w:val="auto"/>
                <w:sz w:val="24"/>
                <w:szCs w:val="24"/>
              </w:rPr>
              <w:t>投标人新购核定载质量7吨（不含）以上的垃圾压缩车和核定载质量2.4米（不含）以下小型垃圾压缩车两种车型为一组，自有四组的得1分，再增加1组每组得1分，本项最高得4分。</w:t>
            </w:r>
            <w:bookmarkEnd w:id="28"/>
          </w:p>
          <w:p w14:paraId="67CDDE97">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（运能按压缩车核定载质量每日2趟的总质量，投标文件中提供行驶证和车辆登记证复印件，自本项目招标公告发布后转入投标人的二手车辆均不计分）</w:t>
            </w:r>
          </w:p>
        </w:tc>
        <w:tc>
          <w:tcPr>
            <w:tcW w:w="919" w:type="dxa"/>
            <w:vAlign w:val="center"/>
          </w:tcPr>
          <w:p w14:paraId="5FE1239D">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284" w:type="dxa"/>
            <w:vAlign w:val="center"/>
          </w:tcPr>
          <w:p w14:paraId="5B20394A">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0541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4" w:hRule="atLeast"/>
          <w:jc w:val="center"/>
        </w:trPr>
        <w:tc>
          <w:tcPr>
            <w:tcW w:w="1206" w:type="dxa"/>
            <w:vMerge w:val="continue"/>
            <w:vAlign w:val="center"/>
          </w:tcPr>
          <w:p w14:paraId="627426FC">
            <w:pPr>
              <w:pStyle w:val="2"/>
              <w:rPr>
                <w:rFonts w:hint="eastAsia" w:ascii="仿宋" w:hAnsi="仿宋" w:eastAsia="仿宋" w:cs="仿宋"/>
                <w:color w:val="auto"/>
                <w:sz w:val="24"/>
                <w:szCs w:val="24"/>
              </w:rPr>
            </w:pPr>
          </w:p>
        </w:tc>
        <w:tc>
          <w:tcPr>
            <w:tcW w:w="739" w:type="dxa"/>
            <w:vAlign w:val="center"/>
          </w:tcPr>
          <w:p w14:paraId="1D086D7D">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5890" w:type="dxa"/>
          </w:tcPr>
          <w:p w14:paraId="675D0303">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应急保障能力：</w:t>
            </w:r>
          </w:p>
          <w:p w14:paraId="7649898A">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①投标人具有较强的应急车辆抢修能力，具有人社部门颁发的一级汽车维修工职业资格证书的每个得1分，本项最高得2分。</w:t>
            </w:r>
          </w:p>
          <w:p w14:paraId="7E2E7235">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②投标人具有较强的车辆应急抢修设备，自有工程救险车性质的车辆检修车的得2分，本项最高得2分。</w:t>
            </w:r>
          </w:p>
          <w:p w14:paraId="56E05DDA">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③投标人具有服务本项目的应急处置能力，自有垃圾消纳场地得3分，不提供的不得分，本项最高得3分。（提供投标单位人员在响应截止时间前</w:t>
            </w:r>
            <w:r>
              <w:rPr>
                <w:rFonts w:hint="eastAsia" w:ascii="仿宋" w:hAnsi="仿宋" w:eastAsia="仿宋" w:cs="仿宋"/>
                <w:color w:val="auto"/>
                <w:sz w:val="24"/>
                <w:szCs w:val="24"/>
                <w:lang w:val="zh-CN"/>
              </w:rPr>
              <w:t>三个月</w:t>
            </w:r>
            <w:r>
              <w:rPr>
                <w:rFonts w:hint="eastAsia" w:ascii="仿宋" w:hAnsi="仿宋" w:eastAsia="仿宋" w:cs="仿宋"/>
                <w:color w:val="auto"/>
                <w:sz w:val="24"/>
                <w:szCs w:val="24"/>
              </w:rPr>
              <w:t>中任意一个月</w:t>
            </w:r>
            <w:r>
              <w:rPr>
                <w:rFonts w:hint="eastAsia" w:ascii="仿宋" w:hAnsi="仿宋" w:eastAsia="仿宋" w:cs="仿宋"/>
                <w:color w:val="auto"/>
                <w:sz w:val="24"/>
                <w:szCs w:val="24"/>
                <w:lang w:val="zh-CN"/>
              </w:rPr>
              <w:t>经社保部门盖章的在</w:t>
            </w:r>
            <w:r>
              <w:rPr>
                <w:rFonts w:hint="eastAsia" w:ascii="仿宋" w:hAnsi="仿宋" w:eastAsia="仿宋" w:cs="仿宋"/>
                <w:color w:val="auto"/>
                <w:sz w:val="24"/>
                <w:szCs w:val="24"/>
              </w:rPr>
              <w:t>响应</w:t>
            </w:r>
            <w:r>
              <w:rPr>
                <w:rFonts w:hint="eastAsia" w:ascii="仿宋" w:hAnsi="仿宋" w:eastAsia="仿宋" w:cs="仿宋"/>
                <w:color w:val="auto"/>
                <w:sz w:val="24"/>
                <w:szCs w:val="24"/>
                <w:lang w:val="zh-CN"/>
              </w:rPr>
              <w:t>人处的参保到账凭证</w:t>
            </w:r>
            <w:r>
              <w:rPr>
                <w:rFonts w:hint="eastAsia" w:ascii="仿宋" w:hAnsi="仿宋" w:eastAsia="仿宋" w:cs="仿宋"/>
                <w:color w:val="auto"/>
                <w:sz w:val="24"/>
                <w:szCs w:val="24"/>
              </w:rPr>
              <w:t>及相应证书材料，车辆行驶证、车辆登记证书扫描件和提供车辆前后左右照片，工程救险车以行驶证上使用性质为准，提供评分点所需的职业资格证书扫描件，并提供</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"http://zscx.osta.org.cn/"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http://zscx.osta.org.cn/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网站查询截图，提供政府部门颁发的消纳场地登记证明，投标文件中提供相关证明材料扫描件。）</w:t>
            </w:r>
          </w:p>
        </w:tc>
        <w:tc>
          <w:tcPr>
            <w:tcW w:w="919" w:type="dxa"/>
            <w:vAlign w:val="center"/>
          </w:tcPr>
          <w:p w14:paraId="787D651C">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284" w:type="dxa"/>
            <w:vAlign w:val="center"/>
          </w:tcPr>
          <w:p w14:paraId="7D9CD91B">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3505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jc w:val="center"/>
        </w:trPr>
        <w:tc>
          <w:tcPr>
            <w:tcW w:w="1206" w:type="dxa"/>
            <w:vMerge w:val="continue"/>
            <w:vAlign w:val="center"/>
          </w:tcPr>
          <w:p w14:paraId="4AD8080B">
            <w:pPr>
              <w:pStyle w:val="2"/>
              <w:rPr>
                <w:rFonts w:hint="eastAsia" w:ascii="仿宋" w:hAnsi="仿宋" w:eastAsia="仿宋" w:cs="仿宋"/>
                <w:color w:val="auto"/>
                <w:sz w:val="24"/>
                <w:szCs w:val="24"/>
              </w:rPr>
            </w:pPr>
          </w:p>
        </w:tc>
        <w:tc>
          <w:tcPr>
            <w:tcW w:w="739" w:type="dxa"/>
            <w:vAlign w:val="center"/>
          </w:tcPr>
          <w:p w14:paraId="5CB97459">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5890" w:type="dxa"/>
          </w:tcPr>
          <w:p w14:paraId="51B158D1">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根据投标单位针对本项目提出的合理化建议等综合评定。</w:t>
            </w:r>
          </w:p>
          <w:p w14:paraId="1BA925A4">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方案内容完整科学且具有可操作性的得5分；</w:t>
            </w:r>
          </w:p>
          <w:p w14:paraId="4315C4A4">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方案内容较为较完整科学与较具有可操作性的得4分；</w:t>
            </w:r>
          </w:p>
          <w:p w14:paraId="3525AD08">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方案内容基本完整科学与基本具有可操作性的得3分；</w:t>
            </w:r>
          </w:p>
          <w:p w14:paraId="016BE380">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方案内容与可操作性存在欠缺的得2分；</w:t>
            </w:r>
          </w:p>
          <w:p w14:paraId="230365F1">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方案内容缺失严重或与不太具有可操作性的得1分；</w:t>
            </w:r>
          </w:p>
          <w:p w14:paraId="546A8A1E">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不提供不得分</w:t>
            </w:r>
            <w:r>
              <w:rPr>
                <w:rFonts w:hint="eastAsia" w:ascii="仿宋" w:hAnsi="仿宋" w:eastAsia="仿宋" w:cs="仿宋"/>
                <w:color w:val="auto"/>
                <w:sz w:val="24"/>
                <w:szCs w:val="24"/>
                <w:lang w:val="zh-CN"/>
              </w:rPr>
              <w:t>。</w:t>
            </w:r>
          </w:p>
        </w:tc>
        <w:tc>
          <w:tcPr>
            <w:tcW w:w="919" w:type="dxa"/>
            <w:vAlign w:val="center"/>
          </w:tcPr>
          <w:p w14:paraId="164195C1">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84" w:type="dxa"/>
            <w:vAlign w:val="center"/>
          </w:tcPr>
          <w:p w14:paraId="6D1AB7AC">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738D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jc w:val="center"/>
        </w:trPr>
        <w:tc>
          <w:tcPr>
            <w:tcW w:w="1206" w:type="dxa"/>
            <w:vMerge w:val="continue"/>
            <w:vAlign w:val="center"/>
          </w:tcPr>
          <w:p w14:paraId="20F30585">
            <w:pPr>
              <w:pStyle w:val="2"/>
              <w:rPr>
                <w:rFonts w:hint="eastAsia" w:ascii="仿宋" w:hAnsi="仿宋" w:eastAsia="仿宋" w:cs="仿宋"/>
                <w:color w:val="auto"/>
                <w:sz w:val="24"/>
                <w:szCs w:val="24"/>
              </w:rPr>
            </w:pPr>
          </w:p>
        </w:tc>
        <w:tc>
          <w:tcPr>
            <w:tcW w:w="739" w:type="dxa"/>
            <w:vAlign w:val="center"/>
          </w:tcPr>
          <w:p w14:paraId="26278E4B">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5890" w:type="dxa"/>
          </w:tcPr>
          <w:p w14:paraId="568A97F4">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根据投标人在服务过程中质量保障方案及安全生产保障手段（包括但不限于管理教育保障、人员供应保障、人员稳定保障等）的合理性、科学性、全面性进行评分。</w:t>
            </w:r>
          </w:p>
          <w:p w14:paraId="1DF45B23">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方案内容完整且与项目匹配度好的得5分；</w:t>
            </w:r>
          </w:p>
          <w:p w14:paraId="42590BFB">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方案内容较为较完整与项目匹配度较好的得4分；</w:t>
            </w:r>
          </w:p>
          <w:p w14:paraId="6D2D73D9">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方案内容基本完整与项目基本匹配的得3分；</w:t>
            </w:r>
          </w:p>
          <w:p w14:paraId="03C2399B">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方案内容与项目匹配度存在欠缺的得2分；</w:t>
            </w:r>
          </w:p>
          <w:p w14:paraId="4D28A6D4">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方案内容缺失严重或与项目不匹配的得1分；</w:t>
            </w:r>
          </w:p>
          <w:p w14:paraId="2B9503B6">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不提供不得分</w:t>
            </w:r>
            <w:r>
              <w:rPr>
                <w:rFonts w:hint="eastAsia" w:ascii="仿宋" w:hAnsi="仿宋" w:eastAsia="仿宋" w:cs="仿宋"/>
                <w:color w:val="auto"/>
                <w:sz w:val="24"/>
                <w:szCs w:val="24"/>
                <w:lang w:val="zh-CN"/>
              </w:rPr>
              <w:t>。</w:t>
            </w:r>
          </w:p>
        </w:tc>
        <w:tc>
          <w:tcPr>
            <w:tcW w:w="919" w:type="dxa"/>
            <w:vAlign w:val="center"/>
          </w:tcPr>
          <w:p w14:paraId="0EBC17CA">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84" w:type="dxa"/>
            <w:vAlign w:val="center"/>
          </w:tcPr>
          <w:p w14:paraId="60E95C79">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7661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jc w:val="center"/>
        </w:trPr>
        <w:tc>
          <w:tcPr>
            <w:tcW w:w="1206" w:type="dxa"/>
            <w:vMerge w:val="continue"/>
            <w:vAlign w:val="center"/>
          </w:tcPr>
          <w:p w14:paraId="16B6620A">
            <w:pPr>
              <w:pStyle w:val="2"/>
              <w:rPr>
                <w:rFonts w:hint="eastAsia" w:ascii="仿宋" w:hAnsi="仿宋" w:eastAsia="仿宋" w:cs="仿宋"/>
                <w:color w:val="auto"/>
                <w:sz w:val="24"/>
                <w:szCs w:val="24"/>
              </w:rPr>
            </w:pPr>
          </w:p>
        </w:tc>
        <w:tc>
          <w:tcPr>
            <w:tcW w:w="739" w:type="dxa"/>
            <w:vAlign w:val="center"/>
          </w:tcPr>
          <w:p w14:paraId="6DDBC636">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5890" w:type="dxa"/>
          </w:tcPr>
          <w:p w14:paraId="235008BE">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根据投标人在服务过程中文明管理方案的合理性、科学性、全面性进行评分。</w:t>
            </w:r>
          </w:p>
          <w:p w14:paraId="506C3611">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方案内容完整且与项目匹配度好的得5分；</w:t>
            </w:r>
          </w:p>
          <w:p w14:paraId="62630A3B">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方案内容较为较完整与项目匹配度较好的得4分；</w:t>
            </w:r>
          </w:p>
          <w:p w14:paraId="0C8C7465">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方案内容基本完整与项目基本匹配的得3分；</w:t>
            </w:r>
          </w:p>
          <w:p w14:paraId="0359FCF2">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方案内容与项目匹配度存在欠缺的得2分；</w:t>
            </w:r>
          </w:p>
          <w:p w14:paraId="2E497082">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方案内容缺失严重或与项目不匹配的得1分；</w:t>
            </w:r>
          </w:p>
          <w:p w14:paraId="526E0597">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不提供不得分</w:t>
            </w:r>
            <w:r>
              <w:rPr>
                <w:rFonts w:hint="eastAsia" w:ascii="仿宋" w:hAnsi="仿宋" w:eastAsia="仿宋" w:cs="仿宋"/>
                <w:color w:val="auto"/>
                <w:sz w:val="24"/>
                <w:szCs w:val="24"/>
                <w:lang w:val="zh-CN"/>
              </w:rPr>
              <w:t>。</w:t>
            </w:r>
          </w:p>
        </w:tc>
        <w:tc>
          <w:tcPr>
            <w:tcW w:w="919" w:type="dxa"/>
            <w:vAlign w:val="center"/>
          </w:tcPr>
          <w:p w14:paraId="61D94DF1">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84" w:type="dxa"/>
            <w:vAlign w:val="center"/>
          </w:tcPr>
          <w:p w14:paraId="688FF974">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7A29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4" w:hRule="atLeast"/>
          <w:jc w:val="center"/>
        </w:trPr>
        <w:tc>
          <w:tcPr>
            <w:tcW w:w="1206" w:type="dxa"/>
            <w:vMerge w:val="continue"/>
            <w:vAlign w:val="center"/>
          </w:tcPr>
          <w:p w14:paraId="21362C29">
            <w:pPr>
              <w:pStyle w:val="2"/>
              <w:rPr>
                <w:rFonts w:hint="eastAsia" w:ascii="仿宋" w:hAnsi="仿宋" w:eastAsia="仿宋" w:cs="仿宋"/>
                <w:color w:val="auto"/>
                <w:sz w:val="24"/>
                <w:szCs w:val="24"/>
              </w:rPr>
            </w:pPr>
          </w:p>
        </w:tc>
        <w:tc>
          <w:tcPr>
            <w:tcW w:w="739" w:type="dxa"/>
            <w:vAlign w:val="center"/>
          </w:tcPr>
          <w:p w14:paraId="3648F63D">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890" w:type="dxa"/>
          </w:tcPr>
          <w:p w14:paraId="281B57BB">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根据投标人为本项目制定了完善的培训方案（包括但不限于培训时间安排、培训人员、培训技术力量等）的合理性、科学性、全面性进行评分。</w:t>
            </w:r>
          </w:p>
          <w:p w14:paraId="3C01650B">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方案内容完整且与项目匹配度好的得5分；</w:t>
            </w:r>
          </w:p>
          <w:p w14:paraId="1C8E351C">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方案内容较为较完整与项目匹配度较好的得4分；</w:t>
            </w:r>
          </w:p>
          <w:p w14:paraId="16982C0C">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方案内容基本完整与项目基本匹配的得3分；</w:t>
            </w:r>
          </w:p>
          <w:p w14:paraId="66DE76AA">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方案内容与项目匹配度存在欠缺的得2分；</w:t>
            </w:r>
          </w:p>
          <w:p w14:paraId="7F7B3B55">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方案内容缺失严重或与项目不匹配的得1分；</w:t>
            </w:r>
          </w:p>
          <w:p w14:paraId="35A03B71">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不提供不得分</w:t>
            </w:r>
            <w:r>
              <w:rPr>
                <w:rFonts w:hint="eastAsia" w:ascii="仿宋" w:hAnsi="仿宋" w:eastAsia="仿宋" w:cs="仿宋"/>
                <w:color w:val="auto"/>
                <w:sz w:val="24"/>
                <w:szCs w:val="24"/>
                <w:lang w:val="zh-CN"/>
              </w:rPr>
              <w:t>。</w:t>
            </w:r>
          </w:p>
        </w:tc>
        <w:tc>
          <w:tcPr>
            <w:tcW w:w="919" w:type="dxa"/>
            <w:vAlign w:val="center"/>
          </w:tcPr>
          <w:p w14:paraId="5F1538CA">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84" w:type="dxa"/>
            <w:vAlign w:val="center"/>
          </w:tcPr>
          <w:p w14:paraId="4C3075F3">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502A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1206" w:type="dxa"/>
            <w:vMerge w:val="continue"/>
            <w:vAlign w:val="center"/>
          </w:tcPr>
          <w:p w14:paraId="2DC1357D">
            <w:pPr>
              <w:pStyle w:val="2"/>
              <w:rPr>
                <w:rFonts w:hint="eastAsia" w:ascii="仿宋" w:hAnsi="仿宋" w:eastAsia="仿宋" w:cs="仿宋"/>
                <w:color w:val="auto"/>
                <w:sz w:val="24"/>
                <w:szCs w:val="24"/>
              </w:rPr>
            </w:pPr>
          </w:p>
        </w:tc>
        <w:tc>
          <w:tcPr>
            <w:tcW w:w="739" w:type="dxa"/>
            <w:vAlign w:val="center"/>
          </w:tcPr>
          <w:p w14:paraId="682DC444">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5890" w:type="dxa"/>
          </w:tcPr>
          <w:p w14:paraId="3ECF45F6">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投标人能够对本项目有数字化管理的，</w:t>
            </w:r>
            <w:bookmarkStart w:id="29" w:name="OLE_LINK4"/>
            <w:r>
              <w:rPr>
                <w:rFonts w:hint="eastAsia" w:ascii="仿宋" w:hAnsi="仿宋" w:eastAsia="仿宋" w:cs="仿宋"/>
                <w:color w:val="auto"/>
                <w:sz w:val="24"/>
                <w:szCs w:val="24"/>
              </w:rPr>
              <w:t>自有</w:t>
            </w:r>
            <w:bookmarkEnd w:id="29"/>
            <w:r>
              <w:rPr>
                <w:rFonts w:hint="eastAsia" w:ascii="仿宋" w:hAnsi="仿宋" w:eastAsia="仿宋" w:cs="仿宋"/>
                <w:color w:val="auto"/>
                <w:sz w:val="24"/>
                <w:szCs w:val="24"/>
              </w:rPr>
              <w:t>的数字化系统适用于本项目智能化管理的得1分，</w:t>
            </w:r>
            <w:bookmarkStart w:id="30" w:name="OLE_LINK3"/>
            <w:r>
              <w:rPr>
                <w:rFonts w:hint="eastAsia" w:ascii="仿宋" w:hAnsi="仿宋" w:eastAsia="仿宋" w:cs="仿宋"/>
                <w:color w:val="auto"/>
                <w:sz w:val="24"/>
                <w:szCs w:val="24"/>
              </w:rPr>
              <w:t>自有的数字化系统</w:t>
            </w:r>
            <w:bookmarkEnd w:id="30"/>
            <w:r>
              <w:rPr>
                <w:rFonts w:hint="eastAsia" w:ascii="仿宋" w:hAnsi="仿宋" w:eastAsia="仿宋" w:cs="仿宋"/>
                <w:color w:val="auto"/>
                <w:sz w:val="24"/>
                <w:szCs w:val="24"/>
              </w:rPr>
              <w:t>通过计算机软件著作权登记证书的得1分，自有的数字化系统通过公安部门《信息系统安全等级保护备案证明》得1分，每项不重复得分，本项最高得3分。【证明材料：提供系统软件开发合同、发票、软件著作权和《信息系统安全等级保护备案证明》复印件以及系统总界面和分界面截图】</w:t>
            </w:r>
          </w:p>
        </w:tc>
        <w:tc>
          <w:tcPr>
            <w:tcW w:w="919" w:type="dxa"/>
            <w:vAlign w:val="center"/>
          </w:tcPr>
          <w:p w14:paraId="30BBBF5E">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84" w:type="dxa"/>
            <w:vAlign w:val="center"/>
          </w:tcPr>
          <w:p w14:paraId="2DA93A30">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496A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1206" w:type="dxa"/>
            <w:vAlign w:val="center"/>
          </w:tcPr>
          <w:p w14:paraId="78C394B5">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价格分</w:t>
            </w:r>
          </w:p>
          <w:p w14:paraId="022CCF6E">
            <w:pPr>
              <w:pStyle w:val="2"/>
              <w:rPr>
                <w:rFonts w:hint="eastAsia" w:ascii="仿宋" w:hAnsi="仿宋" w:eastAsia="仿宋" w:cs="仿宋"/>
                <w:color w:val="auto"/>
                <w:sz w:val="24"/>
                <w:szCs w:val="24"/>
              </w:rPr>
            </w:pPr>
          </w:p>
        </w:tc>
        <w:tc>
          <w:tcPr>
            <w:tcW w:w="739" w:type="dxa"/>
            <w:vAlign w:val="center"/>
          </w:tcPr>
          <w:p w14:paraId="0C1E6331">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价格权值</w:t>
            </w:r>
          </w:p>
        </w:tc>
        <w:tc>
          <w:tcPr>
            <w:tcW w:w="5890" w:type="dxa"/>
          </w:tcPr>
          <w:p w14:paraId="04CFF313">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最低有效投标价格为评标基准价</w:t>
            </w:r>
          </w:p>
          <w:p w14:paraId="38ACC0B6">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投标报价得分=(评标基准价／投标报价)×价格权值×100 </w:t>
            </w:r>
          </w:p>
          <w:p w14:paraId="5669E621">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（计算得分保留小数点后2位）</w:t>
            </w:r>
          </w:p>
          <w:p w14:paraId="37AE5508">
            <w:pPr>
              <w:pStyle w:val="2"/>
              <w:ind w:firstLine="0"/>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tc>
        <w:tc>
          <w:tcPr>
            <w:tcW w:w="919" w:type="dxa"/>
            <w:vAlign w:val="center"/>
          </w:tcPr>
          <w:p w14:paraId="3600F3F7">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bookmarkStart w:id="144" w:name="_GoBack"/>
            <w:bookmarkEnd w:id="144"/>
          </w:p>
        </w:tc>
        <w:tc>
          <w:tcPr>
            <w:tcW w:w="1284" w:type="dxa"/>
            <w:vAlign w:val="center"/>
          </w:tcPr>
          <w:p w14:paraId="5D9C1F53">
            <w:pPr>
              <w:pStyle w:val="2"/>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bl>
    <w:p w14:paraId="181A192A">
      <w:pPr>
        <w:spacing w:line="360" w:lineRule="auto"/>
        <w:rPr>
          <w:rFonts w:hint="eastAsia" w:ascii="仿宋" w:hAnsi="仿宋" w:eastAsia="仿宋" w:cs="仿宋"/>
          <w:color w:val="auto"/>
          <w:sz w:val="24"/>
        </w:rPr>
      </w:pPr>
      <w:r>
        <w:rPr>
          <w:rFonts w:hint="eastAsia" w:ascii="仿宋" w:hAnsi="仿宋" w:eastAsia="仿宋" w:cs="仿宋"/>
          <w:color w:val="auto"/>
          <w:sz w:val="20"/>
          <w:szCs w:val="20"/>
          <w:shd w:val="clear" w:color="auto" w:fill="FFFFFF"/>
        </w:rPr>
        <w:t>*</w:t>
      </w:r>
      <w:r>
        <w:rPr>
          <w:rFonts w:hint="eastAsia" w:ascii="仿宋" w:hAnsi="仿宋" w:eastAsia="仿宋" w:cs="仿宋"/>
          <w:color w:val="auto"/>
          <w:sz w:val="24"/>
        </w:rPr>
        <w:t xml:space="preserve">备注：1、投标人编制投标文件（商务技术文件部分）时，建议按此目录（序号和内容）提供评标标准相应的商务技术资料。 </w:t>
      </w:r>
    </w:p>
    <w:p w14:paraId="3C441442">
      <w:pPr>
        <w:spacing w:line="360" w:lineRule="auto"/>
        <w:rPr>
          <w:rFonts w:hint="eastAsia" w:ascii="仿宋" w:hAnsi="仿宋" w:eastAsia="仿宋" w:cs="仿宋"/>
          <w:color w:val="auto"/>
          <w:sz w:val="24"/>
        </w:rPr>
      </w:pPr>
      <w:r>
        <w:rPr>
          <w:rFonts w:hint="eastAsia" w:ascii="仿宋" w:hAnsi="仿宋" w:eastAsia="仿宋" w:cs="仿宋"/>
          <w:color w:val="auto"/>
          <w:sz w:val="24"/>
        </w:rPr>
        <w:t>2、评分条款中涉及的业绩、荣誉、人员、社保等分公司均有效。涉及社保、劳动关系证明关系的，如人员为法人代表，则无需提供相关证明，提供营业执照及身份证。</w:t>
      </w:r>
    </w:p>
    <w:p w14:paraId="1ACA0411">
      <w:pPr>
        <w:spacing w:line="360" w:lineRule="auto"/>
        <w:rPr>
          <w:rFonts w:hint="eastAsia" w:ascii="仿宋" w:hAnsi="仿宋" w:eastAsia="仿宋" w:cs="仿宋"/>
          <w:color w:val="auto"/>
          <w:sz w:val="24"/>
        </w:rPr>
      </w:pPr>
      <w:r>
        <w:rPr>
          <w:rFonts w:hint="eastAsia" w:ascii="仿宋" w:hAnsi="仿宋" w:eastAsia="仿宋" w:cs="仿宋"/>
          <w:color w:val="auto"/>
          <w:sz w:val="24"/>
        </w:rPr>
        <w:t>3、投标文件中如附有外文资料，必须逐一对应翻译成中文并加盖投标人公章后附在相关外文资料后面，否则外文资料不予认可。</w:t>
      </w:r>
    </w:p>
    <w:p w14:paraId="530ABCB8">
      <w:pPr>
        <w:pStyle w:val="61"/>
        <w:ind w:firstLine="420"/>
        <w:rPr>
          <w:rFonts w:hint="eastAsia"/>
          <w:color w:val="auto"/>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bookmarkEnd w:id="25"/>
    <w:p w14:paraId="5DF6AFB1">
      <w:pPr>
        <w:snapToGrid w:val="0"/>
        <w:spacing w:line="360" w:lineRule="auto"/>
        <w:rPr>
          <w:rFonts w:hint="eastAsia" w:ascii="仿宋" w:hAnsi="仿宋" w:eastAsia="仿宋" w:cs="仿宋"/>
          <w:b/>
          <w:color w:val="auto"/>
          <w:sz w:val="28"/>
          <w:szCs w:val="28"/>
        </w:rPr>
      </w:pPr>
      <w:bookmarkStart w:id="31" w:name="第五部分"/>
      <w:bookmarkStart w:id="32" w:name="_Toc86217003"/>
      <w:r>
        <w:rPr>
          <w:rFonts w:hint="eastAsia" w:ascii="仿宋" w:hAnsi="仿宋" w:eastAsia="仿宋" w:cs="仿宋"/>
          <w:b/>
          <w:color w:val="auto"/>
          <w:sz w:val="32"/>
        </w:rPr>
        <w:t>一、评标方法</w:t>
      </w:r>
    </w:p>
    <w:p w14:paraId="5BBEF2C4">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47741E65">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4CBEF6B0">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550A8A4A">
      <w:pPr>
        <w:spacing w:line="360" w:lineRule="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三、评标程序</w:t>
      </w:r>
    </w:p>
    <w:p w14:paraId="1068163F">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042A2EC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615245FD">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2C53DABF">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27FB9114">
      <w:pPr>
        <w:pStyle w:val="129"/>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78F96EE0">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141F7393">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15A18CF8">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71A9D344">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1B1ADB5B">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05DEB14">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5E1040D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3095865A">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34FEE47">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C7513DA">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28767FE">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AD2DEC">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w:t>
      </w:r>
      <w:r>
        <w:rPr>
          <w:rFonts w:hint="eastAsia" w:ascii="仿宋" w:hAnsi="仿宋" w:eastAsia="仿宋" w:cs="仿宋"/>
          <w:bCs/>
          <w:color w:val="auto"/>
          <w:kern w:val="0"/>
          <w:sz w:val="24"/>
        </w:rPr>
        <w:t>6</w:t>
      </w:r>
      <w:r>
        <w:rPr>
          <w:rFonts w:hint="eastAsia" w:ascii="仿宋" w:hAnsi="仿宋" w:eastAsia="仿宋" w:cs="仿宋"/>
          <w:b/>
          <w:color w:val="auto"/>
          <w:kern w:val="0"/>
          <w:sz w:val="24"/>
        </w:rPr>
        <w:t>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C7AED8">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448B74E7">
      <w:pPr>
        <w:pStyle w:val="129"/>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1092FE">
      <w:pPr>
        <w:pStyle w:val="25"/>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14:paraId="57E3E24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5C6CACFC">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50352EA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234C17E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393E0B8E">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1C4E0C1F">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7933CA5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 投标报价低于项目预算50%，未在报价文件中详细阐述不影响产品质量或者诚信履约的具体原因的；</w:t>
      </w:r>
    </w:p>
    <w:p w14:paraId="52E5631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45171EEE">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230A656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60E2060D">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14:paraId="5A0EF970">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0"/>
          <w:sz w:val="24"/>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0B8419EE">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4.2.13投标人仅提交备份投标文件，未在电子交易平台传输递交投标文件的，投标无效；</w:t>
      </w:r>
    </w:p>
    <w:p w14:paraId="65E3639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4.2.14投标人未提供样品或提供的样品不满足采购需求实质性条件的，投标无效；</w:t>
      </w:r>
    </w:p>
    <w:p w14:paraId="5F6FED5F">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0"/>
          <w:sz w:val="24"/>
        </w:rPr>
        <w:t>4.2.15投标文件不满足招标文件的实质性要求的；</w:t>
      </w:r>
    </w:p>
    <w:p w14:paraId="63F22FB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4.2.16法律、法规、规章（适用本市的）及省级以上规范性文件（适用本市的）规定的其他无效情形。</w:t>
      </w:r>
    </w:p>
    <w:p w14:paraId="5D1DC0B8">
      <w:pPr>
        <w:pStyle w:val="25"/>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59773DFD">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4E92095F">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537E6205">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328331DC">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6E1C88CE">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废标后，采购代理机构应当将废标理由通知所有投标人。</w:t>
      </w:r>
    </w:p>
    <w:p w14:paraId="57B93667">
      <w:pPr>
        <w:pStyle w:val="25"/>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768F916">
      <w:pPr>
        <w:pStyle w:val="25"/>
        <w:snapToGrid w:val="0"/>
        <w:spacing w:line="36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14:paraId="1128C1DF">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14:paraId="63A24BAC">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14:paraId="643DE025">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14:paraId="34CCE367">
      <w:pPr>
        <w:pStyle w:val="25"/>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14:paraId="333CB8D7">
      <w:pPr>
        <w:spacing w:line="360" w:lineRule="auto"/>
        <w:ind w:firstLine="420"/>
        <w:outlineLvl w:val="0"/>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sz w:val="24"/>
        </w:rPr>
        <w:t>5政府采购当事人有其他违反政府采购法或者政府采购法实施条例等法律法规规定的行为，经改正后仍然影响或者可能影响中标结果或者依法被认定为中标无效的，依照7.1-7.4规定处理。</w:t>
      </w:r>
    </w:p>
    <w:p w14:paraId="3B8BE274">
      <w:pPr>
        <w:rPr>
          <w:rFonts w:hint="eastAsia" w:ascii="仿宋" w:hAnsi="仿宋" w:eastAsia="仿宋" w:cs="仿宋"/>
          <w:color w:val="auto"/>
        </w:rPr>
      </w:pPr>
      <w:r>
        <w:rPr>
          <w:rFonts w:hint="eastAsia" w:ascii="仿宋" w:hAnsi="仿宋" w:eastAsia="仿宋" w:cs="仿宋"/>
          <w:color w:val="auto"/>
        </w:rPr>
        <w:br w:type="page"/>
      </w:r>
    </w:p>
    <w:p w14:paraId="007B4786">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拟签订的合同文本</w:t>
      </w:r>
    </w:p>
    <w:p w14:paraId="147388D1">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2F54890D">
      <w:pPr>
        <w:pStyle w:val="4"/>
        <w:ind w:left="0" w:firstLine="0"/>
        <w:rPr>
          <w:rFonts w:hint="eastAsia" w:ascii="仿宋" w:eastAsia="仿宋" w:cs="仿宋"/>
          <w:color w:val="auto"/>
        </w:rPr>
      </w:pPr>
    </w:p>
    <w:p w14:paraId="591A95DE">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6BF45B8C">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1868EF9D">
      <w:pPr>
        <w:pStyle w:val="700"/>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0CBD274A">
      <w:pPr>
        <w:spacing w:before="120" w:line="22" w:lineRule="atLeast"/>
        <w:rPr>
          <w:rFonts w:hint="eastAsia" w:ascii="仿宋" w:hAnsi="仿宋" w:eastAsia="仿宋" w:cs="仿宋"/>
          <w:color w:val="auto"/>
          <w:sz w:val="24"/>
        </w:rPr>
      </w:pPr>
    </w:p>
    <w:p w14:paraId="4F98FFC6">
      <w:pPr>
        <w:pStyle w:val="4"/>
        <w:rPr>
          <w:rFonts w:hint="eastAsia" w:ascii="仿宋" w:eastAsia="仿宋" w:cs="仿宋"/>
          <w:color w:val="auto"/>
        </w:rPr>
      </w:pPr>
    </w:p>
    <w:p w14:paraId="3B992A1E">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7DF19CE8">
      <w:pPr>
        <w:pStyle w:val="597"/>
        <w:spacing w:before="120" w:line="22" w:lineRule="atLeast"/>
        <w:rPr>
          <w:rFonts w:hint="eastAsia" w:ascii="仿宋" w:hAnsi="仿宋" w:eastAsia="仿宋" w:cs="仿宋"/>
          <w:color w:val="auto"/>
          <w:szCs w:val="24"/>
        </w:rPr>
      </w:pPr>
    </w:p>
    <w:p w14:paraId="391D7295">
      <w:pPr>
        <w:pStyle w:val="597"/>
        <w:spacing w:before="120" w:line="22" w:lineRule="atLeast"/>
        <w:rPr>
          <w:rFonts w:hint="eastAsia" w:ascii="仿宋" w:hAnsi="仿宋" w:eastAsia="仿宋" w:cs="仿宋"/>
          <w:color w:val="auto"/>
          <w:szCs w:val="24"/>
        </w:rPr>
      </w:pPr>
    </w:p>
    <w:p w14:paraId="39C1932C">
      <w:pPr>
        <w:rPr>
          <w:rFonts w:hint="eastAsia" w:ascii="仿宋" w:hAnsi="仿宋" w:eastAsia="仿宋" w:cs="仿宋"/>
          <w:color w:val="auto"/>
          <w:sz w:val="24"/>
        </w:rPr>
      </w:pPr>
    </w:p>
    <w:p w14:paraId="5237DF0B">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44747D97">
      <w:pPr>
        <w:spacing w:before="120" w:line="22" w:lineRule="atLeast"/>
        <w:rPr>
          <w:rFonts w:hint="eastAsia" w:ascii="仿宋" w:hAnsi="仿宋" w:eastAsia="仿宋" w:cs="仿宋"/>
          <w:color w:val="auto"/>
          <w:sz w:val="24"/>
        </w:rPr>
      </w:pPr>
    </w:p>
    <w:p w14:paraId="4402E678">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3E50508D">
      <w:pPr>
        <w:spacing w:before="120" w:line="22" w:lineRule="atLeast"/>
        <w:rPr>
          <w:rFonts w:hint="eastAsia" w:ascii="仿宋" w:hAnsi="仿宋" w:eastAsia="仿宋" w:cs="仿宋"/>
          <w:color w:val="auto"/>
          <w:sz w:val="24"/>
        </w:rPr>
      </w:pPr>
    </w:p>
    <w:p w14:paraId="2A2F0B96">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69DC5594">
      <w:pPr>
        <w:spacing w:before="120" w:line="22" w:lineRule="atLeast"/>
        <w:rPr>
          <w:rFonts w:hint="eastAsia" w:ascii="仿宋" w:hAnsi="仿宋" w:eastAsia="仿宋" w:cs="仿宋"/>
          <w:color w:val="auto"/>
          <w:sz w:val="24"/>
        </w:rPr>
      </w:pPr>
    </w:p>
    <w:p w14:paraId="44CBF1AC">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5F032455">
      <w:pPr>
        <w:rPr>
          <w:rFonts w:hint="eastAsia" w:ascii="仿宋" w:hAnsi="仿宋" w:eastAsia="仿宋" w:cs="仿宋"/>
          <w:b/>
          <w:color w:val="auto"/>
          <w:sz w:val="24"/>
        </w:rPr>
      </w:pPr>
      <w:r>
        <w:rPr>
          <w:rFonts w:hint="eastAsia" w:ascii="仿宋" w:hAnsi="仿宋" w:eastAsia="仿宋" w:cs="仿宋"/>
          <w:b/>
          <w:color w:val="auto"/>
          <w:sz w:val="24"/>
        </w:rPr>
        <w:br w:type="page"/>
      </w:r>
    </w:p>
    <w:p w14:paraId="1695AA5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杭州市萧山区人民政府新街街道办事处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新街街道全域生活垃圾清运服务项目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14:paraId="06B4C72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杭州市萧山区人民政府新街街道办事处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60495DE3">
      <w:pPr>
        <w:spacing w:line="560" w:lineRule="exact"/>
        <w:ind w:firstLine="482" w:firstLineChars="200"/>
        <w:outlineLvl w:val="0"/>
        <w:rPr>
          <w:rFonts w:hint="eastAsia" w:ascii="仿宋" w:hAnsi="仿宋" w:eastAsia="仿宋" w:cs="仿宋"/>
          <w:color w:val="auto"/>
          <w:sz w:val="24"/>
        </w:rPr>
      </w:pPr>
      <w:bookmarkStart w:id="33" w:name="_Toc19273"/>
      <w:bookmarkStart w:id="34" w:name="_Toc20421"/>
      <w:bookmarkStart w:id="35" w:name="_Toc22967"/>
      <w:bookmarkStart w:id="36" w:name="_Toc15367"/>
      <w:bookmarkStart w:id="37" w:name="_Toc28855"/>
      <w:r>
        <w:rPr>
          <w:rFonts w:hint="eastAsia" w:ascii="仿宋" w:hAnsi="仿宋" w:eastAsia="仿宋" w:cs="仿宋"/>
          <w:b/>
          <w:color w:val="auto"/>
          <w:sz w:val="24"/>
        </w:rPr>
        <w:t>1.1 合同组成部分</w:t>
      </w:r>
      <w:bookmarkEnd w:id="33"/>
      <w:bookmarkEnd w:id="34"/>
      <w:bookmarkEnd w:id="35"/>
      <w:bookmarkEnd w:id="36"/>
      <w:bookmarkEnd w:id="37"/>
    </w:p>
    <w:p w14:paraId="79A3C02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10821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065AD2F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655C332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1D2469A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18F6859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446EA0E1">
      <w:pPr>
        <w:spacing w:line="560" w:lineRule="exact"/>
        <w:ind w:firstLine="482" w:firstLineChars="200"/>
        <w:outlineLvl w:val="0"/>
        <w:rPr>
          <w:rFonts w:hint="eastAsia" w:ascii="仿宋" w:hAnsi="仿宋" w:eastAsia="仿宋" w:cs="仿宋"/>
          <w:b/>
          <w:color w:val="auto"/>
          <w:sz w:val="24"/>
        </w:rPr>
      </w:pPr>
      <w:bookmarkStart w:id="38" w:name="_Toc6773"/>
      <w:bookmarkStart w:id="39" w:name="_Toc22185"/>
      <w:bookmarkStart w:id="40" w:name="_Toc6311"/>
      <w:bookmarkStart w:id="41" w:name="_Toc2918"/>
      <w:bookmarkStart w:id="42" w:name="_Toc18585"/>
      <w:r>
        <w:rPr>
          <w:rFonts w:hint="eastAsia" w:ascii="仿宋" w:hAnsi="仿宋" w:eastAsia="仿宋" w:cs="仿宋"/>
          <w:b/>
          <w:color w:val="auto"/>
          <w:sz w:val="24"/>
        </w:rPr>
        <w:t>1.2 标的</w:t>
      </w:r>
      <w:bookmarkEnd w:id="38"/>
      <w:bookmarkEnd w:id="39"/>
      <w:bookmarkEnd w:id="40"/>
      <w:bookmarkEnd w:id="41"/>
      <w:bookmarkEnd w:id="42"/>
    </w:p>
    <w:p w14:paraId="631EC116">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DE251AB">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5E63DD71">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w:t>
      </w:r>
    </w:p>
    <w:p w14:paraId="38332D77">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E63F9E9">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w:t>
      </w:r>
      <w:r>
        <w:rPr>
          <w:rFonts w:hint="eastAsia" w:ascii="仿宋" w:hAnsi="仿宋" w:eastAsia="仿宋" w:cs="仿宋"/>
          <w:color w:val="auto"/>
        </w:rPr>
        <w:t>（是/否）涉及货物。若涉及货物的的，则：</w:t>
      </w:r>
    </w:p>
    <w:p w14:paraId="7C7724A6">
      <w:pPr>
        <w:spacing w:line="560" w:lineRule="exact"/>
        <w:ind w:firstLine="480" w:firstLineChars="200"/>
        <w:rPr>
          <w:rFonts w:hint="eastAsia" w:ascii="仿宋" w:hAnsi="仿宋" w:eastAsia="仿宋" w:cs="仿宋"/>
          <w:color w:val="auto"/>
          <w:sz w:val="24"/>
          <w:u w:val="single"/>
        </w:rPr>
      </w:pPr>
      <w:bookmarkStart w:id="43" w:name="_Toc4929"/>
      <w:bookmarkStart w:id="44" w:name="_Toc21124"/>
      <w:bookmarkStart w:id="45" w:name="_Toc1386"/>
      <w:bookmarkStart w:id="46" w:name="_Toc5635"/>
      <w:bookmarkStart w:id="47" w:name="_Toc13918"/>
      <w:r>
        <w:rPr>
          <w:rFonts w:hint="eastAsia" w:ascii="仿宋" w:hAnsi="仿宋" w:eastAsia="仿宋" w:cs="仿宋"/>
          <w:color w:val="auto"/>
          <w:sz w:val="24"/>
        </w:rPr>
        <w:t>1.2.5.1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1C5FFAD">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3EE3DA2">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5BF22A9">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1.3 价款</w:t>
      </w:r>
      <w:bookmarkEnd w:id="43"/>
      <w:bookmarkEnd w:id="44"/>
      <w:bookmarkEnd w:id="45"/>
      <w:bookmarkEnd w:id="46"/>
      <w:bookmarkEnd w:id="47"/>
    </w:p>
    <w:p w14:paraId="10A1575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14:paraId="18A10D1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7580B6D9">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120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F38E34">
            <w:pPr>
              <w:pStyle w:val="318"/>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4BA345F8">
            <w:pPr>
              <w:pStyle w:val="318"/>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51C01635">
            <w:pPr>
              <w:pStyle w:val="318"/>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53C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1777AA">
            <w:pPr>
              <w:pStyle w:val="318"/>
              <w:spacing w:line="560" w:lineRule="exact"/>
              <w:ind w:firstLine="200"/>
              <w:jc w:val="center"/>
              <w:rPr>
                <w:rFonts w:hint="eastAsia" w:ascii="仿宋" w:hAnsi="仿宋" w:eastAsia="仿宋" w:cs="仿宋"/>
                <w:color w:val="auto"/>
                <w:sz w:val="24"/>
                <w:szCs w:val="24"/>
              </w:rPr>
            </w:pPr>
          </w:p>
        </w:tc>
        <w:tc>
          <w:tcPr>
            <w:tcW w:w="3402" w:type="dxa"/>
            <w:vAlign w:val="center"/>
          </w:tcPr>
          <w:p w14:paraId="2C56AFB7">
            <w:pPr>
              <w:pStyle w:val="318"/>
              <w:spacing w:line="560" w:lineRule="exact"/>
              <w:ind w:firstLine="200"/>
              <w:jc w:val="center"/>
              <w:rPr>
                <w:rFonts w:hint="eastAsia" w:ascii="仿宋" w:hAnsi="仿宋" w:eastAsia="仿宋" w:cs="仿宋"/>
                <w:color w:val="auto"/>
                <w:sz w:val="24"/>
                <w:szCs w:val="24"/>
              </w:rPr>
            </w:pPr>
          </w:p>
        </w:tc>
        <w:tc>
          <w:tcPr>
            <w:tcW w:w="2552" w:type="dxa"/>
            <w:vAlign w:val="center"/>
          </w:tcPr>
          <w:p w14:paraId="149FDC2B">
            <w:pPr>
              <w:pStyle w:val="318"/>
              <w:spacing w:line="560" w:lineRule="exact"/>
              <w:ind w:firstLine="200"/>
              <w:jc w:val="center"/>
              <w:rPr>
                <w:rFonts w:hint="eastAsia" w:ascii="仿宋" w:hAnsi="仿宋" w:eastAsia="仿宋" w:cs="仿宋"/>
                <w:color w:val="auto"/>
                <w:sz w:val="24"/>
                <w:szCs w:val="24"/>
              </w:rPr>
            </w:pPr>
          </w:p>
        </w:tc>
      </w:tr>
      <w:tr w14:paraId="1FDA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69701B">
            <w:pPr>
              <w:pStyle w:val="318"/>
              <w:spacing w:line="560" w:lineRule="exact"/>
              <w:ind w:firstLine="200"/>
              <w:jc w:val="center"/>
              <w:rPr>
                <w:rFonts w:hint="eastAsia" w:ascii="仿宋" w:hAnsi="仿宋" w:eastAsia="仿宋" w:cs="仿宋"/>
                <w:color w:val="auto"/>
                <w:sz w:val="24"/>
                <w:szCs w:val="24"/>
              </w:rPr>
            </w:pPr>
          </w:p>
        </w:tc>
        <w:tc>
          <w:tcPr>
            <w:tcW w:w="3402" w:type="dxa"/>
            <w:vAlign w:val="center"/>
          </w:tcPr>
          <w:p w14:paraId="12FE71E9">
            <w:pPr>
              <w:pStyle w:val="318"/>
              <w:spacing w:line="560" w:lineRule="exact"/>
              <w:ind w:firstLine="200"/>
              <w:jc w:val="center"/>
              <w:rPr>
                <w:rFonts w:hint="eastAsia" w:ascii="仿宋" w:hAnsi="仿宋" w:eastAsia="仿宋" w:cs="仿宋"/>
                <w:color w:val="auto"/>
                <w:sz w:val="24"/>
                <w:szCs w:val="24"/>
              </w:rPr>
            </w:pPr>
          </w:p>
        </w:tc>
        <w:tc>
          <w:tcPr>
            <w:tcW w:w="2552" w:type="dxa"/>
            <w:vAlign w:val="center"/>
          </w:tcPr>
          <w:p w14:paraId="4664B0AA">
            <w:pPr>
              <w:pStyle w:val="318"/>
              <w:spacing w:line="560" w:lineRule="exact"/>
              <w:ind w:firstLine="200"/>
              <w:jc w:val="center"/>
              <w:rPr>
                <w:rFonts w:hint="eastAsia" w:ascii="仿宋" w:hAnsi="仿宋" w:eastAsia="仿宋" w:cs="仿宋"/>
                <w:color w:val="auto"/>
                <w:sz w:val="24"/>
                <w:szCs w:val="24"/>
              </w:rPr>
            </w:pPr>
          </w:p>
        </w:tc>
      </w:tr>
      <w:tr w14:paraId="11DA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B06720">
            <w:pPr>
              <w:pStyle w:val="318"/>
              <w:spacing w:line="560" w:lineRule="exact"/>
              <w:ind w:firstLine="200"/>
              <w:jc w:val="center"/>
              <w:rPr>
                <w:rFonts w:hint="eastAsia" w:ascii="仿宋" w:hAnsi="仿宋" w:eastAsia="仿宋" w:cs="仿宋"/>
                <w:color w:val="auto"/>
                <w:sz w:val="24"/>
                <w:szCs w:val="24"/>
              </w:rPr>
            </w:pPr>
          </w:p>
        </w:tc>
        <w:tc>
          <w:tcPr>
            <w:tcW w:w="3402" w:type="dxa"/>
            <w:vAlign w:val="center"/>
          </w:tcPr>
          <w:p w14:paraId="4E70FA36">
            <w:pPr>
              <w:pStyle w:val="318"/>
              <w:spacing w:line="560" w:lineRule="exact"/>
              <w:ind w:firstLine="200"/>
              <w:jc w:val="center"/>
              <w:rPr>
                <w:rFonts w:hint="eastAsia" w:ascii="仿宋" w:hAnsi="仿宋" w:eastAsia="仿宋" w:cs="仿宋"/>
                <w:color w:val="auto"/>
                <w:sz w:val="24"/>
                <w:szCs w:val="24"/>
              </w:rPr>
            </w:pPr>
          </w:p>
        </w:tc>
        <w:tc>
          <w:tcPr>
            <w:tcW w:w="2552" w:type="dxa"/>
            <w:vAlign w:val="center"/>
          </w:tcPr>
          <w:p w14:paraId="5F3BBD4F">
            <w:pPr>
              <w:pStyle w:val="318"/>
              <w:spacing w:line="560" w:lineRule="exact"/>
              <w:ind w:firstLine="200"/>
              <w:jc w:val="center"/>
              <w:rPr>
                <w:rFonts w:hint="eastAsia" w:ascii="仿宋" w:hAnsi="仿宋" w:eastAsia="仿宋" w:cs="仿宋"/>
                <w:color w:val="auto"/>
                <w:sz w:val="24"/>
                <w:szCs w:val="24"/>
              </w:rPr>
            </w:pPr>
          </w:p>
        </w:tc>
      </w:tr>
      <w:tr w14:paraId="48FE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CB79B5">
            <w:pPr>
              <w:pStyle w:val="318"/>
              <w:spacing w:line="560" w:lineRule="exact"/>
              <w:ind w:firstLine="200"/>
              <w:jc w:val="center"/>
              <w:rPr>
                <w:rFonts w:hint="eastAsia" w:ascii="仿宋" w:hAnsi="仿宋" w:eastAsia="仿宋" w:cs="仿宋"/>
                <w:color w:val="auto"/>
                <w:sz w:val="24"/>
                <w:szCs w:val="24"/>
              </w:rPr>
            </w:pPr>
          </w:p>
        </w:tc>
        <w:tc>
          <w:tcPr>
            <w:tcW w:w="3402" w:type="dxa"/>
            <w:vAlign w:val="center"/>
          </w:tcPr>
          <w:p w14:paraId="6A08C442">
            <w:pPr>
              <w:pStyle w:val="318"/>
              <w:spacing w:line="560" w:lineRule="exact"/>
              <w:ind w:firstLine="200"/>
              <w:jc w:val="center"/>
              <w:rPr>
                <w:rFonts w:hint="eastAsia" w:ascii="仿宋" w:hAnsi="仿宋" w:eastAsia="仿宋" w:cs="仿宋"/>
                <w:color w:val="auto"/>
                <w:sz w:val="24"/>
                <w:szCs w:val="24"/>
              </w:rPr>
            </w:pPr>
          </w:p>
        </w:tc>
        <w:tc>
          <w:tcPr>
            <w:tcW w:w="2552" w:type="dxa"/>
            <w:vAlign w:val="center"/>
          </w:tcPr>
          <w:p w14:paraId="6D5DF7F5">
            <w:pPr>
              <w:pStyle w:val="318"/>
              <w:spacing w:line="560" w:lineRule="exact"/>
              <w:ind w:firstLine="200"/>
              <w:jc w:val="center"/>
              <w:rPr>
                <w:rFonts w:hint="eastAsia" w:ascii="仿宋" w:hAnsi="仿宋" w:eastAsia="仿宋" w:cs="仿宋"/>
                <w:color w:val="auto"/>
                <w:sz w:val="24"/>
                <w:szCs w:val="24"/>
              </w:rPr>
            </w:pPr>
          </w:p>
        </w:tc>
      </w:tr>
      <w:tr w14:paraId="1076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29BA201">
            <w:pPr>
              <w:pStyle w:val="318"/>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07A2ED50">
            <w:pPr>
              <w:pStyle w:val="318"/>
              <w:spacing w:line="560" w:lineRule="exact"/>
              <w:ind w:firstLine="200"/>
              <w:jc w:val="center"/>
              <w:rPr>
                <w:rFonts w:hint="eastAsia" w:ascii="仿宋" w:hAnsi="仿宋" w:eastAsia="仿宋" w:cs="仿宋"/>
                <w:color w:val="auto"/>
                <w:sz w:val="24"/>
                <w:szCs w:val="24"/>
              </w:rPr>
            </w:pPr>
          </w:p>
        </w:tc>
      </w:tr>
    </w:tbl>
    <w:p w14:paraId="38B9BDD2">
      <w:pPr>
        <w:spacing w:line="560" w:lineRule="exact"/>
        <w:ind w:firstLine="480" w:firstLineChars="200"/>
        <w:rPr>
          <w:rFonts w:hint="eastAsia" w:ascii="仿宋" w:hAnsi="仿宋" w:eastAsia="仿宋" w:cs="仿宋"/>
          <w:color w:val="auto"/>
          <w:sz w:val="24"/>
        </w:rPr>
      </w:pPr>
      <w:bookmarkStart w:id="48" w:name="_Toc30158"/>
      <w:bookmarkStart w:id="49" w:name="_Toc3654"/>
      <w:bookmarkStart w:id="50" w:name="_Toc14993"/>
      <w:bookmarkStart w:id="51" w:name="_Toc26916"/>
      <w:bookmarkStart w:id="52" w:name="_Toc30506"/>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48B40252">
      <w:pPr>
        <w:pStyle w:val="4"/>
        <w:rPr>
          <w:rFonts w:hint="eastAsia" w:ascii="仿宋" w:eastAsia="仿宋" w:cs="仿宋"/>
          <w:color w:val="auto"/>
          <w:lang w:val="en-US"/>
        </w:rPr>
      </w:pPr>
      <w:r>
        <w:rPr>
          <w:rFonts w:hint="eastAsia" w:ascii="仿宋" w:eastAsia="仿宋" w:cs="仿宋"/>
          <w:color w:val="auto"/>
          <w:sz w:val="24"/>
          <w:lang w:val="en-US"/>
        </w:rPr>
        <w:t xml:space="preserve">    </w:t>
      </w:r>
      <w:r>
        <w:rPr>
          <w:rFonts w:hint="eastAsia" w:ascii="仿宋" w:eastAsia="仿宋" w:cs="仿宋"/>
          <w:b w:val="0"/>
          <w:bCs w:val="0"/>
          <w:color w:val="auto"/>
          <w:sz w:val="24"/>
          <w:lang w:val="en-US"/>
        </w:rPr>
        <w:t>1.3.3其他计价方式：</w:t>
      </w:r>
      <w:r>
        <w:rPr>
          <w:rFonts w:hint="eastAsia" w:ascii="仿宋" w:eastAsia="仿宋" w:cs="仿宋"/>
          <w:b w:val="0"/>
          <w:bCs w:val="0"/>
          <w:color w:val="auto"/>
          <w:sz w:val="24"/>
          <w:u w:val="single"/>
          <w:lang w:val="en-US"/>
        </w:rPr>
        <w:t xml:space="preserve">                   </w:t>
      </w:r>
      <w:r>
        <w:rPr>
          <w:rFonts w:hint="eastAsia" w:ascii="仿宋" w:eastAsia="仿宋" w:cs="仿宋"/>
          <w:b w:val="0"/>
          <w:bCs w:val="0"/>
          <w:color w:val="auto"/>
          <w:sz w:val="24"/>
        </w:rPr>
        <w:t>。</w:t>
      </w:r>
    </w:p>
    <w:bookmarkEnd w:id="48"/>
    <w:bookmarkEnd w:id="49"/>
    <w:bookmarkEnd w:id="50"/>
    <w:bookmarkEnd w:id="51"/>
    <w:bookmarkEnd w:id="52"/>
    <w:p w14:paraId="3CC9E63F">
      <w:pPr>
        <w:pStyle w:val="958"/>
        <w:spacing w:before="0" w:beforeAutospacing="0" w:after="0" w:afterAutospacing="0" w:line="360" w:lineRule="auto"/>
        <w:ind w:firstLine="480"/>
        <w:rPr>
          <w:rFonts w:hint="eastAsia" w:ascii="仿宋" w:hAnsi="仿宋" w:eastAsia="仿宋" w:cs="仿宋"/>
          <w:b/>
          <w:color w:val="auto"/>
        </w:rPr>
      </w:pPr>
      <w:bookmarkStart w:id="53" w:name="_Toc4760"/>
      <w:bookmarkStart w:id="54" w:name="_Toc3625"/>
      <w:bookmarkStart w:id="55" w:name="_Toc31421"/>
      <w:bookmarkStart w:id="56" w:name="_Toc11108"/>
      <w:bookmarkStart w:id="57" w:name="_Toc8772"/>
      <w:r>
        <w:rPr>
          <w:rFonts w:hint="eastAsia" w:ascii="仿宋" w:hAnsi="仿宋" w:eastAsia="仿宋" w:cs="仿宋"/>
          <w:b/>
          <w:color w:val="auto"/>
        </w:rPr>
        <w:t>1.4履约保证金</w:t>
      </w:r>
    </w:p>
    <w:p w14:paraId="2892CC4A">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14:paraId="22B3FEB6">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6E3F5F0F">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102EC594">
      <w:pPr>
        <w:pStyle w:val="4"/>
        <w:tabs>
          <w:tab w:val="left" w:pos="0"/>
        </w:tabs>
        <w:spacing w:line="560" w:lineRule="exact"/>
        <w:ind w:left="0" w:firstLine="480" w:firstLineChars="200"/>
        <w:rPr>
          <w:rFonts w:hint="eastAsia" w:ascii="仿宋" w:eastAsia="仿宋" w:cs="仿宋"/>
          <w:color w:val="auto"/>
          <w:lang w:val="en-US"/>
        </w:rPr>
      </w:pPr>
      <w:r>
        <w:rPr>
          <w:rFonts w:hint="eastAsia" w:asci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D5E6D72">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14:paraId="5A998E79">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1.5预付款</w:t>
      </w:r>
    </w:p>
    <w:p w14:paraId="4FFB8CB3">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14:paraId="00519994">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557D817B">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4ADD26CC">
      <w:pPr>
        <w:pStyle w:val="958"/>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2126438B">
      <w:pPr>
        <w:pStyle w:val="958"/>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14:paraId="53F9E065">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42265AC">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6A34F4D">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1.7 履行期限、地点和方式</w:t>
      </w:r>
      <w:bookmarkEnd w:id="53"/>
      <w:bookmarkEnd w:id="54"/>
      <w:bookmarkEnd w:id="55"/>
      <w:bookmarkEnd w:id="56"/>
      <w:bookmarkEnd w:id="57"/>
    </w:p>
    <w:p w14:paraId="62261250">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99982F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14334B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A4B617F">
      <w:pPr>
        <w:spacing w:line="560" w:lineRule="exact"/>
        <w:ind w:firstLine="480" w:firstLineChars="200"/>
        <w:outlineLvl w:val="0"/>
        <w:rPr>
          <w:rFonts w:hint="eastAsia" w:ascii="仿宋" w:hAnsi="仿宋" w:eastAsia="仿宋" w:cs="仿宋"/>
          <w:bCs/>
          <w:color w:val="auto"/>
          <w:sz w:val="24"/>
        </w:rPr>
      </w:pPr>
      <w:bookmarkStart w:id="58" w:name="_Toc3079"/>
      <w:bookmarkStart w:id="59" w:name="_Toc24662"/>
      <w:bookmarkStart w:id="60" w:name="_Toc5698"/>
      <w:bookmarkStart w:id="61" w:name="_Toc2375"/>
      <w:bookmarkStart w:id="62" w:name="_Toc8586"/>
      <w:r>
        <w:rPr>
          <w:rFonts w:hint="eastAsia" w:ascii="仿宋" w:hAnsi="仿宋" w:eastAsia="仿宋" w:cs="仿宋"/>
          <w:bCs/>
          <w:color w:val="auto"/>
          <w:sz w:val="24"/>
        </w:rPr>
        <w:t>1.7.4若服务涉及货物的，则货物的：</w:t>
      </w:r>
    </w:p>
    <w:p w14:paraId="48E8245F">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1.7.4.1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CC8252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547394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86DB515">
      <w:pPr>
        <w:spacing w:line="560" w:lineRule="exact"/>
        <w:ind w:firstLine="482" w:firstLineChars="200"/>
        <w:outlineLvl w:val="0"/>
        <w:rPr>
          <w:rFonts w:hint="eastAsia" w:ascii="仿宋" w:hAnsi="仿宋" w:eastAsia="仿宋" w:cs="仿宋"/>
          <w:color w:val="auto"/>
          <w:sz w:val="24"/>
          <w:u w:val="single"/>
        </w:rPr>
      </w:pPr>
      <w:r>
        <w:rPr>
          <w:rFonts w:hint="eastAsia" w:ascii="仿宋" w:hAnsi="仿宋" w:eastAsia="仿宋" w:cs="仿宋"/>
          <w:b/>
          <w:color w:val="auto"/>
          <w:sz w:val="24"/>
        </w:rPr>
        <w:t>1.8违约责任</w:t>
      </w:r>
      <w:bookmarkEnd w:id="58"/>
      <w:bookmarkEnd w:id="59"/>
      <w:bookmarkEnd w:id="60"/>
      <w:bookmarkEnd w:id="61"/>
      <w:bookmarkEnd w:id="62"/>
    </w:p>
    <w:p w14:paraId="33C8C15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37AF0BB7">
      <w:pPr>
        <w:pStyle w:val="4"/>
        <w:ind w:left="0" w:firstLine="480" w:firstLineChars="200"/>
        <w:rPr>
          <w:rFonts w:hint="eastAsia" w:ascii="仿宋" w:eastAsia="仿宋" w:cs="仿宋"/>
          <w:b w:val="0"/>
          <w:bCs w:val="0"/>
          <w:color w:val="auto"/>
          <w:sz w:val="24"/>
          <w:szCs w:val="24"/>
          <w:lang w:val="en-US"/>
        </w:rPr>
      </w:pPr>
      <w:r>
        <w:rPr>
          <w:rFonts w:hint="eastAsia" w:asci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u w:val="single"/>
          <w:lang w:val="en-US"/>
        </w:rPr>
        <w:t xml:space="preserve">  0.0</w:t>
      </w:r>
      <w:r>
        <w:rPr>
          <w:rFonts w:hint="eastAsia" w:ascii="仿宋" w:eastAsia="仿宋" w:cs="仿宋"/>
          <w:b w:val="0"/>
          <w:bCs w:val="0"/>
          <w:color w:val="auto"/>
          <w:sz w:val="24"/>
          <w:szCs w:val="24"/>
          <w:lang w:val="en-US"/>
        </w:rPr>
        <w:t xml:space="preserve">5（可根据情况修改） </w:t>
      </w:r>
      <w:r>
        <w:rPr>
          <w:rFonts w:hint="eastAsia" w:ascii="仿宋" w:eastAsia="仿宋" w:cs="仿宋"/>
          <w:b w:val="0"/>
          <w:bCs w:val="0"/>
          <w:color w:val="auto"/>
          <w:sz w:val="24"/>
          <w:szCs w:val="24"/>
          <w:u w:val="single"/>
          <w:lang w:val="en-US"/>
        </w:rPr>
        <w:t xml:space="preserve">  </w:t>
      </w:r>
      <w:r>
        <w:rPr>
          <w:rFonts w:hint="eastAsia" w:ascii="仿宋" w:eastAsia="仿宋" w:cs="仿宋"/>
          <w:b w:val="0"/>
          <w:bCs w:val="0"/>
          <w:color w:val="auto"/>
          <w:sz w:val="24"/>
          <w:szCs w:val="24"/>
          <w:lang w:val="en-US"/>
        </w:rPr>
        <w:t>%计算，最高限额为本合同总价的</w:t>
      </w:r>
      <w:r>
        <w:rPr>
          <w:rFonts w:hint="eastAsia" w:ascii="仿宋" w:eastAsia="仿宋" w:cs="仿宋"/>
          <w:b w:val="0"/>
          <w:bCs w:val="0"/>
          <w:color w:val="auto"/>
          <w:sz w:val="24"/>
          <w:szCs w:val="24"/>
          <w:u w:val="single"/>
          <w:lang w:val="en-US"/>
        </w:rPr>
        <w:t xml:space="preserve">  20  </w:t>
      </w:r>
      <w:r>
        <w:rPr>
          <w:rFonts w:hint="eastAsia" w:asci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14:paraId="516139C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19F28061">
      <w:pPr>
        <w:spacing w:line="560" w:lineRule="exact"/>
        <w:ind w:firstLine="480" w:firstLineChars="200"/>
        <w:rPr>
          <w:rFonts w:hint="eastAsia" w:ascii="仿宋" w:hAnsi="仿宋" w:eastAsia="仿宋" w:cs="仿宋"/>
          <w:color w:val="auto"/>
          <w:sz w:val="24"/>
        </w:rPr>
      </w:pPr>
      <w:bookmarkStart w:id="63" w:name="_Toc26807"/>
      <w:bookmarkStart w:id="64" w:name="_Toc32454"/>
      <w:bookmarkStart w:id="65" w:name="_Toc30329"/>
      <w:bookmarkStart w:id="66" w:name="_Toc9497"/>
      <w:bookmarkStart w:id="67" w:name="_Toc18683"/>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733D11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9E966F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A2055D2">
      <w:pPr>
        <w:spacing w:line="560" w:lineRule="exact"/>
        <w:ind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63"/>
    <w:bookmarkEnd w:id="64"/>
    <w:bookmarkEnd w:id="65"/>
    <w:bookmarkEnd w:id="66"/>
    <w:bookmarkEnd w:id="67"/>
    <w:p w14:paraId="05891A55">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1.9合同争议的解决</w:t>
      </w:r>
    </w:p>
    <w:p w14:paraId="77C3D577">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14:paraId="2EE124FA">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0E545048">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53989C3E">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2.0 合同生效</w:t>
      </w:r>
    </w:p>
    <w:p w14:paraId="20AED84F">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本合同自双方当事人盖章签字时生效。</w:t>
      </w:r>
    </w:p>
    <w:p w14:paraId="6EAD03BF">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7E75A74D">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02A02AFD">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559DE2AF">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250E24F3">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2AAC52CC">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2FF131C1">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530E8431">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6EF225CA">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5AA095FD">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5DA7026B">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6B14B835">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14EBB454">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3171C3B9">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746E5570">
      <w:pPr>
        <w:rPr>
          <w:rFonts w:hint="eastAsia" w:ascii="仿宋" w:hAnsi="仿宋" w:eastAsia="仿宋" w:cs="仿宋"/>
          <w:b/>
          <w:color w:val="auto"/>
        </w:rPr>
      </w:pPr>
      <w:r>
        <w:rPr>
          <w:rFonts w:hint="eastAsia" w:ascii="仿宋" w:hAnsi="仿宋" w:eastAsia="仿宋" w:cs="仿宋"/>
          <w:b/>
          <w:color w:val="auto"/>
        </w:rPr>
        <w:br w:type="page"/>
      </w:r>
    </w:p>
    <w:p w14:paraId="47D0A398">
      <w:pPr>
        <w:pStyle w:val="700"/>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2A20EC71">
      <w:pPr>
        <w:spacing w:line="560" w:lineRule="exact"/>
        <w:ind w:firstLine="482" w:firstLineChars="200"/>
        <w:outlineLvl w:val="0"/>
        <w:rPr>
          <w:rFonts w:hint="eastAsia" w:ascii="仿宋" w:hAnsi="仿宋" w:eastAsia="仿宋" w:cs="仿宋"/>
          <w:b/>
          <w:color w:val="auto"/>
          <w:sz w:val="24"/>
        </w:rPr>
      </w:pPr>
      <w:bookmarkStart w:id="68" w:name="_Toc25079"/>
      <w:bookmarkStart w:id="69" w:name="_Toc31297"/>
      <w:bookmarkStart w:id="70" w:name="_Toc5228"/>
      <w:bookmarkStart w:id="71" w:name="_Toc19680"/>
      <w:bookmarkStart w:id="72" w:name="_Toc14021"/>
      <w:r>
        <w:rPr>
          <w:rFonts w:hint="eastAsia" w:ascii="仿宋" w:hAnsi="仿宋" w:eastAsia="仿宋" w:cs="仿宋"/>
          <w:b/>
          <w:color w:val="auto"/>
          <w:sz w:val="24"/>
        </w:rPr>
        <w:t>2.1 定义</w:t>
      </w:r>
      <w:bookmarkEnd w:id="68"/>
      <w:bookmarkEnd w:id="69"/>
      <w:bookmarkEnd w:id="70"/>
      <w:bookmarkEnd w:id="71"/>
      <w:bookmarkEnd w:id="72"/>
    </w:p>
    <w:p w14:paraId="4C1B65F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5222C5E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14:paraId="1B0F630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14:paraId="3857905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1248157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14:paraId="726B7BB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07642B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73EA76DD">
      <w:pPr>
        <w:spacing w:line="560" w:lineRule="exact"/>
        <w:ind w:firstLine="482" w:firstLineChars="200"/>
        <w:outlineLvl w:val="0"/>
        <w:rPr>
          <w:rFonts w:hint="eastAsia" w:ascii="仿宋" w:hAnsi="仿宋" w:eastAsia="仿宋" w:cs="仿宋"/>
          <w:b/>
          <w:color w:val="auto"/>
          <w:sz w:val="24"/>
        </w:rPr>
      </w:pPr>
      <w:bookmarkStart w:id="73" w:name="_Toc3769"/>
      <w:bookmarkStart w:id="74" w:name="_Toc16752"/>
      <w:bookmarkStart w:id="75" w:name="_Toc23289"/>
      <w:bookmarkStart w:id="76" w:name="_Toc19539"/>
      <w:bookmarkStart w:id="77" w:name="_Toc31402"/>
      <w:r>
        <w:rPr>
          <w:rFonts w:hint="eastAsia" w:ascii="仿宋" w:hAnsi="仿宋" w:eastAsia="仿宋" w:cs="仿宋"/>
          <w:b/>
          <w:color w:val="auto"/>
          <w:sz w:val="24"/>
        </w:rPr>
        <w:t>2.2 技术规范</w:t>
      </w:r>
      <w:bookmarkEnd w:id="73"/>
      <w:bookmarkEnd w:id="74"/>
      <w:bookmarkEnd w:id="75"/>
      <w:bookmarkEnd w:id="76"/>
      <w:bookmarkEnd w:id="77"/>
    </w:p>
    <w:p w14:paraId="04DEFD5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9A8B7CE">
      <w:pPr>
        <w:spacing w:line="560" w:lineRule="exact"/>
        <w:ind w:firstLine="482" w:firstLineChars="200"/>
        <w:outlineLvl w:val="0"/>
        <w:rPr>
          <w:rFonts w:hint="eastAsia" w:ascii="仿宋" w:hAnsi="仿宋" w:eastAsia="仿宋" w:cs="仿宋"/>
          <w:b/>
          <w:color w:val="auto"/>
          <w:sz w:val="24"/>
        </w:rPr>
      </w:pPr>
      <w:bookmarkStart w:id="78" w:name="_Toc4133"/>
      <w:bookmarkStart w:id="79" w:name="_Toc9161"/>
      <w:bookmarkStart w:id="80" w:name="_Toc13673"/>
      <w:bookmarkStart w:id="81" w:name="_Toc27945"/>
      <w:bookmarkStart w:id="82" w:name="_Toc12412"/>
      <w:r>
        <w:rPr>
          <w:rFonts w:hint="eastAsia" w:ascii="仿宋" w:hAnsi="仿宋" w:eastAsia="仿宋" w:cs="仿宋"/>
          <w:b/>
          <w:color w:val="auto"/>
          <w:sz w:val="24"/>
        </w:rPr>
        <w:t>2.3 知识产权</w:t>
      </w:r>
      <w:bookmarkEnd w:id="78"/>
      <w:bookmarkEnd w:id="79"/>
      <w:bookmarkEnd w:id="80"/>
      <w:bookmarkEnd w:id="81"/>
      <w:bookmarkEnd w:id="82"/>
    </w:p>
    <w:p w14:paraId="58A0608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BA5183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79E5CF5">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0160E33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CF9A85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10BD13DD">
      <w:pPr>
        <w:spacing w:line="560" w:lineRule="exact"/>
        <w:ind w:firstLine="482" w:firstLineChars="200"/>
        <w:outlineLvl w:val="0"/>
        <w:rPr>
          <w:rFonts w:hint="eastAsia" w:ascii="仿宋" w:hAnsi="仿宋" w:eastAsia="仿宋" w:cs="仿宋"/>
          <w:b/>
          <w:color w:val="auto"/>
          <w:sz w:val="24"/>
        </w:rPr>
      </w:pPr>
      <w:bookmarkStart w:id="83" w:name="_Toc22011"/>
      <w:bookmarkStart w:id="84" w:name="_Toc31233"/>
      <w:bookmarkStart w:id="85" w:name="_Toc15447"/>
      <w:bookmarkStart w:id="86" w:name="_Toc32670"/>
      <w:bookmarkStart w:id="87" w:name="_Toc26555"/>
      <w:r>
        <w:rPr>
          <w:rFonts w:hint="eastAsia" w:ascii="仿宋" w:hAnsi="仿宋" w:eastAsia="仿宋" w:cs="仿宋"/>
          <w:b/>
          <w:color w:val="auto"/>
          <w:sz w:val="24"/>
        </w:rPr>
        <w:t>2.5 结算方式和付款条件</w:t>
      </w:r>
      <w:bookmarkEnd w:id="83"/>
      <w:bookmarkEnd w:id="84"/>
      <w:bookmarkEnd w:id="85"/>
      <w:bookmarkEnd w:id="86"/>
      <w:bookmarkEnd w:id="87"/>
    </w:p>
    <w:p w14:paraId="40AFD21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41B76CD">
      <w:pPr>
        <w:spacing w:line="560" w:lineRule="exact"/>
        <w:ind w:firstLine="482" w:firstLineChars="200"/>
        <w:outlineLvl w:val="0"/>
        <w:rPr>
          <w:rFonts w:hint="eastAsia" w:ascii="仿宋" w:hAnsi="仿宋" w:eastAsia="仿宋" w:cs="仿宋"/>
          <w:b/>
          <w:color w:val="auto"/>
          <w:sz w:val="24"/>
        </w:rPr>
      </w:pPr>
      <w:bookmarkStart w:id="88" w:name="_Toc16163"/>
      <w:bookmarkStart w:id="89" w:name="_Toc13154"/>
      <w:bookmarkStart w:id="90" w:name="_Toc13467"/>
      <w:bookmarkStart w:id="91" w:name="_Toc18990"/>
      <w:bookmarkStart w:id="92" w:name="_Toc30507"/>
      <w:r>
        <w:rPr>
          <w:rFonts w:hint="eastAsia" w:ascii="仿宋" w:hAnsi="仿宋" w:eastAsia="仿宋" w:cs="仿宋"/>
          <w:b/>
          <w:color w:val="auto"/>
          <w:sz w:val="24"/>
        </w:rPr>
        <w:t>2.6 技术资料和保密义务</w:t>
      </w:r>
      <w:bookmarkEnd w:id="88"/>
      <w:bookmarkEnd w:id="89"/>
      <w:bookmarkEnd w:id="90"/>
      <w:bookmarkEnd w:id="91"/>
      <w:bookmarkEnd w:id="92"/>
    </w:p>
    <w:p w14:paraId="1CA9640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296F13F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255CF59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A478BE8">
      <w:pPr>
        <w:spacing w:line="560" w:lineRule="exact"/>
        <w:ind w:firstLine="482" w:firstLineChars="200"/>
        <w:outlineLvl w:val="0"/>
        <w:rPr>
          <w:rFonts w:hint="eastAsia" w:ascii="仿宋" w:hAnsi="仿宋" w:eastAsia="仿宋" w:cs="仿宋"/>
          <w:b/>
          <w:color w:val="auto"/>
          <w:sz w:val="24"/>
        </w:rPr>
      </w:pPr>
      <w:bookmarkStart w:id="93" w:name="_Toc19069"/>
      <w:r>
        <w:rPr>
          <w:rFonts w:hint="eastAsia" w:ascii="仿宋" w:hAnsi="仿宋" w:eastAsia="仿宋" w:cs="仿宋"/>
          <w:b/>
          <w:color w:val="auto"/>
          <w:sz w:val="24"/>
        </w:rPr>
        <w:t>2.7 质量保证</w:t>
      </w:r>
      <w:bookmarkEnd w:id="93"/>
    </w:p>
    <w:p w14:paraId="25CF377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1990D27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63E7C699">
      <w:pPr>
        <w:spacing w:line="560" w:lineRule="exact"/>
        <w:ind w:firstLine="482" w:firstLineChars="200"/>
        <w:outlineLvl w:val="0"/>
        <w:rPr>
          <w:rFonts w:hint="eastAsia" w:ascii="仿宋" w:hAnsi="仿宋" w:eastAsia="仿宋" w:cs="仿宋"/>
          <w:b/>
          <w:color w:val="auto"/>
          <w:sz w:val="24"/>
        </w:rPr>
      </w:pPr>
      <w:bookmarkStart w:id="94" w:name="_Toc22267"/>
      <w:r>
        <w:rPr>
          <w:rFonts w:hint="eastAsia" w:ascii="仿宋" w:hAnsi="仿宋" w:eastAsia="仿宋" w:cs="仿宋"/>
          <w:b/>
          <w:color w:val="auto"/>
          <w:sz w:val="24"/>
        </w:rPr>
        <w:t>2.8 延迟履行</w:t>
      </w:r>
      <w:bookmarkEnd w:id="94"/>
    </w:p>
    <w:p w14:paraId="4DBAB67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EF70019">
      <w:pPr>
        <w:spacing w:line="560" w:lineRule="exact"/>
        <w:ind w:firstLine="482" w:firstLineChars="200"/>
        <w:outlineLvl w:val="0"/>
        <w:rPr>
          <w:rFonts w:hint="eastAsia" w:ascii="仿宋" w:hAnsi="仿宋" w:eastAsia="仿宋" w:cs="仿宋"/>
          <w:b/>
          <w:color w:val="auto"/>
          <w:sz w:val="24"/>
        </w:rPr>
      </w:pPr>
      <w:bookmarkStart w:id="95" w:name="_Toc10611"/>
      <w:r>
        <w:rPr>
          <w:rFonts w:hint="eastAsia" w:ascii="仿宋" w:hAnsi="仿宋" w:eastAsia="仿宋" w:cs="仿宋"/>
          <w:b/>
          <w:color w:val="auto"/>
          <w:sz w:val="24"/>
        </w:rPr>
        <w:t>2.9 合同变更</w:t>
      </w:r>
      <w:bookmarkEnd w:id="95"/>
    </w:p>
    <w:p w14:paraId="34CB852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7EBF898B">
      <w:pPr>
        <w:spacing w:line="560" w:lineRule="exact"/>
        <w:ind w:firstLine="482" w:firstLineChars="200"/>
        <w:outlineLvl w:val="0"/>
        <w:rPr>
          <w:rFonts w:hint="eastAsia" w:ascii="仿宋" w:hAnsi="仿宋" w:eastAsia="仿宋" w:cs="仿宋"/>
          <w:b/>
          <w:color w:val="auto"/>
          <w:sz w:val="24"/>
        </w:rPr>
      </w:pPr>
      <w:bookmarkStart w:id="96" w:name="_Toc10663"/>
      <w:bookmarkStart w:id="97" w:name="_Toc23368"/>
      <w:bookmarkStart w:id="98" w:name="_Toc42"/>
      <w:bookmarkStart w:id="99" w:name="_Toc21830"/>
      <w:bookmarkStart w:id="100" w:name="_Toc26689"/>
      <w:r>
        <w:rPr>
          <w:rFonts w:hint="eastAsia" w:ascii="仿宋" w:hAnsi="仿宋" w:eastAsia="仿宋" w:cs="仿宋"/>
          <w:b/>
          <w:color w:val="auto"/>
          <w:sz w:val="24"/>
        </w:rPr>
        <w:t>2.10 合同转让和分包</w:t>
      </w:r>
      <w:bookmarkEnd w:id="96"/>
      <w:bookmarkEnd w:id="97"/>
      <w:bookmarkEnd w:id="98"/>
      <w:bookmarkEnd w:id="99"/>
      <w:bookmarkEnd w:id="100"/>
    </w:p>
    <w:p w14:paraId="150CA70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170E2C2">
      <w:pPr>
        <w:spacing w:line="560" w:lineRule="exact"/>
        <w:ind w:firstLine="482" w:firstLineChars="200"/>
        <w:outlineLvl w:val="0"/>
        <w:rPr>
          <w:rFonts w:hint="eastAsia" w:ascii="仿宋" w:hAnsi="仿宋" w:eastAsia="仿宋" w:cs="仿宋"/>
          <w:b/>
          <w:color w:val="auto"/>
          <w:sz w:val="24"/>
        </w:rPr>
      </w:pPr>
      <w:bookmarkStart w:id="101" w:name="_Toc26633"/>
      <w:bookmarkStart w:id="102" w:name="_Toc4720"/>
      <w:bookmarkStart w:id="103" w:name="_Toc32494"/>
      <w:bookmarkStart w:id="104" w:name="_Toc14371"/>
      <w:bookmarkStart w:id="105" w:name="_Toc25571"/>
      <w:r>
        <w:rPr>
          <w:rFonts w:hint="eastAsia" w:ascii="仿宋" w:hAnsi="仿宋" w:eastAsia="仿宋" w:cs="仿宋"/>
          <w:b/>
          <w:color w:val="auto"/>
          <w:sz w:val="24"/>
        </w:rPr>
        <w:t>2.11 不可抗力</w:t>
      </w:r>
      <w:bookmarkEnd w:id="101"/>
      <w:bookmarkEnd w:id="102"/>
      <w:bookmarkEnd w:id="103"/>
      <w:bookmarkEnd w:id="104"/>
      <w:bookmarkEnd w:id="105"/>
    </w:p>
    <w:p w14:paraId="02B7E1D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635F421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5876DEB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634B27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5534D16C">
      <w:pPr>
        <w:spacing w:line="560" w:lineRule="exact"/>
        <w:ind w:firstLine="482" w:firstLineChars="200"/>
        <w:outlineLvl w:val="0"/>
        <w:rPr>
          <w:rFonts w:hint="eastAsia" w:ascii="仿宋" w:hAnsi="仿宋" w:eastAsia="仿宋" w:cs="仿宋"/>
          <w:b/>
          <w:color w:val="auto"/>
          <w:sz w:val="24"/>
        </w:rPr>
      </w:pPr>
      <w:bookmarkStart w:id="106" w:name="_Toc14115"/>
      <w:bookmarkStart w:id="107" w:name="_Toc3638"/>
      <w:bookmarkStart w:id="108" w:name="_Toc25783"/>
      <w:bookmarkStart w:id="109" w:name="_Toc24465"/>
      <w:bookmarkStart w:id="110" w:name="_Toc23854"/>
      <w:r>
        <w:rPr>
          <w:rFonts w:hint="eastAsia" w:ascii="仿宋" w:hAnsi="仿宋" w:eastAsia="仿宋" w:cs="仿宋"/>
          <w:b/>
          <w:color w:val="auto"/>
          <w:sz w:val="24"/>
        </w:rPr>
        <w:t>2.12 税费</w:t>
      </w:r>
      <w:bookmarkEnd w:id="106"/>
      <w:bookmarkEnd w:id="107"/>
      <w:bookmarkEnd w:id="108"/>
      <w:bookmarkEnd w:id="109"/>
      <w:bookmarkEnd w:id="110"/>
    </w:p>
    <w:p w14:paraId="6652FEF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190D1930">
      <w:pPr>
        <w:spacing w:line="560" w:lineRule="exact"/>
        <w:ind w:firstLine="482" w:firstLineChars="200"/>
        <w:outlineLvl w:val="0"/>
        <w:rPr>
          <w:rFonts w:hint="eastAsia" w:ascii="仿宋" w:hAnsi="仿宋" w:eastAsia="仿宋" w:cs="仿宋"/>
          <w:b/>
          <w:color w:val="auto"/>
          <w:sz w:val="24"/>
        </w:rPr>
      </w:pPr>
      <w:bookmarkStart w:id="111" w:name="_Toc26883"/>
      <w:bookmarkStart w:id="112" w:name="_Toc30105"/>
      <w:bookmarkStart w:id="113" w:name="_Toc14814"/>
      <w:bookmarkStart w:id="114" w:name="_Toc25525"/>
      <w:bookmarkStart w:id="115" w:name="_Toc7315"/>
      <w:r>
        <w:rPr>
          <w:rFonts w:hint="eastAsia" w:ascii="仿宋" w:hAnsi="仿宋" w:eastAsia="仿宋" w:cs="仿宋"/>
          <w:b/>
          <w:color w:val="auto"/>
          <w:sz w:val="24"/>
        </w:rPr>
        <w:t>2.13 乙方破产</w:t>
      </w:r>
      <w:bookmarkEnd w:id="111"/>
      <w:bookmarkEnd w:id="112"/>
      <w:bookmarkEnd w:id="113"/>
      <w:bookmarkEnd w:id="114"/>
      <w:bookmarkEnd w:id="115"/>
    </w:p>
    <w:p w14:paraId="268C01C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42D2A19">
      <w:pPr>
        <w:spacing w:line="560" w:lineRule="exact"/>
        <w:ind w:firstLine="482" w:firstLineChars="200"/>
        <w:outlineLvl w:val="0"/>
        <w:rPr>
          <w:rFonts w:hint="eastAsia" w:ascii="仿宋" w:hAnsi="仿宋" w:eastAsia="仿宋" w:cs="仿宋"/>
          <w:b/>
          <w:color w:val="auto"/>
          <w:sz w:val="24"/>
        </w:rPr>
      </w:pPr>
      <w:bookmarkStart w:id="116" w:name="_Toc1123"/>
      <w:bookmarkStart w:id="117" w:name="_Toc2016"/>
      <w:bookmarkStart w:id="118" w:name="_Toc23323"/>
      <w:r>
        <w:rPr>
          <w:rFonts w:hint="eastAsia" w:ascii="仿宋" w:hAnsi="仿宋" w:eastAsia="仿宋" w:cs="仿宋"/>
          <w:b/>
          <w:color w:val="auto"/>
          <w:sz w:val="24"/>
        </w:rPr>
        <w:t>2.14 合同中止、终止</w:t>
      </w:r>
      <w:bookmarkEnd w:id="116"/>
      <w:bookmarkEnd w:id="117"/>
      <w:bookmarkEnd w:id="118"/>
    </w:p>
    <w:p w14:paraId="33B4F61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4052D27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4460D27B">
      <w:pPr>
        <w:spacing w:line="560" w:lineRule="exact"/>
        <w:ind w:firstLine="482" w:firstLineChars="200"/>
        <w:outlineLvl w:val="0"/>
        <w:rPr>
          <w:rFonts w:hint="eastAsia" w:ascii="仿宋" w:hAnsi="仿宋" w:eastAsia="仿宋" w:cs="仿宋"/>
          <w:b/>
          <w:color w:val="auto"/>
          <w:sz w:val="24"/>
        </w:rPr>
      </w:pPr>
      <w:bookmarkStart w:id="119" w:name="_Toc17363"/>
      <w:bookmarkStart w:id="120" w:name="_Toc1969"/>
      <w:bookmarkStart w:id="121" w:name="_Toc14525"/>
      <w:r>
        <w:rPr>
          <w:rFonts w:hint="eastAsia" w:ascii="仿宋" w:hAnsi="仿宋" w:eastAsia="仿宋" w:cs="仿宋"/>
          <w:b/>
          <w:color w:val="auto"/>
          <w:sz w:val="24"/>
        </w:rPr>
        <w:t>2.15 检验和验收</w:t>
      </w:r>
      <w:bookmarkEnd w:id="119"/>
      <w:bookmarkEnd w:id="120"/>
      <w:bookmarkEnd w:id="121"/>
    </w:p>
    <w:p w14:paraId="51779BD0">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74A16050">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DF8D086">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7D64A16F">
      <w:pPr>
        <w:spacing w:line="560" w:lineRule="exact"/>
        <w:ind w:firstLine="482" w:firstLineChars="200"/>
        <w:outlineLvl w:val="0"/>
        <w:rPr>
          <w:rFonts w:hint="eastAsia" w:ascii="仿宋" w:hAnsi="仿宋" w:eastAsia="仿宋" w:cs="仿宋"/>
          <w:b/>
          <w:color w:val="auto"/>
          <w:sz w:val="24"/>
        </w:rPr>
      </w:pPr>
      <w:bookmarkStart w:id="122" w:name="_Toc25198"/>
      <w:bookmarkStart w:id="123" w:name="_Toc2308"/>
      <w:bookmarkStart w:id="124" w:name="_Toc9808"/>
      <w:bookmarkStart w:id="125" w:name="_Toc12666"/>
      <w:bookmarkStart w:id="126" w:name="_Toc31892"/>
      <w:r>
        <w:rPr>
          <w:rFonts w:hint="eastAsia" w:ascii="仿宋" w:hAnsi="仿宋" w:eastAsia="仿宋" w:cs="仿宋"/>
          <w:b/>
          <w:color w:val="auto"/>
          <w:sz w:val="24"/>
        </w:rPr>
        <w:t>2.16 通知和送达</w:t>
      </w:r>
      <w:bookmarkEnd w:id="122"/>
      <w:bookmarkEnd w:id="123"/>
      <w:bookmarkEnd w:id="124"/>
      <w:bookmarkEnd w:id="125"/>
      <w:bookmarkEnd w:id="126"/>
    </w:p>
    <w:p w14:paraId="189209CD">
      <w:pPr>
        <w:spacing w:line="560" w:lineRule="exact"/>
        <w:ind w:firstLine="480" w:firstLineChars="200"/>
        <w:rPr>
          <w:rFonts w:hint="eastAsia" w:ascii="仿宋" w:hAnsi="仿宋" w:eastAsia="仿宋" w:cs="仿宋"/>
          <w:color w:val="auto"/>
          <w:sz w:val="24"/>
        </w:rPr>
      </w:pPr>
      <w:bookmarkStart w:id="127" w:name="_Toc27674"/>
      <w:bookmarkStart w:id="128" w:name="_Toc18401"/>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358EB54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27"/>
      <w:bookmarkEnd w:id="128"/>
    </w:p>
    <w:p w14:paraId="3ECDE473">
      <w:pPr>
        <w:spacing w:line="560" w:lineRule="exact"/>
        <w:ind w:firstLine="482" w:firstLineChars="200"/>
        <w:outlineLvl w:val="0"/>
        <w:rPr>
          <w:rFonts w:hint="eastAsia" w:ascii="仿宋" w:hAnsi="仿宋" w:eastAsia="仿宋" w:cs="仿宋"/>
          <w:b/>
          <w:color w:val="auto"/>
          <w:sz w:val="24"/>
        </w:rPr>
      </w:pPr>
      <w:bookmarkStart w:id="129" w:name="_Toc5063"/>
      <w:bookmarkStart w:id="130" w:name="_Toc28906"/>
      <w:bookmarkStart w:id="131" w:name="_Toc12254"/>
      <w:bookmarkStart w:id="132" w:name="_Toc27644"/>
      <w:bookmarkStart w:id="133" w:name="_Toc20808"/>
      <w:r>
        <w:rPr>
          <w:rFonts w:hint="eastAsia" w:ascii="仿宋" w:hAnsi="仿宋" w:eastAsia="仿宋" w:cs="仿宋"/>
          <w:b/>
          <w:color w:val="auto"/>
          <w:sz w:val="24"/>
        </w:rPr>
        <w:t>2.17 合同使用的文字和适用的法律</w:t>
      </w:r>
      <w:bookmarkEnd w:id="129"/>
      <w:bookmarkEnd w:id="130"/>
      <w:bookmarkEnd w:id="131"/>
      <w:bookmarkEnd w:id="132"/>
      <w:bookmarkEnd w:id="133"/>
    </w:p>
    <w:p w14:paraId="7BC1E05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57C7B41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235555A3">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2.18 计量单位</w:t>
      </w:r>
    </w:p>
    <w:p w14:paraId="1BC3224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28071CB8">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14:paraId="33E57C4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05DDD444">
      <w:pPr>
        <w:spacing w:line="360" w:lineRule="auto"/>
        <w:jc w:val="center"/>
        <w:outlineLvl w:val="0"/>
        <w:rPr>
          <w:rFonts w:hint="eastAsia" w:ascii="仿宋" w:hAnsi="仿宋" w:eastAsia="仿宋" w:cs="仿宋"/>
          <w:b/>
          <w:color w:val="auto"/>
          <w:sz w:val="24"/>
        </w:rPr>
      </w:pPr>
      <w:r>
        <w:rPr>
          <w:rFonts w:hint="eastAsia" w:ascii="仿宋" w:hAnsi="仿宋" w:eastAsia="仿宋" w:cs="仿宋"/>
          <w:b/>
          <w:color w:val="auto"/>
          <w:sz w:val="24"/>
        </w:rPr>
        <w:t>第三部分  合同专用条款</w:t>
      </w:r>
    </w:p>
    <w:p w14:paraId="2A24DCB7">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B97C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334322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149" w:type="dxa"/>
            <w:vAlign w:val="center"/>
          </w:tcPr>
          <w:p w14:paraId="647585B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7E923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7FA6CC">
            <w:pPr>
              <w:spacing w:line="360" w:lineRule="auto"/>
              <w:rPr>
                <w:rFonts w:hint="eastAsia" w:ascii="仿宋" w:hAnsi="仿宋" w:eastAsia="仿宋" w:cs="仿宋"/>
                <w:color w:val="auto"/>
                <w:sz w:val="24"/>
              </w:rPr>
            </w:pPr>
            <w:r>
              <w:rPr>
                <w:rFonts w:hint="eastAsia" w:ascii="仿宋" w:hAnsi="仿宋" w:eastAsia="仿宋" w:cs="仿宋"/>
                <w:color w:val="auto"/>
                <w:sz w:val="24"/>
              </w:rPr>
              <w:t>1.3.2</w:t>
            </w:r>
          </w:p>
        </w:tc>
        <w:tc>
          <w:tcPr>
            <w:tcW w:w="8149" w:type="dxa"/>
            <w:vAlign w:val="center"/>
          </w:tcPr>
          <w:p w14:paraId="342EB2E8">
            <w:pPr>
              <w:spacing w:line="360" w:lineRule="auto"/>
              <w:rPr>
                <w:rFonts w:hint="eastAsia" w:ascii="仿宋" w:hAnsi="仿宋" w:eastAsia="仿宋" w:cs="仿宋"/>
                <w:color w:val="auto"/>
                <w:sz w:val="24"/>
              </w:rPr>
            </w:pPr>
          </w:p>
        </w:tc>
      </w:tr>
      <w:tr w14:paraId="181EA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3F11F2">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8149" w:type="dxa"/>
            <w:vAlign w:val="center"/>
          </w:tcPr>
          <w:p w14:paraId="4DA0425C">
            <w:pPr>
              <w:spacing w:line="360" w:lineRule="auto"/>
              <w:rPr>
                <w:rFonts w:hint="eastAsia" w:ascii="仿宋" w:hAnsi="仿宋" w:eastAsia="仿宋" w:cs="仿宋"/>
                <w:color w:val="auto"/>
                <w:sz w:val="24"/>
              </w:rPr>
            </w:pPr>
          </w:p>
        </w:tc>
      </w:tr>
      <w:tr w14:paraId="6886C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1067A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149" w:type="dxa"/>
            <w:vAlign w:val="center"/>
          </w:tcPr>
          <w:p w14:paraId="4C6562A9">
            <w:pPr>
              <w:spacing w:line="360" w:lineRule="auto"/>
              <w:rPr>
                <w:rFonts w:hint="eastAsia" w:ascii="仿宋" w:hAnsi="仿宋" w:eastAsia="仿宋" w:cs="仿宋"/>
                <w:color w:val="auto"/>
                <w:sz w:val="24"/>
              </w:rPr>
            </w:pPr>
          </w:p>
        </w:tc>
      </w:tr>
      <w:tr w14:paraId="21CC3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17A029">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8149" w:type="dxa"/>
            <w:vAlign w:val="center"/>
          </w:tcPr>
          <w:p w14:paraId="466813CB">
            <w:pPr>
              <w:spacing w:line="360" w:lineRule="auto"/>
              <w:rPr>
                <w:rFonts w:hint="eastAsia" w:ascii="仿宋" w:hAnsi="仿宋" w:eastAsia="仿宋" w:cs="仿宋"/>
                <w:color w:val="auto"/>
                <w:sz w:val="24"/>
              </w:rPr>
            </w:pPr>
          </w:p>
        </w:tc>
      </w:tr>
      <w:tr w14:paraId="0D783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61167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149" w:type="dxa"/>
            <w:vAlign w:val="center"/>
          </w:tcPr>
          <w:p w14:paraId="51A6F7AB">
            <w:pPr>
              <w:spacing w:line="360" w:lineRule="auto"/>
              <w:rPr>
                <w:rFonts w:hint="eastAsia" w:ascii="仿宋" w:hAnsi="仿宋" w:eastAsia="仿宋" w:cs="仿宋"/>
                <w:color w:val="auto"/>
                <w:sz w:val="24"/>
              </w:rPr>
            </w:pPr>
          </w:p>
        </w:tc>
      </w:tr>
      <w:tr w14:paraId="6D061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C850B6">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8149" w:type="dxa"/>
            <w:vAlign w:val="center"/>
          </w:tcPr>
          <w:p w14:paraId="3ACD320E">
            <w:pPr>
              <w:spacing w:line="360" w:lineRule="auto"/>
              <w:rPr>
                <w:rFonts w:hint="eastAsia" w:ascii="仿宋" w:hAnsi="仿宋" w:eastAsia="仿宋" w:cs="仿宋"/>
                <w:color w:val="auto"/>
                <w:sz w:val="24"/>
              </w:rPr>
            </w:pPr>
          </w:p>
        </w:tc>
      </w:tr>
      <w:tr w14:paraId="5ADE7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D5AA2E">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8149" w:type="dxa"/>
            <w:vAlign w:val="center"/>
          </w:tcPr>
          <w:p w14:paraId="28EE5924">
            <w:pPr>
              <w:spacing w:line="360" w:lineRule="auto"/>
              <w:rPr>
                <w:rFonts w:hint="eastAsia" w:ascii="仿宋" w:hAnsi="仿宋" w:eastAsia="仿宋" w:cs="仿宋"/>
                <w:color w:val="auto"/>
                <w:sz w:val="24"/>
              </w:rPr>
            </w:pPr>
          </w:p>
        </w:tc>
      </w:tr>
      <w:tr w14:paraId="72697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850218">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8149" w:type="dxa"/>
            <w:vAlign w:val="center"/>
          </w:tcPr>
          <w:p w14:paraId="40AE1BB3">
            <w:pPr>
              <w:spacing w:line="360" w:lineRule="auto"/>
              <w:rPr>
                <w:rFonts w:hint="eastAsia" w:ascii="仿宋" w:hAnsi="仿宋" w:eastAsia="仿宋" w:cs="仿宋"/>
                <w:color w:val="auto"/>
                <w:sz w:val="24"/>
              </w:rPr>
            </w:pPr>
          </w:p>
        </w:tc>
      </w:tr>
      <w:tr w14:paraId="7076E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490AC0">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8149" w:type="dxa"/>
            <w:vAlign w:val="center"/>
          </w:tcPr>
          <w:p w14:paraId="342E54C6">
            <w:pPr>
              <w:spacing w:line="360" w:lineRule="auto"/>
              <w:rPr>
                <w:rFonts w:hint="eastAsia" w:ascii="仿宋" w:hAnsi="仿宋" w:eastAsia="仿宋" w:cs="仿宋"/>
                <w:color w:val="auto"/>
                <w:sz w:val="24"/>
              </w:rPr>
            </w:pPr>
          </w:p>
        </w:tc>
      </w:tr>
      <w:tr w14:paraId="1DB5D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A56B72">
            <w:pPr>
              <w:spacing w:line="360" w:lineRule="auto"/>
              <w:rPr>
                <w:rFonts w:hint="eastAsia" w:ascii="仿宋" w:hAnsi="仿宋" w:eastAsia="仿宋" w:cs="仿宋"/>
                <w:color w:val="auto"/>
                <w:sz w:val="24"/>
              </w:rPr>
            </w:pPr>
            <w:r>
              <w:rPr>
                <w:rFonts w:hint="eastAsia" w:ascii="仿宋" w:hAnsi="仿宋" w:eastAsia="仿宋" w:cs="仿宋"/>
                <w:color w:val="auto"/>
                <w:sz w:val="24"/>
              </w:rPr>
              <w:t>1.7.4.1</w:t>
            </w:r>
          </w:p>
        </w:tc>
        <w:tc>
          <w:tcPr>
            <w:tcW w:w="8149" w:type="dxa"/>
            <w:vAlign w:val="center"/>
          </w:tcPr>
          <w:p w14:paraId="6E17AF88">
            <w:pPr>
              <w:spacing w:line="360" w:lineRule="auto"/>
              <w:rPr>
                <w:rFonts w:hint="eastAsia" w:ascii="仿宋" w:hAnsi="仿宋" w:eastAsia="仿宋" w:cs="仿宋"/>
                <w:color w:val="auto"/>
                <w:sz w:val="24"/>
              </w:rPr>
            </w:pPr>
          </w:p>
        </w:tc>
      </w:tr>
      <w:tr w14:paraId="78C6E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84E3BC">
            <w:pPr>
              <w:spacing w:line="360" w:lineRule="auto"/>
              <w:rPr>
                <w:rFonts w:hint="eastAsia" w:ascii="仿宋" w:hAnsi="仿宋" w:eastAsia="仿宋" w:cs="仿宋"/>
                <w:color w:val="auto"/>
                <w:sz w:val="24"/>
              </w:rPr>
            </w:pPr>
            <w:r>
              <w:rPr>
                <w:rFonts w:hint="eastAsia" w:ascii="仿宋" w:hAnsi="仿宋" w:eastAsia="仿宋" w:cs="仿宋"/>
                <w:color w:val="auto"/>
                <w:sz w:val="24"/>
              </w:rPr>
              <w:t>1.7.4.2</w:t>
            </w:r>
          </w:p>
        </w:tc>
        <w:tc>
          <w:tcPr>
            <w:tcW w:w="8149" w:type="dxa"/>
            <w:vAlign w:val="center"/>
          </w:tcPr>
          <w:p w14:paraId="592197BC">
            <w:pPr>
              <w:spacing w:line="360" w:lineRule="auto"/>
              <w:rPr>
                <w:rFonts w:hint="eastAsia" w:ascii="仿宋" w:hAnsi="仿宋" w:eastAsia="仿宋" w:cs="仿宋"/>
                <w:color w:val="auto"/>
                <w:sz w:val="24"/>
              </w:rPr>
            </w:pPr>
          </w:p>
        </w:tc>
      </w:tr>
      <w:tr w14:paraId="0CEF3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447B8B">
            <w:pPr>
              <w:spacing w:line="360" w:lineRule="auto"/>
              <w:rPr>
                <w:rFonts w:hint="eastAsia" w:ascii="仿宋" w:hAnsi="仿宋" w:eastAsia="仿宋" w:cs="仿宋"/>
                <w:color w:val="auto"/>
                <w:sz w:val="24"/>
              </w:rPr>
            </w:pPr>
            <w:r>
              <w:rPr>
                <w:rFonts w:hint="eastAsia" w:ascii="仿宋" w:hAnsi="仿宋" w:eastAsia="仿宋" w:cs="仿宋"/>
                <w:color w:val="auto"/>
                <w:sz w:val="24"/>
              </w:rPr>
              <w:t>1.7.4.3</w:t>
            </w:r>
          </w:p>
        </w:tc>
        <w:tc>
          <w:tcPr>
            <w:tcW w:w="8149" w:type="dxa"/>
            <w:vAlign w:val="center"/>
          </w:tcPr>
          <w:p w14:paraId="18443D45">
            <w:pPr>
              <w:spacing w:line="360" w:lineRule="auto"/>
              <w:rPr>
                <w:rFonts w:hint="eastAsia" w:ascii="仿宋" w:hAnsi="仿宋" w:eastAsia="仿宋" w:cs="仿宋"/>
                <w:color w:val="auto"/>
                <w:sz w:val="24"/>
              </w:rPr>
            </w:pPr>
          </w:p>
        </w:tc>
      </w:tr>
      <w:tr w14:paraId="00FB0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DB6132">
            <w:pPr>
              <w:spacing w:line="360" w:lineRule="auto"/>
              <w:rPr>
                <w:rFonts w:hint="eastAsia" w:ascii="仿宋" w:hAnsi="仿宋" w:eastAsia="仿宋" w:cs="仿宋"/>
                <w:color w:val="auto"/>
                <w:sz w:val="24"/>
              </w:rPr>
            </w:pPr>
            <w:r>
              <w:rPr>
                <w:rFonts w:hint="eastAsia" w:ascii="仿宋" w:hAnsi="仿宋" w:eastAsia="仿宋" w:cs="仿宋"/>
                <w:color w:val="auto"/>
                <w:sz w:val="24"/>
              </w:rPr>
              <w:t>1.8.7</w:t>
            </w:r>
          </w:p>
        </w:tc>
        <w:tc>
          <w:tcPr>
            <w:tcW w:w="8149" w:type="dxa"/>
            <w:vAlign w:val="center"/>
          </w:tcPr>
          <w:p w14:paraId="2E2C9FCB">
            <w:pPr>
              <w:spacing w:line="360" w:lineRule="auto"/>
              <w:rPr>
                <w:rFonts w:hint="eastAsia" w:ascii="仿宋" w:hAnsi="仿宋" w:eastAsia="仿宋" w:cs="仿宋"/>
                <w:color w:val="auto"/>
                <w:sz w:val="24"/>
              </w:rPr>
            </w:pPr>
          </w:p>
        </w:tc>
      </w:tr>
      <w:tr w14:paraId="35C68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31D7EA">
            <w:pPr>
              <w:spacing w:line="360" w:lineRule="auto"/>
              <w:rPr>
                <w:rFonts w:hint="eastAsia" w:ascii="仿宋" w:hAnsi="仿宋" w:eastAsia="仿宋" w:cs="仿宋"/>
                <w:color w:val="auto"/>
                <w:sz w:val="24"/>
              </w:rPr>
            </w:pPr>
            <w:r>
              <w:rPr>
                <w:rFonts w:hint="eastAsia" w:ascii="仿宋" w:hAnsi="仿宋" w:eastAsia="仿宋" w:cs="仿宋"/>
                <w:color w:val="auto"/>
                <w:sz w:val="24"/>
              </w:rPr>
              <w:t>1.9.1</w:t>
            </w:r>
          </w:p>
        </w:tc>
        <w:tc>
          <w:tcPr>
            <w:tcW w:w="8149" w:type="dxa"/>
            <w:vAlign w:val="center"/>
          </w:tcPr>
          <w:p w14:paraId="483509D2">
            <w:pPr>
              <w:spacing w:line="360" w:lineRule="auto"/>
              <w:rPr>
                <w:rFonts w:hint="eastAsia" w:ascii="仿宋" w:hAnsi="仿宋" w:eastAsia="仿宋" w:cs="仿宋"/>
                <w:color w:val="auto"/>
                <w:sz w:val="24"/>
              </w:rPr>
            </w:pPr>
          </w:p>
        </w:tc>
      </w:tr>
      <w:tr w14:paraId="4080E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FA11AC">
            <w:pPr>
              <w:spacing w:line="360" w:lineRule="auto"/>
              <w:rPr>
                <w:rFonts w:hint="eastAsia" w:ascii="仿宋" w:hAnsi="仿宋" w:eastAsia="仿宋" w:cs="仿宋"/>
                <w:color w:val="auto"/>
                <w:sz w:val="24"/>
              </w:rPr>
            </w:pPr>
            <w:r>
              <w:rPr>
                <w:rFonts w:hint="eastAsia" w:ascii="仿宋" w:hAnsi="仿宋" w:eastAsia="仿宋" w:cs="仿宋"/>
                <w:color w:val="auto"/>
                <w:sz w:val="24"/>
              </w:rPr>
              <w:t>1.9.2</w:t>
            </w:r>
          </w:p>
        </w:tc>
        <w:tc>
          <w:tcPr>
            <w:tcW w:w="8149" w:type="dxa"/>
            <w:vAlign w:val="center"/>
          </w:tcPr>
          <w:p w14:paraId="4084C4DB">
            <w:pPr>
              <w:spacing w:line="360" w:lineRule="auto"/>
              <w:rPr>
                <w:rFonts w:hint="eastAsia" w:ascii="仿宋" w:hAnsi="仿宋" w:eastAsia="仿宋" w:cs="仿宋"/>
                <w:color w:val="auto"/>
                <w:sz w:val="24"/>
              </w:rPr>
            </w:pPr>
          </w:p>
        </w:tc>
      </w:tr>
      <w:tr w14:paraId="6A3D4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884C66">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8149" w:type="dxa"/>
            <w:vAlign w:val="center"/>
          </w:tcPr>
          <w:p w14:paraId="03E7AF50">
            <w:pPr>
              <w:spacing w:line="360" w:lineRule="auto"/>
              <w:ind w:left="-420" w:leftChars="-200" w:right="-420" w:rightChars="-200" w:firstLine="480" w:firstLineChars="200"/>
              <w:rPr>
                <w:rFonts w:hint="eastAsia" w:ascii="仿宋" w:hAnsi="仿宋" w:eastAsia="仿宋" w:cs="仿宋"/>
                <w:color w:val="auto"/>
                <w:sz w:val="24"/>
              </w:rPr>
            </w:pPr>
          </w:p>
        </w:tc>
      </w:tr>
      <w:tr w14:paraId="72C64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5D766B">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8149" w:type="dxa"/>
            <w:vAlign w:val="center"/>
          </w:tcPr>
          <w:p w14:paraId="5B94B3E5">
            <w:pPr>
              <w:spacing w:line="360" w:lineRule="auto"/>
              <w:ind w:left="-420" w:leftChars="-200" w:right="-420" w:rightChars="-200" w:firstLine="480" w:firstLineChars="200"/>
              <w:rPr>
                <w:rFonts w:hint="eastAsia" w:ascii="仿宋" w:hAnsi="仿宋" w:eastAsia="仿宋" w:cs="仿宋"/>
                <w:color w:val="auto"/>
                <w:sz w:val="24"/>
              </w:rPr>
            </w:pPr>
          </w:p>
        </w:tc>
      </w:tr>
      <w:tr w14:paraId="52A4C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A77E78">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8149" w:type="dxa"/>
            <w:vAlign w:val="center"/>
          </w:tcPr>
          <w:p w14:paraId="00AB9CA3">
            <w:pPr>
              <w:spacing w:line="360" w:lineRule="auto"/>
              <w:rPr>
                <w:rFonts w:hint="eastAsia" w:ascii="仿宋" w:hAnsi="仿宋" w:eastAsia="仿宋" w:cs="仿宋"/>
                <w:color w:val="auto"/>
                <w:sz w:val="24"/>
              </w:rPr>
            </w:pPr>
          </w:p>
        </w:tc>
      </w:tr>
      <w:tr w14:paraId="311D1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58A284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8149" w:type="dxa"/>
          </w:tcPr>
          <w:p w14:paraId="70380B79">
            <w:pPr>
              <w:spacing w:line="360" w:lineRule="auto"/>
              <w:rPr>
                <w:rFonts w:hint="eastAsia" w:ascii="仿宋" w:hAnsi="仿宋" w:eastAsia="仿宋" w:cs="仿宋"/>
                <w:color w:val="auto"/>
                <w:sz w:val="24"/>
              </w:rPr>
            </w:pPr>
          </w:p>
        </w:tc>
      </w:tr>
      <w:tr w14:paraId="0296B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4BD68A">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8149" w:type="dxa"/>
            <w:vAlign w:val="center"/>
          </w:tcPr>
          <w:p w14:paraId="09725795">
            <w:pPr>
              <w:spacing w:line="360" w:lineRule="auto"/>
              <w:rPr>
                <w:rFonts w:hint="eastAsia" w:ascii="仿宋" w:hAnsi="仿宋" w:eastAsia="仿宋" w:cs="仿宋"/>
                <w:color w:val="auto"/>
                <w:sz w:val="24"/>
              </w:rPr>
            </w:pPr>
          </w:p>
        </w:tc>
      </w:tr>
      <w:tr w14:paraId="7A0C6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A086AE">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8149" w:type="dxa"/>
            <w:vAlign w:val="center"/>
          </w:tcPr>
          <w:p w14:paraId="2B5BC11E">
            <w:pPr>
              <w:spacing w:line="360" w:lineRule="auto"/>
              <w:rPr>
                <w:rFonts w:hint="eastAsia" w:ascii="仿宋" w:hAnsi="仿宋" w:eastAsia="仿宋" w:cs="仿宋"/>
                <w:color w:val="auto"/>
                <w:sz w:val="24"/>
              </w:rPr>
            </w:pPr>
          </w:p>
        </w:tc>
      </w:tr>
      <w:tr w14:paraId="1D4FA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9197BD6">
            <w:pPr>
              <w:spacing w:line="360" w:lineRule="auto"/>
              <w:rPr>
                <w:rFonts w:hint="eastAsia" w:ascii="仿宋" w:hAnsi="仿宋" w:eastAsia="仿宋" w:cs="仿宋"/>
                <w:color w:val="auto"/>
                <w:sz w:val="24"/>
              </w:rPr>
            </w:pPr>
            <w:r>
              <w:rPr>
                <w:rFonts w:hint="eastAsia" w:ascii="仿宋" w:hAnsi="仿宋" w:eastAsia="仿宋" w:cs="仿宋"/>
                <w:color w:val="auto"/>
                <w:sz w:val="24"/>
              </w:rPr>
              <w:t>2.19</w:t>
            </w:r>
          </w:p>
        </w:tc>
        <w:tc>
          <w:tcPr>
            <w:tcW w:w="8149" w:type="dxa"/>
          </w:tcPr>
          <w:p w14:paraId="71B08E4A">
            <w:pPr>
              <w:spacing w:line="360" w:lineRule="auto"/>
              <w:rPr>
                <w:rFonts w:hint="eastAsia" w:ascii="仿宋" w:hAnsi="仿宋" w:eastAsia="仿宋" w:cs="仿宋"/>
                <w:color w:val="auto"/>
                <w:sz w:val="24"/>
              </w:rPr>
            </w:pPr>
          </w:p>
        </w:tc>
      </w:tr>
    </w:tbl>
    <w:p w14:paraId="14AD16F2">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4F5606FF">
      <w:pPr>
        <w:widowControl/>
        <w:adjustRightInd/>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1"/>
      <w:r>
        <w:rPr>
          <w:rFonts w:hint="eastAsia" w:ascii="仿宋" w:hAnsi="仿宋" w:eastAsia="仿宋" w:cs="仿宋"/>
          <w:b/>
          <w:color w:val="auto"/>
          <w:sz w:val="36"/>
          <w:szCs w:val="20"/>
        </w:rPr>
        <w:t xml:space="preserve"> </w:t>
      </w:r>
      <w:bookmarkEnd w:id="32"/>
      <w:r>
        <w:rPr>
          <w:rFonts w:hint="eastAsia" w:ascii="仿宋" w:hAnsi="仿宋" w:eastAsia="仿宋" w:cs="仿宋"/>
          <w:b/>
          <w:color w:val="auto"/>
          <w:sz w:val="36"/>
          <w:szCs w:val="20"/>
        </w:rPr>
        <w:t>应提交的有关格式范例</w:t>
      </w:r>
    </w:p>
    <w:p w14:paraId="3257509C">
      <w:pPr>
        <w:spacing w:line="360" w:lineRule="auto"/>
        <w:jc w:val="center"/>
        <w:outlineLvl w:val="0"/>
        <w:rPr>
          <w:rFonts w:hint="eastAsia" w:ascii="仿宋" w:hAnsi="仿宋" w:eastAsia="仿宋" w:cs="仿宋"/>
          <w:b/>
          <w:color w:val="auto"/>
          <w:kern w:val="0"/>
          <w:sz w:val="36"/>
          <w:szCs w:val="36"/>
        </w:rPr>
      </w:pPr>
    </w:p>
    <w:p w14:paraId="5ABC40B2">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030AC635">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4F62950D">
      <w:pPr>
        <w:spacing w:line="360" w:lineRule="auto"/>
        <w:jc w:val="center"/>
        <w:outlineLvl w:val="0"/>
        <w:rPr>
          <w:rFonts w:hint="eastAsia" w:ascii="仿宋" w:hAnsi="仿宋" w:eastAsia="仿宋" w:cs="仿宋"/>
          <w:b/>
          <w:color w:val="auto"/>
          <w:kern w:val="0"/>
          <w:sz w:val="36"/>
          <w:szCs w:val="36"/>
        </w:rPr>
      </w:pPr>
    </w:p>
    <w:p w14:paraId="13FCFD9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6B99BA4F">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14:paraId="038D5FD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14:paraId="61A2676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14:paraId="2E652838">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79C4AB5B">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 符合参加政府采购活动应当具备的一般条件的承诺函</w:t>
      </w:r>
    </w:p>
    <w:p w14:paraId="08EEB90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杭州市萧山区人民政府新街街道办事处、浙江华夏工程管理有限公司：</w:t>
      </w:r>
    </w:p>
    <w:p w14:paraId="493DC5E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我方参与新街街道全域生活垃圾清运服务项目【招标编号：***】政府采购活动，郑重承诺：</w:t>
      </w:r>
    </w:p>
    <w:p w14:paraId="61DEA9ED">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3629D5F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7E02620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3C76DB8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36D11DD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0F73943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600A795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0CDD091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16B3A4E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04CB20E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7FBAA4C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36500BC2">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37DFE46C">
      <w:pPr>
        <w:snapToGrid w:val="0"/>
        <w:spacing w:line="360" w:lineRule="auto"/>
        <w:rPr>
          <w:rFonts w:hint="eastAsia" w:ascii="仿宋" w:hAnsi="仿宋" w:eastAsia="仿宋" w:cs="仿宋"/>
          <w:b/>
          <w:color w:val="auto"/>
          <w:kern w:val="0"/>
          <w:sz w:val="32"/>
          <w:szCs w:val="32"/>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234ADFFF">
      <w:pPr>
        <w:snapToGrid w:val="0"/>
        <w:spacing w:line="360" w:lineRule="auto"/>
        <w:ind w:right="480" w:firstLine="559" w:firstLineChars="233"/>
        <w:jc w:val="left"/>
        <w:rPr>
          <w:rFonts w:hint="eastAsia" w:ascii="仿宋" w:hAnsi="仿宋" w:eastAsia="仿宋" w:cs="仿宋"/>
          <w:color w:val="auto"/>
        </w:rPr>
      </w:pPr>
      <w:r>
        <w:rPr>
          <w:rFonts w:hint="eastAsia" w:ascii="仿宋" w:hAnsi="仿宋" w:eastAsia="仿宋" w:cs="仿宋"/>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A800E89">
      <w:pPr>
        <w:widowControl/>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6DBA4986">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14:paraId="1EA39CE2">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05C63FAE">
      <w:pPr>
        <w:snapToGrid w:val="0"/>
        <w:spacing w:line="360" w:lineRule="auto"/>
        <w:ind w:right="480"/>
        <w:jc w:val="center"/>
        <w:rPr>
          <w:rFonts w:hint="eastAsia" w:ascii="仿宋" w:hAnsi="仿宋" w:eastAsia="仿宋" w:cs="仿宋"/>
          <w:b/>
          <w:color w:val="auto"/>
          <w:kern w:val="0"/>
          <w:sz w:val="32"/>
          <w:szCs w:val="32"/>
        </w:rPr>
      </w:pPr>
    </w:p>
    <w:p w14:paraId="2185A4D2">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14:paraId="1F10BF05">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607CD52B">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14:paraId="300AAEDC">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24E2F867">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32605006">
      <w:pPr>
        <w:widowControl/>
        <w:spacing w:line="360" w:lineRule="auto"/>
        <w:ind w:left="150"/>
        <w:jc w:val="center"/>
        <w:rPr>
          <w:rFonts w:hint="eastAsia" w:ascii="仿宋" w:hAnsi="仿宋" w:eastAsia="仿宋" w:cs="仿宋"/>
          <w:b/>
          <w:color w:val="auto"/>
          <w:kern w:val="0"/>
          <w:sz w:val="32"/>
          <w:szCs w:val="32"/>
        </w:rPr>
      </w:pPr>
    </w:p>
    <w:p w14:paraId="33EAD065">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14:paraId="524980D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68E0A340">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0CE3C4B7">
      <w:pPr>
        <w:spacing w:line="360" w:lineRule="auto"/>
        <w:ind w:right="42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18FE5AA1">
      <w:pPr>
        <w:spacing w:line="360" w:lineRule="auto"/>
        <w:jc w:val="center"/>
        <w:outlineLvl w:val="0"/>
        <w:rPr>
          <w:rFonts w:hint="eastAsia" w:ascii="仿宋" w:hAnsi="仿宋" w:eastAsia="仿宋" w:cs="仿宋"/>
          <w:b/>
          <w:color w:val="auto"/>
          <w:kern w:val="0"/>
          <w:sz w:val="24"/>
        </w:rPr>
      </w:pPr>
    </w:p>
    <w:p w14:paraId="70E7842A">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7CC62981">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59332995">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14:paraId="1ACF0C60">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14:paraId="141A9126">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14:paraId="5A3F2337">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4336C89A">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27BA8AB2">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3A67A4D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杭州市萧山区人民政府新街街道办事处、浙江华夏工程管理有限公司：</w:t>
      </w:r>
    </w:p>
    <w:p w14:paraId="352B54E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我方参加你方组织的新街街道全域生活垃圾清运服务项目【招标编号：***】招标的有关活动，并对此项目进行投标。为此：</w:t>
      </w:r>
    </w:p>
    <w:p w14:paraId="5A63D28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428FF42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27978DEF">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7C2CE20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60E7854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134" w:name="_Hlk101257010"/>
      <w:r>
        <w:rPr>
          <w:rFonts w:hint="eastAsia" w:ascii="仿宋" w:hAnsi="仿宋" w:eastAsia="仿宋" w:cs="仿宋"/>
          <w:color w:val="auto"/>
          <w:sz w:val="24"/>
        </w:rPr>
        <w:t>（如果有)</w:t>
      </w:r>
      <w:bookmarkEnd w:id="134"/>
      <w:r>
        <w:rPr>
          <w:rFonts w:hint="eastAsia" w:ascii="仿宋" w:hAnsi="仿宋" w:eastAsia="仿宋" w:cs="仿宋"/>
          <w:snapToGrid w:val="0"/>
          <w:color w:val="auto"/>
          <w:kern w:val="28"/>
          <w:sz w:val="24"/>
          <w:szCs w:val="20"/>
        </w:rPr>
        <w:t>；</w:t>
      </w:r>
    </w:p>
    <w:p w14:paraId="2CF0B5C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2979997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3901105F">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78DDD17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14:paraId="70B8E07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7F87741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0A7E82B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326A261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14:paraId="2D42FD6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14:paraId="7DFFCD6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14:paraId="5977CDB8">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641BFBDC">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209A15F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524985E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69A32C0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3、我方承诺除商务技术偏离表列出的偏离外，我方响应招标文件的全部要求。对投标文件中材料的真实性、合法性负责，积极配合采购人复核投标文件中的资料。</w:t>
      </w:r>
    </w:p>
    <w:p w14:paraId="33DD40C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14:paraId="4A0B7853">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14:paraId="3513D40E">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54BAF700">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14:paraId="23A293A4">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2F06CFD9">
      <w:pPr>
        <w:numPr>
          <w:ilvl w:val="0"/>
          <w:numId w:val="9"/>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对</w:t>
      </w:r>
      <w:r>
        <w:rPr>
          <w:rFonts w:hint="eastAsia" w:ascii="仿宋" w:hAnsi="仿宋" w:eastAsia="仿宋" w:cs="仿宋"/>
          <w:color w:val="auto"/>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360866F">
      <w:pPr>
        <w:numPr>
          <w:ilvl w:val="0"/>
          <w:numId w:val="9"/>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912188F">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14:paraId="6644DD5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7AEB758B">
      <w:pPr>
        <w:snapToGrid w:val="0"/>
        <w:spacing w:line="360" w:lineRule="auto"/>
        <w:ind w:left="420" w:leftChars="200" w:firstLine="4200" w:firstLineChars="1750"/>
        <w:rPr>
          <w:rFonts w:hint="eastAsia" w:ascii="仿宋" w:hAnsi="仿宋" w:eastAsia="仿宋" w:cs="仿宋"/>
          <w:color w:val="auto"/>
          <w:kern w:val="0"/>
          <w:sz w:val="24"/>
          <w:u w:val="single"/>
        </w:rPr>
      </w:pPr>
    </w:p>
    <w:p w14:paraId="36093EC5">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BB9ED5A">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46D34ABF">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32E74BF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6E592C1F">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6DFE9DB7">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杭州市萧山区人民政府新街街道办事处、浙江华夏工程管理有限公司</w:t>
      </w:r>
      <w:r>
        <w:rPr>
          <w:rFonts w:hint="eastAsia" w:ascii="仿宋" w:hAnsi="仿宋" w:eastAsia="仿宋" w:cs="仿宋"/>
          <w:color w:val="auto"/>
          <w:kern w:val="0"/>
          <w:sz w:val="24"/>
          <w:lang w:val="zh-CN"/>
        </w:rPr>
        <w:t>：</w:t>
      </w:r>
    </w:p>
    <w:p w14:paraId="5BF56A71">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新街街道全域生活垃圾清运服务项目【招标编号：***】</w:t>
      </w:r>
      <w:r>
        <w:rPr>
          <w:rFonts w:hint="eastAsia" w:ascii="仿宋" w:hAnsi="仿宋" w:eastAsia="仿宋" w:cs="仿宋"/>
          <w:color w:val="auto"/>
          <w:kern w:val="0"/>
          <w:sz w:val="24"/>
          <w:lang w:val="zh-CN"/>
        </w:rPr>
        <w:t>政府采购投标的一切事项，其法律后果由我方承担。</w:t>
      </w:r>
    </w:p>
    <w:p w14:paraId="71015FB8">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5CC1FA8C">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18B5AB7F">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14:paraId="0C80EA6D">
      <w:pPr>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zh-CN"/>
        </w:rPr>
        <w:t xml:space="preserve">                                                 签发日期：  年  月   日</w:t>
      </w:r>
    </w:p>
    <w:p w14:paraId="48AE0F6B">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5892621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杭州市萧山区人民政府新街街道办事处、浙江华夏工程管理有限公司</w:t>
      </w:r>
      <w:r>
        <w:rPr>
          <w:rFonts w:hint="eastAsia" w:ascii="仿宋" w:hAnsi="仿宋" w:eastAsia="仿宋" w:cs="仿宋"/>
          <w:color w:val="auto"/>
          <w:kern w:val="0"/>
          <w:sz w:val="24"/>
          <w:lang w:val="zh-CN"/>
        </w:rPr>
        <w:t>：</w:t>
      </w:r>
    </w:p>
    <w:p w14:paraId="02C94374">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新街街道全域生活垃圾清运服务项目【招标编号：***】</w:t>
      </w:r>
      <w:r>
        <w:rPr>
          <w:rFonts w:hint="eastAsia" w:ascii="仿宋" w:hAnsi="仿宋" w:eastAsia="仿宋" w:cs="仿宋"/>
          <w:color w:val="auto"/>
          <w:kern w:val="0"/>
          <w:sz w:val="24"/>
          <w:lang w:val="zh-CN"/>
        </w:rPr>
        <w:t>政府采购投标的一切事项，其法律后果由我方承担。</w:t>
      </w:r>
    </w:p>
    <w:p w14:paraId="7E2D76B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3130C99D">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37B3692C">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78D68E5A">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A201CF0">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1D0301F9">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176F7EAF">
      <w:pP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2B5BAF28">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775B521E">
      <w:pPr>
        <w:pStyle w:val="147"/>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B2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6A38C5">
            <w:pPr>
              <w:pStyle w:val="147"/>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57109862">
            <w:pPr>
              <w:pStyle w:val="147"/>
              <w:adjustRightInd w:val="0"/>
              <w:spacing w:line="360" w:lineRule="auto"/>
              <w:rPr>
                <w:rFonts w:hint="eastAsia" w:ascii="仿宋" w:hAnsi="仿宋" w:eastAsia="仿宋" w:cs="仿宋"/>
                <w:bCs/>
                <w:color w:val="auto"/>
                <w:sz w:val="24"/>
              </w:rPr>
            </w:pPr>
          </w:p>
        </w:tc>
      </w:tr>
    </w:tbl>
    <w:p w14:paraId="121516CC">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4E185CB0">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17A897D8">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39D5ED05">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5EF2B174">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14:paraId="1F8EAAC6">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3F3A3C88">
      <w:pPr>
        <w:snapToGrid w:val="0"/>
        <w:spacing w:line="360" w:lineRule="auto"/>
        <w:rPr>
          <w:rFonts w:hint="eastAsia" w:ascii="仿宋" w:hAnsi="仿宋" w:eastAsia="仿宋" w:cs="仿宋"/>
          <w:color w:val="auto"/>
          <w:kern w:val="0"/>
          <w:sz w:val="24"/>
        </w:rPr>
      </w:pPr>
    </w:p>
    <w:p w14:paraId="3830F5A3">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14:paraId="494C4BF3">
      <w:pPr>
        <w:jc w:val="center"/>
        <w:rPr>
          <w:rFonts w:hint="eastAsia"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64E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F0A8C09">
            <w:pPr>
              <w:snapToGrid w:val="0"/>
              <w:spacing w:line="240" w:lineRule="atLeast"/>
              <w:jc w:val="center"/>
              <w:rPr>
                <w:rFonts w:hint="eastAsia" w:ascii="仿宋" w:hAnsi="仿宋" w:eastAsia="仿宋" w:cs="仿宋"/>
                <w:bCs/>
                <w:color w:val="auto"/>
                <w:sz w:val="24"/>
              </w:rPr>
            </w:pPr>
            <w:r>
              <w:rPr>
                <w:rFonts w:hint="eastAsia" w:ascii="仿宋" w:hAnsi="仿宋" w:eastAsia="仿宋" w:cs="仿宋"/>
                <w:b/>
                <w:color w:val="auto"/>
                <w:sz w:val="24"/>
              </w:rPr>
              <w:t>序号</w:t>
            </w:r>
          </w:p>
        </w:tc>
        <w:tc>
          <w:tcPr>
            <w:tcW w:w="4991" w:type="dxa"/>
            <w:vAlign w:val="center"/>
          </w:tcPr>
          <w:p w14:paraId="22AAF82F">
            <w:pPr>
              <w:snapToGrid w:val="0"/>
              <w:spacing w:line="240" w:lineRule="atLeast"/>
              <w:jc w:val="center"/>
              <w:rPr>
                <w:rFonts w:hint="eastAsia" w:ascii="仿宋" w:hAnsi="仿宋" w:eastAsia="仿宋" w:cs="仿宋"/>
                <w:bCs/>
                <w:color w:val="auto"/>
                <w:sz w:val="24"/>
              </w:rPr>
            </w:pPr>
            <w:r>
              <w:rPr>
                <w:rFonts w:hint="eastAsia" w:ascii="仿宋" w:hAnsi="仿宋" w:eastAsia="仿宋" w:cs="仿宋"/>
                <w:b/>
                <w:color w:val="auto"/>
                <w:sz w:val="24"/>
              </w:rPr>
              <w:t>实质性要求</w:t>
            </w:r>
          </w:p>
        </w:tc>
        <w:tc>
          <w:tcPr>
            <w:tcW w:w="2551" w:type="dxa"/>
            <w:vAlign w:val="center"/>
          </w:tcPr>
          <w:p w14:paraId="13FFDE6C">
            <w:pPr>
              <w:snapToGrid w:val="0"/>
              <w:spacing w:line="240" w:lineRule="atLeast"/>
              <w:jc w:val="center"/>
              <w:rPr>
                <w:rFonts w:hint="eastAsia" w:ascii="仿宋" w:hAnsi="仿宋" w:eastAsia="仿宋" w:cs="仿宋"/>
                <w:bCs/>
                <w:color w:val="auto"/>
                <w:sz w:val="24"/>
              </w:rPr>
            </w:pPr>
            <w:r>
              <w:rPr>
                <w:rFonts w:hint="eastAsia" w:ascii="仿宋" w:hAnsi="仿宋" w:eastAsia="仿宋" w:cs="仿宋"/>
                <w:b/>
                <w:color w:val="auto"/>
                <w:sz w:val="24"/>
              </w:rPr>
              <w:t>需要提供的符合性审查资料</w:t>
            </w:r>
          </w:p>
        </w:tc>
        <w:tc>
          <w:tcPr>
            <w:tcW w:w="1418" w:type="dxa"/>
            <w:vAlign w:val="center"/>
          </w:tcPr>
          <w:p w14:paraId="5A048350">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14:paraId="7A2E8919">
            <w:pPr>
              <w:snapToGrid w:val="0"/>
              <w:spacing w:line="240" w:lineRule="atLeast"/>
              <w:jc w:val="center"/>
              <w:rPr>
                <w:rFonts w:hint="eastAsia" w:ascii="仿宋" w:hAnsi="仿宋" w:eastAsia="仿宋" w:cs="仿宋"/>
                <w:bCs/>
                <w:color w:val="auto"/>
                <w:sz w:val="24"/>
              </w:rPr>
            </w:pPr>
            <w:r>
              <w:rPr>
                <w:rFonts w:hint="eastAsia" w:ascii="仿宋" w:hAnsi="仿宋" w:eastAsia="仿宋" w:cs="仿宋"/>
                <w:b/>
                <w:color w:val="auto"/>
                <w:sz w:val="24"/>
              </w:rPr>
              <w:t>页码位置</w:t>
            </w:r>
          </w:p>
        </w:tc>
      </w:tr>
      <w:tr w14:paraId="2716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9D88A1">
            <w:pPr>
              <w:jc w:val="center"/>
              <w:rPr>
                <w:rFonts w:hint="eastAsia" w:ascii="仿宋" w:hAnsi="仿宋" w:eastAsia="仿宋" w:cs="仿宋"/>
                <w:bCs/>
                <w:color w:val="auto"/>
                <w:sz w:val="24"/>
              </w:rPr>
            </w:pPr>
            <w:r>
              <w:rPr>
                <w:rFonts w:hint="eastAsia" w:ascii="仿宋" w:hAnsi="仿宋" w:eastAsia="仿宋" w:cs="仿宋"/>
                <w:color w:val="auto"/>
                <w:sz w:val="24"/>
              </w:rPr>
              <w:t>1</w:t>
            </w:r>
          </w:p>
        </w:tc>
        <w:tc>
          <w:tcPr>
            <w:tcW w:w="4991" w:type="dxa"/>
          </w:tcPr>
          <w:p w14:paraId="158F7297">
            <w:pPr>
              <w:spacing w:line="360" w:lineRule="auto"/>
              <w:rPr>
                <w:rFonts w:hint="eastAsia" w:ascii="仿宋" w:hAnsi="仿宋" w:eastAsia="仿宋" w:cs="仿宋"/>
                <w:bCs/>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3B2BC620">
            <w:pPr>
              <w:rPr>
                <w:rFonts w:hint="eastAsia" w:ascii="仿宋" w:hAnsi="仿宋" w:eastAsia="仿宋" w:cs="仿宋"/>
                <w:bCs/>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14:paraId="195C871B">
            <w:pPr>
              <w:rPr>
                <w:rFonts w:hint="eastAsia" w:ascii="仿宋" w:hAnsi="仿宋" w:eastAsia="仿宋" w:cs="仿宋"/>
                <w:color w:val="auto"/>
                <w:sz w:val="24"/>
              </w:rPr>
            </w:pPr>
          </w:p>
          <w:p w14:paraId="0DB7C33F">
            <w:pPr>
              <w:rPr>
                <w:rFonts w:hint="eastAsia" w:ascii="仿宋" w:hAnsi="仿宋" w:eastAsia="仿宋" w:cs="仿宋"/>
                <w:color w:val="auto"/>
                <w:sz w:val="24"/>
              </w:rPr>
            </w:pPr>
            <w:r>
              <w:rPr>
                <w:rFonts w:hint="eastAsia" w:ascii="仿宋" w:hAnsi="仿宋" w:eastAsia="仿宋" w:cs="仿宋"/>
                <w:color w:val="auto"/>
                <w:sz w:val="24"/>
              </w:rPr>
              <w:t>见投标文件</w:t>
            </w:r>
          </w:p>
          <w:p w14:paraId="5DC9F059">
            <w:pPr>
              <w:rPr>
                <w:rFonts w:hint="eastAsia" w:ascii="仿宋" w:hAnsi="仿宋" w:eastAsia="仿宋" w:cs="仿宋"/>
                <w:bCs/>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772E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F2C3F8">
            <w:pPr>
              <w:jc w:val="center"/>
              <w:rPr>
                <w:rFonts w:hint="eastAsia" w:ascii="仿宋" w:hAnsi="仿宋" w:eastAsia="仿宋" w:cs="仿宋"/>
                <w:bCs/>
                <w:color w:val="auto"/>
                <w:sz w:val="24"/>
              </w:rPr>
            </w:pPr>
            <w:r>
              <w:rPr>
                <w:rFonts w:hint="eastAsia" w:ascii="仿宋" w:hAnsi="仿宋" w:eastAsia="仿宋" w:cs="仿宋"/>
                <w:color w:val="auto"/>
                <w:sz w:val="24"/>
              </w:rPr>
              <w:t>2</w:t>
            </w:r>
          </w:p>
        </w:tc>
        <w:tc>
          <w:tcPr>
            <w:tcW w:w="4991" w:type="dxa"/>
          </w:tcPr>
          <w:p w14:paraId="1C54BE9D">
            <w:pPr>
              <w:spacing w:line="360" w:lineRule="auto"/>
              <w:rPr>
                <w:rFonts w:hint="eastAsia" w:ascii="仿宋" w:hAnsi="仿宋" w:eastAsia="仿宋" w:cs="仿宋"/>
                <w:bCs/>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7A214561">
            <w:pPr>
              <w:rPr>
                <w:rFonts w:hint="eastAsia" w:ascii="仿宋" w:hAnsi="仿宋" w:eastAsia="仿宋" w:cs="仿宋"/>
                <w:bCs/>
                <w:color w:val="auto"/>
                <w:sz w:val="24"/>
              </w:rPr>
            </w:pPr>
            <w:r>
              <w:rPr>
                <w:rFonts w:hint="eastAsia" w:ascii="仿宋" w:hAnsi="仿宋" w:eastAsia="仿宋" w:cs="仿宋"/>
                <w:color w:val="auto"/>
                <w:sz w:val="24"/>
              </w:rPr>
              <w:t>投标函</w:t>
            </w:r>
          </w:p>
        </w:tc>
        <w:tc>
          <w:tcPr>
            <w:tcW w:w="1418" w:type="dxa"/>
          </w:tcPr>
          <w:p w14:paraId="696F8ADA">
            <w:pPr>
              <w:rPr>
                <w:rFonts w:hint="eastAsia" w:ascii="仿宋" w:hAnsi="仿宋" w:eastAsia="仿宋" w:cs="仿宋"/>
                <w:bCs/>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2A67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961335">
            <w:pPr>
              <w:jc w:val="center"/>
              <w:rPr>
                <w:rFonts w:hint="eastAsia" w:ascii="仿宋" w:hAnsi="仿宋" w:eastAsia="仿宋" w:cs="仿宋"/>
                <w:bCs/>
                <w:color w:val="auto"/>
                <w:sz w:val="24"/>
              </w:rPr>
            </w:pPr>
            <w:r>
              <w:rPr>
                <w:rFonts w:hint="eastAsia" w:ascii="仿宋" w:hAnsi="仿宋" w:eastAsia="仿宋" w:cs="仿宋"/>
                <w:color w:val="auto"/>
                <w:sz w:val="24"/>
              </w:rPr>
              <w:t>3</w:t>
            </w:r>
          </w:p>
        </w:tc>
        <w:tc>
          <w:tcPr>
            <w:tcW w:w="4991" w:type="dxa"/>
          </w:tcPr>
          <w:p w14:paraId="6D6BC7AB">
            <w:pPr>
              <w:snapToGrid w:val="0"/>
              <w:spacing w:line="360" w:lineRule="auto"/>
              <w:rPr>
                <w:rFonts w:hint="eastAsia" w:ascii="仿宋" w:hAnsi="仿宋" w:eastAsia="仿宋" w:cs="仿宋"/>
                <w:snapToGrid w:val="0"/>
                <w:color w:val="auto"/>
                <w:sz w:val="24"/>
              </w:rPr>
            </w:pPr>
            <w:r>
              <w:rPr>
                <w:rFonts w:hint="eastAsia" w:ascii="仿宋" w:hAnsi="仿宋" w:eastAsia="仿宋" w:cs="仿宋"/>
                <w:snapToGrid w:val="0"/>
                <w:color w:val="auto"/>
                <w:sz w:val="24"/>
              </w:rPr>
              <w:t>投标文件的组成应符合招标文件要求</w:t>
            </w:r>
          </w:p>
          <w:p w14:paraId="5AD7EF25">
            <w:pPr>
              <w:spacing w:line="360" w:lineRule="auto"/>
              <w:rPr>
                <w:rFonts w:hint="eastAsia" w:ascii="仿宋" w:hAnsi="仿宋" w:eastAsia="仿宋" w:cs="仿宋"/>
                <w:bCs/>
                <w:color w:val="auto"/>
                <w:sz w:val="24"/>
              </w:rPr>
            </w:pPr>
          </w:p>
        </w:tc>
        <w:tc>
          <w:tcPr>
            <w:tcW w:w="2551" w:type="dxa"/>
            <w:vAlign w:val="center"/>
          </w:tcPr>
          <w:p w14:paraId="28FE3A61">
            <w:pPr>
              <w:rPr>
                <w:rFonts w:hint="eastAsia" w:ascii="仿宋" w:hAnsi="仿宋" w:eastAsia="仿宋" w:cs="仿宋"/>
                <w:bCs/>
                <w:color w:val="auto"/>
                <w:sz w:val="24"/>
              </w:rPr>
            </w:pPr>
            <w:r>
              <w:rPr>
                <w:rFonts w:hint="eastAsia" w:ascii="仿宋" w:hAnsi="仿宋" w:eastAsia="仿宋" w:cs="仿宋"/>
                <w:color w:val="auto"/>
                <w:sz w:val="24"/>
              </w:rPr>
              <w:t>投标文件</w:t>
            </w:r>
          </w:p>
        </w:tc>
        <w:tc>
          <w:tcPr>
            <w:tcW w:w="1418" w:type="dxa"/>
          </w:tcPr>
          <w:p w14:paraId="3C127035">
            <w:pPr>
              <w:rPr>
                <w:rFonts w:hint="eastAsia" w:ascii="仿宋" w:hAnsi="仿宋" w:eastAsia="仿宋" w:cs="仿宋"/>
                <w:bCs/>
                <w:color w:val="auto"/>
              </w:rPr>
            </w:pPr>
            <w:r>
              <w:rPr>
                <w:rFonts w:hint="eastAsia" w:ascii="仿宋" w:hAnsi="仿宋" w:eastAsia="仿宋" w:cs="仿宋"/>
                <w:color w:val="auto"/>
                <w:sz w:val="24"/>
              </w:rPr>
              <w:t>/</w:t>
            </w:r>
          </w:p>
        </w:tc>
      </w:tr>
      <w:tr w14:paraId="0BDF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CD5AAF">
            <w:pPr>
              <w:jc w:val="center"/>
              <w:rPr>
                <w:rFonts w:hint="eastAsia" w:ascii="仿宋" w:hAnsi="仿宋" w:eastAsia="仿宋" w:cs="仿宋"/>
                <w:b/>
                <w:bCs/>
                <w:color w:val="auto"/>
                <w:sz w:val="24"/>
              </w:rPr>
            </w:pPr>
            <w:r>
              <w:rPr>
                <w:rFonts w:hint="eastAsia" w:ascii="仿宋" w:hAnsi="仿宋" w:eastAsia="仿宋" w:cs="仿宋"/>
                <w:color w:val="auto"/>
                <w:sz w:val="24"/>
              </w:rPr>
              <w:t>4</w:t>
            </w:r>
          </w:p>
        </w:tc>
        <w:tc>
          <w:tcPr>
            <w:tcW w:w="4991" w:type="dxa"/>
          </w:tcPr>
          <w:p w14:paraId="071CC7D1">
            <w:pPr>
              <w:spacing w:line="360" w:lineRule="auto"/>
              <w:rPr>
                <w:rFonts w:hint="eastAsia" w:ascii="仿宋" w:hAnsi="仿宋" w:eastAsia="仿宋" w:cs="仿宋"/>
                <w:b/>
                <w:bCs/>
                <w:color w:val="auto"/>
                <w:sz w:val="24"/>
              </w:rPr>
            </w:pPr>
            <w:r>
              <w:rPr>
                <w:rFonts w:hint="eastAsia" w:ascii="仿宋" w:hAnsi="仿宋" w:eastAsia="仿宋" w:cs="仿宋"/>
                <w:snapToGrid w:val="0"/>
                <w:color w:val="auto"/>
                <w:sz w:val="24"/>
              </w:rPr>
              <w:t>其他实质性要求1：</w:t>
            </w:r>
          </w:p>
        </w:tc>
        <w:tc>
          <w:tcPr>
            <w:tcW w:w="2551" w:type="dxa"/>
            <w:vMerge w:val="restart"/>
            <w:vAlign w:val="center"/>
          </w:tcPr>
          <w:p w14:paraId="762A410A">
            <w:pPr>
              <w:rPr>
                <w:rFonts w:hint="eastAsia" w:ascii="仿宋" w:hAnsi="仿宋" w:eastAsia="仿宋" w:cs="仿宋"/>
                <w:b/>
                <w:bCs/>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tcPr>
          <w:p w14:paraId="4E0E0B9A">
            <w:pPr>
              <w:rPr>
                <w:rFonts w:hint="eastAsia" w:ascii="仿宋" w:hAnsi="仿宋" w:eastAsia="仿宋" w:cs="仿宋"/>
                <w:b/>
                <w:bCs/>
                <w:color w:val="auto"/>
                <w:sz w:val="24"/>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7991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9CEBEB">
            <w:pPr>
              <w:jc w:val="center"/>
              <w:rPr>
                <w:rFonts w:hint="eastAsia" w:ascii="仿宋" w:hAnsi="仿宋" w:eastAsia="仿宋" w:cs="仿宋"/>
                <w:b/>
                <w:bCs/>
                <w:color w:val="auto"/>
                <w:sz w:val="24"/>
              </w:rPr>
            </w:pPr>
            <w:r>
              <w:rPr>
                <w:rFonts w:hint="eastAsia" w:ascii="仿宋" w:hAnsi="仿宋" w:eastAsia="仿宋" w:cs="仿宋"/>
                <w:color w:val="auto"/>
                <w:sz w:val="24"/>
              </w:rPr>
              <w:t>5</w:t>
            </w:r>
          </w:p>
        </w:tc>
        <w:tc>
          <w:tcPr>
            <w:tcW w:w="4991" w:type="dxa"/>
          </w:tcPr>
          <w:p w14:paraId="27135709">
            <w:pPr>
              <w:spacing w:line="360" w:lineRule="auto"/>
              <w:rPr>
                <w:rFonts w:hint="eastAsia" w:ascii="仿宋" w:hAnsi="仿宋" w:eastAsia="仿宋" w:cs="仿宋"/>
                <w:b/>
                <w:bCs/>
                <w:color w:val="auto"/>
                <w:sz w:val="24"/>
              </w:rPr>
            </w:pPr>
            <w:r>
              <w:rPr>
                <w:rFonts w:hint="eastAsia" w:ascii="仿宋" w:hAnsi="仿宋" w:eastAsia="仿宋" w:cs="仿宋"/>
                <w:snapToGrid w:val="0"/>
                <w:color w:val="auto"/>
                <w:sz w:val="24"/>
              </w:rPr>
              <w:t>其他实质性要求2：</w:t>
            </w:r>
          </w:p>
        </w:tc>
        <w:tc>
          <w:tcPr>
            <w:tcW w:w="2551" w:type="dxa"/>
            <w:vMerge w:val="continue"/>
            <w:vAlign w:val="center"/>
          </w:tcPr>
          <w:p w14:paraId="2BFEC4BE">
            <w:pPr>
              <w:rPr>
                <w:rFonts w:hint="eastAsia" w:ascii="仿宋" w:hAnsi="仿宋" w:eastAsia="仿宋" w:cs="仿宋"/>
                <w:b/>
                <w:bCs/>
                <w:color w:val="auto"/>
                <w:sz w:val="24"/>
              </w:rPr>
            </w:pPr>
          </w:p>
        </w:tc>
        <w:tc>
          <w:tcPr>
            <w:tcW w:w="1418" w:type="dxa"/>
          </w:tcPr>
          <w:p w14:paraId="67CE8A02">
            <w:pPr>
              <w:rPr>
                <w:rFonts w:hint="eastAsia" w:ascii="仿宋" w:hAnsi="仿宋" w:eastAsia="仿宋" w:cs="仿宋"/>
                <w:b/>
                <w:bCs/>
                <w:color w:val="auto"/>
                <w:sz w:val="24"/>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7E16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FDF8CD">
            <w:pPr>
              <w:jc w:val="center"/>
              <w:rPr>
                <w:rFonts w:hint="eastAsia" w:ascii="仿宋" w:hAnsi="仿宋" w:eastAsia="仿宋" w:cs="仿宋"/>
                <w:b/>
                <w:bCs/>
                <w:color w:val="auto"/>
                <w:sz w:val="24"/>
              </w:rPr>
            </w:pPr>
            <w:r>
              <w:rPr>
                <w:rFonts w:hint="eastAsia" w:ascii="仿宋" w:hAnsi="仿宋" w:eastAsia="仿宋" w:cs="仿宋"/>
                <w:color w:val="auto"/>
                <w:kern w:val="0"/>
                <w:sz w:val="24"/>
              </w:rPr>
              <w:t>……</w:t>
            </w:r>
          </w:p>
        </w:tc>
        <w:tc>
          <w:tcPr>
            <w:tcW w:w="4991" w:type="dxa"/>
          </w:tcPr>
          <w:p w14:paraId="453EAE82">
            <w:pPr>
              <w:spacing w:line="360" w:lineRule="auto"/>
              <w:rPr>
                <w:rFonts w:hint="eastAsia" w:ascii="仿宋" w:hAnsi="仿宋" w:eastAsia="仿宋" w:cs="仿宋"/>
                <w:b/>
                <w:bCs/>
                <w:color w:val="auto"/>
                <w:sz w:val="24"/>
              </w:rPr>
            </w:pPr>
            <w:r>
              <w:rPr>
                <w:rFonts w:hint="eastAsia" w:ascii="仿宋" w:hAnsi="仿宋" w:eastAsia="仿宋" w:cs="仿宋"/>
                <w:snapToGrid w:val="0"/>
                <w:color w:val="auto"/>
                <w:sz w:val="24"/>
              </w:rPr>
              <w:t>其他实质性要求</w:t>
            </w:r>
            <w:r>
              <w:rPr>
                <w:rFonts w:hint="eastAsia" w:ascii="仿宋" w:hAnsi="仿宋" w:eastAsia="仿宋" w:cs="仿宋"/>
                <w:color w:val="auto"/>
                <w:kern w:val="0"/>
                <w:sz w:val="24"/>
              </w:rPr>
              <w:t>……</w:t>
            </w:r>
            <w:r>
              <w:rPr>
                <w:rFonts w:hint="eastAsia" w:ascii="仿宋" w:hAnsi="仿宋" w:eastAsia="仿宋" w:cs="仿宋"/>
                <w:snapToGrid w:val="0"/>
                <w:color w:val="auto"/>
                <w:sz w:val="24"/>
              </w:rPr>
              <w:t>：</w:t>
            </w:r>
          </w:p>
        </w:tc>
        <w:tc>
          <w:tcPr>
            <w:tcW w:w="2551" w:type="dxa"/>
            <w:vMerge w:val="continue"/>
            <w:vAlign w:val="center"/>
          </w:tcPr>
          <w:p w14:paraId="10B9897F">
            <w:pPr>
              <w:rPr>
                <w:rFonts w:hint="eastAsia" w:ascii="仿宋" w:hAnsi="仿宋" w:eastAsia="仿宋" w:cs="仿宋"/>
                <w:b/>
                <w:bCs/>
                <w:color w:val="auto"/>
                <w:sz w:val="24"/>
              </w:rPr>
            </w:pPr>
          </w:p>
        </w:tc>
        <w:tc>
          <w:tcPr>
            <w:tcW w:w="1418" w:type="dxa"/>
          </w:tcPr>
          <w:p w14:paraId="38DC7F90">
            <w:pPr>
              <w:rPr>
                <w:rFonts w:hint="eastAsia" w:ascii="仿宋" w:hAnsi="仿宋" w:eastAsia="仿宋" w:cs="仿宋"/>
                <w:b/>
                <w:bCs/>
                <w:color w:val="auto"/>
                <w:sz w:val="24"/>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4432A6AD">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63103E7">
      <w:pPr>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14:paraId="016F9295">
      <w:pPr>
        <w:snapToGrid w:val="0"/>
        <w:spacing w:line="360" w:lineRule="auto"/>
        <w:jc w:val="left"/>
        <w:rPr>
          <w:rFonts w:hint="eastAsia" w:ascii="仿宋" w:hAnsi="仿宋" w:eastAsia="仿宋" w:cs="仿宋"/>
          <w:bCs/>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BDC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3057138E">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5465" w:type="dxa"/>
          </w:tcPr>
          <w:p w14:paraId="1795F59F">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投标文件中评标标准相应的商务技术资料目录*</w:t>
            </w:r>
          </w:p>
        </w:tc>
        <w:tc>
          <w:tcPr>
            <w:tcW w:w="3046" w:type="dxa"/>
          </w:tcPr>
          <w:p w14:paraId="6EFC9B3B">
            <w:pPr>
              <w:snapToGrid w:val="0"/>
              <w:spacing w:line="240" w:lineRule="atLeast"/>
              <w:jc w:val="center"/>
              <w:rPr>
                <w:rFonts w:hint="eastAsia" w:ascii="仿宋" w:hAnsi="仿宋" w:eastAsia="仿宋" w:cs="仿宋"/>
                <w:bCs/>
                <w:color w:val="auto"/>
                <w:sz w:val="24"/>
              </w:rPr>
            </w:pPr>
            <w:r>
              <w:rPr>
                <w:rFonts w:hint="eastAsia" w:ascii="仿宋" w:hAnsi="仿宋" w:eastAsia="仿宋" w:cs="仿宋"/>
                <w:bCs/>
                <w:color w:val="auto"/>
                <w:sz w:val="24"/>
              </w:rPr>
              <w:t>投标文件中的页码位置</w:t>
            </w:r>
          </w:p>
        </w:tc>
      </w:tr>
      <w:tr w14:paraId="08DB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3ED6916">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5465" w:type="dxa"/>
          </w:tcPr>
          <w:p w14:paraId="75E56833">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XXX</w:t>
            </w:r>
          </w:p>
        </w:tc>
        <w:tc>
          <w:tcPr>
            <w:tcW w:w="3046" w:type="dxa"/>
          </w:tcPr>
          <w:p w14:paraId="7CDB6C6D">
            <w:pPr>
              <w:jc w:val="center"/>
              <w:rPr>
                <w:rFonts w:hint="eastAsia" w:ascii="仿宋" w:hAnsi="仿宋" w:eastAsia="仿宋" w:cs="仿宋"/>
                <w:bCs/>
                <w:color w:val="auto"/>
                <w:sz w:val="24"/>
              </w:rPr>
            </w:pPr>
            <w:r>
              <w:rPr>
                <w:rFonts w:hint="eastAsia" w:ascii="仿宋" w:hAnsi="仿宋" w:eastAsia="仿宋" w:cs="仿宋"/>
                <w:bCs/>
                <w:color w:val="auto"/>
                <w:sz w:val="24"/>
              </w:rPr>
              <w:t>见投标文件第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页</w:t>
            </w:r>
          </w:p>
        </w:tc>
      </w:tr>
      <w:tr w14:paraId="62CC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D13314">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5465" w:type="dxa"/>
          </w:tcPr>
          <w:p w14:paraId="76A17C33">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XXX</w:t>
            </w:r>
          </w:p>
        </w:tc>
        <w:tc>
          <w:tcPr>
            <w:tcW w:w="3046" w:type="dxa"/>
          </w:tcPr>
          <w:p w14:paraId="2C26AD22">
            <w:pPr>
              <w:jc w:val="center"/>
              <w:rPr>
                <w:rFonts w:hint="eastAsia" w:ascii="仿宋" w:hAnsi="仿宋" w:eastAsia="仿宋" w:cs="仿宋"/>
                <w:bCs/>
                <w:color w:val="auto"/>
                <w:sz w:val="24"/>
              </w:rPr>
            </w:pPr>
            <w:r>
              <w:rPr>
                <w:rFonts w:hint="eastAsia" w:ascii="仿宋" w:hAnsi="仿宋" w:eastAsia="仿宋" w:cs="仿宋"/>
                <w:bCs/>
                <w:color w:val="auto"/>
                <w:sz w:val="24"/>
              </w:rPr>
              <w:t>见投标文件第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页</w:t>
            </w:r>
          </w:p>
        </w:tc>
      </w:tr>
      <w:tr w14:paraId="3485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60363D1">
            <w:pPr>
              <w:snapToGrid w:val="0"/>
              <w:spacing w:line="360" w:lineRule="auto"/>
              <w:jc w:val="center"/>
              <w:rPr>
                <w:rFonts w:hint="eastAsia" w:ascii="仿宋" w:hAnsi="仿宋" w:eastAsia="仿宋" w:cs="仿宋"/>
                <w:bCs/>
                <w:color w:val="auto"/>
                <w:sz w:val="24"/>
              </w:rPr>
            </w:pPr>
            <w:r>
              <w:rPr>
                <w:rFonts w:hint="eastAsia" w:ascii="仿宋" w:hAnsi="仿宋" w:eastAsia="仿宋" w:cs="仿宋"/>
                <w:color w:val="auto"/>
                <w:kern w:val="0"/>
                <w:sz w:val="24"/>
              </w:rPr>
              <w:t>……</w:t>
            </w:r>
          </w:p>
        </w:tc>
        <w:tc>
          <w:tcPr>
            <w:tcW w:w="5465" w:type="dxa"/>
          </w:tcPr>
          <w:p w14:paraId="2B192769">
            <w:pPr>
              <w:snapToGrid w:val="0"/>
              <w:spacing w:line="360" w:lineRule="auto"/>
              <w:jc w:val="center"/>
              <w:rPr>
                <w:rFonts w:hint="eastAsia" w:ascii="仿宋" w:hAnsi="仿宋" w:eastAsia="仿宋" w:cs="仿宋"/>
                <w:bCs/>
                <w:color w:val="auto"/>
                <w:sz w:val="24"/>
              </w:rPr>
            </w:pPr>
          </w:p>
        </w:tc>
        <w:tc>
          <w:tcPr>
            <w:tcW w:w="3046" w:type="dxa"/>
          </w:tcPr>
          <w:p w14:paraId="7F09C2DA">
            <w:pPr>
              <w:jc w:val="center"/>
              <w:rPr>
                <w:rFonts w:hint="eastAsia" w:ascii="仿宋" w:hAnsi="仿宋" w:eastAsia="仿宋" w:cs="仿宋"/>
                <w:bCs/>
                <w:color w:val="auto"/>
                <w:sz w:val="24"/>
              </w:rPr>
            </w:pPr>
            <w:r>
              <w:rPr>
                <w:rFonts w:hint="eastAsia" w:ascii="仿宋" w:hAnsi="仿宋" w:eastAsia="仿宋" w:cs="仿宋"/>
                <w:bCs/>
                <w:color w:val="auto"/>
                <w:sz w:val="24"/>
              </w:rPr>
              <w:t>见投标文件第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页</w:t>
            </w:r>
          </w:p>
        </w:tc>
      </w:tr>
    </w:tbl>
    <w:p w14:paraId="74DB7612">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224D9577">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681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6BB2B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FB346E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7BB40FDD">
            <w:pPr>
              <w:spacing w:line="360" w:lineRule="auto"/>
              <w:jc w:val="center"/>
              <w:rPr>
                <w:rFonts w:hint="eastAsia" w:ascii="仿宋" w:hAnsi="仿宋" w:eastAsia="仿宋" w:cs="仿宋"/>
                <w:b/>
                <w:color w:val="auto"/>
                <w:sz w:val="24"/>
              </w:rPr>
            </w:pPr>
          </w:p>
          <w:p w14:paraId="45D18C7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306A2C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09E5A5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5FCBD7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BFD0307">
            <w:pPr>
              <w:spacing w:line="360" w:lineRule="auto"/>
              <w:jc w:val="center"/>
              <w:rPr>
                <w:rFonts w:hint="eastAsia" w:ascii="仿宋" w:hAnsi="仿宋" w:eastAsia="仿宋" w:cs="仿宋"/>
                <w:b/>
                <w:color w:val="auto"/>
                <w:sz w:val="24"/>
              </w:rPr>
            </w:pPr>
          </w:p>
          <w:p w14:paraId="1469FA7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40BA4F51">
            <w:pPr>
              <w:spacing w:line="360" w:lineRule="auto"/>
              <w:jc w:val="center"/>
              <w:rPr>
                <w:rFonts w:hint="eastAsia" w:ascii="仿宋" w:hAnsi="仿宋" w:eastAsia="仿宋" w:cs="仿宋"/>
                <w:b/>
                <w:color w:val="auto"/>
                <w:sz w:val="24"/>
              </w:rPr>
            </w:pPr>
          </w:p>
        </w:tc>
      </w:tr>
      <w:tr w14:paraId="659E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59869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A8DCA50">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C974F62">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CD20DE">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F72BC51">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FAF36D5">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FD76730">
            <w:pPr>
              <w:spacing w:line="360" w:lineRule="auto"/>
              <w:jc w:val="center"/>
              <w:rPr>
                <w:rFonts w:hint="eastAsia" w:ascii="仿宋" w:hAnsi="仿宋" w:eastAsia="仿宋" w:cs="仿宋"/>
                <w:color w:val="auto"/>
                <w:sz w:val="24"/>
              </w:rPr>
            </w:pPr>
          </w:p>
        </w:tc>
      </w:tr>
      <w:tr w14:paraId="6F1C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8DB80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DA8672">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646DFA">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9DBC9E3">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FDD00E7">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C7865EC">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1EAFDEE">
            <w:pPr>
              <w:spacing w:line="360" w:lineRule="auto"/>
              <w:jc w:val="center"/>
              <w:rPr>
                <w:rFonts w:hint="eastAsia" w:ascii="仿宋" w:hAnsi="仿宋" w:eastAsia="仿宋" w:cs="仿宋"/>
                <w:color w:val="auto"/>
                <w:sz w:val="24"/>
              </w:rPr>
            </w:pPr>
          </w:p>
        </w:tc>
      </w:tr>
      <w:tr w14:paraId="64A2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0A922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694E868">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9A4D79D">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F08936">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DCCBB19">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232B029">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D9CD4F5">
            <w:pPr>
              <w:spacing w:line="360" w:lineRule="auto"/>
              <w:jc w:val="center"/>
              <w:rPr>
                <w:rFonts w:hint="eastAsia" w:ascii="仿宋" w:hAnsi="仿宋" w:eastAsia="仿宋" w:cs="仿宋"/>
                <w:color w:val="auto"/>
                <w:sz w:val="24"/>
              </w:rPr>
            </w:pPr>
          </w:p>
        </w:tc>
      </w:tr>
    </w:tbl>
    <w:p w14:paraId="4DF28018">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B28FF85">
      <w:pPr>
        <w:jc w:val="center"/>
        <w:rPr>
          <w:rFonts w:hint="eastAsia" w:ascii="仿宋" w:hAnsi="仿宋" w:eastAsia="仿宋" w:cs="仿宋"/>
          <w:b/>
          <w:color w:val="auto"/>
          <w:kern w:val="0"/>
          <w:sz w:val="32"/>
          <w:szCs w:val="32"/>
        </w:rPr>
      </w:pPr>
    </w:p>
    <w:p w14:paraId="1EDF7340">
      <w:pPr>
        <w:jc w:val="center"/>
        <w:rPr>
          <w:rFonts w:hint="eastAsia" w:ascii="仿宋" w:hAnsi="仿宋" w:eastAsia="仿宋" w:cs="仿宋"/>
          <w:b/>
          <w:color w:val="auto"/>
          <w:kern w:val="0"/>
          <w:sz w:val="32"/>
          <w:szCs w:val="32"/>
        </w:rPr>
      </w:pPr>
    </w:p>
    <w:p w14:paraId="7D55214F">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E3C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5EBC358">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00B1D353">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14:paraId="4104CE26">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14:paraId="70656E15">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5A48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007E91">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7F0436B2">
            <w:pPr>
              <w:jc w:val="center"/>
              <w:rPr>
                <w:rFonts w:hint="eastAsia" w:ascii="仿宋" w:hAnsi="仿宋" w:eastAsia="仿宋" w:cs="仿宋"/>
                <w:b/>
                <w:color w:val="auto"/>
                <w:kern w:val="0"/>
                <w:sz w:val="32"/>
                <w:szCs w:val="32"/>
              </w:rPr>
            </w:pPr>
          </w:p>
        </w:tc>
        <w:tc>
          <w:tcPr>
            <w:tcW w:w="3546" w:type="dxa"/>
          </w:tcPr>
          <w:p w14:paraId="5FB34971">
            <w:pPr>
              <w:jc w:val="center"/>
              <w:rPr>
                <w:rFonts w:hint="eastAsia" w:ascii="仿宋" w:hAnsi="仿宋" w:eastAsia="仿宋" w:cs="仿宋"/>
                <w:b/>
                <w:color w:val="auto"/>
                <w:kern w:val="0"/>
                <w:sz w:val="32"/>
                <w:szCs w:val="32"/>
              </w:rPr>
            </w:pPr>
          </w:p>
        </w:tc>
        <w:tc>
          <w:tcPr>
            <w:tcW w:w="1276" w:type="dxa"/>
          </w:tcPr>
          <w:p w14:paraId="7C155AC6">
            <w:pPr>
              <w:jc w:val="center"/>
              <w:rPr>
                <w:rFonts w:hint="eastAsia" w:ascii="仿宋" w:hAnsi="仿宋" w:eastAsia="仿宋" w:cs="仿宋"/>
                <w:b/>
                <w:color w:val="auto"/>
                <w:kern w:val="0"/>
                <w:sz w:val="32"/>
                <w:szCs w:val="32"/>
              </w:rPr>
            </w:pPr>
          </w:p>
        </w:tc>
      </w:tr>
      <w:tr w14:paraId="7FD7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7B2E3C">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01A983AD">
            <w:pPr>
              <w:jc w:val="center"/>
              <w:rPr>
                <w:rFonts w:hint="eastAsia" w:ascii="仿宋" w:hAnsi="仿宋" w:eastAsia="仿宋" w:cs="仿宋"/>
                <w:b/>
                <w:color w:val="auto"/>
                <w:kern w:val="0"/>
                <w:sz w:val="32"/>
                <w:szCs w:val="32"/>
              </w:rPr>
            </w:pPr>
          </w:p>
        </w:tc>
        <w:tc>
          <w:tcPr>
            <w:tcW w:w="3546" w:type="dxa"/>
          </w:tcPr>
          <w:p w14:paraId="5F2D2916">
            <w:pPr>
              <w:jc w:val="center"/>
              <w:rPr>
                <w:rFonts w:hint="eastAsia" w:ascii="仿宋" w:hAnsi="仿宋" w:eastAsia="仿宋" w:cs="仿宋"/>
                <w:b/>
                <w:color w:val="auto"/>
                <w:kern w:val="0"/>
                <w:sz w:val="32"/>
                <w:szCs w:val="32"/>
              </w:rPr>
            </w:pPr>
          </w:p>
        </w:tc>
        <w:tc>
          <w:tcPr>
            <w:tcW w:w="1276" w:type="dxa"/>
          </w:tcPr>
          <w:p w14:paraId="628E1565">
            <w:pPr>
              <w:jc w:val="center"/>
              <w:rPr>
                <w:rFonts w:hint="eastAsia" w:ascii="仿宋" w:hAnsi="仿宋" w:eastAsia="仿宋" w:cs="仿宋"/>
                <w:b/>
                <w:color w:val="auto"/>
                <w:kern w:val="0"/>
                <w:sz w:val="32"/>
                <w:szCs w:val="32"/>
              </w:rPr>
            </w:pPr>
          </w:p>
        </w:tc>
      </w:tr>
      <w:tr w14:paraId="2400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C56DE9">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5E164FB2">
            <w:pPr>
              <w:jc w:val="center"/>
              <w:rPr>
                <w:rFonts w:hint="eastAsia" w:ascii="仿宋" w:hAnsi="仿宋" w:eastAsia="仿宋" w:cs="仿宋"/>
                <w:b/>
                <w:color w:val="auto"/>
                <w:kern w:val="0"/>
                <w:sz w:val="32"/>
                <w:szCs w:val="32"/>
              </w:rPr>
            </w:pPr>
          </w:p>
        </w:tc>
        <w:tc>
          <w:tcPr>
            <w:tcW w:w="3546" w:type="dxa"/>
          </w:tcPr>
          <w:p w14:paraId="18FC4784">
            <w:pPr>
              <w:jc w:val="center"/>
              <w:rPr>
                <w:rFonts w:hint="eastAsia" w:ascii="仿宋" w:hAnsi="仿宋" w:eastAsia="仿宋" w:cs="仿宋"/>
                <w:b/>
                <w:color w:val="auto"/>
                <w:kern w:val="0"/>
                <w:sz w:val="32"/>
                <w:szCs w:val="32"/>
              </w:rPr>
            </w:pPr>
          </w:p>
        </w:tc>
        <w:tc>
          <w:tcPr>
            <w:tcW w:w="1276" w:type="dxa"/>
          </w:tcPr>
          <w:p w14:paraId="2150635A">
            <w:pPr>
              <w:jc w:val="center"/>
              <w:rPr>
                <w:rFonts w:hint="eastAsia" w:ascii="仿宋" w:hAnsi="仿宋" w:eastAsia="仿宋" w:cs="仿宋"/>
                <w:b/>
                <w:color w:val="auto"/>
                <w:kern w:val="0"/>
                <w:sz w:val="32"/>
                <w:szCs w:val="32"/>
              </w:rPr>
            </w:pPr>
          </w:p>
        </w:tc>
      </w:tr>
    </w:tbl>
    <w:p w14:paraId="3A18B90A">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注：1、按本格式和要求提供。</w:t>
      </w:r>
    </w:p>
    <w:p w14:paraId="617F7A04">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2、本表格所反映的偏离情况与“符合性审查资料”、“评标标准相应的商务技术资料”不一致的，以“符合性审查资料”、“评标标准相应的商务技术资料”为准。</w:t>
      </w:r>
    </w:p>
    <w:p w14:paraId="7278CCEF">
      <w:pPr>
        <w:spacing w:line="360" w:lineRule="auto"/>
        <w:ind w:right="420"/>
        <w:rPr>
          <w:rFonts w:hint="eastAsia" w:ascii="仿宋" w:hAnsi="仿宋" w:eastAsia="仿宋" w:cs="仿宋"/>
          <w:color w:val="auto"/>
        </w:rPr>
      </w:pPr>
      <w:r>
        <w:rPr>
          <w:rFonts w:hint="eastAsia" w:ascii="仿宋" w:hAnsi="仿宋" w:eastAsia="仿宋" w:cs="仿宋"/>
          <w:color w:val="auto"/>
          <w:sz w:val="24"/>
        </w:rPr>
        <w:t>3、投标人须保证：除商务技术偏离表列出的偏离外，投标人响应招标文件的全部非实质性要求。</w:t>
      </w:r>
    </w:p>
    <w:p w14:paraId="1F5AD2BB">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7A53049B">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5DE4A2BF">
      <w:pPr>
        <w:snapToGrid w:val="0"/>
        <w:spacing w:line="360" w:lineRule="auto"/>
        <w:rPr>
          <w:rFonts w:hint="eastAsia" w:ascii="仿宋" w:hAnsi="仿宋" w:eastAsia="仿宋" w:cs="仿宋"/>
          <w:color w:val="auto"/>
          <w:sz w:val="24"/>
        </w:rPr>
      </w:pPr>
    </w:p>
    <w:p w14:paraId="27445DB8">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杭州市萧山区人民政府新街街道办事处、浙江华夏工程管理有限公司</w:t>
      </w:r>
      <w:r>
        <w:rPr>
          <w:rFonts w:hint="eastAsia" w:ascii="仿宋" w:hAnsi="仿宋" w:eastAsia="仿宋" w:cs="仿宋"/>
          <w:color w:val="auto"/>
          <w:kern w:val="0"/>
          <w:sz w:val="24"/>
          <w:lang w:val="zh-CN"/>
        </w:rPr>
        <w:t>：</w:t>
      </w:r>
    </w:p>
    <w:p w14:paraId="04CC17A4">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24B3A01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1A12081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40CE5EB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4814309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49995E89">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1BCC7867">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0E33B79A">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71173A8D">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232E287D">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3CD4013A">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2C3FE24B">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29D91104">
      <w:pPr>
        <w:spacing w:line="360" w:lineRule="auto"/>
        <w:jc w:val="center"/>
        <w:rPr>
          <w:rFonts w:hint="eastAsia" w:ascii="仿宋" w:hAnsi="仿宋" w:eastAsia="仿宋" w:cs="仿宋"/>
          <w:b/>
          <w:bCs/>
          <w:color w:val="auto"/>
          <w:sz w:val="24"/>
        </w:rPr>
      </w:pPr>
    </w:p>
    <w:p w14:paraId="076EA205">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3A4A4BF2">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4F504A3F">
      <w:pPr>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563D29BA">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0376B26B">
      <w:pPr>
        <w:spacing w:line="360" w:lineRule="auto"/>
        <w:jc w:val="center"/>
        <w:outlineLvl w:val="0"/>
        <w:rPr>
          <w:rFonts w:hint="eastAsia" w:ascii="仿宋" w:hAnsi="仿宋" w:eastAsia="仿宋" w:cs="仿宋"/>
          <w:b/>
          <w:color w:val="auto"/>
          <w:kern w:val="0"/>
          <w:sz w:val="36"/>
          <w:szCs w:val="36"/>
        </w:rPr>
      </w:pPr>
    </w:p>
    <w:p w14:paraId="7BA7714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14:paraId="61B1E31F">
      <w:pPr>
        <w:snapToGrid w:val="0"/>
        <w:spacing w:line="360" w:lineRule="auto"/>
        <w:rPr>
          <w:rFonts w:hint="eastAsia" w:ascii="仿宋" w:hAnsi="仿宋" w:eastAsia="仿宋" w:cs="仿宋"/>
          <w:color w:val="auto"/>
        </w:rPr>
      </w:pPr>
      <w:r>
        <w:rPr>
          <w:rFonts w:hint="eastAsia" w:ascii="仿宋" w:hAnsi="仿宋" w:eastAsia="仿宋" w:cs="仿宋"/>
          <w:color w:val="auto"/>
          <w:sz w:val="24"/>
        </w:rPr>
        <w:t>（2）</w:t>
      </w:r>
      <w:r>
        <w:rPr>
          <w:rFonts w:hint="eastAsia" w:ascii="仿宋" w:hAnsi="仿宋" w:eastAsia="仿宋" w:cs="仿宋"/>
          <w:bCs/>
          <w:snapToGrid w:val="0"/>
          <w:color w:val="auto"/>
          <w:sz w:val="24"/>
        </w:rPr>
        <w:t>报价情况说明</w:t>
      </w:r>
      <w:r>
        <w:rPr>
          <w:rFonts w:hint="eastAsia" w:ascii="仿宋" w:hAnsi="仿宋" w:eastAsia="仿宋" w:cs="仿宋"/>
          <w:color w:val="auto"/>
          <w:sz w:val="24"/>
        </w:rPr>
        <w:t>…………………………………………………………………（页码）</w:t>
      </w:r>
    </w:p>
    <w:p w14:paraId="006301C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（3）中小企业声明函………………………………………………………………（页码）</w:t>
      </w:r>
    </w:p>
    <w:p w14:paraId="714880F1">
      <w:pPr>
        <w:rPr>
          <w:rFonts w:hint="eastAsia" w:ascii="仿宋" w:hAnsi="仿宋" w:eastAsia="仿宋" w:cs="仿宋"/>
          <w:color w:val="auto"/>
          <w:sz w:val="32"/>
          <w:szCs w:val="32"/>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32"/>
          <w:szCs w:val="32"/>
        </w:rPr>
        <w:br w:type="page"/>
      </w:r>
    </w:p>
    <w:p w14:paraId="0587803D">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3A4F4834">
      <w:pPr>
        <w:snapToGrid w:val="0"/>
        <w:spacing w:line="360" w:lineRule="auto"/>
        <w:rPr>
          <w:rFonts w:hint="eastAsia" w:ascii="仿宋" w:hAnsi="仿宋" w:eastAsia="仿宋" w:cs="仿宋"/>
          <w:color w:val="auto"/>
          <w:kern w:val="0"/>
          <w:sz w:val="24"/>
        </w:rPr>
      </w:pPr>
      <w:r>
        <w:rPr>
          <w:rFonts w:ascii="仿宋" w:hAnsi="仿宋" w:eastAsia="仿宋" w:cs="仿宋"/>
          <w:color w:val="auto"/>
          <w:sz w:val="24"/>
        </w:rPr>
        <w:t>杭州市萧山区人民政府新街街道办事处</w:t>
      </w:r>
      <w:r>
        <w:rPr>
          <w:rFonts w:hint="eastAsia" w:ascii="仿宋" w:hAnsi="仿宋" w:eastAsia="仿宋" w:cs="仿宋"/>
          <w:color w:val="auto"/>
          <w:sz w:val="24"/>
        </w:rPr>
        <w:t>、浙江华夏工程管理有限公司</w:t>
      </w:r>
      <w:r>
        <w:rPr>
          <w:rFonts w:hint="eastAsia" w:ascii="仿宋" w:hAnsi="仿宋" w:eastAsia="仿宋" w:cs="仿宋"/>
          <w:color w:val="auto"/>
          <w:kern w:val="0"/>
          <w:sz w:val="24"/>
          <w:lang w:val="zh-CN"/>
        </w:rPr>
        <w:t>：</w:t>
      </w:r>
    </w:p>
    <w:p w14:paraId="0E91B488">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按你方招标文件要求，我们，本投标文件签字方，谨此向你方发出要约如下：如你方接受本投标，我方承诺按照如下开标一览表（报价表）的价格完成新街街道全域生活垃圾清运服务项目【招标编号：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06C77D62">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15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702"/>
        <w:gridCol w:w="1674"/>
        <w:gridCol w:w="3168"/>
        <w:gridCol w:w="1885"/>
        <w:gridCol w:w="1561"/>
        <w:gridCol w:w="1388"/>
        <w:gridCol w:w="3314"/>
      </w:tblGrid>
      <w:tr w14:paraId="31B3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83" w:type="dxa"/>
            <w:vAlign w:val="center"/>
          </w:tcPr>
          <w:p w14:paraId="2E21C004">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序号</w:t>
            </w:r>
          </w:p>
        </w:tc>
        <w:tc>
          <w:tcPr>
            <w:tcW w:w="1702" w:type="dxa"/>
            <w:vAlign w:val="center"/>
          </w:tcPr>
          <w:p w14:paraId="5FD021C2">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名称</w:t>
            </w:r>
          </w:p>
        </w:tc>
        <w:tc>
          <w:tcPr>
            <w:tcW w:w="1674" w:type="dxa"/>
          </w:tcPr>
          <w:p w14:paraId="4EABF42E">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品牌</w:t>
            </w:r>
          </w:p>
          <w:p w14:paraId="35C36759">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（如果有）</w:t>
            </w:r>
          </w:p>
        </w:tc>
        <w:tc>
          <w:tcPr>
            <w:tcW w:w="3168" w:type="dxa"/>
            <w:vAlign w:val="center"/>
          </w:tcPr>
          <w:p w14:paraId="2460849F">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规格型号</w:t>
            </w:r>
          </w:p>
          <w:p w14:paraId="25CC7F96">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（或具体服务）</w:t>
            </w:r>
          </w:p>
        </w:tc>
        <w:tc>
          <w:tcPr>
            <w:tcW w:w="1885" w:type="dxa"/>
            <w:vAlign w:val="center"/>
          </w:tcPr>
          <w:p w14:paraId="31475D55">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数量</w:t>
            </w:r>
          </w:p>
          <w:p w14:paraId="19D4566E">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（吨）</w:t>
            </w:r>
          </w:p>
        </w:tc>
        <w:tc>
          <w:tcPr>
            <w:tcW w:w="1561" w:type="dxa"/>
            <w:vAlign w:val="center"/>
          </w:tcPr>
          <w:p w14:paraId="0204778E">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单价</w:t>
            </w:r>
          </w:p>
          <w:p w14:paraId="006B41E8">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（元/吨）</w:t>
            </w:r>
          </w:p>
        </w:tc>
        <w:tc>
          <w:tcPr>
            <w:tcW w:w="1388" w:type="dxa"/>
            <w:vAlign w:val="center"/>
          </w:tcPr>
          <w:p w14:paraId="2DCC010E">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总价</w:t>
            </w:r>
          </w:p>
          <w:p w14:paraId="06514129">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（元）</w:t>
            </w:r>
          </w:p>
        </w:tc>
        <w:tc>
          <w:tcPr>
            <w:tcW w:w="3314" w:type="dxa"/>
            <w:vAlign w:val="center"/>
          </w:tcPr>
          <w:p w14:paraId="763D88BC">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服务要求（年限）</w:t>
            </w:r>
          </w:p>
        </w:tc>
      </w:tr>
      <w:tr w14:paraId="5495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83" w:type="dxa"/>
            <w:vAlign w:val="center"/>
          </w:tcPr>
          <w:p w14:paraId="52B7C450">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p>
        </w:tc>
        <w:tc>
          <w:tcPr>
            <w:tcW w:w="1702" w:type="dxa"/>
            <w:vAlign w:val="center"/>
          </w:tcPr>
          <w:p w14:paraId="6EF30AAD">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生活垃圾清运</w:t>
            </w:r>
          </w:p>
        </w:tc>
        <w:tc>
          <w:tcPr>
            <w:tcW w:w="1674" w:type="dxa"/>
            <w:vAlign w:val="center"/>
          </w:tcPr>
          <w:p w14:paraId="7CED71F9">
            <w:pPr>
              <w:snapToGrid w:val="0"/>
              <w:spacing w:line="360" w:lineRule="auto"/>
              <w:ind w:left="480"/>
              <w:rPr>
                <w:rFonts w:hint="eastAsia" w:ascii="仿宋" w:hAnsi="仿宋" w:eastAsia="仿宋" w:cs="仿宋"/>
                <w:color w:val="auto"/>
                <w:kern w:val="0"/>
                <w:sz w:val="24"/>
                <w:lang w:val="zh-CN"/>
              </w:rPr>
            </w:pPr>
          </w:p>
        </w:tc>
        <w:tc>
          <w:tcPr>
            <w:tcW w:w="3168" w:type="dxa"/>
            <w:vAlign w:val="center"/>
          </w:tcPr>
          <w:p w14:paraId="3C3A69A6">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村</w:t>
            </w:r>
          </w:p>
        </w:tc>
        <w:tc>
          <w:tcPr>
            <w:tcW w:w="1885" w:type="dxa"/>
            <w:vAlign w:val="center"/>
          </w:tcPr>
          <w:p w14:paraId="27F3D973">
            <w:pPr>
              <w:snapToGrid w:val="0"/>
              <w:spacing w:line="360" w:lineRule="auto"/>
              <w:ind w:left="480"/>
              <w:rPr>
                <w:rFonts w:hint="eastAsia" w:ascii="仿宋" w:hAnsi="仿宋" w:eastAsia="仿宋" w:cs="仿宋"/>
                <w:color w:val="auto"/>
                <w:kern w:val="0"/>
                <w:sz w:val="24"/>
              </w:rPr>
            </w:pPr>
            <w:r>
              <w:rPr>
                <w:rFonts w:hint="eastAsia" w:ascii="仿宋" w:hAnsi="仿宋" w:eastAsia="仿宋" w:cs="仿宋"/>
                <w:color w:val="auto"/>
                <w:kern w:val="0"/>
                <w:sz w:val="24"/>
              </w:rPr>
              <w:t>45000</w:t>
            </w:r>
          </w:p>
        </w:tc>
        <w:tc>
          <w:tcPr>
            <w:tcW w:w="1561" w:type="dxa"/>
            <w:vAlign w:val="center"/>
          </w:tcPr>
          <w:p w14:paraId="50E9E9F1">
            <w:pPr>
              <w:snapToGrid w:val="0"/>
              <w:spacing w:line="360" w:lineRule="auto"/>
              <w:ind w:left="480"/>
              <w:rPr>
                <w:rFonts w:hint="eastAsia" w:ascii="仿宋" w:hAnsi="仿宋" w:eastAsia="仿宋" w:cs="仿宋"/>
                <w:color w:val="auto"/>
                <w:kern w:val="0"/>
                <w:sz w:val="24"/>
                <w:lang w:val="zh-CN"/>
              </w:rPr>
            </w:pPr>
          </w:p>
        </w:tc>
        <w:tc>
          <w:tcPr>
            <w:tcW w:w="1388" w:type="dxa"/>
            <w:vAlign w:val="center"/>
          </w:tcPr>
          <w:p w14:paraId="38C0A23C">
            <w:pPr>
              <w:snapToGrid w:val="0"/>
              <w:spacing w:line="360" w:lineRule="auto"/>
              <w:ind w:left="480"/>
              <w:rPr>
                <w:rFonts w:hint="eastAsia" w:ascii="仿宋" w:hAnsi="仿宋" w:eastAsia="仿宋" w:cs="仿宋"/>
                <w:color w:val="auto"/>
                <w:kern w:val="0"/>
                <w:sz w:val="24"/>
                <w:lang w:val="zh-CN"/>
              </w:rPr>
            </w:pPr>
          </w:p>
        </w:tc>
        <w:tc>
          <w:tcPr>
            <w:tcW w:w="3314" w:type="dxa"/>
            <w:vAlign w:val="center"/>
          </w:tcPr>
          <w:p w14:paraId="511CAFE9">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1年</w:t>
            </w:r>
          </w:p>
        </w:tc>
      </w:tr>
      <w:tr w14:paraId="5630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83" w:type="dxa"/>
            <w:vAlign w:val="center"/>
          </w:tcPr>
          <w:p w14:paraId="03CAD95F">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w:t>
            </w:r>
          </w:p>
        </w:tc>
        <w:tc>
          <w:tcPr>
            <w:tcW w:w="1702" w:type="dxa"/>
            <w:vAlign w:val="center"/>
          </w:tcPr>
          <w:p w14:paraId="1801D71F">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生活垃圾清运</w:t>
            </w:r>
          </w:p>
        </w:tc>
        <w:tc>
          <w:tcPr>
            <w:tcW w:w="1674" w:type="dxa"/>
            <w:vAlign w:val="center"/>
          </w:tcPr>
          <w:p w14:paraId="19A6904A">
            <w:pPr>
              <w:snapToGrid w:val="0"/>
              <w:spacing w:line="360" w:lineRule="auto"/>
              <w:ind w:left="480"/>
              <w:rPr>
                <w:rFonts w:hint="eastAsia" w:ascii="仿宋" w:hAnsi="仿宋" w:eastAsia="仿宋" w:cs="仿宋"/>
                <w:color w:val="auto"/>
                <w:kern w:val="0"/>
                <w:sz w:val="24"/>
                <w:lang w:val="zh-CN"/>
              </w:rPr>
            </w:pPr>
          </w:p>
        </w:tc>
        <w:tc>
          <w:tcPr>
            <w:tcW w:w="3168" w:type="dxa"/>
            <w:vAlign w:val="center"/>
          </w:tcPr>
          <w:p w14:paraId="25FA1A10">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除各自然村以外的其他单位（各住宅小区、商贸综合体、其他企事业单位等）</w:t>
            </w:r>
          </w:p>
        </w:tc>
        <w:tc>
          <w:tcPr>
            <w:tcW w:w="1885" w:type="dxa"/>
            <w:vAlign w:val="center"/>
          </w:tcPr>
          <w:p w14:paraId="06C68D9D">
            <w:pPr>
              <w:snapToGrid w:val="0"/>
              <w:spacing w:line="360" w:lineRule="auto"/>
              <w:ind w:left="480"/>
              <w:rPr>
                <w:rFonts w:hint="eastAsia" w:ascii="仿宋" w:hAnsi="仿宋" w:eastAsia="仿宋" w:cs="仿宋"/>
                <w:color w:val="auto"/>
                <w:kern w:val="0"/>
                <w:sz w:val="24"/>
              </w:rPr>
            </w:pPr>
            <w:r>
              <w:rPr>
                <w:rFonts w:hint="eastAsia" w:ascii="仿宋" w:hAnsi="仿宋" w:eastAsia="仿宋" w:cs="仿宋"/>
                <w:color w:val="auto"/>
                <w:kern w:val="0"/>
                <w:sz w:val="24"/>
              </w:rPr>
              <w:t>5000</w:t>
            </w:r>
          </w:p>
        </w:tc>
        <w:tc>
          <w:tcPr>
            <w:tcW w:w="1561" w:type="dxa"/>
            <w:vAlign w:val="center"/>
          </w:tcPr>
          <w:p w14:paraId="0A33838D">
            <w:pPr>
              <w:snapToGrid w:val="0"/>
              <w:spacing w:line="360" w:lineRule="auto"/>
              <w:ind w:left="480"/>
              <w:rPr>
                <w:rFonts w:hint="eastAsia" w:ascii="仿宋" w:hAnsi="仿宋" w:eastAsia="仿宋" w:cs="仿宋"/>
                <w:color w:val="auto"/>
                <w:kern w:val="0"/>
                <w:sz w:val="24"/>
                <w:lang w:val="zh-CN"/>
              </w:rPr>
            </w:pPr>
          </w:p>
        </w:tc>
        <w:tc>
          <w:tcPr>
            <w:tcW w:w="1388" w:type="dxa"/>
            <w:vAlign w:val="center"/>
          </w:tcPr>
          <w:p w14:paraId="754A5E95">
            <w:pPr>
              <w:snapToGrid w:val="0"/>
              <w:spacing w:line="360" w:lineRule="auto"/>
              <w:ind w:left="480"/>
              <w:rPr>
                <w:rFonts w:hint="eastAsia" w:ascii="仿宋" w:hAnsi="仿宋" w:eastAsia="仿宋" w:cs="仿宋"/>
                <w:color w:val="auto"/>
                <w:kern w:val="0"/>
                <w:sz w:val="24"/>
                <w:lang w:val="zh-CN"/>
              </w:rPr>
            </w:pPr>
          </w:p>
        </w:tc>
        <w:tc>
          <w:tcPr>
            <w:tcW w:w="3314" w:type="dxa"/>
            <w:vAlign w:val="center"/>
          </w:tcPr>
          <w:p w14:paraId="411B7A55">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1年</w:t>
            </w:r>
          </w:p>
        </w:tc>
      </w:tr>
      <w:tr w14:paraId="4667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27" w:type="dxa"/>
            <w:gridSpan w:val="4"/>
            <w:vAlign w:val="center"/>
          </w:tcPr>
          <w:p w14:paraId="2C263A7C">
            <w:pPr>
              <w:snapToGrid w:val="0"/>
              <w:spacing w:line="360" w:lineRule="auto"/>
              <w:ind w:left="48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投标报价（小写）</w:t>
            </w:r>
          </w:p>
        </w:tc>
        <w:tc>
          <w:tcPr>
            <w:tcW w:w="8148" w:type="dxa"/>
            <w:gridSpan w:val="4"/>
            <w:vAlign w:val="center"/>
          </w:tcPr>
          <w:p w14:paraId="519E7126">
            <w:pPr>
              <w:snapToGrid w:val="0"/>
              <w:spacing w:line="360" w:lineRule="auto"/>
              <w:ind w:left="480"/>
              <w:rPr>
                <w:rFonts w:hint="eastAsia" w:ascii="仿宋" w:hAnsi="仿宋" w:eastAsia="仿宋" w:cs="仿宋"/>
                <w:color w:val="auto"/>
                <w:kern w:val="0"/>
                <w:sz w:val="24"/>
                <w:lang w:val="zh-CN"/>
              </w:rPr>
            </w:pPr>
          </w:p>
        </w:tc>
      </w:tr>
      <w:tr w14:paraId="6E86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327" w:type="dxa"/>
            <w:gridSpan w:val="4"/>
            <w:vAlign w:val="center"/>
          </w:tcPr>
          <w:p w14:paraId="13097911">
            <w:pPr>
              <w:snapToGrid w:val="0"/>
              <w:spacing w:line="360" w:lineRule="auto"/>
              <w:ind w:left="48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投标报价（大写）</w:t>
            </w:r>
          </w:p>
        </w:tc>
        <w:tc>
          <w:tcPr>
            <w:tcW w:w="8148" w:type="dxa"/>
            <w:gridSpan w:val="4"/>
            <w:vAlign w:val="center"/>
          </w:tcPr>
          <w:p w14:paraId="6D764D73">
            <w:pPr>
              <w:snapToGrid w:val="0"/>
              <w:spacing w:line="360" w:lineRule="auto"/>
              <w:ind w:left="480"/>
              <w:rPr>
                <w:rFonts w:hint="eastAsia" w:ascii="仿宋" w:hAnsi="仿宋" w:eastAsia="仿宋" w:cs="仿宋"/>
                <w:color w:val="auto"/>
                <w:kern w:val="0"/>
                <w:sz w:val="24"/>
                <w:lang w:val="zh-CN"/>
              </w:rPr>
            </w:pPr>
          </w:p>
        </w:tc>
      </w:tr>
    </w:tbl>
    <w:p w14:paraId="2D2718E1">
      <w:pPr>
        <w:snapToGrid w:val="0"/>
        <w:spacing w:line="360" w:lineRule="auto"/>
        <w:ind w:left="480"/>
        <w:rPr>
          <w:rFonts w:hint="eastAsia" w:ascii="仿宋" w:hAnsi="仿宋" w:eastAsia="仿宋" w:cs="仿宋"/>
          <w:b/>
          <w:color w:val="auto"/>
          <w:kern w:val="0"/>
          <w:sz w:val="24"/>
          <w:lang w:val="zh-CN"/>
        </w:rPr>
      </w:pPr>
    </w:p>
    <w:p w14:paraId="4FF24DEC">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1DA43CF0">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p>
    <w:p w14:paraId="40C293BC">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14:paraId="03AA7741">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3、特别提示：采购代理机构将对项目名称和项目编号，中标供应商名称、地址和中标金额，主要中标标的名称、品牌（如果有）、规格型号、数量、单价等予以公示。</w:t>
      </w:r>
    </w:p>
    <w:p w14:paraId="3DADB7EE">
      <w:pPr>
        <w:rPr>
          <w:rFonts w:hint="eastAsia" w:ascii="仿宋" w:hAnsi="仿宋" w:eastAsia="仿宋" w:cs="仿宋"/>
          <w:color w:val="auto"/>
          <w:sz w:val="32"/>
          <w:szCs w:val="32"/>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sz w:val="32"/>
          <w:szCs w:val="32"/>
        </w:rPr>
        <w:br w:type="page"/>
      </w:r>
    </w:p>
    <w:p w14:paraId="4C75EB98">
      <w:pPr>
        <w:pStyle w:val="691"/>
        <w:keepNext w:val="0"/>
        <w:pageBreakBefore w:val="0"/>
        <w:numPr>
          <w:ilvl w:val="255"/>
          <w:numId w:val="0"/>
        </w:numPr>
        <w:tabs>
          <w:tab w:val="clear" w:pos="720"/>
        </w:tabs>
        <w:snapToGrid w:val="0"/>
        <w:spacing w:before="120" w:after="120"/>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二、报价情况说明（如果有）</w:t>
      </w:r>
    </w:p>
    <w:p w14:paraId="62DC00A8">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（如供应商报价低于项目预算50%的，应当提交本文档，详细阐述不影响产品质量或者诚信履约的具体原因</w:t>
      </w:r>
      <w:r>
        <w:rPr>
          <w:rFonts w:hint="eastAsia" w:ascii="仿宋" w:hAnsi="仿宋" w:eastAsia="仿宋" w:cs="仿宋"/>
          <w:color w:val="auto"/>
          <w:kern w:val="2"/>
          <w:sz w:val="24"/>
          <w:szCs w:val="24"/>
        </w:rPr>
        <w:t>，否则投标无效。</w:t>
      </w:r>
      <w:r>
        <w:rPr>
          <w:rFonts w:hint="eastAsia" w:ascii="仿宋" w:hAnsi="仿宋" w:eastAsia="仿宋" w:cs="仿宋"/>
          <w:b w:val="0"/>
          <w:color w:val="auto"/>
          <w:sz w:val="24"/>
          <w:szCs w:val="24"/>
        </w:rPr>
        <w:t>）</w:t>
      </w:r>
    </w:p>
    <w:p w14:paraId="2D121017">
      <w:pPr>
        <w:pStyle w:val="691"/>
        <w:keepNext w:val="0"/>
        <w:pageBreakBefore w:val="0"/>
        <w:tabs>
          <w:tab w:val="clear" w:pos="720"/>
        </w:tabs>
        <w:snapToGrid w:val="0"/>
        <w:spacing w:before="120" w:after="120"/>
        <w:outlineLvl w:val="9"/>
        <w:rPr>
          <w:rFonts w:hint="eastAsia" w:ascii="仿宋" w:hAnsi="仿宋" w:eastAsia="仿宋" w:cs="仿宋"/>
          <w:color w:val="auto"/>
          <w:kern w:val="2"/>
          <w:sz w:val="32"/>
          <w:szCs w:val="32"/>
        </w:rPr>
      </w:pPr>
    </w:p>
    <w:p w14:paraId="28FFFAC7">
      <w:pPr>
        <w:pStyle w:val="691"/>
        <w:keepNext w:val="0"/>
        <w:pageBreakBefore w:val="0"/>
        <w:tabs>
          <w:tab w:val="clear" w:pos="720"/>
        </w:tabs>
        <w:snapToGrid w:val="0"/>
        <w:spacing w:before="120" w:after="120"/>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三、</w:t>
      </w:r>
      <w:r>
        <w:rPr>
          <w:rFonts w:hint="eastAsia" w:ascii="仿宋" w:hAnsi="仿宋" w:eastAsia="仿宋" w:cs="仿宋"/>
          <w:color w:val="auto"/>
          <w:sz w:val="32"/>
          <w:szCs w:val="32"/>
        </w:rPr>
        <w:t>中小企业声明函</w:t>
      </w:r>
      <w:bookmarkStart w:id="135" w:name="_Hlk101259491"/>
      <w:r>
        <w:rPr>
          <w:rFonts w:hint="eastAsia" w:ascii="仿宋" w:hAnsi="仿宋" w:eastAsia="仿宋" w:cs="仿宋"/>
          <w:color w:val="auto"/>
          <w:sz w:val="32"/>
          <w:szCs w:val="32"/>
        </w:rPr>
        <w:t>（如果有）</w:t>
      </w:r>
      <w:bookmarkEnd w:id="135"/>
    </w:p>
    <w:p w14:paraId="7F447583">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05D1EE6">
      <w:pPr>
        <w:rPr>
          <w:rFonts w:hint="eastAsia" w:ascii="仿宋" w:hAnsi="仿宋" w:eastAsia="仿宋" w:cs="仿宋"/>
          <w:color w:val="auto"/>
        </w:rPr>
      </w:pPr>
      <w:r>
        <w:rPr>
          <w:rFonts w:hint="eastAsia" w:ascii="仿宋" w:hAnsi="仿宋" w:eastAsia="仿宋" w:cs="仿宋"/>
          <w:b/>
          <w:color w:val="auto"/>
          <w:sz w:val="24"/>
        </w:rPr>
        <w:br w:type="page"/>
      </w:r>
    </w:p>
    <w:p w14:paraId="0F771E39">
      <w:pPr>
        <w:pStyle w:val="3"/>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附件</w:t>
      </w:r>
    </w:p>
    <w:p w14:paraId="67CF1AD1">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14:paraId="0F44AF48">
      <w:pPr>
        <w:spacing w:line="360" w:lineRule="auto"/>
        <w:jc w:val="center"/>
        <w:rPr>
          <w:rFonts w:hint="eastAsia" w:ascii="仿宋" w:hAnsi="仿宋" w:eastAsia="仿宋" w:cs="仿宋"/>
          <w:b/>
          <w:color w:val="auto"/>
          <w:spacing w:val="6"/>
          <w:sz w:val="32"/>
          <w:szCs w:val="32"/>
        </w:rPr>
      </w:pPr>
      <w:bookmarkStart w:id="136" w:name="OLE_LINK13"/>
      <w:bookmarkStart w:id="137" w:name="OLE_LINK14"/>
      <w:r>
        <w:rPr>
          <w:rFonts w:hint="eastAsia" w:ascii="仿宋" w:hAnsi="仿宋" w:eastAsia="仿宋" w:cs="仿宋"/>
          <w:b/>
          <w:color w:val="auto"/>
          <w:spacing w:val="6"/>
          <w:sz w:val="32"/>
          <w:szCs w:val="32"/>
        </w:rPr>
        <w:t>残疾人福利性单位声明函</w:t>
      </w:r>
    </w:p>
    <w:bookmarkEnd w:id="136"/>
    <w:bookmarkEnd w:id="137"/>
    <w:p w14:paraId="590523AA">
      <w:pPr>
        <w:spacing w:line="360" w:lineRule="auto"/>
        <w:rPr>
          <w:rFonts w:hint="eastAsia" w:ascii="仿宋" w:hAnsi="仿宋" w:eastAsia="仿宋" w:cs="仿宋"/>
          <w:b/>
          <w:color w:val="auto"/>
          <w:spacing w:val="6"/>
          <w:sz w:val="30"/>
          <w:szCs w:val="30"/>
        </w:rPr>
      </w:pPr>
    </w:p>
    <w:p w14:paraId="353607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新街街道全域生活垃圾清运服务项目</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74D1464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1B82B245">
      <w:pPr>
        <w:spacing w:line="360" w:lineRule="auto"/>
        <w:ind w:firstLine="480" w:firstLineChars="200"/>
        <w:rPr>
          <w:rFonts w:hint="eastAsia" w:ascii="仿宋" w:hAnsi="仿宋" w:eastAsia="仿宋" w:cs="仿宋"/>
          <w:color w:val="auto"/>
          <w:sz w:val="24"/>
        </w:rPr>
      </w:pPr>
    </w:p>
    <w:p w14:paraId="7FFDC0D4">
      <w:pPr>
        <w:spacing w:line="360" w:lineRule="auto"/>
        <w:ind w:firstLine="480" w:firstLineChars="200"/>
        <w:rPr>
          <w:rFonts w:hint="eastAsia" w:ascii="仿宋" w:hAnsi="仿宋" w:eastAsia="仿宋" w:cs="仿宋"/>
          <w:color w:val="auto"/>
          <w:sz w:val="24"/>
        </w:rPr>
      </w:pPr>
    </w:p>
    <w:p w14:paraId="44DB74F5">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14:paraId="3222C33B">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14:paraId="7AA87B4F">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2C8F6D7A">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14:paraId="1567AAD4">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451141C2">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421498E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2B3A9F3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02FA33BC">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539F5C5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23A6FD9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585B0489">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36C9D99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78ACEC7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1CF95C91">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2560E28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10DFCD5C">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74D5F43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4F080D12">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02EA52D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7279D4A1">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46DF175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78FD9FE">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64AAE09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0A77738D">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2398A88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32857D9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462FAEB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2E4EB0C5">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1BE04CEF">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06F43EBA">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63170723">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0579B1F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28AC376E">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71D7385F">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689A844D">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0AD27E7A">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14:paraId="484AD581">
      <w:pPr>
        <w:spacing w:line="360" w:lineRule="auto"/>
        <w:jc w:val="center"/>
        <w:rPr>
          <w:rFonts w:hint="eastAsia" w:ascii="仿宋" w:hAnsi="仿宋" w:eastAsia="仿宋" w:cs="仿宋"/>
          <w:b/>
          <w:color w:val="auto"/>
          <w:sz w:val="24"/>
        </w:rPr>
      </w:pPr>
    </w:p>
    <w:p w14:paraId="79ED7EC4">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27251B4B">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5594C9E9">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4812DC4A">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699EB43">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29E31DCB">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08FAADEC">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13EEDA8E">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4D43265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421DC2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2068447">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F0D6AAB">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10C1D18E">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7690E73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003E0E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FD804B7">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D39B18E">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695D5C97">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3DB5FC0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0993477B">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229FB7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4FA116DD">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71F7084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2D049C00">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24E1858B">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7ACCDB4B">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2005B61F">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1628901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2D2B969F">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7C3E1F4F">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64419D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2D9FA4DF">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6084C42B">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投诉事项2：……</w:t>
      </w:r>
    </w:p>
    <w:p w14:paraId="6066988F">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5AF79837">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67974FE4">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32E0DCD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7784ACA5">
      <w:pPr>
        <w:spacing w:line="360" w:lineRule="auto"/>
        <w:rPr>
          <w:rFonts w:hint="eastAsia" w:ascii="仿宋" w:hAnsi="仿宋" w:eastAsia="仿宋" w:cs="仿宋"/>
          <w:b/>
          <w:color w:val="auto"/>
          <w:sz w:val="24"/>
        </w:rPr>
      </w:pPr>
      <w:r>
        <w:rPr>
          <w:rFonts w:hint="eastAsia" w:ascii="仿宋" w:hAnsi="仿宋" w:eastAsia="仿宋" w:cs="仿宋"/>
          <w:color w:val="auto"/>
          <w:sz w:val="24"/>
        </w:rPr>
        <w:t xml:space="preserve">日期：    </w:t>
      </w:r>
    </w:p>
    <w:p w14:paraId="37E02AE8">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2DDACE97">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3E343532">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3E99DC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645784C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0C8CE4D1">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1432CD5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7BFC4AE8">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18D2B15A">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65EA81F7">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14:paraId="7088CA60">
      <w:pPr>
        <w:spacing w:line="360" w:lineRule="auto"/>
        <w:rPr>
          <w:rFonts w:hint="eastAsia" w:ascii="仿宋" w:hAnsi="仿宋" w:eastAsia="仿宋" w:cs="仿宋"/>
          <w:color w:val="auto"/>
          <w:sz w:val="24"/>
          <w:u w:val="single"/>
        </w:rPr>
      </w:pPr>
    </w:p>
    <w:p w14:paraId="4AC8C96C">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杭州市萧山区人民政府新街街道办事处、浙江华夏工程管理有限公司：</w:t>
      </w:r>
    </w:p>
    <w:p w14:paraId="13E41A8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你方组织的新街街道全域生活垃圾清运服务项目【招标编号：****】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30D9EB1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331D4AA5">
      <w:pPr>
        <w:spacing w:line="360" w:lineRule="auto"/>
        <w:ind w:firstLine="494"/>
        <w:rPr>
          <w:rFonts w:hint="eastAsia" w:ascii="仿宋" w:hAnsi="仿宋" w:eastAsia="仿宋" w:cs="仿宋"/>
          <w:color w:val="auto"/>
          <w:sz w:val="24"/>
        </w:rPr>
      </w:pPr>
    </w:p>
    <w:p w14:paraId="05C55BA2">
      <w:pPr>
        <w:spacing w:line="360" w:lineRule="auto"/>
        <w:ind w:firstLine="494"/>
        <w:rPr>
          <w:rFonts w:hint="eastAsia" w:ascii="仿宋" w:hAnsi="仿宋" w:eastAsia="仿宋" w:cs="仿宋"/>
          <w:color w:val="auto"/>
          <w:sz w:val="24"/>
        </w:rPr>
      </w:pPr>
    </w:p>
    <w:p w14:paraId="7F591876">
      <w:pPr>
        <w:spacing w:line="360" w:lineRule="auto"/>
        <w:rPr>
          <w:rFonts w:hint="eastAsia" w:ascii="仿宋" w:hAnsi="仿宋" w:eastAsia="仿宋" w:cs="仿宋"/>
          <w:color w:val="auto"/>
          <w:sz w:val="24"/>
        </w:rPr>
      </w:pPr>
    </w:p>
    <w:p w14:paraId="180C5311">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14:paraId="2BDB71BE">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1CA75334">
      <w:pPr>
        <w:rPr>
          <w:rFonts w:hint="eastAsia" w:ascii="仿宋" w:hAnsi="仿宋" w:eastAsia="仿宋" w:cs="仿宋"/>
          <w:color w:val="auto"/>
          <w:sz w:val="24"/>
        </w:rPr>
      </w:pPr>
      <w:r>
        <w:rPr>
          <w:rFonts w:hint="eastAsia" w:ascii="仿宋" w:hAnsi="仿宋" w:eastAsia="仿宋" w:cs="仿宋"/>
          <w:b/>
          <w:bCs/>
          <w:color w:val="auto"/>
          <w:sz w:val="24"/>
        </w:rPr>
        <w:t>附：</w:t>
      </w:r>
    </w:p>
    <w:p w14:paraId="5A2FA8D0">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716C12DE">
      <w:pPr>
        <w:autoSpaceDE w:val="0"/>
        <w:autoSpaceDN w:val="0"/>
        <w:jc w:val="center"/>
        <w:rPr>
          <w:rFonts w:hint="eastAsia" w:ascii="仿宋" w:hAnsi="仿宋" w:eastAsia="仿宋" w:cs="仿宋"/>
          <w:b/>
          <w:color w:val="auto"/>
          <w:spacing w:val="6"/>
          <w:sz w:val="32"/>
          <w:szCs w:val="32"/>
        </w:rPr>
      </w:pPr>
    </w:p>
    <w:p w14:paraId="5A1CD0A6">
      <w:pPr>
        <w:autoSpaceDE w:val="0"/>
        <w:autoSpaceDN w:val="0"/>
        <w:jc w:val="center"/>
        <w:rPr>
          <w:rFonts w:hint="eastAsia" w:ascii="仿宋" w:hAnsi="仿宋" w:eastAsia="仿宋" w:cs="仿宋"/>
          <w:b/>
          <w:color w:val="auto"/>
          <w:spacing w:val="6"/>
          <w:sz w:val="32"/>
          <w:szCs w:val="32"/>
        </w:rPr>
      </w:pPr>
    </w:p>
    <w:p w14:paraId="1E7D4FD7">
      <w:pPr>
        <w:autoSpaceDE w:val="0"/>
        <w:autoSpaceDN w:val="0"/>
        <w:jc w:val="center"/>
        <w:rPr>
          <w:rFonts w:hint="eastAsia" w:ascii="仿宋" w:hAnsi="仿宋" w:eastAsia="仿宋" w:cs="仿宋"/>
          <w:b/>
          <w:color w:val="auto"/>
          <w:spacing w:val="6"/>
          <w:sz w:val="32"/>
          <w:szCs w:val="32"/>
        </w:rPr>
      </w:pPr>
    </w:p>
    <w:p w14:paraId="486CB549">
      <w:pPr>
        <w:autoSpaceDE w:val="0"/>
        <w:autoSpaceDN w:val="0"/>
        <w:jc w:val="center"/>
        <w:rPr>
          <w:rFonts w:hint="eastAsia" w:ascii="仿宋" w:hAnsi="仿宋" w:eastAsia="仿宋" w:cs="仿宋"/>
          <w:b/>
          <w:color w:val="auto"/>
          <w:spacing w:val="6"/>
          <w:sz w:val="32"/>
          <w:szCs w:val="32"/>
        </w:rPr>
      </w:pPr>
    </w:p>
    <w:p w14:paraId="0D73849E">
      <w:pPr>
        <w:autoSpaceDE w:val="0"/>
        <w:autoSpaceDN w:val="0"/>
        <w:jc w:val="center"/>
        <w:rPr>
          <w:rFonts w:hint="eastAsia" w:ascii="仿宋" w:hAnsi="仿宋" w:eastAsia="仿宋" w:cs="仿宋"/>
          <w:b/>
          <w:color w:val="auto"/>
          <w:spacing w:val="6"/>
          <w:sz w:val="32"/>
          <w:szCs w:val="32"/>
        </w:rPr>
      </w:pPr>
    </w:p>
    <w:p w14:paraId="23B365BC">
      <w:pPr>
        <w:autoSpaceDE w:val="0"/>
        <w:autoSpaceDN w:val="0"/>
        <w:jc w:val="center"/>
        <w:rPr>
          <w:rFonts w:hint="eastAsia" w:ascii="仿宋" w:hAnsi="仿宋" w:eastAsia="仿宋" w:cs="仿宋"/>
          <w:b/>
          <w:color w:val="auto"/>
          <w:spacing w:val="6"/>
          <w:sz w:val="32"/>
          <w:szCs w:val="32"/>
        </w:rPr>
      </w:pPr>
    </w:p>
    <w:p w14:paraId="3452A9F3">
      <w:pPr>
        <w:autoSpaceDE w:val="0"/>
        <w:autoSpaceDN w:val="0"/>
        <w:jc w:val="center"/>
        <w:rPr>
          <w:rFonts w:hint="eastAsia" w:ascii="仿宋" w:hAnsi="仿宋" w:eastAsia="仿宋" w:cs="仿宋"/>
          <w:b/>
          <w:color w:val="auto"/>
          <w:spacing w:val="6"/>
          <w:sz w:val="32"/>
          <w:szCs w:val="32"/>
        </w:rPr>
      </w:pPr>
    </w:p>
    <w:p w14:paraId="624EA225">
      <w:pPr>
        <w:autoSpaceDE w:val="0"/>
        <w:autoSpaceDN w:val="0"/>
        <w:jc w:val="center"/>
        <w:rPr>
          <w:rFonts w:hint="eastAsia" w:ascii="仿宋" w:hAnsi="仿宋" w:eastAsia="仿宋" w:cs="仿宋"/>
          <w:b/>
          <w:color w:val="auto"/>
          <w:spacing w:val="6"/>
          <w:sz w:val="32"/>
          <w:szCs w:val="32"/>
        </w:rPr>
      </w:pPr>
    </w:p>
    <w:p w14:paraId="7DAF6198">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4C400399">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14:paraId="4ED6D654">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22E934E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新街街道全域生活垃圾清运服务项目【招标编号：***】</w:t>
      </w:r>
      <w:r>
        <w:rPr>
          <w:rFonts w:hint="eastAsia" w:ascii="仿宋" w:hAnsi="仿宋" w:eastAsia="仿宋" w:cs="仿宋"/>
          <w:color w:val="auto"/>
          <w:kern w:val="0"/>
          <w:sz w:val="24"/>
          <w:lang w:val="zh-CN"/>
        </w:rPr>
        <w:t xml:space="preserve">投标。 </w:t>
      </w:r>
    </w:p>
    <w:p w14:paraId="679E3F7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3CF61DD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48E27D0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33E2F518">
      <w:pPr>
        <w:snapToGrid w:val="0"/>
        <w:spacing w:line="360" w:lineRule="auto"/>
        <w:ind w:firstLine="576"/>
        <w:rPr>
          <w:rFonts w:hint="eastAsia" w:ascii="仿宋" w:hAnsi="仿宋" w:eastAsia="仿宋" w:cs="仿宋"/>
          <w:color w:val="auto"/>
          <w:kern w:val="0"/>
          <w:sz w:val="24"/>
          <w:lang w:val="zh-CN"/>
        </w:rPr>
      </w:pPr>
      <w:bookmarkStart w:id="138" w:name="_Hlk101134295"/>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24E1701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7796CC9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bookmarkEnd w:id="138"/>
    <w:p w14:paraId="6F32D42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r>
        <w:rPr>
          <w:rFonts w:hint="eastAsia" w:ascii="仿宋" w:hAnsi="仿宋" w:eastAsia="仿宋" w:cs="仿宋"/>
          <w:color w:val="auto"/>
          <w:kern w:val="0"/>
          <w:sz w:val="24"/>
        </w:rPr>
        <w:t>根据项目具体情况二选一填写）</w:t>
      </w:r>
      <w:r>
        <w:rPr>
          <w:rFonts w:hint="eastAsia" w:ascii="仿宋" w:hAnsi="仿宋" w:eastAsia="仿宋" w:cs="仿宋"/>
          <w:color w:val="auto"/>
          <w:kern w:val="0"/>
          <w:sz w:val="24"/>
          <w:lang w:val="zh-CN"/>
        </w:rPr>
        <w:t>。</w:t>
      </w:r>
    </w:p>
    <w:p w14:paraId="0C02CC25">
      <w:pPr>
        <w:snapToGrid w:val="0"/>
        <w:spacing w:line="360" w:lineRule="auto"/>
        <w:ind w:firstLine="576"/>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625E5C6A">
      <w:pPr>
        <w:snapToGrid w:val="0"/>
        <w:spacing w:line="360" w:lineRule="auto"/>
        <w:ind w:firstLine="576"/>
        <w:rPr>
          <w:rFonts w:hint="eastAsia" w:ascii="仿宋" w:hAnsi="仿宋" w:eastAsia="仿宋" w:cs="仿宋"/>
          <w:color w:val="auto"/>
          <w:kern w:val="0"/>
          <w:sz w:val="24"/>
          <w:lang w:val="zh-CN"/>
        </w:rPr>
      </w:pPr>
      <w:sdt>
        <w:sdtPr>
          <w:rPr>
            <w:rFonts w:hint="eastAsia" w:ascii="仿宋" w:hAnsi="仿宋" w:eastAsia="仿宋" w:cs="仿宋"/>
            <w:color w:val="auto"/>
            <w:kern w:val="0"/>
            <w:sz w:val="24"/>
          </w:rPr>
          <w:id w:val="14745960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590C387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44DEB43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2EB3DE3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4561E8E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5831EEB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0E9EDC4A">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7F75AA24">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600D2E2C">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74B13B01">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4E317A37">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5B2A7CB3">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07FECE60">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14:paraId="553FE934">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0FE24FC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新街街道全域生活垃圾清运服务项目【招标编号：***】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781C322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w:t>
      </w:r>
      <w:r>
        <w:rPr>
          <w:rFonts w:hint="eastAsia" w:ascii="仿宋" w:hAnsi="仿宋" w:eastAsia="仿宋" w:cs="仿宋"/>
          <w:color w:val="auto"/>
          <w:kern w:val="0"/>
          <w:sz w:val="24"/>
          <w:u w:val="single"/>
          <w:lang w:val="zh-CN"/>
        </w:rPr>
        <w:t>（投标人名称）</w:t>
      </w:r>
      <w:r>
        <w:rPr>
          <w:rFonts w:hint="eastAsia" w:ascii="仿宋" w:hAnsi="仿宋" w:eastAsia="仿宋" w:cs="仿宋"/>
          <w:color w:val="auto"/>
          <w:kern w:val="0"/>
          <w:sz w:val="24"/>
          <w:lang w:val="zh-CN"/>
        </w:rPr>
        <w:t>将工作分包如下：</w:t>
      </w:r>
      <w:r>
        <w:rPr>
          <w:rFonts w:hint="eastAsia" w:ascii="仿宋" w:hAnsi="仿宋" w:eastAsia="仿宋" w:cs="仿宋"/>
          <w:b/>
          <w:bCs/>
          <w:i/>
          <w:iCs/>
          <w:color w:val="auto"/>
          <w:kern w:val="0"/>
          <w:sz w:val="24"/>
          <w:lang w:val="zh-CN"/>
        </w:rPr>
        <w:t>（注：投标人只能将招标文件第二部分中“前附表”的“分包”规定的工作进行分包）</w:t>
      </w:r>
    </w:p>
    <w:p w14:paraId="6CBC00D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p>
    <w:p w14:paraId="037924D5">
      <w:pPr>
        <w:snapToGrid w:val="0"/>
        <w:spacing w:line="360" w:lineRule="auto"/>
        <w:ind w:firstLine="576"/>
        <w:rPr>
          <w:rFonts w:hint="eastAsia" w:ascii="仿宋" w:hAnsi="仿宋" w:eastAsia="仿宋" w:cs="仿宋"/>
          <w:color w:val="auto"/>
          <w:kern w:val="0"/>
          <w:sz w:val="24"/>
          <w:u w:val="single"/>
        </w:rPr>
      </w:pP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（分包供应商2名称）；</w:t>
      </w:r>
    </w:p>
    <w:p w14:paraId="5986A212">
      <w:pPr>
        <w:pStyle w:val="4"/>
        <w:ind w:left="664" w:leftChars="316" w:firstLine="229" w:firstLineChars="95"/>
        <w:rPr>
          <w:rFonts w:hint="eastAsia" w:ascii="仿宋" w:eastAsia="仿宋" w:cs="仿宋"/>
          <w:color w:val="auto"/>
          <w:kern w:val="0"/>
          <w:sz w:val="24"/>
          <w:szCs w:val="24"/>
        </w:rPr>
      </w:pPr>
      <w:r>
        <w:rPr>
          <w:rFonts w:hint="eastAsia" w:ascii="仿宋" w:eastAsia="仿宋" w:cs="仿宋"/>
          <w:color w:val="auto"/>
          <w:kern w:val="0"/>
          <w:sz w:val="24"/>
          <w:szCs w:val="24"/>
        </w:rPr>
        <w:t>……</w:t>
      </w:r>
    </w:p>
    <w:p w14:paraId="1D046A34">
      <w:pPr>
        <w:pStyle w:val="4"/>
        <w:ind w:left="664" w:leftChars="316" w:firstLine="229" w:firstLineChars="95"/>
        <w:rPr>
          <w:rFonts w:hint="eastAsia" w:ascii="仿宋" w:eastAsia="仿宋" w:cs="仿宋"/>
          <w:color w:val="auto"/>
          <w:kern w:val="0"/>
          <w:sz w:val="24"/>
          <w:szCs w:val="24"/>
        </w:rPr>
      </w:pPr>
      <w:r>
        <w:rPr>
          <w:rFonts w:hint="eastAsia" w:ascii="仿宋" w:eastAsia="仿宋" w:cs="仿宋"/>
          <w:color w:val="auto"/>
          <w:kern w:val="0"/>
          <w:sz w:val="24"/>
        </w:rPr>
        <w:t>以上分包供应商具备所承担分包工作内容相应的资质条件且不得再次分包。</w:t>
      </w:r>
    </w:p>
    <w:p w14:paraId="4D6B025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r>
        <w:rPr>
          <w:rFonts w:hint="eastAsia" w:ascii="仿宋" w:hAnsi="仿宋" w:eastAsia="仿宋" w:cs="仿宋"/>
          <w:color w:val="auto"/>
          <w:kern w:val="0"/>
          <w:sz w:val="24"/>
        </w:rPr>
        <w:t>根据项目具体情况二选一填写）。</w:t>
      </w:r>
    </w:p>
    <w:p w14:paraId="1D44A476">
      <w:pPr>
        <w:snapToGrid w:val="0"/>
        <w:spacing w:line="360" w:lineRule="auto"/>
        <w:ind w:firstLine="576"/>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（分包供应商X,……）提供的货物全部由小微企业制造，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6D65FDD5">
      <w:pPr>
        <w:spacing w:line="360" w:lineRule="auto"/>
        <w:ind w:firstLine="480" w:firstLineChars="200"/>
        <w:rPr>
          <w:rFonts w:hint="eastAsia" w:ascii="仿宋" w:hAnsi="仿宋" w:eastAsia="仿宋" w:cs="仿宋"/>
          <w:b/>
          <w:bCs/>
          <w:color w:val="auto"/>
          <w:kern w:val="0"/>
          <w:sz w:val="24"/>
          <w:lang w:val="zh-CN"/>
        </w:rPr>
      </w:pPr>
      <w:sdt>
        <w:sdtPr>
          <w:rPr>
            <w:rFonts w:hint="eastAsia" w:ascii="仿宋" w:hAnsi="仿宋" w:eastAsia="仿宋" w:cs="仿宋"/>
            <w:color w:val="auto"/>
            <w:kern w:val="0"/>
            <w:sz w:val="24"/>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w:t>
      </w:r>
      <w:bookmarkStart w:id="139"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中中小企业、其中小微企业合同金额应当达到的比例要求填写。</w:t>
      </w:r>
      <w:r>
        <w:rPr>
          <w:rFonts w:hint="eastAsia" w:ascii="仿宋" w:hAnsi="仿宋" w:eastAsia="仿宋" w:cs="仿宋"/>
          <w:b/>
          <w:bCs/>
          <w:color w:val="auto"/>
          <w:kern w:val="0"/>
          <w:sz w:val="24"/>
          <w:lang w:val="zh-CN"/>
        </w:rPr>
        <w:t>）</w:t>
      </w:r>
      <w:bookmarkEnd w:id="139"/>
    </w:p>
    <w:p w14:paraId="7CC7D2B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18EB4D30">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15FCDF6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2113A91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0A4AD16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7350A539">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7DF741D">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527678D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2606B72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6AAC63D3">
      <w:pPr>
        <w:snapToGrid w:val="0"/>
        <w:spacing w:line="360" w:lineRule="auto"/>
        <w:ind w:left="770" w:leftChars="342" w:hanging="52" w:hangingChars="25"/>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八、其他</w:t>
      </w:r>
    </w:p>
    <w:p w14:paraId="727E72A3">
      <w:pPr>
        <w:snapToGrid w:val="0"/>
        <w:spacing w:line="360" w:lineRule="auto"/>
        <w:ind w:left="5128" w:leftChars="342" w:hanging="4410" w:hangingChars="2100"/>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投标人名称(电子签名)：</w:t>
      </w:r>
    </w:p>
    <w:p w14:paraId="7800C103">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14:paraId="4FF97C36">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311F01A7">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0D8F3BF0">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AFB189D">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1DEC223E">
      <w:pPr>
        <w:spacing w:line="360" w:lineRule="auto"/>
        <w:jc w:val="left"/>
        <w:outlineLvl w:val="0"/>
        <w:rPr>
          <w:rFonts w:hint="eastAsia" w:ascii="仿宋" w:hAnsi="仿宋" w:eastAsia="仿宋" w:cs="仿宋"/>
          <w:b/>
          <w:color w:val="auto"/>
          <w:sz w:val="32"/>
          <w:szCs w:val="18"/>
        </w:rPr>
      </w:pPr>
      <w:r>
        <w:rPr>
          <w:rFonts w:hint="eastAsia" w:ascii="仿宋" w:hAnsi="仿宋" w:eastAsia="仿宋" w:cs="仿宋"/>
          <w:b/>
          <w:color w:val="auto"/>
          <w:sz w:val="32"/>
          <w:szCs w:val="18"/>
        </w:rPr>
        <w:t>附件7：中小企业声明函</w:t>
      </w:r>
    </w:p>
    <w:p w14:paraId="06EA6AE3">
      <w:pPr>
        <w:spacing w:line="360" w:lineRule="auto"/>
        <w:jc w:val="center"/>
        <w:rPr>
          <w:rFonts w:hint="eastAsia" w:ascii="仿宋" w:hAnsi="仿宋" w:eastAsia="仿宋" w:cs="仿宋"/>
          <w:color w:val="auto"/>
          <w:sz w:val="24"/>
          <w:u w:val="single"/>
        </w:rPr>
      </w:pPr>
    </w:p>
    <w:p w14:paraId="6A132914">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14:paraId="7C1BE151">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杭州市萧山区人民政府新街街道办事处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新街街道全域生活垃圾清运服务项目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549FE6B2">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w:t>
      </w:r>
      <w:r>
        <w:rPr>
          <w:rFonts w:hint="eastAsia" w:ascii="仿宋" w:hAnsi="仿宋" w:eastAsia="仿宋" w:cs="仿宋"/>
          <w:color w:val="auto"/>
          <w:sz w:val="24"/>
          <w:u w:val="single"/>
        </w:rPr>
        <w:t xml:space="preserve">   ①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② （中型企业、小型企业、微型企业） </w:t>
      </w:r>
      <w:r>
        <w:rPr>
          <w:rFonts w:hint="eastAsia" w:ascii="仿宋" w:hAnsi="仿宋" w:eastAsia="仿宋" w:cs="仿宋"/>
          <w:color w:val="auto"/>
          <w:sz w:val="24"/>
        </w:rPr>
        <w:t>；</w:t>
      </w:r>
    </w:p>
    <w:p w14:paraId="156227B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①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② （中型企业、小型企业、微型企业） </w:t>
      </w:r>
      <w:r>
        <w:rPr>
          <w:rFonts w:hint="eastAsia" w:ascii="仿宋" w:hAnsi="仿宋" w:eastAsia="仿宋" w:cs="仿宋"/>
          <w:color w:val="auto"/>
          <w:sz w:val="24"/>
        </w:rPr>
        <w:t>；</w:t>
      </w:r>
    </w:p>
    <w:p w14:paraId="7199496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0A2C72C">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1FBF9E1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1521315A">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356EFE5F">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7E215095">
      <w:pPr>
        <w:spacing w:line="360" w:lineRule="auto"/>
        <w:ind w:firstLine="310" w:firstLineChars="147"/>
        <w:jc w:val="left"/>
        <w:rPr>
          <w:rFonts w:hint="eastAsia" w:ascii="仿宋" w:hAnsi="仿宋" w:eastAsia="仿宋" w:cs="仿宋"/>
          <w:color w:val="auto"/>
          <w:sz w:val="24"/>
        </w:rPr>
      </w:pPr>
      <w:r>
        <w:rPr>
          <w:rFonts w:hint="eastAsia" w:ascii="仿宋" w:hAnsi="仿宋" w:eastAsia="仿宋" w:cs="仿宋"/>
          <w:b/>
          <w:color w:val="auto"/>
          <w:szCs w:val="21"/>
        </w:rPr>
        <w:t>从业人员、营业收入、资产总额填报上一年度数据，无上一年度数据的新成立企业可不填报。</w:t>
      </w:r>
    </w:p>
    <w:p w14:paraId="5F1D6EAB">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14:paraId="072B90C8">
      <w:pPr>
        <w:spacing w:line="360" w:lineRule="auto"/>
        <w:ind w:right="420" w:firstLine="420"/>
        <w:rPr>
          <w:rFonts w:hint="eastAsia" w:ascii="仿宋" w:hAnsi="仿宋" w:eastAsia="仿宋" w:cs="仿宋"/>
          <w:color w:val="auto"/>
          <w:sz w:val="24"/>
        </w:rPr>
      </w:pPr>
      <w:r>
        <w:rPr>
          <w:rFonts w:hint="eastAsia" w:ascii="仿宋" w:hAnsi="仿宋" w:eastAsia="仿宋" w:cs="仿宋"/>
          <w:color w:val="auto"/>
          <w:sz w:val="24"/>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2D5E0965">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9B3F23">
      <w:pPr>
        <w:rPr>
          <w:rFonts w:hint="eastAsia" w:ascii="仿宋" w:hAnsi="仿宋" w:eastAsia="仿宋" w:cs="仿宋"/>
          <w:color w:val="auto"/>
        </w:rPr>
      </w:pPr>
      <w:r>
        <w:rPr>
          <w:rFonts w:hint="eastAsia" w:ascii="仿宋" w:hAnsi="仿宋" w:eastAsia="仿宋" w:cs="仿宋"/>
          <w:color w:val="auto"/>
        </w:rPr>
        <w:br w:type="page"/>
      </w:r>
    </w:p>
    <w:p w14:paraId="5DD1D437">
      <w:pPr>
        <w:pStyle w:val="4"/>
        <w:rPr>
          <w:rFonts w:hint="eastAsia" w:ascii="仿宋" w:eastAsia="仿宋" w:cs="仿宋"/>
          <w:bCs w:val="0"/>
          <w:color w:val="auto"/>
          <w:szCs w:val="18"/>
          <w:lang w:val="en-US"/>
        </w:rPr>
      </w:pPr>
      <w:r>
        <w:rPr>
          <w:rFonts w:hint="eastAsia" w:ascii="仿宋" w:eastAsia="仿宋" w:cs="仿宋"/>
          <w:bCs w:val="0"/>
          <w:color w:val="auto"/>
          <w:szCs w:val="18"/>
          <w:lang w:val="en-US"/>
        </w:rPr>
        <w:t>附件8：中小企业划型标准</w:t>
      </w:r>
    </w:p>
    <w:p w14:paraId="55C72C27">
      <w:pPr>
        <w:spacing w:line="360" w:lineRule="auto"/>
        <w:rPr>
          <w:rFonts w:hint="eastAsia" w:ascii="仿宋" w:hAnsi="仿宋" w:eastAsia="仿宋" w:cs="仿宋"/>
          <w:color w:val="auto"/>
        </w:rPr>
      </w:pPr>
      <w:r>
        <w:rPr>
          <w:rFonts w:hint="eastAsia" w:ascii="仿宋" w:hAnsi="仿宋" w:eastAsia="仿宋" w:cs="仿宋"/>
          <w:color w:val="auto"/>
          <w:kern w:val="0"/>
          <w:sz w:val="24"/>
        </w:rPr>
        <w:t>各行业划型标准为：</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（十六）其他未列明行业。从业人员300人以下的为中小微型企业。其中，从业人员100人及以上的为中型企业；从业人员10人及以上的为小型企业；从业人员10人以下的为微型企业。</w:t>
      </w:r>
    </w:p>
    <w:p w14:paraId="54F5BCC4">
      <w:pPr>
        <w:pStyle w:val="4"/>
        <w:jc w:val="center"/>
        <w:rPr>
          <w:rFonts w:hint="eastAsia" w:ascii="仿宋" w:eastAsia="仿宋" w:cs="仿宋"/>
          <w:color w:val="auto"/>
          <w:sz w:val="24"/>
        </w:rPr>
      </w:pPr>
      <w:r>
        <w:rPr>
          <w:rFonts w:hint="eastAsia" w:ascii="仿宋" w:eastAsia="仿宋" w:cs="仿宋"/>
          <w:color w:val="auto"/>
        </w:rPr>
        <w:t>附件</w:t>
      </w:r>
      <w:r>
        <w:rPr>
          <w:rFonts w:hint="eastAsia" w:ascii="仿宋" w:eastAsia="仿宋" w:cs="仿宋"/>
          <w:color w:val="auto"/>
          <w:lang w:val="en-US"/>
        </w:rPr>
        <w:t>9</w:t>
      </w:r>
      <w:r>
        <w:rPr>
          <w:rFonts w:hint="eastAsia" w:ascii="仿宋" w:eastAsia="仿宋" w:cs="仿宋"/>
          <w:color w:val="auto"/>
        </w:rPr>
        <w:t>样品（演示）授权委托书</w:t>
      </w:r>
    </w:p>
    <w:p w14:paraId="72579AEB">
      <w:pPr>
        <w:jc w:val="center"/>
        <w:rPr>
          <w:rFonts w:hint="eastAsia" w:ascii="仿宋" w:hAnsi="仿宋" w:eastAsia="仿宋" w:cs="仿宋"/>
          <w:color w:val="auto"/>
          <w:sz w:val="40"/>
        </w:rPr>
      </w:pPr>
      <w:r>
        <w:rPr>
          <w:rFonts w:hint="eastAsia" w:ascii="仿宋" w:hAnsi="仿宋" w:eastAsia="仿宋" w:cs="仿宋"/>
          <w:color w:val="auto"/>
          <w:sz w:val="40"/>
        </w:rPr>
        <w:t>样品（演示）授权委托书</w:t>
      </w:r>
    </w:p>
    <w:p w14:paraId="25DF22E8">
      <w:pPr>
        <w:jc w:val="center"/>
        <w:rPr>
          <w:rFonts w:hint="eastAsia" w:ascii="仿宋" w:hAnsi="仿宋" w:eastAsia="仿宋" w:cs="仿宋"/>
          <w:color w:val="auto"/>
          <w:sz w:val="40"/>
        </w:rPr>
      </w:pPr>
    </w:p>
    <w:p w14:paraId="7C4AE9BB">
      <w:pPr>
        <w:snapToGrid w:val="0"/>
        <w:spacing w:line="360" w:lineRule="auto"/>
        <w:rPr>
          <w:rFonts w:hint="eastAsia" w:ascii="仿宋" w:hAnsi="仿宋" w:eastAsia="仿宋" w:cs="仿宋"/>
          <w:color w:val="auto"/>
        </w:rPr>
      </w:pPr>
      <w:r>
        <w:rPr>
          <w:rFonts w:hint="eastAsia" w:ascii="仿宋" w:hAnsi="仿宋" w:eastAsia="仿宋" w:cs="仿宋"/>
          <w:color w:val="auto"/>
        </w:rPr>
        <w:t>XXX（单位名称或采购机构名称）</w:t>
      </w:r>
      <w:r>
        <w:rPr>
          <w:rFonts w:hint="eastAsia" w:ascii="仿宋" w:hAnsi="仿宋" w:eastAsia="仿宋" w:cs="仿宋"/>
          <w:color w:val="auto"/>
          <w:lang w:val="zh-CN"/>
        </w:rPr>
        <w:t>：</w:t>
      </w:r>
    </w:p>
    <w:p w14:paraId="60F5A7C3">
      <w:pPr>
        <w:snapToGrid w:val="0"/>
        <w:spacing w:line="360" w:lineRule="auto"/>
        <w:ind w:left="254" w:leftChars="121" w:firstLine="420" w:firstLineChars="200"/>
        <w:rPr>
          <w:rFonts w:hint="eastAsia" w:ascii="仿宋" w:hAnsi="仿宋" w:eastAsia="仿宋" w:cs="仿宋"/>
          <w:color w:val="auto"/>
          <w:u w:val="single"/>
          <w:lang w:val="zh-CN"/>
        </w:rPr>
      </w:pPr>
      <w:r>
        <w:rPr>
          <w:rFonts w:hint="eastAsia" w:ascii="仿宋" w:hAnsi="仿宋" w:eastAsia="仿宋" w:cs="仿宋"/>
          <w:color w:val="auto"/>
          <w:lang w:val="zh-CN"/>
        </w:rPr>
        <w:t>兹委派</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先生/女士，身份证号：</w:t>
      </w:r>
      <w:r>
        <w:rPr>
          <w:rFonts w:hint="eastAsia" w:ascii="仿宋" w:hAnsi="仿宋" w:eastAsia="仿宋" w:cs="仿宋"/>
          <w:color w:val="auto"/>
          <w:u w:val="single"/>
          <w:lang w:val="zh-CN"/>
        </w:rPr>
        <w:t xml:space="preserve">                   </w:t>
      </w:r>
    </w:p>
    <w:p w14:paraId="4B31D55B">
      <w:pPr>
        <w:snapToGrid w:val="0"/>
        <w:spacing w:line="360" w:lineRule="auto"/>
        <w:ind w:left="254" w:leftChars="121" w:firstLine="420" w:firstLineChars="200"/>
        <w:rPr>
          <w:rFonts w:hint="eastAsia" w:ascii="仿宋" w:hAnsi="仿宋" w:eastAsia="仿宋" w:cs="仿宋"/>
          <w:color w:val="auto"/>
        </w:rPr>
      </w:pPr>
      <w:r>
        <w:rPr>
          <w:rFonts w:hint="eastAsia" w:ascii="仿宋" w:hAnsi="仿宋" w:eastAsia="仿宋" w:cs="仿宋"/>
          <w:color w:val="auto"/>
          <w:lang w:val="zh-CN"/>
        </w:rPr>
        <w:t>手机：</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，代表我公司前来递交</w:t>
      </w:r>
      <w:r>
        <w:rPr>
          <w:rFonts w:hint="eastAsia" w:ascii="仿宋" w:hAnsi="仿宋" w:eastAsia="仿宋" w:cs="仿宋"/>
          <w:color w:val="auto"/>
          <w:u w:val="single"/>
          <w:lang w:val="zh-CN"/>
        </w:rPr>
        <w:t xml:space="preserve">                           采购项目</w:t>
      </w:r>
      <w:r>
        <w:rPr>
          <w:rFonts w:hint="eastAsia" w:ascii="仿宋" w:hAnsi="仿宋" w:eastAsia="仿宋" w:cs="仿宋"/>
          <w:color w:val="auto"/>
          <w:lang w:val="zh-CN"/>
        </w:rPr>
        <w:t>【项目编号：              】（标项号：  ）投标样品或参加演示，并全权负责标后取回样品等其他处理事宜。</w:t>
      </w:r>
    </w:p>
    <w:p w14:paraId="51D2E504">
      <w:pPr>
        <w:snapToGrid w:val="0"/>
        <w:spacing w:line="360" w:lineRule="auto"/>
        <w:rPr>
          <w:rFonts w:hint="eastAsia" w:ascii="仿宋" w:hAnsi="仿宋" w:eastAsia="仿宋" w:cs="仿宋"/>
          <w:color w:val="auto"/>
          <w:lang w:val="zh-CN"/>
        </w:rPr>
      </w:pPr>
      <w:r>
        <w:rPr>
          <w:rFonts w:hint="eastAsia" w:ascii="仿宋" w:hAnsi="仿宋" w:eastAsia="仿宋" w:cs="仿宋"/>
          <w:color w:val="auto"/>
          <w:lang w:val="zh-CN"/>
        </w:rPr>
        <w:t xml:space="preserve">  </w:t>
      </w:r>
    </w:p>
    <w:p w14:paraId="22A8A5F1">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特此告知。</w:t>
      </w:r>
    </w:p>
    <w:p w14:paraId="3AF2E013">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投标人名称(公章)：</w:t>
      </w:r>
    </w:p>
    <w:p w14:paraId="128B045C">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w:t>
      </w:r>
    </w:p>
    <w:p w14:paraId="7A32ED86">
      <w:pPr>
        <w:snapToGrid w:val="0"/>
        <w:spacing w:line="360" w:lineRule="auto"/>
        <w:ind w:right="240"/>
        <w:jc w:val="right"/>
        <w:rPr>
          <w:rFonts w:hint="eastAsia" w:ascii="仿宋" w:hAnsi="仿宋" w:eastAsia="仿宋" w:cs="仿宋"/>
          <w:color w:val="auto"/>
          <w:lang w:val="zh-CN"/>
        </w:rPr>
      </w:pPr>
      <w:r>
        <w:rPr>
          <w:rFonts w:hint="eastAsia" w:ascii="仿宋" w:hAnsi="仿宋" w:eastAsia="仿宋" w:cs="仿宋"/>
          <w:color w:val="auto"/>
          <w:lang w:val="zh-CN"/>
        </w:rPr>
        <w:t>签发日期：  年  月   日</w:t>
      </w:r>
    </w:p>
    <w:p w14:paraId="0ECF1F0D">
      <w:pPr>
        <w:snapToGrid w:val="0"/>
        <w:spacing w:line="360" w:lineRule="auto"/>
        <w:ind w:right="240"/>
        <w:jc w:val="right"/>
        <w:rPr>
          <w:rFonts w:hint="eastAsia" w:ascii="仿宋" w:hAnsi="仿宋" w:eastAsia="仿宋" w:cs="仿宋"/>
          <w:color w:val="auto"/>
          <w:lang w:val="zh-CN"/>
        </w:rPr>
      </w:pPr>
    </w:p>
    <w:p w14:paraId="3AE6E275">
      <w:pPr>
        <w:snapToGrid w:val="0"/>
        <w:spacing w:line="360" w:lineRule="auto"/>
        <w:ind w:right="1920"/>
        <w:rPr>
          <w:rFonts w:hint="eastAsia" w:ascii="仿宋" w:hAnsi="仿宋" w:eastAsia="仿宋" w:cs="仿宋"/>
          <w:color w:val="auto"/>
          <w:lang w:val="zh-CN"/>
        </w:rPr>
      </w:pPr>
    </w:p>
    <w:p w14:paraId="468A66D7">
      <w:pPr>
        <w:snapToGrid w:val="0"/>
        <w:spacing w:line="360" w:lineRule="auto"/>
        <w:ind w:right="240"/>
        <w:jc w:val="right"/>
        <w:rPr>
          <w:rFonts w:hint="eastAsia" w:ascii="仿宋" w:hAnsi="仿宋" w:eastAsia="仿宋" w:cs="仿宋"/>
          <w:color w:val="auto"/>
          <w:lang w:val="zh-CN"/>
        </w:rPr>
      </w:pPr>
    </w:p>
    <w:p w14:paraId="469812C2">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rPr>
        <w:t>受委托人</w:t>
      </w:r>
      <w:r>
        <w:rPr>
          <w:rFonts w:hint="eastAsia" w:ascii="仿宋" w:hAnsi="仿宋" w:eastAsia="仿宋" w:cs="仿宋"/>
          <w:color w:val="auto"/>
          <w:lang w:val="zh-CN"/>
        </w:rPr>
        <w:t>身份证复印件：</w:t>
      </w:r>
    </w:p>
    <w:p w14:paraId="53146F59">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lang w:val="zh-CN"/>
        </w:rPr>
        <w:t>说明：本委托书在有样品或演示时由受委托人携带至指定地点。</w:t>
      </w:r>
    </w:p>
    <w:p w14:paraId="52007F20">
      <w:pPr>
        <w:spacing w:line="360" w:lineRule="auto"/>
        <w:rPr>
          <w:rFonts w:hint="eastAsia" w:ascii="仿宋" w:hAnsi="仿宋" w:eastAsia="仿宋" w:cs="仿宋"/>
          <w:bCs/>
          <w:color w:val="auto"/>
          <w:sz w:val="24"/>
        </w:rPr>
      </w:pPr>
      <w:r>
        <w:rPr>
          <w:rFonts w:hint="eastAsia" w:ascii="仿宋" w:hAnsi="仿宋" w:eastAsia="仿宋" w:cs="仿宋"/>
          <w:b/>
          <w:color w:val="auto"/>
        </w:rPr>
        <w:t>同时有样品和演示的，可委托不同人员。</w:t>
      </w:r>
    </w:p>
    <w:p w14:paraId="7819C7A3">
      <w:pPr>
        <w:spacing w:line="360" w:lineRule="auto"/>
        <w:rPr>
          <w:rFonts w:hint="eastAsia" w:ascii="仿宋" w:hAnsi="仿宋" w:eastAsia="仿宋" w:cs="仿宋"/>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CC17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9B0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140" w:name="_Toc91899912"/>
    <w:bookmarkStart w:id="141" w:name="_Toc36110187"/>
    <w:bookmarkStart w:id="142" w:name="_Toc131845147"/>
    <w:bookmarkStart w:id="143" w:name="_Toc164085800"/>
    <w:r>
      <w:rPr>
        <w:rFonts w:hint="eastAsia" w:ascii="仿宋_GB2312" w:eastAsia="仿宋_GB2312"/>
        <w:kern w:val="0"/>
        <w:szCs w:val="21"/>
      </w:rPr>
      <w:t xml:space="preserve"> 页</w:t>
    </w:r>
    <w:bookmarkEnd w:id="140"/>
    <w:bookmarkEnd w:id="141"/>
    <w:bookmarkEnd w:id="142"/>
    <w:bookmarkEnd w:id="14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2C92E">
    <w:pPr>
      <w:pStyle w:val="41"/>
      <w:jc w:val="right"/>
      <w:rPr>
        <w:rFonts w:ascii="仿宋_GB2312" w:eastAsia="仿宋_GB2312"/>
        <w:b/>
        <w:i/>
        <w:iCs/>
        <w:u w:val="single"/>
      </w:rPr>
    </w:pPr>
    <w:r>
      <w:t></w:t>
    </w:r>
    <w:r>
      <w:rPr>
        <w:rFonts w:hint="eastAsia" w:ascii="仿宋" w:hAnsi="仿宋" w:eastAsia="仿宋" w:cs="仿宋"/>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A1C14">
    <w:pPr>
      <w:pStyle w:val="41"/>
    </w:pPr>
    <w:r>
      <w:t></w:t>
    </w:r>
    <w:r>
      <w:rPr>
        <w:rFonts w:hint="eastAsia"/>
      </w:rPr>
      <w:t xml:space="preserve">                                             </w:t>
    </w: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8"/>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DCF"/>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2E09"/>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AB5"/>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8DA"/>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2CB7"/>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6E7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6B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2652E"/>
    <w:rsid w:val="019F7441"/>
    <w:rsid w:val="01B37585"/>
    <w:rsid w:val="01D55165"/>
    <w:rsid w:val="01DF6BF8"/>
    <w:rsid w:val="01E925F2"/>
    <w:rsid w:val="01EC2C57"/>
    <w:rsid w:val="02301FCF"/>
    <w:rsid w:val="023870D5"/>
    <w:rsid w:val="025F0711"/>
    <w:rsid w:val="026B2E25"/>
    <w:rsid w:val="02824D4D"/>
    <w:rsid w:val="02DC4B10"/>
    <w:rsid w:val="02DD76CE"/>
    <w:rsid w:val="02F36323"/>
    <w:rsid w:val="02F5619C"/>
    <w:rsid w:val="02FC4AF4"/>
    <w:rsid w:val="031713E0"/>
    <w:rsid w:val="03200DBB"/>
    <w:rsid w:val="0326446A"/>
    <w:rsid w:val="032D5555"/>
    <w:rsid w:val="03433FA5"/>
    <w:rsid w:val="036634D2"/>
    <w:rsid w:val="03AC1B29"/>
    <w:rsid w:val="03DD35E4"/>
    <w:rsid w:val="04076900"/>
    <w:rsid w:val="040F20B8"/>
    <w:rsid w:val="041A5A3B"/>
    <w:rsid w:val="042311BA"/>
    <w:rsid w:val="042A28FC"/>
    <w:rsid w:val="042B157A"/>
    <w:rsid w:val="0457188D"/>
    <w:rsid w:val="048F763B"/>
    <w:rsid w:val="049F330E"/>
    <w:rsid w:val="04A42800"/>
    <w:rsid w:val="04AA775C"/>
    <w:rsid w:val="04AF1889"/>
    <w:rsid w:val="04F66F48"/>
    <w:rsid w:val="05043453"/>
    <w:rsid w:val="050740F5"/>
    <w:rsid w:val="05251E14"/>
    <w:rsid w:val="05865747"/>
    <w:rsid w:val="05A16594"/>
    <w:rsid w:val="05A7762D"/>
    <w:rsid w:val="05AD1B88"/>
    <w:rsid w:val="060E5941"/>
    <w:rsid w:val="06110FAF"/>
    <w:rsid w:val="06493CA7"/>
    <w:rsid w:val="065A6178"/>
    <w:rsid w:val="066F1CF3"/>
    <w:rsid w:val="06930BB8"/>
    <w:rsid w:val="06AB256C"/>
    <w:rsid w:val="07245D42"/>
    <w:rsid w:val="07264C62"/>
    <w:rsid w:val="0764344E"/>
    <w:rsid w:val="0779354C"/>
    <w:rsid w:val="07BF2E6A"/>
    <w:rsid w:val="08061376"/>
    <w:rsid w:val="082E66E3"/>
    <w:rsid w:val="08452D77"/>
    <w:rsid w:val="086401F8"/>
    <w:rsid w:val="08751CAA"/>
    <w:rsid w:val="087E4C40"/>
    <w:rsid w:val="08A871D0"/>
    <w:rsid w:val="08D66AD6"/>
    <w:rsid w:val="08DA33A3"/>
    <w:rsid w:val="08DF474E"/>
    <w:rsid w:val="08E80F13"/>
    <w:rsid w:val="09151F1E"/>
    <w:rsid w:val="09335624"/>
    <w:rsid w:val="0944690F"/>
    <w:rsid w:val="09535675"/>
    <w:rsid w:val="095F057D"/>
    <w:rsid w:val="09642282"/>
    <w:rsid w:val="09733572"/>
    <w:rsid w:val="09772C16"/>
    <w:rsid w:val="098353B5"/>
    <w:rsid w:val="099F58E9"/>
    <w:rsid w:val="09A92330"/>
    <w:rsid w:val="09B06B87"/>
    <w:rsid w:val="09C13146"/>
    <w:rsid w:val="09E04166"/>
    <w:rsid w:val="0A1C0718"/>
    <w:rsid w:val="0A3E7710"/>
    <w:rsid w:val="0A5B7E63"/>
    <w:rsid w:val="0AA374A5"/>
    <w:rsid w:val="0AAB7649"/>
    <w:rsid w:val="0ABC5606"/>
    <w:rsid w:val="0AC67B35"/>
    <w:rsid w:val="0B2F523E"/>
    <w:rsid w:val="0B30404E"/>
    <w:rsid w:val="0B464611"/>
    <w:rsid w:val="0B4C6C14"/>
    <w:rsid w:val="0B547599"/>
    <w:rsid w:val="0B5D195B"/>
    <w:rsid w:val="0B631A88"/>
    <w:rsid w:val="0B683D45"/>
    <w:rsid w:val="0B7F3F11"/>
    <w:rsid w:val="0B884417"/>
    <w:rsid w:val="0B9C06D5"/>
    <w:rsid w:val="0BB457EC"/>
    <w:rsid w:val="0BBE689D"/>
    <w:rsid w:val="0BF6188C"/>
    <w:rsid w:val="0BF73C91"/>
    <w:rsid w:val="0C170175"/>
    <w:rsid w:val="0C2F32F7"/>
    <w:rsid w:val="0C571A41"/>
    <w:rsid w:val="0C5C1171"/>
    <w:rsid w:val="0C5E1CBC"/>
    <w:rsid w:val="0C615B50"/>
    <w:rsid w:val="0C776A4C"/>
    <w:rsid w:val="0C8445DA"/>
    <w:rsid w:val="0C87121B"/>
    <w:rsid w:val="0CC007F7"/>
    <w:rsid w:val="0CC617AC"/>
    <w:rsid w:val="0CE618DF"/>
    <w:rsid w:val="0CFE707A"/>
    <w:rsid w:val="0D063BDA"/>
    <w:rsid w:val="0D08375F"/>
    <w:rsid w:val="0D184CFB"/>
    <w:rsid w:val="0D4A7419"/>
    <w:rsid w:val="0D827401"/>
    <w:rsid w:val="0D84094E"/>
    <w:rsid w:val="0D8A00E9"/>
    <w:rsid w:val="0D8D589E"/>
    <w:rsid w:val="0D8F06A6"/>
    <w:rsid w:val="0D9F44AC"/>
    <w:rsid w:val="0DA01C73"/>
    <w:rsid w:val="0DB4336F"/>
    <w:rsid w:val="0DD63300"/>
    <w:rsid w:val="0DF50604"/>
    <w:rsid w:val="0DF702FE"/>
    <w:rsid w:val="0DF91DAE"/>
    <w:rsid w:val="0E060E51"/>
    <w:rsid w:val="0E15476E"/>
    <w:rsid w:val="0E5604B2"/>
    <w:rsid w:val="0E6D5D79"/>
    <w:rsid w:val="0E9D0089"/>
    <w:rsid w:val="0EB803EE"/>
    <w:rsid w:val="0EF94D4B"/>
    <w:rsid w:val="0F203EAC"/>
    <w:rsid w:val="0F223BF3"/>
    <w:rsid w:val="0F373F0C"/>
    <w:rsid w:val="0F4958DC"/>
    <w:rsid w:val="0F515DF7"/>
    <w:rsid w:val="0F596BA8"/>
    <w:rsid w:val="0F6248D2"/>
    <w:rsid w:val="0F693536"/>
    <w:rsid w:val="0F7B0511"/>
    <w:rsid w:val="0F7B76D9"/>
    <w:rsid w:val="0F816ACD"/>
    <w:rsid w:val="0F9832DB"/>
    <w:rsid w:val="0FBF3FD2"/>
    <w:rsid w:val="0FBF7FF3"/>
    <w:rsid w:val="0FEE34C9"/>
    <w:rsid w:val="10390BE8"/>
    <w:rsid w:val="10646583"/>
    <w:rsid w:val="107D4B15"/>
    <w:rsid w:val="108A3C80"/>
    <w:rsid w:val="10C26171"/>
    <w:rsid w:val="10F33360"/>
    <w:rsid w:val="10FC16EA"/>
    <w:rsid w:val="110F1D40"/>
    <w:rsid w:val="11266F33"/>
    <w:rsid w:val="114F7C08"/>
    <w:rsid w:val="118963A1"/>
    <w:rsid w:val="118B565E"/>
    <w:rsid w:val="11981884"/>
    <w:rsid w:val="11A6405B"/>
    <w:rsid w:val="11C6522A"/>
    <w:rsid w:val="11CD670C"/>
    <w:rsid w:val="11E104CC"/>
    <w:rsid w:val="11E20309"/>
    <w:rsid w:val="12255233"/>
    <w:rsid w:val="12530213"/>
    <w:rsid w:val="12747CB6"/>
    <w:rsid w:val="127723A9"/>
    <w:rsid w:val="12862074"/>
    <w:rsid w:val="12883966"/>
    <w:rsid w:val="128D1EC5"/>
    <w:rsid w:val="129E45B4"/>
    <w:rsid w:val="12D81596"/>
    <w:rsid w:val="13072A44"/>
    <w:rsid w:val="13367661"/>
    <w:rsid w:val="135F4BE2"/>
    <w:rsid w:val="139B1A0A"/>
    <w:rsid w:val="139D25C7"/>
    <w:rsid w:val="13BF3CE4"/>
    <w:rsid w:val="13CC58CF"/>
    <w:rsid w:val="14092680"/>
    <w:rsid w:val="141008D8"/>
    <w:rsid w:val="14125FE6"/>
    <w:rsid w:val="146D271E"/>
    <w:rsid w:val="148D1A0C"/>
    <w:rsid w:val="14982588"/>
    <w:rsid w:val="149A5AD9"/>
    <w:rsid w:val="14A7619D"/>
    <w:rsid w:val="14F72E20"/>
    <w:rsid w:val="150536C3"/>
    <w:rsid w:val="15062CDF"/>
    <w:rsid w:val="150C1963"/>
    <w:rsid w:val="151447A0"/>
    <w:rsid w:val="15356A62"/>
    <w:rsid w:val="154A6454"/>
    <w:rsid w:val="15762120"/>
    <w:rsid w:val="15C10692"/>
    <w:rsid w:val="15CA4090"/>
    <w:rsid w:val="16013F56"/>
    <w:rsid w:val="1632430B"/>
    <w:rsid w:val="16A8729C"/>
    <w:rsid w:val="16B33777"/>
    <w:rsid w:val="16BC70A7"/>
    <w:rsid w:val="16C6339E"/>
    <w:rsid w:val="17006C3F"/>
    <w:rsid w:val="172F2D79"/>
    <w:rsid w:val="17544559"/>
    <w:rsid w:val="17557BEF"/>
    <w:rsid w:val="17D349C1"/>
    <w:rsid w:val="17EC02EE"/>
    <w:rsid w:val="1830729E"/>
    <w:rsid w:val="18490ADF"/>
    <w:rsid w:val="1870062C"/>
    <w:rsid w:val="18817102"/>
    <w:rsid w:val="18830A15"/>
    <w:rsid w:val="18852B28"/>
    <w:rsid w:val="188B5321"/>
    <w:rsid w:val="189E35C3"/>
    <w:rsid w:val="18DC4BBE"/>
    <w:rsid w:val="19932372"/>
    <w:rsid w:val="19A20DD5"/>
    <w:rsid w:val="19AE03F1"/>
    <w:rsid w:val="1A071A03"/>
    <w:rsid w:val="1A1F16AE"/>
    <w:rsid w:val="1A3B5C77"/>
    <w:rsid w:val="1A824F3A"/>
    <w:rsid w:val="1A95026A"/>
    <w:rsid w:val="1A984BAD"/>
    <w:rsid w:val="1AB8220E"/>
    <w:rsid w:val="1AE4166C"/>
    <w:rsid w:val="1AF06CFB"/>
    <w:rsid w:val="1AF11B8D"/>
    <w:rsid w:val="1B11359C"/>
    <w:rsid w:val="1B2A271F"/>
    <w:rsid w:val="1B476E3B"/>
    <w:rsid w:val="1B530544"/>
    <w:rsid w:val="1B713184"/>
    <w:rsid w:val="1B753F52"/>
    <w:rsid w:val="1B7F6BBA"/>
    <w:rsid w:val="1BA209CF"/>
    <w:rsid w:val="1BB2184F"/>
    <w:rsid w:val="1BB4777D"/>
    <w:rsid w:val="1BBE6BA7"/>
    <w:rsid w:val="1BD75AB8"/>
    <w:rsid w:val="1BF25A4E"/>
    <w:rsid w:val="1C0459C2"/>
    <w:rsid w:val="1C1B3B4A"/>
    <w:rsid w:val="1C275D99"/>
    <w:rsid w:val="1C6E3F5F"/>
    <w:rsid w:val="1C88086E"/>
    <w:rsid w:val="1CFA50A2"/>
    <w:rsid w:val="1D266CE1"/>
    <w:rsid w:val="1D3963AF"/>
    <w:rsid w:val="1D6A673C"/>
    <w:rsid w:val="1D7E2045"/>
    <w:rsid w:val="1D9247AE"/>
    <w:rsid w:val="1DB10B87"/>
    <w:rsid w:val="1DB567EC"/>
    <w:rsid w:val="1DC346E5"/>
    <w:rsid w:val="1DF51A98"/>
    <w:rsid w:val="1DFF3EF7"/>
    <w:rsid w:val="1E3D060F"/>
    <w:rsid w:val="1E3F7D2E"/>
    <w:rsid w:val="1E4134E4"/>
    <w:rsid w:val="1E5062B3"/>
    <w:rsid w:val="1E523514"/>
    <w:rsid w:val="1E714A66"/>
    <w:rsid w:val="1E7352C5"/>
    <w:rsid w:val="1E802593"/>
    <w:rsid w:val="1E8B6156"/>
    <w:rsid w:val="1EA57449"/>
    <w:rsid w:val="1EA703CC"/>
    <w:rsid w:val="1EB7330C"/>
    <w:rsid w:val="1F0A0FF3"/>
    <w:rsid w:val="1F2B5141"/>
    <w:rsid w:val="1F5771FF"/>
    <w:rsid w:val="1F7F461A"/>
    <w:rsid w:val="1FD52DD5"/>
    <w:rsid w:val="1FE868A9"/>
    <w:rsid w:val="2000527E"/>
    <w:rsid w:val="20034907"/>
    <w:rsid w:val="20173E4B"/>
    <w:rsid w:val="204E48BC"/>
    <w:rsid w:val="207D16B0"/>
    <w:rsid w:val="208453BA"/>
    <w:rsid w:val="208921B3"/>
    <w:rsid w:val="20973DEB"/>
    <w:rsid w:val="20B26522"/>
    <w:rsid w:val="20B44310"/>
    <w:rsid w:val="20EC135F"/>
    <w:rsid w:val="210C5466"/>
    <w:rsid w:val="21110DC5"/>
    <w:rsid w:val="211116EB"/>
    <w:rsid w:val="21156B08"/>
    <w:rsid w:val="216133FC"/>
    <w:rsid w:val="21691E5F"/>
    <w:rsid w:val="2185666F"/>
    <w:rsid w:val="21AA3516"/>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7C6E9E"/>
    <w:rsid w:val="24A059F2"/>
    <w:rsid w:val="24B22173"/>
    <w:rsid w:val="24B95AD9"/>
    <w:rsid w:val="24BE24DA"/>
    <w:rsid w:val="24CF5825"/>
    <w:rsid w:val="24D663E6"/>
    <w:rsid w:val="24D77F2B"/>
    <w:rsid w:val="25460729"/>
    <w:rsid w:val="258B00E2"/>
    <w:rsid w:val="25A917A6"/>
    <w:rsid w:val="25AE3087"/>
    <w:rsid w:val="25BE27CC"/>
    <w:rsid w:val="25F74A5C"/>
    <w:rsid w:val="25FA2770"/>
    <w:rsid w:val="2628662C"/>
    <w:rsid w:val="262D45DE"/>
    <w:rsid w:val="2661459D"/>
    <w:rsid w:val="26871DC8"/>
    <w:rsid w:val="26A53EF9"/>
    <w:rsid w:val="26A76454"/>
    <w:rsid w:val="26A94201"/>
    <w:rsid w:val="26AC274F"/>
    <w:rsid w:val="27044A29"/>
    <w:rsid w:val="271D34C8"/>
    <w:rsid w:val="276142BF"/>
    <w:rsid w:val="27783712"/>
    <w:rsid w:val="27907362"/>
    <w:rsid w:val="28074CD0"/>
    <w:rsid w:val="28333E1D"/>
    <w:rsid w:val="28454BD6"/>
    <w:rsid w:val="28455253"/>
    <w:rsid w:val="28551971"/>
    <w:rsid w:val="285B1C53"/>
    <w:rsid w:val="287E31E4"/>
    <w:rsid w:val="289F7086"/>
    <w:rsid w:val="28B27332"/>
    <w:rsid w:val="28C32028"/>
    <w:rsid w:val="28CC490F"/>
    <w:rsid w:val="28DE40AA"/>
    <w:rsid w:val="28FD4463"/>
    <w:rsid w:val="29345E77"/>
    <w:rsid w:val="294C65AD"/>
    <w:rsid w:val="2963161C"/>
    <w:rsid w:val="29806583"/>
    <w:rsid w:val="298B3C4C"/>
    <w:rsid w:val="29BE03FF"/>
    <w:rsid w:val="29C00861"/>
    <w:rsid w:val="29F26D24"/>
    <w:rsid w:val="2A15033F"/>
    <w:rsid w:val="2A1662C1"/>
    <w:rsid w:val="2A1C7367"/>
    <w:rsid w:val="2A2815FA"/>
    <w:rsid w:val="2A5E41EE"/>
    <w:rsid w:val="2A6D6092"/>
    <w:rsid w:val="2A7D76B4"/>
    <w:rsid w:val="2B437463"/>
    <w:rsid w:val="2B5D2C79"/>
    <w:rsid w:val="2B7807EE"/>
    <w:rsid w:val="2BA50BF7"/>
    <w:rsid w:val="2BBA27B6"/>
    <w:rsid w:val="2BBF00EC"/>
    <w:rsid w:val="2BC37CFD"/>
    <w:rsid w:val="2BD5237F"/>
    <w:rsid w:val="2BE536CE"/>
    <w:rsid w:val="2BE758D9"/>
    <w:rsid w:val="2C09049E"/>
    <w:rsid w:val="2C0A653C"/>
    <w:rsid w:val="2C191F85"/>
    <w:rsid w:val="2C8B2374"/>
    <w:rsid w:val="2C9F5E1F"/>
    <w:rsid w:val="2CCE400E"/>
    <w:rsid w:val="2CE82D6F"/>
    <w:rsid w:val="2D343236"/>
    <w:rsid w:val="2D855015"/>
    <w:rsid w:val="2DB211E4"/>
    <w:rsid w:val="2DD15014"/>
    <w:rsid w:val="2DF47AA5"/>
    <w:rsid w:val="2DF72DE4"/>
    <w:rsid w:val="2E0220AF"/>
    <w:rsid w:val="2E402CEA"/>
    <w:rsid w:val="2E4B082A"/>
    <w:rsid w:val="2E5D4E86"/>
    <w:rsid w:val="2E5D790B"/>
    <w:rsid w:val="2E895A98"/>
    <w:rsid w:val="2E9A3C18"/>
    <w:rsid w:val="2EBB0FEE"/>
    <w:rsid w:val="2EC4290F"/>
    <w:rsid w:val="2EC63002"/>
    <w:rsid w:val="2EE8585B"/>
    <w:rsid w:val="2EF79E26"/>
    <w:rsid w:val="2F0A6B38"/>
    <w:rsid w:val="2F4B7B98"/>
    <w:rsid w:val="2F946CCB"/>
    <w:rsid w:val="2FCC2ECF"/>
    <w:rsid w:val="2FD25781"/>
    <w:rsid w:val="2FDC745C"/>
    <w:rsid w:val="2FFD7934"/>
    <w:rsid w:val="30313232"/>
    <w:rsid w:val="30733ACD"/>
    <w:rsid w:val="30881CD2"/>
    <w:rsid w:val="308C3862"/>
    <w:rsid w:val="308D7C80"/>
    <w:rsid w:val="309379D8"/>
    <w:rsid w:val="309F7B02"/>
    <w:rsid w:val="30A270F7"/>
    <w:rsid w:val="30DF1478"/>
    <w:rsid w:val="30EC586F"/>
    <w:rsid w:val="311D7312"/>
    <w:rsid w:val="314550B7"/>
    <w:rsid w:val="314B3E80"/>
    <w:rsid w:val="319C376B"/>
    <w:rsid w:val="319C6071"/>
    <w:rsid w:val="31AC537E"/>
    <w:rsid w:val="31E3679B"/>
    <w:rsid w:val="31E732FD"/>
    <w:rsid w:val="32517576"/>
    <w:rsid w:val="329949EA"/>
    <w:rsid w:val="32BE5C2C"/>
    <w:rsid w:val="32FB6478"/>
    <w:rsid w:val="3307027A"/>
    <w:rsid w:val="33092D99"/>
    <w:rsid w:val="33263B3F"/>
    <w:rsid w:val="336963EB"/>
    <w:rsid w:val="337F42B4"/>
    <w:rsid w:val="33816EEB"/>
    <w:rsid w:val="33863895"/>
    <w:rsid w:val="33E04D53"/>
    <w:rsid w:val="33EB55CD"/>
    <w:rsid w:val="33EC4C02"/>
    <w:rsid w:val="340A6274"/>
    <w:rsid w:val="340D2360"/>
    <w:rsid w:val="3410665D"/>
    <w:rsid w:val="34211214"/>
    <w:rsid w:val="342E63AB"/>
    <w:rsid w:val="3442156A"/>
    <w:rsid w:val="34474DD2"/>
    <w:rsid w:val="34621C0C"/>
    <w:rsid w:val="348A2F11"/>
    <w:rsid w:val="34950E68"/>
    <w:rsid w:val="34986E94"/>
    <w:rsid w:val="34A15355"/>
    <w:rsid w:val="34AF62C9"/>
    <w:rsid w:val="34CB4388"/>
    <w:rsid w:val="34FA6E12"/>
    <w:rsid w:val="353326E6"/>
    <w:rsid w:val="354C423E"/>
    <w:rsid w:val="354D7158"/>
    <w:rsid w:val="35870F49"/>
    <w:rsid w:val="358D5588"/>
    <w:rsid w:val="35C97A69"/>
    <w:rsid w:val="35E46651"/>
    <w:rsid w:val="36102DBD"/>
    <w:rsid w:val="363A3B40"/>
    <w:rsid w:val="365302AE"/>
    <w:rsid w:val="36607A0A"/>
    <w:rsid w:val="366E227C"/>
    <w:rsid w:val="366F2E0D"/>
    <w:rsid w:val="367B6A5C"/>
    <w:rsid w:val="36A74ADA"/>
    <w:rsid w:val="36AD60D5"/>
    <w:rsid w:val="36B224F9"/>
    <w:rsid w:val="36D62FF5"/>
    <w:rsid w:val="36EC0CC9"/>
    <w:rsid w:val="37217B5C"/>
    <w:rsid w:val="373F410B"/>
    <w:rsid w:val="37B95D33"/>
    <w:rsid w:val="37C242B9"/>
    <w:rsid w:val="37EE25D1"/>
    <w:rsid w:val="37EE7094"/>
    <w:rsid w:val="37F76E27"/>
    <w:rsid w:val="38296C89"/>
    <w:rsid w:val="383002EB"/>
    <w:rsid w:val="384C6E5B"/>
    <w:rsid w:val="38586797"/>
    <w:rsid w:val="388A34DF"/>
    <w:rsid w:val="38BC0149"/>
    <w:rsid w:val="38C46719"/>
    <w:rsid w:val="38CC00AD"/>
    <w:rsid w:val="38D87D1C"/>
    <w:rsid w:val="39416E46"/>
    <w:rsid w:val="39636459"/>
    <w:rsid w:val="396B7F6C"/>
    <w:rsid w:val="398B750F"/>
    <w:rsid w:val="39A959E1"/>
    <w:rsid w:val="39B417A9"/>
    <w:rsid w:val="39E70097"/>
    <w:rsid w:val="39FC5695"/>
    <w:rsid w:val="3A006D8E"/>
    <w:rsid w:val="3A3651E5"/>
    <w:rsid w:val="3A466ECB"/>
    <w:rsid w:val="3A744481"/>
    <w:rsid w:val="3A8C7BEF"/>
    <w:rsid w:val="3A906246"/>
    <w:rsid w:val="3AD87DA1"/>
    <w:rsid w:val="3B20012B"/>
    <w:rsid w:val="3B2349B7"/>
    <w:rsid w:val="3B616CFF"/>
    <w:rsid w:val="3B6259F6"/>
    <w:rsid w:val="3B6635BA"/>
    <w:rsid w:val="3B976654"/>
    <w:rsid w:val="3BC01EFC"/>
    <w:rsid w:val="3BCA786A"/>
    <w:rsid w:val="3BD31E2F"/>
    <w:rsid w:val="3BEE6A8F"/>
    <w:rsid w:val="3BF15831"/>
    <w:rsid w:val="3C105946"/>
    <w:rsid w:val="3C471448"/>
    <w:rsid w:val="3C5F759A"/>
    <w:rsid w:val="3C6C525A"/>
    <w:rsid w:val="3CCE23CB"/>
    <w:rsid w:val="3CD17D17"/>
    <w:rsid w:val="3CDB0395"/>
    <w:rsid w:val="3CE4365E"/>
    <w:rsid w:val="3D107AC3"/>
    <w:rsid w:val="3D182F2B"/>
    <w:rsid w:val="3D2E696D"/>
    <w:rsid w:val="3D3C7F39"/>
    <w:rsid w:val="3D440F09"/>
    <w:rsid w:val="3D4504A0"/>
    <w:rsid w:val="3D8734BB"/>
    <w:rsid w:val="3D9A11D4"/>
    <w:rsid w:val="3DA16D89"/>
    <w:rsid w:val="3DA364BE"/>
    <w:rsid w:val="3DA43295"/>
    <w:rsid w:val="3DE041CB"/>
    <w:rsid w:val="3E0D48F6"/>
    <w:rsid w:val="3E1868B4"/>
    <w:rsid w:val="3E377251"/>
    <w:rsid w:val="3E42664B"/>
    <w:rsid w:val="3E5A7334"/>
    <w:rsid w:val="3E6D7B2B"/>
    <w:rsid w:val="3E7B5D6B"/>
    <w:rsid w:val="3E843E66"/>
    <w:rsid w:val="3E8F51FE"/>
    <w:rsid w:val="3E926F87"/>
    <w:rsid w:val="3E9A59DE"/>
    <w:rsid w:val="3EAF4836"/>
    <w:rsid w:val="3EC33DFA"/>
    <w:rsid w:val="3ED23E32"/>
    <w:rsid w:val="3EF20030"/>
    <w:rsid w:val="3EF9DF22"/>
    <w:rsid w:val="3F060E16"/>
    <w:rsid w:val="3F1D1096"/>
    <w:rsid w:val="3F1F0523"/>
    <w:rsid w:val="3F2F0234"/>
    <w:rsid w:val="3F6363FE"/>
    <w:rsid w:val="3F756B8F"/>
    <w:rsid w:val="3F77BA1B"/>
    <w:rsid w:val="3F95482B"/>
    <w:rsid w:val="40005D7D"/>
    <w:rsid w:val="4019356B"/>
    <w:rsid w:val="404969B4"/>
    <w:rsid w:val="40592157"/>
    <w:rsid w:val="405E4FE9"/>
    <w:rsid w:val="405F5252"/>
    <w:rsid w:val="406E1CAE"/>
    <w:rsid w:val="40A0133A"/>
    <w:rsid w:val="40C31A53"/>
    <w:rsid w:val="40FF545D"/>
    <w:rsid w:val="410067C8"/>
    <w:rsid w:val="418F0D2A"/>
    <w:rsid w:val="41CC3F05"/>
    <w:rsid w:val="41D01505"/>
    <w:rsid w:val="41ED7508"/>
    <w:rsid w:val="42474939"/>
    <w:rsid w:val="424C3C57"/>
    <w:rsid w:val="42613FF3"/>
    <w:rsid w:val="42660D96"/>
    <w:rsid w:val="428667D2"/>
    <w:rsid w:val="42BA70B7"/>
    <w:rsid w:val="42C121F4"/>
    <w:rsid w:val="42CA554C"/>
    <w:rsid w:val="42CD1CE0"/>
    <w:rsid w:val="42E1381E"/>
    <w:rsid w:val="42ED6459"/>
    <w:rsid w:val="42FE58DD"/>
    <w:rsid w:val="43174B3D"/>
    <w:rsid w:val="434B790E"/>
    <w:rsid w:val="4360274F"/>
    <w:rsid w:val="43977AB6"/>
    <w:rsid w:val="43A3342B"/>
    <w:rsid w:val="43C77C27"/>
    <w:rsid w:val="43DE09EE"/>
    <w:rsid w:val="44002FAD"/>
    <w:rsid w:val="4467501D"/>
    <w:rsid w:val="449101DD"/>
    <w:rsid w:val="44DE1391"/>
    <w:rsid w:val="451B225C"/>
    <w:rsid w:val="451C7BB5"/>
    <w:rsid w:val="452410C9"/>
    <w:rsid w:val="453018B3"/>
    <w:rsid w:val="45317DFB"/>
    <w:rsid w:val="456D3CE4"/>
    <w:rsid w:val="4579042C"/>
    <w:rsid w:val="457E6D25"/>
    <w:rsid w:val="457F0571"/>
    <w:rsid w:val="45851176"/>
    <w:rsid w:val="45907CA6"/>
    <w:rsid w:val="45C63B94"/>
    <w:rsid w:val="45D50991"/>
    <w:rsid w:val="46006DEC"/>
    <w:rsid w:val="460E7DA5"/>
    <w:rsid w:val="461E51EB"/>
    <w:rsid w:val="46422483"/>
    <w:rsid w:val="4659254A"/>
    <w:rsid w:val="465B0637"/>
    <w:rsid w:val="465E3F0D"/>
    <w:rsid w:val="466A16E6"/>
    <w:rsid w:val="46893F2B"/>
    <w:rsid w:val="46A55988"/>
    <w:rsid w:val="46C4686E"/>
    <w:rsid w:val="4710374A"/>
    <w:rsid w:val="477B778F"/>
    <w:rsid w:val="478203EC"/>
    <w:rsid w:val="478F466E"/>
    <w:rsid w:val="47B025FA"/>
    <w:rsid w:val="4809698F"/>
    <w:rsid w:val="4811697D"/>
    <w:rsid w:val="4850203D"/>
    <w:rsid w:val="487A3E25"/>
    <w:rsid w:val="488B5503"/>
    <w:rsid w:val="48937E21"/>
    <w:rsid w:val="489A0361"/>
    <w:rsid w:val="48B94FF3"/>
    <w:rsid w:val="48DE5C2B"/>
    <w:rsid w:val="48E37AAB"/>
    <w:rsid w:val="48FD4B4C"/>
    <w:rsid w:val="490A68E0"/>
    <w:rsid w:val="490E5747"/>
    <w:rsid w:val="491055FE"/>
    <w:rsid w:val="49451152"/>
    <w:rsid w:val="495F5B3E"/>
    <w:rsid w:val="496F77D7"/>
    <w:rsid w:val="497654FD"/>
    <w:rsid w:val="49B64211"/>
    <w:rsid w:val="49E33295"/>
    <w:rsid w:val="49E56AF9"/>
    <w:rsid w:val="49F6167F"/>
    <w:rsid w:val="49FA27D8"/>
    <w:rsid w:val="4A064FA0"/>
    <w:rsid w:val="4A16615C"/>
    <w:rsid w:val="4A4424D7"/>
    <w:rsid w:val="4A54710F"/>
    <w:rsid w:val="4A7D2EA4"/>
    <w:rsid w:val="4AAD79C2"/>
    <w:rsid w:val="4AB82D0F"/>
    <w:rsid w:val="4AEB7664"/>
    <w:rsid w:val="4AFD7C19"/>
    <w:rsid w:val="4B0567D1"/>
    <w:rsid w:val="4B236AAE"/>
    <w:rsid w:val="4B363761"/>
    <w:rsid w:val="4B707271"/>
    <w:rsid w:val="4B7D6217"/>
    <w:rsid w:val="4B9739F7"/>
    <w:rsid w:val="4BEE2503"/>
    <w:rsid w:val="4C245A30"/>
    <w:rsid w:val="4C5479B0"/>
    <w:rsid w:val="4CB6685F"/>
    <w:rsid w:val="4CC367FE"/>
    <w:rsid w:val="4D077F3C"/>
    <w:rsid w:val="4D123355"/>
    <w:rsid w:val="4D2A3B31"/>
    <w:rsid w:val="4D312C52"/>
    <w:rsid w:val="4D6835C9"/>
    <w:rsid w:val="4D905305"/>
    <w:rsid w:val="4D93478D"/>
    <w:rsid w:val="4D964A72"/>
    <w:rsid w:val="4D9C1254"/>
    <w:rsid w:val="4DA44BEC"/>
    <w:rsid w:val="4DB0227C"/>
    <w:rsid w:val="4DF83BFA"/>
    <w:rsid w:val="4E793892"/>
    <w:rsid w:val="4E800872"/>
    <w:rsid w:val="4EB86BA1"/>
    <w:rsid w:val="4EC569ED"/>
    <w:rsid w:val="4ED50EA1"/>
    <w:rsid w:val="4EEC050C"/>
    <w:rsid w:val="4F104EC3"/>
    <w:rsid w:val="4F47354A"/>
    <w:rsid w:val="4F911C54"/>
    <w:rsid w:val="4FA669F9"/>
    <w:rsid w:val="4FAD422B"/>
    <w:rsid w:val="4FE625E0"/>
    <w:rsid w:val="500951DA"/>
    <w:rsid w:val="50096F88"/>
    <w:rsid w:val="5021480F"/>
    <w:rsid w:val="502B0D7D"/>
    <w:rsid w:val="502F4C40"/>
    <w:rsid w:val="50962ECB"/>
    <w:rsid w:val="50A42E38"/>
    <w:rsid w:val="50A4577F"/>
    <w:rsid w:val="50B73D1F"/>
    <w:rsid w:val="50BD5BC9"/>
    <w:rsid w:val="50C11EEE"/>
    <w:rsid w:val="50E97CFC"/>
    <w:rsid w:val="50FA4028"/>
    <w:rsid w:val="510D65B7"/>
    <w:rsid w:val="511157AB"/>
    <w:rsid w:val="51422751"/>
    <w:rsid w:val="5142540C"/>
    <w:rsid w:val="5167665C"/>
    <w:rsid w:val="516C651F"/>
    <w:rsid w:val="518832C8"/>
    <w:rsid w:val="51915487"/>
    <w:rsid w:val="519D3C50"/>
    <w:rsid w:val="51A0432A"/>
    <w:rsid w:val="51A86090"/>
    <w:rsid w:val="51B7396D"/>
    <w:rsid w:val="522E4CC3"/>
    <w:rsid w:val="5244713B"/>
    <w:rsid w:val="524646C6"/>
    <w:rsid w:val="52615633"/>
    <w:rsid w:val="526F4DE4"/>
    <w:rsid w:val="52977FD4"/>
    <w:rsid w:val="52A25790"/>
    <w:rsid w:val="52A96B6F"/>
    <w:rsid w:val="52B45975"/>
    <w:rsid w:val="52D94AA4"/>
    <w:rsid w:val="52EA3A62"/>
    <w:rsid w:val="52F47489"/>
    <w:rsid w:val="52F50BB8"/>
    <w:rsid w:val="53051C89"/>
    <w:rsid w:val="53097272"/>
    <w:rsid w:val="531B76FE"/>
    <w:rsid w:val="532A454B"/>
    <w:rsid w:val="53544462"/>
    <w:rsid w:val="5397158E"/>
    <w:rsid w:val="53AA1FAA"/>
    <w:rsid w:val="54013861"/>
    <w:rsid w:val="54487265"/>
    <w:rsid w:val="544D6070"/>
    <w:rsid w:val="54605E1E"/>
    <w:rsid w:val="54687227"/>
    <w:rsid w:val="54B3506A"/>
    <w:rsid w:val="54CA0D16"/>
    <w:rsid w:val="54DD4057"/>
    <w:rsid w:val="54E7490F"/>
    <w:rsid w:val="550348EE"/>
    <w:rsid w:val="550764A4"/>
    <w:rsid w:val="550B2BF6"/>
    <w:rsid w:val="551B5793"/>
    <w:rsid w:val="55214EB5"/>
    <w:rsid w:val="552A3C28"/>
    <w:rsid w:val="55364EFD"/>
    <w:rsid w:val="555D4828"/>
    <w:rsid w:val="557A4C8B"/>
    <w:rsid w:val="558931E1"/>
    <w:rsid w:val="55923347"/>
    <w:rsid w:val="55925180"/>
    <w:rsid w:val="55983B1B"/>
    <w:rsid w:val="55A8376B"/>
    <w:rsid w:val="55DC29B6"/>
    <w:rsid w:val="55DD4241"/>
    <w:rsid w:val="55F062DB"/>
    <w:rsid w:val="566B6D1E"/>
    <w:rsid w:val="569A3030"/>
    <w:rsid w:val="569A4DDE"/>
    <w:rsid w:val="56C105BC"/>
    <w:rsid w:val="56E66275"/>
    <w:rsid w:val="57032A2C"/>
    <w:rsid w:val="570F5219"/>
    <w:rsid w:val="574A6804"/>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D6DA8"/>
    <w:rsid w:val="58665466"/>
    <w:rsid w:val="586F202F"/>
    <w:rsid w:val="58713534"/>
    <w:rsid w:val="58917D2F"/>
    <w:rsid w:val="5894085C"/>
    <w:rsid w:val="58AE4F0C"/>
    <w:rsid w:val="58B85899"/>
    <w:rsid w:val="58C44394"/>
    <w:rsid w:val="58D97E3F"/>
    <w:rsid w:val="58E363A9"/>
    <w:rsid w:val="59201FD4"/>
    <w:rsid w:val="595E1678"/>
    <w:rsid w:val="596D5BD4"/>
    <w:rsid w:val="597E3DD8"/>
    <w:rsid w:val="59BB5797"/>
    <w:rsid w:val="59D92186"/>
    <w:rsid w:val="59F80043"/>
    <w:rsid w:val="5A09252F"/>
    <w:rsid w:val="5A0B2778"/>
    <w:rsid w:val="5A1B4488"/>
    <w:rsid w:val="5A1E0CEA"/>
    <w:rsid w:val="5A2A7C7B"/>
    <w:rsid w:val="5A3E2560"/>
    <w:rsid w:val="5A5D3B6E"/>
    <w:rsid w:val="5A637A76"/>
    <w:rsid w:val="5A6D33BA"/>
    <w:rsid w:val="5A785436"/>
    <w:rsid w:val="5A792B1F"/>
    <w:rsid w:val="5A874767"/>
    <w:rsid w:val="5AA147E3"/>
    <w:rsid w:val="5AA85BE2"/>
    <w:rsid w:val="5AAD6F28"/>
    <w:rsid w:val="5AD63A24"/>
    <w:rsid w:val="5B2E1A1D"/>
    <w:rsid w:val="5B843A1C"/>
    <w:rsid w:val="5B873E3F"/>
    <w:rsid w:val="5B8C5ADE"/>
    <w:rsid w:val="5B9E711E"/>
    <w:rsid w:val="5BAA7871"/>
    <w:rsid w:val="5BE30FD5"/>
    <w:rsid w:val="5C02690E"/>
    <w:rsid w:val="5C196DA7"/>
    <w:rsid w:val="5C2A048C"/>
    <w:rsid w:val="5C80234E"/>
    <w:rsid w:val="5C8A680C"/>
    <w:rsid w:val="5D0C4701"/>
    <w:rsid w:val="5D0F0395"/>
    <w:rsid w:val="5D221076"/>
    <w:rsid w:val="5D397964"/>
    <w:rsid w:val="5D5A391C"/>
    <w:rsid w:val="5D5F10C0"/>
    <w:rsid w:val="5D891B7B"/>
    <w:rsid w:val="5D993C3A"/>
    <w:rsid w:val="5DAD38EE"/>
    <w:rsid w:val="5E006862"/>
    <w:rsid w:val="5E0207B9"/>
    <w:rsid w:val="5E1834A1"/>
    <w:rsid w:val="5E261785"/>
    <w:rsid w:val="5E3646E2"/>
    <w:rsid w:val="5E4A7017"/>
    <w:rsid w:val="5E552BBA"/>
    <w:rsid w:val="5E611C10"/>
    <w:rsid w:val="5E7A0F3F"/>
    <w:rsid w:val="5EFC7377"/>
    <w:rsid w:val="5F06174D"/>
    <w:rsid w:val="5F3A3602"/>
    <w:rsid w:val="5F3D09FC"/>
    <w:rsid w:val="5F45733B"/>
    <w:rsid w:val="5F6277C6"/>
    <w:rsid w:val="5F6D0B1D"/>
    <w:rsid w:val="5F8D0B82"/>
    <w:rsid w:val="5FCC5339"/>
    <w:rsid w:val="5FE34A5B"/>
    <w:rsid w:val="5FFE1E36"/>
    <w:rsid w:val="60232584"/>
    <w:rsid w:val="60575AEE"/>
    <w:rsid w:val="607330CE"/>
    <w:rsid w:val="607A6385"/>
    <w:rsid w:val="60825176"/>
    <w:rsid w:val="609F2AC4"/>
    <w:rsid w:val="60E76E71"/>
    <w:rsid w:val="60FA2EE8"/>
    <w:rsid w:val="61054A27"/>
    <w:rsid w:val="610A52BC"/>
    <w:rsid w:val="61100709"/>
    <w:rsid w:val="611D2366"/>
    <w:rsid w:val="612F279D"/>
    <w:rsid w:val="61421856"/>
    <w:rsid w:val="615227C4"/>
    <w:rsid w:val="61654E3F"/>
    <w:rsid w:val="616560B3"/>
    <w:rsid w:val="617D3BB7"/>
    <w:rsid w:val="6182292A"/>
    <w:rsid w:val="619F7F92"/>
    <w:rsid w:val="61A63211"/>
    <w:rsid w:val="61B96379"/>
    <w:rsid w:val="61F94C26"/>
    <w:rsid w:val="62000E56"/>
    <w:rsid w:val="621974FF"/>
    <w:rsid w:val="624F3E49"/>
    <w:rsid w:val="62632286"/>
    <w:rsid w:val="628232F6"/>
    <w:rsid w:val="62864468"/>
    <w:rsid w:val="62885958"/>
    <w:rsid w:val="62F40B65"/>
    <w:rsid w:val="62F560C8"/>
    <w:rsid w:val="62FC2CFE"/>
    <w:rsid w:val="63024505"/>
    <w:rsid w:val="633627D3"/>
    <w:rsid w:val="633840AE"/>
    <w:rsid w:val="634D51A7"/>
    <w:rsid w:val="635600A5"/>
    <w:rsid w:val="635B1DB5"/>
    <w:rsid w:val="63711FED"/>
    <w:rsid w:val="63880DDC"/>
    <w:rsid w:val="638D750D"/>
    <w:rsid w:val="63AC6CC0"/>
    <w:rsid w:val="64055776"/>
    <w:rsid w:val="64240056"/>
    <w:rsid w:val="643A3D28"/>
    <w:rsid w:val="643E143A"/>
    <w:rsid w:val="64491666"/>
    <w:rsid w:val="648B6EEF"/>
    <w:rsid w:val="64930091"/>
    <w:rsid w:val="64C158BF"/>
    <w:rsid w:val="64CE2EAA"/>
    <w:rsid w:val="653C3090"/>
    <w:rsid w:val="65854376"/>
    <w:rsid w:val="658767BE"/>
    <w:rsid w:val="65892531"/>
    <w:rsid w:val="658D448B"/>
    <w:rsid w:val="658F40E2"/>
    <w:rsid w:val="659A0956"/>
    <w:rsid w:val="65AC2438"/>
    <w:rsid w:val="65E83CF1"/>
    <w:rsid w:val="66195831"/>
    <w:rsid w:val="662E75B1"/>
    <w:rsid w:val="66342C2E"/>
    <w:rsid w:val="663E784C"/>
    <w:rsid w:val="668B6A45"/>
    <w:rsid w:val="67011F07"/>
    <w:rsid w:val="671E1113"/>
    <w:rsid w:val="672F3F24"/>
    <w:rsid w:val="673E055F"/>
    <w:rsid w:val="67551CE3"/>
    <w:rsid w:val="67A22552"/>
    <w:rsid w:val="67B22DCC"/>
    <w:rsid w:val="67B818F5"/>
    <w:rsid w:val="67BE71AA"/>
    <w:rsid w:val="67C779FD"/>
    <w:rsid w:val="67D90273"/>
    <w:rsid w:val="67DB011D"/>
    <w:rsid w:val="67DE5875"/>
    <w:rsid w:val="67E55852"/>
    <w:rsid w:val="67EB1AB4"/>
    <w:rsid w:val="67FA1285"/>
    <w:rsid w:val="682C160E"/>
    <w:rsid w:val="6833605C"/>
    <w:rsid w:val="68551F4F"/>
    <w:rsid w:val="687C10C9"/>
    <w:rsid w:val="68840C16"/>
    <w:rsid w:val="68872541"/>
    <w:rsid w:val="68876EFB"/>
    <w:rsid w:val="68884654"/>
    <w:rsid w:val="689F444F"/>
    <w:rsid w:val="68B96DBB"/>
    <w:rsid w:val="68CA2805"/>
    <w:rsid w:val="68E937A3"/>
    <w:rsid w:val="691664E5"/>
    <w:rsid w:val="693E15D3"/>
    <w:rsid w:val="694C640B"/>
    <w:rsid w:val="69627681"/>
    <w:rsid w:val="6977531D"/>
    <w:rsid w:val="69A27DD9"/>
    <w:rsid w:val="69A31AC2"/>
    <w:rsid w:val="69B67D29"/>
    <w:rsid w:val="69C97A5C"/>
    <w:rsid w:val="69CC2BFF"/>
    <w:rsid w:val="69FD55B8"/>
    <w:rsid w:val="6A0B1C62"/>
    <w:rsid w:val="6A2406C8"/>
    <w:rsid w:val="6AD14E1A"/>
    <w:rsid w:val="6ADE0BD1"/>
    <w:rsid w:val="6AE96859"/>
    <w:rsid w:val="6AF015C4"/>
    <w:rsid w:val="6B147746"/>
    <w:rsid w:val="6B2147AA"/>
    <w:rsid w:val="6B24787C"/>
    <w:rsid w:val="6B5275DD"/>
    <w:rsid w:val="6B573233"/>
    <w:rsid w:val="6B5B6274"/>
    <w:rsid w:val="6B935D53"/>
    <w:rsid w:val="6BDBAC02"/>
    <w:rsid w:val="6BE66419"/>
    <w:rsid w:val="6BFB7BD7"/>
    <w:rsid w:val="6C196F71"/>
    <w:rsid w:val="6C226FCB"/>
    <w:rsid w:val="6C31226F"/>
    <w:rsid w:val="6C552F0B"/>
    <w:rsid w:val="6C7F73FB"/>
    <w:rsid w:val="6C8C67B7"/>
    <w:rsid w:val="6C9D744C"/>
    <w:rsid w:val="6CC62031"/>
    <w:rsid w:val="6D167928"/>
    <w:rsid w:val="6D26299B"/>
    <w:rsid w:val="6D4772EC"/>
    <w:rsid w:val="6D9078AF"/>
    <w:rsid w:val="6DAA3FEF"/>
    <w:rsid w:val="6DC0172B"/>
    <w:rsid w:val="6DCB690C"/>
    <w:rsid w:val="6DD41A5B"/>
    <w:rsid w:val="6DDA43E4"/>
    <w:rsid w:val="6DF1132F"/>
    <w:rsid w:val="6DF43C2E"/>
    <w:rsid w:val="6DF51CA3"/>
    <w:rsid w:val="6E245BAE"/>
    <w:rsid w:val="6E405E13"/>
    <w:rsid w:val="6E8335BD"/>
    <w:rsid w:val="6E8E12EF"/>
    <w:rsid w:val="6E972936"/>
    <w:rsid w:val="6ED03349"/>
    <w:rsid w:val="6ED446C5"/>
    <w:rsid w:val="6F25411D"/>
    <w:rsid w:val="6F2A7D94"/>
    <w:rsid w:val="6F7BC249"/>
    <w:rsid w:val="6F8331F1"/>
    <w:rsid w:val="6FAE1A09"/>
    <w:rsid w:val="6FD75BF8"/>
    <w:rsid w:val="6FF269B8"/>
    <w:rsid w:val="6FFFAD64"/>
    <w:rsid w:val="707723D0"/>
    <w:rsid w:val="70F5661B"/>
    <w:rsid w:val="71360107"/>
    <w:rsid w:val="713B688E"/>
    <w:rsid w:val="71744080"/>
    <w:rsid w:val="71924BD7"/>
    <w:rsid w:val="71C2366F"/>
    <w:rsid w:val="71D43752"/>
    <w:rsid w:val="71F1796A"/>
    <w:rsid w:val="71F25676"/>
    <w:rsid w:val="72154626"/>
    <w:rsid w:val="72262B5D"/>
    <w:rsid w:val="72283FF7"/>
    <w:rsid w:val="722E7212"/>
    <w:rsid w:val="723A0474"/>
    <w:rsid w:val="72485A07"/>
    <w:rsid w:val="725923E4"/>
    <w:rsid w:val="727F515C"/>
    <w:rsid w:val="72864BF7"/>
    <w:rsid w:val="729023FC"/>
    <w:rsid w:val="72BD48CD"/>
    <w:rsid w:val="7306762B"/>
    <w:rsid w:val="734343DB"/>
    <w:rsid w:val="73774085"/>
    <w:rsid w:val="73886446"/>
    <w:rsid w:val="73C0646E"/>
    <w:rsid w:val="742222F5"/>
    <w:rsid w:val="744523D5"/>
    <w:rsid w:val="74476126"/>
    <w:rsid w:val="746960C4"/>
    <w:rsid w:val="74706664"/>
    <w:rsid w:val="747F3682"/>
    <w:rsid w:val="74932266"/>
    <w:rsid w:val="749C4185"/>
    <w:rsid w:val="75067759"/>
    <w:rsid w:val="752E6DCD"/>
    <w:rsid w:val="753F6C2F"/>
    <w:rsid w:val="7551380D"/>
    <w:rsid w:val="75600BE5"/>
    <w:rsid w:val="7564475C"/>
    <w:rsid w:val="7583797F"/>
    <w:rsid w:val="758B02BC"/>
    <w:rsid w:val="75A5137D"/>
    <w:rsid w:val="75D20F1D"/>
    <w:rsid w:val="75DA2C18"/>
    <w:rsid w:val="75F54412"/>
    <w:rsid w:val="761D08E0"/>
    <w:rsid w:val="765D347C"/>
    <w:rsid w:val="76826699"/>
    <w:rsid w:val="76B37ACA"/>
    <w:rsid w:val="76C87133"/>
    <w:rsid w:val="76CD08D5"/>
    <w:rsid w:val="76DB4B92"/>
    <w:rsid w:val="77052AA4"/>
    <w:rsid w:val="770FEEE6"/>
    <w:rsid w:val="77136511"/>
    <w:rsid w:val="77340A39"/>
    <w:rsid w:val="77351FD0"/>
    <w:rsid w:val="77472422"/>
    <w:rsid w:val="777F31F2"/>
    <w:rsid w:val="77D1700D"/>
    <w:rsid w:val="77EC04CC"/>
    <w:rsid w:val="77FB7EDC"/>
    <w:rsid w:val="78414B32"/>
    <w:rsid w:val="7842087E"/>
    <w:rsid w:val="78775729"/>
    <w:rsid w:val="78A42DB0"/>
    <w:rsid w:val="78A656AB"/>
    <w:rsid w:val="78B2245C"/>
    <w:rsid w:val="78E172CC"/>
    <w:rsid w:val="78EA1D1F"/>
    <w:rsid w:val="78FD502C"/>
    <w:rsid w:val="7904172F"/>
    <w:rsid w:val="790F7E27"/>
    <w:rsid w:val="792A231A"/>
    <w:rsid w:val="79316829"/>
    <w:rsid w:val="797E66A9"/>
    <w:rsid w:val="798518A4"/>
    <w:rsid w:val="79A97383"/>
    <w:rsid w:val="79B143F1"/>
    <w:rsid w:val="79BF715C"/>
    <w:rsid w:val="79E27E8B"/>
    <w:rsid w:val="79F850CE"/>
    <w:rsid w:val="79FD443C"/>
    <w:rsid w:val="7A1D1975"/>
    <w:rsid w:val="7A3E5150"/>
    <w:rsid w:val="7A4670D6"/>
    <w:rsid w:val="7A534B63"/>
    <w:rsid w:val="7A615382"/>
    <w:rsid w:val="7A67303B"/>
    <w:rsid w:val="7A8F2B81"/>
    <w:rsid w:val="7AAB1D04"/>
    <w:rsid w:val="7ABA4368"/>
    <w:rsid w:val="7AC322A6"/>
    <w:rsid w:val="7AC56490"/>
    <w:rsid w:val="7AD05746"/>
    <w:rsid w:val="7AFA67C0"/>
    <w:rsid w:val="7B257FFD"/>
    <w:rsid w:val="7B273D20"/>
    <w:rsid w:val="7B343476"/>
    <w:rsid w:val="7B5A2978"/>
    <w:rsid w:val="7B5A7E4C"/>
    <w:rsid w:val="7B667AF9"/>
    <w:rsid w:val="7B7468F8"/>
    <w:rsid w:val="7B86755B"/>
    <w:rsid w:val="7BEE0103"/>
    <w:rsid w:val="7C0A0FE4"/>
    <w:rsid w:val="7C254906"/>
    <w:rsid w:val="7C3C2310"/>
    <w:rsid w:val="7C590818"/>
    <w:rsid w:val="7C6F05E1"/>
    <w:rsid w:val="7C7C10F6"/>
    <w:rsid w:val="7C853BEA"/>
    <w:rsid w:val="7C881368"/>
    <w:rsid w:val="7CA00993"/>
    <w:rsid w:val="7CA35EEB"/>
    <w:rsid w:val="7CE27788"/>
    <w:rsid w:val="7D0C32F1"/>
    <w:rsid w:val="7D0F408D"/>
    <w:rsid w:val="7D491C6C"/>
    <w:rsid w:val="7D5341E1"/>
    <w:rsid w:val="7D5429C0"/>
    <w:rsid w:val="7D6D0423"/>
    <w:rsid w:val="7D6E6D43"/>
    <w:rsid w:val="7D715E0D"/>
    <w:rsid w:val="7DB57A34"/>
    <w:rsid w:val="7DD30A52"/>
    <w:rsid w:val="7DE60973"/>
    <w:rsid w:val="7DEF0916"/>
    <w:rsid w:val="7E086911"/>
    <w:rsid w:val="7E1E5218"/>
    <w:rsid w:val="7E4249CA"/>
    <w:rsid w:val="7E7C2E97"/>
    <w:rsid w:val="7E9A4E1F"/>
    <w:rsid w:val="7EA7723A"/>
    <w:rsid w:val="7ECA59B1"/>
    <w:rsid w:val="7EF56FBB"/>
    <w:rsid w:val="7F0768EB"/>
    <w:rsid w:val="7F131254"/>
    <w:rsid w:val="7F143BEC"/>
    <w:rsid w:val="7F323556"/>
    <w:rsid w:val="7F715AF2"/>
    <w:rsid w:val="7F886E69"/>
    <w:rsid w:val="7F947D6D"/>
    <w:rsid w:val="7FB60C1F"/>
    <w:rsid w:val="7FD741D8"/>
    <w:rsid w:val="7FF16F6D"/>
    <w:rsid w:val="9BFE811B"/>
    <w:rsid w:val="AFDF3D28"/>
    <w:rsid w:val="BB7FA927"/>
    <w:rsid w:val="BE0F2857"/>
    <w:rsid w:val="BF2FAD32"/>
    <w:rsid w:val="BFD9E601"/>
    <w:rsid w:val="C543CA59"/>
    <w:rsid w:val="D3FF0226"/>
    <w:rsid w:val="ED772B5B"/>
    <w:rsid w:val="EFED9F82"/>
    <w:rsid w:val="EFFE7506"/>
    <w:rsid w:val="F1FFBFF6"/>
    <w:rsid w:val="F5FFD31F"/>
    <w:rsid w:val="FDA76847"/>
    <w:rsid w:val="FDF76707"/>
    <w:rsid w:val="FDFB41B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next w:val="2"/>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2"/>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5"/>
    <w:next w:val="1"/>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basedOn w:val="1"/>
    <w:qFormat/>
    <w:uiPriority w:val="0"/>
    <w:pPr>
      <w:ind w:firstLine="200" w:firstLineChars="200"/>
    </w:pPr>
    <w:rPr>
      <w:rFonts w:ascii="Calibri" w:hAnsi="Calibri"/>
      <w:sz w:val="28"/>
      <w:szCs w:val="22"/>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2"/>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Normal]"/>
    <w:qFormat/>
    <w:uiPriority w:val="0"/>
    <w:rPr>
      <w:rFonts w:ascii="宋体" w:hAnsi="宋体" w:eastAsia="宋体" w:cs="Times New Roman"/>
      <w:sz w:val="24"/>
      <w:lang w:val="zh-CN" w:eastAsia="zh-CN" w:bidi="ar-SA"/>
    </w:rPr>
  </w:style>
  <w:style w:type="paragraph" w:customStyle="1" w:styleId="968">
    <w:name w:val="正文7"/>
    <w:basedOn w:val="1"/>
    <w:qFormat/>
    <w:uiPriority w:val="0"/>
    <w:pPr>
      <w:spacing w:line="318" w:lineRule="atLeast"/>
      <w:ind w:left="369" w:firstLine="369"/>
      <w:textAlignment w:val="baseline"/>
    </w:pPr>
    <w:rPr>
      <w:rFonts w:hint="eastAsia" w:ascii="宋体"/>
    </w:rPr>
  </w:style>
  <w:style w:type="paragraph" w:customStyle="1" w:styleId="969">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42623</Words>
  <Characters>45206</Characters>
  <Lines>373</Lines>
  <Paragraphs>105</Paragraphs>
  <TotalTime>70</TotalTime>
  <ScaleCrop>false</ScaleCrop>
  <LinksUpToDate>false</LinksUpToDate>
  <CharactersWithSpaces>50467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2025-07-04T00:37:00Z</dcterms:created>
  <dc:creator>玥</dc:creator>
  <cp:lastModifiedBy>Maybe@</cp:lastModifiedBy>
  <cp:lastPrinted>2022-01-03T19:06:00Z</cp:lastPrinted>
  <dcterms:modified xsi:type="dcterms:W3CDTF">2025-07-08T09:09:03Z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E8D3FD4424CE4F6392D12EF7A086CBD4_13</vt:lpwstr>
  </property>
  <property fmtid="{D5CDD505-2E9C-101B-9397-08002B2CF9AE}" pid="5" name="KSOTemplateDocerSaveRecord">
    <vt:lpwstr>eyJoZGlkIjoiOTgzMGJhYTVmNTk5Yjc4NmQxOTgzODZkYjIyOGRkYjkiLCJ1c2VySWQiOiIxMDI0OTIwNzMwIn0=</vt:lpwstr>
  </property>
</Properties>
</file>