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sz w:val="24"/>
        </w:rPr>
      </w:pPr>
    </w:p>
    <w:p>
      <w:pPr>
        <w:spacing w:line="360" w:lineRule="auto"/>
        <w:jc w:val="center"/>
        <w:rPr>
          <w:rFonts w:hint="eastAsia" w:ascii="宋体" w:hAnsi="宋体" w:cs="宋体"/>
          <w:b/>
          <w:sz w:val="24"/>
        </w:rPr>
      </w:pPr>
    </w:p>
    <w:p>
      <w:pPr>
        <w:adjustRightInd/>
        <w:spacing w:line="360" w:lineRule="auto"/>
        <w:jc w:val="center"/>
        <w:rPr>
          <w:rFonts w:hint="eastAsia" w:ascii="宋体" w:hAnsi="宋体" w:cs="宋体"/>
          <w:b/>
          <w:sz w:val="48"/>
          <w:szCs w:val="48"/>
        </w:rPr>
      </w:pPr>
    </w:p>
    <w:p>
      <w:pPr>
        <w:adjustRightInd/>
        <w:spacing w:line="360" w:lineRule="auto"/>
        <w:jc w:val="center"/>
        <w:rPr>
          <w:rFonts w:hint="eastAsia" w:ascii="宋体" w:hAnsi="宋体" w:cs="宋体"/>
          <w:b/>
          <w:bCs/>
          <w:sz w:val="48"/>
          <w:szCs w:val="48"/>
        </w:rPr>
      </w:pPr>
      <w:bookmarkStart w:id="0" w:name="OLE_LINK1"/>
      <w:r>
        <w:rPr>
          <w:rFonts w:hint="eastAsia" w:ascii="宋体" w:hAnsi="宋体" w:cs="宋体"/>
          <w:b/>
          <w:bCs/>
          <w:sz w:val="48"/>
          <w:szCs w:val="48"/>
        </w:rPr>
        <w:t>杭州市</w:t>
      </w:r>
      <w:r>
        <w:rPr>
          <w:rFonts w:hint="eastAsia" w:ascii="宋体" w:hAnsi="宋体" w:cs="宋体"/>
          <w:b/>
          <w:bCs/>
          <w:sz w:val="48"/>
          <w:szCs w:val="48"/>
          <w:lang w:val="en-US" w:eastAsia="zh-CN"/>
        </w:rPr>
        <w:t>文三教育集团（总校）</w:t>
      </w:r>
      <w:r>
        <w:rPr>
          <w:rFonts w:hint="eastAsia" w:ascii="宋体" w:hAnsi="宋体" w:cs="宋体"/>
          <w:b/>
          <w:bCs/>
          <w:sz w:val="48"/>
          <w:szCs w:val="48"/>
        </w:rPr>
        <w:t>新校区电子显示屏采购项目</w:t>
      </w:r>
    </w:p>
    <w:bookmarkEnd w:id="0"/>
    <w:p>
      <w:pPr>
        <w:spacing w:line="360" w:lineRule="auto"/>
        <w:jc w:val="center"/>
        <w:rPr>
          <w:rFonts w:hint="eastAsia" w:ascii="宋体" w:hAnsi="宋体" w:cs="宋体"/>
          <w:b/>
          <w:sz w:val="52"/>
          <w:szCs w:val="52"/>
        </w:rPr>
      </w:pPr>
      <w:r>
        <w:rPr>
          <w:rFonts w:hint="eastAsia" w:ascii="宋体" w:hAnsi="宋体" w:cs="宋体"/>
          <w:b/>
          <w:sz w:val="52"/>
          <w:szCs w:val="52"/>
        </w:rPr>
        <w:t>招标文件</w:t>
      </w:r>
    </w:p>
    <w:p>
      <w:pPr>
        <w:pStyle w:val="2"/>
        <w:rPr>
          <w:rFonts w:hint="eastAsia"/>
        </w:rPr>
      </w:pPr>
    </w:p>
    <w:p>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default" w:ascii="宋体" w:hAnsi="宋体" w:eastAsia="宋体" w:cs="宋体"/>
          <w:sz w:val="28"/>
          <w:szCs w:val="20"/>
          <w:lang w:val="en-US" w:eastAsia="zh-CN"/>
        </w:rPr>
      </w:pPr>
      <w:r>
        <w:rPr>
          <w:rFonts w:hint="eastAsia" w:ascii="宋体" w:hAnsi="宋体" w:cs="宋体"/>
          <w:sz w:val="30"/>
          <w:szCs w:val="30"/>
        </w:rPr>
        <w:t>编号:XHZFCG-2025-G-</w:t>
      </w:r>
      <w:r>
        <w:rPr>
          <w:rFonts w:hint="eastAsia" w:ascii="宋体" w:hAnsi="宋体" w:cs="宋体"/>
          <w:sz w:val="30"/>
          <w:szCs w:val="30"/>
          <w:lang w:val="en-US" w:eastAsia="zh-CN"/>
        </w:rPr>
        <w:t>71</w:t>
      </w:r>
    </w:p>
    <w:p>
      <w:pPr>
        <w:spacing w:line="360" w:lineRule="auto"/>
        <w:jc w:val="center"/>
        <w:rPr>
          <w:rFonts w:hint="eastAsia" w:ascii="宋体" w:hAnsi="宋体" w:cs="宋体"/>
          <w:b/>
          <w:sz w:val="44"/>
          <w:szCs w:val="44"/>
        </w:rPr>
      </w:pPr>
    </w:p>
    <w:p>
      <w:pPr>
        <w:spacing w:line="360" w:lineRule="auto"/>
        <w:jc w:val="center"/>
        <w:rPr>
          <w:rFonts w:hint="eastAsia" w:ascii="宋体" w:hAnsi="宋体" w:cs="宋体"/>
          <w:b/>
          <w:sz w:val="44"/>
          <w:szCs w:val="44"/>
        </w:rPr>
      </w:pP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pacing w:line="360" w:lineRule="auto"/>
        <w:rPr>
          <w:rFonts w:hint="eastAsia" w:ascii="宋体" w:hAnsi="宋体" w:cs="宋体"/>
          <w:sz w:val="32"/>
          <w:szCs w:val="32"/>
        </w:rPr>
      </w:pPr>
    </w:p>
    <w:p>
      <w:pPr>
        <w:spacing w:line="360" w:lineRule="auto"/>
        <w:jc w:val="center"/>
        <w:rPr>
          <w:rFonts w:hint="default" w:ascii="宋体" w:hAnsi="宋体" w:eastAsia="宋体" w:cs="宋体"/>
          <w:sz w:val="32"/>
          <w:szCs w:val="32"/>
          <w:lang w:val="en-US" w:eastAsia="zh-CN"/>
        </w:rPr>
      </w:pPr>
      <w:bookmarkStart w:id="1" w:name="OLE_LINK11"/>
      <w:r>
        <w:rPr>
          <w:rFonts w:hint="eastAsia" w:ascii="宋体" w:hAnsi="宋体" w:cs="宋体"/>
          <w:sz w:val="32"/>
          <w:szCs w:val="32"/>
        </w:rPr>
        <w:t>杭州市文三</w:t>
      </w:r>
      <w:r>
        <w:rPr>
          <w:rFonts w:hint="eastAsia" w:ascii="宋体" w:hAnsi="宋体" w:cs="宋体"/>
          <w:sz w:val="32"/>
          <w:szCs w:val="32"/>
          <w:lang w:val="en-US" w:eastAsia="zh-CN"/>
        </w:rPr>
        <w:t>教育集团（总校）</w:t>
      </w:r>
    </w:p>
    <w:bookmarkEnd w:id="1"/>
    <w:p>
      <w:pPr>
        <w:snapToGrid w:val="0"/>
        <w:spacing w:line="360" w:lineRule="auto"/>
        <w:jc w:val="center"/>
        <w:rPr>
          <w:rFonts w:hint="eastAsia" w:ascii="宋体" w:hAnsi="宋体" w:cs="宋体"/>
          <w:bCs/>
          <w:sz w:val="32"/>
          <w:szCs w:val="32"/>
        </w:rPr>
      </w:pPr>
      <w:r>
        <w:rPr>
          <w:rFonts w:hint="eastAsia" w:ascii="宋体" w:hAnsi="宋体" w:cs="宋体"/>
          <w:bCs/>
          <w:sz w:val="32"/>
          <w:szCs w:val="32"/>
        </w:rPr>
        <w:t xml:space="preserve"> 杭州市西湖区政府采购中心</w:t>
      </w:r>
    </w:p>
    <w:p>
      <w:pPr>
        <w:snapToGrid w:val="0"/>
        <w:spacing w:line="360" w:lineRule="auto"/>
        <w:jc w:val="center"/>
        <w:rPr>
          <w:rFonts w:hint="eastAsia" w:ascii="宋体" w:hAnsi="宋体" w:cs="宋体"/>
          <w:bCs/>
          <w:sz w:val="32"/>
          <w:szCs w:val="32"/>
        </w:rPr>
      </w:pPr>
      <w:r>
        <w:rPr>
          <w:rFonts w:hint="eastAsia" w:ascii="宋体" w:hAnsi="宋体" w:cs="宋体"/>
          <w:bCs/>
          <w:sz w:val="32"/>
          <w:szCs w:val="32"/>
        </w:rPr>
        <w:t>二〇二五年</w:t>
      </w:r>
      <w:r>
        <w:rPr>
          <w:rFonts w:hint="eastAsia" w:ascii="宋体" w:hAnsi="宋体" w:cs="宋体"/>
          <w:bCs/>
          <w:sz w:val="32"/>
          <w:szCs w:val="32"/>
          <w:lang w:val="en-US" w:eastAsia="zh-CN"/>
        </w:rPr>
        <w:t>七</w:t>
      </w:r>
      <w:r>
        <w:rPr>
          <w:rFonts w:hint="eastAsia" w:ascii="宋体" w:hAnsi="宋体" w:cs="宋体"/>
          <w:bCs/>
          <w:sz w:val="32"/>
          <w:szCs w:val="32"/>
        </w:rPr>
        <w:t>月</w:t>
      </w:r>
      <w:r>
        <w:rPr>
          <w:rFonts w:hint="eastAsia" w:ascii="宋体" w:hAnsi="宋体" w:cs="宋体"/>
          <w:bCs/>
          <w:sz w:val="32"/>
          <w:szCs w:val="32"/>
          <w:lang w:val="en-US" w:eastAsia="zh-CN"/>
        </w:rPr>
        <w:t>二</w:t>
      </w:r>
      <w:r>
        <w:rPr>
          <w:rFonts w:hint="eastAsia" w:ascii="宋体" w:hAnsi="宋体" w:cs="宋体"/>
          <w:bCs/>
          <w:sz w:val="32"/>
          <w:szCs w:val="32"/>
        </w:rPr>
        <w:t>日</w:t>
      </w:r>
    </w:p>
    <w:p>
      <w:pPr>
        <w:spacing w:line="360" w:lineRule="auto"/>
        <w:jc w:val="center"/>
        <w:rPr>
          <w:rFonts w:hint="eastAsia" w:ascii="宋体" w:hAnsi="宋体" w:cs="宋体"/>
          <w:sz w:val="24"/>
        </w:rPr>
      </w:pPr>
      <w:r>
        <w:rPr>
          <w:rFonts w:hint="eastAsia" w:ascii="宋体" w:hAnsi="宋体" w:cs="宋体"/>
          <w:sz w:val="24"/>
        </w:rPr>
        <w:br w:type="page"/>
      </w:r>
      <w:bookmarkStart w:id="2" w:name="_Hlt67893495"/>
      <w:bookmarkEnd w:id="2"/>
    </w:p>
    <w:p>
      <w:pPr>
        <w:spacing w:line="360" w:lineRule="auto"/>
        <w:jc w:val="center"/>
        <w:rPr>
          <w:rFonts w:hint="eastAsia" w:ascii="宋体" w:hAnsi="宋体" w:cs="宋体"/>
          <w:sz w:val="24"/>
        </w:rPr>
      </w:pPr>
    </w:p>
    <w:p>
      <w:pPr>
        <w:spacing w:line="360" w:lineRule="auto"/>
        <w:jc w:val="center"/>
        <w:rPr>
          <w:rFonts w:hint="eastAsia" w:ascii="宋体" w:hAnsi="宋体" w:cs="宋体"/>
          <w:b/>
          <w:sz w:val="48"/>
          <w:szCs w:val="48"/>
        </w:rPr>
      </w:pPr>
      <w:r>
        <w:rPr>
          <w:rFonts w:hint="eastAsia" w:ascii="宋体" w:hAnsi="宋体" w:cs="宋体"/>
          <w:b/>
          <w:sz w:val="48"/>
          <w:szCs w:val="48"/>
        </w:rPr>
        <w:t>目  录</w:t>
      </w:r>
    </w:p>
    <w:p>
      <w:pPr>
        <w:spacing w:line="360" w:lineRule="auto"/>
        <w:rPr>
          <w:rFonts w:hint="eastAsia" w:ascii="宋体" w:hAnsi="宋体" w:cs="宋体"/>
          <w:sz w:val="32"/>
          <w:szCs w:val="32"/>
        </w:rPr>
      </w:pPr>
    </w:p>
    <w:p>
      <w:pPr>
        <w:spacing w:line="360" w:lineRule="auto"/>
        <w:rPr>
          <w:rFonts w:hint="eastAsia" w:ascii="宋体" w:hAnsi="宋体" w:cs="宋体"/>
          <w:sz w:val="32"/>
          <w:szCs w:val="32"/>
        </w:rPr>
      </w:pPr>
    </w:p>
    <w:p>
      <w:pPr>
        <w:spacing w:line="360" w:lineRule="auto"/>
        <w:ind w:firstLine="1280" w:firstLineChars="400"/>
        <w:rPr>
          <w:rFonts w:hint="eastAsia"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hint="eastAsia" w:ascii="宋体" w:hAnsi="宋体" w:cs="宋体"/>
          <w:sz w:val="24"/>
        </w:rPr>
      </w:pPr>
      <w:bookmarkStart w:id="3" w:name="_Hlt91233176"/>
      <w:bookmarkEnd w:id="3"/>
      <w:bookmarkStart w:id="4" w:name="_Toc91899869"/>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rPr>
          <w:rFonts w:hint="eastAsia" w:ascii="宋体" w:hAnsi="宋体" w:cs="宋体"/>
          <w:sz w:val="24"/>
        </w:rPr>
      </w:pPr>
    </w:p>
    <w:p>
      <w:pPr>
        <w:adjustRightInd/>
        <w:spacing w:line="360" w:lineRule="auto"/>
        <w:jc w:val="center"/>
        <w:outlineLvl w:val="0"/>
        <w:rPr>
          <w:rFonts w:hint="eastAsia" w:ascii="宋体" w:hAnsi="宋体" w:cs="宋体"/>
          <w:b/>
          <w:sz w:val="36"/>
          <w:szCs w:val="20"/>
        </w:rPr>
      </w:pPr>
      <w:bookmarkStart w:id="5" w:name="第一部分"/>
      <w:r>
        <w:rPr>
          <w:rFonts w:hint="eastAsia" w:ascii="宋体" w:hAnsi="宋体" w:cs="宋体"/>
          <w:b/>
          <w:sz w:val="36"/>
          <w:szCs w:val="36"/>
        </w:rPr>
        <w:br w:type="page"/>
      </w:r>
      <w:bookmarkEnd w:id="4"/>
      <w:bookmarkEnd w:id="5"/>
      <w:bookmarkStart w:id="6" w:name="_Hlt74649545"/>
      <w:bookmarkEnd w:id="6"/>
      <w:bookmarkStart w:id="7" w:name="_Hlt74728647"/>
      <w:bookmarkEnd w:id="7"/>
      <w:bookmarkStart w:id="8" w:name="_Hlt74707423"/>
      <w:bookmarkEnd w:id="8"/>
      <w:bookmarkStart w:id="9" w:name="_Hlt74729822"/>
      <w:bookmarkEnd w:id="9"/>
      <w:bookmarkStart w:id="10" w:name="第二部分"/>
      <w:bookmarkStart w:id="11" w:name="_Toc91899870"/>
      <w:bookmarkStart w:id="12"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u w:val="single"/>
        </w:rPr>
      </w:pPr>
      <w:r>
        <w:rPr>
          <w:rFonts w:hint="eastAsia" w:ascii="宋体" w:hAnsi="宋体" w:cs="宋体"/>
          <w:sz w:val="24"/>
          <w:u w:val="single"/>
        </w:rPr>
        <w:t>杭州市</w:t>
      </w:r>
      <w:r>
        <w:rPr>
          <w:rFonts w:hint="eastAsia" w:ascii="宋体" w:hAnsi="宋体" w:cs="宋体"/>
          <w:sz w:val="24"/>
          <w:u w:val="single"/>
          <w:lang w:val="en-US" w:eastAsia="zh-CN"/>
        </w:rPr>
        <w:t>文三教育集团（总校）</w:t>
      </w:r>
      <w:r>
        <w:rPr>
          <w:rFonts w:hint="eastAsia" w:ascii="宋体" w:hAnsi="宋体" w:cs="宋体"/>
          <w:sz w:val="24"/>
          <w:u w:val="single"/>
        </w:rPr>
        <w:t>新校区电子显示屏采购项目</w:t>
      </w:r>
      <w:r>
        <w:rPr>
          <w:rFonts w:hint="eastAsia" w:ascii="宋体" w:hAnsi="宋体" w:cs="宋体"/>
          <w:sz w:val="24"/>
        </w:rPr>
        <w:t>招标项目的潜在投标人应在政采云平台（</w:t>
      </w:r>
      <w:r>
        <w:fldChar w:fldCharType="begin"/>
      </w:r>
      <w:r>
        <w:instrText xml:space="preserve"> HYPERLINK "https://www.zcygov.cn/）获取（下载）招标文件，并于2025年x月x日10点00分00秒" </w:instrText>
      </w:r>
      <w:r>
        <w:fldChar w:fldCharType="separate"/>
      </w:r>
      <w:r>
        <w:rPr>
          <w:rStyle w:val="76"/>
          <w:rFonts w:hint="eastAsia" w:ascii="宋体" w:hAnsi="宋体" w:eastAsia="宋体" w:cs="宋体"/>
          <w:snapToGrid/>
          <w:kern w:val="2"/>
          <w:sz w:val="24"/>
          <w:szCs w:val="24"/>
        </w:rPr>
        <w:t>https://www.zcygov.cn/）获取（下载）招标文件，并于2025年</w:t>
      </w:r>
      <w:r>
        <w:rPr>
          <w:rStyle w:val="76"/>
          <w:rFonts w:hint="eastAsia" w:ascii="宋体" w:hAnsi="宋体" w:cs="宋体"/>
          <w:snapToGrid/>
          <w:kern w:val="2"/>
          <w:sz w:val="24"/>
          <w:szCs w:val="24"/>
          <w:lang w:val="en-US" w:eastAsia="zh-CN"/>
        </w:rPr>
        <w:t>7</w:t>
      </w:r>
      <w:r>
        <w:rPr>
          <w:rStyle w:val="76"/>
          <w:rFonts w:hint="eastAsia" w:ascii="宋体" w:hAnsi="宋体" w:eastAsia="宋体" w:cs="宋体"/>
          <w:snapToGrid/>
          <w:kern w:val="2"/>
          <w:sz w:val="24"/>
          <w:szCs w:val="24"/>
        </w:rPr>
        <w:t>月</w:t>
      </w:r>
      <w:r>
        <w:rPr>
          <w:rStyle w:val="76"/>
          <w:rFonts w:hint="eastAsia" w:ascii="宋体" w:hAnsi="宋体" w:cs="宋体"/>
          <w:snapToGrid/>
          <w:kern w:val="2"/>
          <w:sz w:val="24"/>
          <w:szCs w:val="24"/>
          <w:lang w:val="en-US" w:eastAsia="zh-CN"/>
        </w:rPr>
        <w:t>23</w:t>
      </w:r>
      <w:r>
        <w:rPr>
          <w:rStyle w:val="76"/>
          <w:rFonts w:hint="eastAsia" w:ascii="宋体" w:hAnsi="宋体" w:eastAsia="宋体" w:cs="宋体"/>
          <w:snapToGrid/>
          <w:kern w:val="2"/>
          <w:sz w:val="24"/>
          <w:szCs w:val="24"/>
        </w:rPr>
        <w:t>日10点0</w:t>
      </w:r>
      <w:r>
        <w:rPr>
          <w:rStyle w:val="76"/>
          <w:rFonts w:ascii="宋体" w:hAnsi="宋体" w:eastAsia="宋体" w:cs="宋体"/>
          <w:snapToGrid/>
          <w:kern w:val="2"/>
          <w:sz w:val="24"/>
          <w:szCs w:val="24"/>
        </w:rPr>
        <w:t>0</w:t>
      </w:r>
      <w:r>
        <w:rPr>
          <w:rStyle w:val="76"/>
          <w:rFonts w:hint="eastAsia" w:ascii="宋体" w:hAnsi="宋体" w:eastAsia="宋体" w:cs="宋体"/>
          <w:snapToGrid/>
          <w:kern w:val="2"/>
          <w:sz w:val="24"/>
          <w:szCs w:val="24"/>
        </w:rPr>
        <w:t>分</w:t>
      </w:r>
      <w:r>
        <w:rPr>
          <w:rStyle w:val="76"/>
          <w:rFonts w:hint="eastAsia" w:ascii="宋体" w:hAnsi="宋体" w:eastAsia="宋体" w:cs="宋体"/>
          <w:bCs/>
          <w:snapToGrid/>
          <w:kern w:val="2"/>
          <w:sz w:val="24"/>
          <w:szCs w:val="24"/>
        </w:rPr>
        <w:t>00秒</w:t>
      </w:r>
      <w:r>
        <w:rPr>
          <w:rStyle w:val="76"/>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hint="eastAsia" w:ascii="宋体" w:hAnsi="宋体" w:cs="宋体"/>
          <w:b/>
          <w:sz w:val="24"/>
        </w:rPr>
      </w:pPr>
      <w:r>
        <w:rPr>
          <w:rFonts w:hint="eastAsia" w:ascii="宋体" w:hAnsi="宋体" w:cs="宋体"/>
          <w:b/>
          <w:sz w:val="24"/>
        </w:rPr>
        <w:t xml:space="preserve">一、项目基本情况                                            </w:t>
      </w:r>
    </w:p>
    <w:p>
      <w:pPr>
        <w:spacing w:line="360" w:lineRule="auto"/>
        <w:rPr>
          <w:rFonts w:hint="default"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rPr>
        <w:t>XHZFCG-2025-G-</w:t>
      </w:r>
      <w:r>
        <w:rPr>
          <w:rFonts w:hint="eastAsia" w:ascii="宋体" w:hAnsi="宋体" w:cs="宋体"/>
          <w:sz w:val="24"/>
          <w:lang w:val="en-US" w:eastAsia="zh-CN"/>
        </w:rPr>
        <w:t>71</w:t>
      </w:r>
    </w:p>
    <w:p>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rPr>
        <w:t>杭州市文三</w:t>
      </w:r>
      <w:r>
        <w:rPr>
          <w:rFonts w:hint="eastAsia" w:ascii="宋体" w:hAnsi="宋体" w:cs="宋体"/>
          <w:sz w:val="24"/>
          <w:lang w:val="en-US" w:eastAsia="zh-CN"/>
        </w:rPr>
        <w:t>教育集团（总校）</w:t>
      </w:r>
      <w:r>
        <w:rPr>
          <w:rFonts w:hint="eastAsia" w:ascii="宋体" w:hAnsi="宋体" w:cs="宋体"/>
          <w:sz w:val="24"/>
        </w:rPr>
        <w:t>新校区电子显示屏采购项目</w:t>
      </w:r>
    </w:p>
    <w:p>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bCs/>
          <w:sz w:val="24"/>
        </w:rPr>
        <w:t>1530000.00</w:t>
      </w:r>
      <w:r>
        <w:rPr>
          <w:rFonts w:hint="eastAsia" w:ascii="宋体" w:hAnsi="宋体" w:cs="宋体"/>
          <w:sz w:val="24"/>
        </w:rPr>
        <w:t xml:space="preserve"> </w:t>
      </w:r>
    </w:p>
    <w:p>
      <w:pPr>
        <w:spacing w:line="360" w:lineRule="auto"/>
        <w:ind w:firstLine="480"/>
        <w:rPr>
          <w:rFonts w:hint="eastAsia" w:ascii="宋体" w:hAnsi="宋体" w:cs="宋体"/>
          <w:sz w:val="24"/>
        </w:rPr>
      </w:pPr>
      <w:r>
        <w:rPr>
          <w:rFonts w:hint="eastAsia" w:ascii="宋体" w:hAnsi="宋体" w:cs="宋体"/>
          <w:b/>
          <w:sz w:val="24"/>
        </w:rPr>
        <w:t>最高限价（元）：</w:t>
      </w:r>
      <w:r>
        <w:rPr>
          <w:rFonts w:hint="eastAsia" w:ascii="宋体" w:hAnsi="宋体" w:cs="宋体"/>
          <w:b/>
          <w:bCs/>
          <w:sz w:val="24"/>
        </w:rPr>
        <w:t>1530000.00</w:t>
      </w:r>
      <w:r>
        <w:rPr>
          <w:rFonts w:hint="eastAsia" w:ascii="宋体" w:hAnsi="宋体" w:cs="宋体"/>
          <w:sz w:val="24"/>
        </w:rPr>
        <w:t xml:space="preserve"> </w:t>
      </w:r>
    </w:p>
    <w:p>
      <w:pPr>
        <w:pStyle w:val="15"/>
        <w:spacing w:line="360" w:lineRule="auto"/>
        <w:ind w:firstLine="480"/>
        <w:rPr>
          <w:rFonts w:hint="eastAsia" w:hAnsi="宋体"/>
          <w:sz w:val="24"/>
        </w:rPr>
      </w:pPr>
      <w:r>
        <w:rPr>
          <w:rFonts w:hint="eastAsia" w:hAnsi="宋体" w:cs="宋体"/>
          <w:b/>
          <w:color w:val="auto"/>
          <w:sz w:val="24"/>
        </w:rPr>
        <w:t>采购需求：</w:t>
      </w:r>
      <w:r>
        <w:rPr>
          <w:rFonts w:hint="eastAsia" w:hAnsi="宋体" w:cs="宋体"/>
          <w:bCs/>
          <w:snapToGrid/>
          <w:color w:val="auto"/>
          <w:kern w:val="2"/>
          <w:sz w:val="24"/>
          <w:szCs w:val="24"/>
        </w:rPr>
        <w:t>杭州市文三</w:t>
      </w:r>
      <w:r>
        <w:rPr>
          <w:rFonts w:hint="eastAsia" w:hAnsi="宋体" w:cs="宋体"/>
          <w:bCs/>
          <w:snapToGrid/>
          <w:color w:val="auto"/>
          <w:kern w:val="2"/>
          <w:sz w:val="24"/>
          <w:szCs w:val="24"/>
          <w:lang w:val="en-US" w:eastAsia="zh-CN"/>
        </w:rPr>
        <w:t>教育集团（总校）</w:t>
      </w:r>
      <w:r>
        <w:rPr>
          <w:rFonts w:hint="eastAsia" w:hAnsi="宋体" w:cs="宋体"/>
          <w:bCs/>
          <w:snapToGrid/>
          <w:color w:val="auto"/>
          <w:kern w:val="2"/>
          <w:sz w:val="24"/>
          <w:szCs w:val="24"/>
        </w:rPr>
        <w:t>新校区电子显示屏采购项目，</w:t>
      </w:r>
      <w:r>
        <w:rPr>
          <w:rFonts w:hint="eastAsia" w:hAnsi="宋体"/>
          <w:sz w:val="24"/>
        </w:rPr>
        <w:t>主要内容包括：</w:t>
      </w:r>
    </w:p>
    <w:p>
      <w:pPr>
        <w:pStyle w:val="15"/>
        <w:spacing w:line="360" w:lineRule="auto"/>
        <w:ind w:firstLine="480"/>
        <w:rPr>
          <w:rFonts w:hint="eastAsia" w:hAnsi="宋体" w:cs="宋体"/>
          <w:sz w:val="24"/>
        </w:rPr>
      </w:pPr>
      <w:r>
        <w:rPr>
          <w:rFonts w:hint="eastAsia" w:hAnsi="宋体"/>
          <w:sz w:val="24"/>
        </w:rPr>
        <w:t>1、</w:t>
      </w:r>
      <w:r>
        <w:rPr>
          <w:rFonts w:hint="eastAsia" w:hAnsi="宋体" w:cs="宋体"/>
          <w:sz w:val="24"/>
        </w:rPr>
        <w:t>体育场增加1块室外P3全彩色显示屏：</w:t>
      </w:r>
      <w:bookmarkStart w:id="13" w:name="_Hlk198103950"/>
      <w:r>
        <w:rPr>
          <w:rFonts w:hint="eastAsia" w:hAnsi="宋体" w:cs="宋体"/>
          <w:sz w:val="24"/>
        </w:rPr>
        <w:t xml:space="preserve">6.72*3.84=25.8㎡ </w:t>
      </w:r>
    </w:p>
    <w:p>
      <w:pPr>
        <w:pStyle w:val="15"/>
        <w:spacing w:line="360" w:lineRule="auto"/>
        <w:ind w:left="900" w:leftChars="200" w:hanging="480" w:hangingChars="200"/>
        <w:rPr>
          <w:rFonts w:hint="eastAsia" w:hAnsi="宋体" w:cs="宋体"/>
          <w:sz w:val="24"/>
        </w:rPr>
      </w:pPr>
      <w:r>
        <w:rPr>
          <w:rFonts w:hint="eastAsia" w:hAnsi="宋体" w:cs="宋体"/>
          <w:sz w:val="24"/>
        </w:rPr>
        <w:t>2、校门口增加2块室外P3全彩色显示屏：一块：6.4*3.52=22.528</w:t>
      </w:r>
      <w:bookmarkStart w:id="14" w:name="OLE_LINK4"/>
      <w:r>
        <w:rPr>
          <w:rFonts w:hint="eastAsia" w:hAnsi="宋体" w:cs="宋体"/>
          <w:sz w:val="24"/>
        </w:rPr>
        <w:t>㎡</w:t>
      </w:r>
      <w:bookmarkEnd w:id="14"/>
      <w:r>
        <w:rPr>
          <w:rFonts w:hint="eastAsia" w:hAnsi="宋体" w:cs="宋体"/>
          <w:sz w:val="24"/>
        </w:rPr>
        <w:t xml:space="preserve">，一块放学系统导流屏：1.92*1.28=2.46㎡ </w:t>
      </w:r>
    </w:p>
    <w:bookmarkEnd w:id="13"/>
    <w:p>
      <w:pPr>
        <w:pStyle w:val="15"/>
        <w:spacing w:line="360" w:lineRule="auto"/>
        <w:ind w:firstLine="480"/>
        <w:rPr>
          <w:rFonts w:hint="eastAsia" w:hAnsi="宋体" w:cs="宋体"/>
          <w:color w:val="000000" w:themeColor="text1"/>
          <w:sz w:val="24"/>
          <w14:textFill>
            <w14:solidFill>
              <w14:schemeClr w14:val="tx1"/>
            </w14:solidFill>
          </w14:textFill>
        </w:rPr>
      </w:pPr>
      <w:bookmarkStart w:id="15" w:name="OLE_LINK2"/>
      <w:r>
        <w:rPr>
          <w:rFonts w:hint="eastAsia" w:hAnsi="宋体" w:cs="宋体"/>
          <w:sz w:val="24"/>
        </w:rPr>
        <w:t>3、三楼会议室增加1块室内P1.53全彩色显示</w:t>
      </w:r>
      <w:r>
        <w:rPr>
          <w:rFonts w:hint="eastAsia" w:hAnsi="宋体" w:cs="宋体"/>
          <w:color w:val="000000" w:themeColor="text1"/>
          <w:sz w:val="24"/>
          <w14:textFill>
            <w14:solidFill>
              <w14:schemeClr w14:val="tx1"/>
            </w14:solidFill>
          </w14:textFill>
        </w:rPr>
        <w:t>屏：</w:t>
      </w:r>
      <w:bookmarkEnd w:id="15"/>
      <w:r>
        <w:rPr>
          <w:rFonts w:hint="eastAsia" w:hAnsi="宋体" w:cs="宋体"/>
          <w:color w:val="000000" w:themeColor="text1"/>
          <w:sz w:val="24"/>
          <w14:textFill>
            <w14:solidFill>
              <w14:schemeClr w14:val="tx1"/>
            </w14:solidFill>
          </w14:textFill>
        </w:rPr>
        <w:t>4.16*2.24=9.32㎡；</w:t>
      </w:r>
    </w:p>
    <w:p>
      <w:pPr>
        <w:pStyle w:val="15"/>
        <w:spacing w:line="360" w:lineRule="auto"/>
        <w:ind w:firstLine="48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4、阶梯教室增加1块室内P1.53全彩色显示屏6.4*3.52=22.528㎡</w:t>
      </w:r>
    </w:p>
    <w:p>
      <w:pPr>
        <w:pStyle w:val="15"/>
        <w:spacing w:line="360" w:lineRule="auto"/>
        <w:ind w:firstLine="48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w:t>
      </w:r>
      <w:bookmarkStart w:id="16" w:name="OLE_LINK7"/>
      <w:r>
        <w:rPr>
          <w:rFonts w:hint="eastAsia" w:hAnsi="宋体" w:cs="宋体"/>
          <w:sz w:val="24"/>
        </w:rPr>
        <w:t>四楼大会议室增加1块室内P2全彩色显示屏：</w:t>
      </w:r>
      <w:r>
        <w:rPr>
          <w:rFonts w:hint="eastAsia" w:hAnsi="宋体" w:cs="宋体"/>
          <w:color w:val="000000" w:themeColor="text1"/>
          <w:sz w:val="24"/>
          <w14:textFill>
            <w14:solidFill>
              <w14:schemeClr w14:val="tx1"/>
            </w14:solidFill>
          </w14:textFill>
        </w:rPr>
        <w:t>6.4*3.52=22.528㎡，</w:t>
      </w:r>
    </w:p>
    <w:p>
      <w:pPr>
        <w:pStyle w:val="15"/>
        <w:spacing w:line="360" w:lineRule="auto"/>
        <w:ind w:firstLine="48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w:t>
      </w:r>
      <w:r>
        <w:rPr>
          <w:rFonts w:hint="eastAsia" w:hAnsi="宋体" w:cs="宋体"/>
          <w:sz w:val="24"/>
        </w:rPr>
        <w:t>汇报厅增加4块室内P2全彩色显示屏，一块主屏10.24*4.8=49.152㎡，二块</w:t>
      </w:r>
      <w:r>
        <w:rPr>
          <w:rFonts w:hint="eastAsia" w:hAnsi="宋体" w:cs="宋体"/>
          <w:color w:val="000000" w:themeColor="text1"/>
          <w:sz w:val="24"/>
          <w14:textFill>
            <w14:solidFill>
              <w14:schemeClr w14:val="tx1"/>
            </w14:solidFill>
          </w14:textFill>
        </w:rPr>
        <w:t>辅屏：3.84*2.4=9.22㎡X2块，合计18.44㎡，一块横幅屏10.24*0.8=8.192㎡总计75.784平方米，</w:t>
      </w:r>
    </w:p>
    <w:bookmarkEnd w:id="16"/>
    <w:p>
      <w:pPr>
        <w:pStyle w:val="15"/>
        <w:spacing w:line="360" w:lineRule="auto"/>
        <w:ind w:firstLine="48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7、风雨操场增加1块室内P2全彩色显示屏：8*4.8=38.4㎡，</w:t>
      </w:r>
    </w:p>
    <w:p>
      <w:pPr>
        <w:pStyle w:val="15"/>
        <w:spacing w:line="360" w:lineRule="auto"/>
        <w:ind w:firstLine="480"/>
        <w:rPr>
          <w:rFonts w:hint="eastAsia" w:asciiTheme="minorEastAsia" w:hAnsiTheme="minorEastAsia" w:eastAsiaTheme="minorEastAsia"/>
          <w:snapToGrid/>
          <w:color w:val="000000" w:themeColor="text1"/>
          <w:kern w:val="2"/>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以及配套控制系统、终端控制器、视频拼接器、线缆敷设、框架、散热系统、配电系统等。</w:t>
      </w:r>
      <w:r>
        <w:rPr>
          <w:rFonts w:hint="eastAsia" w:hAnsi="宋体" w:cs="宋体"/>
          <w:bCs/>
          <w:color w:val="000000" w:themeColor="text1"/>
          <w:sz w:val="24"/>
          <w14:textFill>
            <w14:solidFill>
              <w14:schemeClr w14:val="tx1"/>
            </w14:solidFill>
          </w14:textFill>
        </w:rPr>
        <w:t>具体包括安装、产品调试、试运行、验收与相关的操作培训及不少于3年（含）7×24小时免费设备保修和售后现场技术服务等内容。</w:t>
      </w:r>
      <w:r>
        <w:rPr>
          <w:rFonts w:hint="eastAsia" w:asciiTheme="minorEastAsia" w:hAnsiTheme="minorEastAsia" w:eastAsiaTheme="minorEastAsia"/>
          <w:snapToGrid/>
          <w:color w:val="auto"/>
          <w:kern w:val="2"/>
          <w:sz w:val="24"/>
          <w:szCs w:val="24"/>
        </w:rPr>
        <w:t>具体以招标文件第三部分采购需求为准，</w:t>
      </w:r>
      <w:r>
        <w:rPr>
          <w:rFonts w:hint="eastAsia" w:asciiTheme="minorEastAsia" w:hAnsiTheme="minorEastAsia" w:eastAsiaTheme="minorEastAsia"/>
          <w:snapToGrid/>
          <w:color w:val="000000" w:themeColor="text1"/>
          <w:kern w:val="2"/>
          <w:sz w:val="24"/>
          <w:szCs w:val="24"/>
          <w14:textFill>
            <w14:solidFill>
              <w14:schemeClr w14:val="tx1"/>
            </w14:solidFill>
          </w14:textFill>
        </w:rPr>
        <w:t>供应商可点击本公告下方“浏览采购文件”查看采购需求。</w:t>
      </w:r>
    </w:p>
    <w:p>
      <w:pPr>
        <w:pStyle w:val="131"/>
        <w:numPr>
          <w:ilvl w:val="0"/>
          <w:numId w:val="1"/>
        </w:numPr>
        <w:ind w:firstLine="482"/>
        <w:outlineLvl w:val="2"/>
        <w:rPr>
          <w:rFonts w:hint="eastAsia" w:ascii="宋体" w:hAnsi="宋体" w:cs="宋体"/>
          <w:b/>
        </w:rPr>
      </w:pPr>
      <w:r>
        <w:rPr>
          <w:rFonts w:hint="eastAsia" w:ascii="宋体" w:hAnsi="宋体" w:cs="宋体"/>
          <w:b/>
        </w:rPr>
        <w:t>合同履约期限：</w:t>
      </w:r>
      <w:r>
        <w:rPr>
          <w:rFonts w:hint="eastAsia" w:ascii="宋体" w:hAnsi="宋体" w:cs="宋体"/>
        </w:rPr>
        <w:t>在合同生效后</w:t>
      </w:r>
      <w:r>
        <w:rPr>
          <w:rFonts w:hint="eastAsia" w:ascii="宋体" w:hAnsi="宋体" w:cs="宋体"/>
          <w:b/>
        </w:rPr>
        <w:t>20天</w:t>
      </w:r>
      <w:r>
        <w:rPr>
          <w:rFonts w:hint="eastAsia" w:ascii="宋体" w:hAnsi="宋体" w:cs="宋体"/>
        </w:rPr>
        <w:t>内，供应商需将所供产品（出厂原包装）按合同清单所列的采购单位、地址以及货物品种、数量等，运至指定地点拆箱，并负责安装、调试，由采购单位负责验收，在产品试运行1个月后交付使用。</w:t>
      </w:r>
    </w:p>
    <w:p>
      <w:pPr>
        <w:pStyle w:val="15"/>
        <w:numPr>
          <w:ilvl w:val="0"/>
          <w:numId w:val="1"/>
        </w:numPr>
        <w:spacing w:line="360" w:lineRule="auto"/>
        <w:ind w:firstLine="482" w:firstLineChars="200"/>
        <w:rPr>
          <w:rFonts w:hint="eastAsia" w:hAnsi="宋体" w:cs="宋体"/>
          <w:b/>
          <w:color w:val="auto"/>
          <w:kern w:val="0"/>
          <w:sz w:val="24"/>
        </w:rPr>
      </w:pPr>
      <w:r>
        <w:rPr>
          <w:rFonts w:hint="eastAsia" w:hAnsi="宋体" w:cs="宋体"/>
          <w:b/>
          <w:color w:val="auto"/>
          <w:sz w:val="24"/>
        </w:rPr>
        <w:t>本项目接受联合体投标：</w:t>
      </w:r>
      <w:sdt>
        <w:sdtPr>
          <w:rPr>
            <w:rFonts w:hint="eastAsia" w:hAnsi="宋体" w:cs="宋体"/>
            <w:b/>
            <w:color w:val="auto"/>
            <w:kern w:val="0"/>
            <w:sz w:val="24"/>
          </w:rPr>
          <w:id w:val="2035453831"/>
          <w14:checkbox>
            <w14:checked w14:val="1"/>
            <w14:checkedState w14:val="00FE" w14:font="Wingdings"/>
            <w14:uncheckedState w14:val="2610" w14:font="MS Gothic"/>
          </w14:checkbox>
        </w:sdtPr>
        <w:sdtEndPr>
          <w:rPr>
            <w:rFonts w:hint="eastAsia" w:hAnsi="宋体" w:cs="宋体"/>
            <w:b/>
            <w:color w:val="auto"/>
            <w:kern w:val="0"/>
            <w:sz w:val="24"/>
          </w:rPr>
        </w:sdtEndPr>
        <w:sdtContent>
          <w:r>
            <w:rPr>
              <w:rFonts w:hint="eastAsia" w:ascii="Wingdings" w:hAnsi="Wingdings" w:cs="宋体"/>
              <w:b/>
              <w:color w:val="auto"/>
              <w:kern w:val="0"/>
              <w:sz w:val="24"/>
            </w:rPr>
            <w:t>þ</w:t>
          </w:r>
        </w:sdtContent>
      </w:sdt>
      <w:r>
        <w:rPr>
          <w:rFonts w:hint="eastAsia" w:hAnsi="宋体" w:cs="宋体"/>
          <w:b/>
          <w:color w:val="auto"/>
          <w:sz w:val="24"/>
        </w:rPr>
        <w:t>是，</w:t>
      </w:r>
      <w:sdt>
        <w:sdtPr>
          <w:rPr>
            <w:rFonts w:hint="eastAsia" w:hAnsi="宋体" w:cs="宋体"/>
            <w:b/>
            <w:color w:val="auto"/>
            <w:kern w:val="0"/>
            <w:sz w:val="24"/>
          </w:rPr>
          <w:id w:val="-1765526721"/>
          <w14:checkbox>
            <w14:checked w14:val="0"/>
            <w14:checkedState w14:val="00FE" w14:font="Wingdings"/>
            <w14:uncheckedState w14:val="2610" w14:font="MS Gothic"/>
          </w14:checkbox>
        </w:sdtPr>
        <w:sdtEndPr>
          <w:rPr>
            <w:rFonts w:hint="eastAsia" w:hAnsi="宋体" w:cs="宋体"/>
            <w:b/>
            <w:color w:val="auto"/>
            <w:kern w:val="0"/>
            <w:sz w:val="24"/>
          </w:rPr>
        </w:sdtEndPr>
        <w:sdtContent>
          <w:r>
            <w:rPr>
              <w:rFonts w:hint="eastAsia" w:ascii="MS Gothic" w:hAnsi="MS Gothic" w:cs="宋体"/>
              <w:b/>
              <w:color w:val="auto"/>
              <w:kern w:val="0"/>
              <w:sz w:val="24"/>
            </w:rPr>
            <w:t>☐</w:t>
          </w:r>
        </w:sdtContent>
      </w:sdt>
      <w:r>
        <w:rPr>
          <w:rFonts w:hint="eastAsia" w:hAnsi="宋体" w:cs="宋体"/>
          <w:b/>
          <w:color w:val="auto"/>
          <w:sz w:val="24"/>
        </w:rPr>
        <w:t>否</w:t>
      </w:r>
      <w:r>
        <w:rPr>
          <w:rFonts w:hint="eastAsia" w:hAnsi="宋体" w:cs="宋体"/>
          <w:b/>
          <w:color w:val="auto"/>
          <w:kern w:val="0"/>
          <w:sz w:val="24"/>
        </w:rPr>
        <w:t>。</w:t>
      </w:r>
    </w:p>
    <w:p>
      <w:pPr>
        <w:spacing w:line="360" w:lineRule="auto"/>
        <w:rPr>
          <w:rFonts w:hint="eastAsia" w:ascii="宋体" w:hAnsi="宋体" w:cs="宋体"/>
          <w:b/>
          <w:sz w:val="24"/>
        </w:rPr>
      </w:pPr>
      <w:r>
        <w:rPr>
          <w:rFonts w:hint="eastAsia" w:ascii="宋体" w:hAnsi="宋体" w:cs="宋体"/>
          <w:b/>
          <w:sz w:val="24"/>
        </w:rPr>
        <w:t>二、</w:t>
      </w:r>
      <w:bookmarkStart w:id="17" w:name="_Hlk101132948"/>
      <w:r>
        <w:rPr>
          <w:rFonts w:hint="eastAsia" w:ascii="宋体" w:hAnsi="宋体" w:cs="宋体"/>
          <w:b/>
          <w:sz w:val="24"/>
        </w:rPr>
        <w:t>申请人的资格要求</w:t>
      </w:r>
      <w:bookmarkEnd w:id="17"/>
      <w:r>
        <w:rPr>
          <w:rFonts w:hint="eastAsia" w:ascii="宋体" w:hAnsi="宋体" w:cs="宋体"/>
          <w:b/>
          <w:sz w:val="24"/>
        </w:rPr>
        <w:t>：</w:t>
      </w:r>
    </w:p>
    <w:p>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hint="eastAsia"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hint="eastAsia" w:ascii="宋体" w:hAnsi="宋体" w:cs="宋体"/>
          <w:sz w:val="24"/>
        </w:rPr>
      </w:pPr>
      <w:sdt>
        <w:sdtPr>
          <w:rPr>
            <w:rFonts w:hint="eastAsia" w:ascii="宋体" w:hAnsi="宋体" w:cs="宋体"/>
            <w:kern w:val="0"/>
            <w:sz w:val="24"/>
          </w:rPr>
          <w:id w:val="192861692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sz w:val="24"/>
        </w:rPr>
        <w:t>无（注：不得限制大中型企业与小微企业组成联合体参与投标）；</w:t>
      </w:r>
    </w:p>
    <w:p>
      <w:pPr>
        <w:spacing w:line="360" w:lineRule="auto"/>
        <w:ind w:firstLine="480" w:firstLineChars="200"/>
        <w:rPr>
          <w:rFonts w:hint="eastAsia" w:ascii="宋体" w:hAnsi="宋体" w:cs="宋体"/>
          <w:sz w:val="24"/>
        </w:rPr>
      </w:pPr>
      <w:sdt>
        <w:sdtPr>
          <w:rPr>
            <w:rFonts w:hint="eastAsia" w:ascii="宋体" w:hAnsi="宋体" w:cs="宋体"/>
            <w:kern w:val="0"/>
            <w:sz w:val="24"/>
          </w:rPr>
          <w:id w:val="-102470430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hint="eastAsia" w:ascii="宋体" w:hAnsi="宋体" w:cs="宋体"/>
          <w:sz w:val="24"/>
          <w:u w:val="single"/>
        </w:rPr>
      </w:pPr>
      <w:sdt>
        <w:sdtPr>
          <w:rPr>
            <w:rFonts w:hint="eastAsia" w:ascii="宋体" w:hAnsi="宋体" w:cs="宋体"/>
            <w:kern w:val="0"/>
            <w:sz w:val="24"/>
          </w:rPr>
          <w:id w:val="-9247305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sz w:val="24"/>
        </w:rPr>
        <w:t>货物全部由符合政策要求的中小微企业制造，提供中小企业声明函；</w:t>
      </w:r>
    </w:p>
    <w:p>
      <w:pPr>
        <w:spacing w:line="360" w:lineRule="auto"/>
        <w:ind w:firstLine="897" w:firstLineChars="374"/>
        <w:rPr>
          <w:rFonts w:hint="eastAsia" w:ascii="宋体" w:hAnsi="宋体" w:cs="宋体"/>
          <w:sz w:val="24"/>
        </w:rPr>
      </w:pPr>
      <w:sdt>
        <w:sdtPr>
          <w:rPr>
            <w:rFonts w:hint="eastAsia" w:ascii="宋体" w:hAnsi="宋体" w:cs="宋体"/>
            <w:kern w:val="0"/>
            <w:sz w:val="24"/>
          </w:rPr>
          <w:id w:val="-1152604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sz w:val="24"/>
        </w:rPr>
        <w:t>货物全部由符合政策要求的小微企业制造，提供中小企业声明函；</w:t>
      </w:r>
    </w:p>
    <w:p>
      <w:pPr>
        <w:spacing w:line="360" w:lineRule="auto"/>
        <w:ind w:firstLine="480" w:firstLineChars="200"/>
        <w:rPr>
          <w:rFonts w:hint="eastAsia"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8"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rPr>
        <w:t>；</w:t>
      </w:r>
    </w:p>
    <w:bookmarkEnd w:id="18"/>
    <w:p>
      <w:pPr>
        <w:spacing w:line="360" w:lineRule="auto"/>
        <w:ind w:firstLine="480" w:firstLineChars="200"/>
        <w:rPr>
          <w:rFonts w:hint="eastAsia"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w:t>
      </w:r>
      <w:r>
        <w:rPr>
          <w:rFonts w:hint="eastAsia" w:ascii="宋体" w:hAnsi="宋体" w:cs="宋体"/>
          <w:sz w:val="24"/>
          <w:u w:val="single"/>
        </w:rPr>
        <w:t xml:space="preserve">  </w:t>
      </w:r>
      <w:r>
        <w:rPr>
          <w:rFonts w:hint="eastAsia" w:ascii="宋体" w:hAnsi="宋体" w:cs="宋体"/>
          <w:sz w:val="24"/>
        </w:rPr>
        <w:t>% ，小微企业合同金额应当达到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如果供应商本身提供所有标的均由中小企业制造、承建或承接，视同符合了资格条件，无需再向中小企业分包，无需提供分包意向协议</w:t>
      </w:r>
      <w:r>
        <w:rPr>
          <w:rFonts w:hint="eastAsia" w:ascii="宋体" w:hAnsi="宋体" w:cs="宋体"/>
          <w:sz w:val="24"/>
        </w:rPr>
        <w:t>；</w:t>
      </w:r>
    </w:p>
    <w:p>
      <w:pPr>
        <w:snapToGrid w:val="0"/>
        <w:spacing w:line="360" w:lineRule="auto"/>
        <w:ind w:firstLine="480" w:firstLineChars="200"/>
        <w:rPr>
          <w:rFonts w:hint="eastAsia" w:ascii="宋体" w:hAnsi="宋体" w:cs="宋体"/>
          <w:sz w:val="24"/>
        </w:rPr>
      </w:pPr>
      <w:r>
        <w:rPr>
          <w:rFonts w:hint="eastAsia" w:ascii="宋体" w:hAnsi="宋体" w:cs="宋体"/>
          <w:sz w:val="24"/>
        </w:rPr>
        <w:t>4.本项目的特定资格要求：</w:t>
      </w:r>
    </w:p>
    <w:p>
      <w:pPr>
        <w:snapToGrid w:val="0"/>
        <w:spacing w:line="360" w:lineRule="auto"/>
        <w:ind w:firstLine="480" w:firstLineChars="200"/>
        <w:rPr>
          <w:rFonts w:hint="eastAsia" w:ascii="宋体" w:hAnsi="宋体" w:cs="宋体"/>
          <w:sz w:val="24"/>
        </w:rPr>
      </w:pPr>
      <w:sdt>
        <w:sdtPr>
          <w:rPr>
            <w:rFonts w:hint="eastAsia" w:ascii="宋体" w:hAnsi="宋体" w:cs="宋体"/>
            <w:kern w:val="0"/>
            <w:sz w:val="24"/>
          </w:rPr>
          <w:id w:val="14747161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sz w:val="24"/>
        </w:rPr>
        <w:t>无</w:t>
      </w:r>
    </w:p>
    <w:p>
      <w:pPr>
        <w:snapToGrid w:val="0"/>
        <w:spacing w:line="360" w:lineRule="auto"/>
        <w:ind w:firstLine="480" w:firstLineChars="200"/>
        <w:rPr>
          <w:rFonts w:hint="eastAsia" w:ascii="宋体" w:hAnsi="宋体" w:cs="宋体"/>
          <w:sz w:val="24"/>
        </w:rPr>
      </w:pPr>
      <w:sdt>
        <w:sdtPr>
          <w:rPr>
            <w:rFonts w:hint="eastAsia" w:ascii="宋体" w:hAnsi="宋体" w:cs="宋体"/>
            <w:kern w:val="0"/>
            <w:sz w:val="24"/>
          </w:rPr>
          <w:id w:val="14748042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sz w:val="24"/>
        </w:rPr>
        <w:t>有特定资格要求：</w:t>
      </w:r>
      <w:r>
        <w:rPr>
          <w:rFonts w:hint="eastAsia" w:ascii="宋体" w:hAnsi="宋体" w:cs="宋体"/>
          <w:sz w:val="24"/>
          <w:u w:val="single"/>
        </w:rPr>
        <w:t xml:space="preserve">                    </w:t>
      </w:r>
      <w:r>
        <w:rPr>
          <w:rFonts w:hint="eastAsia" w:ascii="宋体" w:hAnsi="宋体" w:cs="宋体"/>
          <w:sz w:val="24"/>
        </w:rPr>
        <w:t>，该特定条件的法律法规依据：</w:t>
      </w: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firstLine="480" w:firstLineChars="200"/>
        <w:rPr>
          <w:rFonts w:hint="eastAsia"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hint="eastAsia"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23</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hint="eastAsia"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hint="eastAsia"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23</w:t>
      </w:r>
      <w:r>
        <w:rPr>
          <w:rFonts w:hint="eastAsia" w:ascii="宋体" w:hAnsi="宋体" w:cs="宋体"/>
          <w:sz w:val="24"/>
          <w:u w:val="single"/>
        </w:rPr>
        <w:t>日10点0</w:t>
      </w:r>
      <w:r>
        <w:rPr>
          <w:rFonts w:ascii="宋体" w:hAnsi="宋体" w:cs="宋体"/>
          <w:sz w:val="24"/>
          <w:u w:val="single"/>
        </w:rPr>
        <w:t>0</w:t>
      </w:r>
      <w:r>
        <w:rPr>
          <w:rFonts w:hint="eastAsia" w:ascii="宋体" w:hAnsi="宋体" w:cs="宋体"/>
          <w:sz w:val="24"/>
          <w:u w:val="single"/>
        </w:rPr>
        <w:t>分</w:t>
      </w:r>
      <w:r>
        <w:rPr>
          <w:rFonts w:hint="eastAsia" w:ascii="宋体" w:hAnsi="宋体" w:cs="宋体"/>
          <w:bCs/>
          <w:sz w:val="24"/>
          <w:u w:val="single"/>
        </w:rPr>
        <w:t xml:space="preserve"> </w:t>
      </w:r>
      <w:r>
        <w:rPr>
          <w:rFonts w:hint="eastAsia" w:ascii="宋体" w:hAnsi="宋体" w:cs="宋体"/>
          <w:sz w:val="24"/>
        </w:rPr>
        <w:t>（北京时间）</w:t>
      </w:r>
    </w:p>
    <w:p>
      <w:pPr>
        <w:spacing w:line="360" w:lineRule="auto"/>
        <w:ind w:firstLine="482" w:firstLineChars="200"/>
        <w:rPr>
          <w:rFonts w:hint="eastAsia"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hint="eastAsia"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23</w:t>
      </w:r>
      <w:r>
        <w:rPr>
          <w:rFonts w:hint="eastAsia" w:ascii="宋体" w:hAnsi="宋体" w:cs="宋体"/>
          <w:sz w:val="24"/>
          <w:u w:val="single"/>
        </w:rPr>
        <w:t>日10点0</w:t>
      </w:r>
      <w:r>
        <w:rPr>
          <w:rFonts w:ascii="宋体" w:hAnsi="宋体" w:cs="宋体"/>
          <w:sz w:val="24"/>
          <w:u w:val="single"/>
        </w:rPr>
        <w:t>0</w:t>
      </w:r>
      <w:r>
        <w:rPr>
          <w:rFonts w:hint="eastAsia" w:ascii="宋体" w:hAnsi="宋体" w:cs="宋体"/>
          <w:sz w:val="24"/>
          <w:u w:val="single"/>
        </w:rPr>
        <w:t>分</w:t>
      </w:r>
      <w:r>
        <w:rPr>
          <w:rFonts w:hint="eastAsia" w:ascii="宋体" w:hAnsi="宋体" w:cs="宋体"/>
          <w:bCs/>
          <w:sz w:val="24"/>
          <w:u w:val="single"/>
        </w:rPr>
        <w:t xml:space="preserve"> </w:t>
      </w:r>
    </w:p>
    <w:p>
      <w:pPr>
        <w:spacing w:line="360" w:lineRule="auto"/>
        <w:ind w:firstLine="482" w:firstLineChars="200"/>
        <w:rPr>
          <w:rFonts w:hint="eastAsia"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hint="eastAsia" w:ascii="宋体" w:hAnsi="宋体" w:cs="宋体"/>
          <w:sz w:val="24"/>
        </w:rPr>
      </w:pPr>
      <w:r>
        <w:rPr>
          <w:rFonts w:hint="eastAsia" w:ascii="宋体" w:hAnsi="宋体" w:cs="宋体"/>
          <w:b/>
          <w:sz w:val="24"/>
        </w:rPr>
        <w:t xml:space="preserve">五、公告期限 </w:t>
      </w:r>
    </w:p>
    <w:p>
      <w:pPr>
        <w:spacing w:line="360" w:lineRule="auto"/>
        <w:ind w:firstLine="480" w:firstLineChars="200"/>
        <w:rPr>
          <w:rFonts w:hint="eastAsia" w:ascii="宋体" w:hAnsi="宋体" w:cs="宋体"/>
          <w:sz w:val="24"/>
        </w:rPr>
      </w:pPr>
      <w:r>
        <w:rPr>
          <w:rFonts w:hint="eastAsia" w:ascii="宋体" w:hAnsi="宋体" w:cs="宋体"/>
          <w:sz w:val="24"/>
        </w:rPr>
        <w:t>自本公告发布之日起5个工作日。</w:t>
      </w:r>
    </w:p>
    <w:p>
      <w:pPr>
        <w:spacing w:line="360" w:lineRule="auto"/>
        <w:rPr>
          <w:rFonts w:hint="eastAsia" w:ascii="宋体" w:hAnsi="宋体" w:cs="宋体"/>
          <w:b/>
          <w:sz w:val="24"/>
        </w:rPr>
      </w:pPr>
      <w:r>
        <w:rPr>
          <w:rFonts w:hint="eastAsia" w:ascii="宋体" w:hAnsi="宋体" w:cs="宋体"/>
          <w:b/>
          <w:sz w:val="24"/>
        </w:rPr>
        <w:t>六、其他补充事宜</w:t>
      </w:r>
    </w:p>
    <w:p>
      <w:pPr>
        <w:spacing w:line="360" w:lineRule="auto"/>
        <w:ind w:firstLine="480" w:firstLineChars="200"/>
        <w:rPr>
          <w:rFonts w:hint="eastAsia" w:ascii="宋体" w:hAnsi="宋体" w:cs="宋体"/>
          <w:sz w:val="24"/>
        </w:rPr>
      </w:pPr>
      <w:r>
        <w:rPr>
          <w:rFonts w:hint="eastAsia" w:ascii="宋体" w:hAnsi="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sz w:val="24"/>
          <w:lang w:eastAsia="zh-CN"/>
        </w:rPr>
        <w:t>政务服务</w:t>
      </w:r>
      <w:r>
        <w:rPr>
          <w:rFonts w:hint="eastAsia" w:ascii="宋体" w:hAnsi="宋体" w:cs="宋体"/>
          <w:sz w:val="24"/>
        </w:rPr>
        <w:t>网-政府采购投诉处理-在线办理。</w:t>
      </w:r>
    </w:p>
    <w:p>
      <w:pPr>
        <w:spacing w:line="360" w:lineRule="auto"/>
        <w:ind w:firstLine="480" w:firstLineChars="200"/>
        <w:rPr>
          <w:rFonts w:hint="eastAsia"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cs="宋体"/>
          <w:b/>
          <w:sz w:val="24"/>
        </w:rPr>
      </w:pPr>
      <w:r>
        <w:rPr>
          <w:rFonts w:hint="eastAsia" w:ascii="宋体" w:hAnsi="宋体" w:cs="宋体"/>
          <w:b/>
          <w:sz w:val="24"/>
        </w:rPr>
        <w:t>七、对本次采购提出询问、质疑、投诉，请按以下方式联系</w:t>
      </w:r>
    </w:p>
    <w:p>
      <w:pPr>
        <w:spacing w:line="360" w:lineRule="auto"/>
        <w:rPr>
          <w:rFonts w:hint="eastAsia" w:ascii="宋体" w:hAnsi="宋体" w:cs="宋体"/>
          <w:sz w:val="24"/>
        </w:rPr>
      </w:pPr>
      <w:r>
        <w:rPr>
          <w:rFonts w:hint="eastAsia" w:ascii="宋体" w:hAnsi="宋体" w:cs="宋体"/>
          <w:sz w:val="24"/>
        </w:rPr>
        <w:t xml:space="preserve">    1.采购人信息</w:t>
      </w:r>
    </w:p>
    <w:p>
      <w:pPr>
        <w:spacing w:line="360" w:lineRule="auto"/>
        <w:ind w:firstLine="480"/>
        <w:rPr>
          <w:rFonts w:hint="eastAsia" w:ascii="宋体" w:hAnsi="宋体" w:cs="宋体"/>
          <w:sz w:val="24"/>
          <w:lang w:val="en-US" w:eastAsia="zh-CN"/>
        </w:rPr>
      </w:pPr>
      <w:r>
        <w:rPr>
          <w:rFonts w:hint="eastAsia" w:ascii="宋体" w:hAnsi="宋体" w:cs="宋体"/>
          <w:sz w:val="24"/>
        </w:rPr>
        <w:t>名    称：杭州市文三</w:t>
      </w:r>
      <w:r>
        <w:rPr>
          <w:rFonts w:hint="eastAsia" w:ascii="宋体" w:hAnsi="宋体" w:cs="宋体"/>
          <w:sz w:val="24"/>
          <w:lang w:val="en-US" w:eastAsia="zh-CN"/>
        </w:rPr>
        <w:t>教育集团（总校）</w:t>
      </w:r>
    </w:p>
    <w:p>
      <w:pPr>
        <w:spacing w:line="360" w:lineRule="auto"/>
        <w:ind w:firstLine="480"/>
        <w:rPr>
          <w:rFonts w:hint="eastAsia" w:ascii="宋体" w:hAnsi="宋体" w:cs="宋体"/>
          <w:sz w:val="24"/>
        </w:rPr>
      </w:pPr>
      <w:r>
        <w:rPr>
          <w:rFonts w:hint="eastAsia" w:ascii="宋体" w:hAnsi="宋体" w:cs="宋体"/>
          <w:sz w:val="24"/>
        </w:rPr>
        <w:t>地    址：杭州市</w:t>
      </w:r>
      <w:r>
        <w:rPr>
          <w:rFonts w:hint="eastAsia" w:ascii="宋体" w:hAnsi="宋体" w:cs="宋体"/>
          <w:sz w:val="24"/>
          <w:lang w:val="en-US" w:eastAsia="zh-CN"/>
        </w:rPr>
        <w:t>西湖区上宁巷3</w:t>
      </w:r>
      <w:r>
        <w:rPr>
          <w:rFonts w:hint="eastAsia" w:ascii="宋体" w:hAnsi="宋体" w:cs="宋体"/>
          <w:sz w:val="24"/>
        </w:rPr>
        <w:t xml:space="preserve"> 号 </w:t>
      </w:r>
      <w:r>
        <w:rPr>
          <w:rFonts w:ascii="宋体" w:hAnsi="宋体" w:cs="宋体"/>
          <w:sz w:val="24"/>
        </w:rPr>
        <w:t xml:space="preserve"> </w:t>
      </w:r>
      <w:r>
        <w:rPr>
          <w:rFonts w:hint="eastAsia" w:ascii="宋体" w:hAnsi="宋体" w:cs="宋体"/>
          <w:sz w:val="24"/>
        </w:rPr>
        <w:t xml:space="preserve">    </w:t>
      </w:r>
    </w:p>
    <w:p>
      <w:pPr>
        <w:spacing w:line="360" w:lineRule="auto"/>
        <w:ind w:firstLine="480"/>
        <w:rPr>
          <w:rFonts w:hint="eastAsia" w:ascii="宋体" w:hAnsi="宋体" w:cs="宋体"/>
          <w:sz w:val="24"/>
        </w:rPr>
      </w:pPr>
      <w:r>
        <w:rPr>
          <w:rFonts w:hint="eastAsia" w:ascii="宋体" w:hAnsi="宋体" w:cs="宋体"/>
          <w:sz w:val="24"/>
        </w:rPr>
        <w:t>传    真： /</w:t>
      </w:r>
    </w:p>
    <w:p>
      <w:pPr>
        <w:spacing w:line="360" w:lineRule="auto"/>
        <w:ind w:firstLine="480" w:firstLineChars="200"/>
        <w:rPr>
          <w:rFonts w:hint="eastAsia" w:ascii="宋体" w:hAnsi="宋体" w:cs="宋体"/>
          <w:sz w:val="24"/>
        </w:rPr>
      </w:pPr>
      <w:r>
        <w:rPr>
          <w:rFonts w:hint="eastAsia" w:ascii="宋体" w:hAnsi="宋体" w:cs="宋体"/>
          <w:sz w:val="24"/>
        </w:rPr>
        <w:t>项目联系人（询问）：</w:t>
      </w:r>
      <w:r>
        <w:rPr>
          <w:rFonts w:hint="eastAsia" w:ascii="宋体" w:hAnsi="宋体" w:cs="宋体"/>
          <w:sz w:val="24"/>
          <w:lang w:val="en-US" w:eastAsia="zh-CN"/>
        </w:rPr>
        <w:t>刘老师</w:t>
      </w:r>
      <w:r>
        <w:rPr>
          <w:rFonts w:hint="eastAsia" w:ascii="宋体" w:hAnsi="宋体" w:cs="宋体"/>
          <w:sz w:val="24"/>
        </w:rPr>
        <w:t xml:space="preserve"> </w:t>
      </w:r>
    </w:p>
    <w:p>
      <w:pPr>
        <w:spacing w:line="360" w:lineRule="auto"/>
        <w:ind w:firstLine="480"/>
        <w:rPr>
          <w:rFonts w:hint="eastAsia" w:ascii="宋体" w:hAnsi="宋体" w:cs="宋体"/>
          <w:sz w:val="24"/>
          <w:lang w:val="en-US" w:eastAsia="zh-CN"/>
        </w:rPr>
      </w:pPr>
      <w:r>
        <w:rPr>
          <w:rFonts w:hint="eastAsia" w:ascii="宋体" w:hAnsi="宋体" w:cs="宋体"/>
          <w:sz w:val="24"/>
        </w:rPr>
        <w:t>项目联系方式（询问）：</w:t>
      </w:r>
      <w:bookmarkStart w:id="19" w:name="OLE_LINK9"/>
      <w:r>
        <w:rPr>
          <w:rFonts w:hint="eastAsia" w:ascii="宋体" w:hAnsi="宋体" w:cs="宋体"/>
          <w:sz w:val="24"/>
        </w:rPr>
        <w:t>0571-</w:t>
      </w:r>
      <w:bookmarkEnd w:id="19"/>
      <w:r>
        <w:rPr>
          <w:rFonts w:hint="eastAsia" w:ascii="宋体" w:hAnsi="宋体" w:cs="宋体"/>
          <w:sz w:val="24"/>
          <w:lang w:val="en-US" w:eastAsia="zh-CN"/>
        </w:rPr>
        <w:t>56890702</w:t>
      </w:r>
    </w:p>
    <w:p>
      <w:pPr>
        <w:spacing w:line="360" w:lineRule="auto"/>
        <w:ind w:firstLine="480"/>
        <w:rPr>
          <w:rFonts w:hint="eastAsia" w:ascii="宋体" w:hAnsi="宋体" w:cs="宋体"/>
          <w:sz w:val="24"/>
        </w:rPr>
      </w:pPr>
      <w:r>
        <w:rPr>
          <w:rFonts w:hint="eastAsia" w:ascii="宋体" w:hAnsi="宋体" w:cs="宋体"/>
          <w:sz w:val="24"/>
        </w:rPr>
        <w:t>质疑联系人：</w:t>
      </w:r>
      <w:r>
        <w:rPr>
          <w:rFonts w:hint="eastAsia" w:ascii="宋体" w:hAnsi="宋体" w:cs="宋体"/>
          <w:sz w:val="24"/>
          <w:lang w:val="en-US" w:eastAsia="zh-CN"/>
        </w:rPr>
        <w:t>洪波</w:t>
      </w:r>
    </w:p>
    <w:p>
      <w:pPr>
        <w:spacing w:line="360" w:lineRule="auto"/>
        <w:ind w:firstLine="480"/>
        <w:rPr>
          <w:rFonts w:hint="eastAsia" w:ascii="宋体" w:hAnsi="宋体" w:cs="宋体"/>
          <w:sz w:val="24"/>
        </w:rPr>
      </w:pPr>
      <w:r>
        <w:rPr>
          <w:rFonts w:hint="eastAsia" w:ascii="宋体" w:hAnsi="宋体" w:cs="宋体"/>
          <w:sz w:val="24"/>
        </w:rPr>
        <w:t>质疑联系方式：</w:t>
      </w:r>
      <w:bookmarkStart w:id="20" w:name="OLE_LINK10"/>
      <w:r>
        <w:rPr>
          <w:rFonts w:hint="eastAsia" w:ascii="宋体" w:hAnsi="宋体" w:cs="宋体"/>
          <w:sz w:val="24"/>
        </w:rPr>
        <w:t>0571-</w:t>
      </w:r>
      <w:bookmarkEnd w:id="20"/>
      <w:r>
        <w:rPr>
          <w:rFonts w:hint="eastAsia" w:ascii="宋体" w:hAnsi="宋体" w:cs="宋体"/>
          <w:sz w:val="24"/>
          <w:lang w:val="en-US" w:eastAsia="zh-CN"/>
        </w:rPr>
        <w:t>56890716</w:t>
      </w:r>
      <w:r>
        <w:rPr>
          <w:rFonts w:hint="eastAsia" w:ascii="宋体" w:hAnsi="宋体" w:cs="宋体"/>
          <w:sz w:val="24"/>
        </w:rPr>
        <w:t>（请通过以下路径在线提起质疑：政采云-项目采购-询问质疑投诉-质疑列表）</w:t>
      </w:r>
    </w:p>
    <w:p>
      <w:pPr>
        <w:spacing w:line="360" w:lineRule="auto"/>
        <w:rPr>
          <w:rFonts w:hint="eastAsia" w:ascii="宋体" w:hAnsi="宋体" w:cs="宋体"/>
          <w:sz w:val="24"/>
        </w:rPr>
      </w:pPr>
      <w:r>
        <w:rPr>
          <w:rFonts w:hint="eastAsia" w:ascii="宋体" w:hAnsi="宋体" w:cs="宋体"/>
          <w:sz w:val="24"/>
        </w:rPr>
        <w:t xml:space="preserve">    2.采购代理机构信息            </w:t>
      </w:r>
    </w:p>
    <w:p>
      <w:pPr>
        <w:spacing w:line="360" w:lineRule="auto"/>
        <w:ind w:firstLine="480"/>
        <w:rPr>
          <w:rFonts w:hint="eastAsia" w:ascii="宋体" w:hAnsi="宋体" w:cs="宋体"/>
          <w:sz w:val="24"/>
        </w:rPr>
      </w:pPr>
      <w:r>
        <w:rPr>
          <w:rFonts w:hint="eastAsia" w:ascii="宋体" w:hAnsi="宋体" w:cs="宋体"/>
          <w:sz w:val="24"/>
        </w:rPr>
        <w:t>名    称：杭州市西湖区政府采购中心</w:t>
      </w:r>
    </w:p>
    <w:p>
      <w:pPr>
        <w:spacing w:line="360" w:lineRule="auto"/>
        <w:ind w:firstLine="480"/>
        <w:rPr>
          <w:rFonts w:hint="eastAsia" w:ascii="宋体" w:hAnsi="宋体" w:cs="宋体"/>
          <w:sz w:val="24"/>
        </w:rPr>
      </w:pPr>
      <w:r>
        <w:rPr>
          <w:rFonts w:hint="eastAsia" w:ascii="宋体" w:hAnsi="宋体" w:cs="宋体"/>
          <w:sz w:val="24"/>
        </w:rPr>
        <w:t>地    址：杭州市西湖区文一西路858号</w:t>
      </w:r>
    </w:p>
    <w:p>
      <w:pPr>
        <w:spacing w:line="360" w:lineRule="auto"/>
        <w:rPr>
          <w:rFonts w:hint="eastAsia" w:ascii="宋体" w:hAnsi="宋体" w:cs="宋体"/>
          <w:sz w:val="24"/>
        </w:rPr>
      </w:pPr>
      <w:r>
        <w:rPr>
          <w:rFonts w:hint="eastAsia" w:ascii="宋体" w:hAnsi="宋体" w:cs="宋体"/>
          <w:sz w:val="24"/>
        </w:rPr>
        <w:t xml:space="preserve">    传    真：0571-89511006            </w:t>
      </w:r>
    </w:p>
    <w:p>
      <w:pPr>
        <w:spacing w:line="360" w:lineRule="auto"/>
        <w:rPr>
          <w:rFonts w:hint="eastAsia"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郭工、蒋工</w:t>
      </w: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rPr>
        <w:t xml:space="preserve">    项目联系方式（询问）：0571-89511</w:t>
      </w:r>
      <w:r>
        <w:rPr>
          <w:rFonts w:hint="eastAsia" w:ascii="宋体" w:hAnsi="宋体" w:cs="宋体"/>
          <w:sz w:val="24"/>
          <w:lang w:val="en-US" w:eastAsia="zh-CN"/>
        </w:rPr>
        <w:t>006</w:t>
      </w:r>
      <w:bookmarkStart w:id="555" w:name="_GoBack"/>
      <w:bookmarkEnd w:id="555"/>
    </w:p>
    <w:p>
      <w:pPr>
        <w:spacing w:line="360" w:lineRule="auto"/>
        <w:rPr>
          <w:rFonts w:hint="eastAsia" w:ascii="宋体" w:hAnsi="宋体" w:cs="宋体"/>
          <w:sz w:val="24"/>
        </w:rPr>
      </w:pPr>
      <w:r>
        <w:rPr>
          <w:rFonts w:hint="eastAsia" w:ascii="宋体" w:hAnsi="宋体" w:cs="宋体"/>
          <w:sz w:val="24"/>
        </w:rPr>
        <w:t xml:space="preserve">    质疑联系人：缪</w:t>
      </w:r>
      <w:r>
        <w:rPr>
          <w:rFonts w:hint="eastAsia" w:ascii="宋体" w:hAnsi="宋体" w:cs="宋体"/>
          <w:sz w:val="24"/>
          <w:lang w:val="en-US" w:eastAsia="zh-CN"/>
        </w:rPr>
        <w:t>工</w:t>
      </w:r>
      <w:r>
        <w:rPr>
          <w:rFonts w:hint="eastAsia" w:ascii="宋体" w:hAnsi="宋体" w:cs="宋体"/>
          <w:sz w:val="24"/>
        </w:rPr>
        <w:t xml:space="preserve">              </w:t>
      </w:r>
    </w:p>
    <w:p>
      <w:pPr>
        <w:spacing w:line="360" w:lineRule="auto"/>
        <w:ind w:firstLine="480"/>
        <w:rPr>
          <w:rFonts w:hint="eastAsia" w:ascii="宋体" w:hAnsi="宋体" w:cs="宋体"/>
          <w:sz w:val="24"/>
        </w:rPr>
      </w:pPr>
      <w:r>
        <w:rPr>
          <w:rFonts w:hint="eastAsia" w:ascii="宋体" w:hAnsi="宋体" w:cs="宋体"/>
          <w:sz w:val="24"/>
        </w:rPr>
        <w:t>质疑联系方式：0571-89511561（请通过以下路径在线提起质疑：政采云-项目采购-询问质疑投诉-质疑列表）</w:t>
      </w:r>
    </w:p>
    <w:p>
      <w:pPr>
        <w:spacing w:line="360" w:lineRule="auto"/>
        <w:rPr>
          <w:rFonts w:hint="eastAsia"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pPr>
        <w:spacing w:line="360" w:lineRule="auto"/>
        <w:ind w:left="479" w:leftChars="228"/>
        <w:rPr>
          <w:rFonts w:hint="eastAsia" w:ascii="宋体" w:hAnsi="宋体" w:cs="宋体"/>
          <w:sz w:val="24"/>
        </w:rPr>
      </w:pPr>
      <w:r>
        <w:rPr>
          <w:rFonts w:hint="eastAsia" w:ascii="宋体" w:hAnsi="宋体" w:cs="宋体"/>
          <w:sz w:val="24"/>
        </w:rPr>
        <w:t>名 称：杭州市西湖区财政局、浙江省政府采购行政裁决服务中心（杭州）</w:t>
      </w:r>
    </w:p>
    <w:p>
      <w:pPr>
        <w:spacing w:line="360" w:lineRule="auto"/>
        <w:ind w:left="479" w:leftChars="228"/>
        <w:rPr>
          <w:rFonts w:hint="eastAsia" w:ascii="宋体" w:hAnsi="宋体" w:cs="宋体"/>
          <w:sz w:val="24"/>
        </w:rPr>
      </w:pPr>
      <w:r>
        <w:rPr>
          <w:rFonts w:hint="eastAsia" w:ascii="宋体" w:hAnsi="宋体" w:cs="宋体"/>
          <w:sz w:val="24"/>
        </w:rPr>
        <w:t xml:space="preserve">地 址：杭州市上城区清泰街549号城建综合大楼11楼（快递仅限ems或顺丰） </w:t>
      </w:r>
    </w:p>
    <w:p>
      <w:pPr>
        <w:spacing w:line="360" w:lineRule="auto"/>
        <w:ind w:left="479" w:leftChars="228"/>
        <w:rPr>
          <w:rFonts w:hint="eastAsia" w:ascii="宋体" w:hAnsi="宋体" w:cs="宋体"/>
          <w:sz w:val="24"/>
        </w:rPr>
      </w:pPr>
      <w:r>
        <w:rPr>
          <w:rFonts w:hint="eastAsia" w:ascii="宋体" w:hAnsi="宋体" w:cs="宋体"/>
          <w:sz w:val="24"/>
        </w:rPr>
        <w:t>传 真： /</w:t>
      </w:r>
    </w:p>
    <w:p>
      <w:pPr>
        <w:spacing w:line="360" w:lineRule="auto"/>
        <w:ind w:left="479" w:leftChars="228"/>
        <w:rPr>
          <w:rFonts w:hint="eastAsia" w:ascii="宋体" w:hAnsi="宋体" w:cs="宋体"/>
          <w:sz w:val="24"/>
        </w:rPr>
      </w:pPr>
      <w:r>
        <w:rPr>
          <w:rFonts w:hint="eastAsia" w:ascii="宋体" w:hAnsi="宋体" w:cs="宋体"/>
          <w:sz w:val="24"/>
        </w:rPr>
        <w:t>联系人 ：朱女士、王女士</w:t>
      </w:r>
    </w:p>
    <w:p>
      <w:pPr>
        <w:spacing w:line="360" w:lineRule="auto"/>
        <w:ind w:left="479" w:leftChars="228"/>
        <w:rPr>
          <w:rFonts w:hint="eastAsia" w:ascii="宋体" w:hAnsi="宋体" w:cs="宋体"/>
          <w:sz w:val="24"/>
        </w:rPr>
      </w:pPr>
      <w:r>
        <w:rPr>
          <w:rFonts w:hint="eastAsia" w:ascii="宋体" w:hAnsi="宋体" w:cs="宋体"/>
          <w:sz w:val="24"/>
        </w:rPr>
        <w:t>监督投诉电话：0571-87227671,0571-87800218</w:t>
      </w:r>
    </w:p>
    <w:p>
      <w:pPr>
        <w:spacing w:line="360" w:lineRule="auto"/>
        <w:ind w:firstLine="480"/>
        <w:rPr>
          <w:rFonts w:hint="eastAsia" w:ascii="宋体" w:hAnsi="宋体" w:cs="宋体"/>
          <w:sz w:val="24"/>
        </w:rPr>
      </w:pPr>
      <w:r>
        <w:rPr>
          <w:rFonts w:hint="eastAsia" w:ascii="宋体" w:hAnsi="宋体" w:cs="宋体"/>
          <w:sz w:val="24"/>
        </w:rPr>
        <w:t xml:space="preserve">政策咨询电话：童女士，0571-89511290 政府采购监管部门工作人员   </w:t>
      </w:r>
    </w:p>
    <w:p>
      <w:pPr>
        <w:spacing w:line="360" w:lineRule="auto"/>
        <w:ind w:firstLine="480" w:firstLineChars="200"/>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p>
    <w:p>
      <w:pPr>
        <w:pStyle w:val="33"/>
        <w:spacing w:line="360" w:lineRule="auto"/>
        <w:rPr>
          <w:rFonts w:hint="eastAsia" w:hAnsi="宋体" w:cs="宋体"/>
          <w:b/>
          <w:sz w:val="36"/>
          <w:szCs w:val="20"/>
        </w:rPr>
      </w:pPr>
      <w:r>
        <w:rPr>
          <w:rFonts w:hint="eastAsia" w:hAnsi="宋体" w:cs="宋体"/>
          <w:sz w:val="24"/>
        </w:rPr>
        <w:t xml:space="preserve">                        </w:t>
      </w:r>
      <w:r>
        <w:rPr>
          <w:rFonts w:hAnsi="宋体" w:cs="宋体"/>
          <w:b/>
          <w:sz w:val="36"/>
          <w:szCs w:val="20"/>
        </w:rPr>
        <w:t xml:space="preserve"> </w:t>
      </w:r>
    </w:p>
    <w:p>
      <w:pPr>
        <w:pStyle w:val="33"/>
        <w:spacing w:line="360" w:lineRule="auto"/>
        <w:rPr>
          <w:rFonts w:hint="eastAsia" w:hAnsi="宋体" w:cs="宋体"/>
          <w:b/>
          <w:sz w:val="36"/>
          <w:szCs w:val="20"/>
        </w:rPr>
      </w:pPr>
    </w:p>
    <w:p>
      <w:pPr>
        <w:pStyle w:val="33"/>
        <w:spacing w:line="360" w:lineRule="auto"/>
        <w:rPr>
          <w:rFonts w:hint="eastAsia" w:hAnsi="宋体" w:cs="宋体"/>
          <w:b/>
          <w:sz w:val="36"/>
          <w:szCs w:val="20"/>
        </w:rPr>
      </w:pPr>
    </w:p>
    <w:p>
      <w:pPr>
        <w:pStyle w:val="33"/>
        <w:spacing w:line="360" w:lineRule="auto"/>
        <w:rPr>
          <w:rFonts w:hint="eastAsia" w:hAnsi="宋体" w:cs="宋体"/>
          <w:b/>
          <w:sz w:val="36"/>
          <w:szCs w:val="20"/>
        </w:rPr>
      </w:pPr>
    </w:p>
    <w:p>
      <w:pPr>
        <w:pStyle w:val="33"/>
        <w:spacing w:line="360" w:lineRule="auto"/>
        <w:rPr>
          <w:rFonts w:hint="eastAsia" w:hAnsi="宋体" w:cs="宋体"/>
          <w:b/>
          <w:sz w:val="36"/>
          <w:szCs w:val="20"/>
        </w:rPr>
      </w:pPr>
    </w:p>
    <w:p>
      <w:pPr>
        <w:pStyle w:val="33"/>
        <w:spacing w:line="360" w:lineRule="auto"/>
        <w:rPr>
          <w:rFonts w:hint="eastAsia" w:hAnsi="宋体" w:cs="宋体"/>
          <w:b/>
          <w:sz w:val="36"/>
          <w:szCs w:val="20"/>
        </w:rPr>
      </w:pPr>
    </w:p>
    <w:p>
      <w:pPr>
        <w:pStyle w:val="33"/>
        <w:spacing w:line="360" w:lineRule="auto"/>
        <w:rPr>
          <w:rFonts w:hint="eastAsia" w:hAnsi="宋体" w:cs="宋体"/>
          <w:b/>
          <w:sz w:val="36"/>
          <w:szCs w:val="20"/>
        </w:rPr>
      </w:pPr>
    </w:p>
    <w:p>
      <w:pPr>
        <w:pStyle w:val="33"/>
        <w:spacing w:line="360" w:lineRule="auto"/>
        <w:rPr>
          <w:rFonts w:hint="eastAsia" w:hAnsi="宋体" w:cs="宋体"/>
          <w:b/>
          <w:sz w:val="36"/>
          <w:szCs w:val="20"/>
        </w:rPr>
      </w:pPr>
    </w:p>
    <w:bookmarkEnd w:id="10"/>
    <w:p>
      <w:pPr>
        <w:pStyle w:val="33"/>
        <w:numPr>
          <w:ilvl w:val="0"/>
          <w:numId w:val="2"/>
        </w:numPr>
        <w:spacing w:line="360" w:lineRule="auto"/>
        <w:jc w:val="center"/>
        <w:rPr>
          <w:rFonts w:hint="eastAsia" w:hAnsi="宋体" w:cs="宋体"/>
          <w:b/>
          <w:sz w:val="36"/>
          <w:szCs w:val="20"/>
        </w:rPr>
      </w:pPr>
      <w:r>
        <w:rPr>
          <w:rFonts w:hint="eastAsia" w:hAnsi="宋体" w:cs="宋体"/>
          <w:b/>
          <w:sz w:val="36"/>
          <w:szCs w:val="20"/>
        </w:rPr>
        <w:t>投标人须知</w:t>
      </w:r>
      <w:bookmarkEnd w:id="11"/>
    </w:p>
    <w:p>
      <w:pPr>
        <w:snapToGrid w:val="0"/>
        <w:spacing w:line="360" w:lineRule="auto"/>
        <w:jc w:val="center"/>
        <w:rPr>
          <w:rFonts w:hint="eastAsia" w:hAnsi="宋体" w:cs="宋体"/>
          <w:b/>
          <w:sz w:val="36"/>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476"/>
        <w:gridCol w:w="1447"/>
        <w:gridCol w:w="7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476"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cs="宋体"/>
                <w:b/>
                <w:sz w:val="24"/>
              </w:rPr>
            </w:pPr>
            <w:r>
              <w:rPr>
                <w:rFonts w:hint="eastAsia" w:ascii="宋体" w:hAnsi="宋体" w:cs="宋体"/>
                <w:b/>
                <w:sz w:val="24"/>
              </w:rPr>
              <w:t>序号</w:t>
            </w:r>
          </w:p>
        </w:tc>
        <w:tc>
          <w:tcPr>
            <w:tcW w:w="144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sz w:val="24"/>
              </w:rPr>
            </w:pPr>
            <w:r>
              <w:rPr>
                <w:rFonts w:hint="eastAsia" w:ascii="宋体" w:hAnsi="宋体" w:cs="宋体"/>
                <w:b/>
                <w:sz w:val="24"/>
              </w:rPr>
              <w:t>事项</w:t>
            </w:r>
          </w:p>
        </w:tc>
        <w:tc>
          <w:tcPr>
            <w:tcW w:w="702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4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r>
              <w:rPr>
                <w:rFonts w:hint="eastAsia" w:ascii="宋体" w:hAnsi="宋体" w:cs="宋体"/>
                <w:sz w:val="24"/>
              </w:rPr>
              <w:t>1</w:t>
            </w:r>
          </w:p>
        </w:tc>
        <w:tc>
          <w:tcPr>
            <w:tcW w:w="144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sz w:val="24"/>
              </w:rPr>
            </w:pPr>
            <w:r>
              <w:rPr>
                <w:rFonts w:hint="eastAsia" w:ascii="宋体" w:hAnsi="宋体" w:cs="宋体"/>
                <w:b/>
                <w:sz w:val="24"/>
              </w:rPr>
              <w:t>项目属性与核心产品</w:t>
            </w:r>
          </w:p>
        </w:tc>
        <w:tc>
          <w:tcPr>
            <w:tcW w:w="702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z w:val="24"/>
              </w:rPr>
            </w:pPr>
            <w:r>
              <w:rPr>
                <w:rFonts w:hint="eastAsia" w:ascii="宋体" w:hAnsi="宋体" w:cs="宋体"/>
                <w:sz w:val="24"/>
              </w:rPr>
              <w:t>货物类；</w:t>
            </w:r>
          </w:p>
          <w:p>
            <w:pPr>
              <w:spacing w:line="360" w:lineRule="auto"/>
              <w:rPr>
                <w:rFonts w:hint="eastAsia" w:ascii="宋体" w:hAnsi="宋体" w:cs="宋体"/>
                <w:sz w:val="24"/>
              </w:rPr>
            </w:pPr>
            <w:r>
              <w:rPr>
                <w:rFonts w:hint="eastAsia" w:ascii="宋体" w:hAnsi="宋体" w:cs="宋体"/>
                <w:sz w:val="24"/>
              </w:rPr>
              <w:t>单一产品或</w:t>
            </w:r>
            <w:r>
              <w:rPr>
                <w:rFonts w:hint="eastAsia" w:ascii="宋体" w:hAnsi="宋体" w:cs="宋体"/>
                <w:kern w:val="0"/>
                <w:sz w:val="24"/>
              </w:rPr>
              <w:t>核心产品为：</w:t>
            </w:r>
            <w:bookmarkStart w:id="21" w:name="OLE_LINK3"/>
            <w:r>
              <w:rPr>
                <w:rFonts w:hint="eastAsia" w:ascii="宋体" w:hAnsi="宋体" w:cs="宋体"/>
                <w:kern w:val="0"/>
                <w:sz w:val="24"/>
                <w:u w:val="single"/>
              </w:rPr>
              <w:t>室外P3全彩色显示屏、室内P1.53全彩色显示屏、室内P2全彩色显示屏</w:t>
            </w:r>
            <w:bookmarkEnd w:id="21"/>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4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r>
              <w:rPr>
                <w:rFonts w:hint="eastAsia" w:ascii="宋体" w:hAnsi="宋体" w:cs="宋体"/>
                <w:sz w:val="24"/>
              </w:rPr>
              <w:t>2</w:t>
            </w:r>
          </w:p>
        </w:tc>
        <w:tc>
          <w:tcPr>
            <w:tcW w:w="144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702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kern w:val="0"/>
                <w:sz w:val="24"/>
              </w:rPr>
            </w:pPr>
            <w:r>
              <w:rPr>
                <w:rFonts w:hint="eastAsia" w:ascii="宋体" w:hAnsi="宋体" w:cs="宋体"/>
                <w:sz w:val="24"/>
              </w:rPr>
              <w:t>采购标的：</w:t>
            </w:r>
            <w:r>
              <w:rPr>
                <w:rFonts w:hint="eastAsia" w:ascii="宋体" w:hAnsi="宋体" w:cs="宋体"/>
                <w:kern w:val="0"/>
                <w:sz w:val="24"/>
                <w:u w:val="single"/>
              </w:rPr>
              <w:t>室外P3全彩色显示屏、室内P1.53全彩色显示屏、室内P2全彩色显示屏、控制系统、终端控制器、视频拼接器、散热系统</w:t>
            </w:r>
            <w:r>
              <w:rPr>
                <w:rFonts w:hint="eastAsia" w:ascii="宋体" w:hAnsi="宋体" w:cs="宋体"/>
                <w:kern w:val="0"/>
                <w:sz w:val="24"/>
              </w:rPr>
              <w:t>；</w:t>
            </w:r>
          </w:p>
          <w:p>
            <w:pPr>
              <w:spacing w:line="360" w:lineRule="auto"/>
              <w:rPr>
                <w:rFonts w:hint="eastAsia" w:ascii="宋体" w:hAnsi="宋体" w:cs="宋体"/>
                <w:sz w:val="24"/>
              </w:rPr>
            </w:pPr>
            <w:r>
              <w:rPr>
                <w:rFonts w:hint="eastAsia" w:ascii="宋体" w:hAnsi="宋体" w:cs="宋体"/>
                <w:sz w:val="24"/>
              </w:rPr>
              <w:t>所属行业：</w:t>
            </w:r>
            <w:r>
              <w:rPr>
                <w:rFonts w:hint="eastAsia" w:ascii="宋体" w:hAnsi="宋体" w:cs="宋体"/>
                <w:sz w:val="24"/>
                <w:u w:val="single"/>
              </w:rPr>
              <w:t xml:space="preserve"> 工业 </w:t>
            </w:r>
            <w:r>
              <w:rPr>
                <w:rFonts w:hint="eastAsia" w:ascii="宋体" w:hAnsi="宋体" w:cs="宋体"/>
                <w:sz w:val="24"/>
              </w:rPr>
              <w:t>。</w:t>
            </w:r>
          </w:p>
          <w:p>
            <w:pPr>
              <w:spacing w:line="360" w:lineRule="auto"/>
              <w:rPr>
                <w:rFonts w:hint="eastAsia" w:ascii="宋体" w:hAnsi="宋体" w:cs="宋体"/>
                <w:sz w:val="24"/>
              </w:rPr>
            </w:pPr>
            <w:r>
              <w:rPr>
                <w:rFonts w:hint="eastAsia" w:ascii="宋体" w:hAnsi="宋体" w:cs="宋体"/>
                <w:b/>
                <w:bCs/>
                <w:kern w:val="0"/>
                <w:sz w:val="24"/>
              </w:rPr>
              <w:t>注：中小企业划型标准详见附件8。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4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r>
              <w:rPr>
                <w:rFonts w:hint="eastAsia" w:ascii="宋体" w:hAnsi="宋体" w:cs="宋体"/>
                <w:sz w:val="24"/>
              </w:rPr>
              <w:t>3</w:t>
            </w:r>
          </w:p>
        </w:tc>
        <w:tc>
          <w:tcPr>
            <w:tcW w:w="144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sz w:val="24"/>
              </w:rPr>
            </w:pPr>
            <w:r>
              <w:rPr>
                <w:rFonts w:hint="eastAsia" w:ascii="宋体" w:hAnsi="宋体" w:cs="宋体"/>
                <w:b/>
                <w:sz w:val="24"/>
              </w:rPr>
              <w:t>是否允许采购进口产品</w:t>
            </w:r>
          </w:p>
        </w:tc>
        <w:tc>
          <w:tcPr>
            <w:tcW w:w="702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hint="eastAsia"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采购进口产品。优先采购向我国企业转让技术、与我国企业签订消化吸收再创新方案的供应商的进口产品，详见</w:t>
            </w:r>
            <w:r>
              <w:rPr>
                <w:rFonts w:hint="eastAsia" w:ascii="宋体" w:hAnsi="宋体" w:cs="宋体"/>
                <w:kern w:val="0"/>
                <w:sz w:val="24"/>
                <w:u w:val="single"/>
              </w:rPr>
              <w:t>评分标准</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4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4</w:t>
            </w:r>
          </w:p>
        </w:tc>
        <w:tc>
          <w:tcPr>
            <w:tcW w:w="144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cs="宋体"/>
                <w:b/>
                <w:sz w:val="24"/>
              </w:rPr>
            </w:pPr>
            <w:r>
              <w:rPr>
                <w:rFonts w:hint="eastAsia" w:ascii="宋体" w:hAnsi="宋体" w:cs="宋体"/>
                <w:b/>
                <w:sz w:val="24"/>
              </w:rPr>
              <w:t>分包</w:t>
            </w:r>
          </w:p>
        </w:tc>
        <w:tc>
          <w:tcPr>
            <w:tcW w:w="702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运输、安装   </w:t>
            </w:r>
            <w:r>
              <w:rPr>
                <w:rFonts w:hint="eastAsia" w:ascii="宋体" w:hAnsi="宋体" w:cs="宋体"/>
                <w:sz w:val="24"/>
              </w:rPr>
              <w:t>工作分包。</w:t>
            </w:r>
          </w:p>
          <w:p>
            <w:pPr>
              <w:spacing w:line="360" w:lineRule="auto"/>
              <w:rPr>
                <w:rFonts w:hint="eastAsia" w:ascii="宋体" w:hAnsi="宋体" w:cs="宋体"/>
                <w:sz w:val="24"/>
              </w:rPr>
            </w:pP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hint="eastAsia"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0" w:hRule="atLeast"/>
          <w:tblHeader/>
        </w:trPr>
        <w:tc>
          <w:tcPr>
            <w:tcW w:w="4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5</w:t>
            </w:r>
          </w:p>
        </w:tc>
        <w:tc>
          <w:tcPr>
            <w:tcW w:w="144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sz w:val="24"/>
              </w:rPr>
            </w:pPr>
            <w:r>
              <w:rPr>
                <w:rFonts w:hint="eastAsia" w:ascii="宋体" w:hAnsi="宋体" w:cs="宋体"/>
                <w:b/>
                <w:sz w:val="24"/>
              </w:rPr>
              <w:t>开标前答疑会或现场考察</w:t>
            </w:r>
          </w:p>
        </w:tc>
        <w:tc>
          <w:tcPr>
            <w:tcW w:w="702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hint="eastAsia"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p>
            <w:pPr>
              <w:spacing w:line="360" w:lineRule="auto"/>
              <w:rPr>
                <w:rFonts w:hint="eastAsia" w:ascii="宋体" w:hAnsi="宋体" w:cs="宋体"/>
                <w:sz w:val="24"/>
                <w:szCs w:val="20"/>
              </w:rPr>
            </w:pPr>
            <w:sdt>
              <w:sdtPr>
                <w:rPr>
                  <w:rFonts w:hint="eastAsia" w:ascii="宋体" w:hAnsi="宋体" w:cs="宋体"/>
                  <w:kern w:val="0"/>
                  <w:sz w:val="24"/>
                </w:rPr>
                <w:id w:val="1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sz w:val="24"/>
              </w:rPr>
              <w:t>C不统一组织，供应商在获取采购文件后，自行至项目现场考察。地点：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sz w:val="24"/>
                <w:szCs w:val="3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4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6</w:t>
            </w:r>
          </w:p>
        </w:tc>
        <w:tc>
          <w:tcPr>
            <w:tcW w:w="144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sz w:val="24"/>
              </w:rPr>
            </w:pPr>
            <w:r>
              <w:rPr>
                <w:rFonts w:hint="eastAsia" w:ascii="宋体" w:hAnsi="宋体" w:cs="宋体"/>
                <w:b/>
                <w:sz w:val="24"/>
              </w:rPr>
              <w:t>样品提供</w:t>
            </w:r>
          </w:p>
        </w:tc>
        <w:tc>
          <w:tcPr>
            <w:tcW w:w="702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z w:val="24"/>
              </w:rPr>
            </w:pPr>
            <w:sdt>
              <w:sdtPr>
                <w:rPr>
                  <w:rFonts w:hint="eastAsia"/>
                </w:rPr>
                <w:id w:val="-1639946486"/>
                <w14:checkbox>
                  <w14:checked w14:val="1"/>
                  <w14:checkedState w14:val="00FE" w14:font="Wingdings"/>
                  <w14:uncheckedState w14:val="2610" w14:font="MS Gothic"/>
                </w14:checkbox>
              </w:sdtPr>
              <w:sdtEndPr>
                <w:rPr>
                  <w:rFonts w:hint="eastAsia" w:ascii="宋体" w:hAnsi="宋体" w:cs="宋体"/>
                  <w:sz w:val="24"/>
                </w:rPr>
              </w:sdtEndPr>
              <w:sdtContent>
                <w:r>
                  <w:rPr>
                    <w:rFonts w:hint="eastAsia" w:ascii="Wingdings" w:hAnsi="Wingdings" w:cs="宋体"/>
                    <w:sz w:val="24"/>
                  </w:rPr>
                  <w:t>þ</w:t>
                </w:r>
              </w:sdtContent>
            </w:sdt>
            <w:r>
              <w:rPr>
                <w:rFonts w:hint="eastAsia" w:ascii="宋体" w:hAnsi="宋体" w:cs="宋体"/>
                <w:sz w:val="24"/>
              </w:rPr>
              <w:t>A不要求提供。</w:t>
            </w:r>
          </w:p>
          <w:p>
            <w:pPr>
              <w:spacing w:line="360" w:lineRule="auto"/>
              <w:rPr>
                <w:rFonts w:hint="eastAsia" w:ascii="宋体" w:hAnsi="宋体" w:cs="宋体"/>
                <w:sz w:val="24"/>
              </w:rPr>
            </w:pPr>
            <w:sdt>
              <w:sdtPr>
                <w:rPr>
                  <w:rFonts w:hint="eastAsia" w:ascii="宋体" w:hAnsi="宋体" w:cs="宋体"/>
                  <w:sz w:val="24"/>
                </w:rPr>
                <w:id w:val="1026831988"/>
                <w14:checkbox>
                  <w14:checked w14:val="0"/>
                  <w14:checkedState w14:val="00FE" w14:font="Wingdings"/>
                  <w14:uncheckedState w14:val="2610" w14:font="MS Gothic"/>
                </w14:checkbox>
              </w:sdtPr>
              <w:sdtEndPr>
                <w:rPr>
                  <w:rFonts w:hint="eastAsia" w:ascii="宋体" w:hAnsi="宋体" w:cs="宋体"/>
                  <w:sz w:val="24"/>
                </w:rPr>
              </w:sdtEndPr>
              <w:sdtContent>
                <w:r>
                  <w:rPr>
                    <w:rFonts w:hint="eastAsia" w:ascii="MS Gothic" w:hAnsi="MS Gothic" w:cs="宋体"/>
                    <w:sz w:val="24"/>
                  </w:rPr>
                  <w:t>☐</w:t>
                </w:r>
              </w:sdtContent>
            </w:sdt>
            <w:r>
              <w:rPr>
                <w:rFonts w:hint="eastAsia" w:ascii="宋体" w:hAnsi="宋体" w:cs="宋体"/>
                <w:sz w:val="24"/>
              </w:rPr>
              <w:t>B要求提供（</w:t>
            </w:r>
            <w:r>
              <w:rPr>
                <w:rFonts w:hint="eastAsia" w:ascii="宋体" w:hAnsi="宋体" w:cs="宋体"/>
                <w:b/>
                <w:bCs/>
                <w:sz w:val="24"/>
              </w:rPr>
              <w:t>未提供样品或提供样品不满足采购需求实质性条件的供应商，投标无效</w:t>
            </w:r>
            <w:r>
              <w:rPr>
                <w:rFonts w:hint="eastAsia" w:ascii="宋体" w:hAnsi="宋体" w:cs="宋体"/>
                <w:sz w:val="24"/>
              </w:rPr>
              <w:t>）：</w:t>
            </w:r>
          </w:p>
          <w:p>
            <w:pPr>
              <w:spacing w:line="360" w:lineRule="auto"/>
              <w:ind w:firstLine="1200" w:firstLineChars="500"/>
              <w:rPr>
                <w:rFonts w:hint="eastAsia" w:ascii="宋体" w:hAnsi="宋体" w:cs="宋体"/>
                <w:kern w:val="0"/>
                <w:sz w:val="24"/>
              </w:rPr>
            </w:pPr>
            <w:r>
              <w:rPr>
                <w:rFonts w:hint="eastAsia" w:ascii="宋体" w:hAnsi="宋体" w:cs="宋体"/>
                <w:snapToGrid w:val="0"/>
                <w:kern w:val="28"/>
                <w:sz w:val="24"/>
              </w:rPr>
              <w:t>样品：</w:t>
            </w:r>
            <w:r>
              <w:rPr>
                <w:rFonts w:hint="eastAsia" w:ascii="宋体" w:hAnsi="宋体" w:cs="宋体"/>
                <w:snapToGrid w:val="0"/>
                <w:kern w:val="28"/>
                <w:sz w:val="24"/>
                <w:u w:val="single"/>
              </w:rPr>
              <w:t xml:space="preserve">     </w:t>
            </w:r>
          </w:p>
          <w:p>
            <w:pPr>
              <w:spacing w:line="360" w:lineRule="auto"/>
              <w:rPr>
                <w:rFonts w:hint="eastAsia"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hint="eastAsia" w:ascii="宋体" w:hAnsi="宋体" w:cs="宋体"/>
                <w:kern w:val="0"/>
                <w:sz w:val="24"/>
              </w:rPr>
            </w:pPr>
            <w:r>
              <w:rPr>
                <w:rFonts w:hint="eastAsia" w:ascii="宋体" w:hAnsi="宋体" w:cs="宋体"/>
                <w:kern w:val="0"/>
                <w:sz w:val="24"/>
              </w:rPr>
              <w:t>（3）样品的评审方法以及评审标准：</w:t>
            </w:r>
          </w:p>
          <w:p>
            <w:pPr>
              <w:spacing w:line="360" w:lineRule="auto"/>
              <w:ind w:firstLine="240" w:firstLineChars="100"/>
              <w:rPr>
                <w:rFonts w:hint="eastAsia" w:ascii="宋体" w:hAnsi="宋体" w:cs="宋体"/>
                <w:sz w:val="24"/>
              </w:rPr>
            </w:pPr>
            <w:sdt>
              <w:sdtPr>
                <w:rPr>
                  <w:rFonts w:hint="eastAsia" w:ascii="宋体" w:hAnsi="宋体" w:cs="宋体"/>
                  <w:kern w:val="0"/>
                  <w:sz w:val="24"/>
                </w:rPr>
                <w:id w:val="-135009224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sz w:val="24"/>
              </w:rPr>
              <w:t>样品分未超过价格分的50%；</w:t>
            </w:r>
          </w:p>
          <w:p>
            <w:pPr>
              <w:spacing w:line="360" w:lineRule="auto"/>
              <w:ind w:firstLine="240" w:firstLineChars="100"/>
              <w:rPr>
                <w:rFonts w:hint="eastAsia" w:ascii="宋体" w:hAnsi="宋体" w:cs="宋体"/>
                <w:kern w:val="0"/>
                <w:sz w:val="24"/>
              </w:rPr>
            </w:pPr>
            <w:sdt>
              <w:sdtPr>
                <w:rPr>
                  <w:rFonts w:hint="eastAsia" w:ascii="宋体" w:hAnsi="宋体" w:cs="宋体"/>
                  <w:kern w:val="0"/>
                  <w:sz w:val="24"/>
                </w:rPr>
                <w:id w:val="-148554041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样品分超过价格分的50%，理由</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w:t>
            </w:r>
          </w:p>
          <w:p>
            <w:pPr>
              <w:spacing w:line="360" w:lineRule="auto"/>
              <w:ind w:firstLine="240" w:firstLineChars="100"/>
              <w:rPr>
                <w:rFonts w:hint="eastAsia" w:ascii="宋体" w:hAnsi="宋体" w:cs="宋体"/>
                <w:kern w:val="0"/>
                <w:sz w:val="24"/>
              </w:rPr>
            </w:pPr>
            <w:r>
              <w:rPr>
                <w:rFonts w:hint="eastAsia" w:ascii="宋体" w:hAnsi="宋体" w:cs="宋体"/>
                <w:snapToGrid w:val="0"/>
                <w:kern w:val="28"/>
                <w:sz w:val="24"/>
              </w:rPr>
              <w:t>详见招标文件第四部分</w:t>
            </w:r>
            <w:r>
              <w:rPr>
                <w:rFonts w:hint="eastAsia" w:ascii="宋体" w:hAnsi="宋体" w:cs="宋体"/>
                <w:sz w:val="24"/>
                <w:u w:val="single"/>
              </w:rPr>
              <w:t>评标办法</w:t>
            </w:r>
            <w:r>
              <w:rPr>
                <w:rFonts w:hint="eastAsia" w:ascii="宋体" w:hAnsi="宋体" w:cs="宋体"/>
                <w:kern w:val="0"/>
                <w:sz w:val="24"/>
              </w:rPr>
              <w:t xml:space="preserve">。 </w:t>
            </w:r>
          </w:p>
          <w:p>
            <w:pPr>
              <w:spacing w:line="360" w:lineRule="auto"/>
              <w:rPr>
                <w:rFonts w:hint="eastAsia"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hint="eastAsia" w:ascii="宋体" w:hAnsi="宋体" w:cs="宋体"/>
                <w:sz w:val="24"/>
              </w:rPr>
            </w:pPr>
            <w:r>
              <w:rPr>
                <w:rFonts w:hint="eastAsia" w:ascii="宋体" w:hAnsi="宋体" w:cs="宋体"/>
                <w:sz w:val="24"/>
              </w:rPr>
              <w:t>（5）提供样品的时间</w:t>
            </w:r>
            <w:r>
              <w:rPr>
                <w:rFonts w:hint="eastAsia" w:ascii="宋体" w:hAnsi="宋体" w:cs="宋体"/>
                <w:sz w:val="24"/>
                <w:u w:val="single"/>
              </w:rPr>
              <w:t>：</w:t>
            </w:r>
            <w:r>
              <w:rPr>
                <w:rFonts w:hint="eastAsia" w:ascii="宋体" w:hAnsi="宋体" w:cs="宋体"/>
                <w:b/>
                <w:bCs/>
                <w:sz w:val="24"/>
                <w:u w:val="single"/>
              </w:rPr>
              <w:t xml:space="preserve">  </w:t>
            </w:r>
            <w:r>
              <w:rPr>
                <w:rFonts w:hint="eastAsia" w:ascii="宋体" w:hAnsi="宋体" w:cs="宋体"/>
                <w:kern w:val="0"/>
                <w:sz w:val="24"/>
              </w:rPr>
              <w:t>；地点</w:t>
            </w:r>
            <w:r>
              <w:rPr>
                <w:rFonts w:hint="eastAsia" w:ascii="宋体" w:hAnsi="宋体" w:cs="宋体"/>
                <w:kern w:val="0"/>
                <w:sz w:val="24"/>
                <w:u w:val="single"/>
              </w:rPr>
              <w:t xml:space="preserve">： </w:t>
            </w:r>
            <w:r>
              <w:rPr>
                <w:rFonts w:hint="eastAsia" w:ascii="宋体" w:hAnsi="宋体" w:cs="宋体"/>
                <w:sz w:val="24"/>
                <w:u w:val="single"/>
              </w:rPr>
              <w:t>；</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b/>
                <w:bCs/>
                <w:sz w:val="24"/>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4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7</w:t>
            </w:r>
          </w:p>
        </w:tc>
        <w:tc>
          <w:tcPr>
            <w:tcW w:w="144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Cs/>
                <w:sz w:val="24"/>
              </w:rPr>
            </w:pPr>
            <w:r>
              <w:rPr>
                <w:rFonts w:hint="eastAsia" w:ascii="宋体" w:hAnsi="宋体" w:cs="宋体"/>
                <w:b/>
                <w:sz w:val="24"/>
              </w:rPr>
              <w:t>方案讲解演示</w:t>
            </w:r>
          </w:p>
        </w:tc>
        <w:tc>
          <w:tcPr>
            <w:tcW w:w="702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z w:val="24"/>
              </w:rPr>
            </w:pPr>
            <w:sdt>
              <w:sdtPr>
                <w:rPr>
                  <w:rFonts w:hint="eastAsia" w:ascii="宋体" w:hAnsi="宋体" w:cs="宋体"/>
                  <w:kern w:val="0"/>
                  <w:sz w:val="24"/>
                </w:rPr>
                <w:id w:val="-185934854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hint="eastAsia" w:ascii="宋体" w:hAnsi="宋体" w:cs="宋体"/>
                <w:kern w:val="0"/>
                <w:sz w:val="24"/>
              </w:rPr>
            </w:pPr>
            <w:sdt>
              <w:sdtPr>
                <w:rPr>
                  <w:rFonts w:hint="eastAsia" w:ascii="宋体" w:hAnsi="宋体" w:cs="宋体"/>
                  <w:kern w:val="0"/>
                  <w:sz w:val="24"/>
                </w:rPr>
                <w:id w:val="11740717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B组织。</w:t>
            </w:r>
          </w:p>
          <w:p>
            <w:pPr>
              <w:snapToGrid w:val="0"/>
              <w:spacing w:line="360" w:lineRule="auto"/>
              <w:rPr>
                <w:rFonts w:hint="eastAsia" w:ascii="宋体" w:hAnsi="宋体" w:cs="宋体"/>
                <w:kern w:val="0"/>
                <w:sz w:val="24"/>
              </w:rPr>
            </w:pPr>
            <w:r>
              <w:rPr>
                <w:rFonts w:hint="eastAsia" w:ascii="宋体" w:hAnsi="宋体" w:cs="宋体"/>
                <w:kern w:val="0"/>
                <w:sz w:val="24"/>
              </w:rPr>
              <w:t>产品演示注意事项：</w:t>
            </w:r>
          </w:p>
          <w:p>
            <w:pPr>
              <w:snapToGrid w:val="0"/>
              <w:spacing w:line="360" w:lineRule="auto"/>
            </w:pPr>
            <w:r>
              <w:rPr>
                <w:rFonts w:hint="eastAsia" w:ascii="宋体" w:hAnsi="宋体" w:cs="宋体"/>
                <w:kern w:val="0"/>
                <w:sz w:val="24"/>
              </w:rPr>
              <w:t>演示产品为</w:t>
            </w:r>
            <w:r>
              <w:rPr>
                <w:rFonts w:hint="eastAsia" w:ascii="宋体" w:hAnsi="宋体" w:cs="宋体"/>
                <w:b/>
                <w:bCs/>
                <w:kern w:val="0"/>
                <w:sz w:val="24"/>
                <w:u w:val="single"/>
              </w:rPr>
              <w:t>①室内P2全彩色显示箱体，</w:t>
            </w:r>
            <w:r>
              <w:rPr>
                <w:rFonts w:hint="eastAsia" w:ascii="宋体" w:hAnsi="宋体" w:cs="宋体"/>
                <w:b/>
                <w:bCs/>
                <w:kern w:val="0"/>
                <w:sz w:val="24"/>
                <w:u w:val="single"/>
                <w:lang w:val="en-US" w:eastAsia="zh-CN"/>
              </w:rPr>
              <w:t>尺寸：≤640MM * 480MM（或面积≤0.31平方米），</w:t>
            </w:r>
            <w:r>
              <w:rPr>
                <w:rFonts w:hint="eastAsia" w:ascii="宋体" w:hAnsi="宋体" w:cs="宋体"/>
                <w:b/>
                <w:bCs/>
                <w:kern w:val="0"/>
                <w:sz w:val="24"/>
                <w:u w:val="single"/>
              </w:rPr>
              <w:t>数量：1个；②室内P1.53全彩色显示箱体，</w:t>
            </w:r>
            <w:r>
              <w:rPr>
                <w:rFonts w:hint="eastAsia" w:ascii="宋体" w:hAnsi="宋体" w:cs="宋体"/>
                <w:b/>
                <w:bCs/>
                <w:kern w:val="0"/>
                <w:sz w:val="24"/>
                <w:u w:val="single"/>
                <w:lang w:val="en-US" w:eastAsia="zh-CN"/>
              </w:rPr>
              <w:t>≤640MM * 480MM（或面积≤0.31平方米），</w:t>
            </w:r>
            <w:r>
              <w:rPr>
                <w:rFonts w:hint="eastAsia" w:ascii="宋体" w:hAnsi="宋体" w:cs="宋体"/>
                <w:b/>
                <w:bCs/>
                <w:kern w:val="0"/>
                <w:sz w:val="24"/>
                <w:u w:val="single"/>
              </w:rPr>
              <w:t>数量：1个</w:t>
            </w:r>
            <w:r>
              <w:rPr>
                <w:rFonts w:hint="eastAsia" w:ascii="宋体" w:hAnsi="宋体" w:cs="宋体"/>
                <w:b/>
                <w:bCs/>
                <w:kern w:val="0"/>
                <w:sz w:val="24"/>
              </w:rPr>
              <w:t>。</w:t>
            </w:r>
          </w:p>
          <w:p>
            <w:pPr>
              <w:snapToGrid w:val="0"/>
              <w:spacing w:line="360" w:lineRule="auto"/>
              <w:rPr>
                <w:rFonts w:hint="eastAsia" w:ascii="宋体" w:hAnsi="宋体" w:cs="宋体"/>
                <w:kern w:val="0"/>
                <w:sz w:val="24"/>
              </w:rPr>
            </w:pPr>
            <w:r>
              <w:rPr>
                <w:rFonts w:hint="eastAsia" w:ascii="宋体" w:hAnsi="宋体" w:cs="宋体"/>
                <w:kern w:val="0"/>
                <w:sz w:val="24"/>
              </w:rPr>
              <w:t xml:space="preserve">1）本项目需进行产品演示，具体要求见招标文件“评标办法”中评标标准相关内容。 </w:t>
            </w:r>
          </w:p>
          <w:p>
            <w:pPr>
              <w:snapToGrid w:val="0"/>
              <w:spacing w:line="360" w:lineRule="auto"/>
              <w:rPr>
                <w:rFonts w:hint="eastAsia" w:ascii="宋体" w:hAnsi="宋体" w:cs="宋体"/>
                <w:kern w:val="0"/>
                <w:sz w:val="24"/>
              </w:rPr>
            </w:pPr>
            <w:r>
              <w:rPr>
                <w:rFonts w:hint="eastAsia" w:ascii="宋体" w:hAnsi="宋体" w:cs="宋体"/>
                <w:kern w:val="0"/>
                <w:sz w:val="24"/>
              </w:rPr>
              <w:t>2）演示顺序按投标文件解密先后次序进行，投标单位于开标当天按演示顺序进行产品演示，演示内容须根据评标标准顺序逐一演示，总时间不超过</w:t>
            </w:r>
            <w:r>
              <w:rPr>
                <w:rFonts w:ascii="宋体" w:hAnsi="宋体" w:cs="宋体"/>
                <w:kern w:val="0"/>
                <w:sz w:val="24"/>
              </w:rPr>
              <w:t>20</w:t>
            </w:r>
            <w:r>
              <w:rPr>
                <w:rFonts w:hint="eastAsia" w:ascii="宋体" w:hAnsi="宋体" w:cs="宋体"/>
                <w:kern w:val="0"/>
                <w:sz w:val="24"/>
              </w:rPr>
              <w:t>分钟，演示参与人员不超过3人。</w:t>
            </w:r>
          </w:p>
          <w:p>
            <w:pPr>
              <w:snapToGrid w:val="0"/>
              <w:spacing w:line="360" w:lineRule="auto"/>
              <w:rPr>
                <w:rFonts w:hint="eastAsia" w:ascii="宋体" w:hAnsi="宋体" w:cs="宋体"/>
                <w:b/>
                <w:bCs/>
                <w:kern w:val="0"/>
                <w:sz w:val="24"/>
              </w:rPr>
            </w:pPr>
            <w:r>
              <w:rPr>
                <w:rFonts w:hint="eastAsia" w:ascii="宋体" w:hAnsi="宋体" w:cs="宋体"/>
                <w:b/>
                <w:bCs/>
                <w:kern w:val="0"/>
                <w:sz w:val="24"/>
              </w:rPr>
              <w:t>3）投标人未提供产品演示的或提供演示的产品不全的，所有演示分得0分。</w:t>
            </w:r>
          </w:p>
          <w:p>
            <w:pPr>
              <w:snapToGrid w:val="0"/>
              <w:spacing w:line="360" w:lineRule="auto"/>
              <w:rPr>
                <w:rFonts w:hint="eastAsia" w:ascii="宋体" w:hAnsi="宋体" w:cs="宋体"/>
                <w:kern w:val="0"/>
                <w:sz w:val="24"/>
              </w:rPr>
            </w:pPr>
            <w:r>
              <w:rPr>
                <w:rFonts w:hint="eastAsia" w:ascii="宋体" w:hAnsi="宋体" w:cs="宋体"/>
                <w:kern w:val="0"/>
                <w:sz w:val="24"/>
              </w:rPr>
              <w:t>4）演示前专家将核对所演示产品与投标文件所投产品品牌型号是否一致，不一致的所有演示分得0分。</w:t>
            </w:r>
          </w:p>
          <w:p>
            <w:pPr>
              <w:snapToGrid w:val="0"/>
              <w:spacing w:line="360" w:lineRule="auto"/>
              <w:rPr>
                <w:rFonts w:hint="eastAsia" w:ascii="宋体" w:hAnsi="宋体" w:cs="宋体"/>
                <w:b/>
                <w:bCs/>
                <w:kern w:val="0"/>
                <w:sz w:val="24"/>
                <w:highlight w:val="yellow"/>
              </w:rPr>
            </w:pPr>
            <w:r>
              <w:rPr>
                <w:rFonts w:hint="eastAsia" w:ascii="宋体" w:hAnsi="宋体" w:cs="宋体"/>
                <w:kern w:val="0"/>
                <w:sz w:val="24"/>
              </w:rPr>
              <w:t>5)</w:t>
            </w:r>
            <w:r>
              <w:rPr>
                <w:rFonts w:hint="eastAsia" w:ascii="宋体" w:hAnsi="宋体" w:cs="宋体"/>
                <w:b/>
                <w:kern w:val="0"/>
                <w:sz w:val="24"/>
              </w:rPr>
              <w:t>演示产品请于</w:t>
            </w:r>
            <w:r>
              <w:rPr>
                <w:rFonts w:hint="eastAsia" w:ascii="宋体" w:hAnsi="宋体" w:cs="宋体"/>
                <w:b/>
                <w:sz w:val="24"/>
                <w:u w:val="single"/>
              </w:rPr>
              <w:t>2025年</w:t>
            </w:r>
            <w:r>
              <w:rPr>
                <w:rFonts w:hint="eastAsia" w:ascii="宋体" w:hAnsi="宋体" w:cs="宋体"/>
                <w:b/>
                <w:sz w:val="24"/>
                <w:u w:val="single"/>
                <w:lang w:val="en-US" w:eastAsia="zh-CN"/>
              </w:rPr>
              <w:t>7</w:t>
            </w:r>
            <w:r>
              <w:rPr>
                <w:rFonts w:hint="eastAsia" w:ascii="宋体" w:hAnsi="宋体" w:cs="宋体"/>
                <w:b/>
                <w:sz w:val="24"/>
                <w:u w:val="single"/>
              </w:rPr>
              <w:t>月</w:t>
            </w:r>
            <w:r>
              <w:rPr>
                <w:rFonts w:hint="eastAsia" w:ascii="宋体" w:hAnsi="宋体" w:cs="宋体"/>
                <w:b/>
                <w:sz w:val="24"/>
                <w:highlight w:val="none"/>
                <w:u w:val="single"/>
                <w:lang w:val="en-US" w:eastAsia="zh-CN"/>
              </w:rPr>
              <w:t>23日</w:t>
            </w:r>
            <w:r>
              <w:rPr>
                <w:rFonts w:ascii="宋体" w:hAnsi="宋体" w:cs="宋体"/>
                <w:b/>
                <w:sz w:val="24"/>
                <w:u w:val="single"/>
              </w:rPr>
              <w:t>09:00-10:00</w:t>
            </w:r>
            <w:r>
              <w:rPr>
                <w:rFonts w:hint="eastAsia" w:ascii="宋体" w:hAnsi="宋体" w:cs="宋体"/>
                <w:b/>
                <w:kern w:val="0"/>
                <w:sz w:val="24"/>
              </w:rPr>
              <w:t>；地点：</w:t>
            </w:r>
            <w:r>
              <w:rPr>
                <w:rFonts w:hint="eastAsia" w:ascii="宋体" w:hAnsi="宋体" w:cs="宋体"/>
                <w:b/>
                <w:kern w:val="0"/>
                <w:sz w:val="24"/>
                <w:u w:val="single"/>
              </w:rPr>
              <w:t xml:space="preserve"> 杭州市西湖区文一西路858号东楼313样品间 </w:t>
            </w:r>
            <w:r>
              <w:rPr>
                <w:rFonts w:hint="eastAsia" w:ascii="宋体" w:hAnsi="宋体" w:cs="宋体"/>
                <w:b/>
                <w:kern w:val="0"/>
                <w:sz w:val="24"/>
              </w:rPr>
              <w:t>；联系人：</w:t>
            </w:r>
            <w:r>
              <w:rPr>
                <w:rFonts w:hint="eastAsia" w:ascii="宋体" w:hAnsi="宋体" w:cs="宋体"/>
                <w:b/>
                <w:sz w:val="24"/>
                <w:u w:val="single"/>
              </w:rPr>
              <w:t xml:space="preserve"> </w:t>
            </w:r>
            <w:r>
              <w:rPr>
                <w:rFonts w:hint="eastAsia" w:ascii="宋体" w:hAnsi="宋体" w:cs="宋体"/>
                <w:b/>
                <w:sz w:val="24"/>
                <w:u w:val="single"/>
                <w:lang w:val="en-US" w:eastAsia="zh-CN"/>
              </w:rPr>
              <w:t>郭笑双</w:t>
            </w:r>
            <w:r>
              <w:rPr>
                <w:rFonts w:hint="eastAsia" w:ascii="宋体" w:hAnsi="宋体" w:cs="宋体"/>
                <w:b/>
                <w:bCs/>
                <w:kern w:val="0"/>
                <w:sz w:val="24"/>
              </w:rPr>
              <w:t>，联系电话：</w:t>
            </w:r>
            <w:r>
              <w:rPr>
                <w:rFonts w:hint="eastAsia" w:ascii="宋体" w:hAnsi="宋体" w:cs="宋体"/>
                <w:b/>
                <w:bCs/>
                <w:sz w:val="24"/>
                <w:u w:val="single"/>
              </w:rPr>
              <w:t xml:space="preserve"> </w:t>
            </w:r>
            <w:r>
              <w:rPr>
                <w:rFonts w:hint="eastAsia" w:ascii="宋体" w:hAnsi="宋体" w:cs="宋体"/>
                <w:b/>
                <w:bCs/>
                <w:sz w:val="24"/>
                <w:u w:val="single"/>
                <w:lang w:val="en-US" w:eastAsia="zh-CN"/>
              </w:rPr>
              <w:t>18768424937</w:t>
            </w:r>
            <w:r>
              <w:rPr>
                <w:rFonts w:hint="eastAsia" w:ascii="宋体" w:hAnsi="宋体" w:cs="宋体"/>
                <w:b/>
                <w:bCs/>
                <w:kern w:val="0"/>
                <w:sz w:val="24"/>
              </w:rPr>
              <w:t>。</w:t>
            </w:r>
            <w:r>
              <w:rPr>
                <w:rFonts w:hint="eastAsia" w:ascii="宋体" w:hAnsi="宋体" w:cs="宋体"/>
                <w:sz w:val="24"/>
              </w:rPr>
              <w:t>请投标人在上述时间内提供演示设备，按规定位置安装完毕</w:t>
            </w:r>
            <w:r>
              <w:rPr>
                <w:rFonts w:hint="eastAsia" w:ascii="宋体" w:hAnsi="宋体" w:cs="宋体"/>
                <w:b/>
                <w:bCs/>
                <w:kern w:val="0"/>
                <w:sz w:val="24"/>
              </w:rPr>
              <w:t>并自行调制至可演示状态</w:t>
            </w:r>
            <w:r>
              <w:rPr>
                <w:rFonts w:hint="eastAsia" w:ascii="宋体" w:hAnsi="宋体" w:cs="宋体"/>
                <w:sz w:val="24"/>
              </w:rPr>
              <w:t>。超过截止时间的，采购人将不予接收。</w:t>
            </w:r>
            <w:r>
              <w:rPr>
                <w:rFonts w:hint="eastAsia" w:ascii="宋体" w:hAnsi="宋体" w:cs="宋体"/>
                <w:b/>
                <w:bCs/>
                <w:kern w:val="0"/>
                <w:sz w:val="24"/>
              </w:rPr>
              <w:t>现场讲解演示所用设备（包含电脑、插线板、无线网络接入等）由投标人自备，演示所需环境由投标人自行搭建，采购人只提供电源接口。</w:t>
            </w:r>
          </w:p>
          <w:p>
            <w:pPr>
              <w:snapToGrid w:val="0"/>
              <w:spacing w:line="360" w:lineRule="auto"/>
              <w:rPr>
                <w:rFonts w:hint="eastAsia" w:ascii="宋体" w:hAnsi="宋体" w:cs="宋体"/>
                <w:b/>
                <w:sz w:val="24"/>
              </w:rPr>
            </w:pPr>
            <w:r>
              <w:rPr>
                <w:rFonts w:hint="eastAsia" w:ascii="宋体" w:hAnsi="宋体" w:cs="宋体"/>
                <w:b/>
                <w:kern w:val="0"/>
                <w:sz w:val="24"/>
              </w:rPr>
              <w:t>现场讲解演示人员进场时提供讲解人员名单（加盖公章或授权代表签名）及身份证明，否则不得讲解演示。</w:t>
            </w:r>
          </w:p>
          <w:p>
            <w:pPr>
              <w:spacing w:line="360" w:lineRule="auto"/>
              <w:rPr>
                <w:rFonts w:hint="eastAsia" w:ascii="宋体" w:hAnsi="宋体" w:cs="宋体"/>
                <w:sz w:val="24"/>
              </w:rPr>
            </w:pPr>
            <w:r>
              <w:rPr>
                <w:rFonts w:hint="eastAsia" w:ascii="宋体" w:hAnsi="宋体" w:cs="宋体"/>
                <w:sz w:val="24"/>
              </w:rPr>
              <w:t>6)评审完成后中标单位的产品封存于采购人处。其他演示产品评审完成后当天自行领回，逾期采购人将不予保管。</w:t>
            </w:r>
          </w:p>
          <w:p>
            <w:pPr>
              <w:snapToGrid w:val="0"/>
              <w:spacing w:line="360" w:lineRule="auto"/>
              <w:rPr>
                <w:rFonts w:hint="eastAsia" w:ascii="宋体" w:hAnsi="宋体" w:cs="宋体"/>
                <w:b/>
                <w:kern w:val="0"/>
                <w:sz w:val="24"/>
                <w:lang w:val="zh-CN"/>
              </w:rPr>
            </w:pPr>
            <w:r>
              <w:rPr>
                <w:rFonts w:hint="eastAsia" w:ascii="宋体" w:hAnsi="宋体" w:cs="宋体"/>
                <w:kern w:val="0"/>
                <w:sz w:val="24"/>
              </w:rPr>
              <w:t>注：因投标人自身原因导致</w:t>
            </w:r>
            <w:r>
              <w:rPr>
                <w:rFonts w:hint="eastAsia" w:ascii="宋体" w:hAnsi="宋体" w:cs="宋体"/>
                <w:sz w:val="24"/>
              </w:rPr>
              <w:t>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476"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8</w:t>
            </w:r>
          </w:p>
        </w:tc>
        <w:tc>
          <w:tcPr>
            <w:tcW w:w="1447"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cs="宋体"/>
                <w:b/>
                <w:sz w:val="24"/>
              </w:rPr>
            </w:pPr>
            <w:r>
              <w:rPr>
                <w:rFonts w:hint="eastAsia" w:ascii="宋体" w:hAnsi="宋体" w:cs="宋体"/>
                <w:b/>
                <w:sz w:val="24"/>
              </w:rPr>
              <w:t>投标人应当提供的资格、资信证明文件</w:t>
            </w:r>
          </w:p>
        </w:tc>
        <w:tc>
          <w:tcPr>
            <w:tcW w:w="7024"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cs="宋体"/>
                <w:sz w:val="24"/>
              </w:rPr>
            </w:pPr>
            <w:r>
              <w:rPr>
                <w:rFonts w:hint="eastAsia" w:ascii="宋体" w:hAnsi="宋体" w:cs="宋体"/>
                <w:sz w:val="24"/>
              </w:rPr>
              <w:t>（1）资格证明文件：见招标文件第二部分11.1。</w:t>
            </w:r>
          </w:p>
          <w:p>
            <w:pPr>
              <w:spacing w:line="360" w:lineRule="auto"/>
              <w:rPr>
                <w:rFonts w:hint="eastAsia"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476"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p>
        </w:tc>
        <w:tc>
          <w:tcPr>
            <w:tcW w:w="1447"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sz w:val="24"/>
              </w:rPr>
            </w:pPr>
          </w:p>
        </w:tc>
        <w:tc>
          <w:tcPr>
            <w:tcW w:w="7024"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z w:val="24"/>
              </w:rPr>
            </w:pPr>
            <w:r>
              <w:rPr>
                <w:rFonts w:hint="eastAsia" w:ascii="宋体" w:hAnsi="宋体" w:cs="宋体"/>
                <w:sz w:val="24"/>
              </w:rPr>
              <w:t>（2）资信证明文件：根据招标文件第四部分评标标准提供有效的资信证明文件。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476"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9</w:t>
            </w:r>
          </w:p>
        </w:tc>
        <w:tc>
          <w:tcPr>
            <w:tcW w:w="144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sz w:val="24"/>
              </w:rPr>
            </w:pPr>
            <w:r>
              <w:rPr>
                <w:rFonts w:hint="eastAsia" w:ascii="宋体" w:hAnsi="宋体" w:cs="宋体"/>
                <w:b/>
                <w:sz w:val="24"/>
              </w:rPr>
              <w:t>节能产品、环境标志产品</w:t>
            </w:r>
          </w:p>
        </w:tc>
        <w:tc>
          <w:tcPr>
            <w:tcW w:w="702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sz w:val="24"/>
              </w:rPr>
            </w:pPr>
            <w:r>
              <w:rPr>
                <w:rFonts w:hint="eastAsia"/>
                <w:sz w:val="24"/>
              </w:rPr>
              <w:t>采购人拟采购的产品属于品目清单范围的，采购人将依据国家确定的认证机构出具的、处于有效期之内的节能产品、环境标志产品认证证书，对获得证书的产品实施政府优先采购或强制采购。</w:t>
            </w:r>
          </w:p>
          <w:p>
            <w:pPr>
              <w:snapToGrid w:val="0"/>
              <w:spacing w:line="360" w:lineRule="auto"/>
              <w:rPr>
                <w:sz w:val="24"/>
                <w:u w:val="single"/>
              </w:rPr>
            </w:pPr>
            <w:sdt>
              <w:sdtPr>
                <w:rPr>
                  <w:rFonts w:hint="eastAsia" w:ascii="宋体" w:hAnsi="宋体" w:cs="宋体"/>
                  <w:sz w:val="24"/>
                  <w:lang w:val="zh-CN"/>
                </w:rPr>
                <w:id w:val="93515011"/>
                <w14:checkbox>
                  <w14:checked w14:val="0"/>
                  <w14:checkedState w14:val="00FE" w14:font="Wingdings"/>
                  <w14:uncheckedState w14:val="2610" w14:font="MS Gothic"/>
                </w14:checkbox>
              </w:sdtPr>
              <w:sdtEndPr>
                <w:rPr>
                  <w:rFonts w:hint="eastAsia" w:ascii="宋体" w:hAnsi="宋体" w:cs="宋体"/>
                  <w:sz w:val="24"/>
                  <w:lang w:val="zh-CN"/>
                </w:rPr>
              </w:sdtEndPr>
              <w:sdtContent>
                <w:r>
                  <w:rPr>
                    <w:rFonts w:hint="eastAsia" w:ascii="MS Gothic" w:hAnsi="MS Gothic" w:cs="宋体"/>
                    <w:sz w:val="24"/>
                    <w:lang w:val="zh-CN"/>
                  </w:rPr>
                  <w:t>☐</w:t>
                </w:r>
              </w:sdtContent>
            </w:sdt>
            <w:r>
              <w:rPr>
                <w:rFonts w:hint="eastAsia"/>
                <w:sz w:val="24"/>
              </w:rPr>
              <w:t>强制采购节能采购。产品：</w:t>
            </w:r>
            <w:r>
              <w:rPr>
                <w:rFonts w:hint="eastAsia"/>
                <w:sz w:val="24"/>
                <w:u w:val="single"/>
              </w:rPr>
              <w:t xml:space="preserve">    </w:t>
            </w:r>
            <w:r>
              <w:rPr>
                <w:rFonts w:hint="eastAsia"/>
                <w:sz w:val="24"/>
              </w:rPr>
              <w:t>。</w:t>
            </w:r>
            <w:r>
              <w:rPr>
                <w:rFonts w:hint="eastAsia" w:ascii="宋体" w:hAnsi="宋体" w:cs="宋体"/>
                <w:sz w:val="24"/>
              </w:rPr>
              <w:t>▲</w:t>
            </w:r>
            <w:r>
              <w:rPr>
                <w:rFonts w:hint="eastAsia" w:ascii="宋体" w:hAnsi="宋体" w:cs="宋体"/>
                <w:kern w:val="0"/>
                <w:sz w:val="24"/>
                <w:lang w:val="zh-CN"/>
              </w:rPr>
              <w:t>对实施政府强制采购，</w:t>
            </w:r>
            <w:r>
              <w:rPr>
                <w:rFonts w:hint="eastAsia" w:ascii="宋体" w:hAnsi="宋体" w:cs="宋体"/>
                <w:b/>
                <w:bCs/>
                <w:kern w:val="0"/>
                <w:sz w:val="24"/>
                <w:lang w:val="zh-CN"/>
              </w:rPr>
              <w:t>投标人</w:t>
            </w:r>
            <w:r>
              <w:rPr>
                <w:rFonts w:hint="eastAsia" w:ascii="宋体" w:hAnsi="宋体" w:cs="宋体"/>
                <w:b/>
                <w:bCs/>
                <w:kern w:val="0"/>
                <w:sz w:val="24"/>
              </w:rPr>
              <w:t>就</w:t>
            </w:r>
            <w:r>
              <w:rPr>
                <w:rFonts w:hint="eastAsia" w:ascii="宋体" w:hAnsi="宋体" w:cs="宋体"/>
                <w:b/>
                <w:bCs/>
                <w:kern w:val="0"/>
                <w:sz w:val="24"/>
                <w:lang w:val="zh-CN"/>
              </w:rPr>
              <w:t>相应的投标产品未</w:t>
            </w:r>
            <w:r>
              <w:rPr>
                <w:rFonts w:hint="eastAsia" w:ascii="宋体" w:hAnsi="宋体" w:cs="宋体"/>
                <w:b/>
                <w:bCs/>
                <w:kern w:val="0"/>
                <w:sz w:val="24"/>
              </w:rPr>
              <w:t>提供</w:t>
            </w:r>
            <w:r>
              <w:rPr>
                <w:rFonts w:hint="eastAsia" w:ascii="宋体" w:hAnsi="宋体" w:cs="宋体"/>
                <w:b/>
                <w:bCs/>
                <w:kern w:val="0"/>
                <w:sz w:val="24"/>
                <w:lang w:val="zh-CN"/>
              </w:rPr>
              <w:t>国家确定的认证机构出具的、处于有效期之内的节能产品认证证书的，投标无效</w:t>
            </w:r>
            <w:r>
              <w:rPr>
                <w:rFonts w:hint="eastAsia" w:ascii="宋体" w:hAnsi="宋体" w:cs="宋体"/>
                <w:kern w:val="0"/>
                <w:sz w:val="24"/>
                <w:lang w:val="zh-CN"/>
              </w:rPr>
              <w:t>。</w:t>
            </w:r>
          </w:p>
          <w:p>
            <w:pPr>
              <w:snapToGrid w:val="0"/>
              <w:spacing w:line="360" w:lineRule="auto"/>
              <w:rPr>
                <w:sz w:val="24"/>
                <w:u w:val="single"/>
              </w:rPr>
            </w:pPr>
            <w:r>
              <w:rPr>
                <w:rFonts w:hint="eastAsia"/>
                <w:sz w:val="24"/>
              </w:rPr>
              <w:t>☑优先采购节能产品。产品：</w:t>
            </w:r>
            <w:r>
              <w:rPr>
                <w:rFonts w:hint="eastAsia"/>
                <w:sz w:val="24"/>
                <w:u w:val="single"/>
              </w:rPr>
              <w:t xml:space="preserve"> </w:t>
            </w:r>
            <w:r>
              <w:rPr>
                <w:rFonts w:hint="eastAsia" w:ascii="宋体" w:hAnsi="宋体" w:cs="宋体"/>
                <w:kern w:val="0"/>
                <w:sz w:val="24"/>
                <w:u w:val="single"/>
              </w:rPr>
              <w:t>室外P3全彩色显示屏、室内P1.53全彩色显示屏、室内P2全彩色显示屏</w:t>
            </w:r>
            <w:r>
              <w:rPr>
                <w:rFonts w:hint="eastAsia"/>
                <w:sz w:val="24"/>
                <w:u w:val="single"/>
              </w:rPr>
              <w:t xml:space="preserve"> </w:t>
            </w:r>
          </w:p>
          <w:p>
            <w:pPr>
              <w:snapToGrid w:val="0"/>
              <w:spacing w:line="360" w:lineRule="auto"/>
              <w:rPr>
                <w:b/>
                <w:bCs/>
                <w:sz w:val="24"/>
                <w:u w:val="single"/>
              </w:rPr>
            </w:pPr>
            <w:r>
              <w:rPr>
                <w:rFonts w:hint="eastAsia"/>
                <w:sz w:val="24"/>
              </w:rPr>
              <w:t>☑优先采购环保产品。产品：</w:t>
            </w:r>
            <w:r>
              <w:rPr>
                <w:rFonts w:hint="eastAsia" w:ascii="宋体" w:hAnsi="宋体" w:cs="宋体"/>
                <w:kern w:val="0"/>
                <w:sz w:val="24"/>
                <w:u w:val="single"/>
              </w:rPr>
              <w:t xml:space="preserve"> 室外P3全彩色显示屏、室内P1.53全彩色显示屏、室内P2全彩色显示屏 </w:t>
            </w:r>
          </w:p>
          <w:p>
            <w:pPr>
              <w:snapToGrid w:val="0"/>
              <w:spacing w:line="360" w:lineRule="auto"/>
              <w:rPr>
                <w:rFonts w:hint="eastAsia" w:ascii="宋体" w:hAnsi="宋体" w:cs="宋体"/>
              </w:rPr>
            </w:pPr>
            <w:r>
              <w:rPr>
                <w:rFonts w:hint="eastAsia"/>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476"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10</w:t>
            </w:r>
          </w:p>
        </w:tc>
        <w:tc>
          <w:tcPr>
            <w:tcW w:w="144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sz w:val="24"/>
              </w:rPr>
            </w:pPr>
            <w:r>
              <w:rPr>
                <w:rFonts w:hint="eastAsia" w:ascii="宋体" w:hAnsi="宋体" w:cs="宋体"/>
                <w:b/>
                <w:sz w:val="24"/>
              </w:rPr>
              <w:t>报价要求</w:t>
            </w:r>
          </w:p>
        </w:tc>
        <w:tc>
          <w:tcPr>
            <w:tcW w:w="702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sz w:val="24"/>
              </w:rPr>
              <w:t>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hint="eastAsia"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hint="eastAsia"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hint="eastAsia"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94" w:hRule="atLeast"/>
          <w:tblHeader/>
        </w:trPr>
        <w:tc>
          <w:tcPr>
            <w:tcW w:w="476"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11</w:t>
            </w:r>
          </w:p>
        </w:tc>
        <w:tc>
          <w:tcPr>
            <w:tcW w:w="1447"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cs="宋体"/>
                <w:b/>
                <w:sz w:val="24"/>
              </w:rPr>
            </w:pPr>
            <w:r>
              <w:rPr>
                <w:rFonts w:hint="eastAsia" w:ascii="宋体" w:hAnsi="宋体" w:cs="宋体"/>
                <w:b/>
                <w:sz w:val="24"/>
              </w:rPr>
              <w:t>中小企业信用融资</w:t>
            </w:r>
          </w:p>
        </w:tc>
        <w:tc>
          <w:tcPr>
            <w:tcW w:w="7024"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476"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12</w:t>
            </w:r>
          </w:p>
        </w:tc>
        <w:tc>
          <w:tcPr>
            <w:tcW w:w="144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sz w:val="24"/>
              </w:rPr>
            </w:pPr>
            <w:r>
              <w:rPr>
                <w:rFonts w:hint="eastAsia" w:ascii="宋体" w:hAnsi="宋体" w:cs="宋体"/>
                <w:b/>
                <w:sz w:val="24"/>
              </w:rPr>
              <w:t xml:space="preserve">备份投标文件送达地点和签收人员 </w:t>
            </w:r>
          </w:p>
        </w:tc>
        <w:tc>
          <w:tcPr>
            <w:tcW w:w="7024"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hAnsi="宋体" w:cs="宋体"/>
                <w:kern w:val="28"/>
                <w:sz w:val="24"/>
              </w:rPr>
            </w:pPr>
            <w:r>
              <w:rPr>
                <w:rFonts w:hint="eastAsia" w:hAnsi="宋体" w:cs="宋体"/>
                <w:kern w:val="28"/>
                <w:sz w:val="24"/>
                <w:szCs w:val="24"/>
              </w:rPr>
              <w:t>备份投标文件送达地点：</w:t>
            </w:r>
            <w:r>
              <w:rPr>
                <w:rFonts w:hint="eastAsia" w:hAnsi="宋体" w:cs="宋体"/>
                <w:sz w:val="24"/>
                <w:u w:val="single"/>
              </w:rPr>
              <w:t>杭州市西湖区文一西路858号（杭州市公共资源交易中心西湖分中心东三楼329办公室）</w:t>
            </w:r>
            <w:r>
              <w:rPr>
                <w:rFonts w:hint="eastAsia" w:hAnsi="宋体" w:cs="宋体"/>
                <w:kern w:val="28"/>
                <w:sz w:val="24"/>
                <w:szCs w:val="24"/>
              </w:rPr>
              <w:t>；备份投标文件签收人员联系电话：</w:t>
            </w:r>
            <w:r>
              <w:rPr>
                <w:rFonts w:hint="eastAsia" w:hAnsi="宋体" w:cs="宋体"/>
                <w:sz w:val="24"/>
                <w:u w:val="single"/>
              </w:rPr>
              <w:t xml:space="preserve"> 0571-89511</w:t>
            </w:r>
            <w:r>
              <w:rPr>
                <w:rFonts w:hint="eastAsia" w:hAnsi="宋体" w:cs="宋体"/>
                <w:sz w:val="24"/>
                <w:u w:val="single"/>
                <w:lang w:val="en-US" w:eastAsia="zh-CN"/>
              </w:rPr>
              <w:t>006</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tblHeader/>
        </w:trPr>
        <w:tc>
          <w:tcPr>
            <w:tcW w:w="476"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13</w:t>
            </w:r>
          </w:p>
        </w:tc>
        <w:tc>
          <w:tcPr>
            <w:tcW w:w="1447"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cs="宋体"/>
                <w:b/>
                <w:sz w:val="24"/>
              </w:rPr>
            </w:pPr>
            <w:r>
              <w:rPr>
                <w:rFonts w:hint="eastAsia" w:ascii="宋体" w:hAnsi="宋体" w:cs="宋体"/>
                <w:b/>
                <w:sz w:val="24"/>
              </w:rPr>
              <w:t>特别说明</w:t>
            </w:r>
          </w:p>
        </w:tc>
        <w:tc>
          <w:tcPr>
            <w:tcW w:w="702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21" w:hRule="atLeast"/>
          <w:tblHeader/>
        </w:trPr>
        <w:tc>
          <w:tcPr>
            <w:tcW w:w="476" w:type="dxa"/>
            <w:vMerge w:val="continue"/>
            <w:tcBorders>
              <w:left w:val="single" w:color="000000" w:sz="8" w:space="0"/>
              <w:right w:val="single" w:color="000000" w:sz="2" w:space="0"/>
            </w:tcBorders>
            <w:vAlign w:val="center"/>
          </w:tcPr>
          <w:p>
            <w:pPr>
              <w:spacing w:line="360" w:lineRule="auto"/>
            </w:pPr>
          </w:p>
        </w:tc>
        <w:tc>
          <w:tcPr>
            <w:tcW w:w="1447" w:type="dxa"/>
            <w:vMerge w:val="continue"/>
            <w:tcBorders>
              <w:left w:val="single" w:color="000000" w:sz="2" w:space="0"/>
              <w:right w:val="single" w:color="000000" w:sz="8" w:space="0"/>
            </w:tcBorders>
            <w:vAlign w:val="center"/>
          </w:tcPr>
          <w:p>
            <w:pPr>
              <w:spacing w:line="360" w:lineRule="auto"/>
            </w:pPr>
          </w:p>
        </w:tc>
        <w:tc>
          <w:tcPr>
            <w:tcW w:w="702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联合体投标的，联合体各方均需按招标文件第四部分评标标准要求提供资信证明文件，否则视为不符合相关要求。招标文件第四部分评分标准有其他规定的，从其规定。</w:t>
            </w:r>
          </w:p>
          <w:p>
            <w:pPr>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Wingdings" w:hAnsi="Wingdings" w:cs="Arial" w:eastAsiaTheme="minorEastAsia"/>
                    <w:kern w:val="0"/>
                    <w:sz w:val="24"/>
                  </w:rPr>
                  <w:t>þ</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tblHeader/>
        </w:trPr>
        <w:tc>
          <w:tcPr>
            <w:tcW w:w="476" w:type="dxa"/>
            <w:vMerge w:val="continue"/>
            <w:tcBorders>
              <w:left w:val="single" w:color="000000" w:sz="8" w:space="0"/>
              <w:bottom w:val="single" w:color="auto" w:sz="4" w:space="0"/>
              <w:right w:val="single" w:color="000000" w:sz="2" w:space="0"/>
            </w:tcBorders>
            <w:vAlign w:val="center"/>
          </w:tcPr>
          <w:p>
            <w:pPr>
              <w:spacing w:line="360" w:lineRule="auto"/>
            </w:pPr>
          </w:p>
        </w:tc>
        <w:tc>
          <w:tcPr>
            <w:tcW w:w="1447" w:type="dxa"/>
            <w:vMerge w:val="continue"/>
            <w:tcBorders>
              <w:left w:val="single" w:color="000000" w:sz="2" w:space="0"/>
              <w:bottom w:val="single" w:color="auto" w:sz="4" w:space="0"/>
              <w:right w:val="single" w:color="000000" w:sz="8" w:space="0"/>
            </w:tcBorders>
            <w:vAlign w:val="center"/>
          </w:tcPr>
          <w:p>
            <w:pPr>
              <w:spacing w:line="360" w:lineRule="auto"/>
            </w:pPr>
          </w:p>
        </w:tc>
        <w:tc>
          <w:tcPr>
            <w:tcW w:w="7024"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cs="Arial" w:asciiTheme="minorEastAsia" w:hAnsiTheme="minorEastAsia" w:eastAsiaTheme="minorEastAsia"/>
                <w:kern w:val="0"/>
                <w:sz w:val="24"/>
              </w:rPr>
            </w:pPr>
            <w:r>
              <w:rPr>
                <w:rFonts w:hint="eastAsia" w:ascii="宋体" w:hAnsi="宋体" w:cs="Arial"/>
                <w:kern w:val="0"/>
                <w:sz w:val="24"/>
              </w:rPr>
              <w:t>招标文件第四部分</w:t>
            </w:r>
            <w:r>
              <w:rPr>
                <w:rFonts w:hint="eastAsia" w:cs="Arial" w:asciiTheme="minorEastAsia" w:hAnsiTheme="minorEastAsia" w:eastAsiaTheme="minorEastAsia"/>
                <w:kern w:val="0"/>
                <w:sz w:val="24"/>
              </w:rPr>
              <w:t>评审因素对应的要求</w:t>
            </w:r>
            <w:r>
              <w:rPr>
                <w:rFonts w:hint="eastAsia" w:ascii="宋体" w:hAnsi="宋体" w:cs="Arial"/>
                <w:kern w:val="0"/>
                <w:sz w:val="24"/>
              </w:rPr>
              <w:t>及第五部分采购合同的内容</w:t>
            </w:r>
            <w:r>
              <w:rPr>
                <w:rFonts w:hint="eastAsia" w:cs="Arial" w:asciiTheme="minorEastAsia" w:hAnsiTheme="minorEastAsia" w:eastAsiaTheme="minorEastAsia"/>
                <w:kern w:val="0"/>
                <w:sz w:val="24"/>
              </w:rPr>
              <w:t>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tblHeader/>
        </w:trPr>
        <w:tc>
          <w:tcPr>
            <w:tcW w:w="4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14</w:t>
            </w: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ascii="宋体" w:hAnsi="宋体" w:cs="宋体"/>
                <w:b/>
                <w:sz w:val="24"/>
              </w:rPr>
              <w:t>成交候选人数量</w:t>
            </w:r>
          </w:p>
        </w:tc>
        <w:tc>
          <w:tcPr>
            <w:tcW w:w="702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cs="Arial" w:asciiTheme="minorEastAsia" w:hAnsiTheme="minorEastAsia" w:eastAsiaTheme="minorEastAsia"/>
                <w:kern w:val="0"/>
                <w:sz w:val="24"/>
              </w:rPr>
            </w:pPr>
            <w:r>
              <w:rPr>
                <w:rFonts w:hint="eastAsia" w:ascii="宋体" w:hAnsi="宋体" w:cs="宋体"/>
                <w:bCs/>
                <w:sz w:val="24"/>
              </w:rPr>
              <w:t>本项目推荐的成交候选人数量：</w:t>
            </w:r>
            <w:r>
              <w:rPr>
                <w:rFonts w:hint="eastAsia" w:ascii="宋体" w:hAnsi="宋体" w:cs="宋体"/>
                <w:bCs/>
                <w:sz w:val="24"/>
                <w:u w:val="single"/>
              </w:rPr>
              <w:t xml:space="preserve">  1  </w:t>
            </w:r>
            <w:r>
              <w:rPr>
                <w:rFonts w:hint="eastAsia" w:ascii="宋体" w:hAnsi="宋体" w:cs="宋体"/>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tblHeader/>
        </w:trPr>
        <w:tc>
          <w:tcPr>
            <w:tcW w:w="4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15</w:t>
            </w: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cs="仿宋_GB2312" w:asciiTheme="minorEastAsia" w:hAnsiTheme="minorEastAsia" w:eastAsiaTheme="minorEastAsia"/>
                <w:b/>
                <w:sz w:val="24"/>
                <w:lang w:val="en"/>
              </w:rPr>
              <w:t>代理费用收取方式及标准</w:t>
            </w:r>
          </w:p>
        </w:tc>
        <w:tc>
          <w:tcPr>
            <w:tcW w:w="702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cs="Arial" w:asciiTheme="minorEastAsia" w:hAnsiTheme="minorEastAsia" w:eastAsiaTheme="minorEastAsia"/>
                <w:kern w:val="0"/>
                <w:sz w:val="24"/>
              </w:rPr>
            </w:pPr>
            <w:r>
              <w:rPr>
                <w:rFonts w:hint="eastAsia" w:ascii="宋体" w:hAnsi="宋体" w:cs="Arial"/>
                <w:kern w:val="0"/>
                <w:sz w:val="24"/>
              </w:rPr>
              <w:t>本项目不收取代理费。</w:t>
            </w:r>
          </w:p>
        </w:tc>
      </w:tr>
    </w:tbl>
    <w:p>
      <w:pPr>
        <w:snapToGrid w:val="0"/>
        <w:spacing w:line="360" w:lineRule="auto"/>
        <w:jc w:val="center"/>
        <w:rPr>
          <w:rFonts w:hint="eastAsia" w:ascii="宋体" w:hAnsi="宋体" w:cs="宋体"/>
          <w:b/>
          <w:sz w:val="32"/>
          <w:szCs w:val="20"/>
        </w:rPr>
      </w:pPr>
    </w:p>
    <w:bookmarkEnd w:id="12"/>
    <w:p>
      <w:pPr>
        <w:adjustRightInd/>
        <w:spacing w:line="360" w:lineRule="auto"/>
        <w:ind w:firstLine="3845" w:firstLineChars="1197"/>
        <w:outlineLvl w:val="0"/>
        <w:rPr>
          <w:rFonts w:hint="eastAsia" w:ascii="宋体" w:hAnsi="宋体" w:cs="宋体"/>
          <w:b/>
          <w:sz w:val="32"/>
          <w:szCs w:val="20"/>
        </w:rPr>
      </w:pPr>
      <w:bookmarkStart w:id="22" w:name="_Toc164416483"/>
      <w:bookmarkStart w:id="23" w:name="第三部分"/>
      <w:r>
        <w:rPr>
          <w:rFonts w:hint="eastAsia" w:ascii="宋体" w:hAnsi="宋体" w:cs="宋体"/>
          <w:b/>
          <w:sz w:val="32"/>
          <w:szCs w:val="20"/>
        </w:rPr>
        <w:t>一、总则</w:t>
      </w:r>
    </w:p>
    <w:p>
      <w:pPr>
        <w:snapToGrid w:val="0"/>
        <w:spacing w:line="360" w:lineRule="auto"/>
        <w:ind w:firstLine="361" w:firstLineChars="150"/>
        <w:jc w:val="left"/>
        <w:outlineLvl w:val="1"/>
        <w:rPr>
          <w:rFonts w:hint="eastAsia"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cs="宋体"/>
          <w:b/>
          <w:sz w:val="24"/>
        </w:rPr>
      </w:pPr>
      <w:r>
        <w:rPr>
          <w:rFonts w:hint="eastAsia" w:ascii="宋体" w:hAnsi="宋体" w:cs="宋体"/>
          <w:b/>
          <w:sz w:val="24"/>
        </w:rPr>
        <w:t xml:space="preserve">   2.定义</w:t>
      </w:r>
    </w:p>
    <w:p>
      <w:pPr>
        <w:spacing w:line="360" w:lineRule="auto"/>
        <w:ind w:firstLine="480" w:firstLineChars="200"/>
        <w:rPr>
          <w:rFonts w:hint="eastAsia"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hint="eastAsia"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hint="eastAsia"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hint="eastAsia" w:ascii="宋体" w:hAnsi="宋体" w:cs="宋体"/>
          <w:sz w:val="24"/>
        </w:rPr>
      </w:pPr>
      <w:r>
        <w:rPr>
          <w:rFonts w:hint="eastAsia" w:ascii="宋体" w:hAnsi="宋体" w:cs="宋体"/>
          <w:sz w:val="24"/>
        </w:rPr>
        <w:t>3.2 支持绿色发展</w:t>
      </w:r>
    </w:p>
    <w:p>
      <w:pPr>
        <w:spacing w:line="360" w:lineRule="auto"/>
        <w:ind w:firstLine="480" w:firstLineChars="200"/>
        <w:rPr>
          <w:rFonts w:hint="eastAsia"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宋体" w:hAnsi="宋体" w:cs="宋体"/>
          <w:sz w:val="24"/>
        </w:rPr>
      </w:pPr>
      <w:r>
        <w:rPr>
          <w:rFonts w:hint="eastAsia" w:ascii="宋体" w:hAnsi="宋体" w:cs="宋体"/>
          <w:sz w:val="24"/>
        </w:rPr>
        <w:t>3.3支持中小企业发展</w:t>
      </w:r>
    </w:p>
    <w:p>
      <w:pPr>
        <w:spacing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hint="eastAsia"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-20%（招标文件第四部分评标办法明确具体的扣除比例，未明确的，给予20%的扣除）的扣除，用扣除后的价格参与评审。接受大中型企业与小微企业组成联合体或者允许大中型企业向一家或者多家小微企业分包的政府采购货物项目，对于</w:t>
      </w:r>
      <w:bookmarkStart w:id="24" w:name="_Hlk101132181"/>
      <w:r>
        <w:rPr>
          <w:rFonts w:hint="eastAsia" w:ascii="宋体" w:hAnsi="宋体" w:cs="宋体"/>
          <w:sz w:val="24"/>
        </w:rPr>
        <w:t>联合协议或者分包意向协议约定小微企业的合同份额占到合同总金额30%以上的</w:t>
      </w:r>
      <w:bookmarkEnd w:id="24"/>
      <w:r>
        <w:rPr>
          <w:rFonts w:hint="eastAsia" w:ascii="宋体" w:hAnsi="宋体" w:cs="宋体"/>
          <w:sz w:val="24"/>
        </w:rPr>
        <w:t>，对联合体或者大中型企业的报价给予4%-6%（招标文件第四部分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cs="宋体"/>
          <w:sz w:val="24"/>
        </w:rPr>
      </w:pPr>
      <w:r>
        <w:rPr>
          <w:rFonts w:hint="eastAsia" w:ascii="宋体" w:hAnsi="宋体" w:cs="宋体"/>
          <w:sz w:val="24"/>
        </w:rPr>
        <w:t>3.3.6</w:t>
      </w:r>
      <w:r>
        <w:rPr>
          <w:rFonts w:hint="eastAsia" w:ascii="宋体" w:hAnsi="宋体" w:cs="宋体"/>
          <w:b/>
          <w:bCs/>
          <w:sz w:val="24"/>
        </w:rPr>
        <w:t>可享受中小企业扶持政策的投标人应按照招标文件格式要求提供《中小企业声明函》，《中小企业声明函》填写企业类型错误，导致该企业享受本不能享受的中小企业扶持政策，投标无效并依法承担法律责任。</w:t>
      </w:r>
    </w:p>
    <w:p>
      <w:pPr>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hint="eastAsia" w:ascii="宋体" w:hAnsi="宋体" w:cs="宋体"/>
          <w:sz w:val="24"/>
        </w:rPr>
      </w:pPr>
      <w:r>
        <w:rPr>
          <w:rFonts w:hint="eastAsia" w:ascii="宋体" w:hAnsi="宋体" w:cs="宋体"/>
          <w:sz w:val="24"/>
        </w:rPr>
        <w:t>3.4.1 首台套、“制造精品”、“专精特新”等创新产品按规定享受政府采购支持政策。</w:t>
      </w:r>
    </w:p>
    <w:p>
      <w:pPr>
        <w:spacing w:line="360" w:lineRule="auto"/>
        <w:ind w:firstLine="480" w:firstLineChars="200"/>
        <w:rPr>
          <w:rFonts w:hint="eastAsia" w:ascii="宋体" w:hAnsi="宋体" w:cs="宋体"/>
          <w:sz w:val="24"/>
        </w:rPr>
      </w:pPr>
      <w:r>
        <w:rPr>
          <w:rFonts w:hint="eastAsia" w:ascii="宋体" w:hAnsi="宋体" w:cs="宋体"/>
          <w:sz w:val="24"/>
        </w:rPr>
        <w:t>3.4.2 采购人应当贯彻落实知识产权保护相关法律法规，应当采购使用正版软件。3.</w:t>
      </w:r>
      <w:r>
        <w:rPr>
          <w:rFonts w:ascii="宋体" w:hAnsi="宋体" w:cs="宋体"/>
          <w:sz w:val="24"/>
        </w:rPr>
        <w:t>5</w:t>
      </w:r>
      <w:r>
        <w:rPr>
          <w:rFonts w:hint="eastAsia" w:ascii="宋体" w:hAnsi="宋体" w:cs="宋体"/>
          <w:sz w:val="24"/>
        </w:rPr>
        <w:t>平等对待内外资企业和符合条件的破产重整企业</w:t>
      </w:r>
    </w:p>
    <w:p>
      <w:pPr>
        <w:spacing w:line="360" w:lineRule="auto"/>
        <w:ind w:firstLine="240" w:firstLineChars="100"/>
        <w:rPr>
          <w:rFonts w:hint="eastAsia"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询问、质疑、投诉、补偿救济</w:t>
      </w:r>
    </w:p>
    <w:p>
      <w:pPr>
        <w:pStyle w:val="887"/>
        <w:shd w:val="clear" w:color="auto" w:fill="FFFFFF"/>
        <w:snapToGrid w:val="0"/>
        <w:spacing w:after="240" w:afterAutospacing="0" w:line="360" w:lineRule="auto"/>
        <w:ind w:firstLine="400"/>
        <w:contextualSpacing/>
        <w:rPr>
          <w:rFonts w:hint="eastAsia"/>
          <w:lang w:val="zh-CN"/>
        </w:rPr>
      </w:pPr>
      <w:r>
        <w:rPr>
          <w:rFonts w:hint="eastAsia"/>
          <w:lang w:val="zh-CN"/>
        </w:rPr>
        <w:t>4.1在线询问、质疑、投诉</w:t>
      </w:r>
    </w:p>
    <w:p>
      <w:pPr>
        <w:pStyle w:val="887"/>
        <w:shd w:val="clear" w:color="auto" w:fill="FFFFFF"/>
        <w:snapToGrid w:val="0"/>
        <w:spacing w:after="240" w:afterAutospacing="0" w:line="360" w:lineRule="auto"/>
        <w:ind w:firstLine="400"/>
        <w:contextualSpacing/>
        <w:rPr>
          <w:rFonts w:hint="eastAsia"/>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4.3供应商质疑</w:t>
      </w:r>
    </w:p>
    <w:p>
      <w:pPr>
        <w:pStyle w:val="33"/>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3"/>
        <w:spacing w:line="360" w:lineRule="auto"/>
        <w:ind w:left="479" w:leftChars="228"/>
        <w:rPr>
          <w:rFonts w:hint="eastAsia"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　　4.3.3.1供应商的姓名或者名称、地址、邮编、联系人及联系电话；</w:t>
      </w:r>
    </w:p>
    <w:p>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　　4.3.3.2质疑项目的名称、编号；</w:t>
      </w:r>
    </w:p>
    <w:p>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　　4.3.3.3具体、明确的质疑事项和与质疑事项相关的请求；</w:t>
      </w:r>
    </w:p>
    <w:p>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　　4.3.3.4事实依据；</w:t>
      </w:r>
    </w:p>
    <w:p>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　　4.3.3.5必要的法律依据；</w:t>
      </w:r>
    </w:p>
    <w:p>
      <w:pPr>
        <w:pStyle w:val="33"/>
        <w:spacing w:line="360" w:lineRule="auto"/>
        <w:ind w:firstLine="960" w:firstLineChars="400"/>
        <w:rPr>
          <w:rFonts w:hint="eastAsia" w:hAnsi="宋体" w:cs="宋体"/>
          <w:kern w:val="0"/>
          <w:sz w:val="24"/>
          <w:lang w:val="zh-CN"/>
        </w:rPr>
      </w:pPr>
      <w:r>
        <w:rPr>
          <w:rFonts w:hint="eastAsia" w:hAnsi="宋体" w:cs="宋体"/>
          <w:kern w:val="0"/>
          <w:sz w:val="24"/>
          <w:lang w:val="zh-CN"/>
        </w:rPr>
        <w:t>4.3.3.6提出质疑的日期。</w:t>
      </w:r>
    </w:p>
    <w:p>
      <w:pPr>
        <w:pStyle w:val="887"/>
        <w:shd w:val="clear" w:color="auto" w:fill="FFFFFF"/>
        <w:snapToGrid w:val="0"/>
        <w:spacing w:after="24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rFonts w:hint="eastAsia"/>
        </w:rPr>
      </w:pPr>
      <w:r>
        <w:rPr>
          <w:rFonts w:hint="eastAsia"/>
        </w:rPr>
        <w:t>质疑函范本及制作说明详见附件2。</w:t>
      </w:r>
    </w:p>
    <w:p>
      <w:pPr>
        <w:pStyle w:val="887"/>
        <w:shd w:val="clear" w:color="auto" w:fill="FFFFFF"/>
        <w:snapToGrid w:val="0"/>
        <w:spacing w:after="240" w:afterAutospacing="0" w:line="360" w:lineRule="auto"/>
        <w:ind w:firstLine="400"/>
        <w:contextualSpacing/>
        <w:rPr>
          <w:rFonts w:hint="eastAsia"/>
        </w:rPr>
      </w:pPr>
      <w:r>
        <w:rPr>
          <w:rFonts w:hint="eastAsia"/>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7"/>
        <w:shd w:val="clear" w:color="auto" w:fill="FFFFFF"/>
        <w:snapToGrid w:val="0"/>
        <w:spacing w:after="240" w:line="360" w:lineRule="auto"/>
        <w:ind w:firstLine="400"/>
        <w:contextualSpacing/>
        <w:rPr>
          <w:rFonts w:hint="eastAsia"/>
        </w:rPr>
      </w:pPr>
      <w:r>
        <w:rPr>
          <w:rFonts w:hint="eastAsia"/>
        </w:rPr>
        <w:t>根据采购人与采购代理机构在政采云平台上双方签署是《政府采购委托协议（年度）》的约定，质疑答复责任主体如下：</w:t>
      </w:r>
    </w:p>
    <w:p>
      <w:pPr>
        <w:widowControl/>
        <w:adjustRightInd/>
        <w:jc w:val="center"/>
        <w:rPr>
          <w:rFonts w:hint="eastAsia" w:asciiTheme="minorEastAsia" w:hAnsiTheme="minorEastAsia" w:eastAsiaTheme="minorEastAsia"/>
          <w:b/>
          <w:sz w:val="28"/>
          <w:szCs w:val="28"/>
        </w:rPr>
      </w:pPr>
    </w:p>
    <w:p>
      <w:pPr>
        <w:widowControl/>
        <w:adjustRightInd/>
        <w:jc w:val="center"/>
        <w:rPr>
          <w:rFonts w:hint="eastAsia" w:asciiTheme="minorEastAsia" w:hAnsiTheme="minorEastAsia" w:eastAsiaTheme="minorEastAsia"/>
          <w:b/>
          <w:sz w:val="28"/>
          <w:szCs w:val="28"/>
        </w:rPr>
      </w:pPr>
    </w:p>
    <w:p>
      <w:pPr>
        <w:widowControl/>
        <w:adjustRightInd/>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4425"/>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885" w:type="dxa"/>
            <w:gridSpan w:val="2"/>
            <w:vAlign w:val="center"/>
          </w:tcPr>
          <w:p>
            <w:pPr>
              <w:pStyle w:val="33"/>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质疑内容</w:t>
            </w:r>
          </w:p>
        </w:tc>
        <w:tc>
          <w:tcPr>
            <w:tcW w:w="2175" w:type="dxa"/>
            <w:vAlign w:val="center"/>
          </w:tcPr>
          <w:p>
            <w:pPr>
              <w:pStyle w:val="33"/>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0" w:type="dxa"/>
            <w:vMerge w:val="restart"/>
            <w:vAlign w:val="center"/>
          </w:tcPr>
          <w:p>
            <w:pPr>
              <w:pStyle w:val="33"/>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425" w:type="dxa"/>
            <w:vAlign w:val="center"/>
          </w:tcPr>
          <w:p>
            <w:pPr>
              <w:pStyle w:val="33"/>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对采购文件中“申请人的资格要求”、“采购需求”、“评审办法”、“采购合同的主要条款”、“采购文件前附表内容”、“报价内容”的质疑</w:t>
            </w:r>
          </w:p>
        </w:tc>
        <w:tc>
          <w:tcPr>
            <w:tcW w:w="2175" w:type="dxa"/>
            <w:vAlign w:val="center"/>
          </w:tcPr>
          <w:p>
            <w:pPr>
              <w:pStyle w:val="33"/>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460" w:type="dxa"/>
            <w:vMerge w:val="continue"/>
            <w:vAlign w:val="center"/>
          </w:tcPr>
          <w:p>
            <w:pPr>
              <w:pStyle w:val="33"/>
              <w:spacing w:line="360" w:lineRule="auto"/>
              <w:jc w:val="center"/>
              <w:rPr>
                <w:rFonts w:hint="eastAsia" w:asciiTheme="minorEastAsia" w:hAnsiTheme="minorEastAsia" w:eastAsiaTheme="minorEastAsia"/>
                <w:sz w:val="24"/>
              </w:rPr>
            </w:pPr>
          </w:p>
        </w:tc>
        <w:tc>
          <w:tcPr>
            <w:tcW w:w="4425" w:type="dxa"/>
            <w:vAlign w:val="center"/>
          </w:tcPr>
          <w:p>
            <w:pPr>
              <w:pStyle w:val="33"/>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175" w:type="dxa"/>
            <w:vAlign w:val="center"/>
          </w:tcPr>
          <w:p>
            <w:pPr>
              <w:pStyle w:val="33"/>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0" w:type="dxa"/>
            <w:vMerge w:val="restart"/>
            <w:vAlign w:val="center"/>
          </w:tcPr>
          <w:p>
            <w:pPr>
              <w:pStyle w:val="33"/>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对采购过程、采购结果提出质疑</w:t>
            </w:r>
          </w:p>
        </w:tc>
        <w:tc>
          <w:tcPr>
            <w:tcW w:w="4425" w:type="dxa"/>
            <w:vAlign w:val="center"/>
          </w:tcPr>
          <w:p>
            <w:pPr>
              <w:pStyle w:val="33"/>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对“现场考察、答疑会”、 “甲方负责接收和保存的样品” 、“资格审查”等由采购人负责组织的环节的质疑</w:t>
            </w:r>
          </w:p>
        </w:tc>
        <w:tc>
          <w:tcPr>
            <w:tcW w:w="2175" w:type="dxa"/>
            <w:vAlign w:val="center"/>
          </w:tcPr>
          <w:p>
            <w:pPr>
              <w:pStyle w:val="33"/>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460" w:type="dxa"/>
            <w:vMerge w:val="continue"/>
            <w:vAlign w:val="center"/>
          </w:tcPr>
          <w:p>
            <w:pPr>
              <w:pStyle w:val="33"/>
              <w:spacing w:line="360" w:lineRule="auto"/>
              <w:jc w:val="center"/>
              <w:rPr>
                <w:rFonts w:hint="eastAsia" w:asciiTheme="minorEastAsia" w:hAnsiTheme="minorEastAsia" w:eastAsiaTheme="minorEastAsia"/>
                <w:sz w:val="24"/>
              </w:rPr>
            </w:pPr>
          </w:p>
        </w:tc>
        <w:tc>
          <w:tcPr>
            <w:tcW w:w="4425" w:type="dxa"/>
            <w:vAlign w:val="center"/>
          </w:tcPr>
          <w:p>
            <w:pPr>
              <w:pStyle w:val="33"/>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对采购过程、采购结果其他环节的质疑</w:t>
            </w:r>
          </w:p>
        </w:tc>
        <w:tc>
          <w:tcPr>
            <w:tcW w:w="2175" w:type="dxa"/>
            <w:vAlign w:val="center"/>
          </w:tcPr>
          <w:p>
            <w:pPr>
              <w:pStyle w:val="33"/>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采购代理机构</w:t>
            </w:r>
          </w:p>
        </w:tc>
      </w:tr>
    </w:tbl>
    <w:p>
      <w:pPr>
        <w:pStyle w:val="887"/>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rFonts w:hint="eastAsia"/>
          <w:lang w:val="zh-CN"/>
        </w:rPr>
      </w:pPr>
      <w:r>
        <w:rPr>
          <w:rFonts w:hint="eastAsia"/>
          <w:lang w:val="zh-CN"/>
        </w:rPr>
        <w:t>4.4供应商投诉</w:t>
      </w:r>
    </w:p>
    <w:p>
      <w:pPr>
        <w:pStyle w:val="887"/>
        <w:shd w:val="clear" w:color="auto" w:fill="FFFFFF"/>
        <w:snapToGrid w:val="0"/>
        <w:spacing w:after="240" w:afterAutospacing="0" w:line="360" w:lineRule="auto"/>
        <w:ind w:firstLine="400"/>
        <w:contextualSpacing/>
        <w:rPr>
          <w:rFonts w:hint="eastAsia"/>
        </w:rPr>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hint="eastAsia"/>
        </w:rPr>
      </w:pPr>
      <w:r>
        <w:rPr>
          <w:rFonts w:hint="eastAsia"/>
        </w:rPr>
        <w:t>4.4.3供应商投诉应当有明确的请求和必要的证明材料。</w:t>
      </w:r>
    </w:p>
    <w:p>
      <w:pPr>
        <w:pStyle w:val="887"/>
        <w:shd w:val="clear" w:color="auto" w:fill="FFFFFF"/>
        <w:snapToGrid w:val="0"/>
        <w:spacing w:after="240" w:afterAutospacing="0" w:line="360" w:lineRule="auto"/>
        <w:ind w:firstLine="400"/>
        <w:contextualSpacing/>
        <w:rPr>
          <w:rFonts w:hint="eastAsia"/>
        </w:rPr>
      </w:pPr>
      <w:r>
        <w:rPr>
          <w:rFonts w:hint="eastAsia"/>
        </w:rPr>
        <w:t>4.4.4 以联合体形式参加政府采购活动的，其投诉应当由组成联合体的所有供应商共同提出。</w:t>
      </w:r>
    </w:p>
    <w:p>
      <w:pPr>
        <w:pStyle w:val="887"/>
        <w:shd w:val="clear" w:color="auto" w:fill="FFFFFF"/>
        <w:snapToGrid w:val="0"/>
        <w:spacing w:after="240" w:afterAutospacing="0" w:line="360" w:lineRule="auto"/>
        <w:ind w:firstLine="480" w:firstLineChars="200"/>
        <w:contextualSpacing/>
        <w:rPr>
          <w:rFonts w:hint="eastAsia"/>
        </w:rPr>
      </w:pPr>
      <w:r>
        <w:rPr>
          <w:rFonts w:hint="eastAsia"/>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pPr>
        <w:pStyle w:val="887"/>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pPr>
        <w:snapToGrid w:val="0"/>
        <w:spacing w:line="360" w:lineRule="auto"/>
        <w:ind w:firstLine="480" w:firstLineChars="200"/>
        <w:rPr>
          <w:rFonts w:hint="eastAsia" w:ascii="宋体" w:hAnsi="宋体" w:cs="仿宋"/>
          <w:sz w:val="24"/>
        </w:rPr>
      </w:pPr>
      <w:r>
        <w:rPr>
          <w:rFonts w:hint="eastAsia" w:ascii="宋体" w:hAnsi="宋体" w:cs="仿宋"/>
          <w:sz w:val="24"/>
        </w:rPr>
        <w:t>4.5 补偿救济</w:t>
      </w:r>
    </w:p>
    <w:p>
      <w:pPr>
        <w:pStyle w:val="887"/>
        <w:shd w:val="clear" w:color="auto" w:fill="FFFFFF"/>
        <w:snapToGrid w:val="0"/>
        <w:spacing w:before="0" w:beforeAutospacing="0" w:after="240" w:afterAutospacing="0" w:line="360" w:lineRule="auto"/>
        <w:ind w:firstLine="400"/>
        <w:contextualSpacing/>
        <w:rPr>
          <w:rFonts w:hint="eastAsia"/>
        </w:rPr>
      </w:pPr>
      <w:r>
        <w:rPr>
          <w:rFonts w:hint="eastAsia"/>
        </w:rPr>
        <w:t>采购人因政策变化、规划调整而不履行政府采购合同的，供应商可依据《杭州市涉企补偿救济实施办法（试行）》向采购人提起补偿申请。</w:t>
      </w:r>
    </w:p>
    <w:p>
      <w:pPr>
        <w:pStyle w:val="131"/>
        <w:snapToGrid w:val="0"/>
        <w:spacing w:before="0"/>
        <w:ind w:firstLine="360"/>
        <w:rPr>
          <w:rFonts w:hint="eastAsia" w:ascii="宋体" w:hAnsi="宋体" w:cs="宋体"/>
          <w:sz w:val="18"/>
          <w:szCs w:val="18"/>
        </w:rPr>
      </w:pPr>
    </w:p>
    <w:p>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 xml:space="preserve">      二、招标文件的构成、澄清、修改</w:t>
      </w:r>
    </w:p>
    <w:p>
      <w:pPr>
        <w:pStyle w:val="33"/>
        <w:spacing w:line="360" w:lineRule="auto"/>
        <w:rPr>
          <w:rFonts w:hint="eastAsia" w:hAnsi="宋体" w:cs="宋体"/>
          <w:b/>
          <w:sz w:val="24"/>
          <w:szCs w:val="24"/>
        </w:rPr>
      </w:pPr>
      <w:r>
        <w:rPr>
          <w:rFonts w:hint="eastAsia" w:hAnsi="宋体" w:cs="宋体"/>
          <w:b/>
          <w:sz w:val="24"/>
          <w:szCs w:val="24"/>
        </w:rPr>
        <w:t>5．招标文件的构成</w:t>
      </w:r>
    </w:p>
    <w:p>
      <w:pPr>
        <w:pStyle w:val="33"/>
        <w:spacing w:line="360" w:lineRule="auto"/>
        <w:ind w:firstLine="480" w:firstLineChars="200"/>
        <w:rPr>
          <w:rFonts w:hint="eastAsia" w:hAnsi="宋体" w:cs="宋体"/>
          <w:sz w:val="24"/>
          <w:szCs w:val="24"/>
        </w:rPr>
      </w:pPr>
      <w:r>
        <w:rPr>
          <w:rFonts w:hint="eastAsia" w:hAnsi="宋体" w:cs="宋体"/>
          <w:sz w:val="24"/>
          <w:szCs w:val="24"/>
        </w:rPr>
        <w:t>5.1 招标文件包括下列文件及附件：</w:t>
      </w:r>
    </w:p>
    <w:p>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5.1.1招标公告；</w:t>
      </w:r>
    </w:p>
    <w:p>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5.1.2投标人须知；</w:t>
      </w:r>
    </w:p>
    <w:p>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5.1.4评标办法；</w:t>
      </w:r>
    </w:p>
    <w:p>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pPr>
        <w:pStyle w:val="33"/>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3"/>
        <w:spacing w:line="360" w:lineRule="auto"/>
        <w:rPr>
          <w:rFonts w:hint="eastAsia" w:hAnsi="宋体" w:cs="宋体"/>
          <w:b/>
          <w:sz w:val="24"/>
          <w:szCs w:val="24"/>
        </w:rPr>
      </w:pPr>
      <w:r>
        <w:rPr>
          <w:rFonts w:hint="eastAsia" w:hAnsi="宋体" w:cs="宋体"/>
          <w:b/>
          <w:sz w:val="24"/>
          <w:szCs w:val="24"/>
        </w:rPr>
        <w:t>6. 招标文件的澄清、修改</w:t>
      </w:r>
    </w:p>
    <w:p>
      <w:pPr>
        <w:pStyle w:val="131"/>
        <w:snapToGrid w:val="0"/>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31"/>
        <w:snapToGrid w:val="0"/>
        <w:spacing w:before="0"/>
        <w:ind w:firstLine="480"/>
        <w:rPr>
          <w:rFonts w:hint="eastAsia"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hint="eastAsia" w:ascii="宋体" w:hAnsi="宋体" w:cs="宋体"/>
          <w:b/>
          <w:sz w:val="30"/>
          <w:szCs w:val="20"/>
        </w:rPr>
      </w:pPr>
      <w:r>
        <w:rPr>
          <w:rFonts w:hint="eastAsia" w:ascii="宋体" w:hAnsi="宋体" w:cs="宋体"/>
          <w:b/>
          <w:sz w:val="30"/>
          <w:szCs w:val="20"/>
        </w:rPr>
        <w:t>三、投标</w:t>
      </w:r>
    </w:p>
    <w:p>
      <w:pPr>
        <w:pStyle w:val="33"/>
        <w:spacing w:line="360" w:lineRule="auto"/>
        <w:rPr>
          <w:rFonts w:hint="eastAsia" w:hAnsi="宋体" w:cs="宋体"/>
          <w:b/>
          <w:sz w:val="24"/>
          <w:szCs w:val="24"/>
        </w:rPr>
      </w:pPr>
      <w:r>
        <w:rPr>
          <w:rFonts w:hint="eastAsia" w:hAnsi="宋体" w:cs="宋体"/>
          <w:b/>
          <w:sz w:val="24"/>
          <w:szCs w:val="24"/>
        </w:rPr>
        <w:t>7. 招标文件的获取</w:t>
      </w:r>
    </w:p>
    <w:p>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3"/>
        <w:spacing w:line="360" w:lineRule="auto"/>
        <w:rPr>
          <w:rFonts w:hint="eastAsia" w:hAnsi="宋体" w:cs="宋体"/>
          <w:b/>
          <w:sz w:val="24"/>
          <w:szCs w:val="24"/>
        </w:rPr>
      </w:pPr>
      <w:r>
        <w:rPr>
          <w:rFonts w:hint="eastAsia" w:hAnsi="宋体" w:cs="宋体"/>
          <w:b/>
          <w:sz w:val="24"/>
          <w:szCs w:val="24"/>
        </w:rPr>
        <w:t>8.开标前答疑会或现场考察</w:t>
      </w:r>
    </w:p>
    <w:p>
      <w:pPr>
        <w:pStyle w:val="33"/>
        <w:spacing w:line="360" w:lineRule="auto"/>
        <w:ind w:firstLine="480" w:firstLineChars="200"/>
        <w:rPr>
          <w:rFonts w:hint="eastAsia"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hAnsi="宋体" w:cs="宋体"/>
          <w:b/>
          <w:szCs w:val="24"/>
        </w:rPr>
      </w:pPr>
      <w:r>
        <w:rPr>
          <w:rFonts w:hint="eastAsia" w:hAnsi="宋体" w:cs="宋体"/>
          <w:b/>
          <w:kern w:val="28"/>
          <w:sz w:val="24"/>
          <w:szCs w:val="24"/>
        </w:rPr>
        <w:t>9.投标保证金</w:t>
      </w:r>
    </w:p>
    <w:p>
      <w:pPr>
        <w:pStyle w:val="15"/>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pPr>
        <w:pStyle w:val="33"/>
        <w:spacing w:line="360" w:lineRule="auto"/>
        <w:rPr>
          <w:rFonts w:hint="eastAsia"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pPr>
        <w:pStyle w:val="33"/>
        <w:numPr>
          <w:ilvl w:val="0"/>
          <w:numId w:val="3"/>
        </w:numPr>
        <w:spacing w:line="360" w:lineRule="auto"/>
        <w:rPr>
          <w:rFonts w:hint="eastAsia" w:hAnsi="宋体" w:cs="宋体"/>
          <w:b/>
          <w:sz w:val="24"/>
          <w:szCs w:val="24"/>
        </w:rPr>
      </w:pPr>
      <w:r>
        <w:rPr>
          <w:rFonts w:hint="eastAsia" w:hAnsi="宋体" w:cs="宋体"/>
          <w:b/>
          <w:sz w:val="24"/>
          <w:szCs w:val="24"/>
        </w:rPr>
        <w:t>投标文件的组成</w:t>
      </w:r>
    </w:p>
    <w:p>
      <w:pPr>
        <w:snapToGrid w:val="0"/>
        <w:spacing w:line="360" w:lineRule="auto"/>
        <w:ind w:firstLine="482" w:firstLineChars="200"/>
        <w:rPr>
          <w:rFonts w:hint="eastAsia" w:hAnsi="宋体" w:cs="宋体"/>
          <w:b/>
          <w:sz w:val="24"/>
        </w:rPr>
      </w:pPr>
      <w:r>
        <w:rPr>
          <w:rFonts w:hint="eastAsia" w:ascii="宋体" w:hAnsi="宋体" w:cs="宋体"/>
          <w:b/>
          <w:snapToGrid w:val="0"/>
          <w:sz w:val="24"/>
        </w:rPr>
        <w:t>▲投标文件至少应包括以下文件。</w:t>
      </w:r>
    </w:p>
    <w:p>
      <w:pPr>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hint="eastAsia"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hint="eastAsia" w:ascii="宋体" w:hAnsi="宋体" w:cs="宋体"/>
          <w:sz w:val="24"/>
        </w:rPr>
      </w:pPr>
      <w:r>
        <w:rPr>
          <w:rFonts w:hint="eastAsia" w:ascii="宋体" w:hAnsi="宋体" w:cs="宋体"/>
          <w:sz w:val="24"/>
        </w:rPr>
        <w:t>11.1.2 联合协议（如果有）；</w:t>
      </w:r>
    </w:p>
    <w:p>
      <w:pPr>
        <w:snapToGrid w:val="0"/>
        <w:spacing w:line="360" w:lineRule="auto"/>
        <w:ind w:firstLine="960" w:firstLineChars="400"/>
        <w:rPr>
          <w:rFonts w:hint="eastAsia" w:ascii="宋体" w:hAnsi="宋体" w:cs="宋体"/>
          <w:sz w:val="24"/>
        </w:rPr>
      </w:pPr>
      <w:r>
        <w:rPr>
          <w:rFonts w:hint="eastAsia" w:ascii="宋体" w:hAnsi="宋体" w:cs="宋体"/>
          <w:sz w:val="24"/>
        </w:rPr>
        <w:t>11.1.3落实政府采购政策需满足的资格要求（如果有）；</w:t>
      </w:r>
    </w:p>
    <w:p>
      <w:pPr>
        <w:snapToGrid w:val="0"/>
        <w:spacing w:line="360" w:lineRule="auto"/>
        <w:ind w:firstLine="960" w:firstLineChars="400"/>
        <w:rPr>
          <w:rFonts w:hint="eastAsia" w:ascii="宋体" w:hAnsi="宋体" w:cs="宋体"/>
          <w:sz w:val="24"/>
        </w:rPr>
      </w:pPr>
      <w:r>
        <w:rPr>
          <w:rFonts w:hint="eastAsia" w:ascii="宋体" w:hAnsi="宋体" w:cs="宋体"/>
          <w:sz w:val="24"/>
        </w:rPr>
        <w:t>11.1.4本项目的特定资格要求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hint="eastAsia"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pPr>
      <w:r>
        <w:rPr>
          <w:rFonts w:hint="eastAsia" w:ascii="宋体" w:hAnsi="宋体" w:cs="宋体"/>
          <w:sz w:val="24"/>
        </w:rPr>
        <w:t>11.2.3 分包意向协议（如果有）；</w:t>
      </w:r>
    </w:p>
    <w:p>
      <w:pPr>
        <w:snapToGrid w:val="0"/>
        <w:spacing w:line="360" w:lineRule="auto"/>
        <w:ind w:firstLine="960" w:firstLineChars="400"/>
        <w:rPr>
          <w:rFonts w:hint="eastAsia" w:ascii="宋体" w:hAnsi="宋体" w:cs="宋体"/>
          <w:sz w:val="24"/>
        </w:rPr>
      </w:pPr>
      <w:r>
        <w:rPr>
          <w:rFonts w:hint="eastAsia" w:ascii="宋体" w:hAnsi="宋体" w:cs="宋体"/>
          <w:sz w:val="24"/>
        </w:rPr>
        <w:t>11.2.4符合性审查资料；</w:t>
      </w:r>
    </w:p>
    <w:p>
      <w:pPr>
        <w:snapToGrid w:val="0"/>
        <w:spacing w:line="360" w:lineRule="auto"/>
        <w:ind w:firstLine="960" w:firstLineChars="400"/>
        <w:rPr>
          <w:rFonts w:hint="eastAsia" w:ascii="宋体" w:hAnsi="宋体" w:cs="宋体"/>
          <w:sz w:val="24"/>
        </w:rPr>
      </w:pPr>
      <w:r>
        <w:rPr>
          <w:rFonts w:hint="eastAsia" w:ascii="宋体" w:hAnsi="宋体" w:cs="宋体"/>
          <w:sz w:val="24"/>
        </w:rPr>
        <w:t>11.2.5评标标准相应的商务技术资料；</w:t>
      </w:r>
    </w:p>
    <w:p>
      <w:pPr>
        <w:snapToGrid w:val="0"/>
        <w:spacing w:line="360" w:lineRule="auto"/>
        <w:ind w:firstLine="960" w:firstLineChars="400"/>
        <w:rPr>
          <w:rFonts w:hint="eastAsia" w:ascii="宋体" w:hAnsi="宋体" w:cs="宋体"/>
          <w:sz w:val="24"/>
        </w:rPr>
      </w:pPr>
      <w:r>
        <w:rPr>
          <w:rFonts w:hint="eastAsia" w:ascii="宋体" w:hAnsi="宋体" w:cs="宋体"/>
          <w:sz w:val="24"/>
        </w:rPr>
        <w:t>11.2.6投标标的清单；</w:t>
      </w:r>
    </w:p>
    <w:p>
      <w:pPr>
        <w:snapToGrid w:val="0"/>
        <w:spacing w:line="360" w:lineRule="auto"/>
        <w:ind w:firstLine="960" w:firstLineChars="400"/>
        <w:rPr>
          <w:rFonts w:hint="eastAsia" w:ascii="宋体" w:hAnsi="宋体" w:cs="宋体"/>
          <w:sz w:val="24"/>
        </w:rPr>
      </w:pPr>
      <w:r>
        <w:rPr>
          <w:rFonts w:hint="eastAsia" w:ascii="宋体" w:hAnsi="宋体" w:cs="宋体"/>
          <w:sz w:val="24"/>
        </w:rPr>
        <w:t>11.2.7商务技术偏离表；</w:t>
      </w:r>
    </w:p>
    <w:p>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11.2.</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pPr>
        <w:pStyle w:val="23"/>
        <w:ind w:firstLine="960" w:firstLineChars="400"/>
        <w:rPr>
          <w:rFonts w:hint="eastAsia" w:hAnsi="宋体" w:cs="宋体"/>
          <w:szCs w:val="24"/>
          <w:lang w:val="en-US"/>
        </w:rPr>
      </w:pPr>
      <w:r>
        <w:rPr>
          <w:rFonts w:hint="eastAsia" w:hAnsi="宋体" w:cs="宋体"/>
        </w:rPr>
        <w:t>11.3.</w:t>
      </w:r>
      <w:r>
        <w:rPr>
          <w:rFonts w:hint="eastAsia" w:hAnsi="宋体" w:cs="宋体"/>
          <w:lang w:val="en-US"/>
        </w:rPr>
        <w:t>2</w:t>
      </w:r>
      <w:r>
        <w:rPr>
          <w:rFonts w:hint="eastAsia" w:hAnsi="宋体" w:cs="宋体"/>
          <w:szCs w:val="24"/>
          <w:lang w:val="en-US"/>
        </w:rPr>
        <w:t>报价情况说明（如果有）；</w:t>
      </w:r>
    </w:p>
    <w:p>
      <w:pPr>
        <w:ind w:firstLine="960" w:firstLineChars="400"/>
        <w:rPr>
          <w:rFonts w:hint="eastAsia" w:ascii="宋体" w:hAnsi="宋体" w:cs="宋体"/>
          <w:snapToGrid w:val="0"/>
          <w:sz w:val="24"/>
          <w:szCs w:val="21"/>
        </w:rPr>
      </w:pPr>
      <w:r>
        <w:rPr>
          <w:rFonts w:hint="eastAsia" w:ascii="宋体" w:hAnsi="宋体" w:cs="宋体"/>
          <w:snapToGrid w:val="0"/>
          <w:sz w:val="24"/>
          <w:szCs w:val="21"/>
        </w:rPr>
        <w:t>11.3.3中小企业声明函（如果有）。</w:t>
      </w:r>
    </w:p>
    <w:p>
      <w:pPr>
        <w:spacing w:line="360" w:lineRule="auto"/>
        <w:ind w:firstLine="723" w:firstLineChars="300"/>
        <w:rPr>
          <w:rFonts w:hint="eastAsia"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pPr>
        <w:spacing w:line="360" w:lineRule="auto"/>
        <w:ind w:firstLine="723" w:firstLineChars="300"/>
        <w:rPr>
          <w:rFonts w:hint="eastAsia" w:ascii="宋体" w:hAnsi="宋体" w:cs="宋体"/>
          <w:b/>
          <w:sz w:val="24"/>
        </w:rPr>
      </w:pPr>
      <w:r>
        <w:rPr>
          <w:rFonts w:hint="eastAsia"/>
          <w:b/>
          <w:bCs/>
          <w:sz w:val="24"/>
          <w:shd w:val="clear" w:color="auto" w:fill="FFFFFF"/>
        </w:rPr>
        <w:t>投标人应对投标文件中材料的真实性、合法性负责。</w:t>
      </w:r>
      <w:r>
        <w:rPr>
          <w:rFonts w:hint="eastAsia"/>
          <w:sz w:val="24"/>
          <w:shd w:val="clear" w:color="auto" w:fill="FFFFFF"/>
        </w:rPr>
        <w:t>投标人可事先在公开官网查询、核对相关证书和报告内容，确保投标（响应）文件资料准确无误。</w:t>
      </w:r>
    </w:p>
    <w:p>
      <w:pPr>
        <w:pStyle w:val="131"/>
        <w:snapToGrid w:val="0"/>
        <w:spacing w:before="0"/>
        <w:ind w:firstLine="0" w:firstLineChars="0"/>
        <w:outlineLvl w:val="0"/>
        <w:rPr>
          <w:rFonts w:hint="eastAsia"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hint="eastAsia"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cs="宋体"/>
          <w:b/>
          <w:sz w:val="24"/>
        </w:rPr>
      </w:pPr>
      <w:r>
        <w:rPr>
          <w:rFonts w:hint="eastAsia" w:ascii="宋体" w:hAnsi="宋体" w:cs="宋体"/>
          <w:b/>
          <w:sz w:val="24"/>
        </w:rPr>
        <w:t>13.投标文件的签署、盖章</w:t>
      </w:r>
    </w:p>
    <w:p>
      <w:pPr>
        <w:pStyle w:val="131"/>
        <w:snapToGrid w:val="0"/>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1"/>
        <w:snapToGrid w:val="0"/>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pPr>
        <w:pStyle w:val="131"/>
        <w:spacing w:before="0"/>
        <w:ind w:firstLine="0" w:firstLineChars="0"/>
        <w:rPr>
          <w:rFonts w:hint="eastAsia" w:ascii="宋体" w:hAnsi="宋体" w:cs="宋体"/>
          <w:b/>
          <w:szCs w:val="24"/>
        </w:rPr>
      </w:pPr>
      <w:r>
        <w:rPr>
          <w:rFonts w:hint="eastAsia" w:ascii="宋体" w:hAnsi="宋体" w:cs="宋体"/>
          <w:b/>
          <w:szCs w:val="24"/>
        </w:rPr>
        <w:t>14. 投标文件的提交、补充、修改、撤回</w:t>
      </w:r>
    </w:p>
    <w:p>
      <w:pPr>
        <w:pStyle w:val="131"/>
        <w:ind w:firstLine="480"/>
        <w:rPr>
          <w:rFonts w:hint="eastAsia"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31"/>
        <w:spacing w:before="0"/>
        <w:ind w:firstLine="480"/>
        <w:rPr>
          <w:rFonts w:hint="eastAsia"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hint="eastAsia"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3"/>
        <w:spacing w:line="360" w:lineRule="auto"/>
        <w:rPr>
          <w:rFonts w:hint="eastAsia" w:hAnsi="宋体" w:cs="宋体"/>
          <w:b/>
          <w:sz w:val="24"/>
          <w:szCs w:val="24"/>
        </w:rPr>
      </w:pPr>
      <w:r>
        <w:rPr>
          <w:rFonts w:hint="eastAsia" w:hAnsi="宋体" w:cs="宋体"/>
          <w:b/>
          <w:sz w:val="24"/>
          <w:szCs w:val="24"/>
        </w:rPr>
        <w:t>15.备份投标文件</w:t>
      </w:r>
    </w:p>
    <w:p>
      <w:pPr>
        <w:pStyle w:val="33"/>
        <w:spacing w:line="360" w:lineRule="auto"/>
        <w:ind w:firstLine="360" w:firstLineChars="150"/>
        <w:rPr>
          <w:rFonts w:hint="eastAsia"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3"/>
        <w:spacing w:line="360" w:lineRule="auto"/>
        <w:ind w:firstLine="480" w:firstLineChars="200"/>
        <w:rPr>
          <w:rFonts w:hint="eastAsia"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3"/>
        <w:spacing w:line="360" w:lineRule="auto"/>
        <w:ind w:firstLine="480" w:firstLineChars="200"/>
        <w:rPr>
          <w:rFonts w:hint="eastAsia"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3"/>
        <w:spacing w:line="360" w:lineRule="auto"/>
        <w:ind w:firstLine="480" w:firstLineChars="200"/>
        <w:rPr>
          <w:rFonts w:hint="eastAsia"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int="eastAsia"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31"/>
        <w:spacing w:before="0"/>
        <w:ind w:firstLine="0" w:firstLineChars="0"/>
        <w:rPr>
          <w:rFonts w:hint="eastAsia" w:ascii="宋体" w:hAnsi="宋体" w:cs="宋体"/>
          <w:b/>
          <w:szCs w:val="24"/>
        </w:rPr>
      </w:pPr>
      <w:r>
        <w:rPr>
          <w:rFonts w:hint="eastAsia" w:ascii="宋体" w:hAnsi="宋体" w:cs="宋体"/>
          <w:b/>
          <w:szCs w:val="24"/>
        </w:rPr>
        <w:t>16.投标文件的无效处理</w:t>
      </w:r>
    </w:p>
    <w:p>
      <w:pPr>
        <w:pStyle w:val="24"/>
        <w:spacing w:line="360" w:lineRule="auto"/>
        <w:ind w:firstLine="360" w:firstLineChars="150"/>
        <w:rPr>
          <w:rFonts w:hint="eastAsia" w:cs="宋体"/>
          <w:szCs w:val="21"/>
        </w:rPr>
      </w:pPr>
      <w:r>
        <w:rPr>
          <w:rFonts w:hint="eastAsia" w:cs="宋体"/>
          <w:szCs w:val="21"/>
        </w:rPr>
        <w:t>有招标文件第四部分</w:t>
      </w:r>
      <w:r>
        <w:rPr>
          <w:rFonts w:hint="eastAsia" w:cs="宋体"/>
        </w:rPr>
        <w:t>4.2规定</w:t>
      </w:r>
      <w:r>
        <w:rPr>
          <w:rFonts w:hint="eastAsia" w:cs="宋体"/>
          <w:szCs w:val="21"/>
        </w:rPr>
        <w:t>的情形之一的，投标无效：</w:t>
      </w:r>
    </w:p>
    <w:p>
      <w:pPr>
        <w:pStyle w:val="131"/>
        <w:spacing w:before="0"/>
        <w:ind w:firstLine="0" w:firstLineChars="0"/>
        <w:rPr>
          <w:rFonts w:hint="eastAsia" w:ascii="宋体" w:hAnsi="宋体" w:cs="宋体"/>
          <w:b/>
          <w:szCs w:val="24"/>
        </w:rPr>
      </w:pPr>
      <w:r>
        <w:rPr>
          <w:rFonts w:hint="eastAsia" w:ascii="宋体" w:hAnsi="宋体" w:cs="宋体"/>
          <w:b/>
          <w:szCs w:val="24"/>
        </w:rPr>
        <w:t>17.投标有效期</w:t>
      </w:r>
    </w:p>
    <w:p>
      <w:pPr>
        <w:spacing w:line="360" w:lineRule="auto"/>
        <w:ind w:firstLine="480" w:firstLineChars="200"/>
        <w:rPr>
          <w:rFonts w:hint="eastAsia"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1"/>
        <w:spacing w:before="0"/>
        <w:ind w:firstLine="480"/>
        <w:rPr>
          <w:rFonts w:hint="eastAsia" w:ascii="宋体" w:hAnsi="宋体" w:cs="宋体"/>
        </w:rPr>
      </w:pPr>
      <w:r>
        <w:rPr>
          <w:rFonts w:hint="eastAsia" w:ascii="宋体" w:hAnsi="宋体" w:cs="宋体"/>
        </w:rPr>
        <w:t>17.2投标文件合格投递后，自投标截止日期起，在投标有效期内有效。</w:t>
      </w:r>
    </w:p>
    <w:p>
      <w:pPr>
        <w:pStyle w:val="131"/>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1"/>
        <w:spacing w:before="0"/>
        <w:ind w:firstLine="480"/>
        <w:rPr>
          <w:rFonts w:hint="eastAsia" w:ascii="宋体" w:hAnsi="宋体" w:cs="宋体"/>
        </w:rPr>
      </w:pPr>
      <w:r>
        <w:rPr>
          <w:rFonts w:hint="eastAsia" w:ascii="宋体" w:hAnsi="宋体" w:cs="宋体"/>
        </w:rPr>
        <w:t>17.4在投标截止时间起至投标有效期届满，供应商投标文件不可撤销。</w:t>
      </w:r>
    </w:p>
    <w:p>
      <w:pPr>
        <w:pStyle w:val="131"/>
        <w:spacing w:before="0"/>
        <w:ind w:firstLine="1928" w:firstLineChars="600"/>
        <w:rPr>
          <w:rFonts w:hint="eastAsia" w:ascii="宋体" w:hAnsi="宋体" w:cs="宋体"/>
          <w:b/>
          <w:sz w:val="32"/>
        </w:rPr>
      </w:pPr>
    </w:p>
    <w:p>
      <w:pPr>
        <w:pStyle w:val="131"/>
        <w:spacing w:before="0"/>
        <w:ind w:firstLine="1928" w:firstLineChars="600"/>
        <w:rPr>
          <w:rFonts w:hint="eastAsia" w:ascii="宋体" w:hAnsi="宋体" w:cs="宋体"/>
          <w:b/>
          <w:sz w:val="32"/>
        </w:rPr>
      </w:pPr>
      <w:r>
        <w:rPr>
          <w:rFonts w:hint="eastAsia" w:ascii="宋体" w:hAnsi="宋体" w:cs="宋体"/>
          <w:b/>
          <w:sz w:val="32"/>
        </w:rPr>
        <w:t>四、开标、资格审查与信用信息查询</w:t>
      </w:r>
    </w:p>
    <w:p>
      <w:pPr>
        <w:pStyle w:val="555"/>
        <w:spacing w:before="0" w:line="360" w:lineRule="auto"/>
        <w:ind w:left="0" w:firstLine="241" w:firstLineChars="100"/>
        <w:contextualSpacing/>
        <w:rPr>
          <w:rFonts w:hint="eastAsia"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5"/>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pStyle w:val="555"/>
        <w:spacing w:before="0" w:line="360" w:lineRule="auto"/>
        <w:ind w:left="0" w:firstLine="241" w:firstLineChars="100"/>
        <w:contextualSpacing/>
        <w:rPr>
          <w:rFonts w:hint="eastAsia" w:ascii="宋体" w:hAnsi="宋体" w:cs="宋体"/>
          <w:b/>
          <w:sz w:val="24"/>
        </w:rPr>
      </w:pPr>
      <w:r>
        <w:rPr>
          <w:rFonts w:hint="eastAsia" w:ascii="宋体" w:hAnsi="宋体" w:cs="宋体"/>
          <w:b/>
          <w:sz w:val="24"/>
        </w:rPr>
        <w:t>19、资格审查</w:t>
      </w:r>
    </w:p>
    <w:p>
      <w:pPr>
        <w:pStyle w:val="131"/>
        <w:spacing w:before="0"/>
        <w:ind w:firstLine="480"/>
        <w:rPr>
          <w:rFonts w:hint="eastAsia" w:ascii="宋体" w:hAnsi="宋体" w:cs="宋体"/>
          <w:kern w:val="0"/>
          <w:szCs w:val="24"/>
        </w:rPr>
      </w:pPr>
      <w:r>
        <w:rPr>
          <w:rFonts w:hint="eastAsia" w:ascii="宋体" w:hAnsi="宋体" w:cs="宋体"/>
          <w:kern w:val="0"/>
          <w:szCs w:val="24"/>
        </w:rPr>
        <w:t>19.1开标后，采购人依据法律法规和招标文件的规定，对投标人的资格进行审查。</w:t>
      </w:r>
    </w:p>
    <w:p>
      <w:pPr>
        <w:pStyle w:val="131"/>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1"/>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3对未通过资格审查的投标人，告知其未通过的原因。</w:t>
      </w:r>
    </w:p>
    <w:p>
      <w:pPr>
        <w:pStyle w:val="131"/>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31"/>
        <w:spacing w:before="0"/>
        <w:ind w:firstLine="241" w:firstLineChars="100"/>
        <w:rPr>
          <w:rFonts w:hint="eastAsia" w:ascii="宋体" w:hAnsi="宋体" w:cs="宋体"/>
          <w:b/>
          <w:szCs w:val="24"/>
        </w:rPr>
      </w:pPr>
      <w:r>
        <w:rPr>
          <w:rFonts w:hint="eastAsia" w:ascii="宋体" w:hAnsi="宋体" w:cs="宋体"/>
          <w:b/>
          <w:szCs w:val="24"/>
        </w:rPr>
        <w:t>20、信用信息查询</w:t>
      </w:r>
    </w:p>
    <w:p>
      <w:pPr>
        <w:pStyle w:val="131"/>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pPr>
        <w:pStyle w:val="131"/>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1"/>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1"/>
        <w:spacing w:before="0"/>
        <w:ind w:firstLine="0" w:firstLineChars="0"/>
        <w:rPr>
          <w:rFonts w:hint="eastAsia" w:ascii="宋体" w:hAnsi="宋体" w:cs="宋体"/>
          <w:kern w:val="0"/>
          <w:szCs w:val="24"/>
        </w:rPr>
      </w:pPr>
    </w:p>
    <w:p>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五、评标</w:t>
      </w:r>
    </w:p>
    <w:p>
      <w:pPr>
        <w:spacing w:line="360" w:lineRule="auto"/>
        <w:rPr>
          <w:rFonts w:hint="eastAsia" w:ascii="宋体" w:hAnsi="宋体" w:cs="宋体"/>
          <w:b/>
          <w:sz w:val="24"/>
        </w:rPr>
      </w:pPr>
      <w:bookmarkStart w:id="25"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hint="eastAsia" w:ascii="宋体" w:hAnsi="宋体" w:cs="宋体"/>
          <w:b/>
          <w:sz w:val="24"/>
        </w:rPr>
      </w:pPr>
    </w:p>
    <w:p>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六、定 标</w:t>
      </w:r>
    </w:p>
    <w:p>
      <w:pPr>
        <w:pStyle w:val="24"/>
        <w:spacing w:line="360" w:lineRule="auto"/>
        <w:ind w:left="479" w:hanging="479" w:hangingChars="199"/>
        <w:rPr>
          <w:rFonts w:hint="eastAsia" w:cs="宋体"/>
          <w:b/>
        </w:rPr>
      </w:pPr>
      <w:r>
        <w:rPr>
          <w:rFonts w:hint="eastAsia" w:cs="宋体"/>
          <w:b/>
        </w:rPr>
        <w:t>22. 确定中标供应商</w:t>
      </w:r>
    </w:p>
    <w:p>
      <w:pPr>
        <w:pStyle w:val="131"/>
        <w:snapToGrid w:val="0"/>
        <w:spacing w:before="0"/>
        <w:ind w:firstLine="480"/>
        <w:rPr>
          <w:rFonts w:hint="eastAsia" w:ascii="宋体" w:hAnsi="宋体" w:cs="宋体"/>
          <w:szCs w:val="24"/>
          <w:highlight w:val="yellow"/>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131"/>
        <w:snapToGrid w:val="0"/>
        <w:spacing w:before="0"/>
        <w:ind w:firstLine="0" w:firstLineChars="0"/>
        <w:rPr>
          <w:rFonts w:hint="eastAsia"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pPr>
        <w:widowControl/>
        <w:numPr>
          <w:ilvl w:val="0"/>
          <w:numId w:val="4"/>
        </w:numPr>
        <w:shd w:val="clear" w:color="auto" w:fill="FFFFFF"/>
        <w:spacing w:line="360" w:lineRule="auto"/>
        <w:jc w:val="left"/>
        <w:rPr>
          <w:rFonts w:hint="eastAsia" w:ascii="宋体" w:hAnsi="宋体" w:cs="宋体"/>
          <w:b/>
          <w:sz w:val="24"/>
        </w:rPr>
      </w:pPr>
      <w:r>
        <w:rPr>
          <w:rFonts w:hint="eastAsia" w:ascii="宋体" w:hAnsi="宋体" w:cs="宋体"/>
          <w:b/>
          <w:sz w:val="24"/>
        </w:rPr>
        <w:t>及时复核供应商材料</w:t>
      </w:r>
    </w:p>
    <w:p>
      <w:pPr>
        <w:widowControl/>
        <w:shd w:val="clear" w:color="auto" w:fill="FFFFFF"/>
        <w:spacing w:line="360" w:lineRule="auto"/>
        <w:ind w:firstLine="480" w:firstLineChars="200"/>
        <w:jc w:val="left"/>
        <w:rPr>
          <w:rFonts w:hint="eastAsia" w:ascii="宋体" w:hAnsi="宋体" w:cs="宋体"/>
          <w:sz w:val="24"/>
        </w:rPr>
      </w:pPr>
      <w:r>
        <w:rPr>
          <w:rFonts w:hint="eastAsia" w:ascii="宋体" w:hAnsi="宋体" w:cs="宋体"/>
          <w:sz w:val="24"/>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pPr>
        <w:snapToGrid w:val="0"/>
        <w:spacing w:line="360" w:lineRule="auto"/>
        <w:ind w:left="120" w:leftChars="57" w:firstLine="482" w:firstLineChars="150"/>
        <w:jc w:val="center"/>
        <w:rPr>
          <w:rFonts w:hint="eastAsia" w:ascii="宋体" w:hAnsi="宋体" w:cs="宋体"/>
          <w:b/>
          <w:sz w:val="32"/>
        </w:rPr>
      </w:pPr>
    </w:p>
    <w:p>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七、合同授予</w:t>
      </w:r>
    </w:p>
    <w:p>
      <w:pPr>
        <w:pStyle w:val="24"/>
        <w:spacing w:line="360" w:lineRule="auto"/>
        <w:ind w:left="479" w:hanging="479" w:hangingChars="199"/>
        <w:rPr>
          <w:rFonts w:hint="eastAsia" w:cs="宋体"/>
          <w:b/>
        </w:rPr>
      </w:pPr>
      <w:r>
        <w:rPr>
          <w:rFonts w:hint="eastAsia" w:cs="宋体"/>
          <w:b/>
        </w:rPr>
        <w:t xml:space="preserve">25. </w:t>
      </w:r>
      <w:r>
        <w:rPr>
          <w:rFonts w:hint="eastAsia" w:cs="宋体"/>
        </w:rPr>
        <w:t>合同主要条款详见第五部分拟签订的合同文本。</w:t>
      </w:r>
    </w:p>
    <w:p>
      <w:pPr>
        <w:pStyle w:val="24"/>
        <w:spacing w:line="360" w:lineRule="auto"/>
        <w:ind w:left="479" w:hanging="479" w:hangingChars="199"/>
        <w:rPr>
          <w:rFonts w:hint="eastAsia" w:cs="宋体"/>
          <w:b/>
        </w:rPr>
      </w:pPr>
      <w:r>
        <w:rPr>
          <w:rFonts w:hint="eastAsia" w:cs="宋体"/>
          <w:b/>
        </w:rPr>
        <w:t>26. 合同的签订</w:t>
      </w:r>
    </w:p>
    <w:p>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sz w:val="24"/>
        </w:rPr>
        <w:t>26.1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hint="eastAsia" w:ascii="宋体" w:hAnsi="宋体" w:cs="宋体"/>
          <w:kern w:val="0"/>
        </w:rPr>
      </w:pPr>
      <w:r>
        <w:rPr>
          <w:rFonts w:hint="eastAsia" w:ascii="宋体" w:hAnsi="宋体" w:cs="宋体"/>
          <w:kern w:val="0"/>
          <w:lang w:val="zh-CN"/>
        </w:rPr>
        <w:t>2</w:t>
      </w:r>
      <w:r>
        <w:rPr>
          <w:rFonts w:hint="eastAsia" w:ascii="宋体" w:hAnsi="宋体" w:cs="宋体"/>
          <w:kern w:val="0"/>
        </w:rPr>
        <w:t>6</w:t>
      </w:r>
      <w:r>
        <w:rPr>
          <w:rFonts w:hint="eastAsia" w:ascii="宋体" w:hAnsi="宋体" w:cs="宋体"/>
          <w:kern w:val="0"/>
          <w:lang w:val="zh-CN"/>
        </w:rPr>
        <w:t>.2中标人按规定的日期、时间、地点，由法定代表人或其授权代表与采购人代表签订合同。如中标人为联合体的，由联合体成员各方法定代表人或其授权代表与采购人代表签订合同。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hint="eastAsia" w:ascii="宋体" w:hAnsi="宋体" w:cs="宋体"/>
        </w:rPr>
      </w:pPr>
      <w:r>
        <w:rPr>
          <w:rFonts w:hint="eastAsia" w:ascii="宋体" w:hAnsi="宋体" w:cs="宋体"/>
        </w:rPr>
        <w:t>26.3如签订合同并生效后，供应商无故拒绝或延期，除按照合同条款处理外，列入不良行为记录一次，并给予通报。</w:t>
      </w:r>
    </w:p>
    <w:p>
      <w:pPr>
        <w:pStyle w:val="131"/>
        <w:snapToGrid w:val="0"/>
        <w:spacing w:before="0"/>
        <w:ind w:firstLine="480"/>
        <w:rPr>
          <w:rFonts w:hint="eastAsia" w:ascii="宋体" w:hAnsi="宋体" w:cs="宋体"/>
        </w:rPr>
      </w:pPr>
      <w:r>
        <w:rPr>
          <w:rFonts w:hint="eastAsia" w:ascii="宋体" w:hAnsi="宋体" w:cs="宋体"/>
        </w:rPr>
        <w:t>26.4中标供应商拒绝与采购人签订合同的，采购人可以按照评审报告推荐的中标或者成交候选人名单排序，确定下一候选人为中标供应商，也可以重新开展政府采购活动。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hint="eastAsia" w:ascii="宋体" w:hAnsi="宋体" w:cs="宋体"/>
        </w:rPr>
      </w:pPr>
      <w:r>
        <w:rPr>
          <w:rFonts w:hint="eastAsia" w:ascii="宋体" w:hAnsi="宋体" w:cs="宋体"/>
        </w:rPr>
        <w:t>26.5采购合同由采购人与中标供应商根据招标文件、投标文件等内容通过政府采购电子交易平台在线签订，自动备案。</w:t>
      </w:r>
    </w:p>
    <w:p>
      <w:pPr>
        <w:pStyle w:val="24"/>
        <w:spacing w:line="360" w:lineRule="auto"/>
        <w:ind w:left="479" w:hanging="479" w:hangingChars="199"/>
        <w:rPr>
          <w:rFonts w:hint="eastAsia" w:cs="宋体"/>
          <w:b/>
        </w:rPr>
      </w:pPr>
      <w:r>
        <w:rPr>
          <w:rFonts w:hint="eastAsia" w:cs="宋体"/>
          <w:b/>
        </w:rPr>
        <w:t>27. 履约保证金</w:t>
      </w:r>
    </w:p>
    <w:p>
      <w:pPr>
        <w:tabs>
          <w:tab w:val="left" w:pos="0"/>
        </w:tabs>
        <w:spacing w:line="360" w:lineRule="auto"/>
        <w:ind w:firstLine="482"/>
        <w:rPr>
          <w:rFonts w:hint="eastAsia"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2"/>
        <w:ind w:left="0" w:firstLine="480" w:firstLineChars="200"/>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pPr>
        <w:pStyle w:val="2"/>
        <w:rPr>
          <w:rFonts w:hint="eastAsia"/>
        </w:rPr>
      </w:pPr>
      <w:r>
        <w:rPr>
          <w:rFonts w:ascii="宋体" w:hAnsi="宋体" w:eastAsia="宋体"/>
          <w:sz w:val="24"/>
          <w:lang w:val="en-US"/>
        </w:rPr>
        <w:t>2</w:t>
      </w:r>
      <w:r>
        <w:rPr>
          <w:rFonts w:hint="eastAsia" w:ascii="宋体" w:hAnsi="宋体" w:eastAsia="宋体"/>
          <w:sz w:val="24"/>
          <w:lang w:val="en-US"/>
        </w:rPr>
        <w:t>8</w:t>
      </w:r>
      <w:r>
        <w:rPr>
          <w:rFonts w:ascii="宋体" w:hAnsi="宋体" w:eastAsia="宋体"/>
          <w:sz w:val="24"/>
          <w:lang w:val="en-US"/>
        </w:rPr>
        <w:t>.预付款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w:t>
      </w:r>
      <w:r>
        <w:rPr>
          <w:rFonts w:hint="eastAsia" w:ascii="宋体" w:hAnsi="宋体" w:cs="宋体"/>
          <w:snapToGrid w:val="0"/>
          <w:kern w:val="28"/>
          <w:sz w:val="24"/>
        </w:rPr>
        <w:t>政采云金融专线95763。</w:t>
      </w:r>
    </w:p>
    <w:p>
      <w:pPr>
        <w:snapToGrid w:val="0"/>
        <w:spacing w:line="360" w:lineRule="auto"/>
        <w:ind w:firstLine="3357" w:firstLineChars="1045"/>
        <w:rPr>
          <w:rFonts w:hint="eastAsia" w:ascii="宋体" w:hAnsi="宋体" w:cs="宋体"/>
          <w:b/>
          <w:sz w:val="32"/>
        </w:rPr>
      </w:pPr>
    </w:p>
    <w:bookmarkEnd w:id="22"/>
    <w:bookmarkEnd w:id="23"/>
    <w:bookmarkEnd w:id="25"/>
    <w:p>
      <w:pPr>
        <w:snapToGrid w:val="0"/>
        <w:spacing w:line="360" w:lineRule="auto"/>
        <w:ind w:firstLine="3357" w:firstLineChars="1045"/>
        <w:rPr>
          <w:rFonts w:hint="eastAsia" w:ascii="宋体" w:hAnsi="宋体" w:cs="宋体"/>
          <w:b/>
          <w:sz w:val="24"/>
        </w:rPr>
      </w:pPr>
      <w:bookmarkStart w:id="26" w:name="第四部分"/>
      <w:r>
        <w:rPr>
          <w:rFonts w:hint="eastAsia" w:ascii="宋体" w:hAnsi="宋体" w:cs="宋体"/>
          <w:b/>
          <w:sz w:val="32"/>
        </w:rPr>
        <w:t>八、电子交易活动的中止</w:t>
      </w:r>
    </w:p>
    <w:p>
      <w:pPr>
        <w:pStyle w:val="131"/>
        <w:snapToGrid w:val="0"/>
        <w:spacing w:before="0"/>
        <w:ind w:firstLine="0" w:firstLineChars="0"/>
        <w:rPr>
          <w:rFonts w:hint="eastAsia" w:ascii="宋体" w:hAnsi="宋体" w:cs="宋体"/>
        </w:rPr>
      </w:pPr>
      <w:r>
        <w:rPr>
          <w:rFonts w:ascii="宋体" w:hAnsi="宋体" w:cs="宋体"/>
          <w:b/>
          <w:bCs/>
        </w:rPr>
        <w:t>2</w:t>
      </w:r>
      <w:r>
        <w:rPr>
          <w:rFonts w:hint="eastAsia" w:ascii="宋体" w:hAnsi="宋体" w:cs="宋体"/>
          <w:b/>
          <w:bCs/>
          <w:szCs w:val="24"/>
        </w:rPr>
        <w:t>9</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31"/>
        <w:snapToGrid w:val="0"/>
        <w:spacing w:before="0"/>
        <w:ind w:firstLine="480"/>
        <w:rPr>
          <w:rFonts w:hint="eastAsia" w:ascii="宋体" w:hAnsi="宋体" w:cs="宋体"/>
        </w:rPr>
      </w:pPr>
      <w:r>
        <w:rPr>
          <w:rFonts w:hint="eastAsia" w:ascii="宋体" w:hAnsi="宋体" w:cs="宋体"/>
        </w:rPr>
        <w:t xml:space="preserve">29.1电子交易平台发生故障而无法登录访问的； </w:t>
      </w:r>
    </w:p>
    <w:p>
      <w:pPr>
        <w:pStyle w:val="131"/>
        <w:snapToGrid w:val="0"/>
        <w:spacing w:before="0"/>
        <w:ind w:firstLine="480"/>
        <w:rPr>
          <w:rFonts w:hint="eastAsia" w:ascii="宋体" w:hAnsi="宋体" w:cs="宋体"/>
        </w:rPr>
      </w:pPr>
      <w:r>
        <w:rPr>
          <w:rFonts w:hint="eastAsia" w:ascii="宋体" w:hAnsi="宋体" w:cs="宋体"/>
        </w:rPr>
        <w:t>29.2电子交易平台应用或数据库出现错误，不能进行正常操作的；</w:t>
      </w:r>
    </w:p>
    <w:p>
      <w:pPr>
        <w:pStyle w:val="131"/>
        <w:snapToGrid w:val="0"/>
        <w:spacing w:before="0"/>
        <w:ind w:firstLine="480"/>
        <w:rPr>
          <w:rFonts w:hint="eastAsia" w:ascii="宋体" w:hAnsi="宋体" w:cs="宋体"/>
        </w:rPr>
      </w:pPr>
      <w:r>
        <w:rPr>
          <w:rFonts w:hint="eastAsia" w:ascii="宋体" w:hAnsi="宋体" w:cs="宋体"/>
        </w:rPr>
        <w:t>29.3电子交易平台发现严重安全漏洞，有潜在泄密危险的；</w:t>
      </w:r>
    </w:p>
    <w:p>
      <w:pPr>
        <w:pStyle w:val="131"/>
        <w:snapToGrid w:val="0"/>
        <w:spacing w:before="0"/>
        <w:ind w:firstLine="480"/>
        <w:rPr>
          <w:rFonts w:hint="eastAsia" w:ascii="宋体" w:hAnsi="宋体" w:cs="宋体"/>
        </w:rPr>
      </w:pPr>
      <w:r>
        <w:rPr>
          <w:rFonts w:hint="eastAsia" w:ascii="宋体" w:hAnsi="宋体" w:cs="宋体"/>
        </w:rPr>
        <w:t xml:space="preserve">29.4病毒发作导致不能进行正常操作的； </w:t>
      </w:r>
    </w:p>
    <w:p>
      <w:pPr>
        <w:pStyle w:val="131"/>
        <w:snapToGrid w:val="0"/>
        <w:spacing w:before="0"/>
        <w:ind w:firstLine="480"/>
        <w:rPr>
          <w:rFonts w:hint="eastAsia" w:ascii="宋体" w:hAnsi="宋体" w:cs="宋体"/>
        </w:rPr>
      </w:pPr>
      <w:r>
        <w:rPr>
          <w:rFonts w:hint="eastAsia" w:ascii="宋体" w:hAnsi="宋体" w:cs="宋体"/>
        </w:rPr>
        <w:t>29.5其他无法保证电子交易的公平、公正和安全的情况。</w:t>
      </w:r>
    </w:p>
    <w:p>
      <w:pPr>
        <w:pStyle w:val="131"/>
        <w:snapToGrid w:val="0"/>
        <w:spacing w:before="0"/>
        <w:ind w:firstLine="0" w:firstLineChars="0"/>
        <w:rPr>
          <w:rFonts w:hint="eastAsia" w:ascii="宋体" w:hAnsi="宋体" w:cs="宋体"/>
        </w:rPr>
      </w:pPr>
      <w:r>
        <w:rPr>
          <w:rFonts w:hint="eastAsia" w:ascii="宋体" w:hAnsi="宋体" w:cs="宋体"/>
        </w:rPr>
        <w:t xml:space="preserve"> </w:t>
      </w:r>
      <w:r>
        <w:rPr>
          <w:rFonts w:hint="eastAsia" w:ascii="宋体" w:hAnsi="宋体" w:cs="宋体"/>
          <w:b/>
          <w:bCs/>
        </w:rPr>
        <w:t>30.</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cs="宋体"/>
          <w:sz w:val="24"/>
        </w:rPr>
      </w:pPr>
    </w:p>
    <w:p>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九、验收</w:t>
      </w:r>
    </w:p>
    <w:p>
      <w:pPr>
        <w:pStyle w:val="24"/>
        <w:spacing w:line="360" w:lineRule="auto"/>
        <w:ind w:firstLine="0" w:firstLineChars="0"/>
        <w:rPr>
          <w:rFonts w:hint="eastAsia" w:cs="宋体"/>
          <w:b/>
        </w:rPr>
      </w:pPr>
      <w:r>
        <w:rPr>
          <w:rFonts w:hint="eastAsia" w:cs="宋体"/>
          <w:b/>
        </w:rPr>
        <w:t>31.验收</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31.2采购人可以邀请参加本项目的其他投标人或者第三方机构参与验收。参与验收的投标人或者第三方机构的意见作为验收书的参考资料一并存档。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27" w:name="_Hlt74714665"/>
      <w:bookmarkEnd w:id="27"/>
      <w:bookmarkStart w:id="28" w:name="_Hlt75236290"/>
      <w:bookmarkEnd w:id="28"/>
      <w:bookmarkStart w:id="29" w:name="_Hlt68403820"/>
      <w:bookmarkEnd w:id="29"/>
      <w:bookmarkStart w:id="30" w:name="_Hlt74729768"/>
      <w:bookmarkEnd w:id="30"/>
      <w:bookmarkStart w:id="31" w:name="_Hlt68072998"/>
      <w:bookmarkEnd w:id="31"/>
      <w:bookmarkStart w:id="32" w:name="_Hlt68072990"/>
      <w:bookmarkEnd w:id="32"/>
      <w:bookmarkStart w:id="33" w:name="_Hlt68073093"/>
      <w:bookmarkEnd w:id="33"/>
      <w:bookmarkStart w:id="34" w:name="_Hlt74707468"/>
      <w:bookmarkEnd w:id="34"/>
      <w:bookmarkStart w:id="35" w:name="_Hlt68057669"/>
      <w:bookmarkEnd w:id="35"/>
      <w:bookmarkStart w:id="36" w:name="_Hlt75236101"/>
      <w:bookmarkEnd w:id="36"/>
      <w:bookmarkStart w:id="37" w:name="_Hlt75236011"/>
      <w:bookmarkEnd w:id="37"/>
      <w:bookmarkStart w:id="38" w:name="_Hlt74730295"/>
      <w:bookmarkEnd w:id="38"/>
    </w:p>
    <w:p>
      <w:pPr>
        <w:pStyle w:val="969"/>
        <w:spacing w:line="360" w:lineRule="auto"/>
        <w:ind w:firstLine="480"/>
        <w:rPr>
          <w:rFonts w:hint="eastAsia"/>
        </w:rPr>
      </w:pPr>
      <w:r>
        <w:rPr>
          <w:rFonts w:hint="eastAsia" w:ascii="宋体" w:hAnsi="宋体" w:eastAsia="宋体" w:cs="宋体"/>
          <w:kern w:val="0"/>
          <w:sz w:val="24"/>
          <w:szCs w:val="24"/>
          <w:lang w:val="en-US"/>
        </w:rPr>
        <w:t>31.5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tabs>
          <w:tab w:val="left" w:pos="0"/>
        </w:tabs>
        <w:spacing w:line="360" w:lineRule="auto"/>
        <w:ind w:firstLine="480"/>
        <w:rPr>
          <w:rFonts w:hint="eastAsia"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docGrid w:linePitch="312" w:charSpace="0"/>
        </w:sectPr>
      </w:pPr>
    </w:p>
    <w:p>
      <w:pPr>
        <w:spacing w:line="360" w:lineRule="auto"/>
        <w:jc w:val="center"/>
        <w:outlineLvl w:val="0"/>
      </w:pPr>
      <w:r>
        <w:rPr>
          <w:rFonts w:hint="eastAsia" w:ascii="宋体" w:hAnsi="宋体" w:cs="宋体"/>
          <w:b/>
          <w:sz w:val="36"/>
          <w:szCs w:val="36"/>
        </w:rPr>
        <w:t>第三部分   采购需求</w:t>
      </w:r>
    </w:p>
    <w:p>
      <w:pPr>
        <w:adjustRightInd/>
        <w:spacing w:before="120" w:beforeLines="50" w:after="120" w:afterLines="50" w:line="360" w:lineRule="auto"/>
        <w:jc w:val="center"/>
        <w:outlineLvl w:val="1"/>
        <w:rPr>
          <w:rFonts w:hint="eastAsia" w:asciiTheme="minorEastAsia" w:hAnsiTheme="minorEastAsia" w:eastAsiaTheme="minorEastAsia"/>
          <w:b/>
          <w:bCs/>
          <w:sz w:val="24"/>
        </w:rPr>
      </w:pPr>
      <w:r>
        <w:rPr>
          <w:rFonts w:hint="eastAsia" w:asciiTheme="minorEastAsia" w:hAnsiTheme="minorEastAsia" w:eastAsiaTheme="minorEastAsia"/>
          <w:b/>
          <w:bCs/>
          <w:sz w:val="24"/>
        </w:rPr>
        <w:t>属于实质性要求条款的，已用符号“▲”标明，</w:t>
      </w:r>
      <w:r>
        <w:rPr>
          <w:rFonts w:hint="eastAsia" w:ascii="宋体" w:hAnsi="宋体" w:cs="宋体"/>
          <w:b/>
          <w:bCs/>
          <w:sz w:val="24"/>
        </w:rPr>
        <w:t>不满足的将作无效标处理</w:t>
      </w:r>
      <w:r>
        <w:rPr>
          <w:rFonts w:hint="eastAsia" w:asciiTheme="minorEastAsia" w:hAnsiTheme="minorEastAsia" w:eastAsiaTheme="minorEastAsia"/>
          <w:b/>
          <w:bCs/>
          <w:sz w:val="24"/>
        </w:rPr>
        <w:t>。</w:t>
      </w:r>
    </w:p>
    <w:p>
      <w:pPr>
        <w:spacing w:line="360" w:lineRule="auto"/>
        <w:ind w:firstLine="480" w:firstLineChars="200"/>
        <w:rPr>
          <w:rFonts w:hint="eastAsia" w:ascii="宋体" w:hAnsi="宋体" w:cs="宋体"/>
          <w:kern w:val="0"/>
          <w:sz w:val="24"/>
        </w:rPr>
      </w:pPr>
      <w:r>
        <w:rPr>
          <w:rFonts w:hint="eastAsia" w:asciiTheme="minorEastAsia" w:hAnsiTheme="minorEastAsia" w:eastAsiaTheme="minorEastAsia"/>
          <w:sz w:val="24"/>
        </w:rPr>
        <w:t>本项目核心产品：</w:t>
      </w:r>
      <w:r>
        <w:rPr>
          <w:rFonts w:hint="eastAsia" w:ascii="宋体" w:hAnsi="宋体" w:cs="宋体"/>
          <w:kern w:val="0"/>
          <w:sz w:val="24"/>
        </w:rPr>
        <w:t>室外P3全彩色显示屏、室内P1.53全彩色显示屏、室内P2全彩色显示屏。</w:t>
      </w:r>
    </w:p>
    <w:p>
      <w:pPr>
        <w:pStyle w:val="2"/>
        <w:keepNext w:val="0"/>
        <w:jc w:val="both"/>
        <w:rPr>
          <w:rFonts w:hint="eastAsia" w:ascii="宋体" w:hAnsi="宋体" w:eastAsia="宋体" w:cs="宋体"/>
        </w:rPr>
      </w:pPr>
      <w:r>
        <w:rPr>
          <w:rFonts w:hint="eastAsia" w:ascii="宋体" w:hAnsi="宋体" w:eastAsia="宋体" w:cs="宋体"/>
        </w:rPr>
        <w:t>一、总体要求</w:t>
      </w:r>
    </w:p>
    <w:p>
      <w:pPr>
        <w:spacing w:line="360" w:lineRule="auto"/>
        <w:ind w:left="92" w:leftChars="44" w:right="-147" w:rightChars="-70" w:firstLine="600" w:firstLineChars="250"/>
        <w:rPr>
          <w:rFonts w:hint="eastAsia" w:ascii="宋体" w:hAnsi="宋体" w:cs="宋体"/>
          <w:sz w:val="24"/>
        </w:rPr>
      </w:pPr>
      <w:r>
        <w:rPr>
          <w:rFonts w:hint="eastAsia" w:ascii="宋体" w:hAnsi="宋体" w:cs="宋体"/>
          <w:sz w:val="24"/>
        </w:rPr>
        <w:t>1、主要技术要求：学校新校区在造，土建，初步完成，进入装修环节，根据实际情况，要求产品符合国家对相关产品的技术规范和质量标准。</w:t>
      </w:r>
    </w:p>
    <w:p>
      <w:pPr>
        <w:spacing w:line="360" w:lineRule="auto"/>
        <w:ind w:left="92" w:leftChars="44" w:right="-147" w:rightChars="-70" w:firstLine="600" w:firstLineChars="250"/>
        <w:rPr>
          <w:rFonts w:hint="eastAsia" w:ascii="宋体" w:hAnsi="宋体" w:cs="宋体"/>
          <w:sz w:val="24"/>
        </w:rPr>
      </w:pPr>
      <w:r>
        <w:rPr>
          <w:rFonts w:hint="eastAsia" w:ascii="宋体" w:hAnsi="宋体" w:cs="宋体"/>
          <w:sz w:val="24"/>
        </w:rPr>
        <w:t>2、售后服务：免费上门服务，质保不低于三年。</w:t>
      </w:r>
    </w:p>
    <w:p>
      <w:pPr>
        <w:spacing w:line="360" w:lineRule="auto"/>
        <w:ind w:left="92" w:leftChars="44" w:right="-147" w:rightChars="-70" w:firstLine="480" w:firstLineChars="200"/>
        <w:rPr>
          <w:rFonts w:hint="eastAsia" w:ascii="宋体" w:hAnsi="宋体" w:cs="宋体"/>
          <w:sz w:val="24"/>
        </w:rPr>
      </w:pPr>
      <w:r>
        <w:rPr>
          <w:rFonts w:hint="eastAsia" w:ascii="宋体" w:hAnsi="宋体" w:cs="宋体"/>
          <w:sz w:val="24"/>
        </w:rPr>
        <w:t>3、保修条件：符合国家质量监督检验检疫总局和其它相关规定。</w:t>
      </w:r>
    </w:p>
    <w:p>
      <w:pPr>
        <w:spacing w:line="360" w:lineRule="auto"/>
        <w:ind w:left="92" w:leftChars="44" w:right="-147" w:rightChars="-70" w:firstLine="480" w:firstLineChars="200"/>
        <w:rPr>
          <w:rFonts w:hint="eastAsia" w:ascii="宋体" w:hAnsi="宋体" w:cs="宋体"/>
          <w:sz w:val="24"/>
        </w:rPr>
      </w:pPr>
      <w:r>
        <w:rPr>
          <w:rFonts w:hint="eastAsia" w:ascii="宋体" w:hAnsi="宋体" w:cs="宋体"/>
          <w:sz w:val="24"/>
        </w:rPr>
        <w:t>4、供货时间：在合同生效后</w:t>
      </w:r>
      <w:r>
        <w:rPr>
          <w:rFonts w:hint="eastAsia" w:ascii="宋体" w:hAnsi="宋体" w:cs="宋体"/>
          <w:b/>
          <w:sz w:val="24"/>
        </w:rPr>
        <w:t>20天</w:t>
      </w:r>
      <w:r>
        <w:rPr>
          <w:rFonts w:hint="eastAsia" w:ascii="宋体" w:hAnsi="宋体" w:cs="宋体"/>
          <w:sz w:val="24"/>
        </w:rPr>
        <w:t>内，供应商需将所供产品（出厂原包装）按合同清单所列的采购单位、地址以及货物品种、数量等，运至指定地点拆箱，并负责安装、调试，由采购单位负责验收，在产品试运行1个月后交付使用。</w:t>
      </w:r>
    </w:p>
    <w:p>
      <w:pPr>
        <w:spacing w:line="360" w:lineRule="auto"/>
        <w:ind w:left="92" w:leftChars="44" w:right="-147" w:rightChars="-70" w:firstLine="480" w:firstLineChars="200"/>
        <w:rPr>
          <w:rFonts w:hint="eastAsia" w:ascii="宋体" w:hAnsi="宋体" w:cs="宋体"/>
          <w:sz w:val="24"/>
        </w:rPr>
      </w:pPr>
      <w:r>
        <w:rPr>
          <w:rFonts w:hint="eastAsia" w:ascii="宋体" w:hAnsi="宋体" w:cs="宋体"/>
          <w:sz w:val="24"/>
        </w:rPr>
        <w:t>5、验收条件：开箱验收：清点产品装箱内容符合装箱单所列并符合招标文件要求和承诺书承诺；开机验收：产品应通电开机后进行所规定时间的试验运行后方可验收。</w:t>
      </w:r>
    </w:p>
    <w:p>
      <w:pPr>
        <w:spacing w:line="360" w:lineRule="auto"/>
        <w:ind w:left="92" w:leftChars="44" w:right="-147" w:rightChars="-70" w:firstLine="480" w:firstLineChars="200"/>
        <w:rPr>
          <w:rFonts w:hint="eastAsia" w:ascii="宋体" w:hAnsi="宋体" w:cs="宋体"/>
          <w:sz w:val="24"/>
        </w:rPr>
      </w:pPr>
      <w:r>
        <w:rPr>
          <w:rFonts w:hint="eastAsia" w:ascii="宋体" w:hAnsi="宋体" w:cs="宋体"/>
          <w:sz w:val="24"/>
        </w:rPr>
        <w:t>6、投标人的主机和所有配件、附件，必须保证产品的序列号、产品型号统一对应、描述一致。必须是2024年7月1日以后生产的原装合格产品，未曾开箱使用，与合同规定的型号与配置相一致，产品安装调试完毕后，能在其功能范围内保障用户的系统安全、稳定运行。软件产品是原厂产品包或原厂家提供许可证协议的正版软件，并符合采购单位的采购要求。</w:t>
      </w:r>
    </w:p>
    <w:p>
      <w:pPr>
        <w:pStyle w:val="2"/>
        <w:keepNext w:val="0"/>
        <w:jc w:val="both"/>
        <w:rPr>
          <w:rFonts w:hint="eastAsia" w:ascii="宋体" w:hAnsi="宋体" w:eastAsia="宋体" w:cs="宋体"/>
        </w:rPr>
      </w:pPr>
      <w:r>
        <w:rPr>
          <w:rFonts w:hint="eastAsia" w:ascii="宋体" w:hAnsi="宋体" w:eastAsia="宋体" w:cs="宋体"/>
        </w:rPr>
        <w:t>二、其它技术要求</w:t>
      </w:r>
    </w:p>
    <w:p>
      <w:pPr>
        <w:spacing w:line="360" w:lineRule="auto"/>
        <w:ind w:firstLine="540"/>
        <w:rPr>
          <w:rFonts w:hint="eastAsia" w:ascii="宋体" w:hAnsi="宋体" w:cs="宋体"/>
          <w:sz w:val="24"/>
        </w:rPr>
      </w:pPr>
      <w:r>
        <w:rPr>
          <w:rFonts w:hint="eastAsia" w:ascii="宋体" w:hAnsi="宋体" w:cs="宋体"/>
          <w:sz w:val="24"/>
        </w:rPr>
        <w:t>所投设备的应详细列明投标设备的所有技术指标（包括所投设备的品牌、规格型号、详细配置、主要技术参数、随机软件等），明确表示该项指标所涉及的软硬件是标准配置还是选择配置。同时还须包括产品说明书或产品主要技术资料和性能的详细描述，产品制造、安装、验收标准，详细的交货时所配文件清单、主要部件明细表（包括品牌、制造厂名和主要技术参数）等，任何含糊不清的表述对评标结果的影响将是投标人的责任。</w:t>
      </w:r>
    </w:p>
    <w:p>
      <w:pPr>
        <w:pStyle w:val="2"/>
        <w:keepNext w:val="0"/>
        <w:jc w:val="both"/>
        <w:rPr>
          <w:rFonts w:hint="eastAsia" w:ascii="宋体" w:hAnsi="宋体" w:eastAsia="宋体" w:cs="宋体"/>
        </w:rPr>
      </w:pPr>
      <w:r>
        <w:rPr>
          <w:rFonts w:hint="eastAsia" w:ascii="宋体" w:hAnsi="宋体" w:eastAsia="宋体" w:cs="宋体"/>
        </w:rPr>
        <w:t>三、供货其它要求</w:t>
      </w:r>
    </w:p>
    <w:p>
      <w:pPr>
        <w:spacing w:line="360" w:lineRule="auto"/>
        <w:ind w:left="92" w:leftChars="44" w:right="-147" w:rightChars="-70" w:firstLine="480" w:firstLineChars="200"/>
        <w:rPr>
          <w:rFonts w:hint="eastAsia" w:ascii="宋体" w:hAnsi="宋体" w:cs="宋体"/>
          <w:sz w:val="24"/>
        </w:rPr>
      </w:pPr>
      <w:r>
        <w:rPr>
          <w:rFonts w:hint="eastAsia" w:ascii="宋体" w:hAnsi="宋体" w:cs="宋体"/>
          <w:sz w:val="24"/>
        </w:rPr>
        <w:t>本次招标的供货除包括上述设备外，还应包括随机的辅助设备、专用电线电缆、随机软件、技术资料（包括操作手册、使用指南、维修指南和含维修网点在内的服务手册等）、设备运行所必需的随机消耗材料，相应的技术服务与质量保证。</w:t>
      </w:r>
    </w:p>
    <w:p>
      <w:pPr>
        <w:pStyle w:val="2"/>
        <w:keepNext w:val="0"/>
        <w:jc w:val="both"/>
        <w:rPr>
          <w:rFonts w:hint="eastAsia" w:ascii="宋体" w:hAnsi="宋体" w:eastAsia="宋体" w:cs="宋体"/>
        </w:rPr>
      </w:pPr>
      <w:r>
        <w:rPr>
          <w:rFonts w:hint="eastAsia" w:ascii="宋体" w:hAnsi="宋体" w:eastAsia="宋体" w:cs="宋体"/>
        </w:rPr>
        <w:t>四、服务与培训要求</w:t>
      </w:r>
    </w:p>
    <w:p>
      <w:pPr>
        <w:pStyle w:val="15"/>
        <w:spacing w:line="360" w:lineRule="auto"/>
        <w:ind w:firstLine="549" w:firstLineChars="228"/>
        <w:rPr>
          <w:rFonts w:hint="eastAsia" w:hAnsi="宋体" w:cs="宋体"/>
          <w:b/>
          <w:sz w:val="24"/>
          <w:szCs w:val="21"/>
        </w:rPr>
      </w:pPr>
      <w:r>
        <w:rPr>
          <w:rFonts w:hint="eastAsia" w:hAnsi="宋体" w:cs="宋体"/>
          <w:b/>
          <w:sz w:val="24"/>
          <w:szCs w:val="21"/>
        </w:rPr>
        <w:t>（一）服务要求</w:t>
      </w:r>
    </w:p>
    <w:p>
      <w:pPr>
        <w:pStyle w:val="15"/>
        <w:spacing w:line="360" w:lineRule="auto"/>
        <w:ind w:firstLine="547" w:firstLineChars="228"/>
        <w:rPr>
          <w:rFonts w:hint="eastAsia" w:hAnsi="宋体" w:cs="宋体"/>
          <w:sz w:val="24"/>
          <w:szCs w:val="24"/>
        </w:rPr>
      </w:pPr>
      <w:r>
        <w:rPr>
          <w:rFonts w:hint="eastAsia" w:hAnsi="宋体" w:cs="宋体"/>
          <w:sz w:val="24"/>
          <w:szCs w:val="24"/>
        </w:rPr>
        <w:t>1、质量保证：</w:t>
      </w:r>
    </w:p>
    <w:p>
      <w:pPr>
        <w:pStyle w:val="15"/>
        <w:spacing w:line="360" w:lineRule="auto"/>
        <w:ind w:firstLine="547" w:firstLineChars="228"/>
        <w:rPr>
          <w:rFonts w:hint="eastAsia" w:hAnsi="宋体" w:cs="宋体"/>
          <w:sz w:val="24"/>
          <w:szCs w:val="24"/>
        </w:rPr>
      </w:pPr>
      <w:r>
        <w:rPr>
          <w:rFonts w:hint="eastAsia" w:hAnsi="宋体" w:cs="宋体"/>
          <w:sz w:val="24"/>
          <w:szCs w:val="24"/>
        </w:rPr>
        <w:t>（1）投标货物必须是经国家“3C”认证的符合国家技术规范和质量标准的合格产品，满足采购单位的使用需求，并具有可靠的售后服务体系，质量可靠、使用安全；</w:t>
      </w:r>
    </w:p>
    <w:p>
      <w:pPr>
        <w:pStyle w:val="15"/>
        <w:spacing w:line="360" w:lineRule="auto"/>
        <w:ind w:firstLine="547" w:firstLineChars="228"/>
        <w:rPr>
          <w:rFonts w:hint="eastAsia" w:hAnsi="宋体" w:cs="宋体"/>
          <w:sz w:val="24"/>
          <w:szCs w:val="24"/>
        </w:rPr>
      </w:pPr>
      <w:r>
        <w:rPr>
          <w:rFonts w:hint="eastAsia" w:hAnsi="宋体" w:cs="宋体"/>
          <w:sz w:val="24"/>
          <w:szCs w:val="24"/>
        </w:rPr>
        <w:t>（2）投标人保证其提供的货物中所有预装和为本项目安装的软件均为具有合法版权或使用权的正版软件且无质量瑕疵；</w:t>
      </w:r>
    </w:p>
    <w:p>
      <w:pPr>
        <w:pStyle w:val="15"/>
        <w:spacing w:line="360" w:lineRule="auto"/>
        <w:ind w:firstLine="547" w:firstLineChars="228"/>
        <w:rPr>
          <w:rFonts w:hint="eastAsia" w:hAnsi="宋体" w:cs="宋体"/>
          <w:sz w:val="24"/>
          <w:szCs w:val="24"/>
        </w:rPr>
      </w:pPr>
      <w:r>
        <w:rPr>
          <w:rFonts w:hint="eastAsia" w:hAnsi="宋体" w:cs="宋体"/>
          <w:sz w:val="24"/>
          <w:szCs w:val="24"/>
        </w:rPr>
        <w:t>（3）在质保期内，如遇软件产品升级、改版，应免费提供更新、升级服务。</w:t>
      </w:r>
    </w:p>
    <w:p>
      <w:pPr>
        <w:pStyle w:val="15"/>
        <w:spacing w:line="360" w:lineRule="auto"/>
        <w:rPr>
          <w:rFonts w:hint="eastAsia" w:hAnsi="宋体" w:cs="宋体"/>
          <w:sz w:val="24"/>
          <w:szCs w:val="24"/>
        </w:rPr>
      </w:pPr>
      <w:r>
        <w:rPr>
          <w:rFonts w:hint="eastAsia" w:hAnsi="宋体" w:cs="宋体"/>
          <w:sz w:val="24"/>
          <w:szCs w:val="24"/>
        </w:rPr>
        <w:t>2、要求投标人提供不低于标准服务，即与投标设备制造厂商对外公众网站上公布的有效服务标准相一致（投标人不得另行制作网页）。在标准服务基础上，投标人还应达到以下标准：</w:t>
      </w:r>
    </w:p>
    <w:p>
      <w:pPr>
        <w:pStyle w:val="15"/>
        <w:spacing w:line="360" w:lineRule="auto"/>
        <w:ind w:firstLine="547" w:firstLineChars="228"/>
        <w:rPr>
          <w:rFonts w:hint="eastAsia"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投标设备的品质和服务由供应商对采购单位负责；</w:t>
      </w:r>
    </w:p>
    <w:p>
      <w:pPr>
        <w:pStyle w:val="15"/>
        <w:spacing w:line="360" w:lineRule="auto"/>
        <w:ind w:firstLine="547" w:firstLineChars="228"/>
        <w:rPr>
          <w:rFonts w:hint="eastAsia"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投标人应明确说明此次投标的服务策略，提供此次投标设备的服务计划（售后服务内容、等级、相关服务指标、售后服务组织机构及人员安排情况及其联络信息）；</w:t>
      </w:r>
    </w:p>
    <w:p>
      <w:pPr>
        <w:pStyle w:val="15"/>
        <w:spacing w:line="360" w:lineRule="auto"/>
        <w:ind w:firstLine="547" w:firstLineChars="228"/>
        <w:rPr>
          <w:rFonts w:hint="eastAsia" w:hAnsi="宋体" w:cs="宋体"/>
          <w:sz w:val="24"/>
          <w:szCs w:val="24"/>
        </w:rPr>
      </w:pPr>
      <w:r>
        <w:rPr>
          <w:rFonts w:hint="eastAsia" w:hAnsi="宋体" w:cs="宋体"/>
          <w:sz w:val="24"/>
          <w:szCs w:val="24"/>
        </w:rPr>
        <w:t>（3）</w:t>
      </w:r>
      <w:r>
        <w:rPr>
          <w:rFonts w:hint="eastAsia" w:hAnsi="宋体" w:cs="宋体"/>
          <w:sz w:val="24"/>
          <w:szCs w:val="24"/>
        </w:rPr>
        <w:tab/>
      </w:r>
      <w:r>
        <w:rPr>
          <w:rFonts w:hint="eastAsia" w:hAnsi="宋体" w:cs="宋体"/>
          <w:sz w:val="24"/>
          <w:szCs w:val="24"/>
        </w:rPr>
        <w:t>在质保期内除提供设备标准现场保修和技术支持服务外，还应保证相关配套设备及配件等设备三年的服务承诺及备品、备件支持，以满足最终用户硬件故障、升级的要求；</w:t>
      </w:r>
    </w:p>
    <w:p>
      <w:pPr>
        <w:pStyle w:val="15"/>
        <w:spacing w:line="360" w:lineRule="auto"/>
        <w:ind w:firstLine="547" w:firstLineChars="228"/>
        <w:rPr>
          <w:rFonts w:hint="eastAsia" w:hAnsi="宋体" w:cs="宋体"/>
          <w:sz w:val="24"/>
          <w:szCs w:val="24"/>
        </w:rPr>
      </w:pPr>
      <w:r>
        <w:rPr>
          <w:rFonts w:hint="eastAsia" w:hAnsi="宋体" w:cs="宋体"/>
          <w:sz w:val="24"/>
          <w:szCs w:val="24"/>
        </w:rPr>
        <w:t>（4）</w:t>
      </w:r>
      <w:r>
        <w:rPr>
          <w:rFonts w:hint="eastAsia" w:hAnsi="宋体" w:cs="宋体"/>
          <w:sz w:val="24"/>
          <w:szCs w:val="24"/>
        </w:rPr>
        <w:tab/>
      </w:r>
      <w:r>
        <w:rPr>
          <w:rFonts w:hint="eastAsia" w:hAnsi="宋体" w:cs="宋体"/>
          <w:sz w:val="24"/>
          <w:szCs w:val="24"/>
        </w:rPr>
        <w:t>在投标设备质保期内，供应商应提供7</w:t>
      </w:r>
      <w:r>
        <w:rPr>
          <w:rFonts w:hint="eastAsia" w:hAnsi="宋体" w:cs="宋体"/>
          <w:color w:val="auto"/>
          <w:sz w:val="24"/>
          <w:szCs w:val="24"/>
        </w:rPr>
        <w:t>×</w:t>
      </w:r>
      <w:r>
        <w:rPr>
          <w:rFonts w:hint="eastAsia" w:hAnsi="宋体" w:cs="宋体"/>
          <w:sz w:val="24"/>
          <w:szCs w:val="24"/>
        </w:rPr>
        <w:t>24小时的免费现场技术服务，对故障在1小时内响应，2小时以内到现场，4小时以内解决问题；</w:t>
      </w:r>
      <w:r>
        <w:rPr>
          <w:rFonts w:hint="eastAsia" w:hAnsi="宋体" w:cs="宋体"/>
          <w:b/>
          <w:sz w:val="24"/>
          <w:szCs w:val="24"/>
        </w:rPr>
        <w:t>12小时内不能解决问题的</w:t>
      </w:r>
      <w:r>
        <w:rPr>
          <w:rFonts w:hint="eastAsia" w:hAnsi="宋体" w:cs="宋体"/>
          <w:b/>
          <w:sz w:val="24"/>
          <w:szCs w:val="24"/>
          <w:lang w:val="zh-CN"/>
        </w:rPr>
        <w:t>，必须提供备机</w:t>
      </w:r>
      <w:r>
        <w:rPr>
          <w:rFonts w:hint="eastAsia" w:hAnsi="宋体" w:cs="宋体"/>
          <w:sz w:val="24"/>
          <w:szCs w:val="24"/>
          <w:lang w:val="zh-CN"/>
        </w:rPr>
        <w:t>，</w:t>
      </w:r>
      <w:r>
        <w:rPr>
          <w:rFonts w:hint="eastAsia" w:hAnsi="宋体" w:cs="宋体"/>
          <w:sz w:val="24"/>
          <w:szCs w:val="24"/>
        </w:rPr>
        <w:t xml:space="preserve">以保证采购单位的正常使用。如果逾期未作出响应，则由于故障所造成的全部损失由供应商承担； </w:t>
      </w:r>
    </w:p>
    <w:p>
      <w:pPr>
        <w:pStyle w:val="15"/>
        <w:spacing w:line="360" w:lineRule="auto"/>
        <w:ind w:firstLine="547" w:firstLineChars="228"/>
        <w:rPr>
          <w:rFonts w:hint="eastAsia" w:hAnsi="宋体" w:cs="宋体"/>
          <w:sz w:val="24"/>
          <w:szCs w:val="24"/>
        </w:rPr>
      </w:pPr>
      <w:r>
        <w:rPr>
          <w:rFonts w:hint="eastAsia" w:hAnsi="宋体" w:cs="宋体"/>
          <w:sz w:val="24"/>
          <w:szCs w:val="24"/>
        </w:rPr>
        <w:t>（5）</w:t>
      </w:r>
      <w:r>
        <w:rPr>
          <w:rFonts w:hint="eastAsia" w:hAnsi="宋体" w:cs="宋体"/>
          <w:sz w:val="24"/>
          <w:szCs w:val="24"/>
        </w:rPr>
        <w:tab/>
      </w:r>
      <w:r>
        <w:rPr>
          <w:rFonts w:hint="eastAsia" w:hAnsi="宋体" w:cs="宋体"/>
          <w:sz w:val="24"/>
          <w:szCs w:val="24"/>
        </w:rPr>
        <w:t>当投标货物发生非人为因素严重故障时，供应商应当免费在七日内将补充或者更换的货物运抵发生故障的货物所在地，由此产生的一切相关费用由供应商负担；</w:t>
      </w:r>
    </w:p>
    <w:p>
      <w:pPr>
        <w:pStyle w:val="15"/>
        <w:spacing w:line="360" w:lineRule="auto"/>
        <w:ind w:firstLine="547" w:firstLineChars="228"/>
        <w:rPr>
          <w:rFonts w:hint="eastAsia" w:hAnsi="宋体" w:cs="宋体"/>
          <w:sz w:val="24"/>
          <w:szCs w:val="24"/>
        </w:rPr>
      </w:pPr>
      <w:r>
        <w:rPr>
          <w:rFonts w:hint="eastAsia" w:hAnsi="宋体" w:cs="宋体"/>
          <w:sz w:val="24"/>
          <w:szCs w:val="24"/>
        </w:rPr>
        <w:t>（6）</w:t>
      </w:r>
      <w:r>
        <w:rPr>
          <w:rFonts w:hint="eastAsia" w:hAnsi="宋体" w:cs="宋体"/>
          <w:sz w:val="24"/>
          <w:szCs w:val="24"/>
        </w:rPr>
        <w:tab/>
      </w:r>
      <w:r>
        <w:rPr>
          <w:rFonts w:hint="eastAsia" w:hAnsi="宋体" w:cs="宋体"/>
          <w:sz w:val="24"/>
          <w:szCs w:val="24"/>
        </w:rPr>
        <w:t>质保期内所有因更换或修理设备或部件而导致设备停止运行的时间应从其质保期内扣除；</w:t>
      </w:r>
    </w:p>
    <w:p>
      <w:pPr>
        <w:pStyle w:val="15"/>
        <w:spacing w:line="360" w:lineRule="auto"/>
        <w:ind w:firstLine="547" w:firstLineChars="228"/>
        <w:rPr>
          <w:rFonts w:hint="eastAsia" w:hAnsi="宋体" w:cs="宋体"/>
          <w:sz w:val="24"/>
          <w:szCs w:val="24"/>
        </w:rPr>
      </w:pPr>
      <w:r>
        <w:rPr>
          <w:rFonts w:hint="eastAsia" w:hAnsi="宋体" w:cs="宋体"/>
          <w:sz w:val="24"/>
          <w:szCs w:val="24"/>
        </w:rPr>
        <w:t>（7）</w:t>
      </w:r>
      <w:r>
        <w:rPr>
          <w:rFonts w:hint="eastAsia" w:hAnsi="宋体" w:cs="宋体"/>
          <w:sz w:val="24"/>
          <w:szCs w:val="24"/>
        </w:rPr>
        <w:tab/>
      </w:r>
      <w:r>
        <w:rPr>
          <w:rFonts w:hint="eastAsia" w:hAnsi="宋体" w:cs="宋体"/>
          <w:sz w:val="24"/>
          <w:szCs w:val="24"/>
        </w:rPr>
        <w:t>供应商在质保期内安装的任何零配件，必须是其投标设备制造厂商原产的或是经其认可的；</w:t>
      </w:r>
    </w:p>
    <w:p>
      <w:pPr>
        <w:pStyle w:val="15"/>
        <w:spacing w:line="360" w:lineRule="auto"/>
        <w:ind w:firstLine="547" w:firstLineChars="228"/>
        <w:rPr>
          <w:rFonts w:hint="eastAsia" w:hAnsi="宋体" w:cs="宋体"/>
          <w:sz w:val="24"/>
          <w:szCs w:val="24"/>
        </w:rPr>
      </w:pPr>
      <w:r>
        <w:rPr>
          <w:rFonts w:hint="eastAsia" w:hAnsi="宋体" w:cs="宋体"/>
          <w:sz w:val="24"/>
          <w:szCs w:val="24"/>
        </w:rPr>
        <w:t>（8）</w:t>
      </w:r>
      <w:r>
        <w:rPr>
          <w:rFonts w:hint="eastAsia" w:hAnsi="宋体" w:cs="宋体"/>
          <w:sz w:val="24"/>
          <w:szCs w:val="24"/>
        </w:rPr>
        <w:tab/>
      </w:r>
      <w:r>
        <w:rPr>
          <w:rFonts w:hint="eastAsia" w:hAnsi="宋体" w:cs="宋体"/>
          <w:sz w:val="24"/>
          <w:szCs w:val="24"/>
        </w:rPr>
        <w:t>所有的替代零配件必须是新的未使用和未经修复的，除非最终用户提供书面许可，否则不可使用此范围外的其他（非新的）配件；</w:t>
      </w:r>
    </w:p>
    <w:p>
      <w:pPr>
        <w:pStyle w:val="15"/>
        <w:spacing w:line="360" w:lineRule="auto"/>
        <w:ind w:firstLine="547" w:firstLineChars="228"/>
        <w:rPr>
          <w:rFonts w:hint="eastAsia" w:hAnsi="宋体" w:cs="宋体"/>
          <w:sz w:val="24"/>
          <w:szCs w:val="24"/>
        </w:rPr>
      </w:pPr>
      <w:r>
        <w:rPr>
          <w:rFonts w:hint="eastAsia" w:hAnsi="宋体" w:cs="宋体"/>
          <w:sz w:val="24"/>
          <w:szCs w:val="24"/>
        </w:rPr>
        <w:t>（9） 供应商必须为维修和技术支持所未能解决的问题和故障提供正式的升级方案；</w:t>
      </w:r>
    </w:p>
    <w:p>
      <w:pPr>
        <w:pStyle w:val="15"/>
        <w:spacing w:line="360" w:lineRule="auto"/>
        <w:ind w:firstLine="547" w:firstLineChars="228"/>
        <w:rPr>
          <w:rFonts w:hint="eastAsia" w:hAnsi="宋体" w:cs="宋体"/>
          <w:sz w:val="24"/>
          <w:szCs w:val="24"/>
        </w:rPr>
      </w:pPr>
      <w:r>
        <w:rPr>
          <w:rFonts w:hint="eastAsia" w:hAnsi="宋体" w:cs="宋体"/>
          <w:sz w:val="24"/>
          <w:szCs w:val="24"/>
        </w:rPr>
        <w:t>（10）在质保期内，供应商有责任解决所提供的投标设备和软件系统的任何问题，在质保期满后，当需要时，供应商仍须对因投标设备本身的固有缺陷和瑕疵承担相应责任。</w:t>
      </w:r>
    </w:p>
    <w:p>
      <w:pPr>
        <w:pStyle w:val="15"/>
        <w:spacing w:line="360" w:lineRule="auto"/>
        <w:ind w:firstLine="547" w:firstLineChars="228"/>
        <w:rPr>
          <w:rFonts w:hint="eastAsia" w:hAnsi="宋体" w:cs="宋体"/>
          <w:sz w:val="24"/>
          <w:szCs w:val="24"/>
        </w:rPr>
      </w:pPr>
      <w:r>
        <w:rPr>
          <w:rFonts w:hint="eastAsia" w:hAnsi="宋体" w:cs="宋体"/>
          <w:sz w:val="24"/>
          <w:szCs w:val="24"/>
        </w:rPr>
        <w:t>3、对设备服务要求的有效响应将被视为投标人对其所投标设备的服务承诺，如果中标，须将服务承诺列入合同的设备服务条款。</w:t>
      </w:r>
    </w:p>
    <w:p>
      <w:pPr>
        <w:pStyle w:val="15"/>
        <w:spacing w:line="360" w:lineRule="auto"/>
        <w:ind w:firstLine="549" w:firstLineChars="228"/>
        <w:rPr>
          <w:rFonts w:hint="eastAsia" w:hAnsi="宋体" w:cs="宋体"/>
          <w:b/>
          <w:sz w:val="24"/>
          <w:szCs w:val="21"/>
        </w:rPr>
      </w:pPr>
      <w:r>
        <w:rPr>
          <w:rFonts w:hint="eastAsia" w:hAnsi="宋体" w:cs="宋体"/>
          <w:b/>
          <w:sz w:val="24"/>
          <w:szCs w:val="21"/>
        </w:rPr>
        <w:t>(二)技术培训要求</w:t>
      </w:r>
    </w:p>
    <w:p>
      <w:pPr>
        <w:spacing w:line="360" w:lineRule="auto"/>
        <w:ind w:left="92" w:leftChars="44" w:right="-147" w:rightChars="-70" w:firstLine="480" w:firstLineChars="200"/>
        <w:rPr>
          <w:rFonts w:hint="eastAsia" w:ascii="宋体" w:hAnsi="宋体" w:cs="宋体"/>
          <w:sz w:val="24"/>
        </w:rPr>
      </w:pPr>
      <w:r>
        <w:rPr>
          <w:rFonts w:hint="eastAsia" w:ascii="宋体" w:hAnsi="宋体" w:cs="宋体"/>
          <w:sz w:val="24"/>
        </w:rPr>
        <w:t>供应商应为采购单位相关人员提供必要的技术培训，使参加培训的人员具备设备的应用和维护能力。</w:t>
      </w:r>
    </w:p>
    <w:p>
      <w:pPr>
        <w:pStyle w:val="2"/>
        <w:keepNext w:val="0"/>
        <w:jc w:val="both"/>
        <w:rPr>
          <w:rFonts w:hint="eastAsia" w:ascii="宋体" w:hAnsi="宋体" w:eastAsia="宋体" w:cs="宋体"/>
        </w:rPr>
      </w:pPr>
      <w:r>
        <w:rPr>
          <w:rFonts w:hint="eastAsia" w:ascii="宋体" w:hAnsi="宋体" w:eastAsia="宋体" w:cs="宋体"/>
          <w:lang w:val="en-US"/>
        </w:rPr>
        <w:t>五</w:t>
      </w:r>
      <w:r>
        <w:rPr>
          <w:rFonts w:hint="eastAsia" w:ascii="宋体" w:hAnsi="宋体" w:eastAsia="宋体" w:cs="宋体"/>
        </w:rPr>
        <w:t>、采购内容：</w:t>
      </w:r>
    </w:p>
    <w:p>
      <w:pPr>
        <w:tabs>
          <w:tab w:val="left" w:pos="3780"/>
        </w:tabs>
        <w:spacing w:line="360" w:lineRule="auto"/>
        <w:ind w:firstLine="360" w:firstLineChars="150"/>
        <w:rPr>
          <w:rFonts w:hint="eastAsia" w:ascii="宋体" w:hAnsi="宋体" w:cs="宋体"/>
          <w:snapToGrid w:val="0"/>
          <w:color w:val="000000"/>
          <w:kern w:val="28"/>
          <w:sz w:val="24"/>
        </w:rPr>
      </w:pPr>
      <w:r>
        <w:rPr>
          <w:rFonts w:hint="eastAsia" w:ascii="宋体" w:hAnsi="宋体" w:cs="宋体"/>
          <w:snapToGrid w:val="0"/>
          <w:color w:val="000000"/>
          <w:kern w:val="28"/>
          <w:sz w:val="24"/>
          <w:lang w:eastAsia="zh-CN"/>
        </w:rPr>
        <w:t>杭州市文三教育集团（总校）</w:t>
      </w:r>
      <w:r>
        <w:rPr>
          <w:rFonts w:hint="eastAsia" w:ascii="宋体" w:hAnsi="宋体" w:cs="宋体"/>
          <w:snapToGrid w:val="0"/>
          <w:color w:val="000000"/>
          <w:kern w:val="28"/>
          <w:sz w:val="24"/>
        </w:rPr>
        <w:t>新校区电子显示屏采购项目,包含软硬件设备，显示屏屏体，钢结构外框，以及装饰，通讯线路，动力电源线路铺施，配电系统设备</w:t>
      </w:r>
      <w:r>
        <w:rPr>
          <w:rFonts w:hint="eastAsia"/>
          <w:snapToGrid w:val="0"/>
          <w:sz w:val="24"/>
        </w:rPr>
        <w:t>显示屏配套辅件</w:t>
      </w:r>
      <w:r>
        <w:rPr>
          <w:rFonts w:hint="eastAsia" w:ascii="宋体" w:hAnsi="宋体" w:cs="宋体"/>
          <w:snapToGrid w:val="0"/>
          <w:color w:val="000000"/>
          <w:kern w:val="28"/>
          <w:sz w:val="24"/>
        </w:rPr>
        <w:t>等等。</w:t>
      </w:r>
    </w:p>
    <w:p>
      <w:pPr>
        <w:numPr>
          <w:ilvl w:val="0"/>
          <w:numId w:val="5"/>
        </w:numPr>
        <w:tabs>
          <w:tab w:val="left" w:pos="3780"/>
        </w:tabs>
        <w:spacing w:line="360" w:lineRule="auto"/>
        <w:ind w:left="210" w:leftChars="100"/>
        <w:rPr>
          <w:rFonts w:hint="eastAsia"/>
          <w:sz w:val="24"/>
        </w:rPr>
      </w:pPr>
      <w:r>
        <w:rPr>
          <w:rFonts w:hint="eastAsia"/>
          <w:sz w:val="24"/>
        </w:rPr>
        <w:t xml:space="preserve">体育场增加1块室外P3全彩色显示屏：6.72*3.84=25.8㎡ </w:t>
      </w:r>
      <w:r>
        <w:rPr>
          <w:rFonts w:hint="eastAsia"/>
          <w:sz w:val="24"/>
          <w:lang w:eastAsia="zh-CN"/>
        </w:rPr>
        <w:t>；</w:t>
      </w:r>
      <w:r>
        <w:rPr>
          <w:rFonts w:hint="eastAsia"/>
          <w:sz w:val="24"/>
        </w:rPr>
        <w:cr/>
      </w:r>
      <w:r>
        <w:rPr>
          <w:rFonts w:hint="eastAsia"/>
          <w:sz w:val="24"/>
        </w:rPr>
        <w:t xml:space="preserve">2、校门口增加2块室外P3全彩色显示屏：一块：6.4*3.52=22.528㎡，一块放学系统导流屏：1.92*1.28=2.46㎡ </w:t>
      </w:r>
      <w:r>
        <w:rPr>
          <w:rFonts w:hint="eastAsia"/>
          <w:sz w:val="24"/>
          <w:lang w:eastAsia="zh-CN"/>
        </w:rPr>
        <w:t>；</w:t>
      </w:r>
      <w:r>
        <w:rPr>
          <w:rFonts w:hint="eastAsia"/>
          <w:sz w:val="24"/>
        </w:rPr>
        <w:cr/>
      </w:r>
      <w:r>
        <w:rPr>
          <w:rFonts w:hint="eastAsia"/>
          <w:sz w:val="24"/>
        </w:rPr>
        <w:t>3、三楼会议室增加1块室内P1.53全彩色显示屏：4.16*2.24=9.32㎡；</w:t>
      </w:r>
      <w:r>
        <w:rPr>
          <w:rFonts w:hint="eastAsia"/>
          <w:sz w:val="24"/>
        </w:rPr>
        <w:cr/>
      </w:r>
      <w:r>
        <w:rPr>
          <w:rFonts w:hint="eastAsia"/>
          <w:sz w:val="24"/>
        </w:rPr>
        <w:t>4、阶梯教室增加1块室内P1.53全彩色显示屏6.4*3.52=22.528㎡</w:t>
      </w:r>
      <w:r>
        <w:rPr>
          <w:rFonts w:hint="eastAsia"/>
          <w:sz w:val="24"/>
          <w:lang w:eastAsia="zh-CN"/>
        </w:rPr>
        <w:t>；</w:t>
      </w:r>
      <w:r>
        <w:rPr>
          <w:rFonts w:hint="eastAsia"/>
          <w:sz w:val="24"/>
        </w:rPr>
        <w:cr/>
      </w:r>
      <w:r>
        <w:rPr>
          <w:rFonts w:hint="eastAsia"/>
          <w:sz w:val="24"/>
        </w:rPr>
        <w:t>5、四楼大会议室增加1块室内P2全彩色显示屏：6.4*3.52=22.528㎡</w:t>
      </w:r>
      <w:r>
        <w:rPr>
          <w:rFonts w:hint="eastAsia"/>
          <w:sz w:val="24"/>
          <w:lang w:eastAsia="zh-CN"/>
        </w:rPr>
        <w:t>；</w:t>
      </w:r>
      <w:r>
        <w:rPr>
          <w:rFonts w:hint="eastAsia"/>
          <w:sz w:val="24"/>
        </w:rPr>
        <w:cr/>
      </w:r>
      <w:r>
        <w:rPr>
          <w:rFonts w:hint="eastAsia"/>
          <w:sz w:val="24"/>
        </w:rPr>
        <w:t>6、汇报厅增加4块室内P2全彩色显示屏，一块主屏10.24*4.8=49.152㎡，二块辅屏：3.84*2.4=9.22㎡X2块，合计18.44㎡，一块横幅屏10.24*0.8=8.192㎡总计</w:t>
      </w:r>
      <w:r>
        <w:rPr>
          <w:rFonts w:hint="eastAsia"/>
          <w:color w:val="000000" w:themeColor="text1"/>
          <w:sz w:val="24"/>
          <w14:textFill>
            <w14:solidFill>
              <w14:schemeClr w14:val="tx1"/>
            </w14:solidFill>
          </w14:textFill>
        </w:rPr>
        <w:t>75.784㎡</w:t>
      </w:r>
      <w:r>
        <w:rPr>
          <w:rFonts w:hint="eastAsia"/>
          <w:color w:val="000000" w:themeColor="text1"/>
          <w:sz w:val="24"/>
          <w:lang w:eastAsia="zh-CN"/>
          <w14:textFill>
            <w14:solidFill>
              <w14:schemeClr w14:val="tx1"/>
            </w14:solidFill>
          </w14:textFill>
        </w:rPr>
        <w:t>；</w:t>
      </w:r>
    </w:p>
    <w:p>
      <w:pPr>
        <w:numPr>
          <w:ilvl w:val="0"/>
          <w:numId w:val="0"/>
        </w:numPr>
        <w:tabs>
          <w:tab w:val="left" w:pos="3780"/>
        </w:tabs>
        <w:spacing w:line="360" w:lineRule="auto"/>
        <w:ind w:firstLine="240" w:firstLineChars="100"/>
        <w:rPr>
          <w:rFonts w:hint="eastAsia" w:ascii="宋体" w:hAnsi="宋体" w:cs="宋体"/>
          <w:snapToGrid w:val="0"/>
          <w:color w:val="000000"/>
          <w:kern w:val="28"/>
          <w:sz w:val="24"/>
        </w:rPr>
      </w:pPr>
      <w:r>
        <w:rPr>
          <w:rFonts w:hint="eastAsia"/>
          <w:sz w:val="24"/>
        </w:rPr>
        <w:t>7、风雨操场增加1块室内P2全彩色显示屏：8*4.8=38.4㎡</w:t>
      </w:r>
      <w:r>
        <w:rPr>
          <w:rFonts w:hint="eastAsia"/>
          <w:sz w:val="24"/>
          <w:lang w:eastAsia="zh-CN"/>
        </w:rPr>
        <w:t>。</w:t>
      </w:r>
      <w:r>
        <w:rPr>
          <w:rFonts w:hint="eastAsia"/>
          <w:sz w:val="24"/>
        </w:rPr>
        <w:cr/>
      </w:r>
      <w:r>
        <w:rPr>
          <w:rFonts w:hint="eastAsia" w:ascii="宋体" w:hAnsi="宋体" w:cs="宋体"/>
          <w:snapToGrid w:val="0"/>
          <w:color w:val="000000"/>
          <w:kern w:val="28"/>
          <w:sz w:val="24"/>
        </w:rPr>
        <w:t xml:space="preserve"> </w:t>
      </w:r>
    </w:p>
    <w:p>
      <w:pPr>
        <w:tabs>
          <w:tab w:val="left" w:pos="3780"/>
        </w:tabs>
        <w:spacing w:line="360" w:lineRule="auto"/>
        <w:ind w:firstLine="240" w:firstLineChars="100"/>
        <w:rPr>
          <w:rFonts w:hint="eastAsia" w:ascii="宋体" w:hAnsi="宋体" w:cs="宋体"/>
          <w:snapToGrid w:val="0"/>
          <w:color w:val="000000"/>
          <w:kern w:val="28"/>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pStyle w:val="2"/>
        <w:keepNext w:val="0"/>
        <w:ind w:left="0" w:firstLine="0"/>
        <w:jc w:val="both"/>
        <w:rPr>
          <w:rFonts w:hint="eastAsia" w:ascii="宋体" w:hAnsi="宋体" w:eastAsia="宋体" w:cs="宋体"/>
        </w:rPr>
      </w:pPr>
      <w:r>
        <w:rPr>
          <w:rFonts w:hint="eastAsia" w:ascii="宋体" w:hAnsi="宋体" w:eastAsia="宋体" w:cs="宋体"/>
          <w:lang w:val="en-US"/>
        </w:rPr>
        <w:t>六、</w:t>
      </w:r>
      <w:r>
        <w:rPr>
          <w:rFonts w:hint="eastAsia" w:ascii="宋体" w:hAnsi="宋体" w:eastAsia="宋体" w:cs="宋体"/>
        </w:rPr>
        <w:t>设备清单</w:t>
      </w:r>
    </w:p>
    <w:tbl>
      <w:tblPr>
        <w:tblStyle w:val="62"/>
        <w:tblW w:w="9082" w:type="dxa"/>
        <w:jc w:val="center"/>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Layout w:type="fixed"/>
        <w:tblCellMar>
          <w:top w:w="0" w:type="dxa"/>
          <w:left w:w="0" w:type="dxa"/>
          <w:bottom w:w="0" w:type="dxa"/>
          <w:right w:w="0" w:type="dxa"/>
        </w:tblCellMar>
      </w:tblPr>
      <w:tblGrid>
        <w:gridCol w:w="616"/>
        <w:gridCol w:w="1155"/>
        <w:gridCol w:w="1927"/>
        <w:gridCol w:w="4273"/>
        <w:gridCol w:w="1111"/>
      </w:tblGrid>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jc w:val="center"/>
        </w:trPr>
        <w:tc>
          <w:tcPr>
            <w:tcW w:w="616" w:type="dxa"/>
            <w:tcBorders>
              <w:top w:val="single" w:color="000000" w:sz="8" w:space="0"/>
              <w:left w:val="single" w:color="000000" w:sz="8" w:space="0"/>
              <w:bottom w:val="single" w:color="000000" w:sz="2" w:space="0"/>
              <w:right w:val="single" w:color="000000" w:sz="2" w:space="0"/>
            </w:tcBorders>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序号</w:t>
            </w:r>
          </w:p>
        </w:tc>
        <w:tc>
          <w:tcPr>
            <w:tcW w:w="1155" w:type="dxa"/>
            <w:tcBorders>
              <w:top w:val="single" w:color="000000" w:sz="8" w:space="0"/>
              <w:left w:val="single" w:color="000000" w:sz="2" w:space="0"/>
              <w:bottom w:val="single" w:color="000000" w:sz="2" w:space="0"/>
              <w:right w:val="single" w:color="000000" w:sz="2" w:space="0"/>
            </w:tcBorders>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名称</w:t>
            </w:r>
          </w:p>
        </w:tc>
        <w:tc>
          <w:tcPr>
            <w:tcW w:w="6200" w:type="dxa"/>
            <w:gridSpan w:val="2"/>
            <w:tcBorders>
              <w:top w:val="single" w:color="000000" w:sz="8" w:space="0"/>
              <w:left w:val="single" w:color="000000" w:sz="2" w:space="0"/>
              <w:bottom w:val="single" w:color="000000" w:sz="2" w:space="0"/>
              <w:right w:val="single" w:color="auto" w:sz="4" w:space="0"/>
            </w:tcBorders>
            <w:vAlign w:val="center"/>
          </w:tcPr>
          <w:p>
            <w:pPr>
              <w:tabs>
                <w:tab w:val="left" w:pos="5880"/>
              </w:tabs>
              <w:overflowPunct w:val="0"/>
              <w:spacing w:line="360" w:lineRule="auto"/>
              <w:ind w:left="191" w:leftChars="91" w:right="99" w:rightChars="47"/>
              <w:jc w:val="center"/>
              <w:textAlignment w:val="center"/>
              <w:rPr>
                <w:snapToGrid w:val="0"/>
                <w:sz w:val="24"/>
              </w:rPr>
            </w:pPr>
            <w:r>
              <w:rPr>
                <w:rFonts w:hint="eastAsia"/>
                <w:snapToGrid w:val="0"/>
                <w:sz w:val="24"/>
              </w:rPr>
              <w:t>配置</w:t>
            </w:r>
          </w:p>
        </w:tc>
        <w:tc>
          <w:tcPr>
            <w:tcW w:w="1111" w:type="dxa"/>
            <w:tcBorders>
              <w:top w:val="single" w:color="000000" w:sz="8" w:space="0"/>
              <w:left w:val="single" w:color="auto" w:sz="4" w:space="0"/>
              <w:bottom w:val="single" w:color="000000" w:sz="2" w:space="0"/>
              <w:right w:val="single" w:color="000000" w:sz="2" w:space="0"/>
            </w:tcBorders>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数量</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1012" w:hRule="atLeast"/>
          <w:jc w:val="center"/>
        </w:trPr>
        <w:tc>
          <w:tcPr>
            <w:tcW w:w="616" w:type="dxa"/>
            <w:vMerge w:val="restart"/>
            <w:tcBorders>
              <w:top w:val="single" w:color="000000" w:sz="2" w:space="0"/>
              <w:left w:val="single" w:color="000000" w:sz="8" w:space="0"/>
              <w:right w:val="single" w:color="000000" w:sz="2" w:space="0"/>
            </w:tcBorders>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1</w:t>
            </w:r>
          </w:p>
        </w:tc>
        <w:tc>
          <w:tcPr>
            <w:tcW w:w="1155" w:type="dxa"/>
            <w:vMerge w:val="restart"/>
            <w:tcBorders>
              <w:top w:val="single" w:color="000000" w:sz="2" w:space="0"/>
              <w:left w:val="single" w:color="000000" w:sz="2" w:space="0"/>
              <w:right w:val="single" w:color="000000" w:sz="2" w:space="0"/>
            </w:tcBorders>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Led显示屏体</w:t>
            </w:r>
          </w:p>
        </w:tc>
        <w:tc>
          <w:tcPr>
            <w:tcW w:w="6200" w:type="dxa"/>
            <w:gridSpan w:val="2"/>
            <w:tcBorders>
              <w:top w:val="single" w:color="000000" w:sz="2" w:space="0"/>
              <w:left w:val="single" w:color="000000" w:sz="2" w:space="0"/>
              <w:right w:val="single" w:color="auto" w:sz="4" w:space="0"/>
            </w:tcBorders>
            <w:vAlign w:val="center"/>
          </w:tcPr>
          <w:p>
            <w:pPr>
              <w:tabs>
                <w:tab w:val="left" w:pos="5880"/>
              </w:tabs>
              <w:overflowPunct w:val="0"/>
              <w:spacing w:line="360" w:lineRule="auto"/>
              <w:ind w:left="191" w:leftChars="91" w:right="99" w:rightChars="47"/>
              <w:jc w:val="left"/>
              <w:textAlignment w:val="center"/>
            </w:pPr>
            <w:r>
              <w:rPr>
                <w:rFonts w:hint="eastAsia"/>
                <w:snapToGrid w:val="0"/>
                <w:sz w:val="24"/>
              </w:rPr>
              <w:t>体育运动场室外显示屏，室外P3全彩色</w:t>
            </w:r>
            <w:r>
              <w:rPr>
                <w:rFonts w:hint="eastAsia"/>
                <w:snapToGrid w:val="0"/>
                <w:sz w:val="24"/>
                <w:lang w:val="en-US" w:eastAsia="zh-CN"/>
              </w:rPr>
              <w:t>，</w:t>
            </w:r>
            <w:r>
              <w:rPr>
                <w:rFonts w:hint="eastAsia"/>
                <w:snapToGrid w:val="0"/>
                <w:sz w:val="24"/>
              </w:rPr>
              <w:t>具体参数</w:t>
            </w:r>
            <w:r>
              <w:rPr>
                <w:rFonts w:hint="eastAsia"/>
              </w:rPr>
              <w:t>详见七、</w:t>
            </w:r>
            <w:r>
              <w:rPr>
                <w:rFonts w:hint="eastAsia"/>
                <w:snapToGrid w:val="0"/>
                <w:sz w:val="24"/>
              </w:rPr>
              <w:t>Led显示屏体技术参数要求</w:t>
            </w:r>
          </w:p>
        </w:tc>
        <w:tc>
          <w:tcPr>
            <w:tcW w:w="1111" w:type="dxa"/>
            <w:tcBorders>
              <w:top w:val="single" w:color="000000" w:sz="2" w:space="0"/>
              <w:left w:val="single" w:color="auto" w:sz="4" w:space="0"/>
              <w:right w:val="single" w:color="000000" w:sz="2" w:space="0"/>
            </w:tcBorders>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1块</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1012" w:hRule="atLeast"/>
          <w:jc w:val="center"/>
        </w:trPr>
        <w:tc>
          <w:tcPr>
            <w:tcW w:w="616" w:type="dxa"/>
            <w:vMerge w:val="continue"/>
            <w:tcBorders>
              <w:top w:val="single" w:color="000000" w:sz="2" w:space="0"/>
              <w:left w:val="single" w:color="000000" w:sz="8" w:space="0"/>
              <w:right w:val="single" w:color="000000" w:sz="2" w:space="0"/>
            </w:tcBorders>
            <w:vAlign w:val="center"/>
          </w:tcPr>
          <w:p>
            <w:pPr>
              <w:spacing w:line="360" w:lineRule="auto"/>
              <w:jc w:val="center"/>
              <w:rPr>
                <w:rFonts w:hint="eastAsia" w:ascii="宋体" w:hAnsi="宋体" w:cs="宋体"/>
                <w:snapToGrid w:val="0"/>
                <w:color w:val="000000"/>
                <w:kern w:val="28"/>
                <w:sz w:val="24"/>
              </w:rPr>
            </w:pPr>
          </w:p>
        </w:tc>
        <w:tc>
          <w:tcPr>
            <w:tcW w:w="1155" w:type="dxa"/>
            <w:vMerge w:val="continue"/>
            <w:tcBorders>
              <w:top w:val="single" w:color="000000" w:sz="2" w:space="0"/>
              <w:left w:val="single" w:color="000000" w:sz="2" w:space="0"/>
              <w:right w:val="single" w:color="000000" w:sz="2" w:space="0"/>
            </w:tcBorders>
            <w:vAlign w:val="center"/>
          </w:tcPr>
          <w:p>
            <w:pPr>
              <w:spacing w:line="360" w:lineRule="auto"/>
              <w:jc w:val="center"/>
              <w:rPr>
                <w:rFonts w:hint="eastAsia" w:ascii="宋体" w:hAnsi="宋体" w:cs="宋体"/>
                <w:snapToGrid w:val="0"/>
                <w:color w:val="000000"/>
                <w:kern w:val="28"/>
                <w:sz w:val="24"/>
              </w:rPr>
            </w:pPr>
          </w:p>
        </w:tc>
        <w:tc>
          <w:tcPr>
            <w:tcW w:w="6200" w:type="dxa"/>
            <w:gridSpan w:val="2"/>
            <w:tcBorders>
              <w:top w:val="single" w:color="000000" w:sz="2" w:space="0"/>
              <w:left w:val="single" w:color="000000" w:sz="2" w:space="0"/>
              <w:right w:val="single" w:color="auto" w:sz="4" w:space="0"/>
            </w:tcBorders>
            <w:vAlign w:val="center"/>
          </w:tcPr>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校门口室外显示屏，室外P3全彩色，具体参数</w:t>
            </w:r>
            <w:r>
              <w:rPr>
                <w:rFonts w:hint="eastAsia"/>
              </w:rPr>
              <w:t>详见七、</w:t>
            </w:r>
            <w:r>
              <w:rPr>
                <w:rFonts w:hint="eastAsia"/>
                <w:snapToGrid w:val="0"/>
                <w:sz w:val="24"/>
              </w:rPr>
              <w:t>Led显示屏体技术参数要求</w:t>
            </w:r>
          </w:p>
        </w:tc>
        <w:tc>
          <w:tcPr>
            <w:tcW w:w="1111" w:type="dxa"/>
            <w:tcBorders>
              <w:top w:val="single" w:color="000000" w:sz="2" w:space="0"/>
              <w:left w:val="single" w:color="auto" w:sz="4" w:space="0"/>
              <w:right w:val="single" w:color="000000" w:sz="2" w:space="0"/>
            </w:tcBorders>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2块</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1012" w:hRule="atLeast"/>
          <w:jc w:val="center"/>
        </w:trPr>
        <w:tc>
          <w:tcPr>
            <w:tcW w:w="616" w:type="dxa"/>
            <w:vMerge w:val="continue"/>
            <w:tcBorders>
              <w:top w:val="single" w:color="000000" w:sz="2" w:space="0"/>
              <w:left w:val="single" w:color="000000" w:sz="8" w:space="0"/>
              <w:right w:val="single" w:color="000000" w:sz="2" w:space="0"/>
            </w:tcBorders>
            <w:vAlign w:val="center"/>
          </w:tcPr>
          <w:p>
            <w:pPr>
              <w:spacing w:line="360" w:lineRule="auto"/>
              <w:jc w:val="center"/>
              <w:rPr>
                <w:rFonts w:hint="eastAsia" w:ascii="宋体" w:hAnsi="宋体" w:cs="宋体"/>
                <w:snapToGrid w:val="0"/>
                <w:color w:val="000000"/>
                <w:kern w:val="28"/>
                <w:sz w:val="24"/>
              </w:rPr>
            </w:pPr>
          </w:p>
        </w:tc>
        <w:tc>
          <w:tcPr>
            <w:tcW w:w="1155" w:type="dxa"/>
            <w:vMerge w:val="continue"/>
            <w:tcBorders>
              <w:top w:val="single" w:color="000000" w:sz="2" w:space="0"/>
              <w:left w:val="single" w:color="000000" w:sz="2" w:space="0"/>
              <w:right w:val="single" w:color="000000" w:sz="2" w:space="0"/>
            </w:tcBorders>
            <w:vAlign w:val="center"/>
          </w:tcPr>
          <w:p>
            <w:pPr>
              <w:spacing w:line="360" w:lineRule="auto"/>
              <w:jc w:val="center"/>
              <w:rPr>
                <w:rFonts w:hint="eastAsia" w:ascii="宋体" w:hAnsi="宋体" w:cs="宋体"/>
                <w:snapToGrid w:val="0"/>
                <w:color w:val="000000"/>
                <w:kern w:val="28"/>
                <w:sz w:val="24"/>
              </w:rPr>
            </w:pPr>
          </w:p>
        </w:tc>
        <w:tc>
          <w:tcPr>
            <w:tcW w:w="6200" w:type="dxa"/>
            <w:gridSpan w:val="2"/>
            <w:tcBorders>
              <w:top w:val="single" w:color="000000" w:sz="2" w:space="0"/>
              <w:left w:val="single" w:color="000000" w:sz="2" w:space="0"/>
              <w:right w:val="single" w:color="auto" w:sz="4" w:space="0"/>
            </w:tcBorders>
            <w:vAlign w:val="center"/>
          </w:tcPr>
          <w:p>
            <w:pPr>
              <w:tabs>
                <w:tab w:val="left" w:pos="5880"/>
              </w:tabs>
              <w:overflowPunct w:val="0"/>
              <w:spacing w:line="360" w:lineRule="auto"/>
              <w:ind w:left="191" w:leftChars="91" w:right="99" w:rightChars="47"/>
              <w:jc w:val="left"/>
              <w:textAlignment w:val="center"/>
              <w:rPr>
                <w:snapToGrid w:val="0"/>
                <w:sz w:val="24"/>
              </w:rPr>
            </w:pPr>
            <w:r>
              <w:rPr>
                <w:rFonts w:hint="eastAsia"/>
                <w:sz w:val="24"/>
              </w:rPr>
              <w:t>三楼会议室1块室内P1.53全彩色显示屏，</w:t>
            </w:r>
            <w:r>
              <w:rPr>
                <w:rFonts w:hint="eastAsia"/>
                <w:snapToGrid w:val="0"/>
                <w:sz w:val="24"/>
              </w:rPr>
              <w:t>具体参数</w:t>
            </w:r>
            <w:r>
              <w:rPr>
                <w:rFonts w:hint="eastAsia"/>
              </w:rPr>
              <w:t>详见七、</w:t>
            </w:r>
            <w:r>
              <w:rPr>
                <w:rFonts w:hint="eastAsia"/>
                <w:snapToGrid w:val="0"/>
                <w:sz w:val="24"/>
              </w:rPr>
              <w:t>Led显示屏体技术参数要求</w:t>
            </w:r>
          </w:p>
        </w:tc>
        <w:tc>
          <w:tcPr>
            <w:tcW w:w="1111" w:type="dxa"/>
            <w:tcBorders>
              <w:top w:val="single" w:color="000000" w:sz="2" w:space="0"/>
              <w:left w:val="single" w:color="auto" w:sz="4" w:space="0"/>
              <w:right w:val="single" w:color="000000" w:sz="2" w:space="0"/>
            </w:tcBorders>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1块</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1012" w:hRule="atLeast"/>
          <w:jc w:val="center"/>
        </w:trPr>
        <w:tc>
          <w:tcPr>
            <w:tcW w:w="616" w:type="dxa"/>
            <w:vMerge w:val="continue"/>
            <w:tcBorders>
              <w:top w:val="single" w:color="000000" w:sz="2" w:space="0"/>
              <w:left w:val="single" w:color="000000" w:sz="8" w:space="0"/>
              <w:right w:val="single" w:color="000000" w:sz="2" w:space="0"/>
            </w:tcBorders>
            <w:vAlign w:val="center"/>
          </w:tcPr>
          <w:p>
            <w:pPr>
              <w:spacing w:line="360" w:lineRule="auto"/>
              <w:jc w:val="center"/>
              <w:rPr>
                <w:rFonts w:hint="eastAsia" w:ascii="宋体" w:hAnsi="宋体" w:cs="宋体"/>
                <w:snapToGrid w:val="0"/>
                <w:color w:val="000000"/>
                <w:kern w:val="28"/>
                <w:sz w:val="24"/>
              </w:rPr>
            </w:pPr>
          </w:p>
        </w:tc>
        <w:tc>
          <w:tcPr>
            <w:tcW w:w="1155" w:type="dxa"/>
            <w:vMerge w:val="continue"/>
            <w:tcBorders>
              <w:top w:val="single" w:color="000000" w:sz="2" w:space="0"/>
              <w:left w:val="single" w:color="000000" w:sz="2" w:space="0"/>
              <w:right w:val="single" w:color="000000" w:sz="2" w:space="0"/>
            </w:tcBorders>
            <w:vAlign w:val="center"/>
          </w:tcPr>
          <w:p>
            <w:pPr>
              <w:spacing w:line="360" w:lineRule="auto"/>
              <w:jc w:val="center"/>
              <w:rPr>
                <w:rFonts w:hint="eastAsia" w:ascii="宋体" w:hAnsi="宋体" w:cs="宋体"/>
                <w:snapToGrid w:val="0"/>
                <w:color w:val="000000"/>
                <w:kern w:val="28"/>
                <w:sz w:val="24"/>
              </w:rPr>
            </w:pPr>
          </w:p>
        </w:tc>
        <w:tc>
          <w:tcPr>
            <w:tcW w:w="6200" w:type="dxa"/>
            <w:gridSpan w:val="2"/>
            <w:tcBorders>
              <w:top w:val="single" w:color="000000" w:sz="2" w:space="0"/>
              <w:left w:val="single" w:color="000000" w:sz="2" w:space="0"/>
              <w:right w:val="single" w:color="auto" w:sz="4" w:space="0"/>
            </w:tcBorders>
            <w:vAlign w:val="center"/>
          </w:tcPr>
          <w:p>
            <w:pPr>
              <w:tabs>
                <w:tab w:val="left" w:pos="5880"/>
              </w:tabs>
              <w:overflowPunct w:val="0"/>
              <w:spacing w:line="360" w:lineRule="auto"/>
              <w:ind w:left="191" w:leftChars="91" w:right="99" w:rightChars="47"/>
              <w:jc w:val="left"/>
              <w:textAlignment w:val="center"/>
              <w:rPr>
                <w:sz w:val="24"/>
              </w:rPr>
            </w:pPr>
            <w:r>
              <w:rPr>
                <w:rFonts w:hint="eastAsia"/>
                <w:sz w:val="24"/>
              </w:rPr>
              <w:t>阶梯教室1块室内P1.53全彩色显示屏，</w:t>
            </w:r>
            <w:r>
              <w:rPr>
                <w:rFonts w:hint="eastAsia"/>
                <w:snapToGrid w:val="0"/>
                <w:sz w:val="24"/>
              </w:rPr>
              <w:t>具体参数</w:t>
            </w:r>
            <w:r>
              <w:rPr>
                <w:rFonts w:hint="eastAsia"/>
              </w:rPr>
              <w:t>详见七、</w:t>
            </w:r>
            <w:r>
              <w:rPr>
                <w:rFonts w:hint="eastAsia"/>
                <w:snapToGrid w:val="0"/>
                <w:sz w:val="24"/>
              </w:rPr>
              <w:t>Led显示屏体技术参数要求</w:t>
            </w:r>
          </w:p>
        </w:tc>
        <w:tc>
          <w:tcPr>
            <w:tcW w:w="1111" w:type="dxa"/>
            <w:tcBorders>
              <w:top w:val="single" w:color="000000" w:sz="2" w:space="0"/>
              <w:left w:val="single" w:color="auto" w:sz="4" w:space="0"/>
              <w:right w:val="single" w:color="000000" w:sz="2" w:space="0"/>
            </w:tcBorders>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1块</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1012" w:hRule="atLeast"/>
          <w:jc w:val="center"/>
        </w:trPr>
        <w:tc>
          <w:tcPr>
            <w:tcW w:w="616" w:type="dxa"/>
            <w:vMerge w:val="continue"/>
            <w:tcBorders>
              <w:top w:val="single" w:color="000000" w:sz="2" w:space="0"/>
              <w:left w:val="single" w:color="000000" w:sz="8" w:space="0"/>
              <w:right w:val="single" w:color="000000" w:sz="2" w:space="0"/>
            </w:tcBorders>
            <w:vAlign w:val="center"/>
          </w:tcPr>
          <w:p>
            <w:pPr>
              <w:spacing w:line="360" w:lineRule="auto"/>
              <w:jc w:val="center"/>
              <w:rPr>
                <w:rFonts w:hint="eastAsia" w:ascii="宋体" w:hAnsi="宋体" w:cs="宋体"/>
                <w:snapToGrid w:val="0"/>
                <w:color w:val="000000"/>
                <w:kern w:val="28"/>
                <w:sz w:val="24"/>
              </w:rPr>
            </w:pPr>
          </w:p>
        </w:tc>
        <w:tc>
          <w:tcPr>
            <w:tcW w:w="1155" w:type="dxa"/>
            <w:vMerge w:val="continue"/>
            <w:tcBorders>
              <w:top w:val="single" w:color="000000" w:sz="2" w:space="0"/>
              <w:left w:val="single" w:color="000000" w:sz="2" w:space="0"/>
              <w:right w:val="single" w:color="000000" w:sz="2" w:space="0"/>
            </w:tcBorders>
            <w:vAlign w:val="center"/>
          </w:tcPr>
          <w:p>
            <w:pPr>
              <w:spacing w:line="360" w:lineRule="auto"/>
              <w:jc w:val="center"/>
              <w:rPr>
                <w:rFonts w:hint="eastAsia" w:ascii="宋体" w:hAnsi="宋体" w:cs="宋体"/>
                <w:snapToGrid w:val="0"/>
                <w:color w:val="000000"/>
                <w:kern w:val="28"/>
                <w:sz w:val="24"/>
              </w:rPr>
            </w:pPr>
          </w:p>
        </w:tc>
        <w:tc>
          <w:tcPr>
            <w:tcW w:w="6200" w:type="dxa"/>
            <w:gridSpan w:val="2"/>
            <w:tcBorders>
              <w:top w:val="single" w:color="000000" w:sz="2" w:space="0"/>
              <w:left w:val="single" w:color="000000" w:sz="2" w:space="0"/>
              <w:right w:val="single" w:color="auto" w:sz="4" w:space="0"/>
            </w:tcBorders>
            <w:vAlign w:val="center"/>
          </w:tcPr>
          <w:p>
            <w:pPr>
              <w:tabs>
                <w:tab w:val="left" w:pos="5880"/>
              </w:tabs>
              <w:overflowPunct w:val="0"/>
              <w:spacing w:line="360" w:lineRule="auto"/>
              <w:ind w:left="191" w:leftChars="91" w:right="99" w:rightChars="47"/>
              <w:jc w:val="left"/>
              <w:textAlignment w:val="center"/>
              <w:rPr>
                <w:sz w:val="24"/>
              </w:rPr>
            </w:pPr>
            <w:r>
              <w:rPr>
                <w:rFonts w:hint="eastAsia"/>
                <w:sz w:val="24"/>
              </w:rPr>
              <w:t>四楼大会议室1块室内P2全彩色显示屏，</w:t>
            </w:r>
            <w:r>
              <w:rPr>
                <w:rFonts w:hint="eastAsia"/>
                <w:snapToGrid w:val="0"/>
                <w:sz w:val="24"/>
              </w:rPr>
              <w:t>具体参数</w:t>
            </w:r>
            <w:r>
              <w:rPr>
                <w:rFonts w:hint="eastAsia"/>
              </w:rPr>
              <w:t>详见七、</w:t>
            </w:r>
            <w:r>
              <w:rPr>
                <w:rFonts w:hint="eastAsia"/>
                <w:snapToGrid w:val="0"/>
                <w:sz w:val="24"/>
              </w:rPr>
              <w:t>Led显示屏体技术参数要求</w:t>
            </w:r>
          </w:p>
        </w:tc>
        <w:tc>
          <w:tcPr>
            <w:tcW w:w="1111" w:type="dxa"/>
            <w:tcBorders>
              <w:top w:val="single" w:color="000000" w:sz="2" w:space="0"/>
              <w:left w:val="single" w:color="auto" w:sz="4" w:space="0"/>
              <w:right w:val="single" w:color="000000" w:sz="2" w:space="0"/>
            </w:tcBorders>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1块</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616" w:type="dxa"/>
            <w:vMerge w:val="continue"/>
            <w:tcBorders>
              <w:left w:val="single" w:color="000000" w:sz="8" w:space="0"/>
              <w:right w:val="single" w:color="000000" w:sz="2" w:space="0"/>
            </w:tcBorders>
            <w:vAlign w:val="center"/>
          </w:tcPr>
          <w:p>
            <w:pPr>
              <w:spacing w:line="360" w:lineRule="auto"/>
              <w:jc w:val="center"/>
              <w:rPr>
                <w:rFonts w:hint="eastAsia" w:ascii="宋体" w:hAnsi="宋体" w:cs="宋体"/>
                <w:snapToGrid w:val="0"/>
                <w:color w:val="000000"/>
                <w:kern w:val="28"/>
                <w:sz w:val="24"/>
              </w:rPr>
            </w:pPr>
          </w:p>
        </w:tc>
        <w:tc>
          <w:tcPr>
            <w:tcW w:w="1155" w:type="dxa"/>
            <w:vMerge w:val="continue"/>
            <w:tcBorders>
              <w:left w:val="single" w:color="000000" w:sz="2" w:space="0"/>
              <w:right w:val="single" w:color="000000" w:sz="2" w:space="0"/>
            </w:tcBorders>
            <w:vAlign w:val="center"/>
          </w:tcPr>
          <w:p>
            <w:pPr>
              <w:spacing w:line="360" w:lineRule="auto"/>
              <w:jc w:val="center"/>
              <w:rPr>
                <w:rFonts w:hint="eastAsia" w:ascii="宋体" w:hAnsi="宋体" w:cs="宋体"/>
                <w:snapToGrid w:val="0"/>
                <w:color w:val="000000"/>
                <w:kern w:val="28"/>
                <w:sz w:val="24"/>
              </w:rPr>
            </w:pPr>
          </w:p>
        </w:tc>
        <w:tc>
          <w:tcPr>
            <w:tcW w:w="6200" w:type="dxa"/>
            <w:gridSpan w:val="2"/>
            <w:tcBorders>
              <w:top w:val="single" w:color="000000" w:sz="2" w:space="0"/>
              <w:left w:val="single" w:color="000000" w:sz="2" w:space="0"/>
              <w:bottom w:val="single" w:color="000000" w:sz="2" w:space="0"/>
              <w:right w:val="single" w:color="auto" w:sz="4" w:space="0"/>
            </w:tcBorders>
            <w:vAlign w:val="center"/>
          </w:tcPr>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汇报厅室内4块P2全彩色，具体参数</w:t>
            </w:r>
            <w:r>
              <w:rPr>
                <w:rFonts w:hint="eastAsia"/>
              </w:rPr>
              <w:t>详见七、</w:t>
            </w:r>
            <w:r>
              <w:rPr>
                <w:rFonts w:hint="eastAsia"/>
                <w:snapToGrid w:val="0"/>
                <w:sz w:val="24"/>
              </w:rPr>
              <w:t>Led显示屏体技术参数要求</w:t>
            </w:r>
          </w:p>
        </w:tc>
        <w:tc>
          <w:tcPr>
            <w:tcW w:w="1111"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hint="eastAsia" w:ascii="宋体" w:hAnsi="宋体" w:cs="宋体"/>
                <w:snapToGrid w:val="0"/>
                <w:color w:val="000000"/>
                <w:kern w:val="28"/>
                <w:sz w:val="24"/>
              </w:rPr>
            </w:pPr>
            <w:r>
              <w:rPr>
                <w:rFonts w:hint="eastAsia"/>
                <w:snapToGrid w:val="0"/>
                <w:sz w:val="24"/>
              </w:rPr>
              <w:t>4块</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959" w:hRule="atLeast"/>
          <w:jc w:val="center"/>
        </w:trPr>
        <w:tc>
          <w:tcPr>
            <w:tcW w:w="616" w:type="dxa"/>
            <w:vMerge w:val="continue"/>
            <w:tcBorders>
              <w:left w:val="single" w:color="000000" w:sz="8" w:space="0"/>
              <w:right w:val="single" w:color="000000" w:sz="2" w:space="0"/>
            </w:tcBorders>
            <w:vAlign w:val="center"/>
          </w:tcPr>
          <w:p>
            <w:pPr>
              <w:spacing w:line="360" w:lineRule="auto"/>
              <w:jc w:val="center"/>
              <w:rPr>
                <w:rFonts w:hint="eastAsia" w:ascii="宋体" w:hAnsi="宋体" w:cs="宋体"/>
                <w:snapToGrid w:val="0"/>
                <w:color w:val="000000"/>
                <w:kern w:val="28"/>
                <w:sz w:val="24"/>
              </w:rPr>
            </w:pPr>
          </w:p>
        </w:tc>
        <w:tc>
          <w:tcPr>
            <w:tcW w:w="1155" w:type="dxa"/>
            <w:vMerge w:val="continue"/>
            <w:tcBorders>
              <w:left w:val="single" w:color="000000" w:sz="2" w:space="0"/>
              <w:right w:val="single" w:color="000000" w:sz="2" w:space="0"/>
            </w:tcBorders>
            <w:vAlign w:val="center"/>
          </w:tcPr>
          <w:p>
            <w:pPr>
              <w:spacing w:line="360" w:lineRule="auto"/>
              <w:jc w:val="center"/>
              <w:rPr>
                <w:rFonts w:hint="eastAsia" w:ascii="宋体" w:hAnsi="宋体" w:cs="宋体"/>
                <w:snapToGrid w:val="0"/>
                <w:color w:val="000000"/>
                <w:kern w:val="28"/>
                <w:sz w:val="24"/>
              </w:rPr>
            </w:pPr>
          </w:p>
        </w:tc>
        <w:tc>
          <w:tcPr>
            <w:tcW w:w="6200" w:type="dxa"/>
            <w:gridSpan w:val="2"/>
            <w:tcBorders>
              <w:top w:val="single" w:color="000000" w:sz="2" w:space="0"/>
              <w:left w:val="single" w:color="000000" w:sz="2" w:space="0"/>
              <w:right w:val="single" w:color="auto" w:sz="4" w:space="0"/>
            </w:tcBorders>
            <w:vAlign w:val="center"/>
          </w:tcPr>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风雨操场舞台显示屏，室内P2全彩色，具体参数</w:t>
            </w:r>
            <w:r>
              <w:rPr>
                <w:rFonts w:hint="eastAsia"/>
              </w:rPr>
              <w:t>详见七、</w:t>
            </w:r>
            <w:r>
              <w:rPr>
                <w:rFonts w:hint="eastAsia"/>
                <w:snapToGrid w:val="0"/>
                <w:sz w:val="24"/>
              </w:rPr>
              <w:t>Led显示屏体技术参数要求</w:t>
            </w:r>
          </w:p>
        </w:tc>
        <w:tc>
          <w:tcPr>
            <w:tcW w:w="1111" w:type="dxa"/>
            <w:tcBorders>
              <w:top w:val="single" w:color="000000" w:sz="2" w:space="0"/>
              <w:left w:val="single" w:color="auto" w:sz="4" w:space="0"/>
              <w:right w:val="single" w:color="000000" w:sz="2" w:space="0"/>
            </w:tcBorders>
            <w:vAlign w:val="center"/>
          </w:tcPr>
          <w:p>
            <w:pPr>
              <w:spacing w:line="360" w:lineRule="auto"/>
              <w:jc w:val="center"/>
              <w:rPr>
                <w:rFonts w:hint="eastAsia" w:ascii="宋体" w:hAnsi="宋体" w:cs="宋体"/>
                <w:snapToGrid w:val="0"/>
                <w:color w:val="000000"/>
                <w:kern w:val="28"/>
                <w:sz w:val="24"/>
              </w:rPr>
            </w:pPr>
            <w:r>
              <w:rPr>
                <w:rFonts w:hint="eastAsia"/>
                <w:snapToGrid w:val="0"/>
                <w:sz w:val="24"/>
              </w:rPr>
              <w:t>1块</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616" w:type="dxa"/>
            <w:vMerge w:val="restart"/>
            <w:tcBorders>
              <w:top w:val="single" w:color="000000" w:sz="2" w:space="0"/>
              <w:left w:val="single" w:color="000000" w:sz="8" w:space="0"/>
              <w:right w:val="single" w:color="000000" w:sz="2" w:space="0"/>
            </w:tcBorders>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2</w:t>
            </w:r>
          </w:p>
        </w:tc>
        <w:tc>
          <w:tcPr>
            <w:tcW w:w="1155" w:type="dxa"/>
            <w:vMerge w:val="restart"/>
            <w:tcBorders>
              <w:top w:val="single" w:color="000000" w:sz="2" w:space="0"/>
              <w:left w:val="single" w:color="000000" w:sz="2" w:space="0"/>
              <w:right w:val="single" w:color="000000" w:sz="2" w:space="0"/>
            </w:tcBorders>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控制系统</w:t>
            </w:r>
          </w:p>
        </w:tc>
        <w:tc>
          <w:tcPr>
            <w:tcW w:w="1927" w:type="dxa"/>
            <w:tcBorders>
              <w:top w:val="single" w:color="000000" w:sz="2" w:space="0"/>
              <w:left w:val="single" w:color="000000" w:sz="2" w:space="0"/>
              <w:right w:val="single" w:color="auto" w:sz="4" w:space="0"/>
            </w:tcBorders>
            <w:vAlign w:val="center"/>
          </w:tcPr>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体育场</w:t>
            </w:r>
          </w:p>
        </w:tc>
        <w:tc>
          <w:tcPr>
            <w:tcW w:w="4273" w:type="dxa"/>
            <w:tcBorders>
              <w:top w:val="single" w:color="000000" w:sz="2" w:space="0"/>
              <w:left w:val="single" w:color="000000" w:sz="2" w:space="0"/>
              <w:right w:val="single" w:color="auto" w:sz="4" w:space="0"/>
            </w:tcBorders>
            <w:vAlign w:val="center"/>
          </w:tcPr>
          <w:p>
            <w:pPr>
              <w:tabs>
                <w:tab w:val="left" w:pos="5880"/>
              </w:tabs>
              <w:overflowPunct w:val="0"/>
              <w:spacing w:line="360" w:lineRule="auto"/>
              <w:ind w:left="191" w:leftChars="91" w:right="99" w:rightChars="47"/>
              <w:jc w:val="center"/>
              <w:textAlignment w:val="center"/>
              <w:rPr>
                <w:snapToGrid w:val="0"/>
                <w:sz w:val="24"/>
              </w:rPr>
            </w:pPr>
            <w:r>
              <w:rPr>
                <w:rFonts w:hint="eastAsia"/>
                <w:snapToGrid w:val="0"/>
                <w:sz w:val="24"/>
              </w:rPr>
              <w:t>联机同步控制</w:t>
            </w:r>
          </w:p>
        </w:tc>
        <w:tc>
          <w:tcPr>
            <w:tcW w:w="1111" w:type="dxa"/>
            <w:tcBorders>
              <w:top w:val="single" w:color="000000" w:sz="2" w:space="0"/>
              <w:left w:val="single" w:color="auto" w:sz="4" w:space="0"/>
              <w:right w:val="single" w:color="000000" w:sz="2" w:space="0"/>
            </w:tcBorders>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1套</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616" w:type="dxa"/>
            <w:vMerge w:val="continue"/>
            <w:tcBorders>
              <w:left w:val="single" w:color="000000" w:sz="8" w:space="0"/>
              <w:right w:val="single" w:color="000000" w:sz="2" w:space="0"/>
            </w:tcBorders>
            <w:vAlign w:val="center"/>
          </w:tcPr>
          <w:p>
            <w:pPr>
              <w:spacing w:line="360" w:lineRule="auto"/>
              <w:rPr>
                <w:rFonts w:hint="eastAsia" w:ascii="宋体" w:hAnsi="宋体" w:cs="宋体"/>
                <w:snapToGrid w:val="0"/>
                <w:color w:val="000000"/>
                <w:kern w:val="28"/>
                <w:sz w:val="24"/>
              </w:rPr>
            </w:pPr>
          </w:p>
        </w:tc>
        <w:tc>
          <w:tcPr>
            <w:tcW w:w="1155" w:type="dxa"/>
            <w:vMerge w:val="continue"/>
            <w:tcBorders>
              <w:left w:val="single" w:color="000000" w:sz="2" w:space="0"/>
              <w:right w:val="single" w:color="000000" w:sz="2" w:space="0"/>
            </w:tcBorders>
            <w:vAlign w:val="center"/>
          </w:tcPr>
          <w:p>
            <w:pPr>
              <w:spacing w:line="360" w:lineRule="auto"/>
              <w:rPr>
                <w:rFonts w:hint="eastAsia" w:ascii="宋体" w:hAnsi="宋体" w:cs="宋体"/>
                <w:snapToGrid w:val="0"/>
                <w:color w:val="000000"/>
                <w:kern w:val="28"/>
                <w:sz w:val="24"/>
              </w:rPr>
            </w:pPr>
          </w:p>
        </w:tc>
        <w:tc>
          <w:tcPr>
            <w:tcW w:w="1927" w:type="dxa"/>
            <w:tcBorders>
              <w:top w:val="single" w:color="000000" w:sz="2" w:space="0"/>
              <w:left w:val="single" w:color="000000" w:sz="2" w:space="0"/>
              <w:right w:val="single" w:color="auto" w:sz="4" w:space="0"/>
            </w:tcBorders>
            <w:vAlign w:val="center"/>
          </w:tcPr>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校门口</w:t>
            </w:r>
          </w:p>
        </w:tc>
        <w:tc>
          <w:tcPr>
            <w:tcW w:w="4273" w:type="dxa"/>
            <w:tcBorders>
              <w:top w:val="single" w:color="000000" w:sz="2" w:space="0"/>
              <w:left w:val="single" w:color="000000" w:sz="2" w:space="0"/>
              <w:right w:val="single" w:color="auto" w:sz="4" w:space="0"/>
            </w:tcBorders>
            <w:vAlign w:val="center"/>
          </w:tcPr>
          <w:p>
            <w:pPr>
              <w:tabs>
                <w:tab w:val="left" w:pos="5880"/>
              </w:tabs>
              <w:overflowPunct w:val="0"/>
              <w:spacing w:line="360" w:lineRule="auto"/>
              <w:ind w:right="99" w:rightChars="47" w:firstLine="1440" w:firstLineChars="600"/>
              <w:jc w:val="left"/>
              <w:textAlignment w:val="center"/>
              <w:rPr>
                <w:snapToGrid w:val="0"/>
                <w:sz w:val="24"/>
              </w:rPr>
            </w:pPr>
            <w:r>
              <w:rPr>
                <w:rFonts w:hint="eastAsia"/>
                <w:snapToGrid w:val="0"/>
                <w:sz w:val="24"/>
              </w:rPr>
              <w:t>联机同步控制</w:t>
            </w:r>
          </w:p>
        </w:tc>
        <w:tc>
          <w:tcPr>
            <w:tcW w:w="1111" w:type="dxa"/>
            <w:tcBorders>
              <w:top w:val="single" w:color="000000" w:sz="2" w:space="0"/>
              <w:left w:val="single" w:color="auto" w:sz="4" w:space="0"/>
              <w:right w:val="single" w:color="000000" w:sz="2" w:space="0"/>
            </w:tcBorders>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2套</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492" w:hRule="atLeast"/>
          <w:jc w:val="center"/>
        </w:trPr>
        <w:tc>
          <w:tcPr>
            <w:tcW w:w="616" w:type="dxa"/>
            <w:vMerge w:val="continue"/>
            <w:tcBorders>
              <w:left w:val="single" w:color="000000" w:sz="8" w:space="0"/>
              <w:right w:val="single" w:color="000000" w:sz="2" w:space="0"/>
            </w:tcBorders>
            <w:vAlign w:val="center"/>
          </w:tcPr>
          <w:p>
            <w:pPr>
              <w:spacing w:line="360" w:lineRule="auto"/>
              <w:rPr>
                <w:rFonts w:hint="eastAsia" w:ascii="宋体" w:hAnsi="宋体" w:cs="宋体"/>
                <w:snapToGrid w:val="0"/>
                <w:color w:val="000000"/>
                <w:kern w:val="28"/>
                <w:sz w:val="24"/>
              </w:rPr>
            </w:pPr>
          </w:p>
        </w:tc>
        <w:tc>
          <w:tcPr>
            <w:tcW w:w="1155" w:type="dxa"/>
            <w:vMerge w:val="continue"/>
            <w:tcBorders>
              <w:left w:val="single" w:color="000000" w:sz="2" w:space="0"/>
              <w:right w:val="single" w:color="000000" w:sz="2" w:space="0"/>
            </w:tcBorders>
            <w:vAlign w:val="center"/>
          </w:tcPr>
          <w:p>
            <w:pPr>
              <w:spacing w:line="360" w:lineRule="auto"/>
              <w:rPr>
                <w:rFonts w:hint="eastAsia" w:ascii="宋体" w:hAnsi="宋体" w:cs="宋体"/>
                <w:snapToGrid w:val="0"/>
                <w:color w:val="000000"/>
                <w:kern w:val="28"/>
                <w:sz w:val="24"/>
              </w:rPr>
            </w:pPr>
          </w:p>
        </w:tc>
        <w:tc>
          <w:tcPr>
            <w:tcW w:w="1927" w:type="dxa"/>
            <w:tcBorders>
              <w:top w:val="single" w:color="000000" w:sz="2" w:space="0"/>
              <w:left w:val="single" w:color="000000" w:sz="2" w:space="0"/>
              <w:bottom w:val="single" w:color="000000" w:sz="2" w:space="0"/>
              <w:right w:val="single" w:color="auto" w:sz="4" w:space="0"/>
            </w:tcBorders>
            <w:vAlign w:val="center"/>
          </w:tcPr>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三楼会议室</w:t>
            </w:r>
          </w:p>
        </w:tc>
        <w:tc>
          <w:tcPr>
            <w:tcW w:w="4273" w:type="dxa"/>
            <w:tcBorders>
              <w:top w:val="single" w:color="000000" w:sz="2" w:space="0"/>
              <w:left w:val="single" w:color="000000" w:sz="2" w:space="0"/>
              <w:bottom w:val="single" w:color="000000" w:sz="2" w:space="0"/>
              <w:right w:val="single" w:color="auto" w:sz="4" w:space="0"/>
            </w:tcBorders>
            <w:vAlign w:val="center"/>
          </w:tcPr>
          <w:p>
            <w:pPr>
              <w:tabs>
                <w:tab w:val="left" w:pos="5880"/>
              </w:tabs>
              <w:overflowPunct w:val="0"/>
              <w:spacing w:line="360" w:lineRule="auto"/>
              <w:ind w:right="99" w:rightChars="47"/>
              <w:jc w:val="center"/>
              <w:textAlignment w:val="center"/>
              <w:rPr>
                <w:snapToGrid w:val="0"/>
                <w:sz w:val="24"/>
              </w:rPr>
            </w:pPr>
            <w:r>
              <w:rPr>
                <w:rFonts w:hint="eastAsia"/>
                <w:snapToGrid w:val="0"/>
                <w:sz w:val="24"/>
              </w:rPr>
              <w:t>联机同步控制</w:t>
            </w:r>
          </w:p>
        </w:tc>
        <w:tc>
          <w:tcPr>
            <w:tcW w:w="1111"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1套</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492" w:hRule="atLeast"/>
          <w:jc w:val="center"/>
        </w:trPr>
        <w:tc>
          <w:tcPr>
            <w:tcW w:w="616" w:type="dxa"/>
            <w:vMerge w:val="continue"/>
            <w:tcBorders>
              <w:left w:val="single" w:color="000000" w:sz="8" w:space="0"/>
              <w:right w:val="single" w:color="000000" w:sz="2" w:space="0"/>
            </w:tcBorders>
            <w:vAlign w:val="center"/>
          </w:tcPr>
          <w:p>
            <w:pPr>
              <w:spacing w:line="360" w:lineRule="auto"/>
              <w:rPr>
                <w:rFonts w:hint="eastAsia" w:ascii="宋体" w:hAnsi="宋体" w:cs="宋体"/>
                <w:snapToGrid w:val="0"/>
                <w:color w:val="000000"/>
                <w:kern w:val="28"/>
                <w:sz w:val="24"/>
              </w:rPr>
            </w:pPr>
          </w:p>
        </w:tc>
        <w:tc>
          <w:tcPr>
            <w:tcW w:w="1155" w:type="dxa"/>
            <w:vMerge w:val="continue"/>
            <w:tcBorders>
              <w:left w:val="single" w:color="000000" w:sz="2" w:space="0"/>
              <w:right w:val="single" w:color="000000" w:sz="2" w:space="0"/>
            </w:tcBorders>
            <w:vAlign w:val="center"/>
          </w:tcPr>
          <w:p>
            <w:pPr>
              <w:spacing w:line="360" w:lineRule="auto"/>
              <w:rPr>
                <w:rFonts w:hint="eastAsia" w:ascii="宋体" w:hAnsi="宋体" w:cs="宋体"/>
                <w:snapToGrid w:val="0"/>
                <w:color w:val="000000"/>
                <w:kern w:val="28"/>
                <w:sz w:val="24"/>
              </w:rPr>
            </w:pPr>
          </w:p>
        </w:tc>
        <w:tc>
          <w:tcPr>
            <w:tcW w:w="1927" w:type="dxa"/>
            <w:tcBorders>
              <w:top w:val="single" w:color="000000" w:sz="2" w:space="0"/>
              <w:left w:val="single" w:color="000000" w:sz="2" w:space="0"/>
              <w:bottom w:val="single" w:color="000000" w:sz="2" w:space="0"/>
              <w:right w:val="single" w:color="auto" w:sz="4" w:space="0"/>
            </w:tcBorders>
            <w:vAlign w:val="center"/>
          </w:tcPr>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阶梯教室</w:t>
            </w:r>
          </w:p>
        </w:tc>
        <w:tc>
          <w:tcPr>
            <w:tcW w:w="4273" w:type="dxa"/>
            <w:tcBorders>
              <w:top w:val="single" w:color="000000" w:sz="2" w:space="0"/>
              <w:left w:val="single" w:color="000000" w:sz="2" w:space="0"/>
              <w:bottom w:val="single" w:color="000000" w:sz="2" w:space="0"/>
              <w:right w:val="single" w:color="auto" w:sz="4" w:space="0"/>
            </w:tcBorders>
            <w:vAlign w:val="center"/>
          </w:tcPr>
          <w:p>
            <w:pPr>
              <w:tabs>
                <w:tab w:val="left" w:pos="5880"/>
              </w:tabs>
              <w:overflowPunct w:val="0"/>
              <w:spacing w:line="360" w:lineRule="auto"/>
              <w:ind w:right="99" w:rightChars="47"/>
              <w:jc w:val="center"/>
              <w:textAlignment w:val="center"/>
              <w:rPr>
                <w:snapToGrid w:val="0"/>
                <w:sz w:val="24"/>
              </w:rPr>
            </w:pPr>
            <w:r>
              <w:rPr>
                <w:rFonts w:hint="eastAsia"/>
                <w:snapToGrid w:val="0"/>
                <w:sz w:val="24"/>
              </w:rPr>
              <w:t>联机同步控制</w:t>
            </w:r>
          </w:p>
        </w:tc>
        <w:tc>
          <w:tcPr>
            <w:tcW w:w="1111"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1套</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492" w:hRule="atLeast"/>
          <w:jc w:val="center"/>
        </w:trPr>
        <w:tc>
          <w:tcPr>
            <w:tcW w:w="616" w:type="dxa"/>
            <w:vMerge w:val="continue"/>
            <w:tcBorders>
              <w:left w:val="single" w:color="000000" w:sz="8" w:space="0"/>
              <w:right w:val="single" w:color="000000" w:sz="2" w:space="0"/>
            </w:tcBorders>
            <w:vAlign w:val="center"/>
          </w:tcPr>
          <w:p>
            <w:pPr>
              <w:spacing w:line="360" w:lineRule="auto"/>
              <w:rPr>
                <w:rFonts w:hint="eastAsia" w:ascii="宋体" w:hAnsi="宋体" w:cs="宋体"/>
                <w:snapToGrid w:val="0"/>
                <w:color w:val="000000"/>
                <w:kern w:val="28"/>
                <w:sz w:val="24"/>
              </w:rPr>
            </w:pPr>
          </w:p>
        </w:tc>
        <w:tc>
          <w:tcPr>
            <w:tcW w:w="1155" w:type="dxa"/>
            <w:vMerge w:val="continue"/>
            <w:tcBorders>
              <w:left w:val="single" w:color="000000" w:sz="2" w:space="0"/>
              <w:right w:val="single" w:color="000000" w:sz="2" w:space="0"/>
            </w:tcBorders>
            <w:vAlign w:val="center"/>
          </w:tcPr>
          <w:p>
            <w:pPr>
              <w:spacing w:line="360" w:lineRule="auto"/>
              <w:rPr>
                <w:rFonts w:hint="eastAsia" w:ascii="宋体" w:hAnsi="宋体" w:cs="宋体"/>
                <w:snapToGrid w:val="0"/>
                <w:color w:val="000000"/>
                <w:kern w:val="28"/>
                <w:sz w:val="24"/>
              </w:rPr>
            </w:pPr>
          </w:p>
        </w:tc>
        <w:tc>
          <w:tcPr>
            <w:tcW w:w="1927" w:type="dxa"/>
            <w:tcBorders>
              <w:top w:val="single" w:color="000000" w:sz="2" w:space="0"/>
              <w:left w:val="single" w:color="000000" w:sz="2" w:space="0"/>
              <w:bottom w:val="single" w:color="000000" w:sz="2" w:space="0"/>
              <w:right w:val="single" w:color="auto" w:sz="4" w:space="0"/>
            </w:tcBorders>
            <w:vAlign w:val="center"/>
          </w:tcPr>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四楼大会议室</w:t>
            </w:r>
          </w:p>
        </w:tc>
        <w:tc>
          <w:tcPr>
            <w:tcW w:w="4273" w:type="dxa"/>
            <w:tcBorders>
              <w:top w:val="single" w:color="000000" w:sz="2" w:space="0"/>
              <w:left w:val="single" w:color="000000" w:sz="2" w:space="0"/>
              <w:bottom w:val="single" w:color="000000" w:sz="2" w:space="0"/>
              <w:right w:val="single" w:color="auto" w:sz="4" w:space="0"/>
            </w:tcBorders>
            <w:vAlign w:val="center"/>
          </w:tcPr>
          <w:p>
            <w:pPr>
              <w:tabs>
                <w:tab w:val="left" w:pos="5880"/>
              </w:tabs>
              <w:overflowPunct w:val="0"/>
              <w:spacing w:line="360" w:lineRule="auto"/>
              <w:ind w:right="99" w:rightChars="47"/>
              <w:jc w:val="center"/>
              <w:textAlignment w:val="center"/>
              <w:rPr>
                <w:snapToGrid w:val="0"/>
                <w:sz w:val="24"/>
              </w:rPr>
            </w:pPr>
            <w:r>
              <w:rPr>
                <w:rFonts w:hint="eastAsia"/>
                <w:snapToGrid w:val="0"/>
                <w:sz w:val="24"/>
              </w:rPr>
              <w:t>联机同步控制</w:t>
            </w:r>
          </w:p>
        </w:tc>
        <w:tc>
          <w:tcPr>
            <w:tcW w:w="1111"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1套</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492" w:hRule="atLeast"/>
          <w:jc w:val="center"/>
        </w:trPr>
        <w:tc>
          <w:tcPr>
            <w:tcW w:w="616" w:type="dxa"/>
            <w:vMerge w:val="continue"/>
            <w:tcBorders>
              <w:left w:val="single" w:color="000000" w:sz="8" w:space="0"/>
              <w:right w:val="single" w:color="000000" w:sz="2" w:space="0"/>
            </w:tcBorders>
            <w:vAlign w:val="center"/>
          </w:tcPr>
          <w:p>
            <w:pPr>
              <w:spacing w:line="360" w:lineRule="auto"/>
              <w:rPr>
                <w:rFonts w:hint="eastAsia" w:ascii="宋体" w:hAnsi="宋体" w:cs="宋体"/>
                <w:snapToGrid w:val="0"/>
                <w:color w:val="000000"/>
                <w:kern w:val="28"/>
                <w:sz w:val="24"/>
              </w:rPr>
            </w:pPr>
          </w:p>
        </w:tc>
        <w:tc>
          <w:tcPr>
            <w:tcW w:w="1155" w:type="dxa"/>
            <w:vMerge w:val="continue"/>
            <w:tcBorders>
              <w:left w:val="single" w:color="000000" w:sz="2" w:space="0"/>
              <w:right w:val="single" w:color="000000" w:sz="2" w:space="0"/>
            </w:tcBorders>
            <w:vAlign w:val="center"/>
          </w:tcPr>
          <w:p>
            <w:pPr>
              <w:spacing w:line="360" w:lineRule="auto"/>
              <w:rPr>
                <w:rFonts w:hint="eastAsia" w:ascii="宋体" w:hAnsi="宋体" w:cs="宋体"/>
                <w:snapToGrid w:val="0"/>
                <w:color w:val="000000"/>
                <w:kern w:val="28"/>
                <w:sz w:val="24"/>
              </w:rPr>
            </w:pPr>
          </w:p>
        </w:tc>
        <w:tc>
          <w:tcPr>
            <w:tcW w:w="1927" w:type="dxa"/>
            <w:tcBorders>
              <w:top w:val="single" w:color="000000" w:sz="2" w:space="0"/>
              <w:left w:val="single" w:color="000000" w:sz="2" w:space="0"/>
              <w:bottom w:val="single" w:color="000000" w:sz="2" w:space="0"/>
              <w:right w:val="single" w:color="auto" w:sz="4" w:space="0"/>
            </w:tcBorders>
            <w:vAlign w:val="center"/>
          </w:tcPr>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汇报厅</w:t>
            </w:r>
          </w:p>
        </w:tc>
        <w:tc>
          <w:tcPr>
            <w:tcW w:w="4273" w:type="dxa"/>
            <w:tcBorders>
              <w:top w:val="single" w:color="000000" w:sz="2" w:space="0"/>
              <w:left w:val="single" w:color="000000" w:sz="2" w:space="0"/>
              <w:bottom w:val="single" w:color="000000" w:sz="2" w:space="0"/>
              <w:right w:val="single" w:color="auto" w:sz="4" w:space="0"/>
            </w:tcBorders>
            <w:vAlign w:val="center"/>
          </w:tcPr>
          <w:p>
            <w:pPr>
              <w:tabs>
                <w:tab w:val="left" w:pos="5880"/>
              </w:tabs>
              <w:overflowPunct w:val="0"/>
              <w:spacing w:line="360" w:lineRule="auto"/>
              <w:ind w:right="99" w:rightChars="47"/>
              <w:jc w:val="left"/>
              <w:textAlignment w:val="center"/>
              <w:rPr>
                <w:snapToGrid w:val="0"/>
                <w:sz w:val="24"/>
              </w:rPr>
            </w:pPr>
            <w:r>
              <w:rPr>
                <w:rFonts w:hint="eastAsia"/>
                <w:snapToGrid w:val="0"/>
                <w:sz w:val="24"/>
              </w:rPr>
              <w:t>主屏辅屏联机同步控制，横幅脱机控制</w:t>
            </w:r>
          </w:p>
        </w:tc>
        <w:tc>
          <w:tcPr>
            <w:tcW w:w="1111"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lang w:val="en-US" w:eastAsia="zh-CN"/>
              </w:rPr>
              <w:t>4</w:t>
            </w:r>
            <w:r>
              <w:rPr>
                <w:rFonts w:hint="eastAsia" w:ascii="宋体" w:hAnsi="宋体" w:cs="宋体"/>
                <w:snapToGrid w:val="0"/>
                <w:color w:val="000000"/>
                <w:kern w:val="28"/>
                <w:sz w:val="24"/>
              </w:rPr>
              <w:t>套</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492" w:hRule="atLeast"/>
          <w:jc w:val="center"/>
        </w:trPr>
        <w:tc>
          <w:tcPr>
            <w:tcW w:w="616" w:type="dxa"/>
            <w:vMerge w:val="continue"/>
            <w:tcBorders>
              <w:left w:val="single" w:color="000000" w:sz="8" w:space="0"/>
              <w:right w:val="single" w:color="000000" w:sz="2" w:space="0"/>
            </w:tcBorders>
            <w:vAlign w:val="center"/>
          </w:tcPr>
          <w:p>
            <w:pPr>
              <w:spacing w:line="360" w:lineRule="auto"/>
              <w:rPr>
                <w:rFonts w:hint="eastAsia" w:ascii="宋体" w:hAnsi="宋体" w:cs="宋体"/>
                <w:snapToGrid w:val="0"/>
                <w:color w:val="000000"/>
                <w:kern w:val="28"/>
                <w:sz w:val="24"/>
              </w:rPr>
            </w:pPr>
          </w:p>
        </w:tc>
        <w:tc>
          <w:tcPr>
            <w:tcW w:w="1155" w:type="dxa"/>
            <w:vMerge w:val="continue"/>
            <w:tcBorders>
              <w:left w:val="single" w:color="000000" w:sz="2" w:space="0"/>
              <w:right w:val="single" w:color="000000" w:sz="2" w:space="0"/>
            </w:tcBorders>
            <w:vAlign w:val="center"/>
          </w:tcPr>
          <w:p>
            <w:pPr>
              <w:spacing w:line="360" w:lineRule="auto"/>
              <w:rPr>
                <w:rFonts w:hint="eastAsia" w:ascii="宋体" w:hAnsi="宋体" w:cs="宋体"/>
                <w:snapToGrid w:val="0"/>
                <w:color w:val="000000"/>
                <w:kern w:val="28"/>
                <w:sz w:val="24"/>
              </w:rPr>
            </w:pPr>
          </w:p>
        </w:tc>
        <w:tc>
          <w:tcPr>
            <w:tcW w:w="1927" w:type="dxa"/>
            <w:tcBorders>
              <w:top w:val="single" w:color="000000" w:sz="2" w:space="0"/>
              <w:left w:val="single" w:color="000000" w:sz="2" w:space="0"/>
              <w:bottom w:val="single" w:color="000000" w:sz="2" w:space="0"/>
              <w:right w:val="single" w:color="auto" w:sz="4" w:space="0"/>
            </w:tcBorders>
            <w:vAlign w:val="center"/>
          </w:tcPr>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风雨操场主屏</w:t>
            </w:r>
          </w:p>
        </w:tc>
        <w:tc>
          <w:tcPr>
            <w:tcW w:w="4273" w:type="dxa"/>
            <w:tcBorders>
              <w:top w:val="single" w:color="000000" w:sz="2" w:space="0"/>
              <w:left w:val="single" w:color="000000" w:sz="2" w:space="0"/>
              <w:bottom w:val="single" w:color="000000" w:sz="2" w:space="0"/>
              <w:right w:val="single" w:color="auto" w:sz="4" w:space="0"/>
            </w:tcBorders>
            <w:vAlign w:val="center"/>
          </w:tcPr>
          <w:p>
            <w:pPr>
              <w:tabs>
                <w:tab w:val="left" w:pos="5880"/>
              </w:tabs>
              <w:overflowPunct w:val="0"/>
              <w:spacing w:line="360" w:lineRule="auto"/>
              <w:ind w:right="99" w:rightChars="47"/>
              <w:jc w:val="center"/>
              <w:textAlignment w:val="center"/>
              <w:rPr>
                <w:snapToGrid w:val="0"/>
                <w:sz w:val="24"/>
              </w:rPr>
            </w:pPr>
            <w:r>
              <w:rPr>
                <w:rFonts w:hint="eastAsia"/>
                <w:snapToGrid w:val="0"/>
                <w:sz w:val="24"/>
              </w:rPr>
              <w:t>联机同步控制</w:t>
            </w:r>
          </w:p>
        </w:tc>
        <w:tc>
          <w:tcPr>
            <w:tcW w:w="1111"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1套</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jc w:val="center"/>
        </w:trPr>
        <w:tc>
          <w:tcPr>
            <w:tcW w:w="616" w:type="dxa"/>
            <w:tcBorders>
              <w:top w:val="single" w:color="000000" w:sz="2" w:space="0"/>
              <w:left w:val="single" w:color="000000" w:sz="8" w:space="0"/>
              <w:bottom w:val="single" w:color="000000" w:sz="2" w:space="0"/>
              <w:right w:val="single" w:color="000000" w:sz="2" w:space="0"/>
            </w:tcBorders>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3</w:t>
            </w:r>
          </w:p>
        </w:tc>
        <w:tc>
          <w:tcPr>
            <w:tcW w:w="1155" w:type="dxa"/>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终端控制器</w:t>
            </w:r>
          </w:p>
        </w:tc>
        <w:tc>
          <w:tcPr>
            <w:tcW w:w="6200" w:type="dxa"/>
            <w:gridSpan w:val="2"/>
            <w:tcBorders>
              <w:top w:val="single" w:color="000000" w:sz="2" w:space="0"/>
              <w:left w:val="single" w:color="000000" w:sz="2" w:space="0"/>
              <w:bottom w:val="single" w:color="000000" w:sz="2" w:space="0"/>
              <w:right w:val="single" w:color="auto" w:sz="4" w:space="0"/>
            </w:tcBorders>
            <w:vAlign w:val="center"/>
          </w:tcPr>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1、主控单元要求：</w:t>
            </w:r>
          </w:p>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存储空间：≥512G固态；</w:t>
            </w:r>
          </w:p>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运行RAM：≥16G；</w:t>
            </w:r>
          </w:p>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3、主机通讯能力：能够实现移动终端与主控单元通讯的移动终端数量为1-80台，可设定通讯方式：单向或者双向；</w:t>
            </w:r>
          </w:p>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4、切换方式：能够指定单一移动终端与主控单元即时通讯、交互；</w:t>
            </w:r>
          </w:p>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5、同步文件：主控单元与移动终端指定同步文件，能够实时预览、同步播放；</w:t>
            </w:r>
          </w:p>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6、远程上传：设定指定的服务器存储地址，分类上传，任意调用；</w:t>
            </w:r>
          </w:p>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7、状态提示：主界面即时显示与任一终端的连接状态、终端名称、通讯时长、IP地址显示；</w:t>
            </w:r>
          </w:p>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8、通讯管理：设定与移动终端指定的通讯密码；</w:t>
            </w:r>
          </w:p>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9、功能需求：定制UI,导航式菜单结构、系统实现服务端通讯连接系统，与手持终端即时通讯；双向操作，双层加密技术；</w:t>
            </w:r>
          </w:p>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10、文件推送：基于无线状态下的主控单元文件实时推送分发，由移动终端自动接收，通过移动终端来查看、编辑等；</w:t>
            </w:r>
          </w:p>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11、系统包含支持服务器端与手持终端通讯系统：</w:t>
            </w:r>
          </w:p>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①、基于TCP/IP协议专用平台与移动终端即时通讯，防外部环境干扰；</w:t>
            </w:r>
          </w:p>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②、系统支持主控单元视频画面自定义调整；可设定任意左右画面合成平行双画面,具有小窗口控制界面，包含录制控制按钮，置顶于主屏正中；</w:t>
            </w:r>
          </w:p>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 xml:space="preserve">③、移动终端与主控单元双向交互操作，单点识别，及时同步显示到外部显示设备； </w:t>
            </w:r>
          </w:p>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④、采用最新的基于硬件识别的双层加密技术；</w:t>
            </w:r>
          </w:p>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⑤、主菜单隐藏图标，用户</w:t>
            </w:r>
            <w:r>
              <w:rPr>
                <w:rFonts w:hint="eastAsia"/>
                <w:snapToGrid w:val="0"/>
                <w:sz w:val="24"/>
                <w:lang w:val="en-US" w:eastAsia="zh-CN"/>
              </w:rPr>
              <w:t>登录</w:t>
            </w:r>
            <w:r>
              <w:rPr>
                <w:rFonts w:hint="eastAsia"/>
                <w:snapToGrid w:val="0"/>
                <w:sz w:val="24"/>
              </w:rPr>
              <w:t>加密，可设置推送速率，管理窗口IP地址自动识别，单点显示，后台运行占用内存小，交互通讯，图标实时显示，通讯故障及时报警显示在主控单元；</w:t>
            </w:r>
          </w:p>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⑥、兼容通用接口，输出接口：HDMI、VGA、DVI、AUDIO；</w:t>
            </w:r>
            <w:r>
              <w:rPr>
                <w:rFonts w:hint="eastAsia" w:ascii="微软雅黑" w:hAnsi="微软雅黑" w:eastAsia="微软雅黑" w:cs="微软雅黑"/>
                <w:snapToGrid w:val="0"/>
                <w:sz w:val="24"/>
              </w:rPr>
              <w:t>⑦</w:t>
            </w:r>
            <w:r>
              <w:rPr>
                <w:rFonts w:hint="eastAsia" w:eastAsia="微软雅黑"/>
                <w:snapToGrid w:val="0"/>
                <w:sz w:val="24"/>
              </w:rPr>
              <w:t>、</w:t>
            </w:r>
            <w:r>
              <w:rPr>
                <w:rFonts w:hint="eastAsia"/>
                <w:snapToGrid w:val="0"/>
                <w:sz w:val="24"/>
              </w:rPr>
              <w:t>系统支持选用双网络配置，能够与用户现有机房网络服务器无缝衔接；</w:t>
            </w:r>
          </w:p>
          <w:p>
            <w:pPr>
              <w:tabs>
                <w:tab w:val="left" w:pos="5880"/>
              </w:tabs>
              <w:overflowPunct w:val="0"/>
              <w:spacing w:line="360" w:lineRule="auto"/>
              <w:ind w:left="191" w:leftChars="91" w:right="99" w:rightChars="47"/>
              <w:jc w:val="left"/>
              <w:textAlignment w:val="center"/>
              <w:rPr>
                <w:snapToGrid w:val="0"/>
                <w:sz w:val="24"/>
              </w:rPr>
            </w:pPr>
            <w:r>
              <w:rPr>
                <w:rFonts w:hint="eastAsia" w:ascii="微软雅黑" w:hAnsi="微软雅黑" w:eastAsia="微软雅黑" w:cs="微软雅黑"/>
                <w:snapToGrid w:val="0"/>
                <w:sz w:val="24"/>
              </w:rPr>
              <w:t>⑧</w:t>
            </w:r>
            <w:r>
              <w:rPr>
                <w:rFonts w:hint="eastAsia" w:eastAsia="微软雅黑"/>
                <w:snapToGrid w:val="0"/>
                <w:sz w:val="24"/>
              </w:rPr>
              <w:t>、</w:t>
            </w:r>
            <w:r>
              <w:rPr>
                <w:rFonts w:hint="eastAsia"/>
                <w:snapToGrid w:val="0"/>
                <w:sz w:val="24"/>
              </w:rPr>
              <w:t>系统选用企业级无线通讯平台、高速稳定交换数据。</w:t>
            </w:r>
          </w:p>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12、辅助功能：一键截屏，图片资源管理、视频转换、文件编辑等；</w:t>
            </w:r>
          </w:p>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13、操控单元</w:t>
            </w:r>
          </w:p>
          <w:p>
            <w:pPr>
              <w:tabs>
                <w:tab w:val="left" w:pos="5880"/>
              </w:tabs>
              <w:overflowPunct w:val="0"/>
              <w:spacing w:line="360" w:lineRule="auto"/>
              <w:ind w:left="191" w:leftChars="91" w:right="99" w:rightChars="47"/>
              <w:jc w:val="left"/>
              <w:textAlignment w:val="center"/>
              <w:rPr>
                <w:snapToGrid w:val="0"/>
                <w:sz w:val="24"/>
              </w:rPr>
            </w:pPr>
            <w:r>
              <w:rPr>
                <w:rFonts w:hint="eastAsia"/>
              </w:rPr>
              <w:t>①、</w:t>
            </w:r>
            <w:r>
              <w:rPr>
                <w:rFonts w:hint="eastAsia"/>
                <w:snapToGrid w:val="0"/>
                <w:sz w:val="24"/>
              </w:rPr>
              <w:t>终端功能要求自定义终端通讯名称，通讯屏显分辨率设置，同步文件分类、转存；</w:t>
            </w:r>
          </w:p>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②、终端实时视频画面能够通过主控单元实时外接大屏展示；</w:t>
            </w:r>
          </w:p>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③、终端能够远控主控画面，对主控画面进行实时操作，包括软件操作、文档处理、技术设定等；</w:t>
            </w:r>
          </w:p>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④、现场画面即时采集、显示、同步存储；移动终端素材调用、显示、同步存储；</w:t>
            </w:r>
          </w:p>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⑤、与主控单元即时高速切换，反应时间0.1-0.5秒；</w:t>
            </w:r>
          </w:p>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⑥、支持同步多屏显示移动终端软件内容，</w:t>
            </w:r>
            <w:r>
              <w:rPr>
                <w:snapToGrid w:val="0"/>
                <w:sz w:val="24"/>
              </w:rPr>
              <w:t xml:space="preserve"> </w:t>
            </w:r>
          </w:p>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⑦、移动控制终端实时接收、操作；</w:t>
            </w:r>
          </w:p>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⑧、系统在运行过程中起到接收数据功能，与传输系统紧密结合高效的完成接收功能；</w:t>
            </w:r>
          </w:p>
          <w:p>
            <w:pPr>
              <w:tabs>
                <w:tab w:val="left" w:pos="5880"/>
              </w:tabs>
              <w:overflowPunct w:val="0"/>
              <w:spacing w:line="360" w:lineRule="auto"/>
              <w:ind w:left="191" w:leftChars="91" w:right="99" w:rightChars="47"/>
              <w:jc w:val="left"/>
              <w:textAlignment w:val="center"/>
              <w:rPr>
                <w:snapToGrid w:val="0"/>
                <w:sz w:val="24"/>
              </w:rPr>
            </w:pPr>
            <w:r>
              <w:rPr>
                <w:rFonts w:hint="eastAsia" w:ascii="微软雅黑" w:hAnsi="微软雅黑" w:eastAsia="微软雅黑" w:cs="微软雅黑"/>
                <w:snapToGrid w:val="0"/>
                <w:sz w:val="24"/>
              </w:rPr>
              <w:t>⑨</w:t>
            </w:r>
            <w:r>
              <w:rPr>
                <w:rFonts w:hint="eastAsia"/>
                <w:snapToGrid w:val="0"/>
                <w:sz w:val="24"/>
              </w:rPr>
              <w:t>、接收反应速度为：0.1-0.3秒内，与传输系统均为同步；</w:t>
            </w:r>
          </w:p>
          <w:p>
            <w:pPr>
              <w:tabs>
                <w:tab w:val="left" w:pos="5880"/>
              </w:tabs>
              <w:overflowPunct w:val="0"/>
              <w:spacing w:line="360" w:lineRule="auto"/>
              <w:ind w:left="191" w:leftChars="91" w:right="99" w:rightChars="47"/>
              <w:jc w:val="left"/>
              <w:textAlignment w:val="center"/>
              <w:rPr>
                <w:snapToGrid w:val="0"/>
                <w:sz w:val="24"/>
              </w:rPr>
            </w:pPr>
            <w:r>
              <w:rPr>
                <w:rFonts w:hint="eastAsia" w:ascii="微软雅黑" w:hAnsi="微软雅黑" w:eastAsia="微软雅黑" w:cs="微软雅黑"/>
                <w:snapToGrid w:val="0"/>
                <w:sz w:val="24"/>
              </w:rPr>
              <w:t>⑩</w:t>
            </w:r>
            <w:r>
              <w:rPr>
                <w:rFonts w:hint="eastAsia" w:eastAsia="微软雅黑"/>
                <w:snapToGrid w:val="0"/>
                <w:sz w:val="24"/>
              </w:rPr>
              <w:t>、</w:t>
            </w:r>
            <w:r>
              <w:rPr>
                <w:rFonts w:hint="eastAsia"/>
                <w:snapToGrid w:val="0"/>
                <w:sz w:val="24"/>
              </w:rPr>
              <w:t>主控单元主画面传输，实现高传输率，由移动控制终端即时操控，接收移动控制端画面；</w:t>
            </w:r>
          </w:p>
          <w:p>
            <w:pPr>
              <w:tabs>
                <w:tab w:val="left" w:pos="5880"/>
              </w:tabs>
              <w:overflowPunct w:val="0"/>
              <w:spacing w:line="360" w:lineRule="auto"/>
              <w:ind w:left="191" w:leftChars="91" w:right="99" w:rightChars="47"/>
              <w:jc w:val="left"/>
              <w:textAlignment w:val="center"/>
              <w:rPr>
                <w:snapToGrid w:val="0"/>
                <w:sz w:val="24"/>
              </w:rPr>
            </w:pPr>
            <w:r>
              <w:rPr>
                <w:rFonts w:hint="eastAsia" w:ascii="微软雅黑" w:hAnsi="微软雅黑" w:eastAsia="微软雅黑" w:cs="微软雅黑"/>
                <w:snapToGrid w:val="0"/>
                <w:sz w:val="24"/>
              </w:rPr>
              <w:t>⑪</w:t>
            </w:r>
            <w:r>
              <w:rPr>
                <w:rFonts w:hint="eastAsia" w:eastAsia="微软雅黑"/>
                <w:snapToGrid w:val="0"/>
                <w:sz w:val="24"/>
              </w:rPr>
              <w:t>、</w:t>
            </w:r>
            <w:r>
              <w:rPr>
                <w:rFonts w:hint="eastAsia"/>
                <w:snapToGrid w:val="0"/>
                <w:sz w:val="24"/>
              </w:rPr>
              <w:t>确保传输数据安全稳定；系统运行可实时传输数据功能，传输反应速度为：0.1-0.3秒内。</w:t>
            </w:r>
          </w:p>
          <w:p>
            <w:pPr>
              <w:tabs>
                <w:tab w:val="left" w:pos="5880"/>
              </w:tabs>
              <w:overflowPunct w:val="0"/>
              <w:spacing w:line="360" w:lineRule="auto"/>
              <w:ind w:left="191" w:leftChars="91" w:right="99" w:rightChars="47"/>
              <w:jc w:val="left"/>
              <w:textAlignment w:val="center"/>
              <w:rPr>
                <w:snapToGrid w:val="0"/>
                <w:sz w:val="24"/>
              </w:rPr>
            </w:pPr>
            <w:r>
              <w:rPr>
                <w:rFonts w:hint="eastAsia" w:ascii="微软雅黑" w:hAnsi="微软雅黑" w:eastAsia="微软雅黑" w:cs="微软雅黑"/>
                <w:snapToGrid w:val="0"/>
                <w:sz w:val="24"/>
              </w:rPr>
              <w:t>⑫</w:t>
            </w:r>
            <w:r>
              <w:rPr>
                <w:rFonts w:hint="eastAsia"/>
                <w:snapToGrid w:val="0"/>
                <w:sz w:val="24"/>
              </w:rPr>
              <w:t>、意外断开连接后支持原画面内容再次重连。</w:t>
            </w:r>
          </w:p>
        </w:tc>
        <w:tc>
          <w:tcPr>
            <w:tcW w:w="1111"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7台</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jc w:val="center"/>
        </w:trPr>
        <w:tc>
          <w:tcPr>
            <w:tcW w:w="616" w:type="dxa"/>
            <w:tcBorders>
              <w:top w:val="single" w:color="000000" w:sz="2" w:space="0"/>
              <w:left w:val="single" w:color="000000" w:sz="8" w:space="0"/>
              <w:bottom w:val="single" w:color="000000" w:sz="2" w:space="0"/>
              <w:right w:val="single" w:color="000000" w:sz="2" w:space="0"/>
            </w:tcBorders>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4</w:t>
            </w:r>
          </w:p>
        </w:tc>
        <w:tc>
          <w:tcPr>
            <w:tcW w:w="1155" w:type="dxa"/>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视频拼接器</w:t>
            </w:r>
          </w:p>
        </w:tc>
        <w:tc>
          <w:tcPr>
            <w:tcW w:w="6200" w:type="dxa"/>
            <w:gridSpan w:val="2"/>
            <w:tcBorders>
              <w:top w:val="single" w:color="000000" w:sz="2" w:space="0"/>
              <w:left w:val="single" w:color="000000" w:sz="2" w:space="0"/>
              <w:bottom w:val="single" w:color="000000" w:sz="2" w:space="0"/>
              <w:right w:val="single" w:color="auto" w:sz="4" w:space="0"/>
            </w:tcBorders>
            <w:vAlign w:val="center"/>
          </w:tcPr>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1</w:t>
            </w:r>
            <w:r>
              <w:rPr>
                <w:snapToGrid w:val="0"/>
                <w:sz w:val="24"/>
              </w:rPr>
              <w:t>.采用9U标准机箱，配置可选板卡式设计，输出连接屏幕；</w:t>
            </w:r>
          </w:p>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2.</w:t>
            </w:r>
            <w:r>
              <w:rPr>
                <w:snapToGrid w:val="0"/>
                <w:sz w:val="24"/>
              </w:rPr>
              <w:t>支持千兆网口、5G网口、万兆光口集成LED发送卡或HDMI/DVI视频输出；</w:t>
            </w:r>
          </w:p>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3.</w:t>
            </w:r>
            <w:r>
              <w:rPr>
                <w:snapToGrid w:val="0"/>
                <w:sz w:val="24"/>
              </w:rPr>
              <w:t>整机最大光纤输出数量40路，最大带载2.6亿像素；整机最大5G网口输出数量80路，最大带载2.36亿像素；整机最大千兆网口输出数量100路，最大带载6500万像素</w:t>
            </w:r>
            <w:r>
              <w:rPr>
                <w:rFonts w:hint="eastAsia"/>
                <w:snapToGrid w:val="0"/>
                <w:sz w:val="24"/>
              </w:rPr>
              <w:t>；</w:t>
            </w:r>
          </w:p>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4.</w:t>
            </w:r>
            <w:r>
              <w:rPr>
                <w:snapToGrid w:val="0"/>
                <w:sz w:val="24"/>
              </w:rPr>
              <w:t>支持单机4K视频输出最大带载20路4096×2160@60Hz；支持单机2K视频输出最大带载60路2048×1080@60Hz；</w:t>
            </w:r>
          </w:p>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5.</w:t>
            </w:r>
            <w:r>
              <w:rPr>
                <w:snapToGrid w:val="0"/>
                <w:sz w:val="24"/>
              </w:rPr>
              <w:t>支持整机或单图层最宽32768像素，最高32768像素；</w:t>
            </w:r>
          </w:p>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★6.</w:t>
            </w:r>
            <w:r>
              <w:rPr>
                <w:snapToGrid w:val="0"/>
                <w:sz w:val="24"/>
              </w:rPr>
              <w:t>设备为母子板卡结构，内置21个卡槽，可插入子板卡进行工作，其中10个为输入板卡卡槽，2个为输出板卡卡槽，8个为I/O板卡卡槽，1个为MVR（预监）板卡插槽。</w:t>
            </w:r>
            <w:r>
              <w:rPr>
                <w:b/>
                <w:bCs/>
                <w:snapToGrid w:val="0"/>
                <w:sz w:val="24"/>
              </w:rPr>
              <w:t>（</w:t>
            </w:r>
            <w:r>
              <w:rPr>
                <w:rFonts w:hint="eastAsia"/>
                <w:b/>
                <w:bCs/>
                <w:snapToGrid w:val="0"/>
                <w:sz w:val="24"/>
              </w:rPr>
              <w:t>需</w:t>
            </w:r>
            <w:r>
              <w:rPr>
                <w:b/>
                <w:bCs/>
                <w:snapToGrid w:val="0"/>
                <w:sz w:val="24"/>
              </w:rPr>
              <w:t>要提供</w:t>
            </w:r>
            <w:r>
              <w:rPr>
                <w:rFonts w:hint="eastAsia"/>
                <w:b/>
                <w:bCs/>
                <w:snapToGrid w:val="0"/>
                <w:sz w:val="24"/>
              </w:rPr>
              <w:t>第三方权威机构</w:t>
            </w:r>
            <w:r>
              <w:rPr>
                <w:rFonts w:hint="eastAsia"/>
                <w:b/>
                <w:bCs/>
                <w:snapToGrid w:val="0"/>
                <w:sz w:val="24"/>
                <w:lang w:val="en-US" w:eastAsia="zh-CN"/>
              </w:rPr>
              <w:t>出具</w:t>
            </w:r>
            <w:r>
              <w:rPr>
                <w:b/>
                <w:bCs/>
                <w:snapToGrid w:val="0"/>
                <w:sz w:val="24"/>
              </w:rPr>
              <w:t>的检测报告</w:t>
            </w:r>
            <w:r>
              <w:rPr>
                <w:rFonts w:hint="eastAsia"/>
                <w:b/>
                <w:bCs/>
                <w:snapToGrid w:val="0"/>
                <w:sz w:val="24"/>
                <w:lang w:val="en-US" w:eastAsia="zh-CN"/>
              </w:rPr>
              <w:t>复印件</w:t>
            </w:r>
            <w:r>
              <w:rPr>
                <w:b/>
                <w:bCs/>
                <w:snapToGrid w:val="0"/>
                <w:sz w:val="24"/>
              </w:rPr>
              <w:t>）</w:t>
            </w:r>
          </w:p>
          <w:p>
            <w:pPr>
              <w:tabs>
                <w:tab w:val="left" w:pos="5880"/>
              </w:tabs>
              <w:overflowPunct w:val="0"/>
              <w:spacing w:line="360" w:lineRule="auto"/>
              <w:ind w:left="191" w:leftChars="91" w:right="99" w:rightChars="47"/>
              <w:jc w:val="left"/>
              <w:textAlignment w:val="center"/>
              <w:rPr>
                <w:b/>
                <w:bCs/>
                <w:snapToGrid w:val="0"/>
                <w:sz w:val="24"/>
              </w:rPr>
            </w:pPr>
            <w:r>
              <w:rPr>
                <w:rFonts w:hint="eastAsia"/>
                <w:snapToGrid w:val="0"/>
                <w:sz w:val="24"/>
              </w:rPr>
              <w:t>7.</w:t>
            </w:r>
            <w:r>
              <w:rPr>
                <w:snapToGrid w:val="0"/>
                <w:sz w:val="24"/>
              </w:rPr>
              <w:t>支持设置20000个用户场景。场景切换支持淡入淡出、直切效果，淡入淡出时间可设置为0s～3s。</w:t>
            </w:r>
            <w:r>
              <w:rPr>
                <w:b/>
                <w:bCs/>
                <w:snapToGrid w:val="0"/>
                <w:sz w:val="24"/>
              </w:rPr>
              <w:t>（</w:t>
            </w:r>
            <w:r>
              <w:rPr>
                <w:rFonts w:hint="eastAsia"/>
                <w:b/>
                <w:bCs/>
                <w:snapToGrid w:val="0"/>
                <w:sz w:val="24"/>
              </w:rPr>
              <w:t>需</w:t>
            </w:r>
            <w:r>
              <w:rPr>
                <w:b/>
                <w:bCs/>
                <w:snapToGrid w:val="0"/>
                <w:sz w:val="24"/>
              </w:rPr>
              <w:t>要提供</w:t>
            </w:r>
            <w:r>
              <w:rPr>
                <w:rFonts w:hint="eastAsia"/>
                <w:b/>
                <w:bCs/>
                <w:snapToGrid w:val="0"/>
                <w:sz w:val="24"/>
              </w:rPr>
              <w:t>第三方权威机构</w:t>
            </w:r>
            <w:r>
              <w:rPr>
                <w:rFonts w:hint="eastAsia"/>
                <w:b/>
                <w:bCs/>
                <w:snapToGrid w:val="0"/>
                <w:sz w:val="24"/>
                <w:lang w:val="en-US" w:eastAsia="zh-CN"/>
              </w:rPr>
              <w:t>出具</w:t>
            </w:r>
            <w:r>
              <w:rPr>
                <w:b/>
                <w:bCs/>
                <w:snapToGrid w:val="0"/>
                <w:sz w:val="24"/>
              </w:rPr>
              <w:t>的检测报告</w:t>
            </w:r>
            <w:r>
              <w:rPr>
                <w:rFonts w:hint="eastAsia"/>
                <w:b/>
                <w:bCs/>
                <w:snapToGrid w:val="0"/>
                <w:sz w:val="24"/>
                <w:lang w:val="en-US" w:eastAsia="zh-CN"/>
              </w:rPr>
              <w:t>复印件</w:t>
            </w:r>
            <w:r>
              <w:rPr>
                <w:b/>
                <w:bCs/>
                <w:snapToGrid w:val="0"/>
                <w:sz w:val="24"/>
              </w:rPr>
              <w:t>）</w:t>
            </w:r>
          </w:p>
          <w:p>
            <w:pPr>
              <w:tabs>
                <w:tab w:val="left" w:pos="5880"/>
              </w:tabs>
              <w:overflowPunct w:val="0"/>
              <w:spacing w:line="360" w:lineRule="auto"/>
              <w:ind w:left="191" w:leftChars="91" w:right="99" w:rightChars="47"/>
              <w:jc w:val="left"/>
              <w:textAlignment w:val="center"/>
              <w:rPr>
                <w:b/>
                <w:bCs/>
                <w:snapToGrid w:val="0"/>
                <w:sz w:val="24"/>
              </w:rPr>
            </w:pPr>
            <w:r>
              <w:rPr>
                <w:rFonts w:hint="eastAsia"/>
                <w:snapToGrid w:val="0"/>
                <w:sz w:val="24"/>
              </w:rPr>
              <w:t>★8.</w:t>
            </w:r>
            <w:r>
              <w:rPr>
                <w:snapToGrid w:val="0"/>
                <w:sz w:val="24"/>
              </w:rPr>
              <w:t>Ⅰ类和Ⅱ类设备经湿热预处理试验后，设备的基本绝缘或附加绝缘部件之间的绝缘电阻应大于或等于2MΩ，设备加强绝缘或双重绝缘的零部件之间的绝缘电阻应大于或等于5MΩ。</w:t>
            </w:r>
            <w:r>
              <w:rPr>
                <w:b/>
                <w:bCs/>
                <w:snapToGrid w:val="0"/>
                <w:sz w:val="24"/>
              </w:rPr>
              <w:t>（</w:t>
            </w:r>
            <w:r>
              <w:rPr>
                <w:rFonts w:hint="eastAsia"/>
                <w:b/>
                <w:bCs/>
                <w:snapToGrid w:val="0"/>
                <w:sz w:val="24"/>
                <w:lang w:eastAsia="zh-CN"/>
              </w:rPr>
              <w:t>需要提供第三方权威机构出具的检测报告复印件</w:t>
            </w:r>
            <w:r>
              <w:rPr>
                <w:b/>
                <w:bCs/>
                <w:snapToGrid w:val="0"/>
                <w:sz w:val="24"/>
              </w:rPr>
              <w:t>）</w:t>
            </w:r>
          </w:p>
          <w:p>
            <w:pPr>
              <w:tabs>
                <w:tab w:val="left" w:pos="5880"/>
              </w:tabs>
              <w:overflowPunct w:val="0"/>
              <w:spacing w:line="360" w:lineRule="auto"/>
              <w:ind w:left="191" w:leftChars="91" w:right="99" w:rightChars="47"/>
              <w:jc w:val="left"/>
              <w:textAlignment w:val="center"/>
              <w:rPr>
                <w:b/>
                <w:bCs/>
                <w:snapToGrid w:val="0"/>
                <w:sz w:val="24"/>
              </w:rPr>
            </w:pPr>
            <w:r>
              <w:rPr>
                <w:rFonts w:hint="eastAsia"/>
                <w:snapToGrid w:val="0"/>
                <w:sz w:val="24"/>
              </w:rPr>
              <w:t>9.</w:t>
            </w:r>
            <w:r>
              <w:rPr>
                <w:snapToGrid w:val="0"/>
                <w:sz w:val="24"/>
              </w:rPr>
              <w:t>设备配置7英寸触摸式LCD屏，可通过触摸屏实现监控设备状态、查看预监回显显示、调用预置场景、调节屏幕亮度色温等参数、设备数据备份恢复和导出、U盘固件升级、系统设置功能。</w:t>
            </w:r>
            <w:r>
              <w:rPr>
                <w:b/>
                <w:bCs/>
                <w:snapToGrid w:val="0"/>
                <w:sz w:val="24"/>
              </w:rPr>
              <w:t>（</w:t>
            </w:r>
            <w:r>
              <w:rPr>
                <w:rFonts w:hint="eastAsia"/>
                <w:b/>
                <w:bCs/>
                <w:snapToGrid w:val="0"/>
                <w:sz w:val="24"/>
                <w:lang w:eastAsia="zh-CN"/>
              </w:rPr>
              <w:t>需要提供第三方权威机构出具的检测报告复印件</w:t>
            </w:r>
            <w:r>
              <w:rPr>
                <w:b/>
                <w:bCs/>
                <w:snapToGrid w:val="0"/>
                <w:sz w:val="24"/>
              </w:rPr>
              <w:t>）</w:t>
            </w:r>
          </w:p>
          <w:p>
            <w:pPr>
              <w:tabs>
                <w:tab w:val="left" w:pos="5880"/>
              </w:tabs>
              <w:overflowPunct w:val="0"/>
              <w:spacing w:line="360" w:lineRule="auto"/>
              <w:ind w:left="191" w:leftChars="91" w:right="99" w:rightChars="47"/>
              <w:jc w:val="left"/>
              <w:textAlignment w:val="center"/>
              <w:rPr>
                <w:b/>
                <w:bCs/>
                <w:snapToGrid w:val="0"/>
                <w:sz w:val="24"/>
              </w:rPr>
            </w:pPr>
            <w:r>
              <w:rPr>
                <w:rFonts w:hint="eastAsia" w:ascii="宋体" w:hAnsi="宋体" w:cs="宋体"/>
                <w:snapToGrid w:val="0"/>
                <w:color w:val="000000"/>
                <w:kern w:val="28"/>
                <w:sz w:val="24"/>
              </w:rPr>
              <w:t>★</w:t>
            </w:r>
            <w:r>
              <w:rPr>
                <w:rFonts w:hint="eastAsia"/>
                <w:snapToGrid w:val="0"/>
                <w:sz w:val="24"/>
              </w:rPr>
              <w:t>10.在Web界面具有虚拟像素设置选项，可设置为0.75倍虚拟、3倍虚拟及4倍虚拟屏幕。</w:t>
            </w:r>
            <w:r>
              <w:rPr>
                <w:b/>
                <w:bCs/>
                <w:snapToGrid w:val="0"/>
                <w:sz w:val="24"/>
              </w:rPr>
              <w:t>（</w:t>
            </w:r>
            <w:r>
              <w:rPr>
                <w:rFonts w:hint="eastAsia"/>
                <w:b/>
                <w:bCs/>
                <w:snapToGrid w:val="0"/>
                <w:sz w:val="24"/>
                <w:lang w:eastAsia="zh-CN"/>
              </w:rPr>
              <w:t>需要提供第三方权威机构出具的检测报告复印件</w:t>
            </w:r>
            <w:r>
              <w:rPr>
                <w:b/>
                <w:bCs/>
                <w:snapToGrid w:val="0"/>
                <w:sz w:val="24"/>
              </w:rPr>
              <w:t>）</w:t>
            </w:r>
          </w:p>
          <w:p>
            <w:pPr>
              <w:tabs>
                <w:tab w:val="left" w:pos="5880"/>
              </w:tabs>
              <w:overflowPunct w:val="0"/>
              <w:spacing w:line="360" w:lineRule="auto"/>
              <w:ind w:left="191" w:leftChars="91" w:right="99" w:rightChars="47"/>
              <w:jc w:val="left"/>
              <w:textAlignment w:val="center"/>
              <w:rPr>
                <w:b/>
                <w:bCs/>
                <w:snapToGrid w:val="0"/>
                <w:sz w:val="24"/>
              </w:rPr>
            </w:pPr>
            <w:r>
              <w:rPr>
                <w:rFonts w:hint="eastAsia"/>
                <w:snapToGrid w:val="0"/>
                <w:sz w:val="24"/>
              </w:rPr>
              <w:t>★11.支持倍频功能，可设置为自动倍频、2倍频、3倍频，开启倍频后屏幕显示帧率变为进行相应倍数。</w:t>
            </w:r>
            <w:r>
              <w:rPr>
                <w:b/>
                <w:bCs/>
                <w:snapToGrid w:val="0"/>
                <w:sz w:val="24"/>
              </w:rPr>
              <w:t>（</w:t>
            </w:r>
            <w:r>
              <w:rPr>
                <w:rFonts w:hint="eastAsia"/>
                <w:b/>
                <w:bCs/>
                <w:snapToGrid w:val="0"/>
                <w:sz w:val="24"/>
                <w:lang w:eastAsia="zh-CN"/>
              </w:rPr>
              <w:t>需要提供第三方权威机构出具的检测报告复印件</w:t>
            </w:r>
            <w:r>
              <w:rPr>
                <w:b/>
                <w:bCs/>
                <w:snapToGrid w:val="0"/>
                <w:sz w:val="24"/>
              </w:rPr>
              <w:t>）</w:t>
            </w:r>
          </w:p>
          <w:p>
            <w:pPr>
              <w:tabs>
                <w:tab w:val="left" w:pos="5880"/>
              </w:tabs>
              <w:overflowPunct w:val="0"/>
              <w:spacing w:line="360" w:lineRule="auto"/>
              <w:ind w:left="191" w:leftChars="91" w:right="99" w:rightChars="47"/>
              <w:jc w:val="left"/>
              <w:textAlignment w:val="center"/>
              <w:rPr>
                <w:snapToGrid w:val="0"/>
              </w:rPr>
            </w:pPr>
            <w:r>
              <w:rPr>
                <w:rFonts w:hint="eastAsia"/>
                <w:snapToGrid w:val="0"/>
                <w:sz w:val="24"/>
              </w:rPr>
              <w:t>12.支持用户权限分级管理和设置，超级管理员可分配用户使用权限。</w:t>
            </w:r>
            <w:r>
              <w:rPr>
                <w:b/>
                <w:bCs/>
                <w:snapToGrid w:val="0"/>
                <w:sz w:val="24"/>
              </w:rPr>
              <w:t>（</w:t>
            </w:r>
            <w:r>
              <w:rPr>
                <w:rFonts w:hint="eastAsia"/>
                <w:b/>
                <w:bCs/>
                <w:snapToGrid w:val="0"/>
                <w:sz w:val="24"/>
                <w:lang w:eastAsia="zh-CN"/>
              </w:rPr>
              <w:t>需要提供第三方权威机构出具的检测报告复印件</w:t>
            </w:r>
            <w:r>
              <w:rPr>
                <w:b/>
                <w:bCs/>
                <w:snapToGrid w:val="0"/>
                <w:sz w:val="24"/>
              </w:rPr>
              <w:t>）</w:t>
            </w:r>
          </w:p>
        </w:tc>
        <w:tc>
          <w:tcPr>
            <w:tcW w:w="1111"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7台</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1883" w:hRule="atLeast"/>
          <w:jc w:val="center"/>
        </w:trPr>
        <w:tc>
          <w:tcPr>
            <w:tcW w:w="616" w:type="dxa"/>
            <w:vMerge w:val="restart"/>
            <w:tcBorders>
              <w:left w:val="single" w:color="000000" w:sz="8" w:space="0"/>
              <w:right w:val="single" w:color="000000" w:sz="2" w:space="0"/>
            </w:tcBorders>
            <w:vAlign w:val="center"/>
          </w:tcPr>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6</w:t>
            </w:r>
          </w:p>
        </w:tc>
        <w:tc>
          <w:tcPr>
            <w:tcW w:w="1155" w:type="dxa"/>
            <w:vMerge w:val="restart"/>
            <w:tcBorders>
              <w:left w:val="single" w:color="000000" w:sz="2" w:space="0"/>
              <w:right w:val="single" w:color="000000" w:sz="2" w:space="0"/>
            </w:tcBorders>
            <w:vAlign w:val="center"/>
          </w:tcPr>
          <w:p>
            <w:pPr>
              <w:spacing w:line="360" w:lineRule="auto"/>
              <w:jc w:val="center"/>
              <w:rPr>
                <w:rFonts w:hint="eastAsia" w:ascii="宋体" w:hAnsi="宋体" w:cs="宋体"/>
                <w:snapToGrid w:val="0"/>
                <w:color w:val="000000"/>
                <w:kern w:val="28"/>
                <w:sz w:val="24"/>
              </w:rPr>
            </w:pPr>
            <w:r>
              <w:rPr>
                <w:rFonts w:hint="eastAsia" w:ascii="宋体" w:hAnsi="宋体"/>
                <w:szCs w:val="21"/>
              </w:rPr>
              <w:t>线缆敷设</w:t>
            </w:r>
          </w:p>
        </w:tc>
        <w:tc>
          <w:tcPr>
            <w:tcW w:w="1927" w:type="dxa"/>
            <w:tcBorders>
              <w:top w:val="single" w:color="000000" w:sz="2" w:space="0"/>
              <w:left w:val="single" w:color="000000" w:sz="2" w:space="0"/>
              <w:right w:val="single" w:color="auto" w:sz="4" w:space="0"/>
            </w:tcBorders>
            <w:vAlign w:val="center"/>
          </w:tcPr>
          <w:p>
            <w:pPr>
              <w:tabs>
                <w:tab w:val="left" w:pos="5880"/>
              </w:tabs>
              <w:overflowPunct w:val="0"/>
              <w:spacing w:line="360" w:lineRule="auto"/>
              <w:ind w:left="191" w:leftChars="91" w:right="99" w:rightChars="47"/>
              <w:jc w:val="center"/>
              <w:textAlignment w:val="center"/>
              <w:rPr>
                <w:snapToGrid w:val="0"/>
                <w:sz w:val="24"/>
              </w:rPr>
            </w:pPr>
            <w:r>
              <w:rPr>
                <w:rFonts w:hint="eastAsia"/>
                <w:snapToGrid w:val="0"/>
                <w:sz w:val="24"/>
              </w:rPr>
              <w:t>体育运动场</w:t>
            </w:r>
          </w:p>
        </w:tc>
        <w:tc>
          <w:tcPr>
            <w:tcW w:w="4273" w:type="dxa"/>
            <w:tcBorders>
              <w:top w:val="single" w:color="000000" w:sz="2" w:space="0"/>
              <w:left w:val="single" w:color="000000" w:sz="2" w:space="0"/>
              <w:right w:val="single" w:color="auto" w:sz="4" w:space="0"/>
            </w:tcBorders>
            <w:vAlign w:val="center"/>
          </w:tcPr>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电源线：10㎜²，三项五线，长度200米。</w:t>
            </w:r>
          </w:p>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通讯线：超六类网线长度小于70米，超过70米采用单模光纤144芯。</w:t>
            </w:r>
          </w:p>
        </w:tc>
        <w:tc>
          <w:tcPr>
            <w:tcW w:w="1111" w:type="dxa"/>
            <w:tcBorders>
              <w:top w:val="single" w:color="000000" w:sz="2" w:space="0"/>
              <w:left w:val="single" w:color="auto" w:sz="4" w:space="0"/>
              <w:right w:val="single" w:color="000000" w:sz="2" w:space="0"/>
            </w:tcBorders>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1套</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1883" w:hRule="atLeast"/>
          <w:jc w:val="center"/>
        </w:trPr>
        <w:tc>
          <w:tcPr>
            <w:tcW w:w="616" w:type="dxa"/>
            <w:vMerge w:val="continue"/>
            <w:tcBorders>
              <w:left w:val="single" w:color="000000" w:sz="8" w:space="0"/>
              <w:right w:val="single" w:color="000000" w:sz="2" w:space="0"/>
            </w:tcBorders>
            <w:vAlign w:val="center"/>
          </w:tcPr>
          <w:p>
            <w:pPr>
              <w:spacing w:line="360" w:lineRule="auto"/>
              <w:jc w:val="center"/>
              <w:rPr>
                <w:rFonts w:hint="eastAsia" w:ascii="宋体" w:hAnsi="宋体" w:cs="宋体"/>
                <w:snapToGrid w:val="0"/>
                <w:color w:val="000000"/>
                <w:kern w:val="28"/>
                <w:sz w:val="24"/>
              </w:rPr>
            </w:pPr>
          </w:p>
        </w:tc>
        <w:tc>
          <w:tcPr>
            <w:tcW w:w="1155" w:type="dxa"/>
            <w:vMerge w:val="continue"/>
            <w:tcBorders>
              <w:left w:val="single" w:color="000000" w:sz="2" w:space="0"/>
              <w:right w:val="single" w:color="000000" w:sz="2" w:space="0"/>
            </w:tcBorders>
            <w:vAlign w:val="center"/>
          </w:tcPr>
          <w:p>
            <w:pPr>
              <w:spacing w:line="360" w:lineRule="auto"/>
              <w:jc w:val="center"/>
              <w:rPr>
                <w:rFonts w:hint="eastAsia" w:ascii="宋体" w:hAnsi="宋体"/>
                <w:szCs w:val="21"/>
              </w:rPr>
            </w:pPr>
          </w:p>
        </w:tc>
        <w:tc>
          <w:tcPr>
            <w:tcW w:w="1927" w:type="dxa"/>
            <w:tcBorders>
              <w:top w:val="single" w:color="000000" w:sz="2" w:space="0"/>
              <w:left w:val="single" w:color="000000" w:sz="2" w:space="0"/>
              <w:right w:val="single" w:color="auto" w:sz="4" w:space="0"/>
            </w:tcBorders>
            <w:vAlign w:val="center"/>
          </w:tcPr>
          <w:p>
            <w:pPr>
              <w:tabs>
                <w:tab w:val="left" w:pos="5880"/>
              </w:tabs>
              <w:overflowPunct w:val="0"/>
              <w:spacing w:line="360" w:lineRule="auto"/>
              <w:ind w:left="191" w:leftChars="91" w:right="99" w:rightChars="47"/>
              <w:jc w:val="center"/>
              <w:textAlignment w:val="center"/>
              <w:rPr>
                <w:snapToGrid w:val="0"/>
                <w:sz w:val="24"/>
              </w:rPr>
            </w:pPr>
            <w:r>
              <w:rPr>
                <w:rFonts w:hint="eastAsia"/>
                <w:snapToGrid w:val="0"/>
                <w:sz w:val="24"/>
              </w:rPr>
              <w:t>校门口</w:t>
            </w:r>
          </w:p>
        </w:tc>
        <w:tc>
          <w:tcPr>
            <w:tcW w:w="4273" w:type="dxa"/>
            <w:tcBorders>
              <w:top w:val="single" w:color="000000" w:sz="2" w:space="0"/>
              <w:left w:val="single" w:color="000000" w:sz="2" w:space="0"/>
              <w:right w:val="single" w:color="auto" w:sz="4" w:space="0"/>
            </w:tcBorders>
            <w:vAlign w:val="center"/>
          </w:tcPr>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屏一：电源线：10㎜²，火地零三线，长度60米。</w:t>
            </w:r>
          </w:p>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屏二：电源线：2.5㎜²，火地零三线，长度20米。</w:t>
            </w:r>
          </w:p>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通讯线：超六类网线长度小于70米，超过70米采用单模光纤144芯。</w:t>
            </w:r>
          </w:p>
        </w:tc>
        <w:tc>
          <w:tcPr>
            <w:tcW w:w="1111" w:type="dxa"/>
            <w:tcBorders>
              <w:top w:val="single" w:color="000000" w:sz="2" w:space="0"/>
              <w:left w:val="single" w:color="auto" w:sz="4" w:space="0"/>
              <w:right w:val="single" w:color="000000" w:sz="2" w:space="0"/>
            </w:tcBorders>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2套</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1645" w:hRule="atLeast"/>
          <w:jc w:val="center"/>
        </w:trPr>
        <w:tc>
          <w:tcPr>
            <w:tcW w:w="616" w:type="dxa"/>
            <w:vMerge w:val="continue"/>
            <w:tcBorders>
              <w:left w:val="single" w:color="000000" w:sz="8" w:space="0"/>
              <w:right w:val="single" w:color="000000" w:sz="2" w:space="0"/>
            </w:tcBorders>
            <w:vAlign w:val="center"/>
          </w:tcPr>
          <w:p>
            <w:pPr>
              <w:spacing w:line="360" w:lineRule="auto"/>
              <w:rPr>
                <w:rFonts w:hint="eastAsia" w:ascii="宋体" w:hAnsi="宋体" w:cs="宋体"/>
                <w:snapToGrid w:val="0"/>
                <w:color w:val="000000"/>
                <w:kern w:val="28"/>
                <w:sz w:val="24"/>
              </w:rPr>
            </w:pPr>
          </w:p>
        </w:tc>
        <w:tc>
          <w:tcPr>
            <w:tcW w:w="1155" w:type="dxa"/>
            <w:vMerge w:val="continue"/>
            <w:tcBorders>
              <w:left w:val="single" w:color="000000" w:sz="2" w:space="0"/>
              <w:right w:val="single" w:color="000000" w:sz="2" w:space="0"/>
            </w:tcBorders>
            <w:vAlign w:val="center"/>
          </w:tcPr>
          <w:p>
            <w:pPr>
              <w:spacing w:line="360" w:lineRule="auto"/>
              <w:rPr>
                <w:rFonts w:hint="eastAsia" w:ascii="宋体" w:hAnsi="宋体" w:cs="宋体"/>
                <w:snapToGrid w:val="0"/>
                <w:color w:val="000000"/>
                <w:kern w:val="28"/>
                <w:sz w:val="24"/>
              </w:rPr>
            </w:pPr>
          </w:p>
        </w:tc>
        <w:tc>
          <w:tcPr>
            <w:tcW w:w="1927" w:type="dxa"/>
            <w:tcBorders>
              <w:top w:val="single" w:color="000000" w:sz="2" w:space="0"/>
              <w:left w:val="single" w:color="000000" w:sz="2" w:space="0"/>
              <w:right w:val="single" w:color="auto" w:sz="4" w:space="0"/>
            </w:tcBorders>
            <w:vAlign w:val="center"/>
          </w:tcPr>
          <w:p>
            <w:pPr>
              <w:tabs>
                <w:tab w:val="left" w:pos="5880"/>
              </w:tabs>
              <w:overflowPunct w:val="0"/>
              <w:spacing w:line="360" w:lineRule="auto"/>
              <w:ind w:left="191" w:leftChars="91" w:right="99" w:rightChars="47"/>
              <w:jc w:val="center"/>
              <w:textAlignment w:val="center"/>
              <w:rPr>
                <w:snapToGrid w:val="0"/>
                <w:sz w:val="24"/>
              </w:rPr>
            </w:pPr>
            <w:r>
              <w:rPr>
                <w:rFonts w:hint="eastAsia"/>
                <w:snapToGrid w:val="0"/>
                <w:sz w:val="24"/>
              </w:rPr>
              <w:t>三楼会议室</w:t>
            </w:r>
          </w:p>
        </w:tc>
        <w:tc>
          <w:tcPr>
            <w:tcW w:w="4273" w:type="dxa"/>
            <w:tcBorders>
              <w:top w:val="single" w:color="000000" w:sz="2" w:space="0"/>
              <w:left w:val="single" w:color="000000" w:sz="2" w:space="0"/>
              <w:right w:val="single" w:color="auto" w:sz="4" w:space="0"/>
            </w:tcBorders>
            <w:vAlign w:val="center"/>
          </w:tcPr>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电源线：6㎜²，3根，长度70米。</w:t>
            </w:r>
          </w:p>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通讯线：超六类网线长度小于70米，超过70米采用单模光纤144芯。</w:t>
            </w:r>
          </w:p>
        </w:tc>
        <w:tc>
          <w:tcPr>
            <w:tcW w:w="1111" w:type="dxa"/>
            <w:tcBorders>
              <w:top w:val="single" w:color="000000" w:sz="2" w:space="0"/>
              <w:left w:val="single" w:color="auto" w:sz="4" w:space="0"/>
              <w:right w:val="single" w:color="000000" w:sz="2" w:space="0"/>
            </w:tcBorders>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1套</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1645" w:hRule="atLeast"/>
          <w:jc w:val="center"/>
        </w:trPr>
        <w:tc>
          <w:tcPr>
            <w:tcW w:w="616" w:type="dxa"/>
            <w:vMerge w:val="continue"/>
            <w:tcBorders>
              <w:left w:val="single" w:color="000000" w:sz="8" w:space="0"/>
              <w:right w:val="single" w:color="000000" w:sz="2" w:space="0"/>
            </w:tcBorders>
            <w:vAlign w:val="center"/>
          </w:tcPr>
          <w:p>
            <w:pPr>
              <w:spacing w:line="360" w:lineRule="auto"/>
              <w:rPr>
                <w:rFonts w:hint="eastAsia" w:ascii="宋体" w:hAnsi="宋体" w:cs="宋体"/>
                <w:snapToGrid w:val="0"/>
                <w:color w:val="000000"/>
                <w:kern w:val="28"/>
                <w:sz w:val="24"/>
              </w:rPr>
            </w:pPr>
          </w:p>
        </w:tc>
        <w:tc>
          <w:tcPr>
            <w:tcW w:w="1155" w:type="dxa"/>
            <w:vMerge w:val="continue"/>
            <w:tcBorders>
              <w:left w:val="single" w:color="000000" w:sz="2" w:space="0"/>
              <w:right w:val="single" w:color="000000" w:sz="2" w:space="0"/>
            </w:tcBorders>
            <w:vAlign w:val="center"/>
          </w:tcPr>
          <w:p>
            <w:pPr>
              <w:spacing w:line="360" w:lineRule="auto"/>
              <w:rPr>
                <w:rFonts w:hint="eastAsia" w:ascii="宋体" w:hAnsi="宋体" w:cs="宋体"/>
                <w:snapToGrid w:val="0"/>
                <w:color w:val="000000"/>
                <w:kern w:val="28"/>
                <w:sz w:val="24"/>
              </w:rPr>
            </w:pPr>
          </w:p>
        </w:tc>
        <w:tc>
          <w:tcPr>
            <w:tcW w:w="1927" w:type="dxa"/>
            <w:tcBorders>
              <w:top w:val="single" w:color="000000" w:sz="2" w:space="0"/>
              <w:left w:val="single" w:color="000000" w:sz="2" w:space="0"/>
              <w:right w:val="single" w:color="auto" w:sz="4" w:space="0"/>
            </w:tcBorders>
            <w:vAlign w:val="center"/>
          </w:tcPr>
          <w:p>
            <w:pPr>
              <w:tabs>
                <w:tab w:val="left" w:pos="5880"/>
              </w:tabs>
              <w:overflowPunct w:val="0"/>
              <w:spacing w:line="360" w:lineRule="auto"/>
              <w:ind w:left="191" w:leftChars="91" w:right="99" w:rightChars="47"/>
              <w:jc w:val="center"/>
              <w:textAlignment w:val="center"/>
              <w:rPr>
                <w:snapToGrid w:val="0"/>
                <w:sz w:val="24"/>
              </w:rPr>
            </w:pPr>
            <w:r>
              <w:rPr>
                <w:rFonts w:hint="eastAsia"/>
                <w:snapToGrid w:val="0"/>
                <w:sz w:val="24"/>
              </w:rPr>
              <w:t>阶梯教室</w:t>
            </w:r>
          </w:p>
        </w:tc>
        <w:tc>
          <w:tcPr>
            <w:tcW w:w="4273" w:type="dxa"/>
            <w:tcBorders>
              <w:top w:val="single" w:color="000000" w:sz="2" w:space="0"/>
              <w:left w:val="single" w:color="000000" w:sz="2" w:space="0"/>
              <w:right w:val="single" w:color="auto" w:sz="4" w:space="0"/>
            </w:tcBorders>
            <w:vAlign w:val="center"/>
          </w:tcPr>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电源线：10㎜²，3根，长度70米。</w:t>
            </w:r>
            <w:r>
              <w:rPr>
                <w:rFonts w:hint="eastAsia"/>
                <w:snapToGrid w:val="0"/>
                <w:sz w:val="24"/>
              </w:rPr>
              <w:cr/>
            </w:r>
            <w:r>
              <w:rPr>
                <w:rFonts w:hint="eastAsia"/>
                <w:snapToGrid w:val="0"/>
                <w:sz w:val="24"/>
              </w:rPr>
              <w:t>通讯线：超六类网线长度小于70米，超过70米采用单模光纤144芯。</w:t>
            </w:r>
          </w:p>
        </w:tc>
        <w:tc>
          <w:tcPr>
            <w:tcW w:w="1111" w:type="dxa"/>
            <w:tcBorders>
              <w:top w:val="single" w:color="000000" w:sz="2" w:space="0"/>
              <w:left w:val="single" w:color="auto" w:sz="4" w:space="0"/>
              <w:right w:val="single" w:color="000000" w:sz="2" w:space="0"/>
            </w:tcBorders>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1套</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1645" w:hRule="atLeast"/>
          <w:jc w:val="center"/>
        </w:trPr>
        <w:tc>
          <w:tcPr>
            <w:tcW w:w="616" w:type="dxa"/>
            <w:vMerge w:val="continue"/>
            <w:tcBorders>
              <w:left w:val="single" w:color="000000" w:sz="8" w:space="0"/>
              <w:right w:val="single" w:color="000000" w:sz="2" w:space="0"/>
            </w:tcBorders>
            <w:vAlign w:val="center"/>
          </w:tcPr>
          <w:p>
            <w:pPr>
              <w:spacing w:line="360" w:lineRule="auto"/>
              <w:rPr>
                <w:rFonts w:hint="eastAsia" w:ascii="宋体" w:hAnsi="宋体" w:cs="宋体"/>
                <w:snapToGrid w:val="0"/>
                <w:color w:val="000000"/>
                <w:kern w:val="28"/>
                <w:sz w:val="24"/>
              </w:rPr>
            </w:pPr>
          </w:p>
        </w:tc>
        <w:tc>
          <w:tcPr>
            <w:tcW w:w="1155" w:type="dxa"/>
            <w:vMerge w:val="continue"/>
            <w:tcBorders>
              <w:left w:val="single" w:color="000000" w:sz="2" w:space="0"/>
              <w:right w:val="single" w:color="000000" w:sz="2" w:space="0"/>
            </w:tcBorders>
            <w:vAlign w:val="center"/>
          </w:tcPr>
          <w:p>
            <w:pPr>
              <w:spacing w:line="360" w:lineRule="auto"/>
              <w:rPr>
                <w:rFonts w:hint="eastAsia" w:ascii="宋体" w:hAnsi="宋体" w:cs="宋体"/>
                <w:snapToGrid w:val="0"/>
                <w:color w:val="000000"/>
                <w:kern w:val="28"/>
                <w:sz w:val="24"/>
              </w:rPr>
            </w:pPr>
          </w:p>
        </w:tc>
        <w:tc>
          <w:tcPr>
            <w:tcW w:w="1927" w:type="dxa"/>
            <w:tcBorders>
              <w:top w:val="single" w:color="000000" w:sz="2" w:space="0"/>
              <w:left w:val="single" w:color="000000" w:sz="2" w:space="0"/>
              <w:right w:val="single" w:color="auto" w:sz="4" w:space="0"/>
            </w:tcBorders>
            <w:vAlign w:val="center"/>
          </w:tcPr>
          <w:p>
            <w:pPr>
              <w:tabs>
                <w:tab w:val="left" w:pos="5880"/>
              </w:tabs>
              <w:overflowPunct w:val="0"/>
              <w:spacing w:line="360" w:lineRule="auto"/>
              <w:ind w:left="191" w:leftChars="91" w:right="99" w:rightChars="47"/>
              <w:jc w:val="center"/>
              <w:textAlignment w:val="center"/>
              <w:rPr>
                <w:snapToGrid w:val="0"/>
                <w:sz w:val="24"/>
              </w:rPr>
            </w:pPr>
            <w:r>
              <w:rPr>
                <w:rFonts w:hint="eastAsia"/>
                <w:snapToGrid w:val="0"/>
                <w:sz w:val="24"/>
              </w:rPr>
              <w:t>四楼大会议室</w:t>
            </w:r>
          </w:p>
        </w:tc>
        <w:tc>
          <w:tcPr>
            <w:tcW w:w="4273" w:type="dxa"/>
            <w:tcBorders>
              <w:top w:val="single" w:color="000000" w:sz="2" w:space="0"/>
              <w:left w:val="single" w:color="000000" w:sz="2" w:space="0"/>
              <w:right w:val="single" w:color="auto" w:sz="4" w:space="0"/>
            </w:tcBorders>
            <w:vAlign w:val="center"/>
          </w:tcPr>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电源线：10㎜²，3根，长度70米。</w:t>
            </w:r>
            <w:r>
              <w:rPr>
                <w:rFonts w:hint="eastAsia"/>
                <w:snapToGrid w:val="0"/>
                <w:sz w:val="24"/>
              </w:rPr>
              <w:cr/>
            </w:r>
            <w:r>
              <w:rPr>
                <w:rFonts w:hint="eastAsia"/>
                <w:snapToGrid w:val="0"/>
                <w:sz w:val="24"/>
              </w:rPr>
              <w:t>通讯线：超六类网线长度小于70米，超过70米采用单模光纤144芯。</w:t>
            </w:r>
          </w:p>
        </w:tc>
        <w:tc>
          <w:tcPr>
            <w:tcW w:w="1111" w:type="dxa"/>
            <w:tcBorders>
              <w:top w:val="single" w:color="000000" w:sz="2" w:space="0"/>
              <w:left w:val="single" w:color="auto" w:sz="4" w:space="0"/>
              <w:right w:val="single" w:color="000000" w:sz="2" w:space="0"/>
            </w:tcBorders>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1套</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1645" w:hRule="atLeast"/>
          <w:jc w:val="center"/>
        </w:trPr>
        <w:tc>
          <w:tcPr>
            <w:tcW w:w="616" w:type="dxa"/>
            <w:vMerge w:val="continue"/>
            <w:tcBorders>
              <w:left w:val="single" w:color="000000" w:sz="8" w:space="0"/>
              <w:right w:val="single" w:color="000000" w:sz="2" w:space="0"/>
            </w:tcBorders>
            <w:vAlign w:val="center"/>
          </w:tcPr>
          <w:p>
            <w:pPr>
              <w:spacing w:line="360" w:lineRule="auto"/>
              <w:rPr>
                <w:rFonts w:hint="eastAsia" w:ascii="宋体" w:hAnsi="宋体" w:cs="宋体"/>
                <w:snapToGrid w:val="0"/>
                <w:color w:val="000000"/>
                <w:kern w:val="28"/>
                <w:sz w:val="24"/>
              </w:rPr>
            </w:pPr>
          </w:p>
        </w:tc>
        <w:tc>
          <w:tcPr>
            <w:tcW w:w="1155" w:type="dxa"/>
            <w:vMerge w:val="continue"/>
            <w:tcBorders>
              <w:left w:val="single" w:color="000000" w:sz="2" w:space="0"/>
              <w:right w:val="single" w:color="000000" w:sz="2" w:space="0"/>
            </w:tcBorders>
            <w:vAlign w:val="center"/>
          </w:tcPr>
          <w:p>
            <w:pPr>
              <w:spacing w:line="360" w:lineRule="auto"/>
              <w:rPr>
                <w:rFonts w:hint="eastAsia" w:ascii="宋体" w:hAnsi="宋体" w:cs="宋体"/>
                <w:snapToGrid w:val="0"/>
                <w:color w:val="000000"/>
                <w:kern w:val="28"/>
                <w:sz w:val="24"/>
              </w:rPr>
            </w:pPr>
          </w:p>
        </w:tc>
        <w:tc>
          <w:tcPr>
            <w:tcW w:w="1927" w:type="dxa"/>
            <w:tcBorders>
              <w:top w:val="single" w:color="000000" w:sz="2" w:space="0"/>
              <w:left w:val="single" w:color="000000" w:sz="2" w:space="0"/>
              <w:right w:val="single" w:color="auto" w:sz="4" w:space="0"/>
            </w:tcBorders>
            <w:vAlign w:val="center"/>
          </w:tcPr>
          <w:p>
            <w:pPr>
              <w:tabs>
                <w:tab w:val="left" w:pos="5880"/>
              </w:tabs>
              <w:overflowPunct w:val="0"/>
              <w:spacing w:line="360" w:lineRule="auto"/>
              <w:ind w:left="191" w:leftChars="91" w:right="99" w:rightChars="47"/>
              <w:jc w:val="center"/>
              <w:textAlignment w:val="center"/>
              <w:rPr>
                <w:snapToGrid w:val="0"/>
                <w:sz w:val="24"/>
              </w:rPr>
            </w:pPr>
            <w:r>
              <w:rPr>
                <w:rFonts w:hint="eastAsia"/>
                <w:snapToGrid w:val="0"/>
                <w:sz w:val="24"/>
              </w:rPr>
              <w:t>汇报厅</w:t>
            </w:r>
          </w:p>
        </w:tc>
        <w:tc>
          <w:tcPr>
            <w:tcW w:w="4273" w:type="dxa"/>
            <w:tcBorders>
              <w:top w:val="single" w:color="000000" w:sz="2" w:space="0"/>
              <w:left w:val="single" w:color="000000" w:sz="2" w:space="0"/>
              <w:right w:val="single" w:color="auto" w:sz="4" w:space="0"/>
            </w:tcBorders>
            <w:vAlign w:val="center"/>
          </w:tcPr>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电源线：主屏：16㎜²，3根，</w:t>
            </w:r>
          </w:p>
          <w:p>
            <w:pPr>
              <w:tabs>
                <w:tab w:val="left" w:pos="5880"/>
              </w:tabs>
              <w:overflowPunct w:val="0"/>
              <w:spacing w:line="360" w:lineRule="auto"/>
              <w:ind w:left="191" w:leftChars="91" w:right="99" w:rightChars="47" w:firstLine="480" w:firstLineChars="200"/>
              <w:jc w:val="left"/>
              <w:textAlignment w:val="center"/>
              <w:rPr>
                <w:snapToGrid w:val="0"/>
                <w:sz w:val="24"/>
              </w:rPr>
            </w:pPr>
            <w:r>
              <w:rPr>
                <w:rFonts w:hint="eastAsia"/>
                <w:snapToGrid w:val="0"/>
                <w:sz w:val="24"/>
              </w:rPr>
              <w:t>辅屏：6㎜²，3根，2组</w:t>
            </w:r>
          </w:p>
          <w:p>
            <w:pPr>
              <w:tabs>
                <w:tab w:val="left" w:pos="5880"/>
              </w:tabs>
              <w:overflowPunct w:val="0"/>
              <w:spacing w:line="360" w:lineRule="auto"/>
              <w:ind w:left="191" w:leftChars="91" w:right="99" w:rightChars="47" w:firstLine="240" w:firstLineChars="100"/>
              <w:jc w:val="left"/>
              <w:textAlignment w:val="center"/>
              <w:rPr>
                <w:snapToGrid w:val="0"/>
                <w:sz w:val="24"/>
              </w:rPr>
            </w:pPr>
            <w:r>
              <w:rPr>
                <w:rFonts w:hint="eastAsia"/>
                <w:snapToGrid w:val="0"/>
                <w:sz w:val="24"/>
              </w:rPr>
              <w:t>横幅屏：6㎜²，3根，1组</w:t>
            </w:r>
          </w:p>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长度70米。</w:t>
            </w:r>
            <w:r>
              <w:rPr>
                <w:rFonts w:hint="eastAsia"/>
                <w:snapToGrid w:val="0"/>
                <w:sz w:val="24"/>
              </w:rPr>
              <w:cr/>
            </w:r>
            <w:r>
              <w:rPr>
                <w:rFonts w:hint="eastAsia"/>
                <w:snapToGrid w:val="0"/>
                <w:sz w:val="24"/>
              </w:rPr>
              <w:t>通讯线：超六类网线长度小于70米，超过70米采用单模光纤144芯。</w:t>
            </w:r>
          </w:p>
        </w:tc>
        <w:tc>
          <w:tcPr>
            <w:tcW w:w="1111" w:type="dxa"/>
            <w:tcBorders>
              <w:top w:val="single" w:color="000000" w:sz="2" w:space="0"/>
              <w:left w:val="single" w:color="auto" w:sz="4" w:space="0"/>
              <w:right w:val="single" w:color="000000" w:sz="2" w:space="0"/>
            </w:tcBorders>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4套</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540" w:hRule="atLeast"/>
          <w:jc w:val="center"/>
        </w:trPr>
        <w:tc>
          <w:tcPr>
            <w:tcW w:w="616" w:type="dxa"/>
            <w:vMerge w:val="continue"/>
            <w:tcBorders>
              <w:left w:val="single" w:color="000000" w:sz="8" w:space="0"/>
              <w:right w:val="single" w:color="000000" w:sz="2" w:space="0"/>
            </w:tcBorders>
            <w:vAlign w:val="center"/>
          </w:tcPr>
          <w:p>
            <w:pPr>
              <w:spacing w:line="360" w:lineRule="auto"/>
              <w:rPr>
                <w:rFonts w:hint="eastAsia" w:ascii="宋体" w:hAnsi="宋体" w:cs="宋体"/>
                <w:snapToGrid w:val="0"/>
                <w:color w:val="000000"/>
                <w:kern w:val="28"/>
                <w:sz w:val="24"/>
              </w:rPr>
            </w:pPr>
          </w:p>
        </w:tc>
        <w:tc>
          <w:tcPr>
            <w:tcW w:w="1155" w:type="dxa"/>
            <w:vMerge w:val="continue"/>
            <w:tcBorders>
              <w:left w:val="single" w:color="000000" w:sz="2" w:space="0"/>
              <w:right w:val="single" w:color="000000" w:sz="2" w:space="0"/>
            </w:tcBorders>
            <w:vAlign w:val="center"/>
          </w:tcPr>
          <w:p>
            <w:pPr>
              <w:spacing w:line="360" w:lineRule="auto"/>
              <w:rPr>
                <w:rFonts w:hint="eastAsia" w:ascii="宋体" w:hAnsi="宋体" w:cs="宋体"/>
                <w:snapToGrid w:val="0"/>
                <w:color w:val="000000"/>
                <w:kern w:val="28"/>
                <w:sz w:val="24"/>
              </w:rPr>
            </w:pPr>
          </w:p>
        </w:tc>
        <w:tc>
          <w:tcPr>
            <w:tcW w:w="1927" w:type="dxa"/>
            <w:tcBorders>
              <w:top w:val="single" w:color="000000" w:sz="2" w:space="0"/>
              <w:left w:val="single" w:color="000000" w:sz="2" w:space="0"/>
              <w:bottom w:val="single" w:color="auto" w:sz="4" w:space="0"/>
              <w:right w:val="single" w:color="auto" w:sz="4" w:space="0"/>
            </w:tcBorders>
            <w:vAlign w:val="center"/>
          </w:tcPr>
          <w:p>
            <w:pPr>
              <w:tabs>
                <w:tab w:val="left" w:pos="5880"/>
              </w:tabs>
              <w:overflowPunct w:val="0"/>
              <w:spacing w:line="360" w:lineRule="auto"/>
              <w:ind w:left="191" w:leftChars="91" w:right="99" w:rightChars="47"/>
              <w:jc w:val="center"/>
              <w:textAlignment w:val="center"/>
              <w:rPr>
                <w:snapToGrid w:val="0"/>
                <w:sz w:val="24"/>
              </w:rPr>
            </w:pPr>
            <w:r>
              <w:rPr>
                <w:rFonts w:hint="eastAsia"/>
                <w:snapToGrid w:val="0"/>
                <w:sz w:val="24"/>
              </w:rPr>
              <w:t>风雨操场</w:t>
            </w:r>
          </w:p>
        </w:tc>
        <w:tc>
          <w:tcPr>
            <w:tcW w:w="4273" w:type="dxa"/>
            <w:tcBorders>
              <w:top w:val="single" w:color="000000" w:sz="2" w:space="0"/>
              <w:left w:val="single" w:color="000000" w:sz="2" w:space="0"/>
              <w:bottom w:val="single" w:color="auto" w:sz="4" w:space="0"/>
              <w:right w:val="single" w:color="auto" w:sz="4" w:space="0"/>
            </w:tcBorders>
            <w:vAlign w:val="center"/>
          </w:tcPr>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电源线：10㎜²，二组，每组5根，长度70米。</w:t>
            </w:r>
          </w:p>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通讯线：超六类网线长度小于70米，超过70米采用单模光纤144芯。</w:t>
            </w:r>
          </w:p>
        </w:tc>
        <w:tc>
          <w:tcPr>
            <w:tcW w:w="1111"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1套</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1086" w:hRule="atLeast"/>
          <w:jc w:val="center"/>
        </w:trPr>
        <w:tc>
          <w:tcPr>
            <w:tcW w:w="616" w:type="dxa"/>
            <w:vMerge w:val="restart"/>
            <w:tcBorders>
              <w:left w:val="single" w:color="000000" w:sz="8" w:space="0"/>
              <w:right w:val="single" w:color="000000" w:sz="2" w:space="0"/>
            </w:tcBorders>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7</w:t>
            </w:r>
          </w:p>
        </w:tc>
        <w:tc>
          <w:tcPr>
            <w:tcW w:w="1155" w:type="dxa"/>
            <w:vMerge w:val="restart"/>
            <w:tcBorders>
              <w:left w:val="single" w:color="000000" w:sz="2" w:space="0"/>
              <w:right w:val="single" w:color="000000" w:sz="2" w:space="0"/>
            </w:tcBorders>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框架</w:t>
            </w:r>
          </w:p>
        </w:tc>
        <w:tc>
          <w:tcPr>
            <w:tcW w:w="1927" w:type="dxa"/>
            <w:tcBorders>
              <w:top w:val="single" w:color="000000" w:sz="2" w:space="0"/>
              <w:left w:val="single" w:color="000000" w:sz="2" w:space="0"/>
              <w:right w:val="single" w:color="auto" w:sz="4" w:space="0"/>
            </w:tcBorders>
            <w:vAlign w:val="center"/>
          </w:tcPr>
          <w:p>
            <w:pPr>
              <w:tabs>
                <w:tab w:val="left" w:pos="5880"/>
              </w:tabs>
              <w:overflowPunct w:val="0"/>
              <w:spacing w:line="360" w:lineRule="auto"/>
              <w:ind w:left="191" w:leftChars="91" w:right="99" w:rightChars="47"/>
              <w:jc w:val="center"/>
              <w:textAlignment w:val="center"/>
              <w:rPr>
                <w:snapToGrid w:val="0"/>
                <w:sz w:val="24"/>
              </w:rPr>
            </w:pPr>
            <w:r>
              <w:rPr>
                <w:rFonts w:hint="eastAsia"/>
                <w:snapToGrid w:val="0"/>
                <w:sz w:val="24"/>
              </w:rPr>
              <w:t>体育运动场双立柱安装方式</w:t>
            </w:r>
          </w:p>
        </w:tc>
        <w:tc>
          <w:tcPr>
            <w:tcW w:w="4273" w:type="dxa"/>
            <w:tcBorders>
              <w:top w:val="single" w:color="000000" w:sz="2" w:space="0"/>
              <w:left w:val="single" w:color="000000" w:sz="2" w:space="0"/>
              <w:bottom w:val="single" w:color="auto" w:sz="4" w:space="0"/>
              <w:right w:val="single" w:color="auto" w:sz="4" w:space="0"/>
            </w:tcBorders>
            <w:vAlign w:val="center"/>
          </w:tcPr>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G30混凝土基础大于2立方米2只，国标160镀锌槽钢焊接结构，60X60，40X40镀锌方管焊接，1.2厚不锈钢或者3mm铝板包边。</w:t>
            </w:r>
          </w:p>
          <w:p>
            <w:pPr>
              <w:tabs>
                <w:tab w:val="left" w:pos="5880"/>
              </w:tabs>
              <w:overflowPunct w:val="0"/>
              <w:spacing w:line="360" w:lineRule="auto"/>
              <w:ind w:left="191" w:leftChars="91" w:right="99" w:rightChars="47"/>
              <w:jc w:val="left"/>
              <w:textAlignment w:val="center"/>
            </w:pPr>
            <w:r>
              <w:rPr>
                <w:rFonts w:hint="eastAsia"/>
                <w:snapToGrid w:val="0"/>
                <w:sz w:val="24"/>
              </w:rPr>
              <w:t>要求施工人员具备高空作业证、电焊证、电工证。</w:t>
            </w:r>
          </w:p>
        </w:tc>
        <w:tc>
          <w:tcPr>
            <w:tcW w:w="1111" w:type="dxa"/>
            <w:tcBorders>
              <w:top w:val="single" w:color="000000" w:sz="2" w:space="0"/>
              <w:left w:val="single" w:color="auto" w:sz="4" w:space="0"/>
              <w:right w:val="single" w:color="000000" w:sz="2" w:space="0"/>
            </w:tcBorders>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25.8㎡</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1086" w:hRule="atLeast"/>
          <w:jc w:val="center"/>
        </w:trPr>
        <w:tc>
          <w:tcPr>
            <w:tcW w:w="616" w:type="dxa"/>
            <w:vMerge w:val="continue"/>
            <w:tcBorders>
              <w:left w:val="single" w:color="000000" w:sz="8" w:space="0"/>
              <w:right w:val="single" w:color="000000" w:sz="2" w:space="0"/>
            </w:tcBorders>
            <w:vAlign w:val="center"/>
          </w:tcPr>
          <w:p>
            <w:pPr>
              <w:spacing w:line="360" w:lineRule="auto"/>
              <w:jc w:val="center"/>
              <w:rPr>
                <w:rFonts w:hint="eastAsia" w:ascii="宋体" w:hAnsi="宋体" w:cs="宋体"/>
                <w:snapToGrid w:val="0"/>
                <w:color w:val="000000"/>
                <w:kern w:val="28"/>
                <w:sz w:val="24"/>
              </w:rPr>
            </w:pPr>
          </w:p>
        </w:tc>
        <w:tc>
          <w:tcPr>
            <w:tcW w:w="1155" w:type="dxa"/>
            <w:vMerge w:val="continue"/>
            <w:tcBorders>
              <w:left w:val="single" w:color="000000" w:sz="2" w:space="0"/>
              <w:right w:val="single" w:color="000000" w:sz="2" w:space="0"/>
            </w:tcBorders>
            <w:vAlign w:val="center"/>
          </w:tcPr>
          <w:p>
            <w:pPr>
              <w:spacing w:line="360" w:lineRule="auto"/>
              <w:jc w:val="center"/>
              <w:rPr>
                <w:rFonts w:hint="eastAsia" w:ascii="宋体" w:hAnsi="宋体" w:cs="宋体"/>
                <w:snapToGrid w:val="0"/>
                <w:color w:val="000000"/>
                <w:kern w:val="28"/>
                <w:sz w:val="24"/>
              </w:rPr>
            </w:pPr>
          </w:p>
        </w:tc>
        <w:tc>
          <w:tcPr>
            <w:tcW w:w="1927" w:type="dxa"/>
            <w:tcBorders>
              <w:top w:val="single" w:color="000000" w:sz="2" w:space="0"/>
              <w:left w:val="single" w:color="000000" w:sz="2" w:space="0"/>
              <w:bottom w:val="single" w:color="auto" w:sz="4" w:space="0"/>
              <w:right w:val="single" w:color="auto" w:sz="4" w:space="0"/>
            </w:tcBorders>
            <w:vAlign w:val="center"/>
          </w:tcPr>
          <w:p>
            <w:pPr>
              <w:tabs>
                <w:tab w:val="left" w:pos="5880"/>
              </w:tabs>
              <w:overflowPunct w:val="0"/>
              <w:spacing w:line="360" w:lineRule="auto"/>
              <w:ind w:left="191" w:leftChars="91" w:right="99" w:rightChars="47"/>
              <w:jc w:val="center"/>
              <w:textAlignment w:val="center"/>
              <w:rPr>
                <w:rFonts w:hint="default" w:eastAsia="宋体"/>
                <w:snapToGrid w:val="0"/>
                <w:sz w:val="24"/>
                <w:lang w:val="en-US" w:eastAsia="zh-CN"/>
              </w:rPr>
            </w:pPr>
            <w:r>
              <w:rPr>
                <w:rFonts w:hint="eastAsia"/>
                <w:snapToGrid w:val="0"/>
                <w:sz w:val="24"/>
              </w:rPr>
              <w:t>校门口壁挂</w:t>
            </w:r>
            <w:r>
              <w:rPr>
                <w:rFonts w:hint="eastAsia"/>
                <w:snapToGrid w:val="0"/>
                <w:sz w:val="24"/>
                <w:lang w:val="en-US" w:eastAsia="zh-CN"/>
              </w:rPr>
              <w:t>2块</w:t>
            </w:r>
          </w:p>
        </w:tc>
        <w:tc>
          <w:tcPr>
            <w:tcW w:w="4273" w:type="dxa"/>
            <w:vMerge w:val="restart"/>
            <w:tcBorders>
              <w:top w:val="single" w:color="auto" w:sz="4" w:space="0"/>
              <w:left w:val="single" w:color="000000" w:sz="2" w:space="0"/>
              <w:right w:val="single" w:color="auto" w:sz="4" w:space="0"/>
            </w:tcBorders>
            <w:vAlign w:val="center"/>
          </w:tcPr>
          <w:p>
            <w:pPr>
              <w:tabs>
                <w:tab w:val="left" w:pos="5880"/>
              </w:tabs>
              <w:overflowPunct w:val="0"/>
              <w:spacing w:line="360" w:lineRule="auto"/>
              <w:ind w:left="191" w:leftChars="91" w:right="99" w:rightChars="47"/>
              <w:jc w:val="left"/>
              <w:textAlignment w:val="center"/>
              <w:rPr>
                <w:snapToGrid w:val="0"/>
                <w:sz w:val="24"/>
              </w:rPr>
            </w:pPr>
          </w:p>
          <w:p>
            <w:pPr>
              <w:tabs>
                <w:tab w:val="left" w:pos="5880"/>
              </w:tabs>
              <w:overflowPunct w:val="0"/>
              <w:spacing w:line="360" w:lineRule="auto"/>
              <w:ind w:left="191" w:leftChars="91" w:right="99" w:rightChars="47"/>
              <w:jc w:val="left"/>
              <w:textAlignment w:val="center"/>
              <w:rPr>
                <w:snapToGrid w:val="0"/>
                <w:sz w:val="24"/>
              </w:rPr>
            </w:pPr>
          </w:p>
          <w:p>
            <w:pPr>
              <w:tabs>
                <w:tab w:val="left" w:pos="5880"/>
              </w:tabs>
              <w:overflowPunct w:val="0"/>
              <w:spacing w:line="360" w:lineRule="auto"/>
              <w:ind w:left="191" w:leftChars="91" w:right="99" w:rightChars="47"/>
              <w:jc w:val="left"/>
              <w:textAlignment w:val="center"/>
              <w:rPr>
                <w:snapToGrid w:val="0"/>
                <w:sz w:val="24"/>
              </w:rPr>
            </w:pPr>
          </w:p>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60X60，40X40镀锌方管焊接，1.2厚不锈钢或者3mm铝板包边。</w:t>
            </w:r>
          </w:p>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要求施工人员具备高空作业证、电焊证、电工证。</w:t>
            </w:r>
          </w:p>
        </w:tc>
        <w:tc>
          <w:tcPr>
            <w:tcW w:w="1111" w:type="dxa"/>
            <w:tcBorders>
              <w:top w:val="single" w:color="000000" w:sz="2" w:space="0"/>
              <w:left w:val="single" w:color="auto" w:sz="4" w:space="0"/>
              <w:right w:val="single" w:color="000000" w:sz="2" w:space="0"/>
            </w:tcBorders>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24.988㎡</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1086" w:hRule="atLeast"/>
          <w:jc w:val="center"/>
        </w:trPr>
        <w:tc>
          <w:tcPr>
            <w:tcW w:w="616" w:type="dxa"/>
            <w:vMerge w:val="continue"/>
            <w:tcBorders>
              <w:left w:val="single" w:color="000000" w:sz="8" w:space="0"/>
              <w:right w:val="single" w:color="000000" w:sz="2" w:space="0"/>
            </w:tcBorders>
            <w:vAlign w:val="center"/>
          </w:tcPr>
          <w:p>
            <w:pPr>
              <w:spacing w:line="360" w:lineRule="auto"/>
              <w:jc w:val="center"/>
              <w:rPr>
                <w:rFonts w:hint="eastAsia" w:ascii="宋体" w:hAnsi="宋体" w:cs="宋体"/>
                <w:snapToGrid w:val="0"/>
                <w:color w:val="000000"/>
                <w:kern w:val="28"/>
                <w:sz w:val="24"/>
              </w:rPr>
            </w:pPr>
          </w:p>
        </w:tc>
        <w:tc>
          <w:tcPr>
            <w:tcW w:w="1155" w:type="dxa"/>
            <w:vMerge w:val="continue"/>
            <w:tcBorders>
              <w:left w:val="single" w:color="000000" w:sz="2" w:space="0"/>
              <w:right w:val="single" w:color="000000" w:sz="2" w:space="0"/>
            </w:tcBorders>
            <w:vAlign w:val="center"/>
          </w:tcPr>
          <w:p>
            <w:pPr>
              <w:spacing w:line="360" w:lineRule="auto"/>
              <w:jc w:val="center"/>
              <w:rPr>
                <w:rFonts w:hint="eastAsia" w:ascii="宋体" w:hAnsi="宋体" w:cs="宋体"/>
                <w:snapToGrid w:val="0"/>
                <w:color w:val="000000"/>
                <w:kern w:val="28"/>
                <w:sz w:val="24"/>
              </w:rPr>
            </w:pPr>
          </w:p>
        </w:tc>
        <w:tc>
          <w:tcPr>
            <w:tcW w:w="1927" w:type="dxa"/>
            <w:tcBorders>
              <w:top w:val="single" w:color="000000" w:sz="2" w:space="0"/>
              <w:left w:val="single" w:color="000000" w:sz="2" w:space="0"/>
              <w:right w:val="single" w:color="auto" w:sz="4" w:space="0"/>
            </w:tcBorders>
            <w:vAlign w:val="center"/>
          </w:tcPr>
          <w:p>
            <w:pPr>
              <w:tabs>
                <w:tab w:val="left" w:pos="5880"/>
              </w:tabs>
              <w:overflowPunct w:val="0"/>
              <w:spacing w:line="360" w:lineRule="auto"/>
              <w:ind w:left="191" w:leftChars="91" w:right="99" w:rightChars="47"/>
              <w:jc w:val="center"/>
              <w:textAlignment w:val="center"/>
              <w:rPr>
                <w:snapToGrid w:val="0"/>
                <w:sz w:val="24"/>
              </w:rPr>
            </w:pPr>
            <w:r>
              <w:rPr>
                <w:rFonts w:hint="eastAsia"/>
                <w:snapToGrid w:val="0"/>
                <w:sz w:val="24"/>
              </w:rPr>
              <w:t>三楼会议室</w:t>
            </w:r>
          </w:p>
        </w:tc>
        <w:tc>
          <w:tcPr>
            <w:tcW w:w="4273" w:type="dxa"/>
            <w:vMerge w:val="continue"/>
            <w:tcBorders>
              <w:left w:val="single" w:color="000000" w:sz="2" w:space="0"/>
              <w:right w:val="single" w:color="auto" w:sz="4" w:space="0"/>
            </w:tcBorders>
            <w:vAlign w:val="center"/>
          </w:tcPr>
          <w:p>
            <w:pPr>
              <w:tabs>
                <w:tab w:val="left" w:pos="5880"/>
              </w:tabs>
              <w:overflowPunct w:val="0"/>
              <w:spacing w:line="360" w:lineRule="auto"/>
              <w:ind w:left="191" w:leftChars="91" w:right="99" w:rightChars="47"/>
              <w:jc w:val="left"/>
              <w:textAlignment w:val="center"/>
              <w:rPr>
                <w:snapToGrid w:val="0"/>
                <w:sz w:val="24"/>
              </w:rPr>
            </w:pPr>
          </w:p>
        </w:tc>
        <w:tc>
          <w:tcPr>
            <w:tcW w:w="1111" w:type="dxa"/>
            <w:tcBorders>
              <w:top w:val="single" w:color="000000" w:sz="2" w:space="0"/>
              <w:left w:val="single" w:color="auto" w:sz="4" w:space="0"/>
              <w:right w:val="single" w:color="000000" w:sz="2" w:space="0"/>
            </w:tcBorders>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9.32㎡</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696" w:hRule="atLeast"/>
          <w:jc w:val="center"/>
        </w:trPr>
        <w:tc>
          <w:tcPr>
            <w:tcW w:w="616" w:type="dxa"/>
            <w:vMerge w:val="continue"/>
            <w:tcBorders>
              <w:left w:val="single" w:color="000000" w:sz="8" w:space="0"/>
              <w:right w:val="single" w:color="000000" w:sz="2" w:space="0"/>
            </w:tcBorders>
            <w:vAlign w:val="center"/>
          </w:tcPr>
          <w:p>
            <w:pPr>
              <w:spacing w:line="360" w:lineRule="auto"/>
              <w:jc w:val="center"/>
              <w:rPr>
                <w:rFonts w:hint="eastAsia" w:ascii="宋体" w:hAnsi="宋体" w:cs="宋体"/>
                <w:snapToGrid w:val="0"/>
                <w:color w:val="000000"/>
                <w:kern w:val="28"/>
                <w:sz w:val="24"/>
              </w:rPr>
            </w:pPr>
          </w:p>
        </w:tc>
        <w:tc>
          <w:tcPr>
            <w:tcW w:w="1155" w:type="dxa"/>
            <w:vMerge w:val="continue"/>
            <w:tcBorders>
              <w:left w:val="single" w:color="000000" w:sz="2" w:space="0"/>
              <w:right w:val="single" w:color="000000" w:sz="2" w:space="0"/>
            </w:tcBorders>
            <w:vAlign w:val="center"/>
          </w:tcPr>
          <w:p>
            <w:pPr>
              <w:spacing w:line="360" w:lineRule="auto"/>
              <w:jc w:val="center"/>
              <w:rPr>
                <w:rFonts w:hint="eastAsia" w:ascii="宋体" w:hAnsi="宋体" w:cs="宋体"/>
                <w:snapToGrid w:val="0"/>
                <w:color w:val="000000"/>
                <w:kern w:val="28"/>
                <w:sz w:val="24"/>
              </w:rPr>
            </w:pPr>
          </w:p>
        </w:tc>
        <w:tc>
          <w:tcPr>
            <w:tcW w:w="1927" w:type="dxa"/>
            <w:tcBorders>
              <w:top w:val="single" w:color="000000" w:sz="2" w:space="0"/>
              <w:left w:val="single" w:color="000000" w:sz="2" w:space="0"/>
              <w:bottom w:val="single" w:color="auto" w:sz="4" w:space="0"/>
              <w:right w:val="single" w:color="auto" w:sz="4" w:space="0"/>
            </w:tcBorders>
            <w:vAlign w:val="center"/>
          </w:tcPr>
          <w:p>
            <w:pPr>
              <w:tabs>
                <w:tab w:val="left" w:pos="5880"/>
              </w:tabs>
              <w:overflowPunct w:val="0"/>
              <w:spacing w:line="360" w:lineRule="auto"/>
              <w:ind w:left="191" w:leftChars="91" w:right="99" w:rightChars="47"/>
              <w:jc w:val="center"/>
              <w:textAlignment w:val="center"/>
              <w:rPr>
                <w:snapToGrid w:val="0"/>
                <w:sz w:val="24"/>
              </w:rPr>
            </w:pPr>
            <w:r>
              <w:rPr>
                <w:rFonts w:hint="eastAsia"/>
                <w:snapToGrid w:val="0"/>
                <w:sz w:val="24"/>
              </w:rPr>
              <w:t>阶梯教室</w:t>
            </w:r>
          </w:p>
        </w:tc>
        <w:tc>
          <w:tcPr>
            <w:tcW w:w="4273" w:type="dxa"/>
            <w:vMerge w:val="continue"/>
            <w:tcBorders>
              <w:left w:val="single" w:color="000000" w:sz="2" w:space="0"/>
              <w:right w:val="single" w:color="auto" w:sz="4" w:space="0"/>
            </w:tcBorders>
            <w:vAlign w:val="center"/>
          </w:tcPr>
          <w:p>
            <w:pPr>
              <w:tabs>
                <w:tab w:val="left" w:pos="5880"/>
              </w:tabs>
              <w:overflowPunct w:val="0"/>
              <w:spacing w:line="360" w:lineRule="auto"/>
              <w:ind w:left="191" w:leftChars="91" w:right="99" w:rightChars="47"/>
              <w:jc w:val="left"/>
              <w:textAlignment w:val="center"/>
              <w:rPr>
                <w:snapToGrid w:val="0"/>
                <w:sz w:val="24"/>
              </w:rPr>
            </w:pPr>
          </w:p>
        </w:tc>
        <w:tc>
          <w:tcPr>
            <w:tcW w:w="1111" w:type="dxa"/>
            <w:tcBorders>
              <w:top w:val="single" w:color="000000" w:sz="2" w:space="0"/>
              <w:left w:val="single" w:color="auto" w:sz="4" w:space="0"/>
              <w:right w:val="single" w:color="000000" w:sz="2" w:space="0"/>
            </w:tcBorders>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22.528㎡</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696" w:hRule="atLeast"/>
          <w:jc w:val="center"/>
        </w:trPr>
        <w:tc>
          <w:tcPr>
            <w:tcW w:w="616" w:type="dxa"/>
            <w:vMerge w:val="continue"/>
            <w:tcBorders>
              <w:left w:val="single" w:color="000000" w:sz="8" w:space="0"/>
              <w:right w:val="single" w:color="000000" w:sz="2" w:space="0"/>
            </w:tcBorders>
            <w:vAlign w:val="center"/>
          </w:tcPr>
          <w:p>
            <w:pPr>
              <w:spacing w:line="360" w:lineRule="auto"/>
              <w:jc w:val="center"/>
              <w:rPr>
                <w:rFonts w:hint="eastAsia" w:ascii="宋体" w:hAnsi="宋体" w:cs="宋体"/>
                <w:snapToGrid w:val="0"/>
                <w:color w:val="000000"/>
                <w:kern w:val="28"/>
                <w:sz w:val="24"/>
              </w:rPr>
            </w:pPr>
          </w:p>
        </w:tc>
        <w:tc>
          <w:tcPr>
            <w:tcW w:w="1155" w:type="dxa"/>
            <w:vMerge w:val="continue"/>
            <w:tcBorders>
              <w:left w:val="single" w:color="000000" w:sz="2" w:space="0"/>
              <w:right w:val="single" w:color="000000" w:sz="2" w:space="0"/>
            </w:tcBorders>
            <w:vAlign w:val="center"/>
          </w:tcPr>
          <w:p>
            <w:pPr>
              <w:spacing w:line="360" w:lineRule="auto"/>
              <w:jc w:val="center"/>
              <w:rPr>
                <w:rFonts w:hint="eastAsia" w:ascii="宋体" w:hAnsi="宋体" w:cs="宋体"/>
                <w:snapToGrid w:val="0"/>
                <w:color w:val="000000"/>
                <w:kern w:val="28"/>
                <w:sz w:val="24"/>
              </w:rPr>
            </w:pPr>
          </w:p>
        </w:tc>
        <w:tc>
          <w:tcPr>
            <w:tcW w:w="1927" w:type="dxa"/>
            <w:tcBorders>
              <w:top w:val="single" w:color="000000" w:sz="2" w:space="0"/>
              <w:left w:val="single" w:color="000000" w:sz="2" w:space="0"/>
              <w:right w:val="single" w:color="auto" w:sz="4" w:space="0"/>
            </w:tcBorders>
            <w:vAlign w:val="center"/>
          </w:tcPr>
          <w:p>
            <w:pPr>
              <w:tabs>
                <w:tab w:val="left" w:pos="5880"/>
              </w:tabs>
              <w:overflowPunct w:val="0"/>
              <w:spacing w:line="360" w:lineRule="auto"/>
              <w:ind w:left="191" w:leftChars="91" w:right="99" w:rightChars="47"/>
              <w:jc w:val="center"/>
              <w:textAlignment w:val="center"/>
              <w:rPr>
                <w:snapToGrid w:val="0"/>
                <w:sz w:val="24"/>
              </w:rPr>
            </w:pPr>
            <w:r>
              <w:rPr>
                <w:rFonts w:hint="eastAsia"/>
                <w:snapToGrid w:val="0"/>
                <w:sz w:val="24"/>
              </w:rPr>
              <w:t>四楼大会议室</w:t>
            </w:r>
          </w:p>
        </w:tc>
        <w:tc>
          <w:tcPr>
            <w:tcW w:w="4273" w:type="dxa"/>
            <w:vMerge w:val="continue"/>
            <w:tcBorders>
              <w:left w:val="single" w:color="000000" w:sz="2" w:space="0"/>
              <w:right w:val="single" w:color="auto" w:sz="4" w:space="0"/>
            </w:tcBorders>
            <w:vAlign w:val="center"/>
          </w:tcPr>
          <w:p>
            <w:pPr>
              <w:tabs>
                <w:tab w:val="left" w:pos="5880"/>
              </w:tabs>
              <w:overflowPunct w:val="0"/>
              <w:spacing w:line="360" w:lineRule="auto"/>
              <w:ind w:left="191" w:leftChars="91" w:right="99" w:rightChars="47"/>
              <w:jc w:val="left"/>
              <w:textAlignment w:val="center"/>
              <w:rPr>
                <w:snapToGrid w:val="0"/>
                <w:sz w:val="24"/>
              </w:rPr>
            </w:pPr>
          </w:p>
        </w:tc>
        <w:tc>
          <w:tcPr>
            <w:tcW w:w="1111" w:type="dxa"/>
            <w:tcBorders>
              <w:top w:val="single" w:color="000000" w:sz="2" w:space="0"/>
              <w:left w:val="single" w:color="auto" w:sz="4" w:space="0"/>
              <w:right w:val="single" w:color="000000" w:sz="2" w:space="0"/>
            </w:tcBorders>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22.528㎡</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696" w:hRule="atLeast"/>
          <w:jc w:val="center"/>
        </w:trPr>
        <w:tc>
          <w:tcPr>
            <w:tcW w:w="616" w:type="dxa"/>
            <w:vMerge w:val="continue"/>
            <w:tcBorders>
              <w:left w:val="single" w:color="000000" w:sz="8" w:space="0"/>
              <w:right w:val="single" w:color="000000" w:sz="2" w:space="0"/>
            </w:tcBorders>
            <w:vAlign w:val="center"/>
          </w:tcPr>
          <w:p>
            <w:pPr>
              <w:spacing w:line="360" w:lineRule="auto"/>
              <w:jc w:val="center"/>
              <w:rPr>
                <w:rFonts w:hint="eastAsia" w:ascii="宋体" w:hAnsi="宋体" w:cs="宋体"/>
                <w:snapToGrid w:val="0"/>
                <w:color w:val="000000"/>
                <w:kern w:val="28"/>
                <w:sz w:val="24"/>
              </w:rPr>
            </w:pPr>
          </w:p>
        </w:tc>
        <w:tc>
          <w:tcPr>
            <w:tcW w:w="1155" w:type="dxa"/>
            <w:vMerge w:val="continue"/>
            <w:tcBorders>
              <w:left w:val="single" w:color="000000" w:sz="2" w:space="0"/>
              <w:right w:val="single" w:color="000000" w:sz="2" w:space="0"/>
            </w:tcBorders>
            <w:vAlign w:val="center"/>
          </w:tcPr>
          <w:p>
            <w:pPr>
              <w:spacing w:line="360" w:lineRule="auto"/>
              <w:jc w:val="center"/>
              <w:rPr>
                <w:rFonts w:hint="eastAsia" w:ascii="宋体" w:hAnsi="宋体" w:cs="宋体"/>
                <w:snapToGrid w:val="0"/>
                <w:color w:val="000000"/>
                <w:kern w:val="28"/>
                <w:sz w:val="24"/>
              </w:rPr>
            </w:pPr>
          </w:p>
        </w:tc>
        <w:tc>
          <w:tcPr>
            <w:tcW w:w="1927" w:type="dxa"/>
            <w:tcBorders>
              <w:top w:val="single" w:color="000000" w:sz="2" w:space="0"/>
              <w:left w:val="single" w:color="000000" w:sz="2" w:space="0"/>
              <w:right w:val="single" w:color="auto" w:sz="4" w:space="0"/>
            </w:tcBorders>
            <w:vAlign w:val="center"/>
          </w:tcPr>
          <w:p>
            <w:pPr>
              <w:tabs>
                <w:tab w:val="left" w:pos="5880"/>
              </w:tabs>
              <w:overflowPunct w:val="0"/>
              <w:spacing w:line="360" w:lineRule="auto"/>
              <w:ind w:left="191" w:leftChars="91" w:right="99" w:rightChars="47"/>
              <w:jc w:val="center"/>
              <w:textAlignment w:val="center"/>
              <w:rPr>
                <w:snapToGrid w:val="0"/>
                <w:sz w:val="24"/>
              </w:rPr>
            </w:pPr>
            <w:r>
              <w:rPr>
                <w:rFonts w:hint="eastAsia"/>
                <w:snapToGrid w:val="0"/>
                <w:sz w:val="24"/>
              </w:rPr>
              <w:t>汇报厅</w:t>
            </w:r>
          </w:p>
        </w:tc>
        <w:tc>
          <w:tcPr>
            <w:tcW w:w="4273" w:type="dxa"/>
            <w:vMerge w:val="continue"/>
            <w:tcBorders>
              <w:left w:val="single" w:color="000000" w:sz="2" w:space="0"/>
              <w:right w:val="single" w:color="auto" w:sz="4" w:space="0"/>
            </w:tcBorders>
            <w:vAlign w:val="center"/>
          </w:tcPr>
          <w:p>
            <w:pPr>
              <w:tabs>
                <w:tab w:val="left" w:pos="5880"/>
              </w:tabs>
              <w:overflowPunct w:val="0"/>
              <w:spacing w:line="360" w:lineRule="auto"/>
              <w:ind w:left="191" w:leftChars="91" w:right="99" w:rightChars="47"/>
              <w:jc w:val="left"/>
              <w:textAlignment w:val="center"/>
              <w:rPr>
                <w:snapToGrid w:val="0"/>
                <w:sz w:val="24"/>
              </w:rPr>
            </w:pPr>
          </w:p>
        </w:tc>
        <w:tc>
          <w:tcPr>
            <w:tcW w:w="1111" w:type="dxa"/>
            <w:tcBorders>
              <w:top w:val="single" w:color="000000" w:sz="2" w:space="0"/>
              <w:left w:val="single" w:color="auto" w:sz="4" w:space="0"/>
              <w:right w:val="single" w:color="000000" w:sz="2" w:space="0"/>
            </w:tcBorders>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themeColor="text1"/>
                <w:kern w:val="28"/>
                <w:sz w:val="24"/>
                <w14:textFill>
                  <w14:solidFill>
                    <w14:schemeClr w14:val="tx1"/>
                  </w14:solidFill>
                </w14:textFill>
              </w:rPr>
              <w:t>75.784㎡</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581" w:hRule="atLeast"/>
          <w:jc w:val="center"/>
        </w:trPr>
        <w:tc>
          <w:tcPr>
            <w:tcW w:w="616" w:type="dxa"/>
            <w:vMerge w:val="continue"/>
            <w:tcBorders>
              <w:left w:val="single" w:color="000000" w:sz="8" w:space="0"/>
              <w:right w:val="single" w:color="000000" w:sz="2" w:space="0"/>
            </w:tcBorders>
            <w:vAlign w:val="center"/>
          </w:tcPr>
          <w:p>
            <w:pPr>
              <w:spacing w:line="360" w:lineRule="auto"/>
              <w:jc w:val="center"/>
              <w:rPr>
                <w:rFonts w:hint="eastAsia" w:ascii="宋体" w:hAnsi="宋体" w:cs="宋体"/>
                <w:snapToGrid w:val="0"/>
                <w:color w:val="000000"/>
                <w:kern w:val="28"/>
                <w:sz w:val="24"/>
              </w:rPr>
            </w:pPr>
          </w:p>
        </w:tc>
        <w:tc>
          <w:tcPr>
            <w:tcW w:w="1155" w:type="dxa"/>
            <w:vMerge w:val="continue"/>
            <w:tcBorders>
              <w:left w:val="single" w:color="000000" w:sz="2" w:space="0"/>
              <w:right w:val="single" w:color="000000" w:sz="2" w:space="0"/>
            </w:tcBorders>
            <w:vAlign w:val="center"/>
          </w:tcPr>
          <w:p>
            <w:pPr>
              <w:spacing w:line="360" w:lineRule="auto"/>
              <w:jc w:val="center"/>
              <w:rPr>
                <w:rFonts w:hint="eastAsia" w:ascii="宋体" w:hAnsi="宋体" w:cs="宋体"/>
                <w:snapToGrid w:val="0"/>
                <w:color w:val="000000"/>
                <w:kern w:val="28"/>
                <w:sz w:val="24"/>
              </w:rPr>
            </w:pPr>
          </w:p>
        </w:tc>
        <w:tc>
          <w:tcPr>
            <w:tcW w:w="1927" w:type="dxa"/>
            <w:tcBorders>
              <w:top w:val="single" w:color="000000" w:sz="2" w:space="0"/>
              <w:left w:val="single" w:color="000000" w:sz="2" w:space="0"/>
              <w:right w:val="single" w:color="auto" w:sz="4" w:space="0"/>
            </w:tcBorders>
            <w:vAlign w:val="center"/>
          </w:tcPr>
          <w:p>
            <w:pPr>
              <w:tabs>
                <w:tab w:val="left" w:pos="5880"/>
              </w:tabs>
              <w:overflowPunct w:val="0"/>
              <w:spacing w:line="360" w:lineRule="auto"/>
              <w:ind w:left="191" w:leftChars="91" w:right="99" w:rightChars="47"/>
              <w:jc w:val="center"/>
              <w:textAlignment w:val="center"/>
              <w:rPr>
                <w:snapToGrid w:val="0"/>
                <w:sz w:val="24"/>
              </w:rPr>
            </w:pPr>
            <w:r>
              <w:rPr>
                <w:rFonts w:hint="eastAsia"/>
                <w:snapToGrid w:val="0"/>
                <w:sz w:val="24"/>
              </w:rPr>
              <w:t>风雨操场</w:t>
            </w:r>
          </w:p>
        </w:tc>
        <w:tc>
          <w:tcPr>
            <w:tcW w:w="4273" w:type="dxa"/>
            <w:vMerge w:val="continue"/>
            <w:tcBorders>
              <w:left w:val="single" w:color="000000" w:sz="2" w:space="0"/>
              <w:right w:val="single" w:color="auto" w:sz="4" w:space="0"/>
            </w:tcBorders>
            <w:vAlign w:val="center"/>
          </w:tcPr>
          <w:p>
            <w:pPr>
              <w:tabs>
                <w:tab w:val="left" w:pos="5880"/>
              </w:tabs>
              <w:overflowPunct w:val="0"/>
              <w:spacing w:line="360" w:lineRule="auto"/>
              <w:ind w:left="191" w:leftChars="91" w:right="99" w:rightChars="47"/>
              <w:jc w:val="left"/>
              <w:textAlignment w:val="center"/>
              <w:rPr>
                <w:snapToGrid w:val="0"/>
                <w:sz w:val="24"/>
              </w:rPr>
            </w:pPr>
          </w:p>
        </w:tc>
        <w:tc>
          <w:tcPr>
            <w:tcW w:w="1111" w:type="dxa"/>
            <w:tcBorders>
              <w:top w:val="single" w:color="000000" w:sz="2" w:space="0"/>
              <w:left w:val="single" w:color="auto" w:sz="4" w:space="0"/>
              <w:right w:val="single" w:color="000000" w:sz="2" w:space="0"/>
            </w:tcBorders>
            <w:vAlign w:val="center"/>
          </w:tcPr>
          <w:p>
            <w:pPr>
              <w:spacing w:line="360" w:lineRule="auto"/>
              <w:jc w:val="center"/>
              <w:rPr>
                <w:rFonts w:hint="eastAsia"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kern w:val="28"/>
                <w:sz w:val="24"/>
              </w:rPr>
              <w:t>38.4㎡</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1883" w:hRule="atLeast"/>
          <w:jc w:val="center"/>
        </w:trPr>
        <w:tc>
          <w:tcPr>
            <w:tcW w:w="616" w:type="dxa"/>
            <w:vMerge w:val="restart"/>
            <w:tcBorders>
              <w:left w:val="single" w:color="000000" w:sz="8" w:space="0"/>
              <w:right w:val="single" w:color="000000" w:sz="2" w:space="0"/>
            </w:tcBorders>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8</w:t>
            </w:r>
          </w:p>
        </w:tc>
        <w:tc>
          <w:tcPr>
            <w:tcW w:w="1155" w:type="dxa"/>
            <w:vMerge w:val="restart"/>
            <w:tcBorders>
              <w:left w:val="single" w:color="000000" w:sz="2" w:space="0"/>
              <w:right w:val="single" w:color="000000" w:sz="2" w:space="0"/>
            </w:tcBorders>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散热系统</w:t>
            </w:r>
          </w:p>
        </w:tc>
        <w:tc>
          <w:tcPr>
            <w:tcW w:w="1927" w:type="dxa"/>
            <w:tcBorders>
              <w:top w:val="single" w:color="000000" w:sz="2" w:space="0"/>
              <w:left w:val="single" w:color="000000" w:sz="2" w:space="0"/>
              <w:right w:val="single" w:color="auto" w:sz="4" w:space="0"/>
            </w:tcBorders>
            <w:vAlign w:val="center"/>
          </w:tcPr>
          <w:p>
            <w:pPr>
              <w:tabs>
                <w:tab w:val="left" w:pos="5880"/>
              </w:tabs>
              <w:overflowPunct w:val="0"/>
              <w:spacing w:line="360" w:lineRule="auto"/>
              <w:ind w:left="191" w:leftChars="91" w:right="99" w:rightChars="47"/>
              <w:jc w:val="center"/>
              <w:textAlignment w:val="center"/>
              <w:rPr>
                <w:snapToGrid w:val="0"/>
                <w:sz w:val="24"/>
              </w:rPr>
            </w:pPr>
            <w:r>
              <w:rPr>
                <w:rFonts w:hint="eastAsia"/>
                <w:snapToGrid w:val="0"/>
                <w:sz w:val="24"/>
              </w:rPr>
              <w:t>体育场户外屏</w:t>
            </w:r>
          </w:p>
        </w:tc>
        <w:tc>
          <w:tcPr>
            <w:tcW w:w="4273" w:type="dxa"/>
            <w:vMerge w:val="restart"/>
            <w:tcBorders>
              <w:left w:val="single" w:color="000000" w:sz="2" w:space="0"/>
              <w:right w:val="single" w:color="auto" w:sz="4" w:space="0"/>
            </w:tcBorders>
            <w:vAlign w:val="center"/>
          </w:tcPr>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220V/240V轴流风机,工作频率≥50/60HZ，额定电流≥0.09A/0.10A，功率≥16W/17W，风扇转速≥2300RPM，轴承类型：滚珠轴承</w:t>
            </w:r>
          </w:p>
        </w:tc>
        <w:tc>
          <w:tcPr>
            <w:tcW w:w="1111" w:type="dxa"/>
            <w:tcBorders>
              <w:top w:val="single" w:color="000000" w:sz="2" w:space="0"/>
              <w:left w:val="single" w:color="auto" w:sz="4" w:space="0"/>
              <w:right w:val="single" w:color="000000" w:sz="2" w:space="0"/>
            </w:tcBorders>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80只</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1883" w:hRule="atLeast"/>
          <w:jc w:val="center"/>
        </w:trPr>
        <w:tc>
          <w:tcPr>
            <w:tcW w:w="616" w:type="dxa"/>
            <w:vMerge w:val="continue"/>
            <w:tcBorders>
              <w:left w:val="single" w:color="000000" w:sz="8" w:space="0"/>
              <w:right w:val="single" w:color="000000" w:sz="2" w:space="0"/>
            </w:tcBorders>
            <w:vAlign w:val="center"/>
          </w:tcPr>
          <w:p>
            <w:pPr>
              <w:spacing w:line="360" w:lineRule="auto"/>
              <w:jc w:val="center"/>
              <w:rPr>
                <w:rFonts w:hint="eastAsia" w:ascii="宋体" w:hAnsi="宋体" w:cs="宋体"/>
                <w:snapToGrid w:val="0"/>
                <w:color w:val="000000"/>
                <w:kern w:val="28"/>
                <w:sz w:val="24"/>
              </w:rPr>
            </w:pPr>
          </w:p>
        </w:tc>
        <w:tc>
          <w:tcPr>
            <w:tcW w:w="1155" w:type="dxa"/>
            <w:vMerge w:val="continue"/>
            <w:tcBorders>
              <w:left w:val="single" w:color="000000" w:sz="2" w:space="0"/>
              <w:right w:val="single" w:color="000000" w:sz="2" w:space="0"/>
            </w:tcBorders>
            <w:vAlign w:val="center"/>
          </w:tcPr>
          <w:p>
            <w:pPr>
              <w:spacing w:line="360" w:lineRule="auto"/>
              <w:jc w:val="center"/>
              <w:rPr>
                <w:rFonts w:hint="eastAsia" w:ascii="宋体" w:hAnsi="宋体" w:cs="宋体"/>
                <w:snapToGrid w:val="0"/>
                <w:color w:val="000000"/>
                <w:kern w:val="28"/>
                <w:sz w:val="24"/>
              </w:rPr>
            </w:pPr>
          </w:p>
        </w:tc>
        <w:tc>
          <w:tcPr>
            <w:tcW w:w="1927" w:type="dxa"/>
            <w:tcBorders>
              <w:top w:val="single" w:color="000000" w:sz="2" w:space="0"/>
              <w:left w:val="single" w:color="000000" w:sz="2" w:space="0"/>
              <w:right w:val="single" w:color="auto" w:sz="4" w:space="0"/>
            </w:tcBorders>
            <w:vAlign w:val="center"/>
          </w:tcPr>
          <w:p>
            <w:pPr>
              <w:tabs>
                <w:tab w:val="left" w:pos="5880"/>
              </w:tabs>
              <w:overflowPunct w:val="0"/>
              <w:spacing w:line="360" w:lineRule="auto"/>
              <w:ind w:left="191" w:leftChars="91" w:right="99" w:rightChars="47"/>
              <w:jc w:val="center"/>
              <w:textAlignment w:val="center"/>
              <w:rPr>
                <w:snapToGrid w:val="0"/>
                <w:sz w:val="24"/>
              </w:rPr>
            </w:pPr>
            <w:r>
              <w:rPr>
                <w:rFonts w:hint="eastAsia"/>
                <w:snapToGrid w:val="0"/>
                <w:sz w:val="24"/>
              </w:rPr>
              <w:t>校门口户外屏</w:t>
            </w:r>
          </w:p>
        </w:tc>
        <w:tc>
          <w:tcPr>
            <w:tcW w:w="4273" w:type="dxa"/>
            <w:vMerge w:val="continue"/>
            <w:tcBorders>
              <w:left w:val="single" w:color="000000" w:sz="2" w:space="0"/>
              <w:right w:val="single" w:color="auto" w:sz="4" w:space="0"/>
            </w:tcBorders>
            <w:vAlign w:val="center"/>
          </w:tcPr>
          <w:p>
            <w:pPr>
              <w:tabs>
                <w:tab w:val="left" w:pos="5880"/>
              </w:tabs>
              <w:overflowPunct w:val="0"/>
              <w:spacing w:line="360" w:lineRule="auto"/>
              <w:ind w:left="191" w:leftChars="91" w:right="99" w:rightChars="47"/>
              <w:jc w:val="left"/>
              <w:textAlignment w:val="center"/>
              <w:rPr>
                <w:snapToGrid w:val="0"/>
                <w:sz w:val="24"/>
              </w:rPr>
            </w:pPr>
          </w:p>
        </w:tc>
        <w:tc>
          <w:tcPr>
            <w:tcW w:w="1111" w:type="dxa"/>
            <w:tcBorders>
              <w:top w:val="single" w:color="000000" w:sz="2" w:space="0"/>
              <w:left w:val="single" w:color="auto" w:sz="4" w:space="0"/>
              <w:right w:val="single" w:color="000000" w:sz="2" w:space="0"/>
            </w:tcBorders>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40只</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jc w:val="center"/>
        </w:trPr>
        <w:tc>
          <w:tcPr>
            <w:tcW w:w="616" w:type="dxa"/>
            <w:tcBorders>
              <w:top w:val="single" w:color="000000" w:sz="2" w:space="0"/>
              <w:left w:val="single" w:color="000000" w:sz="8" w:space="0"/>
              <w:bottom w:val="single" w:color="000000" w:sz="2" w:space="0"/>
              <w:right w:val="single" w:color="000000" w:sz="2" w:space="0"/>
            </w:tcBorders>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9</w:t>
            </w:r>
          </w:p>
        </w:tc>
        <w:tc>
          <w:tcPr>
            <w:tcW w:w="1155" w:type="dxa"/>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配电系统</w:t>
            </w:r>
          </w:p>
        </w:tc>
        <w:tc>
          <w:tcPr>
            <w:tcW w:w="6200" w:type="dxa"/>
            <w:gridSpan w:val="2"/>
            <w:tcBorders>
              <w:top w:val="single" w:color="000000" w:sz="2" w:space="0"/>
              <w:left w:val="single" w:color="000000" w:sz="2" w:space="0"/>
              <w:bottom w:val="single" w:color="000000" w:sz="2" w:space="0"/>
              <w:right w:val="single" w:color="auto" w:sz="4" w:space="0"/>
            </w:tcBorders>
            <w:vAlign w:val="center"/>
          </w:tcPr>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配电管理系统含空开，交流接触器，防雷系统，间断上电等必须与屏幕无缝对接</w:t>
            </w:r>
          </w:p>
        </w:tc>
        <w:tc>
          <w:tcPr>
            <w:tcW w:w="1111"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7套</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jc w:val="center"/>
        </w:trPr>
        <w:tc>
          <w:tcPr>
            <w:tcW w:w="616" w:type="dxa"/>
            <w:tcBorders>
              <w:top w:val="single" w:color="000000" w:sz="2" w:space="0"/>
              <w:left w:val="single" w:color="000000" w:sz="8" w:space="0"/>
              <w:bottom w:val="single" w:color="000000" w:sz="2" w:space="0"/>
              <w:right w:val="single" w:color="000000" w:sz="2" w:space="0"/>
            </w:tcBorders>
            <w:vAlign w:val="center"/>
          </w:tcPr>
          <w:p>
            <w:pPr>
              <w:spacing w:line="360" w:lineRule="auto"/>
              <w:ind w:firstLine="240" w:firstLineChars="100"/>
              <w:rPr>
                <w:rFonts w:hint="eastAsia" w:ascii="宋体" w:hAnsi="宋体" w:cs="宋体"/>
                <w:snapToGrid w:val="0"/>
                <w:color w:val="000000"/>
                <w:kern w:val="28"/>
                <w:sz w:val="24"/>
              </w:rPr>
            </w:pPr>
            <w:r>
              <w:rPr>
                <w:rFonts w:hint="eastAsia" w:ascii="宋体" w:hAnsi="宋体" w:cs="宋体"/>
                <w:snapToGrid w:val="0"/>
                <w:color w:val="000000"/>
                <w:kern w:val="28"/>
                <w:sz w:val="24"/>
              </w:rPr>
              <w:t>10</w:t>
            </w:r>
          </w:p>
        </w:tc>
        <w:tc>
          <w:tcPr>
            <w:tcW w:w="7355" w:type="dxa"/>
            <w:gridSpan w:val="3"/>
            <w:tcBorders>
              <w:top w:val="single" w:color="000000" w:sz="2" w:space="0"/>
              <w:left w:val="single" w:color="000000" w:sz="2" w:space="0"/>
              <w:bottom w:val="single" w:color="000000" w:sz="2" w:space="0"/>
              <w:right w:val="single" w:color="auto" w:sz="4" w:space="0"/>
            </w:tcBorders>
            <w:vAlign w:val="center"/>
          </w:tcPr>
          <w:p>
            <w:pPr>
              <w:tabs>
                <w:tab w:val="left" w:pos="5880"/>
              </w:tabs>
              <w:overflowPunct w:val="0"/>
              <w:spacing w:line="360" w:lineRule="auto"/>
              <w:ind w:left="191" w:leftChars="91" w:right="99" w:rightChars="47"/>
              <w:jc w:val="left"/>
              <w:textAlignment w:val="center"/>
              <w:rPr>
                <w:snapToGrid w:val="0"/>
                <w:sz w:val="24"/>
              </w:rPr>
            </w:pPr>
            <w:r>
              <w:rPr>
                <w:rFonts w:hint="eastAsia"/>
                <w:snapToGrid w:val="0"/>
                <w:sz w:val="24"/>
              </w:rPr>
              <w:t>安装调试</w:t>
            </w:r>
          </w:p>
        </w:tc>
        <w:tc>
          <w:tcPr>
            <w:tcW w:w="1111"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7套</w:t>
            </w:r>
          </w:p>
        </w:tc>
      </w:tr>
    </w:tbl>
    <w:p>
      <w:pPr>
        <w:pStyle w:val="61"/>
        <w:rPr>
          <w:rFonts w:hint="eastAsia" w:hAnsi="宋体" w:cs="宋体"/>
        </w:rPr>
      </w:pPr>
    </w:p>
    <w:p>
      <w:pPr>
        <w:pStyle w:val="61"/>
        <w:rPr>
          <w:rFonts w:hint="eastAsia" w:hAnsi="宋体" w:cs="宋体"/>
        </w:rPr>
      </w:pPr>
    </w:p>
    <w:p>
      <w:pPr>
        <w:pStyle w:val="2"/>
        <w:keepNext w:val="0"/>
        <w:jc w:val="both"/>
        <w:rPr>
          <w:rFonts w:hint="eastAsia" w:ascii="宋体" w:hAnsi="宋体" w:eastAsia="宋体" w:cs="宋体"/>
        </w:rPr>
      </w:pPr>
      <w:r>
        <w:rPr>
          <w:rFonts w:hint="eastAsia" w:ascii="宋体" w:hAnsi="宋体" w:eastAsia="宋体" w:cs="宋体"/>
          <w:lang w:val="en-US"/>
        </w:rPr>
        <w:t>七</w:t>
      </w:r>
      <w:r>
        <w:rPr>
          <w:rFonts w:hint="eastAsia" w:ascii="宋体" w:hAnsi="宋体" w:eastAsia="宋体" w:cs="宋体"/>
        </w:rPr>
        <w:t>、Led显示屏体技术参数要求：</w:t>
      </w:r>
    </w:p>
    <w:tbl>
      <w:tblPr>
        <w:tblStyle w:val="62"/>
        <w:tblW w:w="9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740"/>
        <w:gridCol w:w="1559"/>
        <w:gridCol w:w="6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序号</w:t>
            </w:r>
          </w:p>
        </w:tc>
        <w:tc>
          <w:tcPr>
            <w:tcW w:w="740" w:type="dxa"/>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项目</w:t>
            </w:r>
          </w:p>
        </w:tc>
        <w:tc>
          <w:tcPr>
            <w:tcW w:w="1559" w:type="dxa"/>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名称</w:t>
            </w:r>
          </w:p>
        </w:tc>
        <w:tc>
          <w:tcPr>
            <w:tcW w:w="6299" w:type="dxa"/>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详细参数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9129" w:type="dxa"/>
            <w:gridSpan w:val="4"/>
            <w:vAlign w:val="center"/>
          </w:tcPr>
          <w:p>
            <w:pPr>
              <w:spacing w:line="360" w:lineRule="auto"/>
              <w:jc w:val="center"/>
              <w:rPr>
                <w:rFonts w:hint="eastAsia" w:ascii="宋体" w:hAnsi="宋体" w:cs="宋体"/>
                <w:b/>
                <w:snapToGrid w:val="0"/>
                <w:color w:val="000000"/>
                <w:kern w:val="28"/>
                <w:sz w:val="24"/>
              </w:rPr>
            </w:pPr>
            <w:r>
              <w:rPr>
                <w:rFonts w:hint="eastAsia" w:ascii="宋体" w:hAnsi="宋体" w:cs="宋体"/>
                <w:b/>
                <w:snapToGrid w:val="0"/>
                <w:color w:val="000000"/>
                <w:kern w:val="28"/>
                <w:sz w:val="24"/>
              </w:rPr>
              <w:t>一、户外P3系列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531" w:type="dxa"/>
            <w:vMerge w:val="restart"/>
            <w:vAlign w:val="center"/>
          </w:tcPr>
          <w:p>
            <w:pPr>
              <w:spacing w:line="360" w:lineRule="auto"/>
              <w:rPr>
                <w:rFonts w:hint="eastAsia" w:ascii="宋体" w:hAnsi="宋体" w:cs="宋体"/>
                <w:snapToGrid w:val="0"/>
                <w:color w:val="000000"/>
                <w:kern w:val="28"/>
                <w:sz w:val="24"/>
              </w:rPr>
            </w:pPr>
            <w:r>
              <w:rPr>
                <w:rFonts w:hint="eastAsia" w:ascii="宋体" w:hAnsi="宋体" w:cs="宋体"/>
                <w:snapToGrid w:val="0"/>
                <w:color w:val="000000"/>
                <w:kern w:val="28"/>
                <w:sz w:val="24"/>
              </w:rPr>
              <w:t>1</w:t>
            </w:r>
          </w:p>
        </w:tc>
        <w:tc>
          <w:tcPr>
            <w:tcW w:w="740" w:type="dxa"/>
            <w:vMerge w:val="restart"/>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户外显示屏</w:t>
            </w:r>
          </w:p>
        </w:tc>
        <w:tc>
          <w:tcPr>
            <w:tcW w:w="1559" w:type="dxa"/>
            <w:vAlign w:val="center"/>
          </w:tcPr>
          <w:p>
            <w:pPr>
              <w:spacing w:line="360" w:lineRule="auto"/>
              <w:jc w:val="center"/>
              <w:rPr>
                <w:rFonts w:hint="eastAsia" w:ascii="宋体" w:hAnsi="宋体" w:cs="宋体"/>
                <w:snapToGrid w:val="0"/>
                <w:kern w:val="28"/>
                <w:sz w:val="24"/>
              </w:rPr>
            </w:pPr>
            <w:r>
              <w:rPr>
                <w:rFonts w:hint="eastAsia" w:ascii="宋体" w:hAnsi="宋体" w:cs="宋体"/>
                <w:snapToGrid w:val="0"/>
                <w:kern w:val="28"/>
                <w:sz w:val="24"/>
              </w:rPr>
              <w:t>体育场</w:t>
            </w:r>
          </w:p>
        </w:tc>
        <w:tc>
          <w:tcPr>
            <w:tcW w:w="6299" w:type="dxa"/>
            <w:vAlign w:val="center"/>
          </w:tcPr>
          <w:p>
            <w:pPr>
              <w:spacing w:line="360" w:lineRule="auto"/>
              <w:rPr>
                <w:rFonts w:hint="eastAsia" w:ascii="宋体" w:hAnsi="宋体" w:cs="宋体"/>
                <w:sz w:val="24"/>
              </w:rPr>
            </w:pPr>
            <w:r>
              <w:rPr>
                <w:rFonts w:hint="eastAsia" w:ascii="宋体" w:hAnsi="宋体" w:cs="宋体"/>
                <w:snapToGrid w:val="0"/>
                <w:kern w:val="28"/>
                <w:sz w:val="24"/>
              </w:rPr>
              <w:t>显示尺寸：宽</w:t>
            </w:r>
            <w:r>
              <w:rPr>
                <w:rFonts w:hint="eastAsia" w:hAnsi="宋体" w:cs="宋体"/>
                <w:sz w:val="24"/>
              </w:rPr>
              <w:t>6.72</w:t>
            </w:r>
            <w:r>
              <w:rPr>
                <w:rFonts w:hint="eastAsia" w:ascii="宋体" w:hAnsi="宋体" w:cs="宋体"/>
                <w:snapToGrid w:val="0"/>
                <w:kern w:val="28"/>
                <w:sz w:val="24"/>
              </w:rPr>
              <w:t>*</w:t>
            </w:r>
            <w:r>
              <w:rPr>
                <w:rFonts w:hint="eastAsia" w:hAnsi="宋体" w:cs="宋体"/>
                <w:sz w:val="24"/>
              </w:rPr>
              <w:t>3.84=25.8㎡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531" w:type="dxa"/>
            <w:vMerge w:val="continue"/>
            <w:vAlign w:val="center"/>
          </w:tcPr>
          <w:p>
            <w:pPr>
              <w:spacing w:line="360" w:lineRule="auto"/>
              <w:rPr>
                <w:rFonts w:hint="eastAsia" w:ascii="宋体" w:hAnsi="宋体" w:cs="宋体"/>
                <w:snapToGrid w:val="0"/>
                <w:color w:val="000000"/>
                <w:kern w:val="28"/>
                <w:sz w:val="24"/>
              </w:rPr>
            </w:pPr>
          </w:p>
        </w:tc>
        <w:tc>
          <w:tcPr>
            <w:tcW w:w="740" w:type="dxa"/>
            <w:vMerge w:val="continue"/>
            <w:vAlign w:val="center"/>
          </w:tcPr>
          <w:p>
            <w:pPr>
              <w:spacing w:line="360" w:lineRule="auto"/>
              <w:jc w:val="center"/>
              <w:rPr>
                <w:rFonts w:hint="eastAsia" w:ascii="宋体" w:hAnsi="宋体" w:cs="宋体"/>
                <w:snapToGrid w:val="0"/>
                <w:color w:val="000000"/>
                <w:kern w:val="28"/>
                <w:sz w:val="24"/>
              </w:rPr>
            </w:pPr>
          </w:p>
        </w:tc>
        <w:tc>
          <w:tcPr>
            <w:tcW w:w="1559" w:type="dxa"/>
            <w:vAlign w:val="center"/>
          </w:tcPr>
          <w:p>
            <w:pPr>
              <w:spacing w:line="360" w:lineRule="auto"/>
              <w:jc w:val="center"/>
              <w:rPr>
                <w:rFonts w:hint="eastAsia" w:ascii="宋体" w:hAnsi="宋体" w:cs="宋体"/>
                <w:snapToGrid w:val="0"/>
                <w:kern w:val="28"/>
                <w:sz w:val="24"/>
              </w:rPr>
            </w:pPr>
            <w:r>
              <w:rPr>
                <w:rFonts w:hint="eastAsia" w:ascii="宋体" w:hAnsi="宋体" w:cs="宋体"/>
                <w:snapToGrid w:val="0"/>
                <w:kern w:val="28"/>
                <w:sz w:val="24"/>
              </w:rPr>
              <w:t>校门口</w:t>
            </w:r>
          </w:p>
        </w:tc>
        <w:tc>
          <w:tcPr>
            <w:tcW w:w="6299" w:type="dxa"/>
            <w:vAlign w:val="center"/>
          </w:tcPr>
          <w:p>
            <w:pPr>
              <w:spacing w:line="360" w:lineRule="auto"/>
              <w:rPr>
                <w:rFonts w:hint="eastAsia" w:ascii="宋体" w:hAnsi="宋体" w:cs="宋体"/>
                <w:snapToGrid w:val="0"/>
                <w:kern w:val="28"/>
                <w:sz w:val="24"/>
              </w:rPr>
            </w:pPr>
            <w:r>
              <w:rPr>
                <w:rFonts w:hint="eastAsia" w:ascii="宋体" w:hAnsi="宋体" w:cs="宋体"/>
                <w:snapToGrid w:val="0"/>
                <w:kern w:val="28"/>
                <w:sz w:val="24"/>
              </w:rPr>
              <w:t>校门口显示屏：6.4*3.52=22.528㎡，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531" w:type="dxa"/>
            <w:vMerge w:val="continue"/>
            <w:vAlign w:val="center"/>
          </w:tcPr>
          <w:p>
            <w:pPr>
              <w:spacing w:line="360" w:lineRule="auto"/>
              <w:rPr>
                <w:rFonts w:hint="eastAsia" w:ascii="宋体" w:hAnsi="宋体" w:cs="宋体"/>
                <w:snapToGrid w:val="0"/>
                <w:color w:val="000000"/>
                <w:kern w:val="28"/>
                <w:sz w:val="24"/>
              </w:rPr>
            </w:pPr>
          </w:p>
        </w:tc>
        <w:tc>
          <w:tcPr>
            <w:tcW w:w="740" w:type="dxa"/>
            <w:vMerge w:val="continue"/>
            <w:vAlign w:val="center"/>
          </w:tcPr>
          <w:p>
            <w:pPr>
              <w:spacing w:line="360" w:lineRule="auto"/>
              <w:jc w:val="center"/>
              <w:rPr>
                <w:rFonts w:hint="eastAsia" w:ascii="宋体" w:hAnsi="宋体" w:cs="宋体"/>
                <w:snapToGrid w:val="0"/>
                <w:color w:val="000000"/>
                <w:kern w:val="28"/>
                <w:sz w:val="24"/>
              </w:rPr>
            </w:pPr>
          </w:p>
        </w:tc>
        <w:tc>
          <w:tcPr>
            <w:tcW w:w="1559" w:type="dxa"/>
            <w:vAlign w:val="center"/>
          </w:tcPr>
          <w:p>
            <w:pPr>
              <w:spacing w:line="360" w:lineRule="auto"/>
              <w:jc w:val="center"/>
              <w:rPr>
                <w:rFonts w:hint="eastAsia" w:ascii="宋体" w:hAnsi="宋体" w:cs="宋体"/>
                <w:snapToGrid w:val="0"/>
                <w:kern w:val="28"/>
                <w:sz w:val="24"/>
              </w:rPr>
            </w:pPr>
            <w:r>
              <w:rPr>
                <w:rFonts w:hint="eastAsia" w:ascii="宋体" w:hAnsi="宋体" w:cs="宋体"/>
                <w:snapToGrid w:val="0"/>
                <w:kern w:val="28"/>
                <w:sz w:val="24"/>
              </w:rPr>
              <w:t>放学系统导流屏</w:t>
            </w:r>
          </w:p>
        </w:tc>
        <w:tc>
          <w:tcPr>
            <w:tcW w:w="6299" w:type="dxa"/>
            <w:vAlign w:val="center"/>
          </w:tcPr>
          <w:p>
            <w:pPr>
              <w:spacing w:line="360" w:lineRule="auto"/>
              <w:rPr>
                <w:rFonts w:hint="eastAsia" w:ascii="宋体" w:hAnsi="宋体" w:cs="宋体"/>
                <w:snapToGrid w:val="0"/>
                <w:kern w:val="28"/>
                <w:sz w:val="24"/>
              </w:rPr>
            </w:pPr>
            <w:r>
              <w:rPr>
                <w:rFonts w:hint="eastAsia" w:ascii="宋体" w:hAnsi="宋体" w:cs="宋体"/>
                <w:snapToGrid w:val="0"/>
                <w:kern w:val="28"/>
                <w:sz w:val="24"/>
              </w:rPr>
              <w:t xml:space="preserve">导流屏：1.92*1.28=2.46㎡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vMerge w:val="continue"/>
            <w:vAlign w:val="center"/>
          </w:tcPr>
          <w:p>
            <w:pPr>
              <w:spacing w:line="360" w:lineRule="auto"/>
              <w:rPr>
                <w:rFonts w:hint="eastAsia" w:ascii="宋体" w:hAnsi="宋体" w:cs="宋体"/>
                <w:snapToGrid w:val="0"/>
                <w:color w:val="000000"/>
                <w:kern w:val="28"/>
                <w:sz w:val="24"/>
              </w:rPr>
            </w:pPr>
          </w:p>
        </w:tc>
        <w:tc>
          <w:tcPr>
            <w:tcW w:w="740" w:type="dxa"/>
            <w:vMerge w:val="continue"/>
            <w:vAlign w:val="center"/>
          </w:tcPr>
          <w:p>
            <w:pPr>
              <w:spacing w:line="360" w:lineRule="auto"/>
              <w:jc w:val="center"/>
              <w:rPr>
                <w:rFonts w:hint="eastAsia" w:ascii="宋体" w:hAnsi="宋体" w:cs="宋体"/>
                <w:snapToGrid w:val="0"/>
                <w:color w:val="000000"/>
                <w:kern w:val="28"/>
                <w:sz w:val="24"/>
              </w:rPr>
            </w:pPr>
          </w:p>
        </w:tc>
        <w:tc>
          <w:tcPr>
            <w:tcW w:w="1559" w:type="dxa"/>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箱体</w:t>
            </w:r>
          </w:p>
        </w:tc>
        <w:tc>
          <w:tcPr>
            <w:tcW w:w="6299" w:type="dxa"/>
            <w:vAlign w:val="center"/>
          </w:tcPr>
          <w:p>
            <w:pPr>
              <w:spacing w:line="360" w:lineRule="auto"/>
              <w:rPr>
                <w:rFonts w:hint="eastAsia" w:ascii="宋体" w:hAnsi="宋体" w:cs="宋体"/>
                <w:snapToGrid w:val="0"/>
                <w:color w:val="000000"/>
                <w:kern w:val="28"/>
                <w:sz w:val="24"/>
              </w:rPr>
            </w:pPr>
            <w:r>
              <w:rPr>
                <w:rFonts w:hint="eastAsia" w:ascii="宋体" w:hAnsi="宋体" w:cs="宋体"/>
                <w:snapToGrid w:val="0"/>
                <w:color w:val="000000"/>
                <w:kern w:val="28"/>
                <w:sz w:val="24"/>
              </w:rPr>
              <w:t>★采用箱体为不锈钢箱体或者压铸铝箱体，可根据尺寸定制，严禁冷扎板箱体。</w:t>
            </w:r>
            <w:r>
              <w:rPr>
                <w:rFonts w:hint="eastAsia" w:ascii="宋体" w:hAnsi="宋体" w:cs="宋体"/>
                <w:b/>
                <w:bCs/>
                <w:snapToGrid w:val="0"/>
                <w:color w:val="000000" w:themeColor="text1"/>
                <w:kern w:val="28"/>
                <w:sz w:val="24"/>
                <w14:textFill>
                  <w14:solidFill>
                    <w14:schemeClr w14:val="tx1"/>
                  </w14:solidFill>
                </w14:textFill>
              </w:rPr>
              <w:t>（提供箱体图片）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1" w:type="dxa"/>
            <w:vMerge w:val="continue"/>
            <w:vAlign w:val="center"/>
          </w:tcPr>
          <w:p>
            <w:pPr>
              <w:spacing w:line="360" w:lineRule="auto"/>
              <w:rPr>
                <w:rFonts w:hint="eastAsia" w:ascii="宋体" w:hAnsi="宋体" w:cs="宋体"/>
                <w:snapToGrid w:val="0"/>
                <w:color w:val="000000"/>
                <w:kern w:val="28"/>
                <w:sz w:val="24"/>
              </w:rPr>
            </w:pPr>
          </w:p>
        </w:tc>
        <w:tc>
          <w:tcPr>
            <w:tcW w:w="740" w:type="dxa"/>
            <w:vMerge w:val="continue"/>
            <w:vAlign w:val="center"/>
          </w:tcPr>
          <w:p>
            <w:pPr>
              <w:spacing w:line="360" w:lineRule="auto"/>
              <w:jc w:val="center"/>
              <w:rPr>
                <w:rFonts w:hint="eastAsia" w:ascii="宋体" w:hAnsi="宋体" w:cs="宋体"/>
                <w:snapToGrid w:val="0"/>
                <w:color w:val="000000"/>
                <w:kern w:val="28"/>
                <w:sz w:val="24"/>
              </w:rPr>
            </w:pPr>
          </w:p>
        </w:tc>
        <w:tc>
          <w:tcPr>
            <w:tcW w:w="1559" w:type="dxa"/>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其他技术指标</w:t>
            </w:r>
          </w:p>
        </w:tc>
        <w:tc>
          <w:tcPr>
            <w:tcW w:w="6299" w:type="dxa"/>
            <w:vAlign w:val="center"/>
          </w:tcPr>
          <w:p>
            <w:pPr>
              <w:numPr>
                <w:ilvl w:val="0"/>
                <w:numId w:val="6"/>
              </w:numPr>
              <w:spacing w:line="360" w:lineRule="auto"/>
              <w:rPr>
                <w:rFonts w:hint="eastAsia" w:ascii="宋体" w:hAnsi="宋体" w:cs="宋体"/>
                <w:snapToGrid w:val="0"/>
                <w:color w:val="000000"/>
                <w:kern w:val="28"/>
                <w:sz w:val="24"/>
              </w:rPr>
            </w:pPr>
            <w:r>
              <w:rPr>
                <w:rFonts w:hint="eastAsia" w:ascii="宋体" w:hAnsi="宋体" w:cs="宋体"/>
                <w:snapToGrid w:val="0"/>
                <w:color w:val="000000"/>
                <w:kern w:val="28"/>
                <w:sz w:val="24"/>
              </w:rPr>
              <w:t>单元板尺寸：320mmX160mm</w:t>
            </w:r>
          </w:p>
          <w:p>
            <w:pPr>
              <w:widowControl/>
              <w:numPr>
                <w:ilvl w:val="0"/>
                <w:numId w:val="6"/>
              </w:numPr>
              <w:spacing w:line="360" w:lineRule="auto"/>
              <w:jc w:val="left"/>
              <w:rPr>
                <w:rFonts w:hint="eastAsia" w:ascii="宋体" w:hAnsi="宋体" w:cs="宋体"/>
                <w:sz w:val="24"/>
              </w:rPr>
            </w:pPr>
            <w:r>
              <w:rPr>
                <w:rFonts w:hint="eastAsia" w:ascii="宋体" w:hAnsi="宋体" w:cs="宋体"/>
                <w:sz w:val="24"/>
              </w:rPr>
              <w:t>像素点间距：3±0.1 mm ；</w:t>
            </w:r>
          </w:p>
          <w:p>
            <w:pPr>
              <w:widowControl/>
              <w:numPr>
                <w:ilvl w:val="0"/>
                <w:numId w:val="6"/>
              </w:numPr>
              <w:spacing w:line="360" w:lineRule="auto"/>
              <w:jc w:val="left"/>
              <w:rPr>
                <w:rFonts w:hint="eastAsia" w:ascii="宋体" w:hAnsi="宋体" w:cs="宋体"/>
                <w:sz w:val="24"/>
              </w:rPr>
            </w:pPr>
            <w:r>
              <w:rPr>
                <w:rFonts w:hint="eastAsia" w:ascii="宋体" w:hAnsi="宋体" w:cs="宋体"/>
                <w:sz w:val="24"/>
              </w:rPr>
              <w:t>单元板分辨率：≥5400 Dots；</w:t>
            </w:r>
          </w:p>
          <w:p>
            <w:pPr>
              <w:widowControl/>
              <w:numPr>
                <w:ilvl w:val="0"/>
                <w:numId w:val="6"/>
              </w:numPr>
              <w:spacing w:line="360" w:lineRule="auto"/>
              <w:jc w:val="left"/>
              <w:rPr>
                <w:rFonts w:hint="eastAsia" w:ascii="宋体" w:hAnsi="宋体" w:cs="宋体"/>
                <w:sz w:val="24"/>
              </w:rPr>
            </w:pPr>
            <w:r>
              <w:rPr>
                <w:rFonts w:hint="eastAsia" w:ascii="宋体" w:hAnsi="宋体" w:cs="宋体"/>
                <w:sz w:val="24"/>
              </w:rPr>
              <w:t>刷新率：≥4200Hz，支持通过配套控制软件调节刷新率设置选项；</w:t>
            </w:r>
            <w:r>
              <w:rPr>
                <w:rFonts w:hint="eastAsia" w:ascii="宋体" w:hAnsi="宋体" w:cs="宋体"/>
                <w:b/>
                <w:bCs/>
                <w:sz w:val="24"/>
              </w:rPr>
              <w:t>（第三方权威机构出具的检测报告复印件）</w:t>
            </w:r>
          </w:p>
          <w:p>
            <w:pPr>
              <w:widowControl/>
              <w:numPr>
                <w:ilvl w:val="0"/>
                <w:numId w:val="6"/>
              </w:numPr>
              <w:spacing w:line="360" w:lineRule="auto"/>
              <w:jc w:val="left"/>
              <w:rPr>
                <w:rFonts w:hint="eastAsia" w:ascii="宋体" w:hAnsi="宋体" w:cs="宋体"/>
                <w:sz w:val="24"/>
              </w:rPr>
            </w:pPr>
            <w:r>
              <w:rPr>
                <w:rFonts w:hint="eastAsia" w:ascii="宋体" w:hAnsi="宋体" w:cs="宋体"/>
                <w:sz w:val="24"/>
              </w:rPr>
              <w:t>像素构成：1R、1G、1B；</w:t>
            </w:r>
          </w:p>
          <w:p>
            <w:pPr>
              <w:widowControl/>
              <w:numPr>
                <w:ilvl w:val="0"/>
                <w:numId w:val="6"/>
              </w:numPr>
              <w:spacing w:line="360" w:lineRule="auto"/>
              <w:jc w:val="left"/>
              <w:rPr>
                <w:rFonts w:hint="eastAsia" w:ascii="宋体" w:hAnsi="宋体" w:cs="宋体"/>
                <w:sz w:val="24"/>
              </w:rPr>
            </w:pPr>
            <w:r>
              <w:rPr>
                <w:rFonts w:hint="eastAsia" w:ascii="宋体" w:hAnsi="宋体" w:cs="宋体"/>
                <w:sz w:val="24"/>
              </w:rPr>
              <w:t>封装方式：SMD表贴三合一，铜线封装；</w:t>
            </w:r>
          </w:p>
          <w:p>
            <w:pPr>
              <w:widowControl/>
              <w:numPr>
                <w:ilvl w:val="0"/>
                <w:numId w:val="6"/>
              </w:numPr>
              <w:spacing w:line="360" w:lineRule="auto"/>
              <w:jc w:val="left"/>
              <w:rPr>
                <w:rFonts w:hint="eastAsia" w:ascii="宋体" w:hAnsi="宋体" w:cs="宋体"/>
                <w:sz w:val="24"/>
              </w:rPr>
            </w:pPr>
            <w:r>
              <w:rPr>
                <w:rFonts w:hint="eastAsia" w:ascii="宋体" w:hAnsi="宋体" w:cs="宋体"/>
                <w:sz w:val="24"/>
              </w:rPr>
              <w:t>驱动方式：恒流驱动；</w:t>
            </w:r>
          </w:p>
          <w:p>
            <w:pPr>
              <w:widowControl/>
              <w:numPr>
                <w:ilvl w:val="0"/>
                <w:numId w:val="6"/>
              </w:numPr>
              <w:spacing w:line="360" w:lineRule="auto"/>
              <w:jc w:val="left"/>
              <w:rPr>
                <w:rFonts w:hint="eastAsia" w:ascii="宋体" w:hAnsi="宋体" w:cs="宋体"/>
                <w:sz w:val="24"/>
              </w:rPr>
            </w:pPr>
            <w:r>
              <w:rPr>
                <w:rFonts w:hint="eastAsia" w:ascii="宋体" w:hAnsi="宋体" w:cs="宋体"/>
                <w:sz w:val="24"/>
              </w:rPr>
              <w:t>控制方式：同步控制系统；</w:t>
            </w:r>
          </w:p>
          <w:p>
            <w:pPr>
              <w:widowControl/>
              <w:numPr>
                <w:ilvl w:val="0"/>
                <w:numId w:val="6"/>
              </w:numPr>
              <w:spacing w:line="360" w:lineRule="auto"/>
              <w:jc w:val="left"/>
              <w:rPr>
                <w:rFonts w:hint="eastAsia" w:ascii="宋体" w:hAnsi="宋体" w:cs="宋体"/>
                <w:sz w:val="24"/>
              </w:rPr>
            </w:pPr>
            <w:r>
              <w:rPr>
                <w:rFonts w:hint="eastAsia" w:ascii="宋体" w:hAnsi="宋体" w:cs="宋体"/>
                <w:sz w:val="24"/>
              </w:rPr>
              <w:t>维护方式：前后维护；</w:t>
            </w:r>
          </w:p>
          <w:p>
            <w:pPr>
              <w:widowControl/>
              <w:numPr>
                <w:ilvl w:val="0"/>
                <w:numId w:val="6"/>
              </w:numPr>
              <w:spacing w:line="360" w:lineRule="auto"/>
              <w:jc w:val="left"/>
              <w:rPr>
                <w:rFonts w:hint="eastAsia" w:ascii="宋体" w:hAnsi="宋体" w:cs="宋体"/>
                <w:sz w:val="24"/>
              </w:rPr>
            </w:pPr>
            <w:r>
              <w:rPr>
                <w:rFonts w:hint="eastAsia" w:ascii="宋体" w:hAnsi="宋体" w:cs="宋体"/>
                <w:sz w:val="24"/>
              </w:rPr>
              <w:t>整屏平整度≤0.05mm；</w:t>
            </w:r>
          </w:p>
          <w:p>
            <w:pPr>
              <w:widowControl/>
              <w:numPr>
                <w:ilvl w:val="0"/>
                <w:numId w:val="6"/>
              </w:numPr>
              <w:spacing w:line="360" w:lineRule="auto"/>
              <w:jc w:val="left"/>
              <w:rPr>
                <w:rFonts w:hint="eastAsia" w:ascii="宋体" w:hAnsi="宋体" w:cs="宋体"/>
                <w:sz w:val="24"/>
              </w:rPr>
            </w:pPr>
            <w:r>
              <w:rPr>
                <w:rFonts w:hint="eastAsia" w:ascii="宋体" w:hAnsi="宋体" w:cs="宋体"/>
                <w:snapToGrid w:val="0"/>
                <w:color w:val="000000"/>
                <w:kern w:val="28"/>
                <w:sz w:val="24"/>
              </w:rPr>
              <w:t>★</w:t>
            </w:r>
            <w:r>
              <w:rPr>
                <w:rFonts w:hint="eastAsia" w:ascii="宋体" w:hAnsi="宋体" w:cs="宋体"/>
                <w:sz w:val="24"/>
              </w:rPr>
              <w:t>白平衡亮度：0-6500%亮度可调，256级手动/自动调节，屏幕亮度具有随环境照度的变化任意调整功能，亮度均匀性≥99%；</w:t>
            </w:r>
            <w:r>
              <w:rPr>
                <w:rFonts w:hint="eastAsia" w:ascii="宋体" w:hAnsi="宋体" w:cs="宋体"/>
                <w:b/>
                <w:bCs/>
                <w:sz w:val="24"/>
              </w:rPr>
              <w:t>（第三方权威机构出具的检测报告复印件）</w:t>
            </w:r>
          </w:p>
          <w:p>
            <w:pPr>
              <w:widowControl/>
              <w:numPr>
                <w:ilvl w:val="0"/>
                <w:numId w:val="6"/>
              </w:numPr>
              <w:spacing w:line="360" w:lineRule="auto"/>
              <w:jc w:val="left"/>
              <w:rPr>
                <w:rFonts w:hint="eastAsia" w:ascii="宋体" w:hAnsi="宋体" w:cs="宋体"/>
                <w:sz w:val="24"/>
              </w:rPr>
            </w:pPr>
            <w:r>
              <w:rPr>
                <w:rFonts w:hint="eastAsia" w:ascii="宋体" w:hAnsi="宋体" w:cs="宋体"/>
                <w:sz w:val="24"/>
              </w:rPr>
              <w:t>色温800K-20000K可调；白平衡状态下色温在6500K±5%；色温为6500K时，100%75%50%25%档电平白场调节色温误差≤100K；</w:t>
            </w:r>
          </w:p>
          <w:p>
            <w:pPr>
              <w:widowControl/>
              <w:numPr>
                <w:ilvl w:val="0"/>
                <w:numId w:val="6"/>
              </w:numPr>
              <w:spacing w:line="360" w:lineRule="auto"/>
              <w:jc w:val="left"/>
              <w:rPr>
                <w:rFonts w:hint="eastAsia" w:ascii="宋体" w:hAnsi="宋体" w:cs="宋体"/>
                <w:sz w:val="24"/>
              </w:rPr>
            </w:pPr>
            <w:r>
              <w:rPr>
                <w:rFonts w:hint="eastAsia" w:ascii="宋体" w:hAnsi="宋体" w:cs="宋体"/>
                <w:sz w:val="24"/>
              </w:rPr>
              <w:t>水平视角≥172°，垂直视角≥172°；</w:t>
            </w:r>
          </w:p>
          <w:p>
            <w:pPr>
              <w:widowControl/>
              <w:numPr>
                <w:ilvl w:val="0"/>
                <w:numId w:val="6"/>
              </w:numPr>
              <w:spacing w:line="360" w:lineRule="auto"/>
              <w:jc w:val="left"/>
              <w:rPr>
                <w:rFonts w:hint="eastAsia" w:ascii="宋体" w:hAnsi="宋体" w:cs="宋体"/>
                <w:b/>
                <w:bCs/>
                <w:sz w:val="24"/>
              </w:rPr>
            </w:pPr>
            <w:r>
              <w:rPr>
                <w:rFonts w:hint="eastAsia" w:ascii="宋体" w:hAnsi="宋体" w:cs="宋体"/>
                <w:sz w:val="24"/>
              </w:rPr>
              <w:t>对比度≥10000：1；</w:t>
            </w:r>
            <w:r>
              <w:rPr>
                <w:rFonts w:hint="eastAsia" w:ascii="宋体" w:hAnsi="宋体" w:cs="宋体"/>
                <w:b/>
                <w:bCs/>
                <w:sz w:val="24"/>
              </w:rPr>
              <w:t>（第三方权威机构出具的检测报告复印件）</w:t>
            </w:r>
          </w:p>
          <w:p>
            <w:pPr>
              <w:widowControl/>
              <w:numPr>
                <w:ilvl w:val="0"/>
                <w:numId w:val="6"/>
              </w:numPr>
              <w:spacing w:line="360" w:lineRule="auto"/>
              <w:jc w:val="left"/>
              <w:rPr>
                <w:rFonts w:hint="eastAsia" w:ascii="宋体" w:hAnsi="宋体" w:cs="宋体"/>
                <w:sz w:val="24"/>
              </w:rPr>
            </w:pPr>
            <w:r>
              <w:rPr>
                <w:rFonts w:hint="eastAsia" w:ascii="宋体" w:hAnsi="宋体" w:cs="宋体"/>
                <w:sz w:val="24"/>
              </w:rPr>
              <w:t>灰度等级≥16bit，红绿蓝各256级，可达65536级；采用EPWM 灰阶控制技术提升低灰视觉效果，100%亮度时，16bit灰度；70%亮度，16bit灰度；50%亮度，16bit灰度；20%亮度，14bit灰度，显示画面无单列或单行像素失控现象；支持0-100%亮度时，8-16bits灰度自定义设置；</w:t>
            </w:r>
          </w:p>
          <w:p>
            <w:pPr>
              <w:widowControl/>
              <w:numPr>
                <w:ilvl w:val="0"/>
                <w:numId w:val="6"/>
              </w:numPr>
              <w:spacing w:line="360" w:lineRule="auto"/>
              <w:jc w:val="left"/>
              <w:rPr>
                <w:rFonts w:hint="eastAsia" w:ascii="宋体" w:hAnsi="宋体" w:cs="宋体"/>
                <w:sz w:val="24"/>
              </w:rPr>
            </w:pPr>
            <w:r>
              <w:rPr>
                <w:rFonts w:hint="eastAsia" w:ascii="宋体" w:hAnsi="宋体" w:cs="宋体"/>
                <w:sz w:val="24"/>
              </w:rPr>
              <w:t>峰值功耗≤500W/m²；平均功耗≤160W/m²；</w:t>
            </w:r>
          </w:p>
          <w:p>
            <w:pPr>
              <w:widowControl/>
              <w:numPr>
                <w:ilvl w:val="0"/>
                <w:numId w:val="6"/>
              </w:numPr>
              <w:spacing w:line="360" w:lineRule="auto"/>
              <w:jc w:val="left"/>
              <w:rPr>
                <w:rFonts w:hint="eastAsia" w:ascii="宋体" w:hAnsi="宋体" w:cs="宋体"/>
                <w:sz w:val="24"/>
              </w:rPr>
            </w:pPr>
            <w:r>
              <w:rPr>
                <w:rFonts w:hint="eastAsia" w:ascii="宋体" w:hAnsi="宋体" w:cs="宋体"/>
                <w:sz w:val="24"/>
              </w:rPr>
              <w:t>供电电源：在4.2*（1±10%）VDC～4.5*（1±10%）VDC范围内能正常工作；</w:t>
            </w:r>
          </w:p>
          <w:p>
            <w:pPr>
              <w:widowControl/>
              <w:numPr>
                <w:ilvl w:val="0"/>
                <w:numId w:val="6"/>
              </w:numPr>
              <w:spacing w:line="360" w:lineRule="auto"/>
              <w:jc w:val="left"/>
              <w:rPr>
                <w:rFonts w:hint="eastAsia" w:ascii="宋体" w:hAnsi="宋体" w:cs="宋体"/>
                <w:sz w:val="24"/>
              </w:rPr>
            </w:pPr>
            <w:r>
              <w:rPr>
                <w:rFonts w:hint="eastAsia" w:ascii="宋体" w:hAnsi="宋体" w:cs="宋体"/>
                <w:sz w:val="24"/>
              </w:rPr>
              <w:t>输入电压：支持宽压输入 在96-264VAC，支持窄压输入在200-240VAC，在该范围内能正常工作；</w:t>
            </w:r>
          </w:p>
          <w:p>
            <w:pPr>
              <w:widowControl/>
              <w:numPr>
                <w:ilvl w:val="0"/>
                <w:numId w:val="6"/>
              </w:numPr>
              <w:spacing w:line="360" w:lineRule="auto"/>
              <w:jc w:val="left"/>
              <w:rPr>
                <w:rFonts w:hint="eastAsia" w:ascii="宋体" w:hAnsi="宋体" w:cs="宋体"/>
                <w:sz w:val="24"/>
              </w:rPr>
            </w:pPr>
            <w:r>
              <w:rPr>
                <w:rFonts w:hint="eastAsia" w:ascii="宋体" w:hAnsi="宋体" w:cs="宋体"/>
                <w:sz w:val="24"/>
              </w:rPr>
              <w:t>防护性能：具有防静电、防电磁干扰、防腐蚀、防霉菌、防虫、防潮、抗震动、抗雷击等功能；具有电源过压、过流、断电保护、分布上电措施、防护等级达到IP65；</w:t>
            </w:r>
          </w:p>
          <w:p>
            <w:pPr>
              <w:widowControl/>
              <w:numPr>
                <w:ilvl w:val="0"/>
                <w:numId w:val="6"/>
              </w:numPr>
              <w:spacing w:line="360" w:lineRule="auto"/>
              <w:jc w:val="left"/>
              <w:rPr>
                <w:rFonts w:hint="eastAsia" w:ascii="宋体" w:hAnsi="宋体" w:cs="宋体"/>
                <w:sz w:val="24"/>
              </w:rPr>
            </w:pPr>
            <w:r>
              <w:rPr>
                <w:rFonts w:hint="eastAsia" w:ascii="宋体" w:hAnsi="宋体" w:cs="宋体"/>
                <w:sz w:val="24"/>
              </w:rPr>
              <w:t>为不影响屏体周边人员的健康，要求投标人所投LED显示屏在正常工作中，显示屏1m范围内，前后左右4个位置噪音不大于1.4dB；所投LED显示屏观看舒适度需符合：“人眼视觉舒适度(VICO)1级，基本无疲劳感；</w:t>
            </w:r>
            <w:r>
              <w:rPr>
                <w:rFonts w:hint="eastAsia" w:ascii="宋体" w:hAnsi="宋体" w:cs="宋体"/>
                <w:b/>
                <w:bCs/>
                <w:sz w:val="24"/>
              </w:rPr>
              <w:t>（第三方权威机构出具的检测报告复印件）</w:t>
            </w:r>
          </w:p>
          <w:p>
            <w:pPr>
              <w:widowControl/>
              <w:numPr>
                <w:ilvl w:val="0"/>
                <w:numId w:val="6"/>
              </w:numPr>
              <w:spacing w:line="360" w:lineRule="auto"/>
              <w:jc w:val="left"/>
              <w:rPr>
                <w:rFonts w:hint="eastAsia" w:ascii="宋体" w:hAnsi="宋体" w:cs="宋体"/>
                <w:sz w:val="24"/>
              </w:rPr>
            </w:pPr>
            <w:r>
              <w:rPr>
                <w:rFonts w:hint="eastAsia" w:ascii="宋体" w:hAnsi="宋体" w:cs="宋体"/>
                <w:snapToGrid w:val="0"/>
                <w:color w:val="000000"/>
                <w:kern w:val="28"/>
                <w:sz w:val="24"/>
              </w:rPr>
              <w:t>★</w:t>
            </w:r>
            <w:r>
              <w:rPr>
                <w:rFonts w:hint="eastAsia" w:ascii="宋体" w:hAnsi="宋体" w:cs="宋体"/>
                <w:sz w:val="24"/>
              </w:rPr>
              <w:t>所投LED显示屏的灯管耐焊耐热：灯珠引脚无氧化,焊接正常,灯珠胶体正常,点亮正常；灯管抗静电(ESD)测试：HBM模式:ESD&gt;2000V,灯珠点亮无异常；灯管红墨水试验：纯红墨水常温浸泡24h,无渗透,灯管气密性良好；</w:t>
            </w:r>
            <w:r>
              <w:rPr>
                <w:rFonts w:hint="eastAsia" w:ascii="宋体" w:hAnsi="宋体" w:cs="宋体"/>
                <w:b/>
                <w:bCs/>
                <w:sz w:val="24"/>
              </w:rPr>
              <w:t>（第三方权威机构出具的检测报告复印件）</w:t>
            </w:r>
          </w:p>
          <w:p>
            <w:pPr>
              <w:widowControl/>
              <w:numPr>
                <w:ilvl w:val="0"/>
                <w:numId w:val="6"/>
              </w:numPr>
              <w:spacing w:line="360" w:lineRule="auto"/>
              <w:jc w:val="left"/>
              <w:rPr>
                <w:rFonts w:hint="eastAsia" w:ascii="宋体" w:hAnsi="宋体" w:cs="宋体"/>
                <w:sz w:val="24"/>
              </w:rPr>
            </w:pPr>
            <w:r>
              <w:rPr>
                <w:rFonts w:hint="eastAsia" w:ascii="宋体" w:hAnsi="宋体" w:cs="宋体"/>
                <w:sz w:val="24"/>
              </w:rPr>
              <w:t>要求投标人所投LED显示屏支持DVI、VGA、SDI输入、支持HDMI视频输入、支持视频PAL/NTSC制式自适应、支持复合视频信号、支持USB输入、支持IP输入、支持CVBS/DP/HDBASE输入、支持光纤/网络等接口输入；</w:t>
            </w:r>
          </w:p>
          <w:p>
            <w:pPr>
              <w:widowControl/>
              <w:numPr>
                <w:ilvl w:val="0"/>
                <w:numId w:val="6"/>
              </w:numPr>
              <w:spacing w:line="360" w:lineRule="auto"/>
              <w:jc w:val="left"/>
              <w:rPr>
                <w:rFonts w:hint="eastAsia" w:ascii="宋体" w:hAnsi="宋体" w:cs="宋体"/>
                <w:b/>
                <w:bCs/>
                <w:sz w:val="24"/>
              </w:rPr>
            </w:pPr>
            <w:r>
              <w:rPr>
                <w:rFonts w:hint="eastAsia" w:ascii="宋体" w:hAnsi="宋体" w:cs="宋体"/>
                <w:snapToGrid w:val="0"/>
                <w:color w:val="000000"/>
                <w:kern w:val="28"/>
                <w:sz w:val="24"/>
              </w:rPr>
              <w:t>★</w:t>
            </w:r>
            <w:r>
              <w:rPr>
                <w:rFonts w:hint="eastAsia" w:ascii="宋体" w:hAnsi="宋体" w:cs="宋体"/>
                <w:sz w:val="24"/>
              </w:rPr>
              <w:t>防电击等级依据GB4943.1标准，使用基本绝缘作为基本安全防护，同时使用保护连接和保护接地作为附加安全防护，达到防电击保护I类设备；</w:t>
            </w:r>
            <w:r>
              <w:rPr>
                <w:rFonts w:hint="eastAsia" w:ascii="宋体" w:hAnsi="宋体" w:cs="宋体"/>
                <w:b/>
                <w:bCs/>
                <w:sz w:val="24"/>
              </w:rPr>
              <w:t>（第三方权威机构出具的检测报告复印件）</w:t>
            </w:r>
          </w:p>
          <w:p>
            <w:pPr>
              <w:widowControl/>
              <w:numPr>
                <w:ilvl w:val="0"/>
                <w:numId w:val="6"/>
              </w:numPr>
              <w:spacing w:line="360" w:lineRule="auto"/>
              <w:jc w:val="left"/>
              <w:rPr>
                <w:rFonts w:hint="eastAsia" w:ascii="宋体" w:hAnsi="宋体" w:cs="宋体"/>
                <w:sz w:val="24"/>
              </w:rPr>
            </w:pPr>
            <w:r>
              <w:rPr>
                <w:rFonts w:hint="eastAsia" w:ascii="宋体" w:hAnsi="宋体" w:cs="宋体"/>
                <w:sz w:val="24"/>
              </w:rPr>
              <w:t>产品采用高端芯片，可智能调节正常工作与睡眠状态下的节能效果（动态节能，智能息屏），开启智能节电功能比没有开启，节能55%以上；</w:t>
            </w:r>
          </w:p>
          <w:p>
            <w:pPr>
              <w:widowControl/>
              <w:numPr>
                <w:ilvl w:val="0"/>
                <w:numId w:val="6"/>
              </w:numPr>
              <w:spacing w:line="360" w:lineRule="auto"/>
              <w:jc w:val="left"/>
              <w:rPr>
                <w:rFonts w:hint="eastAsia" w:ascii="宋体" w:hAnsi="宋体" w:cs="宋体"/>
                <w:b/>
                <w:bCs/>
                <w:sz w:val="24"/>
              </w:rPr>
            </w:pPr>
            <w:r>
              <w:rPr>
                <w:rFonts w:hint="eastAsia" w:ascii="宋体" w:hAnsi="宋体" w:cs="宋体"/>
                <w:sz w:val="24"/>
              </w:rPr>
              <w:t>长时间没有使用屏体，屏体自动切入除湿模式，通过预热灯珠，蒸发掉灯珠内部湿气，使屏体从10%到100%亮度逐步显示，达到保护LED灯；</w:t>
            </w:r>
            <w:r>
              <w:rPr>
                <w:rFonts w:hint="eastAsia" w:ascii="宋体" w:hAnsi="宋体" w:cs="宋体"/>
                <w:b/>
                <w:bCs/>
                <w:sz w:val="24"/>
              </w:rPr>
              <w:t>（第三方权威机构出具的检测报告复印件）</w:t>
            </w:r>
          </w:p>
          <w:p>
            <w:pPr>
              <w:widowControl/>
              <w:numPr>
                <w:ilvl w:val="0"/>
                <w:numId w:val="6"/>
              </w:numPr>
              <w:spacing w:line="360" w:lineRule="auto"/>
              <w:jc w:val="left"/>
              <w:rPr>
                <w:rFonts w:hint="eastAsia" w:ascii="宋体" w:hAnsi="宋体" w:cs="宋体"/>
                <w:sz w:val="24"/>
              </w:rPr>
            </w:pPr>
            <w:r>
              <w:rPr>
                <w:rFonts w:hint="eastAsia" w:ascii="宋体" w:hAnsi="宋体" w:cs="宋体"/>
                <w:snapToGrid w:val="0"/>
                <w:color w:val="000000"/>
                <w:kern w:val="28"/>
                <w:sz w:val="24"/>
              </w:rPr>
              <w:t>★</w:t>
            </w:r>
            <w:r>
              <w:rPr>
                <w:rFonts w:hint="eastAsia" w:ascii="宋体" w:hAnsi="宋体" w:cs="宋体"/>
                <w:sz w:val="24"/>
              </w:rPr>
              <w:t>具有SELV电路，在SELV电路中任何两个导体之间或任何一个这样的导体和地之间的电压的限值为：正常工作条件下，不超过42.4V交流峰值或60V直流值单一故障条件下，在200ms后不超过42.4V（30V有效值）交流峰值或60V直流值，并且在200ms内其极限值不超过71V（50V有效值）交流峰值或120V直流值；</w:t>
            </w:r>
            <w:r>
              <w:rPr>
                <w:rFonts w:hint="eastAsia" w:ascii="宋体" w:hAnsi="宋体" w:cs="宋体"/>
                <w:b/>
                <w:bCs/>
                <w:sz w:val="24"/>
              </w:rPr>
              <w:t>（第三方权威机构出具的检测报告复印件）</w:t>
            </w:r>
          </w:p>
          <w:p>
            <w:pPr>
              <w:widowControl/>
              <w:numPr>
                <w:ilvl w:val="0"/>
                <w:numId w:val="6"/>
              </w:numPr>
              <w:spacing w:line="360" w:lineRule="auto"/>
              <w:jc w:val="left"/>
              <w:rPr>
                <w:rFonts w:hint="eastAsia" w:ascii="宋体" w:hAnsi="宋体" w:cs="宋体"/>
                <w:b/>
                <w:bCs/>
                <w:sz w:val="24"/>
              </w:rPr>
            </w:pPr>
            <w:r>
              <w:rPr>
                <w:rFonts w:hint="eastAsia" w:ascii="宋体" w:hAnsi="宋体" w:cs="宋体"/>
                <w:snapToGrid w:val="0"/>
                <w:color w:val="000000"/>
                <w:kern w:val="28"/>
                <w:sz w:val="24"/>
              </w:rPr>
              <w:t>★</w:t>
            </w:r>
            <w:r>
              <w:rPr>
                <w:rFonts w:hint="eastAsia" w:ascii="宋体" w:hAnsi="宋体" w:cs="宋体"/>
                <w:sz w:val="24"/>
              </w:rPr>
              <w:t>LED显示屏保护地端子应有标记。进行标记耐久性试验后，标记牢固、清晰可辨。LED显示屏在熔断器和开关电源处应有警告标示。进行标记耐久性试验后，标记应牢固、清晰可辨；</w:t>
            </w:r>
            <w:r>
              <w:rPr>
                <w:rFonts w:hint="eastAsia" w:ascii="宋体" w:hAnsi="宋体" w:cs="宋体"/>
                <w:b/>
                <w:bCs/>
                <w:sz w:val="24"/>
              </w:rPr>
              <w:t>（第三方权威机构出具的检测报告复印件）</w:t>
            </w:r>
          </w:p>
          <w:p>
            <w:pPr>
              <w:widowControl/>
              <w:numPr>
                <w:ilvl w:val="0"/>
                <w:numId w:val="6"/>
              </w:numPr>
              <w:spacing w:line="360" w:lineRule="auto"/>
              <w:jc w:val="left"/>
              <w:rPr>
                <w:rFonts w:hint="eastAsia" w:ascii="宋体" w:hAnsi="宋体" w:cs="宋体"/>
                <w:sz w:val="24"/>
              </w:rPr>
            </w:pPr>
            <w:r>
              <w:rPr>
                <w:rFonts w:hint="eastAsia" w:ascii="宋体" w:hAnsi="宋体" w:cs="宋体"/>
                <w:sz w:val="24"/>
              </w:rPr>
              <w:t>支持手机、平板可视化控制LED大屏，切换播放内容，定制播放计划等；支持手机添加LOGO、时间、日期、文字标语、滚动字幕、图片、视频窗口；支持分屏操作。支持任意比例拼接素材和多图层叠加；支持无线遥控、手机遥控，一键切换视频；支持与智能播控软件一键IP连接；</w:t>
            </w:r>
          </w:p>
          <w:p>
            <w:pPr>
              <w:widowControl/>
              <w:numPr>
                <w:ilvl w:val="0"/>
                <w:numId w:val="6"/>
              </w:numPr>
              <w:spacing w:line="360" w:lineRule="auto"/>
              <w:jc w:val="left"/>
              <w:rPr>
                <w:rFonts w:hint="eastAsia" w:ascii="宋体" w:hAnsi="宋体" w:cs="宋体"/>
                <w:sz w:val="24"/>
              </w:rPr>
            </w:pPr>
            <w:r>
              <w:rPr>
                <w:rFonts w:hint="eastAsia" w:ascii="宋体" w:hAnsi="宋体" w:cs="宋体"/>
                <w:sz w:val="24"/>
              </w:rPr>
              <w:t>支持鬼影消除、首行暗亮消除、低灰偏色补偿、低灰均匀性、低灰横条纹消除、慢速开启、十字架消除、去坏点、毛毛虫消除、余辉消除、亮度缓慢变亮功能；</w:t>
            </w:r>
            <w:r>
              <w:rPr>
                <w:rFonts w:hint="eastAsia" w:ascii="宋体" w:hAnsi="宋体" w:cs="宋体"/>
                <w:b/>
                <w:bCs/>
                <w:sz w:val="24"/>
              </w:rPr>
              <w:t>（第三方权威机构出具的检测报告复印件）</w:t>
            </w:r>
          </w:p>
          <w:p>
            <w:pPr>
              <w:widowControl/>
              <w:numPr>
                <w:ilvl w:val="0"/>
                <w:numId w:val="6"/>
              </w:numPr>
              <w:spacing w:line="360" w:lineRule="auto"/>
              <w:jc w:val="left"/>
              <w:rPr>
                <w:rFonts w:hint="eastAsia" w:ascii="宋体" w:hAnsi="宋体" w:cs="宋体"/>
                <w:sz w:val="24"/>
              </w:rPr>
            </w:pPr>
            <w:r>
              <w:rPr>
                <w:rFonts w:hint="eastAsia" w:ascii="宋体" w:hAnsi="宋体" w:cs="宋体"/>
                <w:sz w:val="24"/>
              </w:rPr>
              <w:t>为保证产品使用安全，静电电压衰减期（±1000-±100V）≤2S；摩擦起电电压|V|≤100V；</w:t>
            </w:r>
          </w:p>
          <w:p>
            <w:pPr>
              <w:widowControl/>
              <w:numPr>
                <w:ilvl w:val="0"/>
                <w:numId w:val="6"/>
              </w:numPr>
              <w:spacing w:line="360" w:lineRule="auto"/>
              <w:jc w:val="left"/>
              <w:rPr>
                <w:rFonts w:hint="eastAsia" w:ascii="宋体" w:hAnsi="宋体" w:cs="宋体"/>
                <w:sz w:val="24"/>
              </w:rPr>
            </w:pPr>
            <w:r>
              <w:rPr>
                <w:rFonts w:hint="eastAsia" w:ascii="宋体" w:hAnsi="宋体" w:cs="宋体"/>
                <w:sz w:val="24"/>
              </w:rPr>
              <w:t xml:space="preserve">为保证产品信息传输稳定性，辐射干扰和传导干扰，均需符合GB/T9254-2021 </w:t>
            </w:r>
            <w:r>
              <w:rPr>
                <w:rFonts w:hint="eastAsia"/>
                <w:sz w:val="24"/>
              </w:rPr>
              <w:t>ClassB限值要求。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129" w:type="dxa"/>
            <w:gridSpan w:val="4"/>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b/>
                <w:snapToGrid w:val="0"/>
                <w:color w:val="000000"/>
                <w:kern w:val="28"/>
                <w:sz w:val="24"/>
              </w:rPr>
              <w:t>二、室内P1.53系列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31" w:type="dxa"/>
            <w:vMerge w:val="restart"/>
            <w:vAlign w:val="center"/>
          </w:tcPr>
          <w:p>
            <w:pPr>
              <w:spacing w:line="360" w:lineRule="auto"/>
              <w:rPr>
                <w:rFonts w:hint="eastAsia" w:ascii="宋体" w:hAnsi="宋体" w:cs="宋体"/>
                <w:snapToGrid w:val="0"/>
                <w:color w:val="000000"/>
                <w:kern w:val="28"/>
                <w:sz w:val="24"/>
              </w:rPr>
            </w:pPr>
            <w:r>
              <w:rPr>
                <w:rFonts w:hint="eastAsia" w:ascii="宋体" w:hAnsi="宋体" w:cs="宋体"/>
                <w:snapToGrid w:val="0"/>
                <w:color w:val="000000"/>
                <w:kern w:val="28"/>
                <w:sz w:val="24"/>
              </w:rPr>
              <w:t>2</w:t>
            </w:r>
          </w:p>
        </w:tc>
        <w:tc>
          <w:tcPr>
            <w:tcW w:w="740" w:type="dxa"/>
            <w:vMerge w:val="restart"/>
            <w:vAlign w:val="center"/>
          </w:tcPr>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室内显示屏</w:t>
            </w:r>
          </w:p>
        </w:tc>
        <w:tc>
          <w:tcPr>
            <w:tcW w:w="1559" w:type="dxa"/>
            <w:vAlign w:val="center"/>
          </w:tcPr>
          <w:p>
            <w:pPr>
              <w:spacing w:line="360" w:lineRule="auto"/>
              <w:jc w:val="center"/>
            </w:pPr>
            <w:r>
              <w:rPr>
                <w:rFonts w:hint="eastAsia" w:ascii="宋体" w:hAnsi="宋体" w:cs="宋体"/>
                <w:snapToGrid w:val="0"/>
                <w:color w:val="000000"/>
                <w:kern w:val="28"/>
                <w:sz w:val="24"/>
              </w:rPr>
              <w:t>三楼会议室</w:t>
            </w:r>
          </w:p>
        </w:tc>
        <w:tc>
          <w:tcPr>
            <w:tcW w:w="6299" w:type="dxa"/>
            <w:vAlign w:val="center"/>
          </w:tcPr>
          <w:p>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显示尺寸：4.16*2.24=9.32</w:t>
            </w:r>
            <w:r>
              <w:rPr>
                <w:rFonts w:hint="eastAsia" w:hAnsi="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31" w:type="dxa"/>
            <w:vMerge w:val="continue"/>
            <w:vAlign w:val="center"/>
          </w:tcPr>
          <w:p>
            <w:pPr>
              <w:spacing w:line="360" w:lineRule="auto"/>
              <w:rPr>
                <w:rFonts w:hint="eastAsia" w:ascii="宋体" w:hAnsi="宋体" w:cs="宋体"/>
                <w:snapToGrid w:val="0"/>
                <w:color w:val="000000"/>
                <w:kern w:val="28"/>
                <w:sz w:val="24"/>
              </w:rPr>
            </w:pPr>
          </w:p>
        </w:tc>
        <w:tc>
          <w:tcPr>
            <w:tcW w:w="740" w:type="dxa"/>
            <w:vMerge w:val="continue"/>
            <w:vAlign w:val="center"/>
          </w:tcPr>
          <w:p>
            <w:pPr>
              <w:spacing w:line="360" w:lineRule="auto"/>
              <w:jc w:val="center"/>
              <w:rPr>
                <w:rFonts w:hint="eastAsia" w:ascii="宋体" w:hAnsi="宋体" w:cs="宋体"/>
                <w:snapToGrid w:val="0"/>
                <w:color w:val="000000"/>
                <w:kern w:val="28"/>
                <w:sz w:val="24"/>
              </w:rPr>
            </w:pPr>
          </w:p>
        </w:tc>
        <w:tc>
          <w:tcPr>
            <w:tcW w:w="1559" w:type="dxa"/>
            <w:vAlign w:val="center"/>
          </w:tcPr>
          <w:p>
            <w:pPr>
              <w:spacing w:line="360" w:lineRule="auto"/>
              <w:jc w:val="center"/>
              <w:rPr>
                <w:rFonts w:hint="eastAsia" w:ascii="宋体" w:hAnsi="宋体" w:cs="宋体"/>
                <w:snapToGrid w:val="0"/>
                <w:color w:val="000000"/>
                <w:kern w:val="28"/>
                <w:sz w:val="24"/>
              </w:rPr>
            </w:pPr>
            <w:r>
              <w:rPr>
                <w:rFonts w:hint="eastAsia" w:hAnsi="宋体" w:cs="宋体"/>
                <w:color w:val="000000" w:themeColor="text1"/>
                <w:sz w:val="24"/>
                <w14:textFill>
                  <w14:solidFill>
                    <w14:schemeClr w14:val="tx1"/>
                  </w14:solidFill>
                </w14:textFill>
              </w:rPr>
              <w:t>阶梯教室</w:t>
            </w:r>
          </w:p>
        </w:tc>
        <w:tc>
          <w:tcPr>
            <w:tcW w:w="6299" w:type="dxa"/>
            <w:vAlign w:val="center"/>
          </w:tcPr>
          <w:p>
            <w:pPr>
              <w:pStyle w:val="15"/>
              <w:spacing w:line="360" w:lineRule="auto"/>
              <w:ind w:firstLine="480"/>
              <w:rPr>
                <w:rFonts w:hint="eastAsia" w:hAnsi="宋体" w:cs="宋体"/>
                <w:sz w:val="24"/>
              </w:rPr>
            </w:pPr>
            <w:r>
              <w:rPr>
                <w:rFonts w:hint="eastAsia" w:hAnsi="宋体" w:cs="宋体"/>
                <w:color w:val="000000" w:themeColor="text1"/>
                <w:sz w:val="24"/>
                <w14:textFill>
                  <w14:solidFill>
                    <w14:schemeClr w14:val="tx1"/>
                  </w14:solidFill>
                </w14:textFill>
              </w:rPr>
              <w:t>显示尺寸：6.4*3.52=22.528㎡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31" w:type="dxa"/>
            <w:vMerge w:val="continue"/>
            <w:vAlign w:val="center"/>
          </w:tcPr>
          <w:p>
            <w:pPr>
              <w:spacing w:line="360" w:lineRule="auto"/>
              <w:rPr>
                <w:rFonts w:hint="eastAsia" w:ascii="宋体" w:hAnsi="宋体" w:cs="宋体"/>
                <w:snapToGrid w:val="0"/>
                <w:color w:val="000000"/>
                <w:kern w:val="28"/>
                <w:sz w:val="24"/>
              </w:rPr>
            </w:pPr>
          </w:p>
        </w:tc>
        <w:tc>
          <w:tcPr>
            <w:tcW w:w="740" w:type="dxa"/>
            <w:vMerge w:val="continue"/>
            <w:vAlign w:val="center"/>
          </w:tcPr>
          <w:p>
            <w:pPr>
              <w:spacing w:line="360" w:lineRule="auto"/>
              <w:jc w:val="center"/>
              <w:rPr>
                <w:rFonts w:hint="eastAsia" w:ascii="宋体" w:hAnsi="宋体" w:cs="宋体"/>
                <w:snapToGrid w:val="0"/>
                <w:color w:val="000000"/>
                <w:kern w:val="28"/>
                <w:sz w:val="24"/>
              </w:rPr>
            </w:pPr>
          </w:p>
        </w:tc>
        <w:tc>
          <w:tcPr>
            <w:tcW w:w="1559" w:type="dxa"/>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其他技术指标</w:t>
            </w:r>
          </w:p>
        </w:tc>
        <w:tc>
          <w:tcPr>
            <w:tcW w:w="6299" w:type="dxa"/>
            <w:vAlign w:val="center"/>
          </w:tcPr>
          <w:p>
            <w:pPr>
              <w:widowControl/>
              <w:numPr>
                <w:ilvl w:val="0"/>
                <w:numId w:val="7"/>
              </w:numPr>
              <w:spacing w:line="360" w:lineRule="auto"/>
              <w:jc w:val="left"/>
              <w:rPr>
                <w:rFonts w:hint="eastAsia" w:ascii="宋体" w:hAnsi="宋体" w:cs="宋体"/>
                <w:sz w:val="24"/>
              </w:rPr>
            </w:pPr>
            <w:r>
              <w:rPr>
                <w:rFonts w:hint="eastAsia" w:ascii="宋体" w:hAnsi="宋体" w:cs="宋体"/>
                <w:snapToGrid w:val="0"/>
                <w:color w:val="000000"/>
                <w:kern w:val="28"/>
                <w:sz w:val="24"/>
              </w:rPr>
              <w:t>单元板尺寸：320mm× 160mm ；</w:t>
            </w:r>
          </w:p>
          <w:p>
            <w:pPr>
              <w:numPr>
                <w:ilvl w:val="0"/>
                <w:numId w:val="7"/>
              </w:numPr>
              <w:spacing w:line="360" w:lineRule="auto"/>
              <w:rPr>
                <w:rFonts w:hint="eastAsia" w:ascii="宋体" w:hAnsi="宋体" w:cs="宋体"/>
                <w:snapToGrid w:val="0"/>
                <w:color w:val="000000"/>
                <w:kern w:val="28"/>
                <w:sz w:val="24"/>
                <w:highlight w:val="none"/>
              </w:rPr>
            </w:pPr>
            <w:r>
              <w:rPr>
                <w:rFonts w:hint="eastAsia" w:ascii="宋体" w:hAnsi="宋体" w:cs="宋体"/>
                <w:snapToGrid w:val="0"/>
                <w:color w:val="000000"/>
                <w:kern w:val="28"/>
                <w:sz w:val="24"/>
              </w:rPr>
              <w:t>★单元板（非箱体）原始设计具备信号</w:t>
            </w:r>
            <w:r>
              <w:rPr>
                <w:rFonts w:hint="eastAsia" w:ascii="宋体" w:hAnsi="宋体" w:cs="宋体"/>
                <w:snapToGrid w:val="0"/>
                <w:color w:val="000000"/>
                <w:kern w:val="28"/>
                <w:sz w:val="24"/>
                <w:lang w:val="en-US" w:eastAsia="zh-CN"/>
              </w:rPr>
              <w:t>不少于：</w:t>
            </w:r>
            <w:r>
              <w:rPr>
                <w:rFonts w:hint="eastAsia" w:ascii="宋体" w:hAnsi="宋体" w:cs="宋体"/>
                <w:snapToGrid w:val="0"/>
                <w:color w:val="000000"/>
                <w:kern w:val="28"/>
                <w:sz w:val="24"/>
              </w:rPr>
              <w:t xml:space="preserve">双输入, </w:t>
            </w:r>
            <w:r>
              <w:rPr>
                <w:rFonts w:hint="eastAsia" w:ascii="宋体" w:hAnsi="宋体" w:cs="宋体"/>
                <w:snapToGrid w:val="0"/>
                <w:color w:val="000000"/>
                <w:kern w:val="28"/>
                <w:sz w:val="24"/>
                <w:highlight w:val="none"/>
              </w:rPr>
              <w:t>采用2个独立排针双数据输入接口</w:t>
            </w:r>
            <w:r>
              <w:rPr>
                <w:rFonts w:hint="eastAsia" w:ascii="宋体" w:hAnsi="宋体" w:cs="宋体"/>
                <w:b/>
                <w:bCs/>
                <w:snapToGrid w:val="0"/>
                <w:color w:val="000000"/>
                <w:kern w:val="28"/>
                <w:sz w:val="24"/>
                <w:highlight w:val="none"/>
              </w:rPr>
              <w:t>(提供单元板背面截图和第三方权威机构出具的检测报告复印件)</w:t>
            </w:r>
            <w:r>
              <w:rPr>
                <w:rFonts w:hint="eastAsia" w:ascii="宋体" w:hAnsi="宋体" w:cs="宋体"/>
                <w:snapToGrid w:val="0"/>
                <w:color w:val="000000"/>
                <w:kern w:val="28"/>
                <w:sz w:val="24"/>
                <w:highlight w:val="none"/>
              </w:rPr>
              <w:t xml:space="preserve"> ；</w:t>
            </w:r>
          </w:p>
          <w:p>
            <w:pPr>
              <w:numPr>
                <w:ilvl w:val="0"/>
                <w:numId w:val="7"/>
              </w:numPr>
              <w:spacing w:line="360" w:lineRule="auto"/>
              <w:rPr>
                <w:rFonts w:hint="eastAsia" w:ascii="宋体" w:hAnsi="宋体" w:cs="宋体"/>
                <w:snapToGrid w:val="0"/>
                <w:color w:val="000000"/>
                <w:kern w:val="28"/>
                <w:sz w:val="24"/>
                <w:highlight w:val="none"/>
              </w:rPr>
            </w:pPr>
            <w:r>
              <w:rPr>
                <w:rFonts w:hint="eastAsia" w:ascii="宋体" w:hAnsi="宋体" w:cs="宋体"/>
                <w:snapToGrid w:val="0"/>
                <w:color w:val="000000"/>
                <w:kern w:val="28"/>
                <w:sz w:val="24"/>
                <w:highlight w:val="none"/>
              </w:rPr>
              <w:t>★单元板（非箱体）原始设计具备信号</w:t>
            </w:r>
            <w:r>
              <w:rPr>
                <w:rFonts w:hint="eastAsia" w:ascii="宋体" w:hAnsi="宋体" w:cs="宋体"/>
                <w:snapToGrid w:val="0"/>
                <w:color w:val="000000"/>
                <w:kern w:val="28"/>
                <w:sz w:val="24"/>
                <w:highlight w:val="none"/>
                <w:lang w:val="en-US" w:eastAsia="zh-CN"/>
              </w:rPr>
              <w:t>不少于：</w:t>
            </w:r>
            <w:r>
              <w:rPr>
                <w:rFonts w:hint="eastAsia" w:ascii="宋体" w:hAnsi="宋体" w:cs="宋体"/>
                <w:snapToGrid w:val="0"/>
                <w:color w:val="000000"/>
                <w:kern w:val="28"/>
                <w:sz w:val="24"/>
                <w:highlight w:val="none"/>
              </w:rPr>
              <w:t>双输出,采用2个独立排针双数据输出接口</w:t>
            </w:r>
            <w:r>
              <w:rPr>
                <w:rFonts w:hint="eastAsia" w:ascii="宋体" w:hAnsi="宋体" w:cs="宋体"/>
                <w:b/>
                <w:bCs/>
                <w:snapToGrid w:val="0"/>
                <w:color w:val="000000"/>
                <w:kern w:val="28"/>
                <w:sz w:val="24"/>
                <w:highlight w:val="none"/>
              </w:rPr>
              <w:t>(提供单元板背面截图和第三方权威机构出具的检测报告复印件)</w:t>
            </w:r>
            <w:r>
              <w:rPr>
                <w:rFonts w:hint="eastAsia" w:ascii="宋体" w:hAnsi="宋体" w:cs="宋体"/>
                <w:snapToGrid w:val="0"/>
                <w:color w:val="000000"/>
                <w:kern w:val="28"/>
                <w:sz w:val="24"/>
                <w:highlight w:val="none"/>
              </w:rPr>
              <w:t xml:space="preserve"> ；</w:t>
            </w:r>
          </w:p>
          <w:p>
            <w:pPr>
              <w:numPr>
                <w:ilvl w:val="0"/>
                <w:numId w:val="7"/>
              </w:numPr>
              <w:spacing w:line="360" w:lineRule="auto"/>
              <w:rPr>
                <w:rFonts w:hint="eastAsia" w:ascii="宋体" w:hAnsi="宋体" w:cs="宋体"/>
                <w:sz w:val="24"/>
              </w:rPr>
            </w:pPr>
            <w:r>
              <w:rPr>
                <w:rFonts w:hint="eastAsia" w:ascii="宋体" w:hAnsi="宋体" w:cs="宋体"/>
                <w:snapToGrid w:val="0"/>
                <w:color w:val="000000"/>
                <w:kern w:val="28"/>
                <w:sz w:val="24"/>
                <w:highlight w:val="none"/>
              </w:rPr>
              <w:t>★单元板（非箱体）原始设计电源</w:t>
            </w:r>
            <w:r>
              <w:rPr>
                <w:rFonts w:hint="eastAsia" w:ascii="宋体" w:hAnsi="宋体" w:cs="宋体"/>
                <w:snapToGrid w:val="0"/>
                <w:color w:val="000000"/>
                <w:kern w:val="28"/>
                <w:sz w:val="24"/>
                <w:highlight w:val="none"/>
                <w:lang w:val="en-US" w:eastAsia="zh-CN"/>
              </w:rPr>
              <w:t>不少于：</w:t>
            </w:r>
            <w:r>
              <w:rPr>
                <w:rFonts w:hint="eastAsia" w:ascii="宋体" w:hAnsi="宋体" w:cs="宋体"/>
                <w:snapToGrid w:val="0"/>
                <w:color w:val="000000"/>
                <w:kern w:val="28"/>
                <w:sz w:val="24"/>
                <w:highlight w:val="none"/>
              </w:rPr>
              <w:t>双备份功能,电源插件2个，支持</w:t>
            </w:r>
            <w:r>
              <w:rPr>
                <w:rFonts w:hint="eastAsia" w:ascii="宋体" w:hAnsi="宋体" w:cs="宋体"/>
                <w:snapToGrid w:val="0"/>
                <w:color w:val="000000"/>
                <w:kern w:val="28"/>
                <w:sz w:val="24"/>
              </w:rPr>
              <w:t>热插拔</w:t>
            </w:r>
            <w:r>
              <w:rPr>
                <w:rFonts w:hint="eastAsia" w:ascii="宋体" w:hAnsi="宋体" w:cs="宋体"/>
                <w:b/>
                <w:bCs/>
                <w:snapToGrid w:val="0"/>
                <w:color w:val="000000"/>
                <w:kern w:val="28"/>
                <w:sz w:val="24"/>
              </w:rPr>
              <w:t>(提供单元板背面截图和第三方权威机构出具的检测报告复印件)</w:t>
            </w:r>
            <w:r>
              <w:rPr>
                <w:rFonts w:hint="eastAsia" w:ascii="宋体" w:hAnsi="宋体" w:cs="宋体"/>
                <w:snapToGrid w:val="0"/>
                <w:kern w:val="28"/>
                <w:sz w:val="24"/>
              </w:rPr>
              <w:t xml:space="preserve"> ；</w:t>
            </w:r>
          </w:p>
          <w:p>
            <w:pPr>
              <w:widowControl/>
              <w:numPr>
                <w:ilvl w:val="0"/>
                <w:numId w:val="7"/>
              </w:numPr>
              <w:spacing w:line="360" w:lineRule="auto"/>
              <w:jc w:val="left"/>
              <w:rPr>
                <w:rFonts w:hint="eastAsia" w:ascii="宋体" w:hAnsi="宋体" w:cs="宋体"/>
                <w:sz w:val="24"/>
              </w:rPr>
            </w:pPr>
            <w:r>
              <w:rPr>
                <w:rFonts w:hint="eastAsia" w:ascii="宋体" w:hAnsi="宋体" w:cs="宋体"/>
                <w:sz w:val="24"/>
              </w:rPr>
              <w:t>像素点间距：≤1.53 mm；</w:t>
            </w:r>
          </w:p>
          <w:p>
            <w:pPr>
              <w:widowControl/>
              <w:numPr>
                <w:ilvl w:val="0"/>
                <w:numId w:val="7"/>
              </w:numPr>
              <w:spacing w:line="360" w:lineRule="auto"/>
              <w:jc w:val="left"/>
              <w:rPr>
                <w:rFonts w:hint="eastAsia" w:ascii="宋体" w:hAnsi="宋体" w:cs="宋体"/>
                <w:sz w:val="24"/>
              </w:rPr>
            </w:pPr>
            <w:r>
              <w:rPr>
                <w:rFonts w:hint="eastAsia" w:ascii="宋体" w:hAnsi="宋体" w:cs="宋体"/>
                <w:sz w:val="24"/>
              </w:rPr>
              <w:t>单元板分辨率：≥21632 Dots；</w:t>
            </w:r>
          </w:p>
          <w:p>
            <w:pPr>
              <w:widowControl/>
              <w:numPr>
                <w:ilvl w:val="0"/>
                <w:numId w:val="7"/>
              </w:numPr>
              <w:spacing w:line="360" w:lineRule="auto"/>
              <w:jc w:val="left"/>
              <w:rPr>
                <w:rFonts w:hint="eastAsia" w:ascii="宋体" w:hAnsi="宋体" w:cs="宋体"/>
                <w:sz w:val="24"/>
              </w:rPr>
            </w:pPr>
            <w:r>
              <w:rPr>
                <w:rFonts w:hint="eastAsia" w:ascii="宋体" w:hAnsi="宋体" w:cs="宋体"/>
                <w:sz w:val="24"/>
              </w:rPr>
              <w:t>刷新率：≥4200Hz，支持通过配套控制软件调节刷新率设置选项</w:t>
            </w:r>
          </w:p>
          <w:p>
            <w:pPr>
              <w:widowControl/>
              <w:numPr>
                <w:ilvl w:val="0"/>
                <w:numId w:val="7"/>
              </w:numPr>
              <w:spacing w:line="360" w:lineRule="auto"/>
              <w:jc w:val="left"/>
              <w:rPr>
                <w:rFonts w:hint="eastAsia" w:ascii="宋体" w:hAnsi="宋体" w:cs="宋体"/>
                <w:sz w:val="24"/>
              </w:rPr>
            </w:pPr>
            <w:r>
              <w:rPr>
                <w:rFonts w:hint="eastAsia" w:ascii="宋体" w:hAnsi="宋体" w:cs="宋体"/>
                <w:sz w:val="24"/>
              </w:rPr>
              <w:t>像素构成：1R、1G、1B；</w:t>
            </w:r>
          </w:p>
          <w:p>
            <w:pPr>
              <w:widowControl/>
              <w:numPr>
                <w:ilvl w:val="0"/>
                <w:numId w:val="7"/>
              </w:numPr>
              <w:spacing w:line="360" w:lineRule="auto"/>
              <w:jc w:val="left"/>
              <w:rPr>
                <w:rFonts w:hint="eastAsia" w:ascii="宋体" w:hAnsi="宋体" w:cs="宋体"/>
                <w:sz w:val="24"/>
              </w:rPr>
            </w:pPr>
            <w:r>
              <w:rPr>
                <w:rFonts w:hint="eastAsia" w:ascii="宋体" w:hAnsi="宋体" w:cs="宋体"/>
                <w:sz w:val="24"/>
              </w:rPr>
              <w:t>封装方式：SMD表贴三合一，铜线封装，五面黑灯，表面不反光</w:t>
            </w:r>
          </w:p>
          <w:p>
            <w:pPr>
              <w:widowControl/>
              <w:numPr>
                <w:ilvl w:val="0"/>
                <w:numId w:val="7"/>
              </w:numPr>
              <w:spacing w:line="360" w:lineRule="auto"/>
              <w:jc w:val="left"/>
              <w:rPr>
                <w:rFonts w:hint="eastAsia" w:ascii="宋体" w:hAnsi="宋体" w:cs="宋体"/>
                <w:sz w:val="24"/>
              </w:rPr>
            </w:pPr>
            <w:r>
              <w:rPr>
                <w:rFonts w:hint="eastAsia" w:ascii="宋体" w:hAnsi="宋体" w:cs="宋体"/>
                <w:sz w:val="24"/>
              </w:rPr>
              <w:t>驱动方式：恒流驱动；</w:t>
            </w:r>
          </w:p>
          <w:p>
            <w:pPr>
              <w:widowControl/>
              <w:numPr>
                <w:ilvl w:val="0"/>
                <w:numId w:val="7"/>
              </w:numPr>
              <w:spacing w:line="360" w:lineRule="auto"/>
              <w:jc w:val="left"/>
              <w:rPr>
                <w:rFonts w:hint="eastAsia" w:ascii="宋体" w:hAnsi="宋体" w:cs="宋体"/>
                <w:sz w:val="24"/>
              </w:rPr>
            </w:pPr>
            <w:r>
              <w:rPr>
                <w:rFonts w:hint="eastAsia" w:ascii="宋体" w:hAnsi="宋体" w:cs="宋体"/>
                <w:sz w:val="24"/>
              </w:rPr>
              <w:t>控制方式：同步控制系统；</w:t>
            </w:r>
          </w:p>
          <w:p>
            <w:pPr>
              <w:widowControl/>
              <w:numPr>
                <w:ilvl w:val="0"/>
                <w:numId w:val="7"/>
              </w:numPr>
              <w:spacing w:line="360" w:lineRule="auto"/>
              <w:jc w:val="left"/>
              <w:rPr>
                <w:rFonts w:hint="eastAsia" w:ascii="宋体" w:hAnsi="宋体" w:cs="宋体"/>
                <w:sz w:val="24"/>
              </w:rPr>
            </w:pPr>
            <w:r>
              <w:rPr>
                <w:rFonts w:hint="eastAsia" w:ascii="宋体" w:hAnsi="宋体" w:cs="宋体"/>
                <w:sz w:val="24"/>
              </w:rPr>
              <w:t>维护方式：前后双向维护；</w:t>
            </w:r>
          </w:p>
          <w:p>
            <w:pPr>
              <w:widowControl/>
              <w:numPr>
                <w:ilvl w:val="0"/>
                <w:numId w:val="7"/>
              </w:numPr>
              <w:spacing w:line="360" w:lineRule="auto"/>
              <w:jc w:val="left"/>
              <w:rPr>
                <w:rFonts w:hint="eastAsia" w:ascii="宋体" w:hAnsi="宋体" w:cs="宋体"/>
                <w:sz w:val="24"/>
              </w:rPr>
            </w:pPr>
            <w:r>
              <w:rPr>
                <w:rFonts w:hint="eastAsia" w:ascii="宋体" w:hAnsi="宋体" w:cs="宋体"/>
                <w:sz w:val="24"/>
              </w:rPr>
              <w:t>整屏平整度≤0.04mm；</w:t>
            </w:r>
          </w:p>
          <w:p>
            <w:pPr>
              <w:widowControl/>
              <w:numPr>
                <w:ilvl w:val="0"/>
                <w:numId w:val="7"/>
              </w:numPr>
              <w:spacing w:line="360" w:lineRule="auto"/>
              <w:jc w:val="left"/>
              <w:rPr>
                <w:rFonts w:hint="eastAsia" w:ascii="宋体" w:hAnsi="宋体" w:cs="宋体"/>
                <w:sz w:val="24"/>
              </w:rPr>
            </w:pPr>
            <w:r>
              <w:rPr>
                <w:rFonts w:hint="eastAsia" w:ascii="宋体" w:hAnsi="宋体" w:cs="宋体"/>
                <w:sz w:val="24"/>
              </w:rPr>
              <w:t>白平衡亮度：0-820cd/㎡可调；亮度调节：0-100%亮度可调，256级手动/自动调节，屏幕亮度具有随环境照度的变化任意调整功能；亮度均匀性≥99%；</w:t>
            </w:r>
          </w:p>
          <w:p>
            <w:pPr>
              <w:widowControl/>
              <w:numPr>
                <w:ilvl w:val="0"/>
                <w:numId w:val="7"/>
              </w:numPr>
              <w:spacing w:line="360" w:lineRule="auto"/>
              <w:jc w:val="left"/>
              <w:rPr>
                <w:rFonts w:hint="eastAsia" w:ascii="宋体" w:hAnsi="宋体" w:cs="宋体"/>
                <w:sz w:val="24"/>
              </w:rPr>
            </w:pPr>
            <w:r>
              <w:rPr>
                <w:rFonts w:hint="eastAsia" w:ascii="宋体" w:hAnsi="宋体" w:cs="宋体"/>
                <w:sz w:val="24"/>
              </w:rPr>
              <w:t>色温800K-20000K可调；白平衡状态下色温在6500K±5%；色温为6500K时，100%75%50%25%档电平白场调节色温误差≤100K；</w:t>
            </w:r>
          </w:p>
          <w:p>
            <w:pPr>
              <w:spacing w:line="360" w:lineRule="auto"/>
              <w:rPr>
                <w:rFonts w:hint="eastAsia" w:ascii="宋体" w:hAnsi="宋体" w:cs="宋体"/>
                <w:snapToGrid w:val="0"/>
                <w:kern w:val="28"/>
                <w:sz w:val="24"/>
              </w:rPr>
            </w:pPr>
            <w:r>
              <w:rPr>
                <w:rFonts w:hint="eastAsia" w:ascii="宋体" w:hAnsi="宋体" w:cs="宋体"/>
                <w:snapToGrid w:val="0"/>
                <w:kern w:val="28"/>
                <w:sz w:val="24"/>
              </w:rPr>
              <w:t>16. 供电电源：在4.2*（1±10%）VDC～4.5*（1±10%）VDC范围内能正常工作；</w:t>
            </w:r>
          </w:p>
          <w:p>
            <w:pPr>
              <w:spacing w:line="360" w:lineRule="auto"/>
              <w:rPr>
                <w:rFonts w:hint="eastAsia" w:ascii="宋体" w:hAnsi="宋体" w:cs="宋体"/>
                <w:snapToGrid w:val="0"/>
                <w:kern w:val="28"/>
                <w:sz w:val="24"/>
              </w:rPr>
            </w:pPr>
            <w:r>
              <w:rPr>
                <w:rFonts w:hint="eastAsia" w:ascii="宋体" w:hAnsi="宋体" w:cs="宋体"/>
                <w:snapToGrid w:val="0"/>
                <w:kern w:val="28"/>
                <w:sz w:val="24"/>
              </w:rPr>
              <w:t>17. LED显示屏保护地端子应有标记。进行标记耐久性试验后，标记牢固、清晰可辨。LED显示屏在熔断器和开关电源处应有警告标示。进行标记耐久性试验后，标记应牢固、清晰可辨；</w:t>
            </w:r>
          </w:p>
          <w:p>
            <w:pPr>
              <w:spacing w:line="360" w:lineRule="auto"/>
              <w:rPr>
                <w:rFonts w:hint="eastAsia" w:ascii="宋体" w:hAnsi="宋体" w:cs="宋体"/>
                <w:snapToGrid w:val="0"/>
                <w:kern w:val="28"/>
                <w:sz w:val="24"/>
              </w:rPr>
            </w:pPr>
            <w:r>
              <w:rPr>
                <w:rFonts w:hint="eastAsia" w:ascii="宋体" w:hAnsi="宋体" w:cs="宋体"/>
                <w:snapToGrid w:val="0"/>
                <w:kern w:val="28"/>
                <w:sz w:val="24"/>
              </w:rPr>
              <w:t>18. 支持手机、平板可视化控制LED大屏，切换播放内容，定制播放计划等；支持手机添加LOGO、时间、日期、文字标语、滚动字幕、图片、视频窗口；支持分屏操作。支持任意比例拼接素材和多图层叠加；支持无线遥控、手机遥控，一键切换视频；支持与智能播控软件一键IP连接；</w:t>
            </w:r>
          </w:p>
          <w:p>
            <w:pPr>
              <w:spacing w:line="360" w:lineRule="auto"/>
              <w:rPr>
                <w:rFonts w:hint="eastAsia" w:ascii="宋体" w:hAnsi="宋体" w:cs="宋体"/>
                <w:snapToGrid w:val="0"/>
                <w:kern w:val="28"/>
                <w:sz w:val="24"/>
              </w:rPr>
            </w:pPr>
            <w:r>
              <w:rPr>
                <w:rFonts w:hint="eastAsia" w:ascii="宋体" w:hAnsi="宋体" w:cs="宋体"/>
                <w:snapToGrid w:val="0"/>
                <w:kern w:val="28"/>
                <w:sz w:val="24"/>
              </w:rPr>
              <w:t>19. 支持鬼影消除、首行暗亮消除、低灰偏色补偿、低灰均匀性、低灰横条纹消除、慢速开启、十字架消除、去坏点、毛毛虫消除、余辉消除、亮度缓慢变亮功能；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9" w:type="dxa"/>
            <w:gridSpan w:val="4"/>
            <w:vAlign w:val="center"/>
          </w:tcPr>
          <w:p>
            <w:pPr>
              <w:spacing w:line="360" w:lineRule="auto"/>
              <w:jc w:val="center"/>
              <w:rPr>
                <w:rFonts w:hint="eastAsia" w:ascii="宋体" w:hAnsi="宋体" w:cs="宋体"/>
                <w:snapToGrid w:val="0"/>
                <w:kern w:val="28"/>
                <w:sz w:val="24"/>
              </w:rPr>
            </w:pPr>
            <w:r>
              <w:rPr>
                <w:rFonts w:hint="eastAsia" w:ascii="宋体" w:hAnsi="宋体" w:cs="宋体"/>
                <w:b/>
                <w:snapToGrid w:val="0"/>
                <w:color w:val="000000"/>
                <w:kern w:val="28"/>
                <w:sz w:val="24"/>
              </w:rPr>
              <w:t>三、室内P2系列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31" w:type="dxa"/>
            <w:vMerge w:val="restart"/>
            <w:vAlign w:val="center"/>
          </w:tcPr>
          <w:p>
            <w:pPr>
              <w:spacing w:line="360" w:lineRule="auto"/>
              <w:rPr>
                <w:rFonts w:hint="eastAsia" w:ascii="宋体" w:hAnsi="宋体" w:cs="宋体"/>
                <w:snapToGrid w:val="0"/>
                <w:color w:val="000000"/>
                <w:kern w:val="28"/>
                <w:sz w:val="24"/>
              </w:rPr>
            </w:pPr>
          </w:p>
          <w:p>
            <w:pPr>
              <w:spacing w:line="360" w:lineRule="auto"/>
              <w:rPr>
                <w:rFonts w:hint="eastAsia" w:ascii="宋体" w:hAnsi="宋体" w:cs="宋体"/>
                <w:snapToGrid w:val="0"/>
                <w:color w:val="000000"/>
                <w:kern w:val="28"/>
                <w:sz w:val="24"/>
              </w:rPr>
            </w:pPr>
          </w:p>
          <w:p>
            <w:pPr>
              <w:spacing w:line="360" w:lineRule="auto"/>
              <w:rPr>
                <w:rFonts w:hint="eastAsia" w:ascii="宋体" w:hAnsi="宋体" w:cs="宋体"/>
                <w:snapToGrid w:val="0"/>
                <w:color w:val="000000"/>
                <w:kern w:val="28"/>
                <w:sz w:val="24"/>
              </w:rPr>
            </w:pPr>
          </w:p>
          <w:p>
            <w:pPr>
              <w:spacing w:line="360" w:lineRule="auto"/>
              <w:rPr>
                <w:rFonts w:hint="eastAsia" w:ascii="宋体" w:hAnsi="宋体" w:cs="宋体"/>
                <w:snapToGrid w:val="0"/>
                <w:color w:val="000000"/>
                <w:kern w:val="28"/>
                <w:sz w:val="24"/>
              </w:rPr>
            </w:pPr>
          </w:p>
          <w:p>
            <w:pPr>
              <w:spacing w:line="360" w:lineRule="auto"/>
              <w:rPr>
                <w:rFonts w:hint="eastAsia" w:ascii="宋体" w:hAnsi="宋体" w:cs="宋体"/>
                <w:snapToGrid w:val="0"/>
                <w:color w:val="000000"/>
                <w:kern w:val="28"/>
                <w:sz w:val="24"/>
              </w:rPr>
            </w:pPr>
          </w:p>
          <w:p>
            <w:pPr>
              <w:spacing w:line="360" w:lineRule="auto"/>
              <w:rPr>
                <w:rFonts w:hint="eastAsia" w:ascii="宋体" w:hAnsi="宋体" w:cs="宋体"/>
                <w:snapToGrid w:val="0"/>
                <w:color w:val="000000"/>
                <w:kern w:val="28"/>
                <w:sz w:val="24"/>
              </w:rPr>
            </w:pPr>
          </w:p>
          <w:p>
            <w:pPr>
              <w:spacing w:line="360" w:lineRule="auto"/>
              <w:rPr>
                <w:rFonts w:hint="eastAsia" w:ascii="宋体" w:hAnsi="宋体" w:cs="宋体"/>
                <w:snapToGrid w:val="0"/>
                <w:color w:val="000000"/>
                <w:kern w:val="28"/>
                <w:sz w:val="24"/>
              </w:rPr>
            </w:pPr>
          </w:p>
          <w:p>
            <w:pPr>
              <w:spacing w:line="360" w:lineRule="auto"/>
              <w:rPr>
                <w:rFonts w:hint="eastAsia" w:ascii="宋体" w:hAnsi="宋体" w:cs="宋体"/>
                <w:snapToGrid w:val="0"/>
                <w:color w:val="000000"/>
                <w:kern w:val="28"/>
                <w:sz w:val="24"/>
              </w:rPr>
            </w:pPr>
          </w:p>
          <w:p>
            <w:pPr>
              <w:spacing w:line="360" w:lineRule="auto"/>
              <w:rPr>
                <w:rFonts w:hint="eastAsia" w:ascii="宋体" w:hAnsi="宋体" w:cs="宋体"/>
                <w:snapToGrid w:val="0"/>
                <w:color w:val="000000"/>
                <w:kern w:val="28"/>
                <w:sz w:val="24"/>
              </w:rPr>
            </w:pPr>
          </w:p>
          <w:p>
            <w:pPr>
              <w:spacing w:line="360" w:lineRule="auto"/>
              <w:rPr>
                <w:rFonts w:hint="eastAsia" w:ascii="宋体" w:hAnsi="宋体" w:cs="宋体"/>
                <w:snapToGrid w:val="0"/>
                <w:color w:val="000000"/>
                <w:kern w:val="28"/>
                <w:sz w:val="24"/>
              </w:rPr>
            </w:pPr>
          </w:p>
          <w:p>
            <w:pPr>
              <w:spacing w:line="360" w:lineRule="auto"/>
              <w:rPr>
                <w:rFonts w:hint="eastAsia" w:ascii="宋体" w:hAnsi="宋体" w:cs="宋体"/>
                <w:snapToGrid w:val="0"/>
                <w:color w:val="000000"/>
                <w:kern w:val="28"/>
                <w:sz w:val="24"/>
              </w:rPr>
            </w:pPr>
          </w:p>
          <w:p>
            <w:pPr>
              <w:spacing w:line="360" w:lineRule="auto"/>
              <w:rPr>
                <w:rFonts w:hint="eastAsia" w:ascii="宋体" w:hAnsi="宋体" w:cs="宋体"/>
                <w:snapToGrid w:val="0"/>
                <w:color w:val="000000"/>
                <w:kern w:val="28"/>
                <w:sz w:val="24"/>
              </w:rPr>
            </w:pPr>
          </w:p>
          <w:p>
            <w:pPr>
              <w:spacing w:line="360" w:lineRule="auto"/>
              <w:rPr>
                <w:rFonts w:hint="eastAsia" w:ascii="宋体" w:hAnsi="宋体" w:cs="宋体"/>
                <w:snapToGrid w:val="0"/>
                <w:color w:val="000000"/>
                <w:kern w:val="28"/>
                <w:sz w:val="24"/>
              </w:rPr>
            </w:pPr>
          </w:p>
          <w:p>
            <w:pPr>
              <w:spacing w:line="360" w:lineRule="auto"/>
              <w:rPr>
                <w:rFonts w:hint="eastAsia" w:ascii="宋体" w:hAnsi="宋体" w:cs="宋体"/>
                <w:snapToGrid w:val="0"/>
                <w:color w:val="000000"/>
                <w:kern w:val="28"/>
                <w:sz w:val="24"/>
              </w:rPr>
            </w:pPr>
            <w:r>
              <w:rPr>
                <w:rFonts w:hint="eastAsia" w:ascii="宋体" w:hAnsi="宋体" w:cs="宋体"/>
                <w:snapToGrid w:val="0"/>
                <w:color w:val="000000"/>
                <w:kern w:val="28"/>
                <w:sz w:val="24"/>
              </w:rPr>
              <w:t>3</w:t>
            </w:r>
          </w:p>
        </w:tc>
        <w:tc>
          <w:tcPr>
            <w:tcW w:w="740" w:type="dxa"/>
            <w:vMerge w:val="restart"/>
            <w:vAlign w:val="center"/>
          </w:tcPr>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p>
          <w:p>
            <w:pPr>
              <w:pStyle w:val="2"/>
              <w:rPr>
                <w:rFonts w:hint="eastAsia"/>
                <w:lang w:val="en-US"/>
              </w:rPr>
            </w:pPr>
          </w:p>
          <w:p/>
          <w:p>
            <w:pPr>
              <w:pStyle w:val="2"/>
              <w:rPr>
                <w:rFonts w:hint="eastAsia"/>
                <w:lang w:val="en-US"/>
              </w:rPr>
            </w:pPr>
          </w:p>
          <w:p/>
          <w:p>
            <w:pPr>
              <w:pStyle w:val="2"/>
              <w:rPr>
                <w:rFonts w:hint="eastAsia"/>
                <w:lang w:val="en-US"/>
              </w:rPr>
            </w:pPr>
          </w:p>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室内显示屏</w:t>
            </w:r>
          </w:p>
        </w:tc>
        <w:tc>
          <w:tcPr>
            <w:tcW w:w="1559" w:type="dxa"/>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风雨操场</w:t>
            </w:r>
          </w:p>
        </w:tc>
        <w:tc>
          <w:tcPr>
            <w:tcW w:w="6299" w:type="dxa"/>
            <w:vAlign w:val="center"/>
          </w:tcPr>
          <w:p>
            <w:pPr>
              <w:spacing w:line="360" w:lineRule="auto"/>
              <w:ind w:firstLine="480" w:firstLineChars="200"/>
              <w:rPr>
                <w:rFonts w:hint="eastAsia" w:ascii="宋体" w:hAnsi="宋体" w:cs="宋体"/>
                <w:snapToGrid w:val="0"/>
                <w:kern w:val="28"/>
                <w:sz w:val="24"/>
              </w:rPr>
            </w:pPr>
            <w:r>
              <w:rPr>
                <w:rFonts w:hint="eastAsia" w:ascii="宋体" w:hAnsi="宋体" w:cs="宋体"/>
                <w:snapToGrid w:val="0"/>
                <w:color w:val="000000"/>
                <w:kern w:val="28"/>
                <w:sz w:val="24"/>
              </w:rPr>
              <w:t>显示屏尺寸:8m*4.8m=38.4㎡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531" w:type="dxa"/>
            <w:vMerge w:val="continue"/>
            <w:vAlign w:val="center"/>
          </w:tcPr>
          <w:p>
            <w:pPr>
              <w:spacing w:line="360" w:lineRule="auto"/>
              <w:rPr>
                <w:rFonts w:hint="eastAsia" w:ascii="宋体" w:hAnsi="宋体" w:cs="宋体"/>
                <w:snapToGrid w:val="0"/>
                <w:color w:val="000000"/>
                <w:kern w:val="28"/>
                <w:sz w:val="24"/>
              </w:rPr>
            </w:pPr>
          </w:p>
        </w:tc>
        <w:tc>
          <w:tcPr>
            <w:tcW w:w="740" w:type="dxa"/>
            <w:vMerge w:val="continue"/>
            <w:vAlign w:val="center"/>
          </w:tcPr>
          <w:p>
            <w:pPr>
              <w:spacing w:line="360" w:lineRule="auto"/>
              <w:jc w:val="center"/>
              <w:rPr>
                <w:rFonts w:hint="eastAsia" w:ascii="宋体" w:hAnsi="宋体" w:cs="宋体"/>
                <w:snapToGrid w:val="0"/>
                <w:color w:val="000000"/>
                <w:kern w:val="28"/>
                <w:sz w:val="24"/>
              </w:rPr>
            </w:pPr>
          </w:p>
        </w:tc>
        <w:tc>
          <w:tcPr>
            <w:tcW w:w="1559" w:type="dxa"/>
            <w:vAlign w:val="center"/>
          </w:tcPr>
          <w:p>
            <w:pPr>
              <w:spacing w:line="360" w:lineRule="auto"/>
              <w:jc w:val="center"/>
              <w:rPr>
                <w:rFonts w:hint="eastAsia" w:ascii="宋体" w:hAnsi="宋体" w:cs="宋体"/>
                <w:snapToGrid w:val="0"/>
                <w:color w:val="000000"/>
                <w:kern w:val="28"/>
                <w:sz w:val="24"/>
              </w:rPr>
            </w:pPr>
            <w:r>
              <w:rPr>
                <w:rFonts w:hint="eastAsia" w:hAnsi="宋体" w:cs="宋体"/>
                <w:sz w:val="24"/>
              </w:rPr>
              <w:t>四楼会议室</w:t>
            </w:r>
          </w:p>
        </w:tc>
        <w:tc>
          <w:tcPr>
            <w:tcW w:w="6299" w:type="dxa"/>
            <w:vAlign w:val="center"/>
          </w:tcPr>
          <w:p>
            <w:pPr>
              <w:pStyle w:val="15"/>
              <w:spacing w:line="360" w:lineRule="auto"/>
              <w:ind w:firstLine="480"/>
              <w:rPr>
                <w:rFonts w:hint="eastAsia" w:hAnsi="宋体" w:cs="宋体"/>
                <w:sz w:val="24"/>
              </w:rPr>
            </w:pPr>
            <w:r>
              <w:rPr>
                <w:rFonts w:hint="eastAsia" w:hAnsi="宋体" w:cs="宋体"/>
                <w:sz w:val="24"/>
              </w:rPr>
              <w:t>显示屏尺寸：</w:t>
            </w:r>
            <w:r>
              <w:rPr>
                <w:rFonts w:hint="eastAsia" w:hAnsi="宋体" w:cs="宋体"/>
                <w:color w:val="000000" w:themeColor="text1"/>
                <w:sz w:val="24"/>
                <w14:textFill>
                  <w14:solidFill>
                    <w14:schemeClr w14:val="tx1"/>
                  </w14:solidFill>
                </w14:textFill>
              </w:rPr>
              <w:t>6.4*3.52=22.528㎡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31" w:type="dxa"/>
            <w:vMerge w:val="continue"/>
            <w:vAlign w:val="center"/>
          </w:tcPr>
          <w:p>
            <w:pPr>
              <w:spacing w:line="360" w:lineRule="auto"/>
              <w:rPr>
                <w:rFonts w:hint="eastAsia" w:ascii="宋体" w:hAnsi="宋体" w:cs="宋体"/>
                <w:snapToGrid w:val="0"/>
                <w:color w:val="000000"/>
                <w:kern w:val="28"/>
                <w:sz w:val="24"/>
              </w:rPr>
            </w:pPr>
          </w:p>
        </w:tc>
        <w:tc>
          <w:tcPr>
            <w:tcW w:w="740" w:type="dxa"/>
            <w:vMerge w:val="continue"/>
            <w:vAlign w:val="center"/>
          </w:tcPr>
          <w:p>
            <w:pPr>
              <w:spacing w:line="360" w:lineRule="auto"/>
              <w:jc w:val="center"/>
              <w:rPr>
                <w:rFonts w:hint="eastAsia" w:ascii="宋体" w:hAnsi="宋体" w:cs="宋体"/>
                <w:snapToGrid w:val="0"/>
                <w:color w:val="000000"/>
                <w:kern w:val="28"/>
                <w:sz w:val="24"/>
              </w:rPr>
            </w:pPr>
          </w:p>
        </w:tc>
        <w:tc>
          <w:tcPr>
            <w:tcW w:w="1559" w:type="dxa"/>
            <w:vMerge w:val="restart"/>
            <w:vAlign w:val="center"/>
          </w:tcPr>
          <w:p>
            <w:pPr>
              <w:spacing w:line="360" w:lineRule="auto"/>
              <w:jc w:val="center"/>
              <w:rPr>
                <w:rFonts w:hint="eastAsia" w:ascii="宋体" w:hAnsi="宋体" w:cs="宋体"/>
                <w:snapToGrid w:val="0"/>
                <w:color w:val="000000"/>
                <w:kern w:val="28"/>
                <w:sz w:val="24"/>
              </w:rPr>
            </w:pPr>
            <w:r>
              <w:rPr>
                <w:rFonts w:hint="eastAsia" w:hAnsi="宋体" w:cs="宋体"/>
                <w:sz w:val="24"/>
              </w:rPr>
              <w:t>汇报厅</w:t>
            </w:r>
          </w:p>
        </w:tc>
        <w:tc>
          <w:tcPr>
            <w:tcW w:w="6299" w:type="dxa"/>
            <w:vAlign w:val="center"/>
          </w:tcPr>
          <w:p>
            <w:pPr>
              <w:spacing w:line="360" w:lineRule="auto"/>
              <w:rPr>
                <w:rFonts w:hint="eastAsia" w:ascii="宋体" w:hAnsi="宋体" w:cs="宋体"/>
                <w:snapToGrid w:val="0"/>
                <w:color w:val="000000"/>
                <w:kern w:val="28"/>
                <w:sz w:val="24"/>
              </w:rPr>
            </w:pPr>
            <w:r>
              <w:rPr>
                <w:rFonts w:hint="eastAsia" w:hAnsi="宋体" w:cs="宋体"/>
                <w:sz w:val="24"/>
              </w:rPr>
              <w:t>一块主屏10.24*4.8=49.152㎡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31" w:type="dxa"/>
            <w:vMerge w:val="continue"/>
            <w:vAlign w:val="center"/>
          </w:tcPr>
          <w:p>
            <w:pPr>
              <w:spacing w:line="360" w:lineRule="auto"/>
              <w:rPr>
                <w:rFonts w:hint="eastAsia" w:ascii="宋体" w:hAnsi="宋体" w:cs="宋体"/>
                <w:snapToGrid w:val="0"/>
                <w:color w:val="000000"/>
                <w:kern w:val="28"/>
                <w:sz w:val="24"/>
              </w:rPr>
            </w:pPr>
          </w:p>
        </w:tc>
        <w:tc>
          <w:tcPr>
            <w:tcW w:w="740" w:type="dxa"/>
            <w:vMerge w:val="continue"/>
            <w:vAlign w:val="center"/>
          </w:tcPr>
          <w:p>
            <w:pPr>
              <w:spacing w:line="360" w:lineRule="auto"/>
              <w:jc w:val="center"/>
              <w:rPr>
                <w:rFonts w:hint="eastAsia" w:ascii="宋体" w:hAnsi="宋体" w:cs="宋体"/>
                <w:snapToGrid w:val="0"/>
                <w:color w:val="000000"/>
                <w:kern w:val="28"/>
                <w:sz w:val="24"/>
              </w:rPr>
            </w:pPr>
          </w:p>
        </w:tc>
        <w:tc>
          <w:tcPr>
            <w:tcW w:w="1559" w:type="dxa"/>
            <w:vMerge w:val="continue"/>
            <w:vAlign w:val="center"/>
          </w:tcPr>
          <w:p>
            <w:pPr>
              <w:spacing w:line="360" w:lineRule="auto"/>
              <w:jc w:val="center"/>
              <w:rPr>
                <w:rFonts w:hint="eastAsia" w:ascii="宋体" w:hAnsi="宋体" w:cs="宋体"/>
                <w:snapToGrid w:val="0"/>
                <w:color w:val="000000"/>
                <w:kern w:val="28"/>
                <w:sz w:val="24"/>
              </w:rPr>
            </w:pPr>
          </w:p>
        </w:tc>
        <w:tc>
          <w:tcPr>
            <w:tcW w:w="6299" w:type="dxa"/>
            <w:vAlign w:val="center"/>
          </w:tcPr>
          <w:p>
            <w:pPr>
              <w:spacing w:line="360" w:lineRule="auto"/>
              <w:rPr>
                <w:rFonts w:hint="eastAsia" w:ascii="宋体" w:hAnsi="宋体" w:cs="宋体"/>
                <w:snapToGrid w:val="0"/>
                <w:color w:val="000000"/>
                <w:kern w:val="28"/>
                <w:sz w:val="24"/>
              </w:rPr>
            </w:pPr>
            <w:r>
              <w:rPr>
                <w:rFonts w:hint="eastAsia" w:hAnsi="宋体" w:cs="宋体"/>
                <w:sz w:val="24"/>
              </w:rPr>
              <w:t>二块辅屏：3.84*2.4=9.22㎡X2块，合计18.44㎡，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31" w:type="dxa"/>
            <w:vMerge w:val="continue"/>
            <w:vAlign w:val="center"/>
          </w:tcPr>
          <w:p>
            <w:pPr>
              <w:spacing w:line="360" w:lineRule="auto"/>
              <w:rPr>
                <w:rFonts w:hint="eastAsia" w:ascii="宋体" w:hAnsi="宋体" w:cs="宋体"/>
                <w:snapToGrid w:val="0"/>
                <w:color w:val="000000"/>
                <w:kern w:val="28"/>
                <w:sz w:val="24"/>
              </w:rPr>
            </w:pPr>
          </w:p>
        </w:tc>
        <w:tc>
          <w:tcPr>
            <w:tcW w:w="740" w:type="dxa"/>
            <w:vMerge w:val="continue"/>
            <w:vAlign w:val="center"/>
          </w:tcPr>
          <w:p>
            <w:pPr>
              <w:spacing w:line="360" w:lineRule="auto"/>
              <w:jc w:val="center"/>
              <w:rPr>
                <w:rFonts w:hint="eastAsia" w:ascii="宋体" w:hAnsi="宋体" w:cs="宋体"/>
                <w:snapToGrid w:val="0"/>
                <w:color w:val="000000"/>
                <w:kern w:val="28"/>
                <w:sz w:val="24"/>
              </w:rPr>
            </w:pPr>
          </w:p>
        </w:tc>
        <w:tc>
          <w:tcPr>
            <w:tcW w:w="1559" w:type="dxa"/>
            <w:vMerge w:val="continue"/>
            <w:vAlign w:val="center"/>
          </w:tcPr>
          <w:p>
            <w:pPr>
              <w:spacing w:line="360" w:lineRule="auto"/>
              <w:jc w:val="center"/>
              <w:rPr>
                <w:rFonts w:hint="eastAsia" w:ascii="宋体" w:hAnsi="宋体" w:cs="宋体"/>
                <w:snapToGrid w:val="0"/>
                <w:color w:val="000000"/>
                <w:kern w:val="28"/>
                <w:sz w:val="24"/>
              </w:rPr>
            </w:pPr>
          </w:p>
        </w:tc>
        <w:tc>
          <w:tcPr>
            <w:tcW w:w="6299" w:type="dxa"/>
            <w:vAlign w:val="center"/>
          </w:tcPr>
          <w:p>
            <w:pPr>
              <w:spacing w:line="360" w:lineRule="auto"/>
              <w:rPr>
                <w:rFonts w:hint="eastAsia" w:hAnsi="宋体" w:cs="宋体"/>
                <w:sz w:val="24"/>
              </w:rPr>
            </w:pPr>
            <w:r>
              <w:rPr>
                <w:rFonts w:hint="eastAsia" w:hAnsi="宋体" w:cs="宋体"/>
                <w:sz w:val="24"/>
              </w:rPr>
              <w:t>一块横幅屏10.24*0.8=8.192㎡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vMerge w:val="continue"/>
            <w:vAlign w:val="center"/>
          </w:tcPr>
          <w:p>
            <w:pPr>
              <w:spacing w:line="360" w:lineRule="auto"/>
              <w:rPr>
                <w:rFonts w:hint="eastAsia" w:ascii="宋体" w:hAnsi="宋体" w:cs="宋体"/>
                <w:snapToGrid w:val="0"/>
                <w:color w:val="000000"/>
                <w:kern w:val="28"/>
                <w:sz w:val="24"/>
              </w:rPr>
            </w:pPr>
          </w:p>
        </w:tc>
        <w:tc>
          <w:tcPr>
            <w:tcW w:w="740" w:type="dxa"/>
            <w:vMerge w:val="continue"/>
            <w:vAlign w:val="center"/>
          </w:tcPr>
          <w:p>
            <w:pPr>
              <w:spacing w:line="360" w:lineRule="auto"/>
              <w:jc w:val="center"/>
              <w:rPr>
                <w:rFonts w:hint="eastAsia" w:ascii="宋体" w:hAnsi="宋体" w:cs="宋体"/>
                <w:snapToGrid w:val="0"/>
                <w:color w:val="000000"/>
                <w:kern w:val="28"/>
                <w:sz w:val="24"/>
              </w:rPr>
            </w:pPr>
          </w:p>
        </w:tc>
        <w:tc>
          <w:tcPr>
            <w:tcW w:w="1559" w:type="dxa"/>
            <w:vAlign w:val="center"/>
          </w:tcPr>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单元板</w:t>
            </w:r>
          </w:p>
        </w:tc>
        <w:tc>
          <w:tcPr>
            <w:tcW w:w="6299" w:type="dxa"/>
            <w:vAlign w:val="center"/>
          </w:tcPr>
          <w:p>
            <w:pPr>
              <w:spacing w:line="360" w:lineRule="auto"/>
              <w:rPr>
                <w:rFonts w:hint="eastAsia" w:ascii="宋体" w:hAnsi="宋体" w:cs="宋体"/>
                <w:snapToGrid w:val="0"/>
                <w:color w:val="000000"/>
                <w:kern w:val="28"/>
                <w:sz w:val="24"/>
              </w:rPr>
            </w:pPr>
            <w:bookmarkStart w:id="39" w:name="OLE_LINK5"/>
            <w:r>
              <w:rPr>
                <w:rFonts w:hint="eastAsia" w:ascii="宋体" w:hAnsi="宋体" w:cs="宋体"/>
                <w:snapToGrid w:val="0"/>
                <w:color w:val="000000"/>
                <w:sz w:val="24"/>
              </w:rPr>
              <w:t>1、单元</w:t>
            </w:r>
            <w:r>
              <w:rPr>
                <w:rFonts w:hint="eastAsia" w:ascii="宋体" w:hAnsi="宋体" w:cs="宋体"/>
                <w:snapToGrid w:val="0"/>
                <w:color w:val="000000"/>
                <w:kern w:val="28"/>
                <w:sz w:val="24"/>
              </w:rPr>
              <w:t xml:space="preserve">板尺寸：320mm× 160mm  </w:t>
            </w:r>
          </w:p>
          <w:p>
            <w:pPr>
              <w:spacing w:line="360" w:lineRule="auto"/>
              <w:rPr>
                <w:rFonts w:hint="eastAsia" w:ascii="宋体" w:hAnsi="宋体" w:cs="宋体"/>
                <w:snapToGrid w:val="0"/>
                <w:color w:val="000000"/>
                <w:kern w:val="28"/>
                <w:sz w:val="24"/>
              </w:rPr>
            </w:pPr>
            <w:r>
              <w:rPr>
                <w:rFonts w:hint="eastAsia" w:ascii="宋体" w:hAnsi="宋体" w:cs="宋体"/>
                <w:snapToGrid w:val="0"/>
                <w:color w:val="000000"/>
                <w:kern w:val="28"/>
                <w:sz w:val="24"/>
              </w:rPr>
              <w:t>★2、单元板（非箱体）原始设计具备信号</w:t>
            </w:r>
            <w:r>
              <w:rPr>
                <w:rFonts w:hint="eastAsia" w:ascii="宋体" w:hAnsi="宋体" w:cs="宋体"/>
                <w:snapToGrid w:val="0"/>
                <w:color w:val="000000"/>
                <w:kern w:val="28"/>
                <w:sz w:val="24"/>
                <w:lang w:val="en-US" w:eastAsia="zh-CN"/>
              </w:rPr>
              <w:t>不少于：</w:t>
            </w:r>
            <w:r>
              <w:rPr>
                <w:rFonts w:hint="eastAsia" w:ascii="宋体" w:hAnsi="宋体" w:cs="宋体"/>
                <w:snapToGrid w:val="0"/>
                <w:color w:val="000000"/>
                <w:kern w:val="28"/>
                <w:sz w:val="24"/>
              </w:rPr>
              <w:t>双输入, 采用2个独立排针双数据输入接口</w:t>
            </w:r>
            <w:r>
              <w:rPr>
                <w:rFonts w:hint="eastAsia" w:ascii="宋体" w:hAnsi="宋体" w:cs="宋体"/>
                <w:b/>
                <w:bCs/>
                <w:snapToGrid w:val="0"/>
                <w:color w:val="000000"/>
                <w:kern w:val="28"/>
                <w:sz w:val="24"/>
              </w:rPr>
              <w:t>(提供单元板背面截图和第三方权威机构出具的检测报告复印件)</w:t>
            </w:r>
            <w:r>
              <w:rPr>
                <w:rFonts w:hint="eastAsia" w:ascii="宋体" w:hAnsi="宋体" w:cs="宋体"/>
                <w:snapToGrid w:val="0"/>
                <w:color w:val="000000"/>
                <w:kern w:val="28"/>
                <w:sz w:val="24"/>
              </w:rPr>
              <w:t xml:space="preserve"> ；</w:t>
            </w:r>
          </w:p>
          <w:p>
            <w:pPr>
              <w:spacing w:line="360" w:lineRule="auto"/>
              <w:rPr>
                <w:rFonts w:hint="eastAsia" w:ascii="宋体" w:hAnsi="宋体" w:cs="宋体"/>
                <w:snapToGrid w:val="0"/>
                <w:color w:val="000000"/>
                <w:kern w:val="28"/>
                <w:sz w:val="24"/>
              </w:rPr>
            </w:pPr>
            <w:r>
              <w:rPr>
                <w:rFonts w:hint="eastAsia" w:ascii="宋体" w:hAnsi="宋体" w:cs="宋体"/>
                <w:snapToGrid w:val="0"/>
                <w:color w:val="000000"/>
                <w:kern w:val="28"/>
                <w:sz w:val="24"/>
              </w:rPr>
              <w:t>★3、单元板（非箱体）原始设计具备信号</w:t>
            </w:r>
            <w:r>
              <w:rPr>
                <w:rFonts w:hint="eastAsia" w:ascii="宋体" w:hAnsi="宋体" w:cs="宋体"/>
                <w:snapToGrid w:val="0"/>
                <w:color w:val="000000"/>
                <w:kern w:val="28"/>
                <w:sz w:val="24"/>
                <w:lang w:val="en-US" w:eastAsia="zh-CN"/>
              </w:rPr>
              <w:t>不少于：</w:t>
            </w:r>
            <w:r>
              <w:rPr>
                <w:rFonts w:hint="eastAsia" w:ascii="宋体" w:hAnsi="宋体" w:cs="宋体"/>
                <w:snapToGrid w:val="0"/>
                <w:color w:val="000000"/>
                <w:kern w:val="28"/>
                <w:sz w:val="24"/>
              </w:rPr>
              <w:t>双输出,采用2个独立排针双数据输出接口</w:t>
            </w:r>
            <w:r>
              <w:rPr>
                <w:rFonts w:hint="eastAsia" w:ascii="宋体" w:hAnsi="宋体" w:cs="宋体"/>
                <w:b/>
                <w:bCs/>
                <w:snapToGrid w:val="0"/>
                <w:color w:val="000000"/>
                <w:kern w:val="28"/>
                <w:sz w:val="24"/>
              </w:rPr>
              <w:t>(提供单元板背面截图和第三方权威机构出具的检测报告复印件)</w:t>
            </w:r>
            <w:r>
              <w:rPr>
                <w:rFonts w:hint="eastAsia" w:ascii="宋体" w:hAnsi="宋体" w:cs="宋体"/>
                <w:snapToGrid w:val="0"/>
                <w:color w:val="000000"/>
                <w:kern w:val="28"/>
                <w:sz w:val="24"/>
              </w:rPr>
              <w:t xml:space="preserve"> ；</w:t>
            </w:r>
          </w:p>
          <w:p>
            <w:pPr>
              <w:spacing w:line="360" w:lineRule="auto"/>
              <w:rPr>
                <w:rFonts w:hint="eastAsia" w:ascii="宋体" w:hAnsi="宋体" w:cs="宋体"/>
                <w:snapToGrid w:val="0"/>
                <w:kern w:val="28"/>
                <w:sz w:val="24"/>
              </w:rPr>
            </w:pPr>
            <w:r>
              <w:rPr>
                <w:rFonts w:hint="eastAsia" w:ascii="宋体" w:hAnsi="宋体" w:cs="宋体"/>
                <w:snapToGrid w:val="0"/>
                <w:color w:val="000000"/>
                <w:kern w:val="28"/>
                <w:sz w:val="24"/>
              </w:rPr>
              <w:t>★4、单元板（非箱体）原始设计电源</w:t>
            </w:r>
            <w:r>
              <w:rPr>
                <w:rFonts w:hint="eastAsia" w:ascii="宋体" w:hAnsi="宋体" w:cs="宋体"/>
                <w:snapToGrid w:val="0"/>
                <w:color w:val="000000"/>
                <w:kern w:val="28"/>
                <w:sz w:val="24"/>
                <w:lang w:val="en-US" w:eastAsia="zh-CN"/>
              </w:rPr>
              <w:t>不少于：</w:t>
            </w:r>
            <w:r>
              <w:rPr>
                <w:rFonts w:hint="eastAsia" w:ascii="宋体" w:hAnsi="宋体" w:cs="宋体"/>
                <w:snapToGrid w:val="0"/>
                <w:color w:val="000000"/>
                <w:kern w:val="28"/>
                <w:sz w:val="24"/>
              </w:rPr>
              <w:t>双备份功能,电源插件2个，支持热插拔</w:t>
            </w:r>
            <w:r>
              <w:rPr>
                <w:rFonts w:hint="eastAsia" w:ascii="宋体" w:hAnsi="宋体" w:cs="宋体"/>
                <w:b/>
                <w:bCs/>
                <w:snapToGrid w:val="0"/>
                <w:color w:val="000000"/>
                <w:kern w:val="28"/>
                <w:sz w:val="24"/>
              </w:rPr>
              <w:t>(提供单元板背面截图和第三方权威机构出具的检测报告复印件)</w:t>
            </w:r>
            <w:r>
              <w:rPr>
                <w:rFonts w:hint="eastAsia" w:ascii="宋体" w:hAnsi="宋体" w:cs="宋体"/>
                <w:snapToGrid w:val="0"/>
                <w:kern w:val="28"/>
                <w:sz w:val="24"/>
              </w:rPr>
              <w:t xml:space="preserve"> 。</w:t>
            </w:r>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vMerge w:val="continue"/>
            <w:vAlign w:val="center"/>
          </w:tcPr>
          <w:p>
            <w:pPr>
              <w:spacing w:line="360" w:lineRule="auto"/>
              <w:rPr>
                <w:rFonts w:hint="eastAsia" w:ascii="宋体" w:hAnsi="宋体" w:cs="宋体"/>
                <w:snapToGrid w:val="0"/>
                <w:color w:val="000000"/>
                <w:kern w:val="28"/>
                <w:sz w:val="24"/>
              </w:rPr>
            </w:pPr>
          </w:p>
        </w:tc>
        <w:tc>
          <w:tcPr>
            <w:tcW w:w="740" w:type="dxa"/>
            <w:vMerge w:val="continue"/>
            <w:vAlign w:val="center"/>
          </w:tcPr>
          <w:p>
            <w:pPr>
              <w:spacing w:line="360" w:lineRule="auto"/>
              <w:jc w:val="center"/>
              <w:rPr>
                <w:rFonts w:hint="eastAsia" w:ascii="宋体" w:hAnsi="宋体" w:cs="宋体"/>
                <w:snapToGrid w:val="0"/>
                <w:color w:val="000000"/>
                <w:kern w:val="28"/>
                <w:sz w:val="24"/>
              </w:rPr>
            </w:pPr>
          </w:p>
        </w:tc>
        <w:tc>
          <w:tcPr>
            <w:tcW w:w="1559" w:type="dxa"/>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灯管合成</w:t>
            </w:r>
          </w:p>
        </w:tc>
        <w:tc>
          <w:tcPr>
            <w:tcW w:w="6299" w:type="dxa"/>
            <w:vAlign w:val="center"/>
          </w:tcPr>
          <w:p>
            <w:pPr>
              <w:spacing w:line="360" w:lineRule="auto"/>
              <w:rPr>
                <w:rFonts w:hint="eastAsia" w:ascii="宋体" w:hAnsi="宋体" w:cs="宋体"/>
                <w:snapToGrid w:val="0"/>
                <w:color w:val="000000"/>
                <w:kern w:val="28"/>
                <w:sz w:val="24"/>
              </w:rPr>
            </w:pPr>
            <w:r>
              <w:rPr>
                <w:rFonts w:hint="eastAsia" w:ascii="宋体" w:hAnsi="宋体" w:cs="宋体"/>
                <w:snapToGrid w:val="0"/>
                <w:color w:val="000000"/>
                <w:kern w:val="28"/>
                <w:sz w:val="24"/>
              </w:rPr>
              <w:t>1、灯合成要求: SMD表贴封装方式</w:t>
            </w:r>
          </w:p>
          <w:p>
            <w:pPr>
              <w:spacing w:line="360" w:lineRule="auto"/>
              <w:rPr>
                <w:rFonts w:hint="eastAsia" w:ascii="宋体" w:hAnsi="宋体" w:cs="宋体"/>
                <w:snapToGrid w:val="0"/>
                <w:kern w:val="28"/>
                <w:sz w:val="24"/>
              </w:rPr>
            </w:pPr>
            <w:r>
              <w:rPr>
                <w:rFonts w:hint="eastAsia" w:ascii="宋体" w:hAnsi="宋体" w:cs="宋体"/>
                <w:snapToGrid w:val="0"/>
                <w:color w:val="000000"/>
                <w:kern w:val="28"/>
                <w:sz w:val="24"/>
              </w:rPr>
              <w:t>2、发光点颜色组合：1R1G1B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vMerge w:val="continue"/>
            <w:vAlign w:val="center"/>
          </w:tcPr>
          <w:p>
            <w:pPr>
              <w:spacing w:line="360" w:lineRule="auto"/>
              <w:rPr>
                <w:rFonts w:hint="eastAsia" w:ascii="宋体" w:hAnsi="宋体" w:cs="宋体"/>
                <w:snapToGrid w:val="0"/>
                <w:color w:val="000000"/>
                <w:kern w:val="28"/>
                <w:sz w:val="24"/>
              </w:rPr>
            </w:pPr>
          </w:p>
        </w:tc>
        <w:tc>
          <w:tcPr>
            <w:tcW w:w="740" w:type="dxa"/>
            <w:vMerge w:val="continue"/>
            <w:vAlign w:val="center"/>
          </w:tcPr>
          <w:p>
            <w:pPr>
              <w:spacing w:line="360" w:lineRule="auto"/>
              <w:jc w:val="center"/>
              <w:rPr>
                <w:rFonts w:hint="eastAsia" w:ascii="宋体" w:hAnsi="宋体" w:cs="宋体"/>
                <w:snapToGrid w:val="0"/>
                <w:color w:val="000000"/>
                <w:kern w:val="28"/>
                <w:sz w:val="24"/>
              </w:rPr>
            </w:pPr>
          </w:p>
        </w:tc>
        <w:tc>
          <w:tcPr>
            <w:tcW w:w="1559" w:type="dxa"/>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箱体及安装方式</w:t>
            </w:r>
          </w:p>
        </w:tc>
        <w:tc>
          <w:tcPr>
            <w:tcW w:w="6299" w:type="dxa"/>
            <w:vAlign w:val="center"/>
          </w:tcPr>
          <w:p>
            <w:pPr>
              <w:spacing w:line="360" w:lineRule="auto"/>
              <w:rPr>
                <w:rFonts w:hint="eastAsia" w:ascii="宋体" w:hAnsi="宋体" w:cs="宋体"/>
                <w:snapToGrid w:val="0"/>
                <w:kern w:val="28"/>
                <w:sz w:val="24"/>
              </w:rPr>
            </w:pPr>
            <w:r>
              <w:rPr>
                <w:rFonts w:hint="eastAsia" w:ascii="宋体" w:hAnsi="宋体" w:cs="宋体"/>
                <w:snapToGrid w:val="0"/>
                <w:color w:val="000000"/>
                <w:kern w:val="28"/>
                <w:sz w:val="24"/>
              </w:rPr>
              <w:t>压铸铝箱体，主屏前后维护立坐式安装，可根据尺寸定制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vMerge w:val="continue"/>
            <w:vAlign w:val="center"/>
          </w:tcPr>
          <w:p>
            <w:pPr>
              <w:spacing w:line="360" w:lineRule="auto"/>
              <w:rPr>
                <w:rFonts w:hint="eastAsia" w:ascii="宋体" w:hAnsi="宋体" w:cs="宋体"/>
                <w:snapToGrid w:val="0"/>
                <w:color w:val="000000"/>
                <w:kern w:val="28"/>
                <w:sz w:val="24"/>
              </w:rPr>
            </w:pPr>
          </w:p>
        </w:tc>
        <w:tc>
          <w:tcPr>
            <w:tcW w:w="740" w:type="dxa"/>
            <w:vMerge w:val="continue"/>
            <w:vAlign w:val="center"/>
          </w:tcPr>
          <w:p>
            <w:pPr>
              <w:spacing w:line="360" w:lineRule="auto"/>
              <w:jc w:val="center"/>
              <w:rPr>
                <w:rFonts w:hint="eastAsia" w:ascii="宋体" w:hAnsi="宋体" w:cs="宋体"/>
                <w:snapToGrid w:val="0"/>
                <w:color w:val="000000"/>
                <w:kern w:val="28"/>
                <w:sz w:val="24"/>
              </w:rPr>
            </w:pPr>
          </w:p>
        </w:tc>
        <w:tc>
          <w:tcPr>
            <w:tcW w:w="1559" w:type="dxa"/>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其他技术指标</w:t>
            </w:r>
          </w:p>
        </w:tc>
        <w:tc>
          <w:tcPr>
            <w:tcW w:w="6299" w:type="dxa"/>
            <w:vAlign w:val="center"/>
          </w:tcPr>
          <w:p>
            <w:pPr>
              <w:widowControl/>
              <w:numPr>
                <w:ilvl w:val="0"/>
                <w:numId w:val="8"/>
              </w:numPr>
              <w:spacing w:line="360" w:lineRule="auto"/>
              <w:jc w:val="left"/>
              <w:rPr>
                <w:rFonts w:hint="eastAsia" w:ascii="宋体" w:hAnsi="宋体" w:cs="宋体"/>
                <w:sz w:val="24"/>
              </w:rPr>
            </w:pPr>
            <w:r>
              <w:rPr>
                <w:rFonts w:hint="eastAsia" w:ascii="宋体" w:hAnsi="宋体" w:cs="宋体"/>
                <w:sz w:val="24"/>
              </w:rPr>
              <w:t>像素点间距：≤2mm</w:t>
            </w:r>
            <w:r>
              <w:rPr>
                <w:rFonts w:hint="eastAsia"/>
              </w:rPr>
              <w:t xml:space="preserve"> ；</w:t>
            </w:r>
          </w:p>
          <w:p>
            <w:pPr>
              <w:widowControl/>
              <w:numPr>
                <w:ilvl w:val="0"/>
                <w:numId w:val="8"/>
              </w:numPr>
              <w:spacing w:line="360" w:lineRule="auto"/>
              <w:jc w:val="left"/>
              <w:rPr>
                <w:rFonts w:hint="eastAsia" w:ascii="宋体" w:hAnsi="宋体" w:cs="宋体"/>
                <w:sz w:val="24"/>
              </w:rPr>
            </w:pPr>
            <w:r>
              <w:rPr>
                <w:rFonts w:hint="eastAsia" w:ascii="宋体" w:hAnsi="宋体" w:cs="宋体"/>
                <w:sz w:val="24"/>
              </w:rPr>
              <w:t>单元板分辨率：≥12800 Dots；</w:t>
            </w:r>
          </w:p>
          <w:p>
            <w:pPr>
              <w:widowControl/>
              <w:numPr>
                <w:ilvl w:val="0"/>
                <w:numId w:val="8"/>
              </w:numPr>
              <w:spacing w:line="360" w:lineRule="auto"/>
              <w:jc w:val="left"/>
              <w:rPr>
                <w:rFonts w:hint="eastAsia" w:ascii="宋体" w:hAnsi="宋体" w:cs="宋体"/>
                <w:sz w:val="24"/>
              </w:rPr>
            </w:pPr>
            <w:r>
              <w:rPr>
                <w:rFonts w:hint="eastAsia" w:ascii="宋体" w:hAnsi="宋体" w:cs="宋体"/>
                <w:sz w:val="24"/>
              </w:rPr>
              <w:t>刷新率：≥4200Hz，支持通过配套控制软件调节刷新率设置选项；</w:t>
            </w:r>
          </w:p>
          <w:p>
            <w:pPr>
              <w:widowControl/>
              <w:numPr>
                <w:ilvl w:val="0"/>
                <w:numId w:val="8"/>
              </w:numPr>
              <w:spacing w:line="360" w:lineRule="auto"/>
              <w:jc w:val="left"/>
              <w:rPr>
                <w:rFonts w:hint="eastAsia" w:ascii="宋体" w:hAnsi="宋体" w:cs="宋体"/>
                <w:sz w:val="24"/>
              </w:rPr>
            </w:pPr>
            <w:r>
              <w:rPr>
                <w:rFonts w:hint="eastAsia" w:ascii="宋体" w:hAnsi="宋体" w:cs="宋体"/>
                <w:sz w:val="24"/>
              </w:rPr>
              <w:t>像素构成：1R、1G、1B；</w:t>
            </w:r>
          </w:p>
          <w:p>
            <w:pPr>
              <w:widowControl/>
              <w:numPr>
                <w:ilvl w:val="0"/>
                <w:numId w:val="8"/>
              </w:numPr>
              <w:spacing w:line="360" w:lineRule="auto"/>
              <w:jc w:val="left"/>
              <w:rPr>
                <w:rFonts w:hint="eastAsia" w:ascii="宋体" w:hAnsi="宋体" w:cs="宋体"/>
                <w:sz w:val="24"/>
              </w:rPr>
            </w:pPr>
            <w:r>
              <w:rPr>
                <w:rFonts w:hint="eastAsia" w:ascii="宋体" w:hAnsi="宋体" w:cs="宋体"/>
                <w:sz w:val="24"/>
              </w:rPr>
              <w:t>封装方式：SMD表贴三合一，铜线封装，五面黑灯，表面不反光；</w:t>
            </w:r>
          </w:p>
          <w:p>
            <w:pPr>
              <w:widowControl/>
              <w:numPr>
                <w:ilvl w:val="0"/>
                <w:numId w:val="8"/>
              </w:numPr>
              <w:spacing w:line="360" w:lineRule="auto"/>
              <w:jc w:val="left"/>
              <w:rPr>
                <w:rFonts w:hint="eastAsia" w:ascii="宋体" w:hAnsi="宋体" w:cs="宋体"/>
                <w:sz w:val="24"/>
              </w:rPr>
            </w:pPr>
            <w:r>
              <w:rPr>
                <w:rFonts w:hint="eastAsia" w:ascii="宋体" w:hAnsi="宋体" w:cs="宋体"/>
                <w:sz w:val="24"/>
              </w:rPr>
              <w:t>驱动方式：恒流驱动；</w:t>
            </w:r>
          </w:p>
          <w:p>
            <w:pPr>
              <w:widowControl/>
              <w:numPr>
                <w:ilvl w:val="0"/>
                <w:numId w:val="8"/>
              </w:numPr>
              <w:spacing w:line="360" w:lineRule="auto"/>
              <w:jc w:val="left"/>
              <w:rPr>
                <w:rFonts w:hint="eastAsia" w:ascii="宋体" w:hAnsi="宋体" w:cs="宋体"/>
                <w:sz w:val="24"/>
              </w:rPr>
            </w:pPr>
            <w:r>
              <w:rPr>
                <w:rFonts w:hint="eastAsia" w:ascii="宋体" w:hAnsi="宋体" w:cs="宋体"/>
                <w:sz w:val="24"/>
              </w:rPr>
              <w:t>控制方式：同步控制系统；</w:t>
            </w:r>
          </w:p>
          <w:p>
            <w:pPr>
              <w:widowControl/>
              <w:numPr>
                <w:ilvl w:val="0"/>
                <w:numId w:val="8"/>
              </w:numPr>
              <w:spacing w:line="360" w:lineRule="auto"/>
              <w:jc w:val="left"/>
              <w:rPr>
                <w:rFonts w:hint="eastAsia" w:ascii="宋体" w:hAnsi="宋体" w:cs="宋体"/>
                <w:sz w:val="24"/>
              </w:rPr>
            </w:pPr>
            <w:r>
              <w:rPr>
                <w:rFonts w:hint="eastAsia" w:ascii="宋体" w:hAnsi="宋体" w:cs="宋体"/>
                <w:sz w:val="24"/>
              </w:rPr>
              <w:t>维护方式：前后双向维护；</w:t>
            </w:r>
          </w:p>
          <w:p>
            <w:pPr>
              <w:widowControl/>
              <w:numPr>
                <w:ilvl w:val="0"/>
                <w:numId w:val="8"/>
              </w:numPr>
              <w:spacing w:line="360" w:lineRule="auto"/>
              <w:jc w:val="left"/>
              <w:rPr>
                <w:rFonts w:hint="eastAsia" w:ascii="宋体" w:hAnsi="宋体" w:cs="宋体"/>
                <w:sz w:val="24"/>
              </w:rPr>
            </w:pPr>
            <w:r>
              <w:rPr>
                <w:rFonts w:hint="eastAsia" w:ascii="宋体" w:hAnsi="宋体" w:cs="宋体"/>
                <w:sz w:val="24"/>
              </w:rPr>
              <w:t>整屏平整度≤0.04mm；</w:t>
            </w:r>
          </w:p>
          <w:p>
            <w:pPr>
              <w:widowControl/>
              <w:numPr>
                <w:ilvl w:val="0"/>
                <w:numId w:val="8"/>
              </w:numPr>
              <w:spacing w:line="360" w:lineRule="auto"/>
              <w:jc w:val="left"/>
              <w:rPr>
                <w:rFonts w:hint="eastAsia" w:ascii="宋体" w:hAnsi="宋体" w:cs="宋体"/>
                <w:sz w:val="24"/>
              </w:rPr>
            </w:pPr>
            <w:r>
              <w:rPr>
                <w:rFonts w:hint="eastAsia" w:ascii="宋体" w:hAnsi="宋体" w:cs="宋体"/>
                <w:sz w:val="24"/>
              </w:rPr>
              <w:t>亮度调节：0-100%亮度可调，256级手动/自动调节，屏幕亮度具有随环境照度的变化任意调整功能；亮度均匀性≥99%；</w:t>
            </w:r>
          </w:p>
          <w:p>
            <w:pPr>
              <w:widowControl/>
              <w:numPr>
                <w:ilvl w:val="0"/>
                <w:numId w:val="8"/>
              </w:numPr>
              <w:spacing w:line="360" w:lineRule="auto"/>
              <w:jc w:val="left"/>
              <w:rPr>
                <w:rFonts w:hint="eastAsia" w:ascii="宋体" w:hAnsi="宋体" w:cs="宋体"/>
                <w:sz w:val="24"/>
              </w:rPr>
            </w:pPr>
            <w:r>
              <w:rPr>
                <w:rFonts w:hint="eastAsia" w:ascii="宋体" w:hAnsi="宋体" w:cs="宋体"/>
                <w:sz w:val="24"/>
              </w:rPr>
              <w:t>色温800K-20000K可调；白平衡状态下色温在6500K±5%；色温为6500K时，100%75%50%25%档电平白场调节色温误差≤100K；</w:t>
            </w:r>
          </w:p>
          <w:p>
            <w:pPr>
              <w:widowControl/>
              <w:numPr>
                <w:ilvl w:val="0"/>
                <w:numId w:val="8"/>
              </w:numPr>
              <w:spacing w:line="360" w:lineRule="auto"/>
              <w:jc w:val="left"/>
              <w:rPr>
                <w:rFonts w:hint="eastAsia" w:ascii="宋体" w:hAnsi="宋体" w:cs="宋体"/>
                <w:sz w:val="24"/>
              </w:rPr>
            </w:pPr>
            <w:r>
              <w:rPr>
                <w:rFonts w:hint="eastAsia" w:ascii="宋体" w:hAnsi="宋体" w:cs="宋体"/>
                <w:sz w:val="24"/>
              </w:rPr>
              <w:t>水平视角≥175°；垂直视角≥175°；</w:t>
            </w:r>
          </w:p>
          <w:p>
            <w:pPr>
              <w:widowControl/>
              <w:numPr>
                <w:ilvl w:val="0"/>
                <w:numId w:val="8"/>
              </w:numPr>
              <w:spacing w:line="360" w:lineRule="auto"/>
              <w:jc w:val="left"/>
              <w:rPr>
                <w:rFonts w:hint="eastAsia" w:ascii="宋体" w:hAnsi="宋体" w:cs="宋体"/>
                <w:sz w:val="24"/>
              </w:rPr>
            </w:pPr>
            <w:r>
              <w:rPr>
                <w:rFonts w:hint="eastAsia" w:ascii="宋体" w:hAnsi="宋体" w:cs="宋体"/>
                <w:sz w:val="24"/>
              </w:rPr>
              <w:t>对比度≥10000：1；</w:t>
            </w:r>
          </w:p>
          <w:p>
            <w:pPr>
              <w:widowControl/>
              <w:numPr>
                <w:ilvl w:val="0"/>
                <w:numId w:val="8"/>
              </w:numPr>
              <w:spacing w:line="360" w:lineRule="auto"/>
              <w:jc w:val="left"/>
              <w:rPr>
                <w:rFonts w:hint="eastAsia" w:ascii="宋体" w:hAnsi="宋体" w:cs="宋体"/>
                <w:sz w:val="24"/>
              </w:rPr>
            </w:pPr>
            <w:r>
              <w:rPr>
                <w:rFonts w:hint="eastAsia" w:ascii="宋体" w:hAnsi="宋体" w:cs="宋体"/>
                <w:sz w:val="24"/>
              </w:rPr>
              <w:t>灰度等级≥16bit，红绿蓝各256级，可达65536级；采用EPWM 灰阶控制技术提升低灰视觉效果，100%亮度时，16bit灰度；70%亮度，16bit灰度；50%亮度，16bit灰度；20%亮度，14bit灰度，显示画面无单列或单行像素失控现象；支持0-100%亮度时，8-16bits灰度自定义设置；</w:t>
            </w:r>
          </w:p>
          <w:p>
            <w:pPr>
              <w:widowControl/>
              <w:numPr>
                <w:ilvl w:val="0"/>
                <w:numId w:val="8"/>
              </w:numPr>
              <w:spacing w:line="360" w:lineRule="auto"/>
              <w:jc w:val="left"/>
              <w:rPr>
                <w:rFonts w:hint="eastAsia" w:ascii="宋体" w:hAnsi="宋体" w:cs="宋体"/>
                <w:sz w:val="24"/>
              </w:rPr>
            </w:pPr>
            <w:r>
              <w:rPr>
                <w:rFonts w:hint="eastAsia" w:ascii="宋体" w:hAnsi="宋体" w:cs="宋体"/>
                <w:sz w:val="24"/>
              </w:rPr>
              <w:t>峰值功耗≤250W/m²；平均功耗≤100W/m²；</w:t>
            </w:r>
          </w:p>
          <w:p>
            <w:pPr>
              <w:widowControl/>
              <w:numPr>
                <w:ilvl w:val="0"/>
                <w:numId w:val="8"/>
              </w:numPr>
              <w:spacing w:line="360" w:lineRule="auto"/>
              <w:jc w:val="left"/>
              <w:rPr>
                <w:rFonts w:hint="eastAsia" w:ascii="宋体" w:hAnsi="宋体" w:cs="宋体"/>
                <w:sz w:val="24"/>
              </w:rPr>
            </w:pPr>
            <w:r>
              <w:rPr>
                <w:rFonts w:hint="eastAsia" w:ascii="宋体" w:hAnsi="宋体" w:cs="宋体"/>
                <w:sz w:val="24"/>
              </w:rPr>
              <w:t>供电电源：在4.2*（1±10%）VDC～4.5*（1±10%）VDC范围内能正常工作；</w:t>
            </w:r>
          </w:p>
          <w:p>
            <w:pPr>
              <w:widowControl/>
              <w:numPr>
                <w:ilvl w:val="0"/>
                <w:numId w:val="8"/>
              </w:numPr>
              <w:spacing w:line="360" w:lineRule="auto"/>
              <w:jc w:val="left"/>
              <w:rPr>
                <w:rFonts w:hint="eastAsia" w:ascii="宋体" w:hAnsi="宋体" w:cs="宋体"/>
                <w:sz w:val="24"/>
              </w:rPr>
            </w:pPr>
            <w:r>
              <w:rPr>
                <w:rFonts w:hint="eastAsia" w:ascii="宋体" w:hAnsi="宋体" w:cs="宋体"/>
                <w:sz w:val="24"/>
              </w:rPr>
              <w:t>LED显示屏保护地端子应有标记。进行标记耐久性试验后，标记牢固、清晰可辨。LED显示屏在熔断器和开关电源处应有警告标示。进行标记耐久性试验后，标记应牢固、清晰可辨；</w:t>
            </w:r>
          </w:p>
          <w:p>
            <w:pPr>
              <w:widowControl/>
              <w:numPr>
                <w:ilvl w:val="0"/>
                <w:numId w:val="8"/>
              </w:numPr>
              <w:spacing w:line="360" w:lineRule="auto"/>
              <w:jc w:val="left"/>
              <w:rPr>
                <w:rFonts w:hint="eastAsia" w:ascii="宋体" w:hAnsi="宋体" w:cs="宋体"/>
                <w:sz w:val="24"/>
              </w:rPr>
            </w:pPr>
            <w:r>
              <w:rPr>
                <w:rFonts w:hint="eastAsia" w:ascii="宋体" w:hAnsi="宋体" w:cs="宋体"/>
                <w:sz w:val="24"/>
              </w:rPr>
              <w:t>支持手机、平板可视化控制LED大屏，切换播放内容，定制播放计划等；支持手机添加LOGO、时间、日期、文字标语、滚动字幕、图片、视频窗口；支持分屏操作。支持任意比例拼接素材和多图层叠加；支持无线遥控、手机遥控，一键切换视频；支持与智能播控软件一键IP连接；</w:t>
            </w:r>
          </w:p>
          <w:p>
            <w:pPr>
              <w:widowControl/>
              <w:numPr>
                <w:ilvl w:val="0"/>
                <w:numId w:val="8"/>
              </w:numPr>
              <w:spacing w:line="360" w:lineRule="auto"/>
              <w:jc w:val="left"/>
              <w:rPr>
                <w:rFonts w:hint="eastAsia" w:ascii="宋体" w:hAnsi="宋体" w:cs="宋体"/>
                <w:sz w:val="24"/>
              </w:rPr>
            </w:pPr>
            <w:r>
              <w:rPr>
                <w:rFonts w:hint="eastAsia" w:ascii="宋体" w:hAnsi="宋体" w:cs="宋体"/>
                <w:sz w:val="24"/>
              </w:rPr>
              <w:t>支持鬼影消除、首行暗亮消除、低灰偏色补偿、低灰均匀性、低灰横条纹消除、慢速开启、十字架消除、去坏点、毛毛虫消除、余辉消除、亮度缓慢变亮功能；</w:t>
            </w:r>
          </w:p>
          <w:p>
            <w:pPr>
              <w:widowControl/>
              <w:numPr>
                <w:ilvl w:val="0"/>
                <w:numId w:val="8"/>
              </w:numPr>
              <w:spacing w:line="360" w:lineRule="auto"/>
              <w:jc w:val="left"/>
              <w:rPr>
                <w:rFonts w:hint="eastAsia" w:ascii="宋体" w:hAnsi="宋体" w:cs="宋体"/>
                <w:snapToGrid w:val="0"/>
                <w:kern w:val="28"/>
                <w:sz w:val="24"/>
              </w:rPr>
            </w:pPr>
            <w:r>
              <w:rPr>
                <w:rFonts w:hint="eastAsia" w:ascii="宋体" w:hAnsi="宋体" w:cs="宋体"/>
                <w:sz w:val="24"/>
              </w:rPr>
              <w:t>为保证产品使用安全，静电电压衰减期（±1000-±100V）≤2S；摩擦起电电压|V|≤100V；</w:t>
            </w:r>
          </w:p>
        </w:tc>
      </w:tr>
    </w:tbl>
    <w:p>
      <w:pPr>
        <w:snapToGrid w:val="0"/>
        <w:spacing w:line="360" w:lineRule="auto"/>
        <w:rPr>
          <w:rFonts w:hint="eastAsia" w:ascii="宋体" w:hAnsi="宋体" w:cs="宋体"/>
          <w:b/>
          <w:bCs/>
          <w:szCs w:val="21"/>
        </w:rPr>
      </w:pPr>
      <w:r>
        <w:rPr>
          <w:rFonts w:hint="eastAsia" w:ascii="宋体" w:hAnsi="宋体" w:cs="宋体"/>
          <w:b/>
          <w:bCs/>
          <w:szCs w:val="21"/>
        </w:rPr>
        <w:t>注：具体相关材料及工作量均包含于总报价中，本项目为交钥匙项目，后期不得再行增补。</w:t>
      </w:r>
    </w:p>
    <w:p>
      <w:pPr>
        <w:pStyle w:val="79"/>
        <w:ind w:firstLine="422"/>
        <w:rPr>
          <w:rFonts w:hint="eastAsia" w:ascii="宋体" w:hAnsi="宋体" w:eastAsia="宋体" w:cs="宋体"/>
          <w:b/>
          <w:bCs/>
          <w:sz w:val="21"/>
          <w:szCs w:val="21"/>
        </w:rPr>
      </w:pPr>
    </w:p>
    <w:p>
      <w:pPr>
        <w:pStyle w:val="79"/>
        <w:ind w:firstLine="422"/>
        <w:rPr>
          <w:rFonts w:hint="eastAsia" w:ascii="宋体" w:hAnsi="宋体" w:eastAsia="宋体" w:cs="宋体"/>
          <w:b/>
          <w:bCs/>
          <w:sz w:val="21"/>
          <w:szCs w:val="21"/>
        </w:rPr>
      </w:pPr>
    </w:p>
    <w:p>
      <w:pPr>
        <w:pStyle w:val="79"/>
        <w:ind w:firstLine="422"/>
        <w:rPr>
          <w:rFonts w:hint="eastAsia" w:ascii="宋体" w:hAnsi="宋体" w:eastAsia="宋体" w:cs="宋体"/>
          <w:b/>
          <w:bCs/>
          <w:sz w:val="21"/>
          <w:szCs w:val="21"/>
        </w:rPr>
      </w:pPr>
    </w:p>
    <w:p>
      <w:pPr>
        <w:pStyle w:val="79"/>
        <w:ind w:firstLine="422"/>
        <w:rPr>
          <w:rFonts w:hint="eastAsia" w:ascii="宋体" w:hAnsi="宋体" w:eastAsia="宋体" w:cs="宋体"/>
          <w:b/>
          <w:bCs/>
          <w:sz w:val="21"/>
          <w:szCs w:val="21"/>
        </w:rPr>
      </w:pPr>
    </w:p>
    <w:p>
      <w:pPr>
        <w:pStyle w:val="79"/>
        <w:ind w:firstLine="422"/>
        <w:rPr>
          <w:rFonts w:hint="eastAsia" w:ascii="宋体" w:hAnsi="宋体" w:eastAsia="宋体" w:cs="宋体"/>
          <w:b/>
          <w:bCs/>
          <w:sz w:val="21"/>
          <w:szCs w:val="21"/>
        </w:rPr>
      </w:pPr>
    </w:p>
    <w:p>
      <w:pPr>
        <w:pStyle w:val="79"/>
        <w:ind w:firstLine="422"/>
        <w:rPr>
          <w:rFonts w:hint="eastAsia" w:ascii="宋体" w:hAnsi="宋体" w:eastAsia="宋体" w:cs="宋体"/>
          <w:b/>
          <w:bCs/>
          <w:sz w:val="21"/>
          <w:szCs w:val="21"/>
        </w:rPr>
      </w:pPr>
    </w:p>
    <w:p>
      <w:pPr>
        <w:pStyle w:val="79"/>
        <w:ind w:firstLine="422"/>
        <w:rPr>
          <w:rFonts w:hint="eastAsia" w:ascii="宋体" w:hAnsi="宋体" w:eastAsia="宋体" w:cs="宋体"/>
          <w:b/>
          <w:bCs/>
          <w:sz w:val="21"/>
          <w:szCs w:val="21"/>
        </w:rPr>
      </w:pPr>
    </w:p>
    <w:p>
      <w:pPr>
        <w:pStyle w:val="79"/>
        <w:ind w:firstLine="422"/>
        <w:rPr>
          <w:rFonts w:hint="eastAsia" w:ascii="宋体" w:hAnsi="宋体" w:eastAsia="宋体" w:cs="宋体"/>
          <w:b/>
          <w:bCs/>
          <w:sz w:val="21"/>
          <w:szCs w:val="21"/>
        </w:rPr>
      </w:pPr>
    </w:p>
    <w:p>
      <w:pPr>
        <w:pStyle w:val="79"/>
        <w:ind w:firstLine="422"/>
        <w:rPr>
          <w:rFonts w:hint="eastAsia" w:ascii="宋体" w:hAnsi="宋体" w:eastAsia="宋体" w:cs="宋体"/>
          <w:b/>
          <w:bCs/>
          <w:sz w:val="21"/>
          <w:szCs w:val="21"/>
        </w:rPr>
      </w:pPr>
    </w:p>
    <w:p>
      <w:pPr>
        <w:pStyle w:val="79"/>
        <w:ind w:firstLine="422"/>
        <w:rPr>
          <w:rFonts w:hint="eastAsia" w:ascii="宋体" w:hAnsi="宋体" w:eastAsia="宋体" w:cs="宋体"/>
          <w:b/>
          <w:bCs/>
          <w:sz w:val="21"/>
          <w:szCs w:val="21"/>
        </w:rPr>
      </w:pPr>
    </w:p>
    <w:p>
      <w:pPr>
        <w:pStyle w:val="79"/>
        <w:ind w:firstLine="422"/>
        <w:rPr>
          <w:rFonts w:hint="eastAsia" w:ascii="宋体" w:hAnsi="宋体" w:eastAsia="宋体" w:cs="宋体"/>
          <w:b/>
          <w:bCs/>
          <w:sz w:val="21"/>
          <w:szCs w:val="21"/>
        </w:rPr>
      </w:pPr>
    </w:p>
    <w:p>
      <w:pPr>
        <w:pStyle w:val="79"/>
        <w:ind w:firstLine="422"/>
        <w:rPr>
          <w:rFonts w:hint="eastAsia" w:ascii="宋体" w:hAnsi="宋体" w:eastAsia="宋体" w:cs="宋体"/>
          <w:b/>
          <w:bCs/>
          <w:sz w:val="21"/>
          <w:szCs w:val="21"/>
        </w:rPr>
      </w:pPr>
    </w:p>
    <w:p>
      <w:pPr>
        <w:numPr>
          <w:ilvl w:val="0"/>
          <w:numId w:val="9"/>
        </w:numPr>
        <w:snapToGrid w:val="0"/>
        <w:spacing w:line="360" w:lineRule="auto"/>
        <w:jc w:val="center"/>
        <w:rPr>
          <w:rFonts w:hint="eastAsia" w:ascii="宋体" w:hAnsi="宋体" w:cs="宋体"/>
          <w:b/>
          <w:sz w:val="36"/>
          <w:szCs w:val="36"/>
        </w:rPr>
      </w:pPr>
      <w:bookmarkStart w:id="40" w:name="_Toc184310285"/>
      <w:bookmarkEnd w:id="40"/>
      <w:bookmarkStart w:id="41" w:name="_Toc184314416"/>
      <w:bookmarkEnd w:id="41"/>
      <w:bookmarkStart w:id="42" w:name="_Toc184310274"/>
      <w:bookmarkEnd w:id="42"/>
      <w:bookmarkStart w:id="43" w:name="_Toc184313282"/>
      <w:bookmarkEnd w:id="43"/>
      <w:bookmarkStart w:id="44" w:name="_Toc184308102"/>
      <w:bookmarkEnd w:id="44"/>
      <w:bookmarkStart w:id="45" w:name="_Toc184308082"/>
      <w:bookmarkEnd w:id="45"/>
      <w:bookmarkStart w:id="46" w:name="_Toc184314447"/>
      <w:bookmarkEnd w:id="46"/>
      <w:bookmarkStart w:id="47" w:name="_Toc184310305"/>
      <w:bookmarkEnd w:id="47"/>
      <w:bookmarkStart w:id="48" w:name="_Toc184308059"/>
      <w:bookmarkEnd w:id="48"/>
      <w:bookmarkStart w:id="49" w:name="_Toc184313290"/>
      <w:bookmarkEnd w:id="49"/>
      <w:bookmarkStart w:id="50" w:name="_Toc184308036"/>
      <w:bookmarkEnd w:id="50"/>
      <w:bookmarkStart w:id="51" w:name="_Toc184310275"/>
      <w:bookmarkEnd w:id="51"/>
      <w:bookmarkStart w:id="52" w:name="_Toc184314424"/>
      <w:bookmarkEnd w:id="52"/>
      <w:bookmarkStart w:id="53" w:name="_Toc184312075"/>
      <w:bookmarkEnd w:id="53"/>
      <w:bookmarkStart w:id="54" w:name="_Toc184313262"/>
      <w:bookmarkEnd w:id="54"/>
      <w:bookmarkStart w:id="55" w:name="_Toc184312084"/>
      <w:bookmarkEnd w:id="55"/>
      <w:bookmarkStart w:id="56" w:name="_Toc184314420"/>
      <w:bookmarkEnd w:id="56"/>
      <w:bookmarkStart w:id="57" w:name="_Toc184312085"/>
      <w:bookmarkEnd w:id="57"/>
      <w:bookmarkStart w:id="58" w:name="_Toc184308098"/>
      <w:bookmarkEnd w:id="58"/>
      <w:bookmarkStart w:id="59" w:name="_Toc184313242"/>
      <w:bookmarkEnd w:id="59"/>
      <w:bookmarkStart w:id="60" w:name="_Toc184312067"/>
      <w:bookmarkEnd w:id="60"/>
      <w:bookmarkStart w:id="61" w:name="_Toc184314482"/>
      <w:bookmarkEnd w:id="61"/>
      <w:bookmarkStart w:id="62" w:name="_Toc184310335"/>
      <w:bookmarkEnd w:id="62"/>
      <w:bookmarkStart w:id="63" w:name="_Toc184308083"/>
      <w:bookmarkEnd w:id="63"/>
      <w:bookmarkStart w:id="64" w:name="_Toc184310292"/>
      <w:bookmarkEnd w:id="64"/>
      <w:bookmarkStart w:id="65" w:name="_Toc184312088"/>
      <w:bookmarkEnd w:id="65"/>
      <w:bookmarkStart w:id="66" w:name="_Toc184314439"/>
      <w:bookmarkEnd w:id="66"/>
      <w:bookmarkStart w:id="67" w:name="_Toc184313245"/>
      <w:bookmarkEnd w:id="67"/>
      <w:bookmarkStart w:id="68" w:name="_Toc184308043"/>
      <w:bookmarkEnd w:id="68"/>
      <w:bookmarkStart w:id="69" w:name="_Toc184310318"/>
      <w:bookmarkEnd w:id="69"/>
      <w:bookmarkStart w:id="70" w:name="_Toc184308074"/>
      <w:bookmarkEnd w:id="70"/>
      <w:bookmarkStart w:id="71" w:name="_Toc184310333"/>
      <w:bookmarkEnd w:id="71"/>
      <w:bookmarkStart w:id="72" w:name="_Toc184310317"/>
      <w:bookmarkEnd w:id="72"/>
      <w:bookmarkStart w:id="73" w:name="_Toc184310280"/>
      <w:bookmarkEnd w:id="73"/>
      <w:bookmarkStart w:id="74" w:name="_Toc184308068"/>
      <w:bookmarkEnd w:id="74"/>
      <w:bookmarkStart w:id="75" w:name="_Toc184308046"/>
      <w:bookmarkEnd w:id="75"/>
      <w:bookmarkStart w:id="76" w:name="_Toc184312132"/>
      <w:bookmarkEnd w:id="76"/>
      <w:bookmarkStart w:id="77" w:name="_Toc184314427"/>
      <w:bookmarkEnd w:id="77"/>
      <w:bookmarkStart w:id="78" w:name="_Toc184313268"/>
      <w:bookmarkEnd w:id="78"/>
      <w:bookmarkStart w:id="79" w:name="_Toc184310323"/>
      <w:bookmarkEnd w:id="79"/>
      <w:bookmarkStart w:id="80" w:name="_Toc184314479"/>
      <w:bookmarkEnd w:id="80"/>
      <w:bookmarkStart w:id="81" w:name="_Toc184312087"/>
      <w:bookmarkEnd w:id="81"/>
      <w:bookmarkStart w:id="82" w:name="_Toc184314437"/>
      <w:bookmarkEnd w:id="82"/>
      <w:bookmarkStart w:id="83" w:name="_Toc184310328"/>
      <w:bookmarkEnd w:id="83"/>
      <w:bookmarkStart w:id="84" w:name="_Toc184314411"/>
      <w:bookmarkEnd w:id="84"/>
      <w:bookmarkStart w:id="85" w:name="_Toc184310272"/>
      <w:bookmarkEnd w:id="85"/>
      <w:bookmarkStart w:id="86" w:name="_Toc184312083"/>
      <w:bookmarkEnd w:id="86"/>
      <w:bookmarkStart w:id="87" w:name="_Toc184313287"/>
      <w:bookmarkEnd w:id="87"/>
      <w:bookmarkStart w:id="88" w:name="_Toc184312090"/>
      <w:bookmarkEnd w:id="88"/>
      <w:bookmarkStart w:id="89" w:name="_Toc184314440"/>
      <w:bookmarkEnd w:id="89"/>
      <w:bookmarkStart w:id="90" w:name="_Toc184312079"/>
      <w:bookmarkEnd w:id="90"/>
      <w:bookmarkStart w:id="91" w:name="_Toc184313304"/>
      <w:bookmarkEnd w:id="91"/>
      <w:bookmarkStart w:id="92" w:name="_Toc184313269"/>
      <w:bookmarkEnd w:id="92"/>
      <w:bookmarkStart w:id="93" w:name="_Toc184308099"/>
      <w:bookmarkEnd w:id="93"/>
      <w:bookmarkStart w:id="94" w:name="_Toc184310337"/>
      <w:bookmarkEnd w:id="94"/>
      <w:bookmarkStart w:id="95" w:name="_Toc184310341"/>
      <w:bookmarkEnd w:id="95"/>
      <w:bookmarkStart w:id="96" w:name="_Toc184313240"/>
      <w:bookmarkEnd w:id="96"/>
      <w:bookmarkStart w:id="97" w:name="_Toc184308072"/>
      <w:bookmarkEnd w:id="97"/>
      <w:bookmarkStart w:id="98" w:name="_Toc184313274"/>
      <w:bookmarkEnd w:id="98"/>
      <w:bookmarkStart w:id="99" w:name="_Toc184313256"/>
      <w:bookmarkEnd w:id="99"/>
      <w:bookmarkStart w:id="100" w:name="_Toc184314457"/>
      <w:bookmarkEnd w:id="100"/>
      <w:bookmarkStart w:id="101" w:name="_Toc184312078"/>
      <w:bookmarkEnd w:id="101"/>
      <w:bookmarkStart w:id="102" w:name="_Toc184308045"/>
      <w:bookmarkEnd w:id="102"/>
      <w:bookmarkStart w:id="103" w:name="_Toc184310343"/>
      <w:bookmarkEnd w:id="103"/>
      <w:bookmarkStart w:id="104" w:name="_Toc184308058"/>
      <w:bookmarkEnd w:id="104"/>
      <w:bookmarkStart w:id="105" w:name="_Toc184310288"/>
      <w:bookmarkEnd w:id="105"/>
      <w:bookmarkStart w:id="106" w:name="_Toc184310296"/>
      <w:bookmarkEnd w:id="106"/>
      <w:bookmarkStart w:id="107" w:name="_Toc184314443"/>
      <w:bookmarkEnd w:id="107"/>
      <w:bookmarkStart w:id="108" w:name="_Toc184312107"/>
      <w:bookmarkEnd w:id="108"/>
      <w:bookmarkStart w:id="109" w:name="_Toc184313296"/>
      <w:bookmarkEnd w:id="109"/>
      <w:bookmarkStart w:id="110" w:name="_Toc184313251"/>
      <w:bookmarkEnd w:id="110"/>
      <w:bookmarkStart w:id="111" w:name="_Toc184312114"/>
      <w:bookmarkEnd w:id="111"/>
      <w:bookmarkStart w:id="112" w:name="_Toc184313279"/>
      <w:bookmarkEnd w:id="112"/>
      <w:bookmarkStart w:id="113" w:name="_Toc184308081"/>
      <w:bookmarkEnd w:id="113"/>
      <w:bookmarkStart w:id="114" w:name="_Toc184314481"/>
      <w:bookmarkEnd w:id="114"/>
      <w:bookmarkStart w:id="115" w:name="_Toc184312139"/>
      <w:bookmarkEnd w:id="115"/>
      <w:bookmarkStart w:id="116" w:name="_Toc184308075"/>
      <w:bookmarkEnd w:id="116"/>
      <w:bookmarkStart w:id="117" w:name="_Toc184314421"/>
      <w:bookmarkEnd w:id="117"/>
      <w:bookmarkStart w:id="118" w:name="_Toc184308066"/>
      <w:bookmarkEnd w:id="118"/>
      <w:bookmarkStart w:id="119" w:name="_Toc184310315"/>
      <w:bookmarkEnd w:id="119"/>
      <w:bookmarkStart w:id="120" w:name="_Toc184313263"/>
      <w:bookmarkEnd w:id="120"/>
      <w:bookmarkStart w:id="121" w:name="_Toc184310300"/>
      <w:bookmarkEnd w:id="121"/>
      <w:bookmarkStart w:id="122" w:name="_Toc184312098"/>
      <w:bookmarkEnd w:id="122"/>
      <w:bookmarkStart w:id="123" w:name="_Toc184313264"/>
      <w:bookmarkEnd w:id="123"/>
      <w:bookmarkStart w:id="124" w:name="_Toc184308076"/>
      <w:bookmarkEnd w:id="124"/>
      <w:bookmarkStart w:id="125" w:name="_Toc184312119"/>
      <w:bookmarkEnd w:id="125"/>
      <w:bookmarkStart w:id="126" w:name="_Toc184313238"/>
      <w:bookmarkEnd w:id="126"/>
      <w:bookmarkStart w:id="127" w:name="_Toc184313266"/>
      <w:bookmarkEnd w:id="127"/>
      <w:bookmarkStart w:id="128" w:name="_Toc184312126"/>
      <w:bookmarkEnd w:id="128"/>
      <w:bookmarkStart w:id="129" w:name="_Toc184314452"/>
      <w:bookmarkEnd w:id="129"/>
      <w:bookmarkStart w:id="130" w:name="_Toc184312105"/>
      <w:bookmarkEnd w:id="130"/>
      <w:bookmarkStart w:id="131" w:name="_Toc184313283"/>
      <w:bookmarkEnd w:id="131"/>
      <w:bookmarkStart w:id="132" w:name="_Toc184313289"/>
      <w:bookmarkEnd w:id="132"/>
      <w:bookmarkStart w:id="133" w:name="_Toc184313270"/>
      <w:bookmarkEnd w:id="133"/>
      <w:bookmarkStart w:id="134" w:name="_Toc184308090"/>
      <w:bookmarkEnd w:id="134"/>
      <w:bookmarkStart w:id="135" w:name="_Toc184310278"/>
      <w:bookmarkEnd w:id="135"/>
      <w:bookmarkStart w:id="136" w:name="_Toc184308048"/>
      <w:bookmarkEnd w:id="136"/>
      <w:bookmarkStart w:id="137" w:name="_Toc184312130"/>
      <w:bookmarkEnd w:id="137"/>
      <w:bookmarkStart w:id="138" w:name="_Toc184314414"/>
      <w:bookmarkEnd w:id="138"/>
      <w:bookmarkStart w:id="139" w:name="_Toc184310325"/>
      <w:bookmarkEnd w:id="139"/>
      <w:bookmarkStart w:id="140" w:name="_Toc184313291"/>
      <w:bookmarkEnd w:id="140"/>
      <w:bookmarkStart w:id="141" w:name="_Toc184312082"/>
      <w:bookmarkEnd w:id="141"/>
      <w:bookmarkStart w:id="142" w:name="_Toc184313310"/>
      <w:bookmarkEnd w:id="142"/>
      <w:bookmarkStart w:id="143" w:name="_Toc184313300"/>
      <w:bookmarkEnd w:id="143"/>
      <w:bookmarkStart w:id="144" w:name="_Toc184313276"/>
      <w:bookmarkEnd w:id="144"/>
      <w:bookmarkStart w:id="145" w:name="_Toc184308063"/>
      <w:bookmarkEnd w:id="145"/>
      <w:bookmarkStart w:id="146" w:name="_Toc184312117"/>
      <w:bookmarkEnd w:id="146"/>
      <w:bookmarkStart w:id="147" w:name="_Toc184313244"/>
      <w:bookmarkEnd w:id="147"/>
      <w:bookmarkStart w:id="148" w:name="_Toc184313302"/>
      <w:bookmarkEnd w:id="148"/>
      <w:bookmarkStart w:id="149" w:name="_Toc184314454"/>
      <w:bookmarkEnd w:id="149"/>
      <w:bookmarkStart w:id="150" w:name="_Toc184314451"/>
      <w:bookmarkEnd w:id="150"/>
      <w:bookmarkStart w:id="151" w:name="_Toc184312134"/>
      <w:bookmarkEnd w:id="151"/>
      <w:bookmarkStart w:id="152" w:name="_Toc184313298"/>
      <w:bookmarkEnd w:id="152"/>
      <w:bookmarkStart w:id="153" w:name="_Toc184313275"/>
      <w:bookmarkEnd w:id="153"/>
      <w:bookmarkStart w:id="154" w:name="_Toc184313292"/>
      <w:bookmarkEnd w:id="154"/>
      <w:bookmarkStart w:id="155" w:name="_Toc184314413"/>
      <w:bookmarkEnd w:id="155"/>
      <w:bookmarkStart w:id="156" w:name="_Toc184308056"/>
      <w:bookmarkEnd w:id="156"/>
      <w:bookmarkStart w:id="157" w:name="_Toc184313250"/>
      <w:bookmarkEnd w:id="157"/>
      <w:bookmarkStart w:id="158" w:name="_Toc184313295"/>
      <w:bookmarkEnd w:id="158"/>
      <w:bookmarkStart w:id="159" w:name="_Toc184313299"/>
      <w:bookmarkEnd w:id="159"/>
      <w:bookmarkStart w:id="160" w:name="_Toc184312112"/>
      <w:bookmarkEnd w:id="160"/>
      <w:bookmarkStart w:id="161" w:name="_Toc184310304"/>
      <w:bookmarkEnd w:id="161"/>
      <w:bookmarkStart w:id="162" w:name="_Toc184310308"/>
      <w:bookmarkEnd w:id="162"/>
      <w:bookmarkStart w:id="163" w:name="_Toc184308042"/>
      <w:bookmarkEnd w:id="163"/>
      <w:bookmarkStart w:id="164" w:name="_Toc184312070"/>
      <w:bookmarkEnd w:id="164"/>
      <w:bookmarkStart w:id="165" w:name="_Toc184308071"/>
      <w:bookmarkEnd w:id="165"/>
      <w:bookmarkStart w:id="166" w:name="_Toc184308065"/>
      <w:bookmarkEnd w:id="166"/>
      <w:bookmarkStart w:id="167" w:name="_Toc184312129"/>
      <w:bookmarkEnd w:id="167"/>
      <w:bookmarkStart w:id="168" w:name="_Toc184313261"/>
      <w:bookmarkEnd w:id="168"/>
      <w:bookmarkStart w:id="169" w:name="_Toc184314419"/>
      <w:bookmarkEnd w:id="169"/>
      <w:bookmarkStart w:id="170" w:name="_Toc184308088"/>
      <w:bookmarkEnd w:id="170"/>
      <w:bookmarkStart w:id="171" w:name="_Toc184312077"/>
      <w:bookmarkEnd w:id="171"/>
      <w:bookmarkStart w:id="172" w:name="_Toc184312080"/>
      <w:bookmarkEnd w:id="172"/>
      <w:bookmarkStart w:id="173" w:name="_Toc184314423"/>
      <w:bookmarkEnd w:id="173"/>
      <w:bookmarkStart w:id="174" w:name="_Toc184314461"/>
      <w:bookmarkEnd w:id="174"/>
      <w:bookmarkStart w:id="175" w:name="_Toc184312118"/>
      <w:bookmarkEnd w:id="175"/>
      <w:bookmarkStart w:id="176" w:name="_Toc184312121"/>
      <w:bookmarkEnd w:id="176"/>
      <w:bookmarkStart w:id="177" w:name="_Toc184314444"/>
      <w:bookmarkEnd w:id="177"/>
      <w:bookmarkStart w:id="178" w:name="_Toc184314446"/>
      <w:bookmarkEnd w:id="178"/>
      <w:bookmarkStart w:id="179" w:name="_Toc184313253"/>
      <w:bookmarkEnd w:id="179"/>
      <w:bookmarkStart w:id="180" w:name="_Toc184314417"/>
      <w:bookmarkEnd w:id="180"/>
      <w:bookmarkStart w:id="181" w:name="_Toc184313297"/>
      <w:bookmarkEnd w:id="181"/>
      <w:bookmarkStart w:id="182" w:name="_Toc184314418"/>
      <w:bookmarkEnd w:id="182"/>
      <w:bookmarkStart w:id="183" w:name="_Toc184308038"/>
      <w:bookmarkEnd w:id="183"/>
      <w:bookmarkStart w:id="184" w:name="_Toc184310301"/>
      <w:bookmarkEnd w:id="184"/>
      <w:bookmarkStart w:id="185" w:name="_Toc184310311"/>
      <w:bookmarkEnd w:id="185"/>
      <w:bookmarkStart w:id="186" w:name="_Toc184313252"/>
      <w:bookmarkEnd w:id="186"/>
      <w:bookmarkStart w:id="187" w:name="_Toc184312099"/>
      <w:bookmarkEnd w:id="187"/>
      <w:bookmarkStart w:id="188" w:name="_Toc184314425"/>
      <w:bookmarkEnd w:id="188"/>
      <w:bookmarkStart w:id="189" w:name="_Toc184312093"/>
      <w:bookmarkEnd w:id="189"/>
      <w:bookmarkStart w:id="190" w:name="_Toc184310303"/>
      <w:bookmarkEnd w:id="190"/>
      <w:bookmarkStart w:id="191" w:name="_Toc184313249"/>
      <w:bookmarkEnd w:id="191"/>
      <w:bookmarkStart w:id="192" w:name="_Toc184312127"/>
      <w:bookmarkEnd w:id="192"/>
      <w:bookmarkStart w:id="193" w:name="_Toc184310291"/>
      <w:bookmarkEnd w:id="193"/>
      <w:bookmarkStart w:id="194" w:name="_Toc184308087"/>
      <w:bookmarkEnd w:id="194"/>
      <w:bookmarkStart w:id="195" w:name="_Toc184312133"/>
      <w:bookmarkEnd w:id="195"/>
      <w:bookmarkStart w:id="196" w:name="_Toc184312106"/>
      <w:bookmarkEnd w:id="196"/>
      <w:bookmarkStart w:id="197" w:name="_Toc184313241"/>
      <w:bookmarkEnd w:id="197"/>
      <w:bookmarkStart w:id="198" w:name="_Toc184314415"/>
      <w:bookmarkEnd w:id="198"/>
      <w:bookmarkStart w:id="199" w:name="_Toc184308097"/>
      <w:bookmarkEnd w:id="199"/>
      <w:bookmarkStart w:id="200" w:name="_Toc184310332"/>
      <w:bookmarkEnd w:id="200"/>
      <w:bookmarkStart w:id="201" w:name="_Toc184308085"/>
      <w:bookmarkEnd w:id="201"/>
      <w:bookmarkStart w:id="202" w:name="_Toc184310324"/>
      <w:bookmarkEnd w:id="202"/>
      <w:bookmarkStart w:id="203" w:name="_Toc184310312"/>
      <w:bookmarkEnd w:id="203"/>
      <w:bookmarkStart w:id="204" w:name="_Toc184308040"/>
      <w:bookmarkEnd w:id="204"/>
      <w:bookmarkStart w:id="205" w:name="_Toc184314472"/>
      <w:bookmarkEnd w:id="205"/>
      <w:bookmarkStart w:id="206" w:name="_Toc184312123"/>
      <w:bookmarkEnd w:id="206"/>
      <w:bookmarkStart w:id="207" w:name="_Toc184308067"/>
      <w:bookmarkEnd w:id="207"/>
      <w:bookmarkStart w:id="208" w:name="_Toc184312109"/>
      <w:bookmarkEnd w:id="208"/>
      <w:bookmarkStart w:id="209" w:name="_Toc184312116"/>
      <w:bookmarkEnd w:id="209"/>
      <w:bookmarkStart w:id="210" w:name="_Toc184310289"/>
      <w:bookmarkEnd w:id="210"/>
      <w:bookmarkStart w:id="211" w:name="_Toc184310339"/>
      <w:bookmarkEnd w:id="211"/>
      <w:bookmarkStart w:id="212" w:name="_Toc184310316"/>
      <w:bookmarkEnd w:id="212"/>
      <w:bookmarkStart w:id="213" w:name="_Toc184314434"/>
      <w:bookmarkEnd w:id="213"/>
      <w:bookmarkStart w:id="214" w:name="_Toc184308044"/>
      <w:bookmarkEnd w:id="214"/>
      <w:bookmarkStart w:id="215" w:name="_Toc184313257"/>
      <w:bookmarkEnd w:id="215"/>
      <w:bookmarkStart w:id="216" w:name="_Toc184313260"/>
      <w:bookmarkEnd w:id="216"/>
      <w:bookmarkStart w:id="217" w:name="_Toc184312125"/>
      <w:bookmarkEnd w:id="217"/>
      <w:bookmarkStart w:id="218" w:name="_Toc184312072"/>
      <w:bookmarkEnd w:id="218"/>
      <w:bookmarkStart w:id="219" w:name="_Toc184308073"/>
      <w:bookmarkEnd w:id="219"/>
      <w:bookmarkStart w:id="220" w:name="_Toc184314449"/>
      <w:bookmarkEnd w:id="220"/>
      <w:bookmarkStart w:id="221" w:name="_Toc184308039"/>
      <w:bookmarkEnd w:id="221"/>
      <w:bookmarkStart w:id="222" w:name="_Toc184310327"/>
      <w:bookmarkEnd w:id="222"/>
      <w:bookmarkStart w:id="223" w:name="_Toc184308103"/>
      <w:bookmarkEnd w:id="223"/>
      <w:bookmarkStart w:id="224" w:name="_Toc184314422"/>
      <w:bookmarkEnd w:id="224"/>
      <w:bookmarkStart w:id="225" w:name="_Toc184310294"/>
      <w:bookmarkEnd w:id="225"/>
      <w:bookmarkStart w:id="226" w:name="_Toc184310326"/>
      <w:bookmarkEnd w:id="226"/>
      <w:bookmarkStart w:id="227" w:name="_Toc184313281"/>
      <w:bookmarkEnd w:id="227"/>
      <w:bookmarkStart w:id="228" w:name="_Toc184310336"/>
      <w:bookmarkEnd w:id="228"/>
      <w:bookmarkStart w:id="229" w:name="_Toc184314476"/>
      <w:bookmarkEnd w:id="229"/>
      <w:bookmarkStart w:id="230" w:name="_Toc184314463"/>
      <w:bookmarkEnd w:id="230"/>
      <w:bookmarkStart w:id="231" w:name="_Toc184308107"/>
      <w:bookmarkEnd w:id="231"/>
      <w:bookmarkStart w:id="232" w:name="_Toc184310319"/>
      <w:bookmarkEnd w:id="232"/>
      <w:bookmarkStart w:id="233" w:name="_Toc184310297"/>
      <w:bookmarkEnd w:id="233"/>
      <w:bookmarkStart w:id="234" w:name="_Toc184314410"/>
      <w:bookmarkEnd w:id="234"/>
      <w:bookmarkStart w:id="235" w:name="_Toc184310334"/>
      <w:bookmarkEnd w:id="235"/>
      <w:bookmarkStart w:id="236" w:name="_Toc184314464"/>
      <w:bookmarkEnd w:id="236"/>
      <w:bookmarkStart w:id="237" w:name="_Toc184310293"/>
      <w:bookmarkEnd w:id="237"/>
      <w:bookmarkStart w:id="238" w:name="_Toc184312111"/>
      <w:bookmarkEnd w:id="238"/>
      <w:bookmarkStart w:id="239" w:name="_Toc184313306"/>
      <w:bookmarkEnd w:id="239"/>
      <w:bookmarkStart w:id="240" w:name="_Toc184314468"/>
      <w:bookmarkEnd w:id="240"/>
      <w:bookmarkStart w:id="241" w:name="_Toc184310340"/>
      <w:bookmarkEnd w:id="241"/>
      <w:bookmarkStart w:id="242" w:name="_Toc184312120"/>
      <w:bookmarkEnd w:id="242"/>
      <w:bookmarkStart w:id="243" w:name="_Toc184313248"/>
      <w:bookmarkEnd w:id="243"/>
      <w:bookmarkStart w:id="244" w:name="_Toc184314435"/>
      <w:bookmarkEnd w:id="244"/>
      <w:bookmarkStart w:id="245" w:name="_Toc184310307"/>
      <w:bookmarkEnd w:id="245"/>
      <w:bookmarkStart w:id="246" w:name="_Toc184312097"/>
      <w:bookmarkEnd w:id="246"/>
      <w:bookmarkStart w:id="247" w:name="_Toc184313303"/>
      <w:bookmarkEnd w:id="247"/>
      <w:bookmarkStart w:id="248" w:name="_Toc184310310"/>
      <w:bookmarkEnd w:id="248"/>
      <w:bookmarkStart w:id="249" w:name="_Toc184308095"/>
      <w:bookmarkEnd w:id="249"/>
      <w:bookmarkStart w:id="250" w:name="_Toc184312081"/>
      <w:bookmarkEnd w:id="250"/>
      <w:bookmarkStart w:id="251" w:name="_Toc184310273"/>
      <w:bookmarkEnd w:id="251"/>
      <w:bookmarkStart w:id="252" w:name="_Toc184314462"/>
      <w:bookmarkEnd w:id="252"/>
      <w:bookmarkStart w:id="253" w:name="_Toc184312138"/>
      <w:bookmarkEnd w:id="253"/>
      <w:bookmarkStart w:id="254" w:name="_Toc184313255"/>
      <w:bookmarkEnd w:id="254"/>
      <w:bookmarkStart w:id="255" w:name="_Toc184310331"/>
      <w:bookmarkEnd w:id="255"/>
      <w:bookmarkStart w:id="256" w:name="_Toc184310338"/>
      <w:bookmarkEnd w:id="256"/>
      <w:bookmarkStart w:id="257" w:name="_Toc184314458"/>
      <w:bookmarkEnd w:id="257"/>
      <w:bookmarkStart w:id="258" w:name="_Toc184313293"/>
      <w:bookmarkEnd w:id="258"/>
      <w:bookmarkStart w:id="259" w:name="_Toc184314480"/>
      <w:bookmarkEnd w:id="259"/>
      <w:bookmarkStart w:id="260" w:name="_Toc184314471"/>
      <w:bookmarkEnd w:id="260"/>
      <w:bookmarkStart w:id="261" w:name="_Toc184314445"/>
      <w:bookmarkEnd w:id="261"/>
      <w:bookmarkStart w:id="262" w:name="_Toc184308086"/>
      <w:bookmarkEnd w:id="262"/>
      <w:bookmarkStart w:id="263" w:name="_Toc184310277"/>
      <w:bookmarkEnd w:id="263"/>
      <w:bookmarkStart w:id="264" w:name="_Toc184314429"/>
      <w:bookmarkEnd w:id="264"/>
      <w:bookmarkStart w:id="265" w:name="_Toc184313258"/>
      <w:bookmarkEnd w:id="265"/>
      <w:bookmarkStart w:id="266" w:name="_Toc184313285"/>
      <w:bookmarkEnd w:id="266"/>
      <w:bookmarkStart w:id="267" w:name="_Toc184312136"/>
      <w:bookmarkEnd w:id="267"/>
      <w:bookmarkStart w:id="268" w:name="_Toc184310282"/>
      <w:bookmarkEnd w:id="268"/>
      <w:bookmarkStart w:id="269" w:name="_Toc184310287"/>
      <w:bookmarkEnd w:id="269"/>
      <w:bookmarkStart w:id="270" w:name="_Toc184314478"/>
      <w:bookmarkEnd w:id="270"/>
      <w:bookmarkStart w:id="271" w:name="_Toc184312094"/>
      <w:bookmarkEnd w:id="271"/>
      <w:bookmarkStart w:id="272" w:name="_Toc184313247"/>
      <w:bookmarkEnd w:id="272"/>
      <w:bookmarkStart w:id="273" w:name="_Toc184314459"/>
      <w:bookmarkEnd w:id="273"/>
      <w:bookmarkStart w:id="274" w:name="_Toc184314428"/>
      <w:bookmarkEnd w:id="274"/>
      <w:bookmarkStart w:id="275" w:name="_Toc184308091"/>
      <w:bookmarkEnd w:id="275"/>
      <w:bookmarkStart w:id="276" w:name="_Toc184308093"/>
      <w:bookmarkEnd w:id="276"/>
      <w:bookmarkStart w:id="277" w:name="_Toc184308078"/>
      <w:bookmarkEnd w:id="277"/>
      <w:bookmarkStart w:id="278" w:name="_Toc184314465"/>
      <w:bookmarkEnd w:id="278"/>
      <w:bookmarkStart w:id="279" w:name="_Toc184312131"/>
      <w:bookmarkEnd w:id="279"/>
      <w:bookmarkStart w:id="280" w:name="_Toc184312086"/>
      <w:bookmarkEnd w:id="280"/>
      <w:bookmarkStart w:id="281" w:name="_Toc184308064"/>
      <w:bookmarkEnd w:id="281"/>
      <w:bookmarkStart w:id="282" w:name="_Toc184312128"/>
      <w:bookmarkEnd w:id="282"/>
      <w:bookmarkStart w:id="283" w:name="_Toc184308062"/>
      <w:bookmarkEnd w:id="283"/>
      <w:bookmarkStart w:id="284" w:name="_Toc184308057"/>
      <w:bookmarkEnd w:id="284"/>
      <w:bookmarkStart w:id="285" w:name="_Toc184312073"/>
      <w:bookmarkEnd w:id="285"/>
      <w:bookmarkStart w:id="286" w:name="_Toc184312137"/>
      <w:bookmarkEnd w:id="286"/>
      <w:bookmarkStart w:id="287" w:name="_Toc184308108"/>
      <w:bookmarkEnd w:id="287"/>
      <w:bookmarkStart w:id="288" w:name="_Toc184312115"/>
      <w:bookmarkEnd w:id="288"/>
      <w:bookmarkStart w:id="289" w:name="_Toc184308053"/>
      <w:bookmarkEnd w:id="289"/>
      <w:bookmarkStart w:id="290" w:name="_Toc184313243"/>
      <w:bookmarkEnd w:id="290"/>
      <w:bookmarkStart w:id="291" w:name="_Toc184313309"/>
      <w:bookmarkEnd w:id="291"/>
      <w:bookmarkStart w:id="292" w:name="_Toc184312124"/>
      <w:bookmarkEnd w:id="292"/>
      <w:bookmarkStart w:id="293" w:name="_Toc184312096"/>
      <w:bookmarkEnd w:id="293"/>
      <w:bookmarkStart w:id="294" w:name="_Toc184308050"/>
      <w:bookmarkEnd w:id="294"/>
      <w:bookmarkStart w:id="295" w:name="_Toc184314455"/>
      <w:bookmarkEnd w:id="295"/>
      <w:bookmarkStart w:id="296" w:name="_Toc184314438"/>
      <w:bookmarkEnd w:id="296"/>
      <w:bookmarkStart w:id="297" w:name="_Toc184314441"/>
      <w:bookmarkEnd w:id="297"/>
      <w:bookmarkStart w:id="298" w:name="_Toc184314436"/>
      <w:bookmarkEnd w:id="298"/>
      <w:bookmarkStart w:id="299" w:name="_Toc184310281"/>
      <w:bookmarkEnd w:id="299"/>
      <w:bookmarkStart w:id="300" w:name="_Toc184313284"/>
      <w:bookmarkEnd w:id="300"/>
      <w:bookmarkStart w:id="301" w:name="_Toc184308094"/>
      <w:bookmarkEnd w:id="301"/>
      <w:bookmarkStart w:id="302" w:name="_Toc184308041"/>
      <w:bookmarkEnd w:id="302"/>
      <w:bookmarkStart w:id="303" w:name="_Toc184308055"/>
      <w:bookmarkEnd w:id="303"/>
      <w:bookmarkStart w:id="304" w:name="_Toc184314448"/>
      <w:bookmarkEnd w:id="304"/>
      <w:bookmarkStart w:id="305" w:name="_Toc184313265"/>
      <w:bookmarkEnd w:id="305"/>
      <w:bookmarkStart w:id="306" w:name="_Toc184308047"/>
      <w:bookmarkEnd w:id="306"/>
      <w:bookmarkStart w:id="307" w:name="_Toc184312091"/>
      <w:bookmarkEnd w:id="307"/>
      <w:bookmarkStart w:id="308" w:name="_Toc184314450"/>
      <w:bookmarkEnd w:id="308"/>
      <w:bookmarkStart w:id="309" w:name="_Toc184310329"/>
      <w:bookmarkEnd w:id="309"/>
      <w:bookmarkStart w:id="310" w:name="_Toc184312113"/>
      <w:bookmarkEnd w:id="310"/>
      <w:bookmarkStart w:id="311" w:name="_Toc184314432"/>
      <w:bookmarkEnd w:id="311"/>
      <w:bookmarkStart w:id="312" w:name="_Toc184314473"/>
      <w:bookmarkEnd w:id="312"/>
      <w:bookmarkStart w:id="313" w:name="_Toc184312102"/>
      <w:bookmarkEnd w:id="313"/>
      <w:bookmarkStart w:id="314" w:name="_Toc184312101"/>
      <w:bookmarkEnd w:id="314"/>
      <w:bookmarkStart w:id="315" w:name="_Toc184308061"/>
      <w:bookmarkEnd w:id="315"/>
      <w:bookmarkStart w:id="316" w:name="_Toc184308052"/>
      <w:bookmarkEnd w:id="316"/>
      <w:bookmarkStart w:id="317" w:name="_Toc184310295"/>
      <w:bookmarkEnd w:id="317"/>
      <w:bookmarkStart w:id="318" w:name="_Toc184314453"/>
      <w:bookmarkEnd w:id="318"/>
      <w:bookmarkStart w:id="319" w:name="_Toc184310309"/>
      <w:bookmarkEnd w:id="319"/>
      <w:bookmarkStart w:id="320" w:name="_Toc184310298"/>
      <w:bookmarkEnd w:id="320"/>
      <w:bookmarkStart w:id="321" w:name="_Toc184312110"/>
      <w:bookmarkEnd w:id="321"/>
      <w:bookmarkStart w:id="322" w:name="_Toc184308100"/>
      <w:bookmarkEnd w:id="322"/>
      <w:bookmarkStart w:id="323" w:name="_Toc184313305"/>
      <w:bookmarkEnd w:id="323"/>
      <w:bookmarkStart w:id="324" w:name="_Toc184313278"/>
      <w:bookmarkEnd w:id="324"/>
      <w:bookmarkStart w:id="325" w:name="_Toc184308054"/>
      <w:bookmarkEnd w:id="325"/>
      <w:bookmarkStart w:id="326" w:name="_Toc184314467"/>
      <w:bookmarkEnd w:id="326"/>
      <w:bookmarkStart w:id="327" w:name="_Toc184310314"/>
      <w:bookmarkEnd w:id="327"/>
      <w:bookmarkStart w:id="328" w:name="_Toc184313239"/>
      <w:bookmarkEnd w:id="328"/>
      <w:bookmarkStart w:id="329" w:name="_Toc184312089"/>
      <w:bookmarkEnd w:id="329"/>
      <w:bookmarkStart w:id="330" w:name="_Toc184312100"/>
      <w:bookmarkEnd w:id="330"/>
      <w:bookmarkStart w:id="331" w:name="_Toc184314470"/>
      <w:bookmarkEnd w:id="331"/>
      <w:bookmarkStart w:id="332" w:name="_Toc184312103"/>
      <w:bookmarkEnd w:id="332"/>
      <w:bookmarkStart w:id="333" w:name="_Toc184310320"/>
      <w:bookmarkEnd w:id="333"/>
      <w:bookmarkStart w:id="334" w:name="_Toc184310302"/>
      <w:bookmarkEnd w:id="334"/>
      <w:bookmarkStart w:id="335" w:name="_Toc184312068"/>
      <w:bookmarkEnd w:id="335"/>
      <w:bookmarkStart w:id="336" w:name="_Toc184314456"/>
      <w:bookmarkEnd w:id="336"/>
      <w:bookmarkStart w:id="337" w:name="_Toc184308070"/>
      <w:bookmarkEnd w:id="337"/>
      <w:bookmarkStart w:id="338" w:name="_Toc184314442"/>
      <w:bookmarkEnd w:id="338"/>
      <w:bookmarkStart w:id="339" w:name="_Toc184313294"/>
      <w:bookmarkEnd w:id="339"/>
      <w:bookmarkStart w:id="340" w:name="_Toc184308080"/>
      <w:bookmarkEnd w:id="340"/>
      <w:bookmarkStart w:id="341" w:name="_Toc184310313"/>
      <w:bookmarkEnd w:id="341"/>
      <w:bookmarkStart w:id="342" w:name="_Toc184310330"/>
      <w:bookmarkEnd w:id="342"/>
      <w:bookmarkStart w:id="343" w:name="_Toc184313308"/>
      <w:bookmarkEnd w:id="343"/>
      <w:bookmarkStart w:id="344" w:name="_Toc184312122"/>
      <w:bookmarkEnd w:id="344"/>
      <w:bookmarkStart w:id="345" w:name="_Toc184308079"/>
      <w:bookmarkEnd w:id="345"/>
      <w:bookmarkStart w:id="346" w:name="_Toc184314431"/>
      <w:bookmarkEnd w:id="346"/>
      <w:bookmarkStart w:id="347" w:name="_Toc184314466"/>
      <w:bookmarkEnd w:id="347"/>
      <w:bookmarkStart w:id="348" w:name="_Toc184312071"/>
      <w:bookmarkEnd w:id="348"/>
      <w:bookmarkStart w:id="349" w:name="_Toc184310321"/>
      <w:bookmarkEnd w:id="349"/>
      <w:bookmarkStart w:id="350" w:name="_Toc184313267"/>
      <w:bookmarkEnd w:id="350"/>
      <w:bookmarkStart w:id="351" w:name="_Toc184310276"/>
      <w:bookmarkEnd w:id="351"/>
      <w:bookmarkStart w:id="352" w:name="_Toc184313301"/>
      <w:bookmarkEnd w:id="352"/>
      <w:bookmarkStart w:id="353" w:name="_Toc184308096"/>
      <w:bookmarkEnd w:id="353"/>
      <w:bookmarkStart w:id="354" w:name="_Toc184313271"/>
      <w:bookmarkEnd w:id="354"/>
      <w:bookmarkStart w:id="355" w:name="_Toc184308104"/>
      <w:bookmarkEnd w:id="355"/>
      <w:bookmarkStart w:id="356" w:name="_Toc184310342"/>
      <w:bookmarkEnd w:id="356"/>
      <w:bookmarkStart w:id="357" w:name="_Toc184314460"/>
      <w:bookmarkEnd w:id="357"/>
      <w:bookmarkStart w:id="358" w:name="_Toc184310306"/>
      <w:bookmarkEnd w:id="358"/>
      <w:bookmarkStart w:id="359" w:name="_Toc184314426"/>
      <w:bookmarkEnd w:id="359"/>
      <w:bookmarkStart w:id="360" w:name="_Toc184313246"/>
      <w:bookmarkEnd w:id="360"/>
      <w:bookmarkStart w:id="361" w:name="_Toc184312069"/>
      <w:bookmarkEnd w:id="361"/>
      <w:bookmarkStart w:id="362" w:name="_Toc184312095"/>
      <w:bookmarkEnd w:id="362"/>
      <w:bookmarkStart w:id="363" w:name="_Toc184308037"/>
      <w:bookmarkEnd w:id="363"/>
      <w:bookmarkStart w:id="364" w:name="_Toc184312076"/>
      <w:bookmarkEnd w:id="364"/>
      <w:bookmarkStart w:id="365" w:name="_Toc184312104"/>
      <w:bookmarkEnd w:id="365"/>
      <w:bookmarkStart w:id="366" w:name="_Toc184313307"/>
      <w:bookmarkEnd w:id="366"/>
      <w:bookmarkStart w:id="367" w:name="_Toc184310286"/>
      <w:bookmarkEnd w:id="367"/>
      <w:bookmarkStart w:id="368" w:name="_Toc184314433"/>
      <w:bookmarkEnd w:id="368"/>
      <w:bookmarkStart w:id="369" w:name="_Toc184314412"/>
      <w:bookmarkEnd w:id="369"/>
      <w:bookmarkStart w:id="370" w:name="_Toc184313272"/>
      <w:bookmarkEnd w:id="370"/>
      <w:bookmarkStart w:id="371" w:name="_Toc184308077"/>
      <w:bookmarkEnd w:id="371"/>
      <w:bookmarkStart w:id="372" w:name="_Toc184313288"/>
      <w:bookmarkEnd w:id="372"/>
      <w:bookmarkStart w:id="373" w:name="_Toc184312074"/>
      <w:bookmarkEnd w:id="373"/>
      <w:bookmarkStart w:id="374" w:name="_Toc184313254"/>
      <w:bookmarkEnd w:id="374"/>
      <w:bookmarkStart w:id="375" w:name="_Toc184314475"/>
      <w:bookmarkEnd w:id="375"/>
      <w:bookmarkStart w:id="376" w:name="_Toc184314474"/>
      <w:bookmarkEnd w:id="376"/>
      <w:bookmarkStart w:id="377" w:name="_Toc184308105"/>
      <w:bookmarkEnd w:id="377"/>
      <w:bookmarkStart w:id="378" w:name="_Toc184313273"/>
      <w:bookmarkEnd w:id="378"/>
      <w:bookmarkStart w:id="379" w:name="_Toc184312108"/>
      <w:bookmarkEnd w:id="379"/>
      <w:bookmarkStart w:id="380" w:name="_Toc184308051"/>
      <w:bookmarkEnd w:id="380"/>
      <w:bookmarkStart w:id="381" w:name="_Toc184310283"/>
      <w:bookmarkEnd w:id="381"/>
      <w:bookmarkStart w:id="382" w:name="_Toc184308060"/>
      <w:bookmarkEnd w:id="382"/>
      <w:bookmarkStart w:id="383" w:name="_Toc184308049"/>
      <w:bookmarkEnd w:id="383"/>
      <w:bookmarkStart w:id="384" w:name="_Toc184313259"/>
      <w:bookmarkEnd w:id="384"/>
      <w:bookmarkStart w:id="385" w:name="_Toc184308089"/>
      <w:bookmarkEnd w:id="385"/>
      <w:bookmarkStart w:id="386" w:name="_Toc184312135"/>
      <w:bookmarkEnd w:id="386"/>
      <w:bookmarkStart w:id="387" w:name="_Toc184310290"/>
      <w:bookmarkEnd w:id="387"/>
      <w:bookmarkStart w:id="388" w:name="_Toc184310279"/>
      <w:bookmarkEnd w:id="388"/>
      <w:bookmarkStart w:id="389" w:name="_Toc184313286"/>
      <w:bookmarkEnd w:id="389"/>
      <w:bookmarkStart w:id="390" w:name="_Toc184313280"/>
      <w:bookmarkEnd w:id="390"/>
      <w:bookmarkStart w:id="391" w:name="_Toc184308106"/>
      <w:bookmarkEnd w:id="391"/>
      <w:bookmarkStart w:id="392" w:name="_Toc184314430"/>
      <w:bookmarkEnd w:id="392"/>
      <w:bookmarkStart w:id="393" w:name="_Toc184310344"/>
      <w:bookmarkEnd w:id="393"/>
      <w:bookmarkStart w:id="394" w:name="_Toc184314477"/>
      <w:bookmarkEnd w:id="394"/>
      <w:bookmarkStart w:id="395" w:name="_Toc184308101"/>
      <w:bookmarkEnd w:id="395"/>
      <w:bookmarkStart w:id="396" w:name="_Toc184308069"/>
      <w:bookmarkEnd w:id="396"/>
      <w:bookmarkStart w:id="397" w:name="_Toc184310284"/>
      <w:bookmarkEnd w:id="397"/>
      <w:bookmarkStart w:id="398" w:name="_Toc184308092"/>
      <w:bookmarkEnd w:id="398"/>
      <w:bookmarkStart w:id="399" w:name="_Toc184308084"/>
      <w:bookmarkEnd w:id="399"/>
      <w:bookmarkStart w:id="400" w:name="_Toc184312092"/>
      <w:bookmarkEnd w:id="400"/>
      <w:bookmarkStart w:id="401" w:name="_Toc184313277"/>
      <w:bookmarkEnd w:id="401"/>
      <w:bookmarkStart w:id="402" w:name="_Toc184314469"/>
      <w:bookmarkEnd w:id="402"/>
      <w:bookmarkStart w:id="403" w:name="_Toc184310299"/>
      <w:bookmarkEnd w:id="403"/>
      <w:bookmarkStart w:id="404" w:name="_Toc184310322"/>
      <w:bookmarkEnd w:id="404"/>
      <w:r>
        <w:rPr>
          <w:rFonts w:hint="eastAsia" w:ascii="宋体" w:hAnsi="宋体" w:cs="宋体"/>
          <w:b/>
          <w:sz w:val="36"/>
          <w:szCs w:val="36"/>
          <w:lang w:val="en-US" w:eastAsia="zh-CN"/>
        </w:rPr>
        <w:t>评</w:t>
      </w:r>
      <w:r>
        <w:rPr>
          <w:rFonts w:hint="eastAsia" w:ascii="宋体" w:hAnsi="宋体" w:cs="宋体"/>
          <w:b/>
          <w:sz w:val="36"/>
          <w:szCs w:val="36"/>
        </w:rPr>
        <w:t>标办法</w:t>
      </w:r>
    </w:p>
    <w:p>
      <w:pPr>
        <w:pStyle w:val="79"/>
        <w:numPr>
          <w:ilvl w:val="0"/>
          <w:numId w:val="0"/>
        </w:numPr>
        <w:snapToGrid w:val="0"/>
        <w:jc w:val="center"/>
        <w:rPr>
          <w:rFonts w:hint="eastAsia" w:ascii="宋体" w:hAnsi="宋体" w:cs="宋体"/>
          <w:b/>
          <w:sz w:val="32"/>
          <w:szCs w:val="20"/>
        </w:rPr>
      </w:pPr>
      <w:r>
        <w:rPr>
          <w:rFonts w:hint="eastAsia" w:ascii="宋体" w:hAnsi="宋体" w:cs="宋体"/>
          <w:b/>
          <w:sz w:val="32"/>
          <w:szCs w:val="20"/>
        </w:rPr>
        <w:t>评标办法前附表</w:t>
      </w:r>
    </w:p>
    <w:tbl>
      <w:tblPr>
        <w:tblStyle w:val="63"/>
        <w:tblW w:w="49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5034"/>
        <w:gridCol w:w="870"/>
        <w:gridCol w:w="1154"/>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4" w:type="pct"/>
            <w:vAlign w:val="center"/>
          </w:tcPr>
          <w:p>
            <w:pPr>
              <w:snapToGrid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2708" w:type="pct"/>
            <w:vAlign w:val="center"/>
          </w:tcPr>
          <w:p>
            <w:pPr>
              <w:snapToGrid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评标标准</w:t>
            </w:r>
          </w:p>
        </w:tc>
        <w:tc>
          <w:tcPr>
            <w:tcW w:w="468" w:type="pct"/>
            <w:vAlign w:val="center"/>
          </w:tcPr>
          <w:p>
            <w:pPr>
              <w:snapToGrid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权重（分值）</w:t>
            </w:r>
          </w:p>
        </w:tc>
        <w:tc>
          <w:tcPr>
            <w:tcW w:w="621" w:type="pct"/>
            <w:vAlign w:val="center"/>
          </w:tcPr>
          <w:p>
            <w:pPr>
              <w:snapToGrid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主客观属性</w:t>
            </w:r>
          </w:p>
        </w:tc>
        <w:tc>
          <w:tcPr>
            <w:tcW w:w="887" w:type="pct"/>
          </w:tcPr>
          <w:p>
            <w:pPr>
              <w:snapToGrid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bCs/>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snapToGrid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2708" w:type="pct"/>
          </w:tcPr>
          <w:p>
            <w:pPr>
              <w:snapToGrid w:val="0"/>
              <w:spacing w:line="360" w:lineRule="auto"/>
              <w:jc w:val="left"/>
              <w:rPr>
                <w:rFonts w:hint="eastAsia" w:cs="仿宋_GB2312" w:asciiTheme="minorEastAsia" w:hAnsiTheme="minorEastAsia" w:eastAsiaTheme="minorEastAsia"/>
                <w:sz w:val="24"/>
              </w:rPr>
            </w:pPr>
            <w:r>
              <w:rPr>
                <w:rFonts w:ascii="宋体" w:hAnsi="宋体" w:cs="宋体"/>
                <w:sz w:val="24"/>
              </w:rPr>
              <w:t>投标人</w:t>
            </w:r>
            <w:r>
              <w:rPr>
                <w:rFonts w:hint="eastAsia" w:ascii="宋体" w:hAnsi="宋体" w:cs="宋体"/>
                <w:sz w:val="24"/>
              </w:rPr>
              <w:t>投标截止时间前三年内（以合同签订时间为准）的同类案例，每个案例需提供</w:t>
            </w:r>
            <w:r>
              <w:rPr>
                <w:rFonts w:hint="eastAsia" w:ascii="宋体" w:hAnsi="宋体" w:cs="宋体"/>
                <w:b/>
                <w:bCs/>
                <w:sz w:val="24"/>
              </w:rPr>
              <w:t>合同复印件和验收报告</w:t>
            </w:r>
            <w:r>
              <w:rPr>
                <w:rFonts w:hint="eastAsia" w:ascii="宋体" w:hAnsi="宋体" w:cs="宋体"/>
                <w:sz w:val="24"/>
              </w:rPr>
              <w:t>复印件，每个案例得1分，最高得3分（缺一不得分，同类案例是指与采购标的同品类的产品案例）。</w:t>
            </w:r>
          </w:p>
        </w:tc>
        <w:tc>
          <w:tcPr>
            <w:tcW w:w="468" w:type="pct"/>
            <w:vAlign w:val="center"/>
          </w:tcPr>
          <w:p>
            <w:pPr>
              <w:snapToGrid w:val="0"/>
              <w:spacing w:line="360" w:lineRule="auto"/>
              <w:jc w:val="center"/>
              <w:rPr>
                <w:rFonts w:hint="eastAsia" w:cs="仿宋_GB2312" w:asciiTheme="minorEastAsia" w:hAnsiTheme="minorEastAsia" w:eastAsiaTheme="minorEastAsia"/>
                <w:sz w:val="24"/>
              </w:rPr>
            </w:pPr>
            <w:r>
              <w:rPr>
                <w:rFonts w:cs="仿宋_GB2312" w:asciiTheme="minorEastAsia" w:hAnsiTheme="minorEastAsia" w:eastAsiaTheme="minorEastAsia"/>
                <w:sz w:val="24"/>
              </w:rPr>
              <w:t>3</w:t>
            </w:r>
          </w:p>
        </w:tc>
        <w:tc>
          <w:tcPr>
            <w:tcW w:w="621" w:type="pct"/>
            <w:vAlign w:val="center"/>
          </w:tcPr>
          <w:p>
            <w:pPr>
              <w:snapToGrid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客观</w:t>
            </w:r>
          </w:p>
        </w:tc>
        <w:tc>
          <w:tcPr>
            <w:tcW w:w="887" w:type="pct"/>
            <w:vAlign w:val="center"/>
          </w:tcPr>
          <w:p>
            <w:pPr>
              <w:snapToGrid w:val="0"/>
              <w:spacing w:line="360" w:lineRule="auto"/>
              <w:jc w:val="center"/>
              <w:rPr>
                <w:rFonts w:hint="eastAsia" w:cs="仿宋_GB2312" w:asciiTheme="minorEastAsia" w:hAnsiTheme="minorEastAsia" w:eastAsiaTheme="minorEastAsia"/>
                <w:sz w:val="24"/>
              </w:rPr>
            </w:pPr>
            <w:r>
              <w:rPr>
                <w:rFonts w:hint="eastAsia" w:ascii="宋体" w:hAnsi="宋体" w:cs="宋体"/>
                <w:b/>
                <w:bCs/>
                <w:kern w:val="0"/>
                <w:sz w:val="24"/>
              </w:rPr>
              <w:t>（一）投标人业绩情况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snapToGrid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2708" w:type="pct"/>
          </w:tcPr>
          <w:p>
            <w:pPr>
              <w:spacing w:line="360" w:lineRule="auto"/>
              <w:outlineLvl w:val="0"/>
              <w:rPr>
                <w:rFonts w:hint="eastAsia" w:ascii="宋体" w:hAnsi="宋体" w:cs="宋体"/>
                <w:kern w:val="0"/>
                <w:sz w:val="24"/>
              </w:rPr>
            </w:pPr>
            <w:r>
              <w:rPr>
                <w:rFonts w:hint="eastAsia" w:ascii="宋体" w:hAnsi="宋体" w:cs="宋体"/>
                <w:b/>
                <w:bCs/>
                <w:kern w:val="0"/>
                <w:sz w:val="24"/>
              </w:rPr>
              <w:t>所投产品（室外P3全彩色显示屏、室内P1.53全彩色显示屏、室内P2全彩色显示屏）</w:t>
            </w:r>
            <w:r>
              <w:rPr>
                <w:rFonts w:hint="eastAsia" w:ascii="宋体" w:hAnsi="宋体" w:cs="宋体"/>
                <w:kern w:val="0"/>
                <w:sz w:val="24"/>
              </w:rPr>
              <w:t>列入财政部、发展改革委发布的节能产品品目清单的，提供国家市场监督管理总局公布的《参与实施政府采购节能产品认证机构名录》内的认证机构出具的、处于有效期之内的节能标志产品认证证书的，得1分。</w:t>
            </w:r>
          </w:p>
          <w:p>
            <w:pPr>
              <w:spacing w:line="360" w:lineRule="auto"/>
              <w:jc w:val="left"/>
              <w:rPr>
                <w:rFonts w:hint="eastAsia" w:ascii="宋体" w:hAnsi="宋体"/>
                <w:sz w:val="24"/>
              </w:rPr>
            </w:pPr>
            <w:r>
              <w:rPr>
                <w:rFonts w:hint="eastAsia" w:ascii="宋体" w:hAnsi="宋体" w:cs="宋体"/>
                <w:b/>
                <w:bCs/>
                <w:kern w:val="0"/>
                <w:sz w:val="24"/>
              </w:rPr>
              <w:t>所投产品（室外P3全彩色显示屏、室内P1.53全彩色显示屏、室内P2全彩色显示屏）</w:t>
            </w:r>
            <w:r>
              <w:rPr>
                <w:rFonts w:hint="eastAsia" w:ascii="宋体" w:hAnsi="宋体" w:cs="宋体"/>
                <w:kern w:val="0"/>
                <w:sz w:val="24"/>
              </w:rPr>
              <w:t>列入财政部、生态环境部发布的环境标志产品品目清单的，提供国家市场监督管理总局公布的《参与实施政府采购环境标志产品认证机构名录》内的认证机构出具的、处于有效期之内的环境标志产品认证证书，得1分。</w:t>
            </w:r>
          </w:p>
        </w:tc>
        <w:tc>
          <w:tcPr>
            <w:tcW w:w="468" w:type="pct"/>
            <w:vAlign w:val="center"/>
          </w:tcPr>
          <w:p>
            <w:pPr>
              <w:snapToGrid w:val="0"/>
              <w:spacing w:line="360" w:lineRule="auto"/>
              <w:jc w:val="center"/>
              <w:rPr>
                <w:rFonts w:hint="eastAsia" w:cs="仿宋_GB2312" w:asciiTheme="minorEastAsia" w:hAnsiTheme="minorEastAsia" w:eastAsiaTheme="minorEastAsia"/>
                <w:sz w:val="24"/>
              </w:rPr>
            </w:pPr>
            <w:r>
              <w:rPr>
                <w:rFonts w:cs="仿宋_GB2312" w:asciiTheme="minorEastAsia" w:hAnsiTheme="minorEastAsia" w:eastAsiaTheme="minorEastAsia"/>
                <w:sz w:val="24"/>
              </w:rPr>
              <w:t>2</w:t>
            </w:r>
          </w:p>
        </w:tc>
        <w:tc>
          <w:tcPr>
            <w:tcW w:w="621" w:type="pct"/>
            <w:vAlign w:val="center"/>
          </w:tcPr>
          <w:p>
            <w:pPr>
              <w:snapToGrid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客观</w:t>
            </w:r>
          </w:p>
        </w:tc>
        <w:tc>
          <w:tcPr>
            <w:tcW w:w="887" w:type="pct"/>
            <w:vAlign w:val="center"/>
          </w:tcPr>
          <w:p>
            <w:pPr>
              <w:snapToGrid w:val="0"/>
              <w:spacing w:line="360" w:lineRule="auto"/>
              <w:jc w:val="center"/>
              <w:rPr>
                <w:rFonts w:hint="eastAsia" w:ascii="宋体" w:hAnsi="宋体" w:cs="宋体"/>
                <w:sz w:val="24"/>
              </w:rPr>
            </w:pPr>
            <w:r>
              <w:rPr>
                <w:rFonts w:hint="eastAsia" w:ascii="宋体" w:hAnsi="宋体" w:cs="宋体"/>
                <w:b/>
                <w:bCs/>
                <w:sz w:val="24"/>
              </w:rPr>
              <w:t>（二）节能环保产品标志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snapToGrid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2708" w:type="pct"/>
          </w:tcPr>
          <w:p>
            <w:pPr>
              <w:snapToGrid w:val="0"/>
              <w:spacing w:line="360" w:lineRule="auto"/>
              <w:jc w:val="left"/>
              <w:rPr>
                <w:rFonts w:hint="eastAsia" w:ascii="宋体" w:hAnsi="宋体" w:cs="宋体"/>
                <w:sz w:val="24"/>
              </w:rPr>
            </w:pPr>
            <w:r>
              <w:rPr>
                <w:rFonts w:hint="eastAsia" w:ascii="宋体" w:hAnsi="宋体" w:cs="宋体"/>
                <w:sz w:val="24"/>
              </w:rPr>
              <w:t>投标产品的基本功能、技术指标与需求的吻合程度和偏差情况：招标文件中要求提供的相关证明材料，必须提供，否则一律视为负偏离。</w:t>
            </w:r>
          </w:p>
          <w:p>
            <w:pPr>
              <w:spacing w:line="360" w:lineRule="auto"/>
              <w:jc w:val="left"/>
              <w:rPr>
                <w:rFonts w:hint="eastAsia" w:cs="仿宋_GB2312" w:asciiTheme="minorEastAsia" w:hAnsiTheme="minorEastAsia" w:eastAsiaTheme="minorEastAsia"/>
                <w:sz w:val="24"/>
              </w:rPr>
            </w:pPr>
            <w:r>
              <w:rPr>
                <w:rFonts w:hint="eastAsia" w:ascii="宋体" w:hAnsi="宋体"/>
                <w:sz w:val="24"/>
              </w:rPr>
              <w:t>对于带“★”的技术指标负偏离每一项扣减</w:t>
            </w:r>
            <w:r>
              <w:rPr>
                <w:rFonts w:ascii="宋体" w:hAnsi="宋体"/>
                <w:sz w:val="24"/>
              </w:rPr>
              <w:t>2分</w:t>
            </w:r>
            <w:r>
              <w:rPr>
                <w:rFonts w:hint="eastAsia" w:ascii="宋体" w:hAnsi="宋体"/>
                <w:sz w:val="24"/>
              </w:rPr>
              <w:t>；其他技术指标负偏离每一项扣减1分，扣完为止。</w:t>
            </w:r>
          </w:p>
        </w:tc>
        <w:tc>
          <w:tcPr>
            <w:tcW w:w="468" w:type="pct"/>
            <w:vAlign w:val="center"/>
          </w:tcPr>
          <w:p>
            <w:pPr>
              <w:snapToGrid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32</w:t>
            </w:r>
          </w:p>
        </w:tc>
        <w:tc>
          <w:tcPr>
            <w:tcW w:w="621" w:type="pct"/>
            <w:vAlign w:val="center"/>
          </w:tcPr>
          <w:p>
            <w:pPr>
              <w:snapToGrid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客观</w:t>
            </w:r>
          </w:p>
        </w:tc>
        <w:tc>
          <w:tcPr>
            <w:tcW w:w="887" w:type="pct"/>
            <w:vAlign w:val="center"/>
          </w:tcPr>
          <w:p>
            <w:pPr>
              <w:snapToGrid w:val="0"/>
              <w:spacing w:line="360" w:lineRule="auto"/>
              <w:jc w:val="center"/>
              <w:rPr>
                <w:rFonts w:hint="eastAsia" w:cs="仿宋_GB2312" w:asciiTheme="minorEastAsia" w:hAnsiTheme="minorEastAsia" w:eastAsiaTheme="minorEastAsia"/>
                <w:sz w:val="24"/>
              </w:rPr>
            </w:pPr>
            <w:r>
              <w:rPr>
                <w:rFonts w:hint="eastAsia" w:ascii="宋体" w:hAnsi="宋体" w:cs="宋体"/>
                <w:b/>
                <w:bCs/>
                <w:sz w:val="24"/>
              </w:rPr>
              <w:t>（三）投标产品的性能和功能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snapToGrid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2708" w:type="pct"/>
            <w:vAlign w:val="center"/>
          </w:tcPr>
          <w:p>
            <w:pPr>
              <w:snapToGrid w:val="0"/>
              <w:spacing w:line="360" w:lineRule="auto"/>
              <w:jc w:val="left"/>
              <w:rPr>
                <w:rFonts w:hint="eastAsia" w:ascii="宋体" w:hAnsi="宋体" w:cs="宋体"/>
                <w:sz w:val="24"/>
              </w:rPr>
            </w:pPr>
            <w:r>
              <w:rPr>
                <w:rFonts w:hint="eastAsia" w:ascii="宋体" w:hAnsi="宋体" w:cs="宋体"/>
                <w:sz w:val="24"/>
              </w:rPr>
              <w:t>项目实施方案：包括①项目实施计划进度；②项目实施保障措施；③项目实施培训方案；④项目验收方案。方案完整、合理，针对性强，视为符合，每一项完全符合得</w:t>
            </w:r>
            <w:r>
              <w:rPr>
                <w:rFonts w:ascii="宋体" w:hAnsi="宋体" w:cs="宋体"/>
                <w:sz w:val="24"/>
              </w:rPr>
              <w:t>1</w:t>
            </w:r>
            <w:r>
              <w:rPr>
                <w:rFonts w:hint="eastAsia" w:ascii="宋体" w:hAnsi="宋体" w:cs="宋体"/>
                <w:sz w:val="24"/>
              </w:rPr>
              <w:t>分，部分符合得0.5分，不符合不得分，总分</w:t>
            </w:r>
            <w:r>
              <w:rPr>
                <w:rFonts w:ascii="宋体" w:hAnsi="宋体" w:cs="宋体"/>
                <w:sz w:val="24"/>
              </w:rPr>
              <w:t>4</w:t>
            </w:r>
            <w:r>
              <w:rPr>
                <w:rFonts w:hint="eastAsia" w:ascii="宋体" w:hAnsi="宋体" w:cs="宋体"/>
                <w:sz w:val="24"/>
              </w:rPr>
              <w:t>分。</w:t>
            </w:r>
          </w:p>
        </w:tc>
        <w:tc>
          <w:tcPr>
            <w:tcW w:w="468" w:type="pct"/>
            <w:vAlign w:val="center"/>
          </w:tcPr>
          <w:p>
            <w:pPr>
              <w:snapToGrid w:val="0"/>
              <w:spacing w:line="360" w:lineRule="auto"/>
              <w:jc w:val="center"/>
              <w:rPr>
                <w:rFonts w:hint="eastAsia" w:ascii="宋体" w:hAnsi="宋体" w:cs="宋体"/>
                <w:sz w:val="24"/>
              </w:rPr>
            </w:pPr>
            <w:r>
              <w:rPr>
                <w:rFonts w:ascii="宋体" w:hAnsi="宋体" w:cs="宋体"/>
                <w:sz w:val="24"/>
              </w:rPr>
              <w:t>4</w:t>
            </w:r>
          </w:p>
        </w:tc>
        <w:tc>
          <w:tcPr>
            <w:tcW w:w="621" w:type="pct"/>
            <w:vAlign w:val="center"/>
          </w:tcPr>
          <w:p>
            <w:pPr>
              <w:snapToGrid w:val="0"/>
              <w:spacing w:line="360" w:lineRule="auto"/>
              <w:jc w:val="center"/>
              <w:rPr>
                <w:rFonts w:hint="eastAsia" w:ascii="宋体" w:hAnsi="宋体" w:cs="宋体"/>
                <w:sz w:val="24"/>
              </w:rPr>
            </w:pPr>
            <w:r>
              <w:rPr>
                <w:rFonts w:hint="eastAsia" w:ascii="宋体" w:hAnsi="宋体" w:cs="宋体"/>
                <w:sz w:val="24"/>
              </w:rPr>
              <w:t>主观</w:t>
            </w:r>
          </w:p>
        </w:tc>
        <w:tc>
          <w:tcPr>
            <w:tcW w:w="887" w:type="pct"/>
            <w:vAlign w:val="center"/>
          </w:tcPr>
          <w:p>
            <w:pPr>
              <w:snapToGrid w:val="0"/>
              <w:spacing w:line="360" w:lineRule="auto"/>
              <w:jc w:val="center"/>
              <w:rPr>
                <w:rFonts w:hint="eastAsia" w:ascii="宋体" w:hAnsi="宋体" w:cs="宋体"/>
                <w:sz w:val="24"/>
              </w:rPr>
            </w:pPr>
            <w:r>
              <w:rPr>
                <w:rFonts w:hint="eastAsia" w:ascii="宋体" w:hAnsi="宋体" w:cs="宋体"/>
                <w:b/>
                <w:bCs/>
                <w:sz w:val="24"/>
              </w:rPr>
              <w:t>（四）项目实施方案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4" w:type="pct"/>
            <w:vAlign w:val="center"/>
          </w:tcPr>
          <w:p>
            <w:pPr>
              <w:snapToGrid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2708" w:type="pct"/>
            <w:vAlign w:val="center"/>
          </w:tcPr>
          <w:p>
            <w:pPr>
              <w:snapToGrid w:val="0"/>
              <w:spacing w:line="360" w:lineRule="auto"/>
              <w:jc w:val="left"/>
              <w:rPr>
                <w:rFonts w:hint="eastAsia" w:ascii="宋体" w:hAnsi="宋体" w:cs="宋体"/>
                <w:sz w:val="24"/>
              </w:rPr>
            </w:pPr>
            <w:r>
              <w:rPr>
                <w:rFonts w:hint="eastAsia"/>
                <w:sz w:val="24"/>
              </w:rPr>
              <w:t>投标人提供的安装服务实施方案：包括①项目交付工期；②根据项目交付时间节点，送货安装时间、人员安排、设备调试等情况的落实情况。</w:t>
            </w:r>
            <w:r>
              <w:rPr>
                <w:rFonts w:hint="eastAsia" w:ascii="宋体" w:hAnsi="宋体" w:cs="宋体"/>
                <w:sz w:val="24"/>
              </w:rPr>
              <w:t>方案完整、合理，针对性强，视为符合，每一项完全符合得2分，部分符合得1分，不符合不得分，总分</w:t>
            </w:r>
            <w:r>
              <w:rPr>
                <w:rFonts w:ascii="宋体" w:hAnsi="宋体" w:cs="宋体"/>
                <w:sz w:val="24"/>
              </w:rPr>
              <w:t>4</w:t>
            </w:r>
            <w:r>
              <w:rPr>
                <w:rFonts w:hint="eastAsia" w:ascii="宋体" w:hAnsi="宋体" w:cs="宋体"/>
                <w:sz w:val="24"/>
              </w:rPr>
              <w:t>分。</w:t>
            </w:r>
          </w:p>
        </w:tc>
        <w:tc>
          <w:tcPr>
            <w:tcW w:w="468" w:type="pct"/>
            <w:vAlign w:val="center"/>
          </w:tcPr>
          <w:p>
            <w:pPr>
              <w:snapToGrid w:val="0"/>
              <w:spacing w:line="360" w:lineRule="auto"/>
              <w:jc w:val="center"/>
              <w:rPr>
                <w:rFonts w:hint="eastAsia" w:ascii="宋体" w:hAnsi="宋体" w:cs="宋体"/>
                <w:sz w:val="24"/>
              </w:rPr>
            </w:pPr>
            <w:r>
              <w:rPr>
                <w:rFonts w:hint="eastAsia" w:ascii="宋体" w:hAnsi="宋体" w:cs="宋体"/>
                <w:sz w:val="24"/>
              </w:rPr>
              <w:t>4</w:t>
            </w:r>
          </w:p>
        </w:tc>
        <w:tc>
          <w:tcPr>
            <w:tcW w:w="621" w:type="pct"/>
            <w:vAlign w:val="center"/>
          </w:tcPr>
          <w:p>
            <w:pPr>
              <w:snapToGrid w:val="0"/>
              <w:spacing w:line="360" w:lineRule="auto"/>
              <w:jc w:val="center"/>
              <w:rPr>
                <w:rFonts w:hint="eastAsia" w:ascii="宋体" w:hAnsi="宋体" w:cs="宋体"/>
                <w:sz w:val="24"/>
              </w:rPr>
            </w:pPr>
            <w:r>
              <w:rPr>
                <w:rFonts w:hint="eastAsia" w:ascii="宋体" w:hAnsi="宋体" w:cs="宋体"/>
                <w:sz w:val="24"/>
              </w:rPr>
              <w:t>主观</w:t>
            </w:r>
          </w:p>
        </w:tc>
        <w:tc>
          <w:tcPr>
            <w:tcW w:w="887" w:type="pct"/>
            <w:vAlign w:val="center"/>
          </w:tcPr>
          <w:p>
            <w:pPr>
              <w:snapToGrid w:val="0"/>
              <w:spacing w:line="360" w:lineRule="auto"/>
              <w:jc w:val="center"/>
              <w:rPr>
                <w:rFonts w:hint="eastAsia" w:ascii="宋体" w:hAnsi="宋体" w:cs="宋体"/>
                <w:sz w:val="24"/>
              </w:rPr>
            </w:pPr>
            <w:r>
              <w:rPr>
                <w:rFonts w:hint="eastAsia"/>
                <w:b/>
                <w:bCs/>
                <w:sz w:val="24"/>
              </w:rPr>
              <w:t>（五）安装服务实施方案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4" w:type="pct"/>
            <w:vAlign w:val="center"/>
          </w:tcPr>
          <w:p>
            <w:pPr>
              <w:snapToGrid w:val="0"/>
              <w:spacing w:line="360" w:lineRule="auto"/>
              <w:jc w:val="center"/>
              <w:rPr>
                <w:rFonts w:hint="eastAsia" w:cs="仿宋_GB2312" w:asciiTheme="minorEastAsia" w:hAnsiTheme="minorEastAsia" w:eastAsiaTheme="minorEastAsia"/>
                <w:sz w:val="24"/>
              </w:rPr>
            </w:pPr>
            <w:r>
              <w:rPr>
                <w:rFonts w:cs="仿宋_GB2312" w:asciiTheme="minorEastAsia" w:hAnsiTheme="minorEastAsia" w:eastAsiaTheme="minorEastAsia"/>
                <w:sz w:val="24"/>
              </w:rPr>
              <w:t>6</w:t>
            </w:r>
          </w:p>
        </w:tc>
        <w:tc>
          <w:tcPr>
            <w:tcW w:w="2708" w:type="pct"/>
            <w:vAlign w:val="center"/>
          </w:tcPr>
          <w:p>
            <w:pPr>
              <w:snapToGrid w:val="0"/>
              <w:spacing w:line="360" w:lineRule="auto"/>
              <w:jc w:val="left"/>
              <w:rPr>
                <w:rFonts w:hint="eastAsia" w:ascii="宋体" w:hAnsi="宋体" w:cs="宋体"/>
                <w:sz w:val="24"/>
              </w:rPr>
            </w:pPr>
            <w:r>
              <w:rPr>
                <w:rFonts w:hint="eastAsia" w:ascii="宋体" w:hAnsi="宋体" w:cs="宋体"/>
                <w:sz w:val="24"/>
              </w:rPr>
              <w:t>投标人提供科学、合理、可操作的具体项目培训方案，包括①对操作人员和管理人员进行应用培训，使其达到使用无障碍，并提供详细的培训方案；②使其能对设备进行日常的维护保养及能对一般故障进行维修，并向培训人员提供详细的技术维修及调试参数资料。</w:t>
            </w:r>
          </w:p>
          <w:p>
            <w:pPr>
              <w:snapToGrid w:val="0"/>
              <w:spacing w:line="360" w:lineRule="auto"/>
              <w:jc w:val="left"/>
              <w:rPr>
                <w:rFonts w:hint="eastAsia" w:ascii="宋体" w:hAnsi="宋体" w:cs="宋体"/>
                <w:sz w:val="24"/>
              </w:rPr>
            </w:pPr>
            <w:r>
              <w:rPr>
                <w:rFonts w:hint="eastAsia" w:ascii="宋体" w:hAnsi="宋体" w:cs="宋体"/>
                <w:sz w:val="24"/>
              </w:rPr>
              <w:t>方案完整、合理，针对性强，视为符合，每一项完全符合得1分，部分符合得0.5分，不符合不得分，总分2分。</w:t>
            </w:r>
          </w:p>
        </w:tc>
        <w:tc>
          <w:tcPr>
            <w:tcW w:w="468" w:type="pct"/>
            <w:vAlign w:val="center"/>
          </w:tcPr>
          <w:p>
            <w:pPr>
              <w:snapToGrid w:val="0"/>
              <w:spacing w:line="360" w:lineRule="auto"/>
              <w:jc w:val="center"/>
              <w:rPr>
                <w:rFonts w:hint="eastAsia" w:ascii="宋体" w:hAnsi="宋体" w:cs="宋体"/>
                <w:sz w:val="24"/>
              </w:rPr>
            </w:pPr>
            <w:r>
              <w:rPr>
                <w:rFonts w:ascii="宋体" w:hAnsi="宋体" w:cs="宋体"/>
                <w:sz w:val="24"/>
              </w:rPr>
              <w:t>2</w:t>
            </w:r>
          </w:p>
        </w:tc>
        <w:tc>
          <w:tcPr>
            <w:tcW w:w="621" w:type="pct"/>
            <w:vAlign w:val="center"/>
          </w:tcPr>
          <w:p>
            <w:pPr>
              <w:snapToGrid w:val="0"/>
              <w:spacing w:line="360" w:lineRule="auto"/>
              <w:jc w:val="center"/>
              <w:rPr>
                <w:rFonts w:hint="eastAsia" w:ascii="宋体" w:hAnsi="宋体" w:cs="宋体"/>
                <w:sz w:val="24"/>
              </w:rPr>
            </w:pPr>
            <w:r>
              <w:rPr>
                <w:rFonts w:hint="eastAsia" w:ascii="宋体" w:hAnsi="宋体" w:cs="宋体"/>
                <w:sz w:val="24"/>
              </w:rPr>
              <w:t>主观</w:t>
            </w:r>
          </w:p>
        </w:tc>
        <w:tc>
          <w:tcPr>
            <w:tcW w:w="887" w:type="pct"/>
            <w:vAlign w:val="center"/>
          </w:tcPr>
          <w:p>
            <w:pPr>
              <w:snapToGrid w:val="0"/>
              <w:spacing w:line="360" w:lineRule="auto"/>
              <w:jc w:val="center"/>
              <w:rPr>
                <w:rFonts w:hint="eastAsia" w:ascii="宋体" w:hAnsi="宋体" w:cs="宋体"/>
                <w:sz w:val="24"/>
              </w:rPr>
            </w:pPr>
            <w:r>
              <w:rPr>
                <w:rFonts w:hint="eastAsia" w:ascii="宋体" w:hAnsi="宋体" w:cs="宋体"/>
                <w:b/>
                <w:bCs/>
                <w:sz w:val="24"/>
              </w:rPr>
              <w:t>（六）培训方案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1" w:hRule="atLeast"/>
        </w:trPr>
        <w:tc>
          <w:tcPr>
            <w:tcW w:w="314" w:type="pct"/>
            <w:vAlign w:val="center"/>
          </w:tcPr>
          <w:p>
            <w:pPr>
              <w:snapToGrid w:val="0"/>
              <w:spacing w:line="360" w:lineRule="auto"/>
              <w:jc w:val="center"/>
              <w:rPr>
                <w:rFonts w:hint="eastAsia" w:cs="仿宋_GB2312" w:asciiTheme="minorEastAsia" w:hAnsiTheme="minorEastAsia" w:eastAsiaTheme="minorEastAsia"/>
                <w:sz w:val="24"/>
              </w:rPr>
            </w:pPr>
            <w:r>
              <w:rPr>
                <w:rFonts w:cs="仿宋_GB2312" w:asciiTheme="minorEastAsia" w:hAnsiTheme="minorEastAsia" w:eastAsiaTheme="minorEastAsia"/>
                <w:sz w:val="24"/>
              </w:rPr>
              <w:t>7</w:t>
            </w:r>
          </w:p>
        </w:tc>
        <w:tc>
          <w:tcPr>
            <w:tcW w:w="2708" w:type="pct"/>
            <w:vAlign w:val="center"/>
          </w:tcPr>
          <w:p>
            <w:pPr>
              <w:snapToGrid w:val="0"/>
              <w:spacing w:line="360" w:lineRule="auto"/>
              <w:jc w:val="left"/>
              <w:rPr>
                <w:rFonts w:hint="eastAsia" w:ascii="宋体" w:hAnsi="宋体" w:cs="宋体"/>
                <w:sz w:val="24"/>
              </w:rPr>
            </w:pPr>
            <w:r>
              <w:rPr>
                <w:rFonts w:hint="eastAsia" w:ascii="宋体" w:hAnsi="宋体" w:cs="宋体"/>
                <w:sz w:val="24"/>
              </w:rPr>
              <w:t>根据投标人提供完善的售后服务方案，主要包括①售后服务承诺可操作性、②维修服务响应、③备品备件、④定期巡检方案。方案完整、合理，针对性强，视为符合，每一项完全符合得</w:t>
            </w:r>
            <w:r>
              <w:rPr>
                <w:rFonts w:ascii="宋体" w:hAnsi="宋体" w:cs="宋体"/>
                <w:sz w:val="24"/>
              </w:rPr>
              <w:t>1</w:t>
            </w:r>
            <w:r>
              <w:rPr>
                <w:rFonts w:hint="eastAsia" w:ascii="宋体" w:hAnsi="宋体" w:cs="宋体"/>
                <w:sz w:val="24"/>
              </w:rPr>
              <w:t>分，部分符合得0.5分，不符合不得分，总分</w:t>
            </w:r>
            <w:r>
              <w:rPr>
                <w:rFonts w:ascii="宋体" w:hAnsi="宋体" w:cs="宋体"/>
                <w:sz w:val="24"/>
              </w:rPr>
              <w:t>4</w:t>
            </w:r>
            <w:r>
              <w:rPr>
                <w:rFonts w:hint="eastAsia" w:ascii="宋体" w:hAnsi="宋体" w:cs="宋体"/>
                <w:sz w:val="24"/>
              </w:rPr>
              <w:t>分。</w:t>
            </w:r>
          </w:p>
        </w:tc>
        <w:tc>
          <w:tcPr>
            <w:tcW w:w="468" w:type="pct"/>
            <w:vAlign w:val="center"/>
          </w:tcPr>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r>
              <w:rPr>
                <w:rFonts w:hint="eastAsia" w:ascii="宋体" w:hAnsi="宋体" w:cs="宋体"/>
                <w:sz w:val="24"/>
              </w:rPr>
              <w:t>4</w:t>
            </w:r>
          </w:p>
        </w:tc>
        <w:tc>
          <w:tcPr>
            <w:tcW w:w="621" w:type="pct"/>
            <w:vAlign w:val="center"/>
          </w:tcPr>
          <w:p>
            <w:pPr>
              <w:snapToGrid w:val="0"/>
              <w:spacing w:line="360" w:lineRule="auto"/>
              <w:jc w:val="center"/>
              <w:rPr>
                <w:rFonts w:hint="eastAsia" w:ascii="宋体" w:hAnsi="宋体" w:cs="宋体"/>
                <w:sz w:val="24"/>
              </w:rPr>
            </w:pPr>
            <w:r>
              <w:rPr>
                <w:rFonts w:hint="eastAsia" w:ascii="宋体" w:hAnsi="宋体" w:cs="宋体"/>
                <w:sz w:val="24"/>
              </w:rPr>
              <w:t>主观</w:t>
            </w:r>
          </w:p>
        </w:tc>
        <w:tc>
          <w:tcPr>
            <w:tcW w:w="887" w:type="pct"/>
            <w:vAlign w:val="center"/>
          </w:tcPr>
          <w:p>
            <w:pPr>
              <w:spacing w:line="360" w:lineRule="auto"/>
              <w:outlineLvl w:val="0"/>
              <w:rPr>
                <w:rFonts w:hint="eastAsia" w:cs="仿宋_GB2312" w:asciiTheme="minorEastAsia" w:hAnsiTheme="minorEastAsia" w:eastAsiaTheme="minorEastAsia"/>
                <w:sz w:val="24"/>
              </w:rPr>
            </w:pPr>
            <w:r>
              <w:rPr>
                <w:rFonts w:hint="eastAsia" w:ascii="宋体" w:hAnsi="宋体" w:cs="宋体"/>
                <w:b/>
                <w:bCs/>
                <w:sz w:val="24"/>
              </w:rPr>
              <w:t>（七）售后服务方案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314" w:type="pct"/>
            <w:vAlign w:val="center"/>
          </w:tcPr>
          <w:p>
            <w:pPr>
              <w:snapToGrid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2708" w:type="pct"/>
          </w:tcPr>
          <w:p>
            <w:pPr>
              <w:spacing w:line="360" w:lineRule="auto"/>
              <w:rPr>
                <w:rFonts w:hint="eastAsia" w:ascii="宋体" w:hAnsi="宋体" w:eastAsia="宋体" w:cs="宋体"/>
                <w:sz w:val="24"/>
                <w:lang w:eastAsia="zh-CN"/>
              </w:rPr>
            </w:pPr>
            <w:r>
              <w:rPr>
                <w:rFonts w:hint="eastAsia" w:ascii="宋体" w:hAnsi="宋体" w:cs="宋体"/>
                <w:bCs/>
                <w:sz w:val="24"/>
                <w:highlight w:val="none"/>
              </w:rPr>
              <w:t>投标人在招标文件要求质保期3</w:t>
            </w:r>
            <w:r>
              <w:rPr>
                <w:rFonts w:hint="eastAsia" w:ascii="宋体" w:hAnsi="宋体" w:cs="宋体"/>
                <w:sz w:val="24"/>
                <w:highlight w:val="none"/>
              </w:rPr>
              <w:t>年</w:t>
            </w:r>
            <w:r>
              <w:rPr>
                <w:rFonts w:hint="eastAsia" w:ascii="宋体" w:hAnsi="宋体" w:cs="宋体"/>
                <w:bCs/>
                <w:sz w:val="24"/>
                <w:highlight w:val="none"/>
              </w:rPr>
              <w:t>的基础上，能承诺延长质保期的，每延长6个月，得1分，最多得3分。</w:t>
            </w:r>
            <w:r>
              <w:rPr>
                <w:rFonts w:hint="eastAsia" w:ascii="宋体" w:hAnsi="宋体" w:cs="宋体"/>
                <w:b/>
                <w:bCs w:val="0"/>
                <w:sz w:val="24"/>
                <w:highlight w:val="none"/>
                <w:lang w:eastAsia="zh-CN"/>
              </w:rPr>
              <w:t>（</w:t>
            </w:r>
            <w:r>
              <w:rPr>
                <w:rFonts w:hint="eastAsia" w:ascii="宋体" w:hAnsi="宋体" w:cs="宋体"/>
                <w:b/>
                <w:bCs w:val="0"/>
                <w:sz w:val="24"/>
                <w:highlight w:val="none"/>
                <w:lang w:val="en-US" w:eastAsia="zh-CN"/>
              </w:rPr>
              <w:t>提供承诺函，格式自拟</w:t>
            </w:r>
            <w:r>
              <w:rPr>
                <w:rFonts w:hint="eastAsia" w:ascii="宋体" w:hAnsi="宋体" w:cs="宋体"/>
                <w:b/>
                <w:bCs w:val="0"/>
                <w:sz w:val="24"/>
                <w:highlight w:val="none"/>
                <w:lang w:eastAsia="zh-CN"/>
              </w:rPr>
              <w:t>）</w:t>
            </w:r>
          </w:p>
        </w:tc>
        <w:tc>
          <w:tcPr>
            <w:tcW w:w="468" w:type="pct"/>
            <w:vAlign w:val="center"/>
          </w:tcPr>
          <w:p>
            <w:pPr>
              <w:spacing w:line="360" w:lineRule="auto"/>
              <w:ind w:firstLine="240" w:firstLineChars="100"/>
              <w:outlineLvl w:val="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621" w:type="pct"/>
            <w:vAlign w:val="center"/>
          </w:tcPr>
          <w:p>
            <w:pPr>
              <w:spacing w:line="360" w:lineRule="auto"/>
              <w:ind w:firstLine="240" w:firstLineChars="100"/>
              <w:outlineLvl w:val="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客观</w:t>
            </w:r>
          </w:p>
        </w:tc>
        <w:tc>
          <w:tcPr>
            <w:tcW w:w="887" w:type="pct"/>
            <w:vAlign w:val="center"/>
          </w:tcPr>
          <w:p>
            <w:pPr>
              <w:spacing w:line="360" w:lineRule="auto"/>
              <w:outlineLvl w:val="0"/>
              <w:rPr>
                <w:rFonts w:hint="eastAsia" w:ascii="宋体" w:hAnsi="宋体" w:cs="仿宋"/>
                <w:sz w:val="24"/>
              </w:rPr>
            </w:pPr>
            <w:r>
              <w:rPr>
                <w:rFonts w:hint="eastAsia" w:ascii="宋体" w:hAnsi="宋体" w:cs="仿宋"/>
                <w:b/>
                <w:bCs/>
                <w:sz w:val="24"/>
              </w:rPr>
              <w:t>（八）承诺函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314" w:type="pct"/>
            <w:vAlign w:val="center"/>
          </w:tcPr>
          <w:p>
            <w:pPr>
              <w:snapToGrid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2708" w:type="pct"/>
          </w:tcPr>
          <w:p>
            <w:pPr>
              <w:snapToGrid w:val="0"/>
              <w:spacing w:line="360" w:lineRule="auto"/>
              <w:jc w:val="left"/>
              <w:rPr>
                <w:rFonts w:hint="eastAsia" w:ascii="宋体" w:hAnsi="宋体" w:cs="宋体"/>
                <w:sz w:val="24"/>
              </w:rPr>
            </w:pPr>
            <w:r>
              <w:rPr>
                <w:rFonts w:hint="eastAsia" w:ascii="宋体" w:hAnsi="宋体" w:cs="宋体"/>
                <w:sz w:val="24"/>
                <w:highlight w:val="none"/>
              </w:rPr>
              <w:t>①拟担任本项目负责人需具备本行业3-5年项目管理经验。</w:t>
            </w:r>
            <w:r>
              <w:rPr>
                <w:rFonts w:hint="eastAsia" w:ascii="宋体" w:hAnsi="宋体" w:cs="宋体"/>
                <w:sz w:val="24"/>
              </w:rPr>
              <w:t>符合得</w:t>
            </w:r>
            <w:r>
              <w:rPr>
                <w:rFonts w:ascii="宋体" w:hAnsi="宋体" w:cs="宋体"/>
                <w:sz w:val="24"/>
              </w:rPr>
              <w:t>1</w:t>
            </w:r>
            <w:r>
              <w:rPr>
                <w:rFonts w:hint="eastAsia" w:ascii="宋体" w:hAnsi="宋体" w:cs="宋体"/>
                <w:sz w:val="24"/>
              </w:rPr>
              <w:t>分，否则不得分</w:t>
            </w:r>
            <w:r>
              <w:rPr>
                <w:rFonts w:hint="eastAsia" w:ascii="宋体" w:hAnsi="宋体" w:cs="宋体"/>
                <w:b/>
                <w:bCs/>
                <w:sz w:val="24"/>
              </w:rPr>
              <w:t>（提供工作经验证明材料，否则不得分）</w:t>
            </w:r>
            <w:r>
              <w:rPr>
                <w:rFonts w:hint="eastAsia" w:ascii="宋体" w:hAnsi="宋体" w:cs="宋体"/>
                <w:sz w:val="24"/>
              </w:rPr>
              <w:t>。</w:t>
            </w:r>
          </w:p>
          <w:p>
            <w:pPr>
              <w:snapToGrid w:val="0"/>
              <w:spacing w:line="360" w:lineRule="auto"/>
              <w:jc w:val="left"/>
              <w:rPr>
                <w:rFonts w:hint="eastAsia" w:ascii="宋体" w:hAnsi="宋体" w:cs="宋体"/>
                <w:sz w:val="24"/>
              </w:rPr>
            </w:pPr>
            <w:r>
              <w:rPr>
                <w:rFonts w:hint="eastAsia" w:ascii="宋体" w:hAnsi="宋体" w:cs="宋体"/>
                <w:sz w:val="24"/>
              </w:rPr>
              <w:t>②</w:t>
            </w:r>
            <w:r>
              <w:rPr>
                <w:rFonts w:hint="eastAsia"/>
                <w:sz w:val="24"/>
                <w:szCs w:val="20"/>
              </w:rPr>
              <w:t>项目组实施人员要求不少于3人，</w:t>
            </w:r>
            <w:r>
              <w:rPr>
                <w:rFonts w:hint="eastAsia"/>
                <w:sz w:val="24"/>
                <w:szCs w:val="20"/>
                <w:highlight w:val="none"/>
              </w:rPr>
              <w:t>并具备本行业2年</w:t>
            </w:r>
            <w:r>
              <w:rPr>
                <w:rFonts w:hint="eastAsia"/>
                <w:sz w:val="24"/>
                <w:szCs w:val="20"/>
              </w:rPr>
              <w:t>及以上的从业经验，每人符合得</w:t>
            </w:r>
            <w:r>
              <w:rPr>
                <w:sz w:val="24"/>
                <w:szCs w:val="20"/>
              </w:rPr>
              <w:t>1</w:t>
            </w:r>
            <w:r>
              <w:rPr>
                <w:rFonts w:hint="eastAsia"/>
                <w:sz w:val="24"/>
                <w:szCs w:val="20"/>
              </w:rPr>
              <w:t>分，最高得</w:t>
            </w:r>
            <w:r>
              <w:rPr>
                <w:sz w:val="24"/>
                <w:szCs w:val="20"/>
              </w:rPr>
              <w:t>3</w:t>
            </w:r>
            <w:r>
              <w:rPr>
                <w:rFonts w:hint="eastAsia"/>
                <w:sz w:val="24"/>
                <w:szCs w:val="20"/>
              </w:rPr>
              <w:t>分，</w:t>
            </w:r>
            <w:r>
              <w:rPr>
                <w:rFonts w:hint="eastAsia" w:ascii="宋体" w:hAnsi="宋体" w:cs="宋体"/>
                <w:b/>
                <w:bCs/>
                <w:sz w:val="24"/>
              </w:rPr>
              <w:t>（</w:t>
            </w:r>
            <w:r>
              <w:rPr>
                <w:rFonts w:hint="eastAsia"/>
                <w:b/>
                <w:bCs/>
                <w:sz w:val="24"/>
                <w:szCs w:val="20"/>
              </w:rPr>
              <w:t>提供工作经验证明材料</w:t>
            </w:r>
            <w:r>
              <w:rPr>
                <w:rFonts w:hint="eastAsia" w:ascii="宋体" w:hAnsi="宋体" w:cs="宋体"/>
                <w:b/>
                <w:bCs/>
                <w:sz w:val="24"/>
              </w:rPr>
              <w:t>，否则不得分）</w:t>
            </w:r>
            <w:r>
              <w:rPr>
                <w:rFonts w:hint="eastAsia"/>
                <w:sz w:val="24"/>
                <w:szCs w:val="20"/>
              </w:rPr>
              <w:t>。</w:t>
            </w:r>
          </w:p>
        </w:tc>
        <w:tc>
          <w:tcPr>
            <w:tcW w:w="468" w:type="pct"/>
            <w:vAlign w:val="center"/>
          </w:tcPr>
          <w:p>
            <w:pPr>
              <w:spacing w:line="360" w:lineRule="auto"/>
              <w:ind w:firstLine="240" w:firstLineChars="100"/>
              <w:outlineLvl w:val="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621" w:type="pct"/>
            <w:vAlign w:val="center"/>
          </w:tcPr>
          <w:p>
            <w:pPr>
              <w:spacing w:line="360" w:lineRule="auto"/>
              <w:ind w:firstLine="240" w:firstLineChars="100"/>
              <w:outlineLvl w:val="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客观</w:t>
            </w:r>
          </w:p>
        </w:tc>
        <w:tc>
          <w:tcPr>
            <w:tcW w:w="887" w:type="pct"/>
            <w:vAlign w:val="center"/>
          </w:tcPr>
          <w:p>
            <w:pPr>
              <w:spacing w:line="360" w:lineRule="auto"/>
              <w:jc w:val="center"/>
              <w:outlineLvl w:val="0"/>
              <w:rPr>
                <w:rFonts w:hint="eastAsia" w:ascii="宋体" w:hAnsi="宋体" w:cs="仿宋"/>
                <w:sz w:val="24"/>
              </w:rPr>
            </w:pPr>
            <w:r>
              <w:rPr>
                <w:rFonts w:hint="eastAsia" w:ascii="宋体" w:hAnsi="宋体" w:cs="仿宋"/>
                <w:b/>
                <w:bCs/>
                <w:sz w:val="24"/>
              </w:rPr>
              <w:t>（九）项目团队情况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314" w:type="pct"/>
            <w:vAlign w:val="center"/>
          </w:tcPr>
          <w:p>
            <w:pPr>
              <w:snapToGrid w:val="0"/>
              <w:spacing w:line="360" w:lineRule="auto"/>
              <w:jc w:val="center"/>
              <w:rPr>
                <w:rFonts w:hint="eastAsia" w:cs="仿宋_GB2312" w:asciiTheme="minorEastAsia" w:hAnsiTheme="minorEastAsia" w:eastAsiaTheme="minorEastAsia"/>
                <w:sz w:val="24"/>
              </w:rPr>
            </w:pPr>
          </w:p>
          <w:p>
            <w:pPr>
              <w:snapToGrid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10</w:t>
            </w:r>
          </w:p>
        </w:tc>
        <w:tc>
          <w:tcPr>
            <w:tcW w:w="2708" w:type="pct"/>
            <w:vAlign w:val="center"/>
          </w:tcPr>
          <w:p>
            <w:pPr>
              <w:spacing w:line="360" w:lineRule="auto"/>
              <w:jc w:val="left"/>
              <w:rPr>
                <w:rFonts w:hint="eastAsia" w:ascii="宋体" w:hAnsi="宋体" w:cs="仿宋_GB2312"/>
                <w:b/>
                <w:bCs/>
                <w:sz w:val="24"/>
              </w:rPr>
            </w:pPr>
            <w:r>
              <w:rPr>
                <w:rFonts w:hint="eastAsia" w:ascii="宋体" w:hAnsi="宋体" w:cs="仿宋_GB2312"/>
                <w:b/>
                <w:bCs/>
                <w:sz w:val="24"/>
              </w:rPr>
              <w:t>现场提供投标产品同规格型号的演示屏（室内P1.5</w:t>
            </w:r>
            <w:r>
              <w:rPr>
                <w:rFonts w:hint="eastAsia" w:ascii="宋体" w:hAnsi="宋体" w:cs="仿宋_GB2312"/>
                <w:b/>
                <w:bCs/>
                <w:sz w:val="24"/>
                <w:lang w:val="en-US" w:eastAsia="zh-CN"/>
              </w:rPr>
              <w:t>3</w:t>
            </w:r>
            <w:r>
              <w:rPr>
                <w:rFonts w:hint="eastAsia" w:ascii="宋体" w:hAnsi="宋体" w:cs="仿宋_GB2312"/>
                <w:b/>
                <w:bCs/>
                <w:sz w:val="24"/>
              </w:rPr>
              <w:t>和室内P2，数量：各一块），未提供演示屏，或者提供的演示屏不符合要求的不得分：</w:t>
            </w:r>
          </w:p>
          <w:p>
            <w:pPr>
              <w:spacing w:line="360" w:lineRule="auto"/>
              <w:jc w:val="left"/>
              <w:rPr>
                <w:rFonts w:hint="eastAsia" w:ascii="宋体" w:hAnsi="宋体" w:cs="仿宋_GB2312"/>
                <w:sz w:val="24"/>
              </w:rPr>
            </w:pPr>
            <w:r>
              <w:rPr>
                <w:rFonts w:hint="eastAsia" w:ascii="宋体" w:hAnsi="宋体" w:cs="仿宋_GB2312"/>
                <w:sz w:val="24"/>
              </w:rPr>
              <w:t>演示屏必须同时满足①采用不锈钢或者压铸铝箱体，②单元板（非箱体）原始设计为</w:t>
            </w:r>
            <w:r>
              <w:rPr>
                <w:rFonts w:hint="eastAsia" w:ascii="宋体" w:hAnsi="宋体" w:cs="仿宋_GB2312"/>
                <w:sz w:val="24"/>
                <w:lang w:val="en-US" w:eastAsia="zh-CN"/>
              </w:rPr>
              <w:t>不少于：</w:t>
            </w:r>
            <w:r>
              <w:rPr>
                <w:rFonts w:hint="eastAsia" w:ascii="宋体" w:hAnsi="宋体" w:cs="仿宋_GB2312"/>
                <w:sz w:val="24"/>
              </w:rPr>
              <w:t>双电源备份,数据信号双输入、双输出的单元板；③每个单元板</w:t>
            </w:r>
            <w:r>
              <w:rPr>
                <w:rFonts w:hint="eastAsia" w:ascii="宋体" w:hAnsi="宋体" w:cs="仿宋_GB2312"/>
                <w:sz w:val="24"/>
                <w:lang w:val="en-US" w:eastAsia="zh-CN"/>
              </w:rPr>
              <w:t>不少于：</w:t>
            </w:r>
            <w:r>
              <w:rPr>
                <w:rFonts w:hint="eastAsia" w:ascii="宋体" w:hAnsi="宋体" w:cs="仿宋_GB2312"/>
                <w:sz w:val="24"/>
              </w:rPr>
              <w:t>2个独立排针双数据输入接口、2个独立排针双数据输出出口、电源备份插件</w:t>
            </w:r>
            <w:r>
              <w:rPr>
                <w:rFonts w:hint="eastAsia" w:ascii="宋体" w:hAnsi="宋体" w:cs="仿宋_GB2312"/>
                <w:sz w:val="24"/>
                <w:lang w:val="en-US" w:eastAsia="zh-CN"/>
              </w:rPr>
              <w:t>不少于</w:t>
            </w:r>
            <w:r>
              <w:rPr>
                <w:rFonts w:hint="eastAsia" w:ascii="宋体" w:hAnsi="宋体" w:cs="仿宋_GB2312"/>
                <w:sz w:val="24"/>
              </w:rPr>
              <w:t>2个；支持热插拔；④同时现场须拆下一块单元板演示相关功能，不能拆下的视作不符合要求。</w:t>
            </w:r>
            <w:r>
              <w:rPr>
                <w:rFonts w:hint="eastAsia" w:ascii="宋体" w:hAnsi="宋体" w:cs="仿宋_GB2312"/>
                <w:b/>
                <w:bCs/>
                <w:sz w:val="24"/>
              </w:rPr>
              <w:t>以上要求和功能任意有一项不符合的，整体不得分，符合以上基本需求条件后评分如下：</w:t>
            </w:r>
          </w:p>
          <w:p>
            <w:pPr>
              <w:pStyle w:val="711"/>
              <w:widowControl w:val="0"/>
              <w:ind w:firstLine="0" w:firstLineChars="0"/>
              <w:jc w:val="both"/>
              <w:rPr>
                <w:rFonts w:hint="eastAsia" w:ascii="宋体" w:hAnsi="宋体" w:eastAsia="宋体" w:cs="仿宋_GB2312"/>
                <w:szCs w:val="24"/>
              </w:rPr>
            </w:pPr>
            <w:r>
              <w:rPr>
                <w:rFonts w:hint="eastAsia" w:ascii="宋体" w:hAnsi="宋体" w:eastAsia="宋体" w:cs="仿宋_GB2312"/>
                <w:szCs w:val="24"/>
              </w:rPr>
              <w:t>1、</w:t>
            </w:r>
            <w:bookmarkStart w:id="405" w:name="OLE_LINK6"/>
            <w:r>
              <w:rPr>
                <w:rFonts w:hint="eastAsia" w:ascii="宋体" w:hAnsi="宋体" w:eastAsia="宋体" w:cs="仿宋_GB2312"/>
                <w:szCs w:val="24"/>
              </w:rPr>
              <w:t>室内</w:t>
            </w:r>
            <w:r>
              <w:rPr>
                <w:rFonts w:hint="eastAsia" w:ascii="宋体" w:hAnsi="宋体" w:eastAsia="宋体" w:cs="仿宋_GB2312"/>
                <w:szCs w:val="24"/>
                <w:highlight w:val="none"/>
              </w:rPr>
              <w:t>P1.5</w:t>
            </w:r>
            <w:r>
              <w:rPr>
                <w:rFonts w:hint="eastAsia" w:ascii="宋体" w:hAnsi="宋体" w:eastAsia="宋体" w:cs="仿宋_GB2312"/>
                <w:szCs w:val="24"/>
                <w:highlight w:val="none"/>
                <w:lang w:val="en-US" w:eastAsia="zh-CN"/>
              </w:rPr>
              <w:t>3</w:t>
            </w:r>
            <w:r>
              <w:rPr>
                <w:rFonts w:hint="eastAsia" w:ascii="宋体" w:hAnsi="宋体" w:eastAsia="宋体" w:cs="仿宋_GB2312"/>
                <w:szCs w:val="24"/>
              </w:rPr>
              <w:t>演示屏尺寸</w:t>
            </w:r>
            <w:bookmarkEnd w:id="405"/>
            <w:r>
              <w:rPr>
                <w:rFonts w:hint="eastAsia" w:ascii="宋体" w:hAnsi="宋体" w:eastAsia="宋体" w:cs="仿宋_GB2312"/>
                <w:szCs w:val="24"/>
              </w:rPr>
              <w:t>：≤640MM * 480MM（或面积≤0.31平方米），室内P2演示屏尺寸：≤640MM * 480MM（或面积≤0.31平方米），每块屏符合得1分，共2分；</w:t>
            </w:r>
          </w:p>
          <w:p>
            <w:pPr>
              <w:pStyle w:val="711"/>
              <w:widowControl w:val="0"/>
              <w:ind w:firstLine="0" w:firstLineChars="0"/>
              <w:jc w:val="both"/>
              <w:rPr>
                <w:rFonts w:hint="eastAsia" w:ascii="宋体" w:hAnsi="宋体" w:eastAsia="宋体" w:cs="仿宋_GB2312"/>
                <w:szCs w:val="24"/>
              </w:rPr>
            </w:pPr>
            <w:r>
              <w:rPr>
                <w:rFonts w:hint="eastAsia" w:ascii="宋体" w:hAnsi="宋体" w:eastAsia="宋体" w:cs="仿宋_GB2312"/>
                <w:szCs w:val="24"/>
              </w:rPr>
              <w:t>2、工艺：细腻、不毛糙等，每块屏完全符合得1分，部分符合得0.5分，共2分；</w:t>
            </w:r>
          </w:p>
          <w:p>
            <w:pPr>
              <w:pStyle w:val="711"/>
              <w:widowControl w:val="0"/>
              <w:ind w:firstLine="0" w:firstLineChars="0"/>
              <w:jc w:val="both"/>
              <w:rPr>
                <w:rFonts w:hint="eastAsia" w:ascii="宋体" w:hAnsi="宋体" w:eastAsia="宋体" w:cs="仿宋_GB2312"/>
                <w:szCs w:val="24"/>
              </w:rPr>
            </w:pPr>
            <w:r>
              <w:rPr>
                <w:rFonts w:hint="eastAsia" w:ascii="宋体" w:hAnsi="宋体" w:eastAsia="宋体" w:cs="仿宋_GB2312"/>
                <w:szCs w:val="24"/>
              </w:rPr>
              <w:t>3、平整度：拼接缝隙小于1MM的，每块屏符合得1分，共2分；</w:t>
            </w:r>
          </w:p>
          <w:p>
            <w:pPr>
              <w:pStyle w:val="711"/>
              <w:widowControl w:val="0"/>
              <w:ind w:firstLine="0" w:firstLineChars="0"/>
              <w:jc w:val="both"/>
              <w:rPr>
                <w:rFonts w:hint="eastAsia" w:ascii="宋体" w:hAnsi="宋体" w:eastAsia="宋体" w:cs="仿宋_GB2312"/>
                <w:szCs w:val="24"/>
              </w:rPr>
            </w:pPr>
            <w:r>
              <w:rPr>
                <w:rFonts w:hint="eastAsia" w:ascii="宋体" w:hAnsi="宋体" w:eastAsia="宋体" w:cs="仿宋_GB2312"/>
                <w:szCs w:val="24"/>
              </w:rPr>
              <w:t>4、墨色一致，无马赛克现象，每块屏完全符合得1分，部分符合得0.5分，共2分；</w:t>
            </w:r>
          </w:p>
          <w:p>
            <w:pPr>
              <w:pStyle w:val="711"/>
              <w:widowControl w:val="0"/>
              <w:ind w:firstLine="0" w:firstLineChars="0"/>
              <w:jc w:val="both"/>
              <w:rPr>
                <w:rFonts w:hint="eastAsia" w:ascii="宋体" w:hAnsi="宋体" w:eastAsia="宋体" w:cs="仿宋_GB2312"/>
                <w:szCs w:val="24"/>
              </w:rPr>
            </w:pPr>
            <w:r>
              <w:rPr>
                <w:rFonts w:hint="eastAsia" w:ascii="宋体" w:hAnsi="宋体" w:eastAsia="宋体" w:cs="仿宋_GB2312"/>
                <w:szCs w:val="24"/>
              </w:rPr>
              <w:t>5、根据亮度和对比度在动态范围和图像细节上的显示效果，色彩均匀性一致，每块屏完全符合得1分，部分符合得0.5分，共2分；</w:t>
            </w:r>
          </w:p>
          <w:p>
            <w:pPr>
              <w:pStyle w:val="711"/>
              <w:widowControl w:val="0"/>
              <w:ind w:firstLine="0" w:firstLineChars="0"/>
              <w:jc w:val="both"/>
            </w:pPr>
            <w:r>
              <w:rPr>
                <w:rFonts w:hint="eastAsia" w:ascii="宋体" w:hAnsi="宋体" w:eastAsia="宋体" w:cs="仿宋_GB2312"/>
                <w:szCs w:val="24"/>
              </w:rPr>
              <w:t>6、盲点率：零盲点，每块屏符合得1分，共2分。</w:t>
            </w:r>
          </w:p>
        </w:tc>
        <w:tc>
          <w:tcPr>
            <w:tcW w:w="468" w:type="pct"/>
            <w:vAlign w:val="center"/>
          </w:tcPr>
          <w:p>
            <w:pPr>
              <w:spacing w:line="360" w:lineRule="auto"/>
              <w:jc w:val="center"/>
              <w:outlineLvl w:val="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621" w:type="pct"/>
            <w:vAlign w:val="center"/>
          </w:tcPr>
          <w:p>
            <w:pPr>
              <w:spacing w:line="360" w:lineRule="auto"/>
              <w:jc w:val="center"/>
              <w:outlineLvl w:val="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主观</w:t>
            </w:r>
          </w:p>
        </w:tc>
        <w:tc>
          <w:tcPr>
            <w:tcW w:w="887" w:type="pct"/>
            <w:vAlign w:val="center"/>
          </w:tcPr>
          <w:p>
            <w:pPr>
              <w:spacing w:line="360" w:lineRule="auto"/>
              <w:jc w:val="center"/>
              <w:outlineLvl w:val="0"/>
              <w:rPr>
                <w:rFonts w:hint="eastAsia" w:cs="仿宋_GB2312" w:asciiTheme="minorEastAsia" w:hAnsiTheme="minorEastAsia"/>
                <w:sz w:val="24"/>
              </w:rPr>
            </w:pPr>
            <w:r>
              <w:rPr>
                <w:rFonts w:hint="eastAsia" w:ascii="宋体" w:hAnsi="宋体" w:cs="宋体"/>
                <w:b/>
                <w:bCs/>
                <w:kern w:val="0"/>
                <w:sz w:val="24"/>
              </w:rPr>
              <w:t>（十）演示分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snapToGrid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11</w:t>
            </w:r>
          </w:p>
        </w:tc>
        <w:tc>
          <w:tcPr>
            <w:tcW w:w="2708" w:type="pct"/>
          </w:tcPr>
          <w:p>
            <w:pPr>
              <w:spacing w:line="360" w:lineRule="auto"/>
              <w:ind w:firstLine="480" w:firstLineChars="200"/>
              <w:jc w:val="left"/>
              <w:outlineLvl w:val="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有效投标报价的最低价作为评标基准价，其最低报价为满分；按［投标报价得分</w:t>
            </w:r>
            <w:r>
              <w:rPr>
                <w:rFonts w:cs="仿宋_GB2312" w:asciiTheme="minorEastAsia" w:hAnsiTheme="minorEastAsia" w:eastAsiaTheme="minorEastAsia"/>
                <w:sz w:val="24"/>
              </w:rPr>
              <w:t>=（评标基准价/投标报价）*</w:t>
            </w:r>
            <w:r>
              <w:rPr>
                <w:rFonts w:hint="eastAsia" w:cs="仿宋_GB2312" w:asciiTheme="minorEastAsia" w:hAnsiTheme="minorEastAsia" w:eastAsiaTheme="minorEastAsia"/>
                <w:sz w:val="24"/>
              </w:rPr>
              <w:t>30</w:t>
            </w:r>
            <w:r>
              <w:rPr>
                <w:rFonts w:cs="仿宋_GB2312" w:asciiTheme="minorEastAsia" w:hAnsiTheme="minorEastAsia" w:eastAsiaTheme="minorEastAsia"/>
                <w:sz w:val="24"/>
              </w:rPr>
              <w:t>］的计算公式计算。</w:t>
            </w:r>
          </w:p>
          <w:p>
            <w:pPr>
              <w:spacing w:line="360" w:lineRule="auto"/>
              <w:ind w:firstLine="480" w:firstLineChars="200"/>
              <w:jc w:val="left"/>
              <w:outlineLvl w:val="0"/>
              <w:rPr>
                <w:rFonts w:hint="eastAsia" w:cs="仿宋_GB2312" w:asciiTheme="minorEastAsia" w:hAnsiTheme="minorEastAsia" w:eastAsiaTheme="minorEastAsia"/>
                <w:sz w:val="24"/>
              </w:rPr>
            </w:pPr>
            <w:r>
              <w:rPr>
                <w:rFonts w:cs="仿宋_GB2312" w:asciiTheme="minorEastAsia" w:hAnsiTheme="minorEastAsia" w:eastAsiaTheme="minorEastAsia"/>
                <w:sz w:val="24"/>
              </w:rPr>
              <w:t>评标过程中，不得去掉报价中的最高报价和最低报价。</w:t>
            </w:r>
          </w:p>
          <w:p>
            <w:pPr>
              <w:widowControl/>
              <w:shd w:val="clear" w:color="auto" w:fill="FFFFFF"/>
              <w:adjustRightInd/>
              <w:spacing w:after="225" w:line="360" w:lineRule="auto"/>
              <w:ind w:firstLine="420"/>
              <w:jc w:val="left"/>
              <w:rPr>
                <w:rFonts w:hint="eastAsia" w:asciiTheme="minorEastAsia" w:hAnsiTheme="minorEastAsia" w:eastAsiaTheme="minorEastAsia"/>
                <w:sz w:val="24"/>
              </w:rPr>
            </w:pPr>
            <w:r>
              <w:rPr>
                <w:rFonts w:hint="eastAsia" w:cs="仿宋_GB2312" w:asciiTheme="minorEastAsia" w:hAnsiTheme="minorEastAsia" w:eastAsiaTheme="minorEastAsia"/>
                <w:sz w:val="24"/>
              </w:rPr>
              <w:t>对于未预留份额专门面向中小企业的政府采购服务项目，以及预留份额政府采购服务项目中的非预留部分标项，对小型和微型企业的投标报价给予</w:t>
            </w:r>
            <w:r>
              <w:rPr>
                <w:rFonts w:hint="eastAsia" w:cs="仿宋_GB2312" w:asciiTheme="minorEastAsia" w:hAnsiTheme="minorEastAsia" w:eastAsiaTheme="minorEastAsia"/>
                <w:b/>
                <w:sz w:val="24"/>
                <w:u w:val="single"/>
              </w:rPr>
              <w:t>1</w:t>
            </w:r>
            <w:r>
              <w:rPr>
                <w:rFonts w:cs="仿宋_GB2312" w:asciiTheme="minorEastAsia" w:hAnsiTheme="minorEastAsia" w:eastAsiaTheme="minorEastAsia"/>
                <w:b/>
                <w:sz w:val="24"/>
                <w:u w:val="single"/>
              </w:rPr>
              <w:t>0%</w:t>
            </w:r>
            <w:r>
              <w:rPr>
                <w:rFonts w:hint="eastAsia" w:cs="仿宋_GB2312" w:asciiTheme="minorEastAsia" w:hAnsiTheme="minorEastAsia" w:eastAsiaTheme="minorEastAsia"/>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b/>
                <w:sz w:val="24"/>
                <w:u w:val="single"/>
              </w:rPr>
              <w:t>4</w:t>
            </w:r>
            <w:r>
              <w:rPr>
                <w:rFonts w:cs="仿宋_GB2312" w:asciiTheme="minorEastAsia" w:hAnsiTheme="minorEastAsia" w:eastAsiaTheme="minorEastAsia"/>
                <w:b/>
                <w:sz w:val="24"/>
                <w:u w:val="single"/>
              </w:rPr>
              <w:t>%</w:t>
            </w:r>
            <w:r>
              <w:rPr>
                <w:rFonts w:hint="eastAsia" w:cs="仿宋_GB2312" w:asciiTheme="minorEastAsia" w:hAnsiTheme="minorEastAsia" w:eastAsiaTheme="minorEastAsia"/>
                <w:sz w:val="24"/>
              </w:rPr>
              <w:t>的扣除，用扣除后的价格参加评审</w:t>
            </w:r>
            <w:r>
              <w:rPr>
                <w:rFonts w:cs="仿宋_GB2312" w:asciiTheme="minorEastAsia" w:hAnsiTheme="minorEastAsia" w:eastAsiaTheme="minorEastAsia"/>
                <w:sz w:val="24"/>
              </w:rPr>
              <w:t>。</w:t>
            </w:r>
          </w:p>
        </w:tc>
        <w:tc>
          <w:tcPr>
            <w:tcW w:w="468" w:type="pct"/>
            <w:vAlign w:val="center"/>
          </w:tcPr>
          <w:p>
            <w:pPr>
              <w:spacing w:line="360" w:lineRule="auto"/>
              <w:jc w:val="center"/>
              <w:outlineLvl w:val="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30</w:t>
            </w:r>
          </w:p>
        </w:tc>
        <w:tc>
          <w:tcPr>
            <w:tcW w:w="621" w:type="pct"/>
            <w:vAlign w:val="center"/>
          </w:tcPr>
          <w:p>
            <w:pPr>
              <w:spacing w:line="360" w:lineRule="auto"/>
              <w:jc w:val="center"/>
              <w:outlineLvl w:val="0"/>
              <w:rPr>
                <w:rFonts w:hint="eastAsia" w:cs="仿宋_GB2312" w:asciiTheme="minorEastAsia" w:hAnsiTheme="minorEastAsia" w:eastAsiaTheme="minorEastAsia"/>
                <w:sz w:val="24"/>
              </w:rPr>
            </w:pPr>
          </w:p>
        </w:tc>
        <w:tc>
          <w:tcPr>
            <w:tcW w:w="887" w:type="pct"/>
            <w:vAlign w:val="center"/>
          </w:tcPr>
          <w:p>
            <w:pPr>
              <w:spacing w:line="360" w:lineRule="auto"/>
              <w:jc w:val="center"/>
              <w:outlineLvl w:val="0"/>
              <w:rPr>
                <w:rFonts w:hint="eastAsia" w:cs="仿宋_GB2312" w:asciiTheme="minorEastAsia" w:hAnsiTheme="minorEastAsia" w:eastAsiaTheme="minorEastAsia"/>
                <w:sz w:val="24"/>
              </w:rPr>
            </w:pPr>
            <w:r>
              <w:rPr>
                <w:rFonts w:cs="仿宋_GB2312" w:asciiTheme="minorEastAsia" w:hAnsiTheme="minorEastAsia" w:eastAsiaTheme="minorEastAsia"/>
                <w:sz w:val="24"/>
              </w:rPr>
              <w:t>/</w:t>
            </w:r>
          </w:p>
        </w:tc>
      </w:tr>
    </w:tbl>
    <w:p>
      <w:pPr>
        <w:pStyle w:val="79"/>
        <w:ind w:firstLine="0" w:firstLineChars="0"/>
      </w:pPr>
    </w:p>
    <w:p>
      <w:pPr>
        <w:snapToGrid w:val="0"/>
        <w:spacing w:line="360" w:lineRule="auto"/>
        <w:rPr>
          <w:rFonts w:hint="eastAsia"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hint="eastAsia"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cs="宋体"/>
          <w:kern w:val="0"/>
          <w:sz w:val="24"/>
        </w:rPr>
      </w:pPr>
      <w:r>
        <w:rPr>
          <w:rFonts w:hint="eastAsia" w:ascii="宋体" w:hAnsi="宋体" w:cs="宋体"/>
          <w:b/>
          <w:sz w:val="32"/>
        </w:rPr>
        <w:t>二、评标标准</w:t>
      </w:r>
    </w:p>
    <w:p>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hint="eastAsia"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pPr>
        <w:pStyle w:val="131"/>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pPr>
        <w:pStyle w:val="131"/>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1"/>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pPr>
        <w:pStyle w:val="131"/>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1"/>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1"/>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1"/>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pacing w:line="360" w:lineRule="auto"/>
        <w:ind w:firstLine="480" w:firstLineChars="200"/>
        <w:rPr>
          <w:rFonts w:hint="eastAsia" w:ascii="宋体" w:hAnsi="宋体" w:cs="宋体"/>
          <w:kern w:val="0"/>
          <w:sz w:val="24"/>
        </w:rPr>
      </w:pPr>
      <w:r>
        <w:rPr>
          <w:rFonts w:hint="eastAsia" w:ascii="宋体" w:hAnsi="宋体" w:cs="宋体"/>
          <w:kern w:val="0"/>
          <w:sz w:val="24"/>
        </w:rPr>
        <w:t>3.4.5对于未预留份额专门面向中小企业的政府采购货物项目，以及预留份额政府采购货物项目中的非预留部分标项，对小型和微型企业的投标报价给予10%-20%（招标文件第四部分评标办法明确具体的扣除比例，未明确的，给予20%的扣除）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招标文件第四部分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kern w:val="0"/>
          <w:sz w:val="24"/>
          <w:lang w:val="en"/>
        </w:rPr>
        <w:t>本项目推荐的中标候选人数量：</w:t>
      </w:r>
      <w:r>
        <w:rPr>
          <w:rFonts w:hint="eastAsia" w:ascii="宋体" w:hAnsi="宋体" w:cs="宋体"/>
          <w:kern w:val="0"/>
          <w:sz w:val="24"/>
          <w:u w:val="single"/>
        </w:rPr>
        <w:t xml:space="preserve">  1  </w:t>
      </w:r>
      <w:r>
        <w:rPr>
          <w:rFonts w:hint="eastAsia" w:ascii="宋体" w:hAnsi="宋体" w:cs="宋体"/>
          <w:kern w:val="0"/>
          <w:sz w:val="24"/>
        </w:rPr>
        <w:t xml:space="preserve"> </w:t>
      </w:r>
      <w:r>
        <w:rPr>
          <w:rFonts w:hint="eastAsia" w:ascii="宋体" w:hAnsi="宋体" w:cs="宋体"/>
          <w:kern w:val="0"/>
          <w:sz w:val="24"/>
          <w:lang w:val="en"/>
        </w:rPr>
        <w:t>。</w:t>
      </w:r>
    </w:p>
    <w:p>
      <w:pPr>
        <w:spacing w:line="360" w:lineRule="auto"/>
        <w:ind w:firstLine="480" w:firstLineChars="200"/>
        <w:rPr>
          <w:rFonts w:hint="eastAsia"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cs="宋体"/>
          <w:b/>
          <w:sz w:val="32"/>
        </w:rPr>
      </w:pPr>
      <w:r>
        <w:rPr>
          <w:rFonts w:hint="eastAsia" w:ascii="宋体" w:hAnsi="宋体" w:cs="宋体"/>
          <w:b/>
          <w:sz w:val="32"/>
        </w:rPr>
        <w:t>四、评标中的其他事项</w:t>
      </w:r>
    </w:p>
    <w:p>
      <w:pPr>
        <w:pStyle w:val="131"/>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4.2.7投标报价超过招标文件中规定的预算金额或者最高限价的；投标报价低于项目预算50%，未在报价文件中详细阐述不影响产品质量或者诚信履约的具体原因的；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4.2.12 参与同一个采购包（标段）的供应商存在下列情形之一</w:t>
      </w:r>
      <w:r>
        <w:rPr>
          <w:rFonts w:hint="eastAsia" w:ascii="宋体" w:hAnsi="宋体" w:cs="宋体"/>
          <w:b/>
          <w:bCs/>
          <w:kern w:val="0"/>
          <w:sz w:val="24"/>
        </w:rPr>
        <w:t>且无法合理解释的</w:t>
      </w:r>
      <w:r>
        <w:rPr>
          <w:rFonts w:hint="eastAsia" w:ascii="宋体" w:hAnsi="宋体" w:cs="宋体"/>
          <w:kern w:val="0"/>
          <w:sz w:val="24"/>
        </w:rPr>
        <w:t>，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4.2.13投标人仅提交备份投标文件，未在电子交易平台传输递交投标文件的，投标无效；</w:t>
      </w:r>
    </w:p>
    <w:p>
      <w:pPr>
        <w:pStyle w:val="525"/>
        <w:ind w:firstLine="480"/>
        <w:rPr>
          <w:rFonts w:hint="eastAsia" w:ascii="宋体" w:hAnsi="宋体" w:eastAsia="宋体" w:cs="宋体"/>
          <w:kern w:val="0"/>
          <w:sz w:val="24"/>
          <w:szCs w:val="24"/>
        </w:rPr>
      </w:pPr>
      <w:r>
        <w:rPr>
          <w:rFonts w:hint="eastAsia" w:ascii="宋体" w:hAnsi="宋体" w:eastAsia="宋体" w:cs="宋体"/>
          <w:kern w:val="0"/>
          <w:sz w:val="24"/>
          <w:szCs w:val="24"/>
        </w:rPr>
        <w:t>4.2.14 对未提供样品或提供样品不满足采购需求实质性条件的供应商，投标无效；</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4.2.15 投标文件不满足招标文件的其它实质性要求的；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4.2.16法律、法规、规章（适用本市的）及省级以上规范性文件（适用本市的）规定的其他无效情形。</w:t>
      </w:r>
    </w:p>
    <w:p>
      <w:pPr>
        <w:pStyle w:val="24"/>
        <w:snapToGrid w:val="0"/>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pPr>
        <w:pStyle w:val="24"/>
        <w:snapToGrid w:val="0"/>
        <w:spacing w:line="360" w:lineRule="auto"/>
        <w:rPr>
          <w:rFonts w:hint="eastAsia" w:cs="宋体"/>
        </w:rPr>
      </w:pPr>
      <w:r>
        <w:rPr>
          <w:rFonts w:hint="eastAsia" w:cs="宋体"/>
        </w:rPr>
        <w:t>5.1符合专业条件的供应商或者对招标文件作实质响应的供应商不足3家的；</w:t>
      </w:r>
    </w:p>
    <w:p>
      <w:pPr>
        <w:pStyle w:val="24"/>
        <w:snapToGrid w:val="0"/>
        <w:spacing w:line="360" w:lineRule="auto"/>
        <w:rPr>
          <w:rFonts w:hint="eastAsia" w:cs="宋体"/>
        </w:rPr>
      </w:pPr>
      <w:r>
        <w:rPr>
          <w:rFonts w:hint="eastAsia" w:cs="宋体"/>
        </w:rPr>
        <w:t>5.2出现影响采购公正的违法、违规行为的；</w:t>
      </w:r>
    </w:p>
    <w:p>
      <w:pPr>
        <w:pStyle w:val="24"/>
        <w:snapToGrid w:val="0"/>
        <w:spacing w:line="360" w:lineRule="auto"/>
        <w:rPr>
          <w:rFonts w:hint="eastAsia" w:cs="宋体"/>
        </w:rPr>
      </w:pPr>
      <w:r>
        <w:rPr>
          <w:rFonts w:hint="eastAsia" w:cs="宋体"/>
        </w:rPr>
        <w:t>5.3投标人的报价均超过了采购预算，采购人不能支付的；</w:t>
      </w:r>
    </w:p>
    <w:p>
      <w:pPr>
        <w:pStyle w:val="24"/>
        <w:snapToGrid w:val="0"/>
        <w:spacing w:line="360" w:lineRule="auto"/>
        <w:rPr>
          <w:rFonts w:hint="eastAsia" w:cs="宋体"/>
        </w:rPr>
      </w:pPr>
      <w:r>
        <w:rPr>
          <w:rFonts w:hint="eastAsia" w:cs="宋体"/>
        </w:rPr>
        <w:t>5.4因重大变故，采购任务取消的。</w:t>
      </w:r>
    </w:p>
    <w:p>
      <w:pPr>
        <w:pStyle w:val="24"/>
        <w:snapToGrid w:val="0"/>
        <w:spacing w:line="360" w:lineRule="auto"/>
        <w:rPr>
          <w:rFonts w:hint="eastAsia" w:cs="宋体"/>
        </w:rPr>
      </w:pPr>
      <w:r>
        <w:rPr>
          <w:rFonts w:hint="eastAsia" w:cs="宋体"/>
        </w:rPr>
        <w:t>废标后，采购代理机构应当将废标理由通知所有投标人。</w:t>
      </w:r>
    </w:p>
    <w:p>
      <w:pPr>
        <w:pStyle w:val="24"/>
        <w:snapToGrid w:val="0"/>
        <w:spacing w:line="360" w:lineRule="auto"/>
        <w:ind w:firstLine="590" w:firstLineChars="245"/>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4"/>
        <w:snapToGrid w:val="0"/>
        <w:spacing w:line="360" w:lineRule="auto"/>
        <w:rPr>
          <w:rFonts w:hint="eastAsia" w:cs="宋体"/>
        </w:rPr>
      </w:pPr>
      <w:r>
        <w:rPr>
          <w:rFonts w:hint="eastAsia" w:cs="宋体"/>
        </w:rPr>
        <w:t>7.1未确定中标供应商的，终止本次政府采购活动，重新开展政府采购活动。</w:t>
      </w:r>
    </w:p>
    <w:p>
      <w:pPr>
        <w:pStyle w:val="24"/>
        <w:snapToGrid w:val="0"/>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hint="eastAsia" w:cs="宋体"/>
        </w:rPr>
      </w:pPr>
      <w:r>
        <w:rPr>
          <w:rFonts w:hint="eastAsia" w:cs="宋体"/>
        </w:rPr>
        <w:t>7.4政府采购合同已经履行，给采购人、供应商造成损失的，由责任人承担赔偿责任。</w:t>
      </w:r>
    </w:p>
    <w:p>
      <w:pPr>
        <w:pStyle w:val="24"/>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hint="eastAsia" w:cs="宋体"/>
        </w:rPr>
      </w:pPr>
    </w:p>
    <w:p>
      <w:pPr>
        <w:pStyle w:val="24"/>
        <w:snapToGrid w:val="0"/>
        <w:spacing w:line="360" w:lineRule="auto"/>
        <w:ind w:firstLine="0" w:firstLineChars="0"/>
        <w:rPr>
          <w:rFonts w:hint="eastAsia" w:cs="宋体"/>
        </w:rPr>
      </w:pPr>
    </w:p>
    <w:p>
      <w:pPr>
        <w:pStyle w:val="24"/>
        <w:snapToGrid w:val="0"/>
        <w:spacing w:line="360" w:lineRule="auto"/>
        <w:ind w:firstLine="0" w:firstLineChars="0"/>
        <w:rPr>
          <w:rFonts w:hint="eastAsia" w:cs="宋体"/>
        </w:rPr>
      </w:pPr>
    </w:p>
    <w:p>
      <w:pPr>
        <w:pStyle w:val="25"/>
        <w:ind w:firstLine="420"/>
        <w:rPr>
          <w:rFonts w:hint="eastAsia" w:cs="宋体"/>
        </w:rPr>
      </w:pPr>
    </w:p>
    <w:p>
      <w:pPr>
        <w:rPr>
          <w:rFonts w:cs="宋体"/>
        </w:rPr>
      </w:pPr>
    </w:p>
    <w:p>
      <w:pPr>
        <w:rPr>
          <w:rFonts w:cs="宋体"/>
        </w:rPr>
      </w:pPr>
    </w:p>
    <w:p>
      <w:pPr>
        <w:rPr>
          <w:rFonts w:cs="宋体"/>
        </w:rPr>
      </w:pPr>
    </w:p>
    <w:p>
      <w:pPr>
        <w:rPr>
          <w:rFonts w:cs="宋体"/>
        </w:rPr>
      </w:pPr>
    </w:p>
    <w:p>
      <w:pPr>
        <w:pStyle w:val="2"/>
        <w:rPr>
          <w:rFonts w:cs="宋体"/>
        </w:rPr>
      </w:pPr>
    </w:p>
    <w:p>
      <w:pPr>
        <w:pStyle w:val="2"/>
        <w:ind w:left="0" w:leftChars="0" w:firstLine="0" w:firstLineChars="0"/>
      </w:pPr>
    </w:p>
    <w:p/>
    <w:bookmarkEnd w:id="26"/>
    <w:p>
      <w:pPr>
        <w:spacing w:line="360" w:lineRule="auto"/>
        <w:ind w:left="720" w:leftChars="343" w:firstLine="1084" w:firstLineChars="300"/>
        <w:outlineLvl w:val="0"/>
        <w:rPr>
          <w:rFonts w:hint="eastAsia" w:ascii="宋体" w:hAnsi="宋体" w:cs="宋体"/>
          <w:b/>
          <w:sz w:val="36"/>
          <w:szCs w:val="36"/>
        </w:rPr>
      </w:pPr>
      <w:bookmarkStart w:id="406" w:name="第五部分"/>
      <w:bookmarkStart w:id="407" w:name="_Toc86217003"/>
      <w:r>
        <w:rPr>
          <w:rFonts w:hint="eastAsia" w:ascii="宋体" w:hAnsi="宋体" w:cs="宋体"/>
          <w:b/>
          <w:sz w:val="36"/>
          <w:szCs w:val="36"/>
        </w:rPr>
        <w:t>第五部分 拟签订的合同文本</w:t>
      </w:r>
    </w:p>
    <w:p>
      <w:pPr>
        <w:rPr>
          <w:rFonts w:hint="eastAsia"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hint="eastAsia" w:ascii="宋体" w:hAnsi="宋体" w:cs="宋体"/>
          <w:b/>
          <w:sz w:val="28"/>
          <w:szCs w:val="28"/>
        </w:rPr>
      </w:pPr>
    </w:p>
    <w:p>
      <w:pPr>
        <w:spacing w:line="480" w:lineRule="auto"/>
        <w:jc w:val="center"/>
        <w:rPr>
          <w:rFonts w:hint="eastAsia" w:ascii="宋体" w:hAnsi="宋体" w:cs="宋体"/>
          <w:b/>
          <w:sz w:val="24"/>
        </w:rPr>
      </w:pPr>
    </w:p>
    <w:p>
      <w:pPr>
        <w:spacing w:line="480" w:lineRule="auto"/>
        <w:jc w:val="center"/>
        <w:rPr>
          <w:rFonts w:hint="eastAsia" w:ascii="宋体" w:hAnsi="宋体" w:cs="宋体"/>
          <w:b/>
          <w:sz w:val="24"/>
        </w:rPr>
      </w:pPr>
    </w:p>
    <w:p>
      <w:pPr>
        <w:spacing w:line="480" w:lineRule="auto"/>
        <w:jc w:val="center"/>
        <w:rPr>
          <w:rFonts w:hint="eastAsia"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hint="eastAsia" w:ascii="宋体" w:hAnsi="宋体" w:cs="宋体"/>
          <w:b/>
          <w:sz w:val="36"/>
          <w:szCs w:val="36"/>
        </w:rPr>
      </w:pPr>
      <w:r>
        <w:rPr>
          <w:rFonts w:hint="eastAsia" w:ascii="宋体" w:hAnsi="宋体" w:cs="宋体"/>
          <w:b/>
          <w:sz w:val="36"/>
          <w:szCs w:val="36"/>
        </w:rPr>
        <w:t>（货物类）</w:t>
      </w:r>
    </w:p>
    <w:p>
      <w:pPr>
        <w:pStyle w:val="700"/>
        <w:rPr>
          <w:rFonts w:hint="eastAsia" w:ascii="宋体" w:hAnsi="宋体" w:cs="宋体"/>
          <w:szCs w:val="24"/>
        </w:rPr>
      </w:pPr>
    </w:p>
    <w:p>
      <w:pPr>
        <w:pStyle w:val="700"/>
        <w:rPr>
          <w:rFonts w:hint="eastAsia" w:ascii="宋体" w:hAnsi="宋体" w:cs="宋体"/>
          <w:szCs w:val="24"/>
        </w:rPr>
      </w:pPr>
    </w:p>
    <w:p>
      <w:pPr>
        <w:pStyle w:val="700"/>
        <w:rPr>
          <w:rFonts w:hint="eastAsia" w:ascii="宋体" w:hAnsi="宋体" w:cs="宋体"/>
          <w:szCs w:val="24"/>
        </w:rPr>
      </w:pPr>
    </w:p>
    <w:p>
      <w:pPr>
        <w:spacing w:before="120" w:line="22" w:lineRule="atLeast"/>
        <w:rPr>
          <w:rFonts w:hint="eastAsia" w:ascii="宋体" w:hAnsi="宋体" w:cs="宋体"/>
          <w:sz w:val="24"/>
        </w:rPr>
      </w:pPr>
    </w:p>
    <w:p>
      <w:pPr>
        <w:spacing w:before="120" w:line="22" w:lineRule="atLeast"/>
        <w:ind w:left="960"/>
        <w:rPr>
          <w:rFonts w:hint="eastAsia"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p>
    <w:p>
      <w:pPr>
        <w:spacing w:before="120" w:line="22" w:lineRule="atLeast"/>
        <w:ind w:left="960"/>
        <w:rPr>
          <w:rFonts w:hint="eastAsia"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p>
    <w:p>
      <w:pPr>
        <w:pStyle w:val="23"/>
      </w:pPr>
    </w:p>
    <w:p>
      <w:pPr>
        <w:pStyle w:val="597"/>
        <w:spacing w:before="120" w:line="22" w:lineRule="atLeast"/>
        <w:rPr>
          <w:rFonts w:hint="eastAsia" w:ascii="宋体" w:hAnsi="宋体" w:eastAsia="宋体" w:cs="宋体"/>
          <w:szCs w:val="24"/>
        </w:rPr>
      </w:pPr>
    </w:p>
    <w:p>
      <w:pPr>
        <w:pStyle w:val="597"/>
        <w:spacing w:before="120" w:line="22" w:lineRule="atLeast"/>
        <w:rPr>
          <w:rFonts w:hint="eastAsia" w:ascii="宋体" w:hAnsi="宋体" w:eastAsia="宋体" w:cs="宋体"/>
          <w:szCs w:val="24"/>
        </w:rPr>
      </w:pPr>
    </w:p>
    <w:p>
      <w:pPr>
        <w:rPr>
          <w:rFonts w:hint="eastAsia" w:ascii="宋体" w:hAnsi="宋体" w:cs="宋体"/>
          <w:sz w:val="24"/>
        </w:rPr>
      </w:pPr>
    </w:p>
    <w:p>
      <w:pPr>
        <w:spacing w:before="120" w:line="22" w:lineRule="atLeast"/>
        <w:ind w:left="960"/>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hint="eastAsia" w:ascii="宋体" w:hAnsi="宋体" w:cs="宋体"/>
          <w:sz w:val="24"/>
        </w:rPr>
      </w:pPr>
    </w:p>
    <w:p>
      <w:pPr>
        <w:spacing w:before="120" w:line="22" w:lineRule="atLeast"/>
        <w:ind w:left="960"/>
        <w:rPr>
          <w:rFonts w:hint="eastAsia"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hint="eastAsia" w:ascii="宋体" w:hAnsi="宋体" w:cs="宋体"/>
          <w:sz w:val="24"/>
        </w:rPr>
      </w:pPr>
    </w:p>
    <w:p>
      <w:pPr>
        <w:spacing w:before="120" w:line="22" w:lineRule="atLeast"/>
        <w:ind w:firstLine="960" w:firstLineChars="400"/>
        <w:rPr>
          <w:rFonts w:hint="eastAsia"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hint="eastAsia" w:ascii="宋体" w:hAnsi="宋体" w:cs="宋体"/>
          <w:sz w:val="24"/>
        </w:rPr>
      </w:pPr>
    </w:p>
    <w:p>
      <w:pPr>
        <w:spacing w:before="120" w:line="22" w:lineRule="atLeast"/>
        <w:ind w:firstLine="960" w:firstLineChars="400"/>
        <w:rPr>
          <w:rFonts w:hint="eastAsia" w:ascii="宋体" w:hAnsi="宋体" w:cs="宋体"/>
          <w:kern w:val="0"/>
          <w:sz w:val="24"/>
        </w:rPr>
        <w:sectPr>
          <w:headerReference r:id="rId12" w:type="default"/>
          <w:footerReference r:id="rId13" w:type="default"/>
          <w:pgSz w:w="11907" w:h="16840"/>
          <w:pgMar w:top="1474" w:right="1273" w:bottom="1474" w:left="1394" w:header="851" w:footer="851" w:gutter="0"/>
          <w:cols w:space="720" w:num="1"/>
        </w:sect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p>
    <w:p>
      <w:pPr>
        <w:spacing w:line="560" w:lineRule="exact"/>
        <w:ind w:firstLine="480" w:firstLineChars="200"/>
        <w:rPr>
          <w:rFonts w:hint="eastAsia"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eastAsia="zh-CN"/>
        </w:rPr>
        <w:t>杭州市文三教育集团（总校）</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u w:val="single"/>
          <w:lang w:eastAsia="zh-CN"/>
        </w:rPr>
        <w:t>杭州市文三教育集团（总校）</w:t>
      </w:r>
      <w:r>
        <w:rPr>
          <w:rFonts w:hint="eastAsia" w:ascii="宋体" w:hAnsi="宋体" w:cs="宋体"/>
          <w:sz w:val="24"/>
          <w:u w:val="single"/>
        </w:rPr>
        <w:t xml:space="preserve">新校区电子显示屏采购项目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（中标供应商名称）</w:t>
      </w:r>
      <w:r>
        <w:rPr>
          <w:rFonts w:hint="eastAsia" w:ascii="宋体" w:hAnsi="宋体" w:cs="宋体"/>
          <w:sz w:val="24"/>
        </w:rPr>
        <w:t>为该项目中标供应商。现于中标通知书发出之日起10个工作日内，按照采购文件确定的事项签订本合同。</w:t>
      </w:r>
    </w:p>
    <w:p>
      <w:pPr>
        <w:spacing w:line="560" w:lineRule="exact"/>
        <w:ind w:firstLine="480" w:firstLineChars="200"/>
        <w:rPr>
          <w:rFonts w:hint="eastAsia"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w:t>
      </w:r>
      <w:r>
        <w:rPr>
          <w:rFonts w:hint="eastAsia" w:ascii="宋体" w:hAnsi="宋体" w:cs="宋体"/>
          <w:sz w:val="24"/>
          <w:u w:val="single"/>
          <w:lang w:eastAsia="zh-CN"/>
        </w:rPr>
        <w:t>杭州市文三教育集团（总校）</w:t>
      </w:r>
      <w:r>
        <w:rPr>
          <w:rFonts w:hint="eastAsia" w:ascii="宋体" w:hAnsi="宋体" w:cs="宋体"/>
          <w:sz w:val="24"/>
          <w:u w:val="single"/>
        </w:rPr>
        <w:t xml:space="preserve">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hint="eastAsia" w:ascii="宋体" w:hAnsi="宋体" w:cs="宋体"/>
          <w:b/>
          <w:sz w:val="24"/>
        </w:rPr>
      </w:pPr>
      <w:bookmarkStart w:id="408" w:name="_Toc3029"/>
      <w:bookmarkStart w:id="409" w:name="_Toc2232"/>
      <w:bookmarkStart w:id="410" w:name="_Toc24059"/>
      <w:r>
        <w:rPr>
          <w:rFonts w:hint="eastAsia" w:ascii="宋体" w:hAnsi="宋体" w:cs="宋体"/>
          <w:b/>
          <w:sz w:val="24"/>
        </w:rPr>
        <w:t>1.1 合同组成部分</w:t>
      </w:r>
      <w:bookmarkEnd w:id="408"/>
      <w:bookmarkEnd w:id="409"/>
      <w:bookmarkEnd w:id="410"/>
    </w:p>
    <w:p>
      <w:pPr>
        <w:spacing w:line="560" w:lineRule="exact"/>
        <w:ind w:firstLine="480" w:firstLineChars="200"/>
        <w:rPr>
          <w:rFonts w:hint="eastAsia"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hint="eastAsia" w:ascii="宋体" w:hAnsi="宋体" w:cs="宋体"/>
          <w:sz w:val="24"/>
        </w:rPr>
      </w:pPr>
      <w:r>
        <w:rPr>
          <w:rFonts w:hint="eastAsia" w:ascii="宋体" w:hAnsi="宋体" w:cs="宋体"/>
          <w:sz w:val="24"/>
        </w:rPr>
        <w:t>1.1.2 中标通知书；</w:t>
      </w:r>
    </w:p>
    <w:p>
      <w:pPr>
        <w:spacing w:line="560" w:lineRule="exact"/>
        <w:ind w:firstLine="480" w:firstLineChars="200"/>
        <w:rPr>
          <w:rFonts w:hint="eastAsia" w:ascii="宋体" w:hAnsi="宋体" w:cs="宋体"/>
          <w:sz w:val="24"/>
        </w:rPr>
      </w:pPr>
      <w:r>
        <w:rPr>
          <w:rFonts w:hint="eastAsia" w:ascii="宋体" w:hAnsi="宋体" w:cs="宋体"/>
          <w:sz w:val="24"/>
        </w:rPr>
        <w:t>1.1.3 投标文件（含澄清或者说明文件）；</w:t>
      </w:r>
    </w:p>
    <w:p>
      <w:pPr>
        <w:spacing w:line="560" w:lineRule="exact"/>
        <w:ind w:firstLine="480" w:firstLineChars="200"/>
        <w:rPr>
          <w:rFonts w:hint="eastAsia" w:ascii="宋体" w:hAnsi="宋体" w:cs="宋体"/>
          <w:sz w:val="24"/>
        </w:rPr>
      </w:pPr>
      <w:r>
        <w:rPr>
          <w:rFonts w:hint="eastAsia" w:ascii="宋体" w:hAnsi="宋体" w:cs="宋体"/>
          <w:sz w:val="24"/>
        </w:rPr>
        <w:t>1.1.4 招标文件（含澄清或者修改文件）；</w:t>
      </w:r>
    </w:p>
    <w:p>
      <w:pPr>
        <w:spacing w:line="560" w:lineRule="exact"/>
        <w:ind w:firstLine="480" w:firstLineChars="200"/>
        <w:rPr>
          <w:rFonts w:hint="eastAsia"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hint="eastAsia" w:ascii="宋体" w:hAnsi="宋体" w:cs="宋体"/>
          <w:b/>
          <w:sz w:val="24"/>
        </w:rPr>
      </w:pPr>
      <w:bookmarkStart w:id="411" w:name="_Toc24300"/>
      <w:bookmarkStart w:id="412" w:name="_Toc21295"/>
      <w:bookmarkStart w:id="413" w:name="_Toc27126"/>
      <w:r>
        <w:rPr>
          <w:rFonts w:hint="eastAsia" w:ascii="宋体" w:hAnsi="宋体" w:cs="宋体"/>
          <w:b/>
          <w:sz w:val="24"/>
        </w:rPr>
        <w:t>1.2 货物</w:t>
      </w:r>
      <w:bookmarkEnd w:id="411"/>
      <w:bookmarkEnd w:id="412"/>
      <w:bookmarkEnd w:id="413"/>
    </w:p>
    <w:p>
      <w:pPr>
        <w:spacing w:line="560" w:lineRule="exact"/>
        <w:ind w:firstLine="480" w:firstLineChars="200"/>
        <w:rPr>
          <w:rFonts w:hint="eastAsia" w:ascii="宋体" w:hAnsi="宋体" w:cs="宋体"/>
          <w:sz w:val="24"/>
          <w:u w:val="single"/>
        </w:rPr>
      </w:pPr>
      <w:r>
        <w:rPr>
          <w:rFonts w:hint="eastAsia" w:ascii="宋体" w:hAnsi="宋体" w:cs="宋体"/>
          <w:sz w:val="24"/>
        </w:rPr>
        <w:t>1.2.1 货物名称：</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hint="eastAsia"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hint="eastAsia" w:ascii="宋体" w:hAnsi="宋体" w:cs="宋体"/>
          <w:sz w:val="24"/>
        </w:rPr>
      </w:pPr>
      <w:r>
        <w:rPr>
          <w:rFonts w:hint="eastAsia" w:ascii="宋体" w:hAnsi="宋体" w:cs="宋体"/>
          <w:sz w:val="24"/>
        </w:rPr>
        <w:t>1.2.3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hint="eastAsia" w:ascii="宋体" w:hAnsi="宋体" w:cs="宋体"/>
          <w:b/>
          <w:sz w:val="24"/>
        </w:rPr>
      </w:pPr>
      <w:bookmarkStart w:id="414" w:name="_Toc23292"/>
      <w:bookmarkStart w:id="415" w:name="_Toc21631"/>
      <w:bookmarkStart w:id="416" w:name="_Toc21551"/>
      <w:r>
        <w:rPr>
          <w:rFonts w:hint="eastAsia" w:ascii="宋体" w:hAnsi="宋体" w:cs="宋体"/>
          <w:b/>
          <w:sz w:val="24"/>
        </w:rPr>
        <w:t>1.3 价款</w:t>
      </w:r>
      <w:bookmarkEnd w:id="414"/>
      <w:bookmarkEnd w:id="415"/>
      <w:bookmarkEnd w:id="416"/>
    </w:p>
    <w:p>
      <w:pPr>
        <w:spacing w:line="560" w:lineRule="exact"/>
        <w:ind w:firstLine="480" w:firstLineChars="200"/>
        <w:rPr>
          <w:rFonts w:hint="eastAsia"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hint="eastAsia" w:ascii="宋体" w:hAnsi="宋体" w:cs="宋体"/>
          <w:sz w:val="24"/>
          <w:u w:val="single"/>
        </w:rPr>
      </w:pPr>
      <w:r>
        <w:rPr>
          <w:rFonts w:hint="eastAsia" w:ascii="宋体" w:hAnsi="宋体" w:cs="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hint="eastAsia"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hint="eastAsia"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hAnsi="宋体" w:cs="宋体"/>
                <w:sz w:val="24"/>
                <w:szCs w:val="24"/>
              </w:rPr>
            </w:pPr>
          </w:p>
        </w:tc>
      </w:tr>
    </w:tbl>
    <w:p>
      <w:pPr>
        <w:pStyle w:val="958"/>
        <w:spacing w:before="0" w:beforeAutospacing="0" w:after="0" w:afterAutospacing="0" w:line="360" w:lineRule="auto"/>
        <w:ind w:firstLine="480"/>
        <w:rPr>
          <w:rFonts w:hint="eastAsia"/>
          <w:b/>
        </w:rPr>
      </w:pPr>
      <w:bookmarkStart w:id="417" w:name="_Toc331685783"/>
      <w:r>
        <w:rPr>
          <w:rFonts w:hint="eastAsia"/>
          <w:b/>
        </w:rPr>
        <w:t>1.4履约保证金</w:t>
      </w:r>
    </w:p>
    <w:p>
      <w:pPr>
        <w:pStyle w:val="958"/>
        <w:spacing w:before="0" w:beforeAutospacing="0" w:after="0" w:afterAutospacing="0" w:line="360" w:lineRule="auto"/>
        <w:ind w:firstLine="480"/>
        <w:rPr>
          <w:rFonts w:hint="eastAsia"/>
        </w:rPr>
      </w:pPr>
      <w:r>
        <w:rPr>
          <w:rFonts w:hint="eastAsia"/>
        </w:rPr>
        <w:t>乙方</w:t>
      </w:r>
      <w:r>
        <w:rPr>
          <w:rFonts w:hint="eastAsia"/>
          <w:b/>
          <w:i/>
          <w:u w:val="single"/>
        </w:rPr>
        <w:t>合同专用条款</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b/>
          <w:i/>
          <w:sz w:val="24"/>
          <w:u w:val="single"/>
        </w:rPr>
        <w:t>合同专用条款</w:t>
      </w:r>
      <w:r>
        <w:rPr>
          <w:rFonts w:hint="eastAsia" w:ascii="宋体" w:hAnsi="宋体" w:cs="宋体"/>
          <w:kern w:val="0"/>
          <w:sz w:val="24"/>
        </w:rPr>
        <w:t>%；</w:t>
      </w:r>
    </w:p>
    <w:p>
      <w:pPr>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1.4.2履约保证金支付方式详见</w:t>
      </w:r>
      <w:r>
        <w:rPr>
          <w:rFonts w:hint="eastAsia" w:ascii="宋体" w:hAnsi="宋体" w:cs="宋体"/>
          <w:b/>
          <w:i/>
          <w:sz w:val="24"/>
          <w:u w:val="single"/>
        </w:rPr>
        <w:t>合同专用条款</w:t>
      </w:r>
      <w:r>
        <w:rPr>
          <w:rFonts w:hint="eastAsia" w:ascii="宋体" w:hAnsi="宋体" w:cs="宋体"/>
          <w:kern w:val="0"/>
          <w:sz w:val="24"/>
        </w:rPr>
        <w:t>；</w:t>
      </w:r>
    </w:p>
    <w:p>
      <w:pPr>
        <w:pStyle w:val="2"/>
        <w:tabs>
          <w:tab w:val="left" w:pos="0"/>
          <w:tab w:val="clear" w:pos="432"/>
        </w:tabs>
        <w:ind w:left="0" w:firstLine="480" w:firstLineChars="200"/>
        <w:rPr>
          <w:rFonts w:hint="eastAsia"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5</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360" w:lineRule="auto"/>
        <w:ind w:firstLine="482" w:firstLineChars="200"/>
        <w:outlineLvl w:val="0"/>
        <w:rPr>
          <w:rFonts w:hint="eastAsia" w:ascii="宋体" w:hAnsi="宋体" w:cs="宋体"/>
          <w:b/>
          <w:sz w:val="24"/>
        </w:rPr>
      </w:pPr>
      <w:r>
        <w:rPr>
          <w:rFonts w:hint="eastAsia" w:ascii="宋体" w:hAnsi="宋体" w:cs="宋体"/>
          <w:b/>
          <w:sz w:val="24"/>
        </w:rPr>
        <w:t>1.5预付款</w:t>
      </w:r>
    </w:p>
    <w:p>
      <w:pPr>
        <w:pStyle w:val="958"/>
        <w:spacing w:before="0" w:beforeAutospacing="0" w:after="0" w:afterAutospacing="0" w:line="360" w:lineRule="auto"/>
        <w:ind w:firstLine="480"/>
        <w:rPr>
          <w:rFonts w:hint="eastAsia"/>
        </w:rPr>
      </w:pPr>
      <w:r>
        <w:rPr>
          <w:rFonts w:hint="eastAsia"/>
        </w:rPr>
        <w:t>甲方</w:t>
      </w:r>
      <w:r>
        <w:rPr>
          <w:rFonts w:hint="eastAsia"/>
          <w:b/>
          <w:i/>
          <w:u w:val="single"/>
        </w:rPr>
        <w:t>合同专用条款</w:t>
      </w:r>
      <w:r>
        <w:rPr>
          <w:rFonts w:hint="eastAsia"/>
        </w:rPr>
        <w:t>（是</w:t>
      </w:r>
      <w:r>
        <w:rPr>
          <w:rFonts w:hint="eastAsia" w:ascii="仿宋" w:hAnsi="仿宋" w:eastAsia="仿宋" w:cs="仿宋"/>
        </w:rPr>
        <w:t>/</w:t>
      </w:r>
      <w:r>
        <w:rPr>
          <w:rFonts w:hint="eastAsia"/>
        </w:rPr>
        <w:t>否）需要支付预付款。若需要支付预付款的，则：</w:t>
      </w:r>
    </w:p>
    <w:p>
      <w:pPr>
        <w:spacing w:line="360" w:lineRule="auto"/>
        <w:ind w:right="105" w:rightChars="50" w:firstLine="480" w:firstLineChars="200"/>
        <w:rPr>
          <w:rFonts w:hint="eastAsia"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b/>
          <w:i/>
          <w:sz w:val="24"/>
          <w:u w:val="single"/>
        </w:rPr>
        <w:t>合同专用条款</w:t>
      </w:r>
      <w:r>
        <w:rPr>
          <w:rFonts w:hint="eastAsia" w:ascii="宋体" w:hAnsi="宋体" w:cs="宋体"/>
          <w:kern w:val="0"/>
          <w:sz w:val="24"/>
        </w:rPr>
        <w:t>；</w:t>
      </w:r>
    </w:p>
    <w:p>
      <w:pPr>
        <w:pStyle w:val="958"/>
        <w:spacing w:before="0" w:beforeAutospacing="0" w:after="0" w:afterAutospacing="0" w:line="360" w:lineRule="auto"/>
        <w:ind w:right="105" w:rightChars="50" w:firstLine="480"/>
        <w:rPr>
          <w:rFonts w:hint="eastAsia"/>
        </w:rPr>
      </w:pPr>
      <w:r>
        <w:rPr>
          <w:rFonts w:hint="eastAsia"/>
        </w:rPr>
        <w:t>1.5.2预付款的扣回方式详见</w:t>
      </w:r>
      <w:r>
        <w:rPr>
          <w:rFonts w:hint="eastAsia"/>
          <w:b/>
          <w:i/>
          <w:u w:val="single"/>
        </w:rPr>
        <w:t>合同专用条款</w:t>
      </w:r>
      <w:r>
        <w:rPr>
          <w:rFonts w:hint="eastAsia"/>
        </w:rPr>
        <w:t>；</w:t>
      </w:r>
    </w:p>
    <w:p>
      <w:pPr>
        <w:pStyle w:val="958"/>
        <w:spacing w:before="0" w:beforeAutospacing="0" w:after="0" w:afterAutospacing="0" w:line="360" w:lineRule="auto"/>
        <w:ind w:firstLine="480"/>
        <w:rPr>
          <w:rFonts w:hint="eastAsia"/>
          <w:u w:val="single"/>
        </w:rPr>
      </w:pPr>
      <w:r>
        <w:rPr>
          <w:rFonts w:hint="eastAsia"/>
        </w:rPr>
        <w:t>1.5.3预付款的担保措施详见</w:t>
      </w:r>
      <w:r>
        <w:rPr>
          <w:rFonts w:hint="eastAsia"/>
          <w:b/>
          <w:i/>
          <w:u w:val="single"/>
        </w:rPr>
        <w:t>合同专用条款</w:t>
      </w:r>
      <w:r>
        <w:rPr>
          <w:rFonts w:hint="eastAsia"/>
        </w:rPr>
        <w:t>。</w:t>
      </w:r>
    </w:p>
    <w:p>
      <w:pPr>
        <w:pStyle w:val="958"/>
        <w:spacing w:before="0" w:beforeAutospacing="0" w:after="0" w:afterAutospacing="0" w:line="360" w:lineRule="auto"/>
        <w:ind w:firstLine="480"/>
        <w:rPr>
          <w:rFonts w:hint="eastAsia"/>
          <w:b/>
          <w:bCs/>
        </w:rPr>
      </w:pPr>
      <w:r>
        <w:rPr>
          <w:rFonts w:hint="eastAsia"/>
          <w:b/>
          <w:bCs/>
        </w:rPr>
        <w:t>1.6资金支付</w:t>
      </w:r>
    </w:p>
    <w:p>
      <w:pPr>
        <w:pStyle w:val="958"/>
        <w:spacing w:before="0" w:beforeAutospacing="0" w:after="0" w:afterAutospacing="0" w:line="360" w:lineRule="auto"/>
        <w:ind w:firstLine="480"/>
        <w:rPr>
          <w:rFonts w:hint="eastAsia"/>
        </w:rPr>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firstLine="480" w:firstLineChars="200"/>
        <w:outlineLvl w:val="0"/>
        <w:rPr>
          <w:rFonts w:hint="eastAsia"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outlineLvl w:val="0"/>
        <w:rPr>
          <w:rFonts w:hint="eastAsia" w:ascii="宋体" w:hAnsi="宋体" w:cs="宋体"/>
          <w:b/>
          <w:sz w:val="24"/>
        </w:rPr>
      </w:pPr>
      <w:r>
        <w:rPr>
          <w:rFonts w:hint="eastAsia" w:ascii="宋体" w:hAnsi="宋体" w:cs="宋体"/>
          <w:b/>
          <w:sz w:val="24"/>
        </w:rPr>
        <w:t>1.7货物交付期限、地点和方式</w:t>
      </w:r>
    </w:p>
    <w:p>
      <w:pPr>
        <w:spacing w:line="360" w:lineRule="auto"/>
        <w:ind w:firstLine="480" w:firstLineChars="200"/>
        <w:rPr>
          <w:rFonts w:hint="eastAsia"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outlineLvl w:val="0"/>
        <w:rPr>
          <w:rFonts w:hint="eastAsia" w:ascii="宋体" w:hAnsi="宋体" w:cs="宋体"/>
          <w:b/>
          <w:sz w:val="24"/>
        </w:rPr>
      </w:pPr>
      <w:r>
        <w:rPr>
          <w:rFonts w:hint="eastAsia" w:ascii="宋体" w:hAnsi="宋体" w:cs="宋体"/>
          <w:b/>
          <w:sz w:val="24"/>
        </w:rPr>
        <w:t>1.8违约责任</w:t>
      </w:r>
    </w:p>
    <w:p>
      <w:pPr>
        <w:spacing w:line="360" w:lineRule="auto"/>
        <w:ind w:firstLine="480" w:firstLineChars="200"/>
        <w:rPr>
          <w:rFonts w:hint="eastAsia"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360" w:lineRule="auto"/>
        <w:ind w:firstLine="480" w:firstLineChars="200"/>
        <w:rPr>
          <w:rFonts w:hint="eastAsia"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hint="eastAsia"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360" w:lineRule="auto"/>
        <w:ind w:left="-420" w:leftChars="-200" w:right="-420" w:rightChars="-200" w:firstLine="960" w:firstLineChars="400"/>
        <w:rPr>
          <w:rFonts w:hint="eastAsia"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360" w:lineRule="auto"/>
        <w:ind w:firstLine="482" w:firstLineChars="200"/>
        <w:outlineLvl w:val="0"/>
        <w:rPr>
          <w:rFonts w:hint="eastAsia" w:ascii="宋体" w:hAnsi="宋体" w:cs="宋体"/>
          <w:b/>
          <w:sz w:val="24"/>
        </w:rPr>
      </w:pPr>
      <w:r>
        <w:rPr>
          <w:rFonts w:hint="eastAsia" w:ascii="宋体" w:hAnsi="宋体" w:cs="宋体"/>
          <w:b/>
          <w:sz w:val="24"/>
        </w:rPr>
        <w:t>1.9合同争议的解决</w:t>
      </w:r>
    </w:p>
    <w:p>
      <w:pPr>
        <w:spacing w:line="360" w:lineRule="auto"/>
        <w:ind w:left="-61" w:leftChars="-29" w:right="-420" w:rightChars="-200" w:firstLine="240" w:firstLineChars="100"/>
        <w:rPr>
          <w:rFonts w:hint="eastAsia"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360" w:lineRule="auto"/>
        <w:ind w:left="-420" w:leftChars="-200" w:right="-420" w:rightChars="-200" w:firstLine="840" w:firstLineChars="350"/>
        <w:rPr>
          <w:rFonts w:hint="eastAsia"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360" w:lineRule="auto"/>
        <w:ind w:left="-420" w:leftChars="-200" w:right="-420" w:rightChars="-200" w:firstLine="840" w:firstLineChars="350"/>
        <w:rPr>
          <w:rFonts w:hint="eastAsia"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360" w:lineRule="auto"/>
        <w:ind w:firstLine="482" w:firstLineChars="200"/>
        <w:outlineLvl w:val="0"/>
        <w:rPr>
          <w:rFonts w:hint="eastAsia" w:ascii="宋体" w:hAnsi="宋体" w:cs="宋体"/>
          <w:b/>
          <w:sz w:val="24"/>
        </w:rPr>
      </w:pPr>
      <w:r>
        <w:rPr>
          <w:rFonts w:hint="eastAsia" w:ascii="宋体" w:hAnsi="宋体" w:cs="宋体"/>
          <w:b/>
          <w:sz w:val="24"/>
        </w:rPr>
        <w:t>1.10 合同生效</w:t>
      </w:r>
    </w:p>
    <w:p>
      <w:pPr>
        <w:spacing w:line="360" w:lineRule="auto"/>
        <w:ind w:firstLine="480" w:firstLineChars="200"/>
        <w:rPr>
          <w:rFonts w:hint="eastAsia" w:ascii="宋体" w:hAnsi="宋体" w:cs="宋体"/>
          <w:b/>
          <w:sz w:val="24"/>
        </w:rPr>
      </w:pPr>
      <w:r>
        <w:rPr>
          <w:rFonts w:hint="eastAsia" w:ascii="宋体" w:hAnsi="宋体" w:cs="宋体"/>
          <w:sz w:val="24"/>
        </w:rPr>
        <w:t>本合同自双方当事人盖章签字时生效。</w:t>
      </w:r>
    </w:p>
    <w:p>
      <w:pPr>
        <w:autoSpaceDE w:val="0"/>
        <w:autoSpaceDN w:val="0"/>
        <w:spacing w:line="360" w:lineRule="auto"/>
        <w:rPr>
          <w:rFonts w:hint="eastAsia" w:ascii="宋体" w:hAnsi="宋体" w:cs="宋体"/>
          <w:sz w:val="24"/>
          <w:lang w:val="zh-CN"/>
        </w:rPr>
      </w:pPr>
    </w:p>
    <w:p>
      <w:pPr>
        <w:autoSpaceDE w:val="0"/>
        <w:autoSpaceDN w:val="0"/>
        <w:spacing w:line="360" w:lineRule="auto"/>
        <w:rPr>
          <w:rFonts w:hint="eastAsia"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360" w:lineRule="auto"/>
        <w:rPr>
          <w:rFonts w:hint="eastAsia"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360" w:lineRule="auto"/>
        <w:rPr>
          <w:rFonts w:hint="eastAsia" w:ascii="宋体" w:hAnsi="宋体" w:cs="宋体"/>
          <w:sz w:val="24"/>
          <w:lang w:val="zh-CN"/>
        </w:rPr>
      </w:pPr>
    </w:p>
    <w:p>
      <w:pPr>
        <w:autoSpaceDE w:val="0"/>
        <w:autoSpaceDN w:val="0"/>
        <w:spacing w:line="360" w:lineRule="auto"/>
        <w:rPr>
          <w:rFonts w:hint="eastAsia" w:ascii="宋体" w:hAnsi="宋体" w:cs="宋体"/>
          <w:sz w:val="24"/>
          <w:lang w:val="zh-CN"/>
        </w:rPr>
      </w:pPr>
      <w:r>
        <w:rPr>
          <w:rFonts w:hint="eastAsia" w:ascii="宋体" w:hAnsi="宋体" w:cs="宋体"/>
          <w:sz w:val="24"/>
          <w:lang w:val="zh-CN"/>
        </w:rPr>
        <w:t>住所：                                   住所：</w:t>
      </w:r>
    </w:p>
    <w:p>
      <w:pPr>
        <w:autoSpaceDE w:val="0"/>
        <w:autoSpaceDN w:val="0"/>
        <w:spacing w:line="360" w:lineRule="auto"/>
        <w:rPr>
          <w:rFonts w:hint="eastAsia" w:ascii="宋体" w:hAnsi="宋体" w:cs="宋体"/>
          <w:sz w:val="24"/>
          <w:lang w:val="zh-CN"/>
        </w:rPr>
      </w:pPr>
      <w:r>
        <w:rPr>
          <w:rFonts w:hint="eastAsia" w:ascii="宋体" w:hAnsi="宋体" w:cs="宋体"/>
          <w:sz w:val="24"/>
          <w:lang w:val="zh-CN"/>
        </w:rPr>
        <w:t>法定代表人或                             法定代表人</w:t>
      </w:r>
    </w:p>
    <w:p>
      <w:pPr>
        <w:autoSpaceDE w:val="0"/>
        <w:autoSpaceDN w:val="0"/>
        <w:spacing w:line="360" w:lineRule="auto"/>
        <w:rPr>
          <w:rFonts w:hint="eastAsia"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360" w:lineRule="auto"/>
        <w:rPr>
          <w:rFonts w:hint="eastAsia" w:ascii="宋体" w:hAnsi="宋体" w:cs="宋体"/>
          <w:sz w:val="24"/>
          <w:lang w:val="zh-CN"/>
        </w:rPr>
      </w:pPr>
      <w:r>
        <w:rPr>
          <w:rFonts w:hint="eastAsia" w:ascii="宋体" w:hAnsi="宋体" w:cs="宋体"/>
          <w:sz w:val="24"/>
          <w:lang w:val="zh-CN"/>
        </w:rPr>
        <w:t>联系人：                                 联系人：</w:t>
      </w:r>
    </w:p>
    <w:p>
      <w:pPr>
        <w:autoSpaceDE w:val="0"/>
        <w:autoSpaceDN w:val="0"/>
        <w:spacing w:line="360" w:lineRule="auto"/>
        <w:rPr>
          <w:rFonts w:hint="eastAsia" w:ascii="宋体" w:hAnsi="宋体" w:cs="宋体"/>
          <w:sz w:val="24"/>
          <w:lang w:val="zh-CN"/>
        </w:rPr>
      </w:pPr>
      <w:r>
        <w:rPr>
          <w:rFonts w:hint="eastAsia" w:ascii="宋体" w:hAnsi="宋体" w:cs="宋体"/>
          <w:sz w:val="24"/>
          <w:lang w:val="zh-CN"/>
        </w:rPr>
        <w:t>约定送达地址：                           约定送达地址：</w:t>
      </w:r>
    </w:p>
    <w:p>
      <w:pPr>
        <w:autoSpaceDE w:val="0"/>
        <w:autoSpaceDN w:val="0"/>
        <w:spacing w:line="360" w:lineRule="auto"/>
        <w:rPr>
          <w:rFonts w:hint="eastAsia" w:ascii="宋体" w:hAnsi="宋体" w:cs="宋体"/>
          <w:sz w:val="24"/>
          <w:lang w:val="zh-CN"/>
        </w:rPr>
      </w:pPr>
      <w:r>
        <w:rPr>
          <w:rFonts w:hint="eastAsia" w:ascii="宋体" w:hAnsi="宋体" w:cs="宋体"/>
          <w:sz w:val="24"/>
          <w:lang w:val="zh-CN"/>
        </w:rPr>
        <w:t>邮政编码：                               邮政编码：</w:t>
      </w:r>
    </w:p>
    <w:p>
      <w:pPr>
        <w:autoSpaceDE w:val="0"/>
        <w:autoSpaceDN w:val="0"/>
        <w:spacing w:line="360" w:lineRule="auto"/>
        <w:rPr>
          <w:rFonts w:hint="eastAsia" w:ascii="宋体" w:hAnsi="宋体" w:cs="宋体"/>
          <w:sz w:val="24"/>
          <w:lang w:val="zh-CN"/>
        </w:rPr>
      </w:pPr>
      <w:r>
        <w:rPr>
          <w:rFonts w:hint="eastAsia" w:ascii="宋体" w:hAnsi="宋体" w:cs="宋体"/>
          <w:sz w:val="24"/>
          <w:lang w:val="zh-CN"/>
        </w:rPr>
        <w:t xml:space="preserve">电话:                                    电话: </w:t>
      </w:r>
    </w:p>
    <w:p>
      <w:pPr>
        <w:autoSpaceDE w:val="0"/>
        <w:autoSpaceDN w:val="0"/>
        <w:spacing w:line="360" w:lineRule="auto"/>
        <w:rPr>
          <w:rFonts w:hint="eastAsia" w:ascii="宋体" w:hAnsi="宋体" w:cs="宋体"/>
          <w:sz w:val="24"/>
          <w:lang w:val="zh-CN"/>
        </w:rPr>
      </w:pPr>
      <w:r>
        <w:rPr>
          <w:rFonts w:hint="eastAsia" w:ascii="宋体" w:hAnsi="宋体" w:cs="宋体"/>
          <w:sz w:val="24"/>
          <w:lang w:val="zh-CN"/>
        </w:rPr>
        <w:t>传真:                                    传真:</w:t>
      </w:r>
    </w:p>
    <w:p>
      <w:pPr>
        <w:autoSpaceDE w:val="0"/>
        <w:autoSpaceDN w:val="0"/>
        <w:spacing w:line="360" w:lineRule="auto"/>
        <w:rPr>
          <w:rFonts w:hint="eastAsia" w:ascii="宋体" w:hAnsi="宋体" w:cs="宋体"/>
          <w:sz w:val="24"/>
        </w:rPr>
      </w:pPr>
      <w:r>
        <w:rPr>
          <w:rFonts w:hint="eastAsia" w:ascii="宋体" w:hAnsi="宋体" w:cs="宋体"/>
          <w:sz w:val="24"/>
          <w:lang w:val="zh-CN"/>
        </w:rPr>
        <w:t>电子邮箱：                               电子邮箱：</w:t>
      </w:r>
    </w:p>
    <w:p>
      <w:pPr>
        <w:autoSpaceDE w:val="0"/>
        <w:autoSpaceDN w:val="0"/>
        <w:spacing w:line="360" w:lineRule="auto"/>
        <w:rPr>
          <w:rFonts w:hint="eastAsia" w:ascii="宋体" w:hAnsi="宋体" w:cs="宋体"/>
          <w:sz w:val="24"/>
        </w:rPr>
      </w:pPr>
      <w:r>
        <w:rPr>
          <w:rFonts w:hint="eastAsia" w:ascii="宋体" w:hAnsi="宋体" w:cs="宋体"/>
          <w:sz w:val="24"/>
        </w:rPr>
        <w:t xml:space="preserve">开户银行：                               开户银行： </w:t>
      </w:r>
    </w:p>
    <w:p>
      <w:pPr>
        <w:autoSpaceDE w:val="0"/>
        <w:autoSpaceDN w:val="0"/>
        <w:spacing w:line="360" w:lineRule="auto"/>
        <w:rPr>
          <w:rFonts w:hint="eastAsia" w:ascii="宋体" w:hAnsi="宋体" w:cs="宋体"/>
          <w:sz w:val="24"/>
        </w:rPr>
      </w:pPr>
      <w:r>
        <w:rPr>
          <w:rFonts w:hint="eastAsia" w:ascii="宋体" w:hAnsi="宋体" w:cs="宋体"/>
          <w:sz w:val="24"/>
        </w:rPr>
        <w:t xml:space="preserve">开户名称：                               开户名称： </w:t>
      </w:r>
    </w:p>
    <w:p>
      <w:pPr>
        <w:autoSpaceDE w:val="0"/>
        <w:autoSpaceDN w:val="0"/>
        <w:spacing w:line="360" w:lineRule="auto"/>
        <w:rPr>
          <w:rFonts w:hint="eastAsia" w:ascii="宋体" w:hAnsi="宋体" w:cs="宋体"/>
          <w:sz w:val="24"/>
        </w:rPr>
      </w:pPr>
      <w:r>
        <w:rPr>
          <w:rFonts w:hint="eastAsia" w:ascii="宋体" w:hAnsi="宋体" w:cs="宋体"/>
          <w:sz w:val="24"/>
        </w:rPr>
        <w:t>开户账号：开户账号：</w:t>
      </w:r>
    </w:p>
    <w:p>
      <w:pPr>
        <w:pStyle w:val="2"/>
        <w:rPr>
          <w:rFonts w:hint="eastAsia" w:ascii="宋体" w:hAnsi="宋体" w:cs="宋体"/>
          <w:sz w:val="24"/>
        </w:rPr>
      </w:pPr>
    </w:p>
    <w:p>
      <w:pPr>
        <w:widowControl/>
        <w:adjustRightInd/>
        <w:jc w:val="left"/>
        <w:rPr>
          <w:rFonts w:hint="eastAsia" w:ascii="宋体" w:hAnsi="宋体" w:cs="宋体"/>
          <w:b/>
          <w:sz w:val="24"/>
        </w:rPr>
      </w:pPr>
      <w:r>
        <w:rPr>
          <w:rFonts w:ascii="宋体" w:hAnsi="宋体" w:cs="宋体"/>
          <w:b/>
        </w:rPr>
        <w:br w:type="page"/>
      </w:r>
    </w:p>
    <w:p>
      <w:pPr>
        <w:pStyle w:val="700"/>
        <w:spacing w:line="560" w:lineRule="exact"/>
        <w:ind w:firstLine="482"/>
        <w:jc w:val="center"/>
        <w:rPr>
          <w:rFonts w:hint="eastAsia" w:ascii="宋体" w:hAnsi="宋体" w:cs="宋体"/>
          <w:b/>
          <w:szCs w:val="24"/>
        </w:rPr>
      </w:pPr>
      <w:r>
        <w:rPr>
          <w:rFonts w:hint="eastAsia" w:ascii="宋体" w:hAnsi="宋体" w:cs="宋体"/>
          <w:b/>
          <w:szCs w:val="24"/>
        </w:rPr>
        <w:t>第二部分 合同一般条款</w:t>
      </w:r>
      <w:bookmarkEnd w:id="417"/>
    </w:p>
    <w:p>
      <w:pPr>
        <w:spacing w:line="560" w:lineRule="exact"/>
        <w:ind w:firstLine="482" w:firstLineChars="200"/>
        <w:outlineLvl w:val="0"/>
        <w:rPr>
          <w:rFonts w:hint="eastAsia" w:ascii="宋体" w:hAnsi="宋体" w:cs="宋体"/>
          <w:b/>
          <w:sz w:val="24"/>
        </w:rPr>
      </w:pPr>
      <w:bookmarkStart w:id="418" w:name="_Toc28763"/>
      <w:bookmarkStart w:id="419" w:name="_Ref467378404"/>
      <w:bookmarkStart w:id="420" w:name="_Toc487900349"/>
      <w:bookmarkStart w:id="421" w:name="_Ref467379094"/>
      <w:bookmarkStart w:id="422" w:name="_Ref467379205"/>
      <w:bookmarkStart w:id="423" w:name="_Ref467379225"/>
      <w:bookmarkStart w:id="424" w:name="_Ref467378463"/>
      <w:bookmarkStart w:id="425" w:name="_Toc279701240"/>
      <w:bookmarkStart w:id="426" w:name="_Toc19614"/>
      <w:bookmarkStart w:id="427" w:name="_Toc259093669"/>
      <w:bookmarkStart w:id="428" w:name="_Ref467379109"/>
      <w:bookmarkStart w:id="429" w:name="_Ref467378499"/>
      <w:bookmarkStart w:id="430" w:name="_Ref467379101"/>
      <w:bookmarkStart w:id="431" w:name="_Ref467379195"/>
      <w:bookmarkStart w:id="432" w:name="_Toc16917"/>
      <w:bookmarkStart w:id="433" w:name="_Ref467379214"/>
      <w:r>
        <w:rPr>
          <w:rFonts w:hint="eastAsia" w:ascii="宋体" w:hAnsi="宋体" w:cs="宋体"/>
          <w:b/>
          <w:sz w:val="24"/>
        </w:rPr>
        <w:t>2.1 定义</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pPr>
        <w:spacing w:line="560" w:lineRule="exact"/>
        <w:ind w:firstLine="480" w:firstLineChars="200"/>
        <w:rPr>
          <w:rFonts w:hint="eastAsia"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hint="eastAsia" w:ascii="宋体" w:hAnsi="宋体" w:cs="宋体"/>
          <w:sz w:val="24"/>
        </w:rPr>
      </w:pPr>
      <w:r>
        <w:rPr>
          <w:rFonts w:hint="eastAsia" w:ascii="宋体" w:hAnsi="宋体" w:cs="宋体"/>
          <w:sz w:val="24"/>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宋体" w:hAnsi="宋体" w:cs="宋体"/>
          <w:sz w:val="24"/>
        </w:rPr>
      </w:pPr>
      <w:r>
        <w:rPr>
          <w:rFonts w:hint="eastAsia" w:ascii="宋体" w:hAnsi="宋体" w:cs="宋体"/>
          <w:sz w:val="24"/>
        </w:rPr>
        <w:t>2.1.2 “合同价”系指根据合同约定，中标供应商在完全履行合同义务后，采购人应支付给中标供应商的价格。</w:t>
      </w:r>
    </w:p>
    <w:p>
      <w:pPr>
        <w:spacing w:line="560" w:lineRule="exact"/>
        <w:ind w:firstLine="480" w:firstLineChars="200"/>
        <w:rPr>
          <w:rFonts w:hint="eastAsia" w:ascii="宋体" w:hAnsi="宋体" w:cs="宋体"/>
          <w:sz w:val="24"/>
        </w:rPr>
      </w:pPr>
      <w:r>
        <w:rPr>
          <w:rFonts w:hint="eastAsia" w:ascii="宋体" w:hAnsi="宋体" w:cs="宋体"/>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hint="eastAsia" w:ascii="宋体" w:hAnsi="宋体" w:cs="宋体"/>
          <w:sz w:val="24"/>
        </w:rPr>
      </w:pPr>
      <w:bookmarkStart w:id="434" w:name="_Ref467378840"/>
      <w:r>
        <w:rPr>
          <w:rFonts w:hint="eastAsia" w:ascii="宋体" w:hAnsi="宋体" w:cs="宋体"/>
          <w:sz w:val="24"/>
        </w:rPr>
        <w:t>2.1.4 “甲方”系指与中标供应商签署合同的采购人</w:t>
      </w:r>
      <w:bookmarkEnd w:id="434"/>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hint="eastAsia" w:ascii="宋体" w:hAnsi="宋体" w:cs="宋体"/>
          <w:sz w:val="24"/>
        </w:rPr>
      </w:pPr>
      <w:bookmarkStart w:id="435" w:name="_Ref467379400"/>
      <w:r>
        <w:rPr>
          <w:rFonts w:hint="eastAsia" w:ascii="宋体" w:hAnsi="宋体" w:cs="宋体"/>
          <w:sz w:val="24"/>
        </w:rPr>
        <w:t>2.1.5 “乙方”系指根据合同约定交付货物的中标供应商</w:t>
      </w:r>
      <w:bookmarkEnd w:id="43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cs="宋体"/>
          <w:sz w:val="24"/>
        </w:rPr>
      </w:pPr>
      <w:bookmarkStart w:id="436" w:name="_Ref467379436"/>
      <w:r>
        <w:rPr>
          <w:rFonts w:hint="eastAsia" w:ascii="宋体" w:hAnsi="宋体" w:cs="宋体"/>
          <w:sz w:val="24"/>
        </w:rPr>
        <w:t>2.1.6 “现场”系指合同约定货物将要运至或者安装的地点。</w:t>
      </w:r>
      <w:bookmarkEnd w:id="436"/>
    </w:p>
    <w:p>
      <w:pPr>
        <w:spacing w:line="560" w:lineRule="exact"/>
        <w:ind w:firstLine="482" w:firstLineChars="200"/>
        <w:outlineLvl w:val="0"/>
        <w:rPr>
          <w:rFonts w:hint="eastAsia" w:ascii="宋体" w:hAnsi="宋体" w:cs="宋体"/>
          <w:b/>
          <w:sz w:val="24"/>
        </w:rPr>
      </w:pPr>
      <w:bookmarkStart w:id="437" w:name="_Toc279701241"/>
      <w:bookmarkStart w:id="438" w:name="_Toc32504"/>
      <w:bookmarkStart w:id="439" w:name="_Toc27635"/>
      <w:bookmarkStart w:id="440" w:name="_Toc13336"/>
      <w:bookmarkStart w:id="441" w:name="_Toc259093670"/>
      <w:bookmarkStart w:id="442" w:name="_Toc487900350"/>
      <w:r>
        <w:rPr>
          <w:rFonts w:hint="eastAsia" w:ascii="宋体" w:hAnsi="宋体" w:cs="宋体"/>
          <w:b/>
          <w:sz w:val="24"/>
        </w:rPr>
        <w:t>2.2 技术规范</w:t>
      </w:r>
      <w:bookmarkEnd w:id="437"/>
      <w:bookmarkEnd w:id="438"/>
      <w:bookmarkEnd w:id="439"/>
      <w:bookmarkEnd w:id="440"/>
      <w:bookmarkEnd w:id="441"/>
      <w:bookmarkEnd w:id="442"/>
    </w:p>
    <w:p>
      <w:pPr>
        <w:spacing w:line="560" w:lineRule="exact"/>
        <w:ind w:firstLine="480" w:firstLineChars="200"/>
        <w:rPr>
          <w:rFonts w:hint="eastAsia"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宋体" w:hAnsi="宋体" w:cs="宋体"/>
          <w:b/>
          <w:sz w:val="24"/>
        </w:rPr>
      </w:pPr>
      <w:bookmarkStart w:id="443" w:name="_Toc27853"/>
      <w:bookmarkStart w:id="444" w:name="_Toc31634"/>
      <w:bookmarkStart w:id="445" w:name="_Toc487900351"/>
      <w:bookmarkStart w:id="446" w:name="_Toc259093671"/>
      <w:bookmarkStart w:id="447" w:name="_Toc279701242"/>
      <w:bookmarkStart w:id="448" w:name="_Toc9829"/>
      <w:r>
        <w:rPr>
          <w:rFonts w:hint="eastAsia" w:ascii="宋体" w:hAnsi="宋体" w:cs="宋体"/>
          <w:b/>
          <w:sz w:val="24"/>
        </w:rPr>
        <w:t>2.3 知识产权</w:t>
      </w:r>
      <w:bookmarkEnd w:id="443"/>
      <w:bookmarkEnd w:id="444"/>
      <w:bookmarkEnd w:id="445"/>
      <w:bookmarkEnd w:id="446"/>
      <w:bookmarkEnd w:id="447"/>
      <w:bookmarkEnd w:id="448"/>
    </w:p>
    <w:p>
      <w:pPr>
        <w:spacing w:line="560" w:lineRule="exact"/>
        <w:ind w:firstLine="480" w:firstLineChars="200"/>
        <w:rPr>
          <w:rFonts w:hint="eastAsia"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hint="eastAsia" w:ascii="宋体" w:hAnsi="宋体" w:cs="宋体"/>
          <w:b/>
          <w:sz w:val="24"/>
        </w:rPr>
      </w:pPr>
      <w:bookmarkStart w:id="449" w:name="_Toc4194"/>
      <w:bookmarkStart w:id="450" w:name="_Toc11932"/>
      <w:bookmarkStart w:id="451" w:name="_Toc29149"/>
      <w:r>
        <w:rPr>
          <w:rFonts w:hint="eastAsia" w:ascii="宋体" w:hAnsi="宋体" w:cs="宋体"/>
          <w:b/>
          <w:sz w:val="24"/>
        </w:rPr>
        <w:t>2.4 包装和装运</w:t>
      </w:r>
      <w:bookmarkEnd w:id="449"/>
      <w:bookmarkEnd w:id="450"/>
      <w:bookmarkEnd w:id="451"/>
    </w:p>
    <w:p>
      <w:pPr>
        <w:spacing w:line="560" w:lineRule="exact"/>
        <w:ind w:firstLine="480" w:firstLineChars="200"/>
        <w:rPr>
          <w:rFonts w:hint="eastAsia"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hint="eastAsia"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hint="eastAsia"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hint="eastAsia" w:ascii="宋体" w:hAnsi="宋体" w:cs="宋体"/>
          <w:b/>
          <w:sz w:val="24"/>
        </w:rPr>
      </w:pPr>
      <w:bookmarkStart w:id="452" w:name="_Toc259093674"/>
      <w:bookmarkStart w:id="453" w:name="_Ref467379536"/>
      <w:bookmarkStart w:id="454" w:name="_Ref467378591"/>
      <w:bookmarkStart w:id="455" w:name="_Ref467379542"/>
      <w:bookmarkStart w:id="456" w:name="_Toc279701245"/>
      <w:bookmarkStart w:id="457" w:name="_Ref467378541"/>
      <w:bookmarkStart w:id="458" w:name="_Toc487900354"/>
      <w:bookmarkStart w:id="459" w:name="_Ref467379527"/>
      <w:bookmarkStart w:id="460" w:name="_Toc19074"/>
      <w:bookmarkStart w:id="461" w:name="_Toc26182"/>
      <w:bookmarkStart w:id="462" w:name="_Toc30272"/>
      <w:r>
        <w:rPr>
          <w:rFonts w:hint="eastAsia" w:ascii="宋体" w:hAnsi="宋体" w:cs="宋体"/>
          <w:b/>
          <w:sz w:val="24"/>
        </w:rPr>
        <w:t>2.</w:t>
      </w:r>
      <w:bookmarkEnd w:id="452"/>
      <w:bookmarkEnd w:id="453"/>
      <w:bookmarkEnd w:id="454"/>
      <w:bookmarkEnd w:id="455"/>
      <w:bookmarkEnd w:id="456"/>
      <w:bookmarkEnd w:id="457"/>
      <w:bookmarkEnd w:id="458"/>
      <w:bookmarkEnd w:id="459"/>
      <w:r>
        <w:rPr>
          <w:rFonts w:hint="eastAsia" w:ascii="宋体" w:hAnsi="宋体" w:cs="宋体"/>
          <w:b/>
          <w:sz w:val="24"/>
        </w:rPr>
        <w:t>5 履约检查和问题反馈</w:t>
      </w:r>
      <w:bookmarkEnd w:id="460"/>
      <w:bookmarkEnd w:id="461"/>
      <w:bookmarkEnd w:id="462"/>
    </w:p>
    <w:p>
      <w:pPr>
        <w:spacing w:line="560" w:lineRule="exact"/>
        <w:ind w:firstLine="480" w:firstLineChars="200"/>
        <w:rPr>
          <w:rFonts w:hint="eastAsia" w:ascii="宋体" w:hAnsi="宋体" w:cs="宋体"/>
          <w:sz w:val="24"/>
        </w:rPr>
      </w:pPr>
      <w:bookmarkStart w:id="463" w:name="_Ref467379657"/>
      <w:r>
        <w:rPr>
          <w:rFonts w:hint="eastAsia" w:ascii="宋体" w:hAnsi="宋体" w:cs="宋体"/>
          <w:sz w:val="24"/>
        </w:rPr>
        <w:t>2.5.1</w:t>
      </w:r>
      <w:bookmarkEnd w:id="463"/>
      <w:bookmarkStart w:id="464" w:name="_Toc186431854"/>
      <w:bookmarkStart w:id="465" w:name="_Toc279701247"/>
      <w:bookmarkStart w:id="466" w:name="_Ref467379807"/>
      <w:bookmarkStart w:id="467" w:name="_Toc487900357"/>
      <w:bookmarkStart w:id="468" w:name="_Ref467379793"/>
      <w:bookmarkStart w:id="469" w:name="_Toc259093676"/>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hint="eastAsia"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4"/>
      <w:bookmarkStart w:id="470" w:name="_Toc186431855"/>
      <w:r>
        <w:rPr>
          <w:rFonts w:hint="eastAsia" w:ascii="宋体" w:hAnsi="宋体" w:cs="宋体"/>
          <w:sz w:val="24"/>
        </w:rPr>
        <w:t>。</w:t>
      </w:r>
    </w:p>
    <w:bookmarkEnd w:id="465"/>
    <w:bookmarkEnd w:id="466"/>
    <w:bookmarkEnd w:id="467"/>
    <w:bookmarkEnd w:id="468"/>
    <w:bookmarkEnd w:id="469"/>
    <w:bookmarkEnd w:id="470"/>
    <w:p>
      <w:pPr>
        <w:spacing w:line="560" w:lineRule="exact"/>
        <w:ind w:firstLine="482" w:firstLineChars="200"/>
        <w:outlineLvl w:val="0"/>
        <w:rPr>
          <w:rFonts w:hint="eastAsia" w:ascii="宋体" w:hAnsi="宋体" w:cs="宋体"/>
          <w:b/>
          <w:sz w:val="24"/>
        </w:rPr>
      </w:pPr>
      <w:bookmarkStart w:id="471" w:name="_Toc259093677"/>
      <w:bookmarkStart w:id="472" w:name="_Ref467379863"/>
      <w:bookmarkStart w:id="473" w:name="_Ref467379852"/>
      <w:bookmarkStart w:id="474" w:name="_Toc487900358"/>
      <w:bookmarkStart w:id="475" w:name="_Toc279701248"/>
      <w:bookmarkStart w:id="476" w:name="_Ref467379923"/>
      <w:bookmarkStart w:id="477" w:name="_Toc774"/>
      <w:bookmarkStart w:id="478" w:name="_Toc16110"/>
      <w:bookmarkStart w:id="479" w:name="_Toc3225"/>
      <w:r>
        <w:rPr>
          <w:rFonts w:hint="eastAsia" w:ascii="宋体" w:hAnsi="宋体" w:cs="宋体"/>
          <w:b/>
          <w:sz w:val="24"/>
        </w:rPr>
        <w:t>2.6 技术资料</w:t>
      </w:r>
      <w:bookmarkEnd w:id="471"/>
      <w:bookmarkEnd w:id="472"/>
      <w:bookmarkEnd w:id="473"/>
      <w:bookmarkEnd w:id="474"/>
      <w:bookmarkEnd w:id="475"/>
      <w:bookmarkEnd w:id="476"/>
      <w:r>
        <w:rPr>
          <w:rFonts w:hint="eastAsia" w:ascii="宋体" w:hAnsi="宋体" w:cs="宋体"/>
          <w:b/>
          <w:sz w:val="24"/>
        </w:rPr>
        <w:t>和保密义务</w:t>
      </w:r>
      <w:bookmarkEnd w:id="477"/>
      <w:bookmarkEnd w:id="478"/>
      <w:bookmarkEnd w:id="479"/>
    </w:p>
    <w:p>
      <w:pPr>
        <w:spacing w:line="560" w:lineRule="exact"/>
        <w:ind w:firstLine="480" w:firstLineChars="200"/>
        <w:rPr>
          <w:rFonts w:hint="eastAsia"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hint="eastAsia"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hint="eastAsia"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宋体" w:hAnsi="宋体" w:cs="宋体"/>
          <w:b/>
          <w:sz w:val="24"/>
        </w:rPr>
      </w:pPr>
      <w:bookmarkStart w:id="480" w:name="_Toc7860"/>
      <w:r>
        <w:rPr>
          <w:rFonts w:hint="eastAsia" w:ascii="宋体" w:hAnsi="宋体" w:cs="宋体"/>
          <w:b/>
          <w:sz w:val="24"/>
        </w:rPr>
        <w:t>2.7 质量保证</w:t>
      </w:r>
      <w:bookmarkEnd w:id="480"/>
    </w:p>
    <w:p>
      <w:pPr>
        <w:spacing w:line="560" w:lineRule="exact"/>
        <w:ind w:firstLine="480" w:firstLineChars="200"/>
        <w:rPr>
          <w:rFonts w:hint="eastAsia"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hint="eastAsia"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宋体" w:hAnsi="宋体" w:cs="宋体"/>
          <w:b/>
          <w:sz w:val="24"/>
        </w:rPr>
      </w:pPr>
      <w:bookmarkStart w:id="481" w:name="_Toc17244"/>
      <w:bookmarkStart w:id="482" w:name="_Toc279701252"/>
      <w:bookmarkStart w:id="483" w:name="_Toc487900362"/>
      <w:bookmarkStart w:id="484" w:name="_Toc259093681"/>
      <w:r>
        <w:rPr>
          <w:rFonts w:hint="eastAsia" w:ascii="宋体" w:hAnsi="宋体" w:cs="宋体"/>
          <w:b/>
          <w:sz w:val="24"/>
        </w:rPr>
        <w:t>2.8 货物的风险负担</w:t>
      </w:r>
      <w:bookmarkEnd w:id="481"/>
    </w:p>
    <w:p>
      <w:pPr>
        <w:spacing w:line="560" w:lineRule="exact"/>
        <w:ind w:firstLine="480" w:firstLineChars="200"/>
        <w:rPr>
          <w:rFonts w:hint="eastAsia"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hint="eastAsia" w:ascii="宋体" w:hAnsi="宋体" w:cs="宋体"/>
          <w:b/>
          <w:sz w:val="24"/>
        </w:rPr>
      </w:pPr>
      <w:bookmarkStart w:id="485" w:name="_Toc14055"/>
      <w:r>
        <w:rPr>
          <w:rFonts w:hint="eastAsia" w:ascii="宋体" w:hAnsi="宋体" w:cs="宋体"/>
          <w:b/>
          <w:sz w:val="24"/>
        </w:rPr>
        <w:t>2.9 延迟交货</w:t>
      </w:r>
      <w:bookmarkEnd w:id="482"/>
      <w:bookmarkEnd w:id="483"/>
      <w:bookmarkEnd w:id="484"/>
      <w:bookmarkEnd w:id="485"/>
    </w:p>
    <w:p>
      <w:pPr>
        <w:spacing w:line="560" w:lineRule="exact"/>
        <w:ind w:firstLine="480" w:firstLineChars="200"/>
        <w:rPr>
          <w:rFonts w:hint="eastAsia" w:ascii="宋体" w:hAnsi="宋体" w:cs="宋体"/>
          <w:sz w:val="24"/>
        </w:rPr>
      </w:pPr>
      <w:r>
        <w:rPr>
          <w:rFonts w:hint="eastAsia" w:ascii="宋体" w:hAnsi="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hint="eastAsia" w:ascii="宋体" w:hAnsi="宋体" w:cs="宋体"/>
          <w:b/>
          <w:sz w:val="24"/>
        </w:rPr>
      </w:pPr>
      <w:bookmarkStart w:id="486" w:name="_Toc7502"/>
      <w:bookmarkStart w:id="487" w:name="_Toc487900364"/>
      <w:bookmarkStart w:id="488" w:name="_Toc279701254"/>
      <w:bookmarkStart w:id="489" w:name="_Toc259093683"/>
      <w:bookmarkStart w:id="490" w:name="_Ref467378121"/>
      <w:r>
        <w:rPr>
          <w:rFonts w:hint="eastAsia" w:ascii="宋体" w:hAnsi="宋体" w:cs="宋体"/>
          <w:b/>
          <w:sz w:val="24"/>
        </w:rPr>
        <w:t>2.10 合同变更</w:t>
      </w:r>
      <w:bookmarkEnd w:id="486"/>
    </w:p>
    <w:p>
      <w:pPr>
        <w:spacing w:line="560" w:lineRule="exact"/>
        <w:ind w:firstLine="480" w:firstLineChars="200"/>
        <w:rPr>
          <w:rFonts w:hint="eastAsia"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1" w:name="_Toc259093688"/>
      <w:bookmarkStart w:id="492" w:name="_Toc279701259"/>
      <w:bookmarkStart w:id="493" w:name="_Toc487900369"/>
    </w:p>
    <w:p>
      <w:pPr>
        <w:spacing w:line="560" w:lineRule="exact"/>
        <w:ind w:firstLine="482" w:firstLineChars="200"/>
        <w:outlineLvl w:val="0"/>
        <w:rPr>
          <w:rFonts w:hint="eastAsia" w:ascii="宋体" w:hAnsi="宋体" w:cs="宋体"/>
          <w:b/>
          <w:sz w:val="24"/>
        </w:rPr>
      </w:pPr>
      <w:bookmarkStart w:id="494" w:name="_Toc10366"/>
      <w:bookmarkStart w:id="495" w:name="_Toc15237"/>
      <w:bookmarkStart w:id="496" w:name="_Toc22955"/>
      <w:r>
        <w:rPr>
          <w:rFonts w:hint="eastAsia" w:ascii="宋体" w:hAnsi="宋体" w:cs="宋体"/>
          <w:b/>
          <w:sz w:val="24"/>
        </w:rPr>
        <w:t>2.11 合同转让</w:t>
      </w:r>
      <w:bookmarkEnd w:id="491"/>
      <w:bookmarkEnd w:id="492"/>
      <w:bookmarkEnd w:id="493"/>
      <w:r>
        <w:rPr>
          <w:rFonts w:hint="eastAsia" w:ascii="宋体" w:hAnsi="宋体" w:cs="宋体"/>
          <w:b/>
          <w:sz w:val="24"/>
        </w:rPr>
        <w:t>和分包</w:t>
      </w:r>
      <w:bookmarkEnd w:id="494"/>
      <w:bookmarkEnd w:id="495"/>
      <w:bookmarkEnd w:id="496"/>
    </w:p>
    <w:p>
      <w:pPr>
        <w:spacing w:line="560" w:lineRule="exact"/>
        <w:ind w:firstLine="480" w:firstLineChars="200"/>
        <w:rPr>
          <w:rFonts w:hint="eastAsia"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hint="eastAsia"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hint="eastAsia" w:ascii="宋体" w:hAnsi="宋体" w:cs="宋体"/>
          <w:b/>
          <w:sz w:val="24"/>
        </w:rPr>
      </w:pPr>
      <w:bookmarkStart w:id="497" w:name="_Toc16508"/>
      <w:bookmarkStart w:id="498" w:name="_Toc14066"/>
      <w:bookmarkStart w:id="499" w:name="_Toc13566"/>
      <w:r>
        <w:rPr>
          <w:rFonts w:hint="eastAsia" w:ascii="宋体" w:hAnsi="宋体" w:cs="宋体"/>
          <w:b/>
          <w:sz w:val="24"/>
        </w:rPr>
        <w:t>2.12 不可抗力</w:t>
      </w:r>
      <w:bookmarkEnd w:id="497"/>
      <w:bookmarkEnd w:id="498"/>
      <w:bookmarkEnd w:id="499"/>
    </w:p>
    <w:p>
      <w:pPr>
        <w:spacing w:line="560" w:lineRule="exact"/>
        <w:ind w:firstLine="480" w:firstLineChars="200"/>
        <w:rPr>
          <w:rFonts w:hint="eastAsia"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hint="eastAsia"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hint="eastAsia"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hint="eastAsia" w:ascii="宋体" w:hAnsi="宋体" w:cs="宋体"/>
          <w:b/>
          <w:sz w:val="24"/>
        </w:rPr>
      </w:pPr>
      <w:bookmarkStart w:id="500" w:name="_Toc259093684"/>
      <w:bookmarkStart w:id="501" w:name="_Toc6969"/>
      <w:bookmarkStart w:id="502" w:name="_Toc487900365"/>
      <w:bookmarkStart w:id="503" w:name="_Toc279701255"/>
      <w:bookmarkStart w:id="504" w:name="_Toc30676"/>
      <w:bookmarkStart w:id="505" w:name="_Toc689"/>
      <w:r>
        <w:rPr>
          <w:rFonts w:hint="eastAsia" w:ascii="宋体" w:hAnsi="宋体" w:cs="宋体"/>
          <w:b/>
          <w:sz w:val="24"/>
        </w:rPr>
        <w:t>2.13 税费</w:t>
      </w:r>
      <w:bookmarkEnd w:id="500"/>
      <w:bookmarkEnd w:id="501"/>
      <w:bookmarkEnd w:id="502"/>
      <w:bookmarkEnd w:id="503"/>
      <w:bookmarkEnd w:id="504"/>
      <w:bookmarkEnd w:id="505"/>
    </w:p>
    <w:p>
      <w:pPr>
        <w:spacing w:line="560" w:lineRule="exact"/>
        <w:ind w:firstLine="480" w:firstLineChars="200"/>
        <w:rPr>
          <w:rFonts w:hint="eastAsia"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hint="eastAsia" w:ascii="宋体" w:hAnsi="宋体" w:cs="宋体"/>
          <w:b/>
          <w:sz w:val="24"/>
        </w:rPr>
      </w:pPr>
      <w:bookmarkStart w:id="506" w:name="_Toc7102"/>
      <w:bookmarkStart w:id="507" w:name="_Toc16959"/>
      <w:bookmarkStart w:id="508" w:name="_Toc487900368"/>
      <w:bookmarkStart w:id="509" w:name="_Toc259093687"/>
      <w:bookmarkStart w:id="510" w:name="_Toc8298"/>
      <w:bookmarkStart w:id="511" w:name="_Toc279701258"/>
      <w:r>
        <w:rPr>
          <w:rFonts w:hint="eastAsia" w:ascii="宋体" w:hAnsi="宋体" w:cs="宋体"/>
          <w:b/>
          <w:sz w:val="24"/>
        </w:rPr>
        <w:t>2.14乙方破产</w:t>
      </w:r>
      <w:bookmarkEnd w:id="506"/>
      <w:bookmarkEnd w:id="507"/>
      <w:bookmarkEnd w:id="508"/>
      <w:bookmarkEnd w:id="509"/>
      <w:bookmarkEnd w:id="510"/>
      <w:bookmarkEnd w:id="511"/>
    </w:p>
    <w:p>
      <w:pPr>
        <w:spacing w:line="560" w:lineRule="exact"/>
        <w:ind w:firstLine="480" w:firstLineChars="200"/>
        <w:rPr>
          <w:rFonts w:hint="eastAsia"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宋体" w:hAnsi="宋体" w:cs="宋体"/>
          <w:b/>
          <w:sz w:val="24"/>
        </w:rPr>
      </w:pPr>
      <w:bookmarkStart w:id="512" w:name="_Toc29333"/>
      <w:bookmarkStart w:id="513" w:name="_Toc15387"/>
      <w:bookmarkStart w:id="514" w:name="_Toc6134"/>
      <w:r>
        <w:rPr>
          <w:rFonts w:hint="eastAsia" w:ascii="宋体" w:hAnsi="宋体" w:cs="宋体"/>
          <w:b/>
          <w:sz w:val="24"/>
        </w:rPr>
        <w:t>2.15 合同中止、终止</w:t>
      </w:r>
      <w:bookmarkEnd w:id="512"/>
      <w:bookmarkEnd w:id="513"/>
      <w:bookmarkEnd w:id="514"/>
    </w:p>
    <w:p>
      <w:pPr>
        <w:spacing w:line="560" w:lineRule="exact"/>
        <w:ind w:firstLine="480" w:firstLineChars="200"/>
        <w:rPr>
          <w:rFonts w:hint="eastAsia"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hint="eastAsia"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宋体" w:hAnsi="宋体" w:cs="宋体"/>
          <w:b/>
          <w:sz w:val="24"/>
        </w:rPr>
      </w:pPr>
      <w:bookmarkStart w:id="515" w:name="_Toc6596"/>
      <w:bookmarkStart w:id="516" w:name="_Toc1125"/>
      <w:bookmarkStart w:id="517" w:name="_Toc14563"/>
      <w:r>
        <w:rPr>
          <w:rFonts w:hint="eastAsia" w:ascii="宋体" w:hAnsi="宋体" w:cs="宋体"/>
          <w:b/>
          <w:sz w:val="24"/>
        </w:rPr>
        <w:t>2.16检验和验收</w:t>
      </w:r>
      <w:bookmarkEnd w:id="515"/>
      <w:bookmarkEnd w:id="516"/>
      <w:bookmarkEnd w:id="517"/>
    </w:p>
    <w:p>
      <w:pPr>
        <w:tabs>
          <w:tab w:val="left" w:pos="360"/>
          <w:tab w:val="left" w:pos="540"/>
          <w:tab w:val="left" w:pos="1080"/>
        </w:tabs>
        <w:spacing w:line="560" w:lineRule="exact"/>
        <w:ind w:firstLine="480" w:firstLineChars="200"/>
        <w:rPr>
          <w:rFonts w:hint="eastAsia"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hint="eastAsia"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hint="eastAsia"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87"/>
    <w:bookmarkEnd w:id="488"/>
    <w:bookmarkEnd w:id="489"/>
    <w:bookmarkEnd w:id="490"/>
    <w:p>
      <w:pPr>
        <w:spacing w:line="560" w:lineRule="exact"/>
        <w:ind w:firstLine="482" w:firstLineChars="200"/>
        <w:outlineLvl w:val="0"/>
        <w:rPr>
          <w:rFonts w:hint="eastAsia" w:ascii="宋体" w:hAnsi="宋体" w:cs="宋体"/>
          <w:b/>
          <w:sz w:val="24"/>
        </w:rPr>
      </w:pPr>
      <w:bookmarkStart w:id="518" w:name="_Toc487900371"/>
      <w:bookmarkStart w:id="519" w:name="_Toc259093690"/>
      <w:bookmarkStart w:id="520" w:name="_Toc279701261"/>
      <w:bookmarkStart w:id="521" w:name="_Toc25182"/>
      <w:bookmarkStart w:id="522" w:name="_Toc11284"/>
      <w:bookmarkStart w:id="523" w:name="_Toc19604"/>
      <w:r>
        <w:rPr>
          <w:rFonts w:hint="eastAsia" w:ascii="宋体" w:hAnsi="宋体" w:cs="宋体"/>
          <w:b/>
          <w:sz w:val="24"/>
        </w:rPr>
        <w:t>2.17 通知</w:t>
      </w:r>
      <w:bookmarkEnd w:id="518"/>
      <w:bookmarkEnd w:id="519"/>
      <w:bookmarkEnd w:id="520"/>
      <w:r>
        <w:rPr>
          <w:rFonts w:hint="eastAsia" w:ascii="宋体" w:hAnsi="宋体" w:cs="宋体"/>
          <w:b/>
          <w:sz w:val="24"/>
        </w:rPr>
        <w:t>和送达</w:t>
      </w:r>
      <w:bookmarkEnd w:id="521"/>
      <w:bookmarkEnd w:id="522"/>
      <w:bookmarkEnd w:id="523"/>
    </w:p>
    <w:p>
      <w:pPr>
        <w:spacing w:line="560" w:lineRule="exact"/>
        <w:ind w:firstLine="480" w:firstLineChars="200"/>
        <w:rPr>
          <w:rFonts w:hint="eastAsia" w:ascii="宋体" w:hAnsi="宋体" w:cs="宋体"/>
          <w:sz w:val="24"/>
        </w:rPr>
      </w:pPr>
      <w:bookmarkStart w:id="524" w:name="_Toc6698"/>
      <w:bookmarkStart w:id="525" w:name="_Toc3135"/>
      <w:bookmarkStart w:id="526" w:name="_Toc279701262"/>
      <w:bookmarkStart w:id="527" w:name="_Toc487900372"/>
      <w:bookmarkStart w:id="528" w:name="_Toc259093691"/>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4"/>
      <w:bookmarkEnd w:id="525"/>
    </w:p>
    <w:p>
      <w:pPr>
        <w:spacing w:line="560" w:lineRule="exact"/>
        <w:ind w:firstLine="480" w:firstLineChars="200"/>
        <w:rPr>
          <w:rFonts w:hint="eastAsia" w:ascii="宋体" w:hAnsi="宋体" w:cs="宋体"/>
          <w:sz w:val="24"/>
        </w:rPr>
      </w:pPr>
      <w:bookmarkStart w:id="529" w:name="_Toc23294"/>
      <w:bookmarkStart w:id="530"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9"/>
      <w:bookmarkEnd w:id="530"/>
    </w:p>
    <w:p>
      <w:pPr>
        <w:spacing w:line="560" w:lineRule="exact"/>
        <w:ind w:firstLine="482" w:firstLineChars="200"/>
        <w:outlineLvl w:val="0"/>
        <w:rPr>
          <w:rFonts w:hint="eastAsia" w:ascii="宋体" w:hAnsi="宋体" w:cs="宋体"/>
          <w:b/>
          <w:sz w:val="24"/>
        </w:rPr>
      </w:pPr>
      <w:bookmarkStart w:id="531" w:name="_Toc4355"/>
      <w:bookmarkStart w:id="532" w:name="_Toc30599"/>
      <w:bookmarkStart w:id="533" w:name="_Toc18540"/>
      <w:r>
        <w:rPr>
          <w:rFonts w:hint="eastAsia" w:ascii="宋体" w:hAnsi="宋体" w:cs="宋体"/>
          <w:b/>
          <w:sz w:val="24"/>
        </w:rPr>
        <w:t>2.18 计量单位</w:t>
      </w:r>
      <w:bookmarkEnd w:id="526"/>
      <w:bookmarkEnd w:id="527"/>
      <w:bookmarkEnd w:id="528"/>
      <w:bookmarkEnd w:id="531"/>
      <w:bookmarkEnd w:id="532"/>
      <w:bookmarkEnd w:id="533"/>
    </w:p>
    <w:p>
      <w:pPr>
        <w:spacing w:line="560" w:lineRule="exact"/>
        <w:ind w:firstLine="480" w:firstLineChars="200"/>
        <w:rPr>
          <w:rFonts w:hint="eastAsia"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hint="eastAsia" w:ascii="宋体" w:hAnsi="宋体" w:cs="宋体"/>
          <w:b/>
          <w:sz w:val="24"/>
        </w:rPr>
      </w:pPr>
      <w:bookmarkStart w:id="534" w:name="_Toc487900373"/>
      <w:bookmarkStart w:id="535" w:name="_Toc12773"/>
      <w:bookmarkStart w:id="536" w:name="_Toc10330"/>
      <w:bookmarkStart w:id="537" w:name="_Toc259093692"/>
      <w:bookmarkStart w:id="538" w:name="_Toc18567"/>
      <w:bookmarkStart w:id="539" w:name="_Toc279701263"/>
      <w:r>
        <w:rPr>
          <w:rFonts w:hint="eastAsia" w:ascii="宋体" w:hAnsi="宋体" w:cs="宋体"/>
          <w:b/>
          <w:sz w:val="24"/>
        </w:rPr>
        <w:t>2.19 合同使用的文字和适用的法律</w:t>
      </w:r>
      <w:bookmarkEnd w:id="534"/>
      <w:bookmarkEnd w:id="535"/>
      <w:bookmarkEnd w:id="536"/>
      <w:bookmarkEnd w:id="537"/>
      <w:bookmarkEnd w:id="538"/>
      <w:bookmarkEnd w:id="539"/>
    </w:p>
    <w:p>
      <w:pPr>
        <w:spacing w:line="560" w:lineRule="exact"/>
        <w:ind w:firstLine="480" w:firstLineChars="200"/>
        <w:rPr>
          <w:rFonts w:hint="eastAsia"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hint="eastAsia"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hint="eastAsia" w:ascii="宋体" w:hAnsi="宋体" w:cs="宋体"/>
          <w:b/>
          <w:sz w:val="24"/>
        </w:rPr>
      </w:pPr>
      <w:bookmarkStart w:id="540" w:name="_Toc6885"/>
      <w:bookmarkStart w:id="541" w:name="_Toc19890"/>
      <w:bookmarkStart w:id="542" w:name="_Toc14001"/>
      <w:r>
        <w:rPr>
          <w:rFonts w:hint="eastAsia" w:ascii="宋体" w:hAnsi="宋体" w:cs="宋体"/>
          <w:b/>
          <w:sz w:val="24"/>
        </w:rPr>
        <w:t>2.20合同份数</w:t>
      </w:r>
      <w:bookmarkEnd w:id="540"/>
      <w:bookmarkEnd w:id="541"/>
      <w:bookmarkEnd w:id="542"/>
    </w:p>
    <w:p>
      <w:pPr>
        <w:spacing w:line="560" w:lineRule="exact"/>
        <w:ind w:firstLine="480" w:firstLineChars="200"/>
        <w:rPr>
          <w:rFonts w:hint="eastAsia"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0"/>
        <w:rPr>
          <w:rFonts w:hint="eastAsia" w:ascii="宋体" w:hAnsi="宋体" w:cs="宋体"/>
          <w:b/>
        </w:rPr>
      </w:pPr>
      <w:r>
        <w:rPr>
          <w:rFonts w:hint="eastAsia" w:ascii="宋体" w:hAnsi="宋体" w:cs="宋体"/>
          <w:kern w:val="0"/>
        </w:rPr>
        <w:br w:type="page"/>
      </w:r>
      <w:bookmarkStart w:id="543" w:name="_Toc331685784"/>
      <w:r>
        <w:rPr>
          <w:rFonts w:hint="eastAsia" w:ascii="宋体" w:hAnsi="宋体" w:cs="宋体"/>
          <w:b/>
          <w:sz w:val="32"/>
          <w:szCs w:val="20"/>
        </w:rPr>
        <w:t xml:space="preserve"> </w:t>
      </w:r>
      <w:bookmarkEnd w:id="543"/>
      <w:r>
        <w:rPr>
          <w:rFonts w:hint="eastAsia" w:ascii="宋体" w:hAnsi="宋体" w:cs="宋体"/>
          <w:b/>
          <w:sz w:val="32"/>
          <w:szCs w:val="20"/>
        </w:rPr>
        <w:t>第三部分  合同专用条款</w:t>
      </w:r>
    </w:p>
    <w:p>
      <w:pPr>
        <w:spacing w:line="560" w:lineRule="exact"/>
        <w:ind w:left="-420" w:leftChars="-200" w:right="-420" w:rightChars="-200" w:firstLine="480" w:firstLineChars="200"/>
        <w:rPr>
          <w:rFonts w:hint="eastAsia"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widowControl/>
              <w:adjustRightInd/>
              <w:jc w:val="left"/>
              <w:rPr>
                <w:rFonts w:hint="eastAsia" w:ascii="宋体" w:hAnsi="宋体" w:cs="宋体"/>
                <w:b/>
                <w:sz w:val="24"/>
              </w:rPr>
            </w:pPr>
            <w:r>
              <w:rPr>
                <w:rFonts w:ascii="宋体" w:hAnsi="宋体" w:cs="宋体"/>
                <w:b/>
                <w:sz w:val="36"/>
                <w:szCs w:val="20"/>
              </w:rPr>
              <w:br w:type="page"/>
            </w:r>
            <w:r>
              <w:rPr>
                <w:rFonts w:hint="eastAsia" w:ascii="宋体" w:hAnsi="宋体" w:cs="宋体"/>
                <w:b/>
                <w:sz w:val="24"/>
              </w:rPr>
              <w:t>条款号</w:t>
            </w:r>
          </w:p>
        </w:tc>
        <w:tc>
          <w:tcPr>
            <w:tcW w:w="4533" w:type="pct"/>
            <w:vAlign w:val="center"/>
          </w:tcPr>
          <w:p>
            <w:pPr>
              <w:spacing w:line="360" w:lineRule="auto"/>
              <w:jc w:val="center"/>
              <w:rPr>
                <w:rFonts w:hint="eastAsia"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sz w:val="24"/>
              </w:rPr>
            </w:pPr>
            <w:r>
              <w:rPr>
                <w:rFonts w:hint="eastAsia" w:ascii="宋体" w:hAnsi="宋体" w:cs="宋体"/>
                <w:sz w:val="24"/>
              </w:rPr>
              <w:t>1.4</w:t>
            </w:r>
          </w:p>
        </w:tc>
        <w:tc>
          <w:tcPr>
            <w:tcW w:w="4533" w:type="pct"/>
            <w:vAlign w:val="center"/>
          </w:tcPr>
          <w:p>
            <w:pPr>
              <w:spacing w:line="360" w:lineRule="auto"/>
              <w:rPr>
                <w:sz w:val="24"/>
              </w:rPr>
            </w:pPr>
            <w:r>
              <w:rPr>
                <w:rFonts w:hint="eastAsia"/>
                <w:sz w:val="24"/>
              </w:rPr>
              <w:t>乙方</w:t>
            </w:r>
            <w:r>
              <w:rPr>
                <w:rFonts w:hint="eastAsia"/>
                <w:sz w:val="24"/>
                <w:u w:val="single"/>
              </w:rPr>
              <w:t xml:space="preserve"> 是 </w:t>
            </w:r>
            <w:r>
              <w:rPr>
                <w:rFonts w:hint="eastAsia"/>
                <w:sz w:val="24"/>
              </w:rPr>
              <w:t>（是/否）需要支付履约保证金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1.4.1</w:t>
            </w:r>
          </w:p>
        </w:tc>
        <w:tc>
          <w:tcPr>
            <w:tcW w:w="4533" w:type="pct"/>
            <w:vAlign w:val="center"/>
          </w:tcPr>
          <w:p>
            <w:pPr>
              <w:spacing w:line="360" w:lineRule="auto"/>
              <w:rPr>
                <w:sz w:val="24"/>
              </w:rPr>
            </w:pPr>
            <w:r>
              <w:rPr>
                <w:rFonts w:hint="eastAsia" w:ascii="宋体" w:hAnsi="宋体" w:cs="宋体"/>
                <w:sz w:val="24"/>
              </w:rPr>
              <w:t>签订合同后7个工作日内，乙方须向甲方缴纳合同总额1％的履约保证金，项目终验完成后，若无质量和服务等问题，在5个工作日内将履约保证金原额归还乙方。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1.4.2</w:t>
            </w:r>
          </w:p>
        </w:tc>
        <w:tc>
          <w:tcPr>
            <w:tcW w:w="4533" w:type="pct"/>
            <w:vAlign w:val="center"/>
          </w:tcPr>
          <w:p>
            <w:pPr>
              <w:spacing w:line="360" w:lineRule="auto"/>
              <w:rPr>
                <w:sz w:val="24"/>
              </w:rPr>
            </w:pPr>
            <w:r>
              <w:rPr>
                <w:rFonts w:hint="eastAsia" w:ascii="宋体" w:hAnsi="宋体" w:cs="宋体"/>
                <w:sz w:val="24"/>
              </w:rPr>
              <w:t>履约保证金可以用支票、汇票、本票或者银行、保险公司出具的保函等非现金形式交纳。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1.5</w:t>
            </w:r>
          </w:p>
        </w:tc>
        <w:tc>
          <w:tcPr>
            <w:tcW w:w="4533" w:type="pct"/>
            <w:vAlign w:val="center"/>
          </w:tcPr>
          <w:p>
            <w:pPr>
              <w:spacing w:line="360" w:lineRule="auto"/>
              <w:rPr>
                <w:rFonts w:hint="eastAsia" w:ascii="宋体" w:hAnsi="宋体" w:cs="宋体"/>
                <w:sz w:val="24"/>
                <w:lang w:bidi="ar"/>
              </w:rPr>
            </w:pPr>
            <w:r>
              <w:rPr>
                <w:sz w:val="24"/>
              </w:rPr>
              <w:t>预付款比例、支付方式、时间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1.5.1</w:t>
            </w:r>
          </w:p>
        </w:tc>
        <w:tc>
          <w:tcPr>
            <w:tcW w:w="4533" w:type="pct"/>
            <w:vAlign w:val="center"/>
          </w:tcPr>
          <w:p>
            <w:pPr>
              <w:spacing w:line="360" w:lineRule="auto"/>
              <w:rPr>
                <w:rFonts w:hint="eastAsia" w:ascii="宋体" w:hAnsi="宋体" w:cs="宋体"/>
                <w:sz w:val="24"/>
              </w:rPr>
            </w:pPr>
            <w:r>
              <w:rPr>
                <w:rFonts w:hint="eastAsia" w:ascii="宋体" w:hAnsi="宋体" w:cs="宋体"/>
                <w:sz w:val="24"/>
                <w:lang w:bidi="ar"/>
              </w:rPr>
              <w:t>合同生效以及具备实施条件后5个工作日内支付合同总价的40%货款。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1.6</w:t>
            </w:r>
          </w:p>
        </w:tc>
        <w:tc>
          <w:tcPr>
            <w:tcW w:w="4533" w:type="pct"/>
            <w:vAlign w:val="center"/>
          </w:tcPr>
          <w:p>
            <w:pPr>
              <w:pStyle w:val="58"/>
              <w:snapToGrid w:val="0"/>
              <w:spacing w:before="0" w:beforeAutospacing="0" w:after="0" w:afterAutospacing="0" w:line="300" w:lineRule="auto"/>
              <w:rPr>
                <w:rFonts w:hint="eastAsia"/>
              </w:rPr>
            </w:pPr>
            <w:r>
              <w:rPr>
                <w:rFonts w:ascii="Times New Roman" w:hAnsi="Times New Roman"/>
              </w:rPr>
              <w:t>资金支付的方式、时间和条件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1.6.2</w:t>
            </w:r>
          </w:p>
        </w:tc>
        <w:tc>
          <w:tcPr>
            <w:tcW w:w="4533" w:type="pct"/>
            <w:vAlign w:val="center"/>
          </w:tcPr>
          <w:p>
            <w:pPr>
              <w:adjustRightInd/>
              <w:spacing w:line="300" w:lineRule="auto"/>
              <w:rPr>
                <w:rFonts w:hint="eastAsia" w:ascii="宋体" w:hAnsi="宋体"/>
                <w:kern w:val="0"/>
                <w:sz w:val="24"/>
              </w:rPr>
            </w:pPr>
            <w:r>
              <w:rPr>
                <w:rFonts w:hint="eastAsia" w:ascii="宋体" w:hAnsi="宋体" w:cs="宋体"/>
                <w:sz w:val="24"/>
                <w:lang w:bidi="ar"/>
              </w:rPr>
              <w:t>项目竣工并整体验收合格后，</w:t>
            </w:r>
            <w:r>
              <w:rPr>
                <w:rFonts w:hint="eastAsia" w:ascii="宋体" w:hAnsi="宋体" w:cs="宋体"/>
                <w:sz w:val="24"/>
              </w:rPr>
              <w:t>凭甲乙双方签字盖章的验收意见、验收小组签字的验收报告及公示截图,在收到乙方开具的正规发票后，甲方在7个工作日内将合同余款支付至乙方的账户</w:t>
            </w:r>
            <w:r>
              <w:rPr>
                <w:rFonts w:hint="eastAsia" w:ascii="宋体" w:hAnsi="宋体" w:cs="宋体"/>
                <w:sz w:val="24"/>
                <w:lang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1.7</w:t>
            </w:r>
          </w:p>
        </w:tc>
        <w:tc>
          <w:tcPr>
            <w:tcW w:w="4533" w:type="pct"/>
            <w:vAlign w:val="center"/>
          </w:tcPr>
          <w:p>
            <w:pPr>
              <w:spacing w:line="300" w:lineRule="auto"/>
              <w:rPr>
                <w:rFonts w:hint="eastAsia" w:ascii="宋体" w:hAnsi="宋体"/>
                <w:kern w:val="0"/>
                <w:sz w:val="24"/>
              </w:rPr>
            </w:pPr>
            <w:r>
              <w:rPr>
                <w:b/>
                <w:sz w:val="24"/>
              </w:rPr>
              <w:t>货物交付期限、地点和方式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1.7.1</w:t>
            </w:r>
          </w:p>
        </w:tc>
        <w:tc>
          <w:tcPr>
            <w:tcW w:w="4533" w:type="pct"/>
            <w:vAlign w:val="center"/>
          </w:tcPr>
          <w:p>
            <w:pPr>
              <w:snapToGrid w:val="0"/>
              <w:spacing w:line="360" w:lineRule="auto"/>
              <w:rPr>
                <w:rFonts w:hint="eastAsia" w:ascii="宋体" w:hAnsi="宋体"/>
                <w:kern w:val="0"/>
                <w:sz w:val="24"/>
              </w:rPr>
            </w:pPr>
            <w:r>
              <w:rPr>
                <w:b/>
                <w:bCs/>
                <w:sz w:val="24"/>
              </w:rPr>
              <w:t>交付期限：</w:t>
            </w:r>
            <w:r>
              <w:rPr>
                <w:rFonts w:hint="eastAsia" w:ascii="宋体" w:hAnsi="宋体" w:cs="宋体"/>
                <w:snapToGrid w:val="0"/>
                <w:kern w:val="28"/>
                <w:sz w:val="24"/>
                <w:szCs w:val="20"/>
              </w:rPr>
              <w:t>在合同生效后</w:t>
            </w:r>
            <w:r>
              <w:rPr>
                <w:rFonts w:hint="eastAsia" w:ascii="宋体" w:hAnsi="宋体" w:cs="宋体"/>
                <w:b/>
                <w:bCs/>
                <w:snapToGrid w:val="0"/>
                <w:kern w:val="28"/>
                <w:sz w:val="24"/>
                <w:szCs w:val="20"/>
              </w:rPr>
              <w:t>20天</w:t>
            </w:r>
            <w:r>
              <w:rPr>
                <w:rFonts w:hint="eastAsia" w:ascii="宋体" w:hAnsi="宋体" w:cs="宋体"/>
                <w:snapToGrid w:val="0"/>
                <w:kern w:val="28"/>
                <w:sz w:val="24"/>
                <w:szCs w:val="20"/>
              </w:rPr>
              <w:t>内，供应商需将所供产品（出厂原包装）按合同清单所列的采购单位、地址以及货物品种、数量等，运至指定地点拆箱，并负责安装、调试，由采购单位负责验收，在产品试运行1个月后交付使用。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1.7.2</w:t>
            </w:r>
          </w:p>
        </w:tc>
        <w:tc>
          <w:tcPr>
            <w:tcW w:w="4533" w:type="pct"/>
            <w:vAlign w:val="center"/>
          </w:tcPr>
          <w:p>
            <w:pPr>
              <w:snapToGrid w:val="0"/>
              <w:spacing w:line="360" w:lineRule="auto"/>
              <w:rPr>
                <w:rFonts w:eastAsia="仿宋"/>
                <w:b/>
                <w:bCs/>
                <w:sz w:val="24"/>
              </w:rPr>
            </w:pPr>
            <w:r>
              <w:rPr>
                <w:b/>
                <w:bCs/>
                <w:sz w:val="24"/>
              </w:rPr>
              <w:t>交付地点：</w:t>
            </w:r>
          </w:p>
          <w:p>
            <w:pPr>
              <w:spacing w:line="300" w:lineRule="auto"/>
              <w:rPr>
                <w:rFonts w:hint="eastAsia" w:ascii="宋体" w:hAnsi="宋体"/>
                <w:kern w:val="0"/>
                <w:sz w:val="24"/>
              </w:rPr>
            </w:pPr>
            <w:r>
              <w:rPr>
                <w:rFonts w:hint="eastAsia" w:ascii="宋体" w:hAnsi="宋体"/>
                <w:kern w:val="0"/>
                <w:sz w:val="24"/>
              </w:rPr>
              <w:t>采购人指定地点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1.7.3</w:t>
            </w:r>
          </w:p>
        </w:tc>
        <w:tc>
          <w:tcPr>
            <w:tcW w:w="4533" w:type="pct"/>
            <w:vAlign w:val="center"/>
          </w:tcPr>
          <w:p>
            <w:pPr>
              <w:snapToGrid w:val="0"/>
              <w:spacing w:line="360" w:lineRule="auto"/>
              <w:rPr>
                <w:rFonts w:eastAsia="仿宋"/>
                <w:b/>
                <w:bCs/>
                <w:sz w:val="24"/>
              </w:rPr>
            </w:pPr>
            <w:r>
              <w:rPr>
                <w:b/>
                <w:bCs/>
                <w:sz w:val="24"/>
              </w:rPr>
              <w:t>交付方式：</w:t>
            </w:r>
          </w:p>
          <w:p>
            <w:pPr>
              <w:adjustRightInd/>
              <w:spacing w:line="300" w:lineRule="auto"/>
              <w:rPr>
                <w:rFonts w:hint="eastAsia" w:ascii="宋体" w:hAnsi="宋体"/>
                <w:kern w:val="0"/>
                <w:sz w:val="24"/>
              </w:rPr>
            </w:pPr>
            <w:r>
              <w:rPr>
                <w:rFonts w:hint="eastAsia" w:ascii="宋体" w:hAnsi="宋体"/>
                <w:kern w:val="0"/>
                <w:sz w:val="24"/>
              </w:rPr>
              <w:t>现场交付。</w:t>
            </w:r>
          </w:p>
          <w:p>
            <w:pPr>
              <w:spacing w:line="300" w:lineRule="auto"/>
            </w:pPr>
            <w:r>
              <w:rPr>
                <w:rFonts w:hint="eastAsia" w:ascii="宋体" w:hAnsi="宋体"/>
                <w:kern w:val="0"/>
                <w:sz w:val="24"/>
              </w:rPr>
              <w:t>乙方在货物发运手续办理完毕后24小时内或货到甲方48小时前通知甲方，以准备接货。货物在交付甲方前发生的风险均由乙方负责。货物在规定的交付期限内由乙方送达甲方指定的地点视为交付，乙方同时需通知甲方货物已送达。对其在制造、购置、运输、存放及交货过程中的丢失或损坏进行全面保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1.8</w:t>
            </w:r>
          </w:p>
        </w:tc>
        <w:tc>
          <w:tcPr>
            <w:tcW w:w="4533" w:type="pct"/>
            <w:vAlign w:val="center"/>
          </w:tcPr>
          <w:p>
            <w:pPr>
              <w:spacing w:line="360" w:lineRule="auto"/>
              <w:rPr>
                <w:rFonts w:hint="eastAsia" w:ascii="宋体" w:hAnsi="宋体" w:cs="宋体"/>
                <w:kern w:val="0"/>
                <w:sz w:val="24"/>
              </w:rPr>
            </w:pPr>
            <w:r>
              <w:rPr>
                <w:rFonts w:hint="eastAsia" w:ascii="宋体" w:hAnsi="宋体" w:cs="宋体"/>
                <w:kern w:val="0"/>
                <w:sz w:val="24"/>
              </w:rPr>
              <w:t>违约责任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1.8.6</w:t>
            </w:r>
          </w:p>
        </w:tc>
        <w:tc>
          <w:tcPr>
            <w:tcW w:w="4533" w:type="pct"/>
            <w:vAlign w:val="center"/>
          </w:tcPr>
          <w:p>
            <w:pPr>
              <w:spacing w:line="300" w:lineRule="auto"/>
              <w:rPr>
                <w:rFonts w:hint="eastAsia" w:ascii="宋体" w:hAnsi="宋体" w:cs="宋体"/>
                <w:sz w:val="24"/>
              </w:rPr>
            </w:pPr>
            <w:r>
              <w:rPr>
                <w:rFonts w:hint="eastAsia" w:ascii="宋体" w:hAnsi="宋体" w:cs="宋体"/>
                <w:sz w:val="24"/>
              </w:rPr>
              <w:t>其他违约条款（可自行补充）</w:t>
            </w:r>
          </w:p>
          <w:p>
            <w:pPr>
              <w:numPr>
                <w:ilvl w:val="0"/>
                <w:numId w:val="10"/>
              </w:numPr>
              <w:spacing w:line="300" w:lineRule="auto"/>
              <w:ind w:firstLine="240" w:firstLineChars="100"/>
              <w:rPr>
                <w:rFonts w:hint="eastAsia" w:ascii="宋体" w:hAnsi="宋体" w:cs="宋体"/>
                <w:sz w:val="24"/>
              </w:rPr>
            </w:pPr>
            <w:r>
              <w:rPr>
                <w:rFonts w:hint="eastAsia" w:ascii="宋体" w:hAnsi="宋体"/>
                <w:sz w:val="24"/>
              </w:rPr>
              <w:t>甲方有权对质量不合格产品进行拒收，由此产生的损失由乙方承担；</w:t>
            </w:r>
          </w:p>
          <w:p>
            <w:pPr>
              <w:numPr>
                <w:ilvl w:val="0"/>
                <w:numId w:val="10"/>
              </w:numPr>
              <w:spacing w:line="300" w:lineRule="auto"/>
              <w:ind w:firstLine="240" w:firstLineChars="100"/>
              <w:rPr>
                <w:rFonts w:hint="eastAsia" w:ascii="宋体" w:hAnsi="宋体" w:cs="宋体"/>
                <w:sz w:val="24"/>
              </w:rPr>
            </w:pPr>
            <w:r>
              <w:rPr>
                <w:rFonts w:ascii="宋体" w:hAnsi="宋体" w:cs="宋体"/>
                <w:sz w:val="24"/>
              </w:rPr>
              <w:t>乙方所交的货物品种、型号、规格、技术参数、质量不符合合同规定及招投标文件规定标准的，或项目经验收不合格的，甲方有权拒收该货物，乙方愿意更换货物但逾期交货的，按乙方逾期交货处理。乙方拒绝更换货物的，甲方可单方面解除合同，同时乙方应按合同价款的10%承担违约金，并退还全部已收款项。</w:t>
            </w:r>
          </w:p>
          <w:p>
            <w:pPr>
              <w:numPr>
                <w:ilvl w:val="0"/>
                <w:numId w:val="10"/>
              </w:numPr>
              <w:spacing w:line="300" w:lineRule="auto"/>
              <w:ind w:firstLine="240" w:firstLineChars="100"/>
              <w:rPr>
                <w:rFonts w:hint="eastAsia" w:ascii="宋体" w:hAnsi="宋体" w:cs="宋体"/>
                <w:sz w:val="24"/>
              </w:rPr>
            </w:pPr>
            <w:r>
              <w:rPr>
                <w:rFonts w:ascii="宋体" w:hAnsi="宋体" w:cs="宋体"/>
                <w:sz w:val="24"/>
              </w:rPr>
              <w:t>上述第</w:t>
            </w:r>
            <w:r>
              <w:rPr>
                <w:rFonts w:hint="eastAsia" w:ascii="宋体" w:hAnsi="宋体" w:cs="宋体"/>
                <w:sz w:val="24"/>
              </w:rPr>
              <w:t>2</w:t>
            </w:r>
            <w:r>
              <w:rPr>
                <w:rFonts w:ascii="宋体" w:hAnsi="宋体" w:cs="宋体"/>
                <w:sz w:val="24"/>
              </w:rPr>
              <w:t>项应退回或更换的货物，由乙方在验收后一周内运离安装地点，所需费用由乙方承担。如乙方在二周内不处理（搬走）的，视为乙方放弃，甲方有权自行处置（包括废物处理）。</w:t>
            </w:r>
          </w:p>
          <w:p>
            <w:pPr>
              <w:numPr>
                <w:ilvl w:val="0"/>
                <w:numId w:val="10"/>
              </w:numPr>
              <w:spacing w:line="300" w:lineRule="auto"/>
              <w:ind w:firstLine="240" w:firstLineChars="100"/>
              <w:rPr>
                <w:rFonts w:hint="eastAsia" w:ascii="宋体" w:hAnsi="宋体" w:cs="宋体"/>
                <w:sz w:val="24"/>
              </w:rPr>
            </w:pPr>
            <w:r>
              <w:rPr>
                <w:rFonts w:ascii="宋体" w:hAnsi="宋体" w:cs="宋体"/>
                <w:sz w:val="24"/>
              </w:rPr>
              <w:t>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pPr>
              <w:spacing w:line="300" w:lineRule="auto"/>
              <w:rPr>
                <w:rFonts w:hint="eastAsia" w:ascii="宋体" w:hAnsi="宋体" w:cs="宋体"/>
                <w:sz w:val="24"/>
              </w:rPr>
            </w:pPr>
            <w:r>
              <w:rPr>
                <w:rFonts w:hint="eastAsia" w:ascii="宋体" w:hAnsi="宋体" w:cs="宋体"/>
                <w:sz w:val="24"/>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1.9.1</w:t>
            </w:r>
          </w:p>
        </w:tc>
        <w:tc>
          <w:tcPr>
            <w:tcW w:w="4533" w:type="pct"/>
            <w:vAlign w:val="center"/>
          </w:tcPr>
          <w:p>
            <w:pPr>
              <w:spacing w:line="360" w:lineRule="auto"/>
              <w:rPr>
                <w:rFonts w:hint="eastAsia" w:ascii="宋体" w:hAnsi="宋体" w:cs="宋体"/>
                <w:sz w:val="24"/>
              </w:rPr>
            </w:pPr>
            <w:r>
              <w:rPr>
                <w:rFonts w:hint="eastAsia" w:ascii="宋体" w:hAnsi="宋体" w:cs="宋体"/>
                <w:kern w:val="0"/>
                <w:sz w:val="24"/>
              </w:rPr>
              <w:t>将争议提交杭州市仲裁委员会依申请仲裁时其现行有效的仲裁规则裁决。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1.9.2</w:t>
            </w:r>
          </w:p>
        </w:tc>
        <w:tc>
          <w:tcPr>
            <w:tcW w:w="4533" w:type="pct"/>
            <w:vAlign w:val="center"/>
          </w:tcPr>
          <w:p>
            <w:pPr>
              <w:spacing w:line="360" w:lineRule="auto"/>
              <w:rPr>
                <w:rFonts w:hint="eastAsia" w:ascii="宋体" w:hAnsi="宋体" w:cs="宋体"/>
                <w:sz w:val="24"/>
              </w:rPr>
            </w:pPr>
            <w:r>
              <w:rPr>
                <w:rFonts w:hint="eastAsia" w:ascii="宋体" w:hAnsi="宋体" w:cs="宋体"/>
                <w:kern w:val="0"/>
                <w:sz w:val="24"/>
              </w:rPr>
              <w:t>向杭州市西湖区人民法院起诉。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2.12.3</w:t>
            </w:r>
          </w:p>
        </w:tc>
        <w:tc>
          <w:tcPr>
            <w:tcW w:w="4533" w:type="pct"/>
            <w:vAlign w:val="center"/>
          </w:tcPr>
          <w:p>
            <w:pPr>
              <w:spacing w:line="360" w:lineRule="auto"/>
              <w:rPr>
                <w:rFonts w:hint="eastAsia" w:ascii="宋体" w:hAnsi="宋体" w:cs="宋体"/>
                <w:kern w:val="0"/>
                <w:sz w:val="24"/>
              </w:rPr>
            </w:pPr>
            <w:r>
              <w:rPr>
                <w:rFonts w:hint="eastAsia" w:ascii="宋体" w:hAnsi="宋体" w:cs="宋体"/>
                <w:kern w:val="0"/>
                <w:sz w:val="24"/>
              </w:rPr>
              <w:t>因不可抗力致使合同有变更必要的，双方当事人应在</w:t>
            </w:r>
            <w:r>
              <w:rPr>
                <w:rFonts w:hint="eastAsia" w:ascii="宋体" w:hAnsi="宋体" w:cs="宋体"/>
                <w:b/>
                <w:bCs/>
                <w:kern w:val="0"/>
                <w:sz w:val="24"/>
                <w:u w:val="single"/>
              </w:rPr>
              <w:t>180日</w:t>
            </w:r>
            <w:r>
              <w:rPr>
                <w:rFonts w:hint="eastAsia" w:ascii="宋体" w:hAnsi="宋体" w:cs="宋体"/>
                <w:kern w:val="0"/>
                <w:sz w:val="24"/>
              </w:rPr>
              <w:t>约定时间内以书面形式变更合同。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2.12.4</w:t>
            </w:r>
          </w:p>
        </w:tc>
        <w:tc>
          <w:tcPr>
            <w:tcW w:w="4533" w:type="pct"/>
            <w:vAlign w:val="center"/>
          </w:tcPr>
          <w:p>
            <w:pPr>
              <w:spacing w:line="360" w:lineRule="auto"/>
              <w:rPr>
                <w:rFonts w:hint="eastAsia" w:ascii="宋体" w:hAnsi="宋体" w:cs="宋体"/>
                <w:kern w:val="0"/>
                <w:sz w:val="24"/>
              </w:rPr>
            </w:pPr>
            <w:r>
              <w:rPr>
                <w:rFonts w:hint="eastAsia" w:ascii="宋体" w:hAnsi="宋体" w:cs="宋体"/>
                <w:kern w:val="0"/>
                <w:sz w:val="24"/>
              </w:rPr>
              <w:t>受不可抗力影响的一方在不可抗力发生后，应在</w:t>
            </w:r>
            <w:r>
              <w:rPr>
                <w:rFonts w:hint="eastAsia" w:ascii="宋体" w:hAnsi="宋体" w:cs="宋体"/>
                <w:b/>
                <w:bCs/>
                <w:kern w:val="0"/>
                <w:sz w:val="24"/>
                <w:u w:val="single"/>
              </w:rPr>
              <w:t>30日历天内</w:t>
            </w:r>
            <w:r>
              <w:rPr>
                <w:rFonts w:hint="eastAsia" w:ascii="宋体" w:hAnsi="宋体" w:cs="宋体"/>
                <w:kern w:val="0"/>
                <w:sz w:val="24"/>
              </w:rPr>
              <w:t>以书面形式通知对方当事人，并在30日历天内，将有关部门出具的证明文件送达对方当事人。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2.16.3</w:t>
            </w:r>
          </w:p>
        </w:tc>
        <w:tc>
          <w:tcPr>
            <w:tcW w:w="4533" w:type="pct"/>
            <w:vAlign w:val="center"/>
          </w:tcPr>
          <w:p>
            <w:pPr>
              <w:spacing w:line="360" w:lineRule="auto"/>
              <w:rPr>
                <w:b/>
                <w:sz w:val="24"/>
              </w:rPr>
            </w:pPr>
            <w:r>
              <w:rPr>
                <w:rFonts w:hint="eastAsia" w:hAnsi="宋体"/>
                <w:b/>
                <w:sz w:val="24"/>
              </w:rPr>
              <w:t>检验和验收标准、程序等具体内容以及前述验收书的效力：</w:t>
            </w:r>
          </w:p>
          <w:p>
            <w:pPr>
              <w:spacing w:line="300" w:lineRule="auto"/>
              <w:rPr>
                <w:rFonts w:hint="eastAsia" w:ascii="宋体" w:hAnsi="宋体" w:cs="宋体"/>
                <w:sz w:val="24"/>
              </w:rPr>
            </w:pPr>
            <w:r>
              <w:rPr>
                <w:rFonts w:hint="eastAsia" w:hAnsi="宋体"/>
                <w:sz w:val="24"/>
              </w:rPr>
              <w:t>详见采购需求及投标文件，具体验收流程、程序以甲方要求为准。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hint="eastAsia" w:ascii="宋体" w:hAnsi="宋体" w:cs="宋体"/>
                <w:sz w:val="24"/>
              </w:rPr>
            </w:pPr>
            <w:r>
              <w:rPr>
                <w:rFonts w:hint="eastAsia" w:ascii="宋体" w:hAnsi="宋体" w:cs="宋体"/>
                <w:sz w:val="24"/>
              </w:rPr>
              <w:t>2.20</w:t>
            </w:r>
          </w:p>
        </w:tc>
        <w:tc>
          <w:tcPr>
            <w:tcW w:w="4533" w:type="pct"/>
          </w:tcPr>
          <w:p>
            <w:pPr>
              <w:spacing w:line="360" w:lineRule="auto"/>
              <w:rPr>
                <w:b/>
                <w:sz w:val="24"/>
              </w:rPr>
            </w:pPr>
            <w:r>
              <w:rPr>
                <w:rFonts w:hint="eastAsia" w:hAnsi="宋体"/>
                <w:b/>
                <w:sz w:val="24"/>
              </w:rPr>
              <w:t>合同份数：</w:t>
            </w:r>
          </w:p>
          <w:p>
            <w:pPr>
              <w:spacing w:line="300" w:lineRule="auto"/>
              <w:rPr>
                <w:rFonts w:hint="eastAsia" w:ascii="宋体" w:hAnsi="宋体" w:cs="宋体"/>
                <w:sz w:val="24"/>
              </w:rPr>
            </w:pPr>
            <w:r>
              <w:rPr>
                <w:rFonts w:hint="eastAsia" w:hAnsi="宋体"/>
                <w:sz w:val="24"/>
              </w:rPr>
              <w:t>一式</w:t>
            </w:r>
            <w:r>
              <w:rPr>
                <w:rFonts w:hint="eastAsia"/>
                <w:sz w:val="24"/>
              </w:rPr>
              <w:t>5</w:t>
            </w:r>
            <w:r>
              <w:rPr>
                <w:rFonts w:hint="eastAsia" w:hAnsi="宋体"/>
                <w:sz w:val="24"/>
              </w:rPr>
              <w:t>份，甲方</w:t>
            </w:r>
            <w:r>
              <w:rPr>
                <w:rFonts w:hint="eastAsia"/>
                <w:sz w:val="24"/>
              </w:rPr>
              <w:t>2</w:t>
            </w:r>
            <w:r>
              <w:rPr>
                <w:rFonts w:hint="eastAsia" w:hAnsi="宋体"/>
                <w:sz w:val="24"/>
              </w:rPr>
              <w:t>份，乙方</w:t>
            </w:r>
            <w:r>
              <w:rPr>
                <w:sz w:val="24"/>
              </w:rPr>
              <w:t>2</w:t>
            </w:r>
            <w:r>
              <w:rPr>
                <w:rFonts w:hint="eastAsia" w:hAnsi="宋体"/>
                <w:sz w:val="24"/>
              </w:rPr>
              <w:t>份，采购中心1份。</w:t>
            </w:r>
          </w:p>
        </w:tc>
      </w:tr>
    </w:tbl>
    <w:p>
      <w:pPr>
        <w:pStyle w:val="2"/>
        <w:rPr>
          <w:rFonts w:hint="eastAsia"/>
        </w:rPr>
      </w:pPr>
    </w:p>
    <w:p>
      <w:pPr>
        <w:snapToGrid w:val="0"/>
        <w:spacing w:line="360" w:lineRule="auto"/>
        <w:rPr>
          <w:rFonts w:hint="eastAsia" w:ascii="宋体" w:hAnsi="宋体" w:cs="宋体"/>
          <w:sz w:val="24"/>
        </w:rPr>
      </w:pPr>
    </w:p>
    <w:p>
      <w:pPr>
        <w:rPr>
          <w:rFonts w:hint="eastAsia" w:ascii="宋体" w:hAnsi="宋体" w:cs="宋体"/>
          <w:sz w:val="24"/>
        </w:rPr>
      </w:pPr>
    </w:p>
    <w:p/>
    <w:p>
      <w:pPr>
        <w:pStyle w:val="23"/>
        <w:rPr>
          <w:lang w:val="en-US"/>
        </w:rPr>
      </w:pPr>
    </w:p>
    <w:p/>
    <w:p>
      <w:pPr>
        <w:spacing w:line="360" w:lineRule="auto"/>
        <w:ind w:left="720" w:firstLine="723" w:firstLineChars="200"/>
        <w:outlineLvl w:val="0"/>
        <w:rPr>
          <w:rFonts w:hint="eastAsia" w:ascii="宋体" w:hAnsi="宋体" w:cs="宋体"/>
          <w:b/>
          <w:sz w:val="36"/>
          <w:szCs w:val="20"/>
        </w:rPr>
      </w:pPr>
      <w:r>
        <w:rPr>
          <w:rFonts w:hint="eastAsia" w:ascii="宋体" w:hAnsi="宋体" w:cs="宋体"/>
          <w:b/>
          <w:sz w:val="36"/>
          <w:szCs w:val="20"/>
        </w:rPr>
        <w:t>第六部分</w:t>
      </w:r>
      <w:bookmarkEnd w:id="406"/>
      <w:r>
        <w:rPr>
          <w:rFonts w:hint="eastAsia" w:ascii="宋体" w:hAnsi="宋体" w:cs="宋体"/>
          <w:b/>
          <w:sz w:val="36"/>
          <w:szCs w:val="20"/>
        </w:rPr>
        <w:t xml:space="preserve"> </w:t>
      </w:r>
      <w:bookmarkEnd w:id="407"/>
      <w:r>
        <w:rPr>
          <w:rFonts w:hint="eastAsia" w:ascii="宋体" w:hAnsi="宋体" w:cs="宋体"/>
          <w:b/>
          <w:sz w:val="36"/>
          <w:szCs w:val="20"/>
        </w:rPr>
        <w:t>应提交的有关格式范例</w:t>
      </w:r>
    </w:p>
    <w:p>
      <w:pPr>
        <w:spacing w:line="360" w:lineRule="auto"/>
        <w:jc w:val="center"/>
        <w:outlineLvl w:val="0"/>
        <w:rPr>
          <w:rFonts w:hint="eastAsia" w:ascii="宋体" w:hAnsi="宋体" w:cs="宋体"/>
          <w:b/>
          <w:kern w:val="0"/>
          <w:sz w:val="36"/>
          <w:szCs w:val="36"/>
        </w:rPr>
      </w:pPr>
    </w:p>
    <w:p>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hint="eastAsia" w:ascii="宋体" w:hAnsi="宋体" w:cs="宋体"/>
          <w:b/>
          <w:kern w:val="0"/>
          <w:sz w:val="36"/>
          <w:szCs w:val="36"/>
        </w:rPr>
      </w:pPr>
    </w:p>
    <w:p>
      <w:pPr>
        <w:numPr>
          <w:ilvl w:val="0"/>
          <w:numId w:val="11"/>
        </w:numPr>
        <w:snapToGrid w:val="0"/>
        <w:spacing w:line="360" w:lineRule="auto"/>
        <w:rPr>
          <w:rFonts w:hint="eastAsia" w:ascii="宋体" w:hAnsi="宋体" w:cs="宋体"/>
          <w:sz w:val="24"/>
        </w:rPr>
      </w:pPr>
      <w:r>
        <w:rPr>
          <w:rFonts w:hint="eastAsia" w:ascii="宋体" w:hAnsi="宋体" w:cs="宋体"/>
          <w:sz w:val="24"/>
        </w:rPr>
        <w:t>符合参加政府采购活动应当具备的一般条件的承诺函……………（页码）</w:t>
      </w:r>
    </w:p>
    <w:p>
      <w:pPr>
        <w:numPr>
          <w:ilvl w:val="0"/>
          <w:numId w:val="11"/>
        </w:numPr>
        <w:snapToGrid w:val="0"/>
        <w:spacing w:line="360" w:lineRule="auto"/>
        <w:rPr>
          <w:rFonts w:hint="eastAsia" w:ascii="宋体" w:hAnsi="宋体" w:cs="宋体"/>
          <w:sz w:val="24"/>
        </w:rPr>
      </w:pPr>
      <w:r>
        <w:rPr>
          <w:rFonts w:hint="eastAsia" w:ascii="宋体" w:hAnsi="宋体" w:cs="宋体"/>
          <w:sz w:val="24"/>
        </w:rPr>
        <w:t>联合协议………………………………………………………………（页码）</w:t>
      </w:r>
    </w:p>
    <w:p>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）落实政府采购政策需满足的资格要求………………………………（页码）</w:t>
      </w:r>
    </w:p>
    <w:p>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）本项目的特定资格要求………………………………………………（页码）</w:t>
      </w:r>
    </w:p>
    <w:p>
      <w:pPr>
        <w:snapToGrid w:val="0"/>
        <w:spacing w:line="360" w:lineRule="auto"/>
        <w:ind w:firstLine="480" w:firstLineChars="200"/>
        <w:rPr>
          <w:rFonts w:hint="eastAsia" w:ascii="宋体" w:hAnsi="宋体" w:cs="宋体"/>
          <w:sz w:val="24"/>
        </w:rPr>
      </w:pPr>
    </w:p>
    <w:p>
      <w:pPr>
        <w:pStyle w:val="23"/>
        <w:rPr>
          <w:rFonts w:hint="eastAsia" w:hAnsi="宋体" w:cs="宋体"/>
        </w:rPr>
      </w:pPr>
    </w:p>
    <w:p>
      <w:pPr>
        <w:pStyle w:val="61"/>
        <w:rPr>
          <w:rFonts w:hint="eastAsia" w:hAnsi="宋体" w:cs="宋体"/>
        </w:rPr>
      </w:pPr>
    </w:p>
    <w:p>
      <w:pPr>
        <w:rPr>
          <w:rFonts w:hint="eastAsia" w:ascii="宋体" w:hAnsi="宋体" w:cs="宋体"/>
          <w:sz w:val="24"/>
        </w:rPr>
      </w:pPr>
    </w:p>
    <w:p>
      <w:pPr>
        <w:pStyle w:val="23"/>
        <w:rPr>
          <w:rFonts w:hint="eastAsia" w:hAnsi="宋体" w:cs="宋体"/>
        </w:rPr>
      </w:pPr>
    </w:p>
    <w:p>
      <w:pPr>
        <w:pStyle w:val="61"/>
        <w:rPr>
          <w:rFonts w:hint="eastAsia" w:hAnsi="宋体" w:cs="宋体"/>
        </w:rPr>
      </w:pPr>
    </w:p>
    <w:p>
      <w:pPr>
        <w:rPr>
          <w:rFonts w:hint="eastAsia" w:ascii="宋体" w:hAnsi="宋体" w:cs="宋体"/>
          <w:sz w:val="24"/>
        </w:rPr>
      </w:pPr>
    </w:p>
    <w:p>
      <w:pPr>
        <w:pStyle w:val="23"/>
        <w:rPr>
          <w:rFonts w:hint="eastAsia" w:hAnsi="宋体" w:cs="宋体"/>
        </w:rPr>
      </w:pPr>
    </w:p>
    <w:p>
      <w:pPr>
        <w:pStyle w:val="61"/>
        <w:rPr>
          <w:rFonts w:hint="eastAsia" w:hAnsi="宋体" w:cs="宋体"/>
        </w:rPr>
      </w:pPr>
    </w:p>
    <w:p>
      <w:pPr>
        <w:rPr>
          <w:rFonts w:hint="eastAsia" w:ascii="宋体" w:hAnsi="宋体" w:cs="宋体"/>
          <w:sz w:val="24"/>
        </w:rPr>
      </w:pPr>
    </w:p>
    <w:p>
      <w:pPr>
        <w:pStyle w:val="23"/>
        <w:rPr>
          <w:rFonts w:hint="eastAsia" w:hAnsi="宋体" w:cs="宋体"/>
        </w:rPr>
      </w:pPr>
    </w:p>
    <w:p>
      <w:pPr>
        <w:pStyle w:val="61"/>
        <w:rPr>
          <w:rFonts w:hint="eastAsia" w:hAnsi="宋体" w:cs="宋体"/>
        </w:rPr>
      </w:pPr>
    </w:p>
    <w:p>
      <w:pPr>
        <w:rPr>
          <w:rFonts w:hint="eastAsia" w:ascii="宋体" w:hAnsi="宋体" w:cs="宋体"/>
          <w:sz w:val="24"/>
        </w:rPr>
      </w:pPr>
    </w:p>
    <w:p>
      <w:pPr>
        <w:pStyle w:val="23"/>
        <w:rPr>
          <w:rFonts w:hint="eastAsia" w:hAnsi="宋体" w:cs="宋体"/>
        </w:rPr>
      </w:pPr>
    </w:p>
    <w:p>
      <w:pPr>
        <w:pStyle w:val="61"/>
        <w:rPr>
          <w:rFonts w:hint="eastAsia" w:hAnsi="宋体" w:cs="宋体"/>
        </w:rPr>
      </w:pPr>
    </w:p>
    <w:p>
      <w:pPr>
        <w:pStyle w:val="61"/>
        <w:rPr>
          <w:rFonts w:hint="eastAsia" w:hAnsi="宋体" w:cs="宋体"/>
        </w:rPr>
      </w:pPr>
    </w:p>
    <w:p>
      <w:pPr>
        <w:pStyle w:val="61"/>
        <w:rPr>
          <w:rFonts w:hint="eastAsia" w:hAnsi="宋体" w:cs="宋体"/>
        </w:rPr>
      </w:pPr>
    </w:p>
    <w:p>
      <w:pPr>
        <w:pStyle w:val="61"/>
        <w:rPr>
          <w:rFonts w:hint="eastAsia" w:hAnsi="宋体" w:cs="宋体"/>
        </w:rPr>
      </w:pPr>
    </w:p>
    <w:p>
      <w:pPr>
        <w:rPr>
          <w:rFonts w:hint="eastAsia" w:ascii="宋体" w:hAnsi="宋体" w:cs="宋体"/>
          <w:sz w:val="24"/>
        </w:rPr>
      </w:pPr>
    </w:p>
    <w:p>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hint="eastAsia" w:ascii="宋体" w:hAnsi="宋体" w:cs="宋体"/>
          <w:sz w:val="24"/>
        </w:rPr>
      </w:pPr>
      <w:r>
        <w:rPr>
          <w:rFonts w:hint="eastAsia" w:ascii="宋体" w:hAnsi="宋体" w:cs="宋体"/>
          <w:sz w:val="24"/>
          <w:lang w:eastAsia="zh-CN"/>
        </w:rPr>
        <w:t>杭州市文三教育集团（总校）</w:t>
      </w:r>
      <w:r>
        <w:rPr>
          <w:rFonts w:hint="eastAsia" w:ascii="宋体" w:hAnsi="宋体" w:cs="宋体"/>
          <w:sz w:val="24"/>
        </w:rPr>
        <w:t>、杭州市西湖区政府采购中心：</w:t>
      </w:r>
    </w:p>
    <w:p>
      <w:pPr>
        <w:snapToGrid w:val="0"/>
        <w:spacing w:line="360" w:lineRule="auto"/>
        <w:ind w:firstLine="480" w:firstLineChars="200"/>
        <w:rPr>
          <w:rFonts w:hint="eastAsia" w:ascii="宋体" w:hAnsi="宋体" w:cs="宋体"/>
          <w:sz w:val="24"/>
        </w:rPr>
      </w:pPr>
      <w:r>
        <w:rPr>
          <w:rFonts w:hint="eastAsia" w:ascii="宋体" w:hAnsi="宋体" w:cs="宋体"/>
          <w:sz w:val="24"/>
        </w:rPr>
        <w:t>我方参与</w:t>
      </w:r>
      <w:r>
        <w:rPr>
          <w:rFonts w:hint="eastAsia" w:ascii="宋体" w:hAnsi="宋体" w:cs="宋体"/>
          <w:sz w:val="24"/>
          <w:lang w:eastAsia="zh-CN"/>
        </w:rPr>
        <w:t>杭州市文三教育集团（总校）</w:t>
      </w:r>
      <w:r>
        <w:rPr>
          <w:rFonts w:hint="eastAsia" w:ascii="宋体" w:hAnsi="宋体" w:cs="宋体"/>
          <w:sz w:val="24"/>
        </w:rPr>
        <w:t>新校区电子显示屏采购项目【招标编号：XHZFCG-2025-</w:t>
      </w:r>
      <w:r>
        <w:rPr>
          <w:rFonts w:hint="eastAsia" w:ascii="宋体" w:hAnsi="宋体" w:cs="宋体"/>
          <w:sz w:val="24"/>
          <w:lang w:eastAsia="zh-CN"/>
        </w:rPr>
        <w:t>G-71</w:t>
      </w:r>
      <w:r>
        <w:rPr>
          <w:rFonts w:hint="eastAsia" w:ascii="宋体" w:hAnsi="宋体" w:cs="宋体"/>
          <w:sz w:val="24"/>
        </w:rPr>
        <w:t>】政府采购活动，郑重承诺：</w:t>
      </w:r>
    </w:p>
    <w:p>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left"/>
        <w:rPr>
          <w:rFonts w:hint="eastAsia" w:ascii="宋体" w:hAnsi="宋体" w:cs="宋体"/>
          <w:b/>
          <w:kern w:val="0"/>
          <w:sz w:val="32"/>
          <w:szCs w:val="32"/>
        </w:rPr>
      </w:pPr>
      <w:r>
        <w:rPr>
          <w:rFonts w:hint="eastAsia" w:ascii="宋体" w:hAnsi="宋体" w:cs="仿宋_GB2312"/>
          <w:sz w:val="24"/>
        </w:rPr>
        <w:t>注：根据《</w:t>
      </w:r>
      <w:r>
        <w:rPr>
          <w:rFonts w:ascii="宋体" w:hAnsi="宋体" w:cs="仿宋_GB2312"/>
          <w:sz w:val="24"/>
        </w:rPr>
        <w:t>关于规范政府采购供应商资格设定及资格审查的通知</w:t>
      </w:r>
      <w:r>
        <w:rPr>
          <w:rFonts w:hint="eastAsia" w:ascii="宋体" w:hAnsi="宋体" w:cs="仿宋_GB2312"/>
          <w:sz w:val="24"/>
        </w:rPr>
        <w:t>》（</w:t>
      </w:r>
      <w:r>
        <w:rPr>
          <w:rFonts w:ascii="宋体" w:hAnsi="宋体" w:cs="仿宋_GB2312"/>
          <w:sz w:val="24"/>
        </w:rPr>
        <w:t>浙财采监[2013]24号</w:t>
      </w:r>
      <w:r>
        <w:rPr>
          <w:rFonts w:hint="eastAsia" w:ascii="宋体" w:hAnsi="宋体" w:cs="仿宋_GB2312"/>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仿宋_GB2312"/>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pStyle w:val="2"/>
        <w:rPr>
          <w:rFonts w:hint="eastAsia"/>
        </w:rPr>
      </w:pPr>
    </w:p>
    <w:p>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cs="宋体"/>
          <w:b/>
          <w:kern w:val="0"/>
          <w:sz w:val="32"/>
          <w:szCs w:val="32"/>
        </w:rPr>
      </w:pPr>
    </w:p>
    <w:p>
      <w:pPr>
        <w:pStyle w:val="2"/>
        <w:rPr>
          <w:rFonts w:hint="eastAsia"/>
        </w:rPr>
      </w:pPr>
    </w:p>
    <w:p>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pPr>
        <w:widowControl/>
        <w:spacing w:line="360" w:lineRule="auto"/>
        <w:ind w:left="150"/>
        <w:jc w:val="center"/>
        <w:rPr>
          <w:rFonts w:hint="eastAsia" w:ascii="宋体" w:hAnsi="宋体" w:cs="宋体"/>
          <w:b/>
          <w:kern w:val="0"/>
          <w:sz w:val="32"/>
          <w:szCs w:val="32"/>
        </w:rPr>
      </w:pPr>
    </w:p>
    <w:p>
      <w:pPr>
        <w:pStyle w:val="79"/>
        <w:ind w:firstLine="480"/>
      </w:pPr>
    </w:p>
    <w:p>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pPr>
        <w:rPr>
          <w:rFonts w:hint="eastAsia" w:ascii="宋体" w:hAnsi="宋体" w:cs="宋体"/>
        </w:rPr>
      </w:pPr>
    </w:p>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pStyle w:val="2"/>
        <w:rPr>
          <w:rFonts w:hint="eastAsia"/>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pPr>
        <w:numPr>
          <w:ilvl w:val="0"/>
          <w:numId w:val="12"/>
        </w:numPr>
        <w:snapToGrid w:val="0"/>
        <w:spacing w:line="360" w:lineRule="auto"/>
        <w:ind w:left="479" w:leftChars="228"/>
        <w:rPr>
          <w:rFonts w:hint="eastAsia" w:ascii="宋体" w:hAnsi="宋体" w:cs="宋体"/>
        </w:rPr>
      </w:pPr>
      <w:r>
        <w:rPr>
          <w:rFonts w:hint="eastAsia" w:ascii="宋体" w:hAnsi="宋体" w:cs="宋体"/>
          <w:sz w:val="24"/>
        </w:rPr>
        <w:t>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pStyle w:val="2"/>
        <w:ind w:left="0" w:firstLine="480" w:firstLineChars="2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（3）分包意向协议………………………………………………………………</w:t>
      </w:r>
      <w:r>
        <w:rPr>
          <w:rFonts w:hint="eastAsia" w:ascii="宋体" w:hAnsi="宋体" w:eastAsia="宋体" w:cs="宋体"/>
          <w:b w:val="0"/>
          <w:bCs w:val="0"/>
          <w:sz w:val="21"/>
          <w:szCs w:val="24"/>
          <w:lang w:val="en-US"/>
        </w:rPr>
        <w:t>（页码）</w:t>
      </w:r>
    </w:p>
    <w:p>
      <w:pPr>
        <w:snapToGrid w:val="0"/>
        <w:spacing w:line="360" w:lineRule="auto"/>
        <w:ind w:firstLine="480" w:firstLineChars="200"/>
        <w:rPr>
          <w:rFonts w:hint="eastAsia" w:ascii="宋体" w:hAnsi="宋体" w:cs="宋体"/>
        </w:rPr>
      </w:pPr>
      <w:r>
        <w:rPr>
          <w:rFonts w:hint="eastAsia" w:ascii="宋体" w:hAnsi="宋体" w:cs="宋体"/>
          <w:sz w:val="24"/>
        </w:rPr>
        <w:t>（4）符合性审查资料</w:t>
      </w:r>
      <w:r>
        <w:rPr>
          <w:rFonts w:hint="eastAsia" w:ascii="宋体" w:hAnsi="宋体" w:cs="宋体"/>
        </w:rPr>
        <w:t>………………………………………………………………………（页码）</w:t>
      </w:r>
    </w:p>
    <w:p>
      <w:pPr>
        <w:snapToGrid w:val="0"/>
        <w:spacing w:line="360" w:lineRule="auto"/>
        <w:ind w:left="479" w:leftChars="228"/>
        <w:rPr>
          <w:rFonts w:hint="eastAsia" w:ascii="宋体" w:hAnsi="宋体" w:cs="宋体"/>
        </w:rPr>
      </w:pPr>
      <w:r>
        <w:rPr>
          <w:rFonts w:hint="eastAsia" w:ascii="宋体" w:hAnsi="宋体" w:cs="宋体"/>
          <w:sz w:val="24"/>
        </w:rPr>
        <w:t>（5）评标标准相应的商务技术资料</w:t>
      </w:r>
      <w:r>
        <w:rPr>
          <w:rFonts w:hint="eastAsia" w:ascii="宋体" w:hAnsi="宋体" w:cs="宋体"/>
        </w:rPr>
        <w:t>…………………………………………………… （页码）</w:t>
      </w:r>
      <w:r>
        <w:rPr>
          <w:rFonts w:hint="eastAsia" w:ascii="宋体" w:hAnsi="宋体" w:cs="宋体"/>
          <w:sz w:val="24"/>
        </w:rPr>
        <w:t>（6）投标标的清单</w:t>
      </w:r>
      <w:r>
        <w:rPr>
          <w:rFonts w:hint="eastAsia" w:ascii="宋体" w:hAnsi="宋体" w:cs="宋体"/>
        </w:rPr>
        <w:t>…………………………………………………………………………（页码）</w:t>
      </w:r>
    </w:p>
    <w:p>
      <w:pPr>
        <w:snapToGrid w:val="0"/>
        <w:spacing w:line="360" w:lineRule="auto"/>
        <w:ind w:left="479" w:leftChars="228"/>
        <w:rPr>
          <w:rFonts w:hint="eastAsia" w:ascii="宋体" w:hAnsi="宋体" w:cs="宋体"/>
        </w:rPr>
      </w:pPr>
      <w:r>
        <w:rPr>
          <w:rFonts w:hint="eastAsia" w:ascii="宋体" w:hAnsi="宋体" w:cs="宋体"/>
          <w:sz w:val="24"/>
        </w:rPr>
        <w:t>（7）商务技术偏离表</w:t>
      </w:r>
      <w:r>
        <w:rPr>
          <w:rFonts w:hint="eastAsia" w:ascii="宋体" w:hAnsi="宋体" w:cs="宋体"/>
        </w:rPr>
        <w:t>………………………………………………………………………（页码）</w:t>
      </w:r>
    </w:p>
    <w:p>
      <w:pPr>
        <w:snapToGrid w:val="0"/>
        <w:spacing w:line="360" w:lineRule="auto"/>
        <w:ind w:left="479" w:leftChars="228"/>
        <w:rPr>
          <w:rFonts w:hint="eastAsia"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ind w:firstLine="3855" w:firstLineChars="1200"/>
        <w:outlineLvl w:val="0"/>
        <w:rPr>
          <w:rFonts w:hint="eastAsia" w:ascii="宋体" w:hAnsi="宋体" w:cs="宋体"/>
          <w:b/>
          <w:kern w:val="0"/>
          <w:sz w:val="32"/>
          <w:szCs w:val="32"/>
        </w:rPr>
      </w:pPr>
    </w:p>
    <w:p>
      <w:pPr>
        <w:snapToGrid w:val="0"/>
        <w:spacing w:line="360" w:lineRule="auto"/>
        <w:ind w:firstLine="3855" w:firstLineChars="1200"/>
        <w:outlineLvl w:val="0"/>
        <w:rPr>
          <w:rFonts w:hint="eastAsia" w:ascii="宋体" w:hAnsi="宋体" w:cs="宋体"/>
          <w:b/>
          <w:kern w:val="0"/>
          <w:sz w:val="32"/>
          <w:szCs w:val="32"/>
        </w:rPr>
      </w:pPr>
    </w:p>
    <w:p>
      <w:pPr>
        <w:snapToGrid w:val="0"/>
        <w:spacing w:line="360" w:lineRule="auto"/>
        <w:ind w:firstLine="3855" w:firstLineChars="1200"/>
        <w:outlineLvl w:val="0"/>
        <w:rPr>
          <w:rFonts w:hint="eastAsia" w:ascii="宋体" w:hAnsi="宋体" w:cs="宋体"/>
          <w:b/>
          <w:kern w:val="0"/>
          <w:sz w:val="32"/>
          <w:szCs w:val="32"/>
        </w:rPr>
      </w:pPr>
    </w:p>
    <w:p>
      <w:pPr>
        <w:snapToGrid w:val="0"/>
        <w:spacing w:line="360" w:lineRule="auto"/>
        <w:ind w:firstLine="3855" w:firstLineChars="1200"/>
        <w:outlineLvl w:val="0"/>
        <w:rPr>
          <w:rFonts w:hint="eastAsia" w:ascii="宋体" w:hAnsi="宋体" w:cs="宋体"/>
          <w:b/>
          <w:kern w:val="0"/>
          <w:sz w:val="32"/>
          <w:szCs w:val="32"/>
        </w:rPr>
      </w:pPr>
    </w:p>
    <w:p>
      <w:pPr>
        <w:snapToGrid w:val="0"/>
        <w:spacing w:line="360" w:lineRule="auto"/>
        <w:ind w:firstLine="3855" w:firstLineChars="1200"/>
        <w:outlineLvl w:val="0"/>
        <w:rPr>
          <w:rFonts w:hint="eastAsia" w:ascii="宋体" w:hAnsi="宋体" w:cs="宋体"/>
          <w:b/>
          <w:kern w:val="0"/>
          <w:sz w:val="32"/>
          <w:szCs w:val="32"/>
        </w:rPr>
      </w:pPr>
    </w:p>
    <w:p>
      <w:pPr>
        <w:snapToGrid w:val="0"/>
        <w:spacing w:line="360" w:lineRule="auto"/>
        <w:ind w:firstLine="3855" w:firstLineChars="1200"/>
        <w:outlineLvl w:val="0"/>
        <w:rPr>
          <w:rFonts w:hint="eastAsia" w:ascii="宋体" w:hAnsi="宋体" w:cs="宋体"/>
          <w:b/>
          <w:kern w:val="0"/>
          <w:sz w:val="32"/>
          <w:szCs w:val="32"/>
        </w:rPr>
      </w:pPr>
    </w:p>
    <w:p>
      <w:pPr>
        <w:snapToGrid w:val="0"/>
        <w:spacing w:line="360" w:lineRule="auto"/>
        <w:ind w:firstLine="3855" w:firstLineChars="1200"/>
        <w:outlineLvl w:val="0"/>
        <w:rPr>
          <w:rFonts w:hint="eastAsia" w:ascii="宋体" w:hAnsi="宋体" w:cs="宋体"/>
          <w:b/>
          <w:kern w:val="0"/>
          <w:sz w:val="32"/>
          <w:szCs w:val="32"/>
        </w:rPr>
      </w:pPr>
    </w:p>
    <w:p>
      <w:pPr>
        <w:snapToGrid w:val="0"/>
        <w:spacing w:line="360" w:lineRule="auto"/>
        <w:ind w:firstLine="3855" w:firstLineChars="1200"/>
        <w:outlineLvl w:val="0"/>
        <w:rPr>
          <w:rFonts w:hint="eastAsia" w:ascii="宋体" w:hAnsi="宋体" w:cs="宋体"/>
          <w:b/>
          <w:kern w:val="0"/>
          <w:sz w:val="32"/>
          <w:szCs w:val="32"/>
        </w:rPr>
      </w:pPr>
    </w:p>
    <w:p>
      <w:pPr>
        <w:snapToGrid w:val="0"/>
        <w:spacing w:line="360" w:lineRule="auto"/>
        <w:ind w:firstLine="3855" w:firstLineChars="1200"/>
        <w:outlineLvl w:val="0"/>
        <w:rPr>
          <w:rFonts w:hint="eastAsia" w:ascii="宋体" w:hAnsi="宋体" w:cs="宋体"/>
          <w:b/>
          <w:kern w:val="0"/>
          <w:sz w:val="32"/>
          <w:szCs w:val="32"/>
        </w:rPr>
      </w:pPr>
    </w:p>
    <w:p>
      <w:pPr>
        <w:snapToGrid w:val="0"/>
        <w:spacing w:line="360" w:lineRule="auto"/>
        <w:ind w:firstLine="3855" w:firstLineChars="1200"/>
        <w:outlineLvl w:val="0"/>
        <w:rPr>
          <w:rFonts w:hint="eastAsia" w:ascii="宋体" w:hAnsi="宋体" w:cs="宋体"/>
          <w:b/>
          <w:kern w:val="0"/>
          <w:sz w:val="32"/>
          <w:szCs w:val="32"/>
        </w:rPr>
      </w:pPr>
    </w:p>
    <w:p>
      <w:pPr>
        <w:pStyle w:val="2"/>
        <w:rPr>
          <w:rFonts w:hint="eastAsia" w:ascii="宋体" w:hAnsi="宋体" w:cs="宋体"/>
          <w:kern w:val="0"/>
        </w:rPr>
      </w:pPr>
    </w:p>
    <w:p/>
    <w:p>
      <w:pPr>
        <w:snapToGrid w:val="0"/>
        <w:spacing w:line="360" w:lineRule="auto"/>
        <w:ind w:firstLine="3855" w:firstLineChars="1200"/>
        <w:outlineLvl w:val="0"/>
        <w:rPr>
          <w:rFonts w:hint="eastAsia" w:ascii="宋体" w:hAnsi="宋体" w:cs="宋体"/>
          <w:b/>
          <w:kern w:val="0"/>
          <w:sz w:val="32"/>
          <w:szCs w:val="32"/>
        </w:rPr>
      </w:pPr>
    </w:p>
    <w:p>
      <w:pPr>
        <w:snapToGrid w:val="0"/>
        <w:spacing w:line="360" w:lineRule="auto"/>
        <w:ind w:firstLine="3855" w:firstLineChars="1200"/>
        <w:outlineLvl w:val="0"/>
        <w:rPr>
          <w:rFonts w:hint="eastAsia" w:ascii="宋体" w:hAnsi="宋体" w:cs="宋体"/>
          <w:b/>
          <w:kern w:val="0"/>
          <w:sz w:val="32"/>
          <w:szCs w:val="32"/>
        </w:rPr>
      </w:pPr>
    </w:p>
    <w:p>
      <w:pPr>
        <w:snapToGrid w:val="0"/>
        <w:spacing w:line="360" w:lineRule="auto"/>
        <w:ind w:firstLine="3855" w:firstLineChars="1200"/>
        <w:outlineLvl w:val="0"/>
        <w:rPr>
          <w:rFonts w:hint="eastAsia" w:ascii="宋体" w:hAnsi="宋体" w:cs="宋体"/>
          <w:b/>
          <w:kern w:val="0"/>
          <w:sz w:val="32"/>
          <w:szCs w:val="32"/>
        </w:rPr>
      </w:pPr>
    </w:p>
    <w:p>
      <w:pPr>
        <w:snapToGrid w:val="0"/>
        <w:spacing w:line="360" w:lineRule="auto"/>
        <w:ind w:firstLine="3855" w:firstLineChars="1200"/>
        <w:outlineLvl w:val="0"/>
        <w:rPr>
          <w:rFonts w:hint="eastAsia" w:ascii="宋体" w:hAnsi="宋体" w:cs="宋体"/>
          <w:b/>
          <w:kern w:val="0"/>
          <w:sz w:val="32"/>
          <w:szCs w:val="32"/>
        </w:rPr>
      </w:pPr>
    </w:p>
    <w:p>
      <w:pPr>
        <w:snapToGrid w:val="0"/>
        <w:spacing w:line="360" w:lineRule="auto"/>
        <w:ind w:firstLine="3855" w:firstLineChars="1200"/>
        <w:outlineLvl w:val="0"/>
        <w:rPr>
          <w:rFonts w:hint="eastAsia"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hint="eastAsia" w:ascii="宋体" w:hAnsi="宋体" w:cs="宋体"/>
          <w:sz w:val="24"/>
        </w:rPr>
      </w:pPr>
      <w:r>
        <w:rPr>
          <w:rFonts w:hint="eastAsia" w:ascii="宋体" w:hAnsi="宋体" w:cs="宋体"/>
          <w:sz w:val="24"/>
          <w:lang w:eastAsia="zh-CN"/>
        </w:rPr>
        <w:t>杭州市文三教育集团（总校）</w:t>
      </w:r>
      <w:r>
        <w:rPr>
          <w:rFonts w:hint="eastAsia" w:ascii="宋体" w:hAnsi="宋体" w:cs="宋体"/>
          <w:sz w:val="24"/>
        </w:rPr>
        <w:t>、杭州市西湖区政府采购中心：</w:t>
      </w:r>
    </w:p>
    <w:p>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w:t>
      </w:r>
      <w:r>
        <w:rPr>
          <w:rFonts w:hint="eastAsia" w:ascii="宋体" w:hAnsi="宋体" w:cs="宋体"/>
          <w:sz w:val="24"/>
          <w:lang w:eastAsia="zh-CN"/>
        </w:rPr>
        <w:t>杭州市文三教育集团（总校）</w:t>
      </w:r>
      <w:r>
        <w:rPr>
          <w:rFonts w:hint="eastAsia" w:ascii="宋体" w:hAnsi="宋体" w:cs="宋体"/>
          <w:sz w:val="24"/>
        </w:rPr>
        <w:t>新校区电子显示屏采购项目【招标编号：XHZFCG-2025-</w:t>
      </w:r>
      <w:r>
        <w:rPr>
          <w:rFonts w:hint="eastAsia" w:ascii="宋体" w:hAnsi="宋体" w:cs="宋体"/>
          <w:sz w:val="24"/>
          <w:lang w:eastAsia="zh-CN"/>
        </w:rPr>
        <w:t>G-71</w:t>
      </w:r>
      <w:r>
        <w:rPr>
          <w:rFonts w:hint="eastAsia" w:ascii="宋体" w:hAnsi="宋体" w:cs="宋体"/>
          <w:sz w:val="24"/>
        </w:rPr>
        <w:t>】招标的有关活动，并对此项目进行投标。为此：</w:t>
      </w:r>
    </w:p>
    <w:p>
      <w:pPr>
        <w:snapToGrid w:val="0"/>
        <w:spacing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hint="eastAsia"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2" w:firstLineChars="200"/>
        <w:rPr>
          <w:rFonts w:hint="eastAsia" w:ascii="宋体" w:hAnsi="宋体" w:cs="宋体"/>
          <w:b/>
          <w:bCs/>
          <w:sz w:val="24"/>
        </w:rPr>
      </w:pPr>
      <w:r>
        <w:rPr>
          <w:rFonts w:hint="eastAsia" w:ascii="宋体" w:hAnsi="宋体" w:cs="宋体"/>
          <w:b/>
          <w:bCs/>
          <w:sz w:val="24"/>
        </w:rPr>
        <w:t>2.1资格文件：</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2</w:t>
      </w:r>
      <w:r>
        <w:rPr>
          <w:rFonts w:hint="eastAsia" w:ascii="宋体" w:hAnsi="宋体" w:cs="宋体"/>
          <w:sz w:val="24"/>
        </w:rPr>
        <w:t>联合协议（如果有）；</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pPr>
        <w:snapToGrid w:val="0"/>
        <w:spacing w:line="360" w:lineRule="auto"/>
        <w:ind w:left="210" w:leftChars="100" w:firstLine="482" w:firstLineChars="200"/>
        <w:rPr>
          <w:rFonts w:hint="eastAsia" w:ascii="宋体" w:hAnsi="宋体" w:cs="宋体"/>
          <w:b/>
          <w:bCs/>
          <w:sz w:val="24"/>
          <w:lang w:val="zh-CN"/>
        </w:rPr>
      </w:pPr>
      <w:r>
        <w:rPr>
          <w:rFonts w:hint="eastAsia" w:ascii="宋体" w:hAnsi="宋体" w:cs="宋体"/>
          <w:b/>
          <w:bCs/>
          <w:sz w:val="24"/>
        </w:rPr>
        <w:t>2</w:t>
      </w:r>
      <w:r>
        <w:rPr>
          <w:rFonts w:hint="eastAsia" w:ascii="宋体" w:hAnsi="宋体" w:cs="宋体"/>
          <w:b/>
          <w:bCs/>
          <w:sz w:val="24"/>
          <w:lang w:val="zh-CN"/>
        </w:rPr>
        <w:t>.</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2" w:firstLineChars="200"/>
        <w:rPr>
          <w:rFonts w:hint="eastAsia" w:ascii="宋体" w:hAnsi="宋体" w:cs="宋体"/>
          <w:b/>
          <w:bCs/>
          <w:sz w:val="24"/>
        </w:rPr>
      </w:pPr>
      <w:r>
        <w:rPr>
          <w:rFonts w:hint="eastAsia" w:ascii="宋体" w:hAnsi="宋体" w:cs="宋体"/>
          <w:b/>
          <w:bCs/>
          <w:sz w:val="24"/>
        </w:rPr>
        <w:t>2</w:t>
      </w:r>
      <w:r>
        <w:rPr>
          <w:rFonts w:hint="eastAsia" w:ascii="宋体" w:hAnsi="宋体" w:cs="宋体"/>
          <w:b/>
          <w:bCs/>
          <w:sz w:val="24"/>
          <w:lang w:val="zh-CN"/>
        </w:rPr>
        <w:t>.</w:t>
      </w:r>
      <w:r>
        <w:rPr>
          <w:rFonts w:hint="eastAsia" w:ascii="宋体" w:hAnsi="宋体" w:cs="宋体"/>
          <w:b/>
          <w:bCs/>
          <w:sz w:val="24"/>
        </w:rPr>
        <w:t>3报价文件</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pPr>
        <w:pStyle w:val="79"/>
        <w:ind w:firstLine="960" w:firstLineChars="400"/>
        <w:rPr>
          <w:rFonts w:hint="eastAsia" w:ascii="宋体" w:hAnsi="宋体" w:eastAsia="宋体" w:cs="宋体"/>
        </w:rPr>
      </w:pPr>
      <w:r>
        <w:rPr>
          <w:rFonts w:hint="eastAsia" w:ascii="宋体" w:hAnsi="宋体" w:eastAsia="宋体" w:cs="宋体"/>
        </w:rPr>
        <w:t>2.3.2报价情况说明（如果有）；</w:t>
      </w:r>
    </w:p>
    <w:p>
      <w:pPr>
        <w:snapToGrid w:val="0"/>
        <w:spacing w:line="360" w:lineRule="auto"/>
        <w:ind w:firstLine="960" w:firstLineChars="400"/>
        <w:rPr>
          <w:rFonts w:hint="eastAsia" w:ascii="宋体" w:hAnsi="宋体" w:cs="宋体"/>
          <w:sz w:val="24"/>
        </w:rPr>
      </w:pPr>
      <w:r>
        <w:rPr>
          <w:rFonts w:hint="eastAsia" w:ascii="宋体" w:hAnsi="宋体" w:cs="宋体"/>
          <w:sz w:val="24"/>
        </w:rPr>
        <w:t>2.3.3中小企业声明函（如果有）。</w:t>
      </w:r>
    </w:p>
    <w:p>
      <w:pPr>
        <w:snapToGrid w:val="0"/>
        <w:spacing w:line="360"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3、我方承诺除商务技术偏离表列出的偏离外，我方响应招标文件的全部要求。对投标文件中材料的真实性、合法性负责，积极配合采购人、采购代理机构复核投标文件中的资料。</w:t>
      </w:r>
    </w:p>
    <w:p>
      <w:pPr>
        <w:snapToGrid w:val="0"/>
        <w:spacing w:line="360" w:lineRule="auto"/>
        <w:ind w:firstLine="480" w:firstLineChars="200"/>
        <w:rPr>
          <w:rFonts w:hint="eastAsia"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pPr>
        <w:numPr>
          <w:ilvl w:val="0"/>
          <w:numId w:val="13"/>
        </w:numPr>
        <w:snapToGrid w:val="0"/>
        <w:spacing w:line="360" w:lineRule="auto"/>
        <w:ind w:firstLine="480" w:firstLineChars="200"/>
        <w:rPr>
          <w:rFonts w:hint="eastAsia" w:ascii="宋体" w:hAnsi="宋体" w:cs="宋体"/>
          <w:sz w:val="24"/>
        </w:rPr>
      </w:pPr>
      <w:r>
        <w:rPr>
          <w:rFonts w:hint="eastAsia" w:ascii="宋体" w:hAnsi="宋体" w:cs="宋体"/>
          <w:sz w:val="24"/>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pPr>
        <w:numPr>
          <w:ilvl w:val="0"/>
          <w:numId w:val="13"/>
        </w:numPr>
        <w:snapToGrid w:val="0"/>
        <w:spacing w:line="360" w:lineRule="auto"/>
        <w:ind w:firstLine="480" w:firstLineChars="200"/>
        <w:rPr>
          <w:rFonts w:hint="eastAsia" w:ascii="宋体" w:hAnsi="宋体" w:cs="宋体"/>
          <w:sz w:val="24"/>
        </w:rPr>
      </w:pPr>
      <w:r>
        <w:rPr>
          <w:rFonts w:hint="eastAsia" w:ascii="宋体" w:hAnsi="宋体" w:cs="宋体"/>
          <w:sz w:val="24"/>
        </w:rPr>
        <w:t>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hint="eastAsia" w:ascii="宋体" w:hAnsi="宋体" w:cs="宋体"/>
          <w:sz w:val="24"/>
        </w:rPr>
      </w:pPr>
      <w:r>
        <w:rPr>
          <w:rFonts w:hint="eastAsia" w:ascii="宋体" w:hAnsi="宋体" w:cs="宋体"/>
          <w:sz w:val="24"/>
        </w:rPr>
        <w:t xml:space="preserve">投标人名称（电子签名）：                          </w:t>
      </w:r>
    </w:p>
    <w:p>
      <w:pPr>
        <w:spacing w:line="360" w:lineRule="auto"/>
        <w:jc w:val="center"/>
        <w:rPr>
          <w:rFonts w:hint="eastAsia"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hint="eastAsia" w:ascii="宋体" w:hAnsi="宋体" w:cs="宋体"/>
          <w:kern w:val="0"/>
          <w:sz w:val="24"/>
          <w:u w:val="single"/>
        </w:rPr>
      </w:pPr>
    </w:p>
    <w:p>
      <w:pPr>
        <w:spacing w:line="360" w:lineRule="auto"/>
        <w:ind w:right="420"/>
        <w:rPr>
          <w:rFonts w:hint="eastAsia" w:ascii="宋体" w:hAnsi="宋体" w:cs="宋体"/>
          <w:sz w:val="24"/>
        </w:rPr>
      </w:pPr>
      <w:r>
        <w:rPr>
          <w:rFonts w:hint="eastAsia" w:ascii="宋体" w:hAnsi="宋体" w:cs="宋体"/>
          <w:sz w:val="24"/>
        </w:rPr>
        <w:t>注：按本格式和要求提供。</w:t>
      </w: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pStyle w:val="23"/>
        <w:rPr>
          <w:rFonts w:hint="eastAsia" w:hAnsi="宋体" w:cs="宋体"/>
          <w:b/>
          <w:kern w:val="0"/>
          <w:sz w:val="32"/>
          <w:szCs w:val="32"/>
          <w:lang w:val="en-US"/>
        </w:rPr>
      </w:pPr>
    </w:p>
    <w:p>
      <w:pPr>
        <w:pStyle w:val="61"/>
        <w:rPr>
          <w:rFonts w:hint="eastAsia" w:hAnsi="宋体" w:cs="宋体"/>
          <w:b/>
          <w:kern w:val="0"/>
          <w:sz w:val="32"/>
          <w:szCs w:val="32"/>
          <w:lang w:val="en-US"/>
        </w:rPr>
      </w:pPr>
    </w:p>
    <w:p>
      <w:pPr>
        <w:rPr>
          <w:rFonts w:hint="eastAsia" w:ascii="宋体" w:hAnsi="宋体" w:cs="宋体"/>
          <w:b/>
          <w:kern w:val="0"/>
          <w:sz w:val="32"/>
          <w:szCs w:val="32"/>
        </w:rPr>
      </w:pPr>
    </w:p>
    <w:p>
      <w:pPr>
        <w:pStyle w:val="23"/>
        <w:rPr>
          <w:rFonts w:hint="eastAsia" w:hAnsi="宋体" w:cs="宋体"/>
          <w:b/>
          <w:kern w:val="0"/>
          <w:sz w:val="32"/>
          <w:szCs w:val="32"/>
          <w:lang w:val="en-US"/>
        </w:rPr>
      </w:pPr>
    </w:p>
    <w:p>
      <w:pPr>
        <w:pStyle w:val="61"/>
        <w:rPr>
          <w:rFonts w:hint="eastAsia" w:hAnsi="宋体" w:cs="宋体"/>
          <w:b/>
          <w:kern w:val="0"/>
          <w:sz w:val="32"/>
          <w:szCs w:val="32"/>
          <w:lang w:val="en-US"/>
        </w:rPr>
      </w:pPr>
    </w:p>
    <w:p>
      <w:pPr>
        <w:rPr>
          <w:rFonts w:hint="eastAsia" w:ascii="宋体" w:hAnsi="宋体" w:cs="宋体"/>
          <w:b/>
          <w:kern w:val="0"/>
          <w:sz w:val="32"/>
          <w:szCs w:val="32"/>
        </w:rPr>
      </w:pPr>
    </w:p>
    <w:p>
      <w:pPr>
        <w:pStyle w:val="23"/>
        <w:rPr>
          <w:rFonts w:hint="eastAsia" w:hAnsi="宋体" w:cs="宋体"/>
          <w:b/>
          <w:kern w:val="0"/>
          <w:sz w:val="32"/>
          <w:szCs w:val="32"/>
          <w:lang w:val="en-US"/>
        </w:rPr>
      </w:pPr>
    </w:p>
    <w:p>
      <w:pPr>
        <w:pStyle w:val="61"/>
        <w:rPr>
          <w:rFonts w:hint="eastAsia" w:hAnsi="宋体" w:cs="宋体"/>
          <w:b/>
          <w:kern w:val="0"/>
          <w:sz w:val="32"/>
          <w:szCs w:val="32"/>
          <w:lang w:val="en-US"/>
        </w:rPr>
      </w:pPr>
    </w:p>
    <w:p>
      <w:pPr>
        <w:rPr>
          <w:rFonts w:hint="eastAsia" w:ascii="宋体" w:hAnsi="宋体" w:cs="宋体"/>
          <w:b/>
          <w:kern w:val="0"/>
          <w:sz w:val="32"/>
          <w:szCs w:val="32"/>
        </w:rPr>
      </w:pPr>
    </w:p>
    <w:p>
      <w:pPr>
        <w:pStyle w:val="23"/>
        <w:rPr>
          <w:rFonts w:hint="eastAsia" w:hAnsi="宋体" w:cs="宋体"/>
          <w:b/>
          <w:kern w:val="0"/>
          <w:sz w:val="32"/>
          <w:szCs w:val="32"/>
          <w:lang w:val="en-US"/>
        </w:rPr>
      </w:pPr>
    </w:p>
    <w:p>
      <w:pPr>
        <w:pStyle w:val="61"/>
        <w:rPr>
          <w:rFonts w:hint="eastAsia" w:hAnsi="宋体" w:cs="宋体"/>
          <w:b/>
          <w:kern w:val="0"/>
          <w:sz w:val="32"/>
          <w:szCs w:val="32"/>
          <w:lang w:val="en-US"/>
        </w:rPr>
      </w:pPr>
    </w:p>
    <w:p>
      <w:pPr>
        <w:rPr>
          <w:rFonts w:hint="eastAsia" w:ascii="宋体" w:hAnsi="宋体" w:cs="宋体"/>
          <w:b/>
          <w:kern w:val="0"/>
          <w:sz w:val="32"/>
          <w:szCs w:val="32"/>
        </w:rPr>
      </w:pPr>
    </w:p>
    <w:p>
      <w:pPr>
        <w:pStyle w:val="23"/>
        <w:rPr>
          <w:rFonts w:hint="eastAsia" w:hAnsi="宋体" w:cs="宋体"/>
          <w:b/>
          <w:kern w:val="0"/>
          <w:sz w:val="32"/>
          <w:szCs w:val="32"/>
          <w:lang w:val="en-US"/>
        </w:rPr>
      </w:pPr>
    </w:p>
    <w:p>
      <w:pPr>
        <w:pStyle w:val="61"/>
        <w:rPr>
          <w:rFonts w:hint="eastAsia" w:hAnsi="宋体" w:cs="宋体"/>
          <w:b/>
          <w:kern w:val="0"/>
          <w:sz w:val="32"/>
          <w:szCs w:val="32"/>
          <w:lang w:val="en-US"/>
        </w:rPr>
      </w:pPr>
    </w:p>
    <w:p>
      <w:pPr>
        <w:rPr>
          <w:rFonts w:hint="eastAsia" w:ascii="宋体" w:hAnsi="宋体" w:cs="宋体"/>
          <w:b/>
          <w:kern w:val="0"/>
          <w:sz w:val="32"/>
          <w:szCs w:val="32"/>
        </w:rPr>
      </w:pPr>
    </w:p>
    <w:p>
      <w:pPr>
        <w:pStyle w:val="23"/>
        <w:rPr>
          <w:lang w:val="en-US"/>
        </w:rPr>
      </w:pPr>
    </w:p>
    <w:p>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hint="eastAsia"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hint="eastAsia" w:ascii="宋体" w:hAnsi="宋体" w:cs="宋体"/>
          <w:kern w:val="0"/>
          <w:sz w:val="24"/>
        </w:rPr>
      </w:pPr>
      <w:r>
        <w:rPr>
          <w:rFonts w:hint="eastAsia" w:ascii="宋体" w:hAnsi="宋体" w:cs="宋体"/>
          <w:sz w:val="24"/>
          <w:lang w:eastAsia="zh-CN"/>
        </w:rPr>
        <w:t>杭州市文三教育集团（总校）</w:t>
      </w:r>
      <w:r>
        <w:rPr>
          <w:rFonts w:hint="eastAsia" w:ascii="宋体" w:hAnsi="宋体" w:cs="宋体"/>
          <w:sz w:val="24"/>
        </w:rPr>
        <w:t>、杭州市西湖区政府采购中心</w:t>
      </w:r>
      <w:r>
        <w:rPr>
          <w:rFonts w:hint="eastAsia" w:ascii="宋体" w:hAnsi="宋体" w:cs="宋体"/>
          <w:kern w:val="0"/>
          <w:sz w:val="24"/>
          <w:lang w:val="zh-CN"/>
        </w:rPr>
        <w:t>：</w:t>
      </w:r>
    </w:p>
    <w:p>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lang w:eastAsia="zh-CN"/>
        </w:rPr>
        <w:t>杭州市文三教育集团（总校）</w:t>
      </w:r>
      <w:r>
        <w:rPr>
          <w:rFonts w:hint="eastAsia" w:ascii="宋体" w:hAnsi="宋体" w:cs="宋体"/>
          <w:sz w:val="24"/>
        </w:rPr>
        <w:t>新校区电子显示屏采购项目【招标编号：XHZFCG-2025-</w:t>
      </w:r>
      <w:r>
        <w:rPr>
          <w:rFonts w:hint="eastAsia" w:ascii="宋体" w:hAnsi="宋体" w:cs="宋体"/>
          <w:sz w:val="24"/>
          <w:lang w:eastAsia="zh-CN"/>
        </w:rPr>
        <w:t>G-71</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pPr>
        <w:jc w:val="center"/>
        <w:rPr>
          <w:rFonts w:hint="eastAsia"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 xml:space="preserve"> </w:t>
      </w:r>
    </w:p>
    <w:p>
      <w:pPr>
        <w:jc w:val="center"/>
        <w:rPr>
          <w:rFonts w:hint="eastAsia"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lang w:val="zh-CN"/>
        </w:rPr>
        <w:t>授权委托书（适用于联合体投标）</w:t>
      </w:r>
    </w:p>
    <w:p>
      <w:pPr>
        <w:snapToGrid w:val="0"/>
        <w:spacing w:line="360" w:lineRule="auto"/>
        <w:rPr>
          <w:rFonts w:hint="eastAsia" w:cs="宋体" w:asciiTheme="minorEastAsia" w:hAnsiTheme="minorEastAsia" w:eastAsiaTheme="minorEastAsia"/>
          <w:kern w:val="0"/>
          <w:sz w:val="24"/>
        </w:rPr>
      </w:pPr>
      <w:r>
        <w:rPr>
          <w:rFonts w:hint="eastAsia" w:ascii="宋体" w:hAnsi="宋体" w:cs="宋体" w:eastAsiaTheme="minorEastAsia"/>
          <w:sz w:val="24"/>
          <w:lang w:eastAsia="zh-CN"/>
        </w:rPr>
        <w:t>杭州市文三教育集团（总校）</w:t>
      </w:r>
      <w:r>
        <w:rPr>
          <w:rFonts w:hint="eastAsia" w:cs="宋体" w:asciiTheme="minorEastAsia" w:hAnsiTheme="minorEastAsia" w:eastAsiaTheme="minorEastAsia"/>
          <w:sz w:val="24"/>
        </w:rPr>
        <w:t>、杭州市西湖区政府采购中心</w:t>
      </w:r>
      <w:r>
        <w:rPr>
          <w:rFonts w:hint="eastAsia" w:cs="宋体" w:asciiTheme="minorEastAsia" w:hAnsiTheme="minorEastAsia" w:eastAsiaTheme="minorEastAsia"/>
          <w:kern w:val="0"/>
          <w:sz w:val="24"/>
          <w:lang w:val="zh-CN"/>
        </w:rPr>
        <w:t>：</w:t>
      </w:r>
    </w:p>
    <w:p>
      <w:pPr>
        <w:snapToGrid w:val="0"/>
        <w:spacing w:line="360" w:lineRule="auto"/>
        <w:ind w:firstLine="576"/>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（姓名）为我方代理人（身份证号码：</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，手机：</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cs="宋体" w:asciiTheme="minorEastAsia" w:hAnsiTheme="minorEastAsia" w:eastAsiaTheme="minorEastAsia"/>
          <w:kern w:val="0"/>
          <w:sz w:val="24"/>
          <w:lang w:val="zh-CN"/>
        </w:rPr>
        <w:t>），以我方名义处理</w:t>
      </w:r>
      <w:r>
        <w:rPr>
          <w:rFonts w:hint="eastAsia" w:ascii="宋体" w:hAnsi="宋体" w:cs="宋体" w:eastAsiaTheme="minorEastAsia"/>
          <w:sz w:val="24"/>
          <w:lang w:eastAsia="zh-CN"/>
        </w:rPr>
        <w:t>杭州市文三教育集团（总校）</w:t>
      </w:r>
      <w:r>
        <w:rPr>
          <w:rFonts w:hint="eastAsia" w:ascii="宋体" w:hAnsi="宋体" w:cs="宋体"/>
          <w:sz w:val="24"/>
        </w:rPr>
        <w:t>新校区电子显示屏采购项目</w:t>
      </w:r>
      <w:r>
        <w:rPr>
          <w:rFonts w:hint="eastAsia" w:cs="宋体" w:asciiTheme="minorEastAsia" w:hAnsiTheme="minorEastAsia" w:eastAsiaTheme="minorEastAsia"/>
          <w:sz w:val="24"/>
        </w:rPr>
        <w:t>【招标编号：XHZFCG-2025-</w:t>
      </w:r>
      <w:r>
        <w:rPr>
          <w:rFonts w:hint="eastAsia" w:cs="宋体" w:asciiTheme="minorEastAsia" w:hAnsiTheme="minorEastAsia" w:eastAsiaTheme="minorEastAsia"/>
          <w:sz w:val="24"/>
          <w:lang w:eastAsia="zh-CN"/>
        </w:rPr>
        <w:t>G-71</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政府采购投标的一切事项，其法律后果由我方承担。</w:t>
      </w:r>
    </w:p>
    <w:p>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委托期限</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自</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年</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日起至</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年</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日止。</w:t>
      </w:r>
    </w:p>
    <w:p>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特此告知。</w:t>
      </w:r>
    </w:p>
    <w:p>
      <w:pPr>
        <w:jc w:val="center"/>
        <w:rPr>
          <w:rFonts w:hint="eastAsia" w:cs="宋体" w:asciiTheme="minorEastAsia" w:hAnsiTheme="minorEastAsia" w:eastAsiaTheme="minorEastAsia"/>
          <w:b/>
          <w:kern w:val="0"/>
          <w:sz w:val="32"/>
          <w:szCs w:val="32"/>
        </w:rPr>
      </w:pPr>
    </w:p>
    <w:p>
      <w:pPr>
        <w:rPr>
          <w:rFonts w:hint="eastAsia" w:cs="宋体" w:asciiTheme="minorEastAsia" w:hAnsiTheme="minorEastAsia" w:eastAsiaTheme="minorEastAsia"/>
        </w:rPr>
      </w:pPr>
    </w:p>
    <w:p>
      <w:pPr>
        <w:snapToGrid w:val="0"/>
        <w:spacing w:line="360" w:lineRule="auto"/>
        <w:ind w:firstLine="5040" w:firstLineChars="21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040" w:firstLineChars="21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760" w:firstLineChars="2400"/>
        <w:rPr>
          <w:rFonts w:hint="eastAsia"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napToGrid w:val="0"/>
        <w:spacing w:line="360" w:lineRule="auto"/>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autoSpaceDE w:val="0"/>
        <w:autoSpaceDN w:val="0"/>
        <w:spacing w:line="360" w:lineRule="auto"/>
        <w:jc w:val="left"/>
        <w:rPr>
          <w:rFonts w:hint="eastAsia" w:ascii="宋体" w:hAnsi="宋体" w:cs="宋体"/>
          <w:b/>
          <w:kern w:val="0"/>
          <w:sz w:val="32"/>
          <w:szCs w:val="32"/>
          <w:u w:val="single"/>
          <w:lang w:val="zh-CN"/>
        </w:rPr>
      </w:pPr>
      <w:r>
        <w:rPr>
          <w:rFonts w:hint="eastAsia" w:ascii="宋体" w:hAnsi="宋体" w:cs="宋体"/>
          <w:b/>
          <w:kern w:val="0"/>
          <w:sz w:val="24"/>
          <w:u w:val="single"/>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rPr>
          <w:rFonts w:hint="eastAsia" w:ascii="宋体" w:hAnsi="宋体" w:cs="宋体"/>
          <w:sz w:val="24"/>
        </w:rPr>
      </w:pPr>
    </w:p>
    <w:p>
      <w:pPr>
        <w:pStyle w:val="2"/>
        <w:rPr>
          <w:rFonts w:hint="eastAsia"/>
        </w:rPr>
      </w:pPr>
    </w:p>
    <w:p>
      <w:pPr>
        <w:snapToGrid w:val="0"/>
        <w:spacing w:line="360" w:lineRule="auto"/>
        <w:rPr>
          <w:rFonts w:hint="eastAsia" w:ascii="宋体" w:hAnsi="宋体" w:cs="宋体"/>
          <w:sz w:val="24"/>
        </w:rPr>
      </w:pPr>
    </w:p>
    <w:p>
      <w:pPr>
        <w:snapToGrid w:val="0"/>
        <w:spacing w:line="360" w:lineRule="auto"/>
        <w:rPr>
          <w:rFonts w:hint="eastAsia" w:ascii="宋体" w:hAnsi="宋体" w:cs="宋体"/>
          <w:b/>
          <w:sz w:val="24"/>
        </w:rPr>
      </w:pPr>
      <w:r>
        <w:rPr>
          <w:rFonts w:hint="eastAsia" w:ascii="宋体" w:hAnsi="宋体" w:cs="宋体"/>
          <w:b/>
          <w:kern w:val="0"/>
          <w:sz w:val="32"/>
          <w:szCs w:val="32"/>
          <w:lang w:val="zh-CN"/>
        </w:rPr>
        <w:t xml:space="preserve">  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9"/>
        <w:spacing w:line="360" w:lineRule="auto"/>
        <w:rPr>
          <w:rFonts w:hint="eastAsia"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int="eastAsia" w:hAnsi="宋体" w:cs="宋体"/>
                <w:bCs/>
                <w:sz w:val="24"/>
              </w:rPr>
            </w:pPr>
            <w:r>
              <w:rPr>
                <w:rFonts w:hint="eastAsia" w:hAnsi="宋体" w:cs="宋体"/>
                <w:bCs/>
                <w:sz w:val="24"/>
              </w:rPr>
              <w:t>正面：                                 反面：</w:t>
            </w:r>
          </w:p>
          <w:p>
            <w:pPr>
              <w:pStyle w:val="149"/>
              <w:adjustRightInd w:val="0"/>
              <w:spacing w:line="360" w:lineRule="auto"/>
              <w:rPr>
                <w:rFonts w:hint="eastAsia" w:hAnsi="宋体" w:cs="宋体"/>
                <w:bCs/>
                <w:sz w:val="24"/>
              </w:rPr>
            </w:pPr>
          </w:p>
        </w:tc>
      </w:tr>
    </w:tbl>
    <w:p>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pPr>
        <w:jc w:val="center"/>
        <w:rPr>
          <w:rFonts w:hint="eastAsia" w:ascii="宋体" w:hAnsi="宋体" w:cs="宋体"/>
          <w:b/>
          <w:kern w:val="0"/>
          <w:sz w:val="32"/>
          <w:szCs w:val="32"/>
        </w:rPr>
      </w:pPr>
    </w:p>
    <w:p>
      <w:pPr>
        <w:pStyle w:val="23"/>
        <w:rPr>
          <w:rFonts w:hint="eastAsia" w:hAnsi="宋体" w:cs="宋体"/>
          <w:b/>
          <w:kern w:val="0"/>
          <w:sz w:val="32"/>
          <w:szCs w:val="32"/>
        </w:rPr>
      </w:pPr>
    </w:p>
    <w:p>
      <w:pPr>
        <w:pStyle w:val="61"/>
        <w:rPr>
          <w:rFonts w:hint="eastAsia" w:hAnsi="宋体" w:cs="宋体"/>
          <w:b/>
          <w:kern w:val="0"/>
          <w:sz w:val="32"/>
          <w:szCs w:val="32"/>
        </w:rPr>
      </w:pPr>
    </w:p>
    <w:p>
      <w:pPr>
        <w:rPr>
          <w:rFonts w:hint="eastAsia" w:ascii="宋体" w:hAnsi="宋体" w:cs="宋体"/>
          <w:b/>
          <w:kern w:val="0"/>
          <w:sz w:val="32"/>
          <w:szCs w:val="32"/>
        </w:rPr>
      </w:pPr>
    </w:p>
    <w:p>
      <w:pPr>
        <w:rPr>
          <w:rFonts w:hint="eastAsia" w:ascii="宋体" w:hAnsi="宋体" w:cs="宋体"/>
          <w:b/>
          <w:kern w:val="0"/>
          <w:sz w:val="32"/>
          <w:szCs w:val="32"/>
        </w:rPr>
      </w:pPr>
    </w:p>
    <w:p>
      <w:pPr>
        <w:rPr>
          <w:rFonts w:hint="eastAsia" w:ascii="宋体" w:hAnsi="宋体" w:cs="宋体"/>
          <w:b/>
          <w:kern w:val="0"/>
          <w:sz w:val="32"/>
          <w:szCs w:val="32"/>
        </w:rPr>
      </w:pPr>
    </w:p>
    <w:p>
      <w:pPr>
        <w:pStyle w:val="61"/>
      </w:pPr>
    </w:p>
    <w:p>
      <w:pPr>
        <w:snapToGrid w:val="0"/>
        <w:spacing w:line="360" w:lineRule="auto"/>
        <w:ind w:firstLine="3534" w:firstLineChars="1100"/>
        <w:rPr>
          <w:rFonts w:hint="eastAsia" w:ascii="宋体" w:hAnsi="宋体" w:cs="宋体"/>
          <w:b/>
          <w:kern w:val="0"/>
          <w:sz w:val="32"/>
          <w:szCs w:val="32"/>
        </w:rPr>
      </w:pPr>
      <w:r>
        <w:rPr>
          <w:rFonts w:hint="eastAsia" w:ascii="宋体" w:hAnsi="宋体" w:cs="宋体"/>
          <w:b/>
          <w:kern w:val="0"/>
          <w:sz w:val="32"/>
          <w:szCs w:val="32"/>
        </w:rPr>
        <w:t>三、分包意向协议</w:t>
      </w:r>
    </w:p>
    <w:p>
      <w:pPr>
        <w:widowControl/>
        <w:spacing w:line="360" w:lineRule="auto"/>
        <w:ind w:firstLine="120" w:firstLineChars="50"/>
        <w:jc w:val="left"/>
        <w:rPr>
          <w:rFonts w:hint="eastAsia" w:ascii="宋体" w:hAnsi="宋体" w:cs="宋体"/>
          <w:sz w:val="24"/>
        </w:rPr>
      </w:pPr>
      <w:bookmarkStart w:id="544"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44"/>
    <w:p>
      <w:pPr>
        <w:snapToGrid w:val="0"/>
        <w:spacing w:line="360" w:lineRule="auto"/>
        <w:rPr>
          <w:rFonts w:hint="eastAsia" w:ascii="宋体" w:hAnsi="宋体" w:cs="宋体"/>
          <w:kern w:val="0"/>
          <w:sz w:val="24"/>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r>
        <w:rPr>
          <w:rFonts w:hint="eastAsia" w:ascii="宋体" w:hAnsi="宋体" w:cs="宋体"/>
          <w:b/>
          <w:kern w:val="0"/>
          <w:sz w:val="32"/>
          <w:szCs w:val="32"/>
        </w:rPr>
        <w:t>四、符合性审查资料</w:t>
      </w:r>
    </w:p>
    <w:p>
      <w:pPr>
        <w:jc w:val="center"/>
        <w:rPr>
          <w:rFonts w:hint="eastAsia"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hint="eastAsia" w:ascii="宋体" w:hAnsi="宋体" w:cs="宋体"/>
                <w:b/>
                <w:sz w:val="24"/>
              </w:rPr>
            </w:pPr>
            <w:r>
              <w:rPr>
                <w:rFonts w:hint="eastAsia" w:ascii="宋体" w:hAnsi="宋体" w:cs="宋体"/>
                <w:b/>
                <w:sz w:val="24"/>
              </w:rPr>
              <w:t>投标文件中的</w:t>
            </w:r>
          </w:p>
          <w:p>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sz w:val="24"/>
              </w:rPr>
            </w:pPr>
            <w:r>
              <w:rPr>
                <w:rFonts w:hint="eastAsia" w:ascii="宋体" w:hAnsi="宋体" w:cs="宋体"/>
                <w:sz w:val="24"/>
              </w:rPr>
              <w:t>1</w:t>
            </w:r>
          </w:p>
        </w:tc>
        <w:tc>
          <w:tcPr>
            <w:tcW w:w="4991" w:type="dxa"/>
          </w:tcPr>
          <w:p>
            <w:pPr>
              <w:spacing w:line="360" w:lineRule="auto"/>
              <w:rPr>
                <w:rFonts w:hint="eastAsia"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hint="eastAsia"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hint="eastAsia" w:ascii="宋体" w:hAnsi="宋体" w:cs="宋体"/>
                <w:sz w:val="24"/>
              </w:rPr>
            </w:pPr>
          </w:p>
          <w:p>
            <w:pPr>
              <w:rPr>
                <w:rFonts w:hint="eastAsia" w:ascii="宋体" w:hAnsi="宋体" w:cs="宋体"/>
                <w:sz w:val="24"/>
              </w:rPr>
            </w:pPr>
            <w:r>
              <w:rPr>
                <w:rFonts w:hint="eastAsia" w:ascii="宋体" w:hAnsi="宋体" w:cs="宋体"/>
                <w:sz w:val="24"/>
              </w:rPr>
              <w:t>见投标文件</w:t>
            </w:r>
          </w:p>
          <w:p>
            <w:pP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sz w:val="24"/>
              </w:rPr>
            </w:pPr>
            <w:r>
              <w:rPr>
                <w:rFonts w:hint="eastAsia" w:ascii="宋体" w:hAnsi="宋体" w:cs="宋体"/>
                <w:sz w:val="24"/>
              </w:rPr>
              <w:t>2</w:t>
            </w:r>
          </w:p>
        </w:tc>
        <w:tc>
          <w:tcPr>
            <w:tcW w:w="4991" w:type="dxa"/>
          </w:tcPr>
          <w:p>
            <w:pPr>
              <w:spacing w:line="360" w:lineRule="auto"/>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hint="eastAsia" w:ascii="宋体" w:hAnsi="宋体" w:cs="宋体"/>
                <w:sz w:val="24"/>
              </w:rPr>
            </w:pPr>
            <w:r>
              <w:rPr>
                <w:rFonts w:hint="eastAsia" w:ascii="宋体" w:hAnsi="宋体" w:cs="宋体"/>
                <w:sz w:val="24"/>
              </w:rPr>
              <w:t>投标函</w:t>
            </w:r>
          </w:p>
        </w:tc>
        <w:tc>
          <w:tcPr>
            <w:tcW w:w="1418" w:type="dxa"/>
          </w:tcPr>
          <w:p>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sz w:val="24"/>
              </w:rPr>
            </w:pPr>
            <w:r>
              <w:rPr>
                <w:rFonts w:hint="eastAsia" w:ascii="宋体" w:hAnsi="宋体" w:cs="宋体"/>
                <w:sz w:val="24"/>
              </w:rPr>
              <w:t>3</w:t>
            </w:r>
          </w:p>
        </w:tc>
        <w:tc>
          <w:tcPr>
            <w:tcW w:w="4991" w:type="dxa"/>
          </w:tcPr>
          <w:p>
            <w:pPr>
              <w:spacing w:line="360" w:lineRule="auto"/>
              <w:rPr>
                <w:rFonts w:hint="eastAsia" w:ascii="宋体" w:hAnsi="宋体" w:cs="宋体"/>
                <w:sz w:val="24"/>
              </w:rPr>
            </w:pPr>
            <w:r>
              <w:rPr>
                <w:rFonts w:hint="eastAsia" w:ascii="宋体" w:hAnsi="宋体" w:cs="宋体"/>
                <w:snapToGrid w:val="0"/>
                <w:sz w:val="24"/>
              </w:rPr>
              <w:t>其他实质性要求1：</w:t>
            </w:r>
          </w:p>
        </w:tc>
        <w:tc>
          <w:tcPr>
            <w:tcW w:w="2551" w:type="dxa"/>
            <w:vMerge w:val="restart"/>
            <w:vAlign w:val="center"/>
          </w:tcPr>
          <w:p>
            <w:pPr>
              <w:rPr>
                <w:rFonts w:hint="eastAsia"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sz w:val="24"/>
              </w:rPr>
            </w:pPr>
            <w:r>
              <w:rPr>
                <w:rFonts w:hint="eastAsia" w:ascii="宋体" w:hAnsi="宋体" w:cs="宋体"/>
                <w:sz w:val="24"/>
              </w:rPr>
              <w:t>4</w:t>
            </w:r>
          </w:p>
        </w:tc>
        <w:tc>
          <w:tcPr>
            <w:tcW w:w="4991" w:type="dxa"/>
          </w:tcPr>
          <w:p>
            <w:pPr>
              <w:spacing w:line="360" w:lineRule="auto"/>
              <w:rPr>
                <w:rFonts w:hint="eastAsia" w:ascii="宋体" w:hAnsi="宋体" w:cs="宋体"/>
                <w:sz w:val="24"/>
              </w:rPr>
            </w:pPr>
            <w:r>
              <w:rPr>
                <w:rFonts w:hint="eastAsia" w:ascii="宋体" w:hAnsi="宋体" w:cs="宋体"/>
                <w:snapToGrid w:val="0"/>
                <w:sz w:val="24"/>
              </w:rPr>
              <w:t>其他实质性要求2：</w:t>
            </w:r>
          </w:p>
        </w:tc>
        <w:tc>
          <w:tcPr>
            <w:tcW w:w="2551" w:type="dxa"/>
            <w:vMerge w:val="continue"/>
            <w:vAlign w:val="center"/>
          </w:tcPr>
          <w:p>
            <w:pPr>
              <w:rPr>
                <w:rFonts w:hint="eastAsia" w:ascii="宋体" w:hAnsi="宋体" w:cs="宋体"/>
                <w:sz w:val="24"/>
              </w:rPr>
            </w:pPr>
          </w:p>
        </w:tc>
        <w:tc>
          <w:tcPr>
            <w:tcW w:w="1418" w:type="dxa"/>
          </w:tcPr>
          <w:p>
            <w:pPr>
              <w:rPr>
                <w:rFonts w:hint="eastAsia"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sz w:val="24"/>
              </w:rPr>
            </w:pPr>
            <w:r>
              <w:rPr>
                <w:rFonts w:hint="eastAsia" w:ascii="宋体" w:hAnsi="宋体" w:cs="宋体"/>
                <w:kern w:val="0"/>
                <w:sz w:val="24"/>
              </w:rPr>
              <w:t>……</w:t>
            </w:r>
          </w:p>
        </w:tc>
        <w:tc>
          <w:tcPr>
            <w:tcW w:w="4991" w:type="dxa"/>
          </w:tcPr>
          <w:p>
            <w:pPr>
              <w:spacing w:line="360" w:lineRule="auto"/>
              <w:rPr>
                <w:rFonts w:hint="eastAsia" w:ascii="宋体" w:hAnsi="宋体" w:cs="宋体"/>
                <w:sz w:val="24"/>
              </w:rPr>
            </w:pPr>
            <w:r>
              <w:rPr>
                <w:rFonts w:hint="eastAsia" w:ascii="宋体" w:hAnsi="宋体" w:cs="宋体"/>
                <w:snapToGrid w:val="0"/>
                <w:sz w:val="24"/>
              </w:rPr>
              <w:t>其他实质性要求</w:t>
            </w:r>
            <w:r>
              <w:rPr>
                <w:rFonts w:hint="eastAsia" w:ascii="宋体" w:hAnsi="宋体" w:cs="宋体"/>
                <w:kern w:val="0"/>
                <w:sz w:val="24"/>
              </w:rPr>
              <w:t>……</w:t>
            </w:r>
            <w:r>
              <w:rPr>
                <w:rFonts w:hint="eastAsia" w:ascii="宋体" w:hAnsi="宋体" w:cs="宋体"/>
                <w:snapToGrid w:val="0"/>
                <w:sz w:val="24"/>
              </w:rPr>
              <w:t>：</w:t>
            </w:r>
          </w:p>
        </w:tc>
        <w:tc>
          <w:tcPr>
            <w:tcW w:w="2551" w:type="dxa"/>
            <w:vMerge w:val="continue"/>
            <w:vAlign w:val="center"/>
          </w:tcPr>
          <w:p>
            <w:pPr>
              <w:rPr>
                <w:rFonts w:hint="eastAsia" w:ascii="宋体" w:hAnsi="宋体" w:cs="宋体"/>
                <w:sz w:val="24"/>
              </w:rPr>
            </w:pPr>
          </w:p>
        </w:tc>
        <w:tc>
          <w:tcPr>
            <w:tcW w:w="1418" w:type="dxa"/>
          </w:tcPr>
          <w:p>
            <w:pPr>
              <w:rPr>
                <w:rFonts w:hint="eastAsia"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hint="eastAsia" w:ascii="宋体" w:hAnsi="宋体" w:cs="宋体"/>
          <w:sz w:val="24"/>
        </w:rPr>
      </w:pPr>
    </w:p>
    <w:p>
      <w:pPr>
        <w:spacing w:line="360" w:lineRule="auto"/>
        <w:ind w:right="420"/>
        <w:rPr>
          <w:rFonts w:hint="eastAsia" w:ascii="宋体" w:hAnsi="宋体" w:cs="宋体"/>
          <w:sz w:val="24"/>
        </w:rPr>
      </w:pPr>
      <w:r>
        <w:rPr>
          <w:rFonts w:hint="eastAsia" w:ascii="宋体" w:hAnsi="宋体" w:cs="宋体"/>
          <w:sz w:val="24"/>
        </w:rPr>
        <w:t>注：1.按本格式和要求提供。</w:t>
      </w:r>
    </w:p>
    <w:p>
      <w:pPr>
        <w:spacing w:line="360" w:lineRule="auto"/>
        <w:ind w:right="420" w:firstLine="482" w:firstLineChars="200"/>
        <w:rPr>
          <w:rFonts w:hint="eastAsia" w:ascii="宋体" w:hAnsi="宋体" w:cs="宋体"/>
          <w:b/>
          <w:bCs/>
          <w:sz w:val="24"/>
        </w:rPr>
      </w:pPr>
      <w:r>
        <w:rPr>
          <w:rFonts w:hint="eastAsia" w:ascii="宋体" w:hAnsi="宋体" w:cs="宋体"/>
          <w:b/>
          <w:bCs/>
          <w:sz w:val="24"/>
        </w:rPr>
        <w:t>2.招标文件中实质性要求必须明确响应。</w:t>
      </w:r>
    </w:p>
    <w:p>
      <w:pPr>
        <w:spacing w:line="360" w:lineRule="auto"/>
        <w:ind w:right="420"/>
        <w:rPr>
          <w:rFonts w:hint="eastAsia" w:ascii="宋体" w:hAnsi="宋体" w:cs="宋体"/>
          <w:sz w:val="24"/>
        </w:rPr>
      </w:pPr>
    </w:p>
    <w:p>
      <w:pPr>
        <w:jc w:val="center"/>
        <w:rPr>
          <w:rFonts w:hint="eastAsia" w:ascii="宋体" w:hAnsi="宋体" w:cs="宋体"/>
          <w:b/>
          <w:kern w:val="0"/>
          <w:sz w:val="32"/>
          <w:szCs w:val="32"/>
        </w:rPr>
      </w:pPr>
      <w:r>
        <w:rPr>
          <w:rFonts w:hint="eastAsia" w:ascii="宋体" w:hAnsi="宋体" w:cs="宋体"/>
          <w:b/>
          <w:kern w:val="0"/>
          <w:sz w:val="32"/>
          <w:szCs w:val="32"/>
        </w:rPr>
        <w:t xml:space="preserve">        </w:t>
      </w: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cs="仿宋_GB2312" w:asciiTheme="minorEastAsia" w:hAnsiTheme="minorEastAsia" w:eastAsiaTheme="minorEastAsia"/>
                <w:bCs/>
                <w:sz w:val="24"/>
              </w:rPr>
            </w:pPr>
            <w:r>
              <w:rPr>
                <w:rFonts w:hint="eastAsia" w:cs="仿宋_GB2312" w:asciiTheme="minorEastAsia" w:hAnsiTheme="minorEastAsia" w:eastAsiaTheme="minorEastAsia"/>
                <w:bCs/>
                <w:sz w:val="24"/>
              </w:rPr>
              <w:t>序号</w:t>
            </w:r>
          </w:p>
        </w:tc>
        <w:tc>
          <w:tcPr>
            <w:tcW w:w="5465" w:type="dxa"/>
          </w:tcPr>
          <w:p>
            <w:pPr>
              <w:snapToGrid w:val="0"/>
              <w:spacing w:line="360" w:lineRule="auto"/>
              <w:jc w:val="center"/>
              <w:rPr>
                <w:rFonts w:hint="eastAsia" w:ascii="宋体" w:hAnsi="宋体" w:cs="宋体"/>
                <w:bCs/>
                <w:sz w:val="24"/>
              </w:rPr>
            </w:pPr>
            <w:r>
              <w:rPr>
                <w:rFonts w:hint="eastAsia" w:cs="仿宋_GB2312" w:asciiTheme="minorEastAsia" w:hAnsiTheme="minorEastAsia" w:eastAsiaTheme="minorEastAsia"/>
                <w:bCs/>
                <w:sz w:val="24"/>
              </w:rPr>
              <w:t>投标文件中评标标准相应的商务技术资料目录*</w:t>
            </w:r>
          </w:p>
        </w:tc>
        <w:tc>
          <w:tcPr>
            <w:tcW w:w="3046" w:type="dxa"/>
          </w:tcPr>
          <w:p>
            <w:pPr>
              <w:snapToGrid w:val="0"/>
              <w:spacing w:line="240" w:lineRule="atLeast"/>
              <w:jc w:val="center"/>
              <w:rPr>
                <w:rFonts w:hint="eastAsia" w:ascii="宋体" w:hAnsi="宋体" w:cs="宋体"/>
                <w:bCs/>
                <w:sz w:val="24"/>
              </w:rPr>
            </w:pPr>
            <w:r>
              <w:rPr>
                <w:rFonts w:hint="eastAsia" w:ascii="宋体" w:hAnsi="宋体" w:cs="宋体"/>
                <w:bCs/>
                <w:sz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cs="宋体"/>
                <w:bCs/>
                <w:sz w:val="24"/>
              </w:rPr>
            </w:pPr>
            <w:r>
              <w:rPr>
                <w:rFonts w:hint="eastAsia" w:ascii="宋体" w:hAnsi="宋体" w:cs="宋体"/>
                <w:bCs/>
                <w:sz w:val="24"/>
              </w:rPr>
              <w:t>1</w:t>
            </w:r>
          </w:p>
        </w:tc>
        <w:tc>
          <w:tcPr>
            <w:tcW w:w="5465" w:type="dxa"/>
          </w:tcPr>
          <w:p>
            <w:pPr>
              <w:snapToGrid w:val="0"/>
              <w:spacing w:line="360" w:lineRule="auto"/>
              <w:jc w:val="center"/>
              <w:rPr>
                <w:rFonts w:hint="eastAsia" w:ascii="宋体" w:hAnsi="宋体" w:cs="宋体"/>
                <w:bCs/>
                <w:sz w:val="24"/>
              </w:rPr>
            </w:pPr>
            <w:r>
              <w:rPr>
                <w:rFonts w:hint="eastAsia" w:ascii="宋体" w:hAnsi="宋体" w:cs="宋体"/>
                <w:bCs/>
                <w:sz w:val="24"/>
              </w:rPr>
              <w:t>XXX</w:t>
            </w:r>
          </w:p>
        </w:tc>
        <w:tc>
          <w:tcPr>
            <w:tcW w:w="3046" w:type="dxa"/>
          </w:tcPr>
          <w:p>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cs="宋体"/>
                <w:bCs/>
                <w:sz w:val="24"/>
              </w:rPr>
            </w:pPr>
            <w:r>
              <w:rPr>
                <w:rFonts w:hint="eastAsia" w:ascii="宋体" w:hAnsi="宋体" w:cs="宋体"/>
                <w:bCs/>
                <w:sz w:val="24"/>
              </w:rPr>
              <w:t>2</w:t>
            </w:r>
          </w:p>
        </w:tc>
        <w:tc>
          <w:tcPr>
            <w:tcW w:w="5465" w:type="dxa"/>
          </w:tcPr>
          <w:p>
            <w:pPr>
              <w:snapToGrid w:val="0"/>
              <w:spacing w:line="360" w:lineRule="auto"/>
              <w:jc w:val="center"/>
              <w:rPr>
                <w:rFonts w:hint="eastAsia" w:ascii="宋体" w:hAnsi="宋体" w:cs="宋体"/>
                <w:bCs/>
                <w:sz w:val="24"/>
              </w:rPr>
            </w:pPr>
            <w:r>
              <w:rPr>
                <w:rFonts w:hint="eastAsia" w:ascii="宋体" w:hAnsi="宋体" w:cs="宋体"/>
                <w:bCs/>
                <w:sz w:val="24"/>
              </w:rPr>
              <w:t>XXX</w:t>
            </w:r>
          </w:p>
        </w:tc>
        <w:tc>
          <w:tcPr>
            <w:tcW w:w="3046" w:type="dxa"/>
          </w:tcPr>
          <w:p>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cs="宋体"/>
                <w:bCs/>
                <w:sz w:val="24"/>
              </w:rPr>
            </w:pPr>
            <w:r>
              <w:rPr>
                <w:rFonts w:hint="eastAsia" w:ascii="宋体" w:hAnsi="宋体" w:cs="宋体"/>
                <w:kern w:val="0"/>
                <w:sz w:val="24"/>
              </w:rPr>
              <w:t>……</w:t>
            </w:r>
          </w:p>
        </w:tc>
        <w:tc>
          <w:tcPr>
            <w:tcW w:w="5465" w:type="dxa"/>
          </w:tcPr>
          <w:p>
            <w:pPr>
              <w:snapToGrid w:val="0"/>
              <w:spacing w:line="360" w:lineRule="auto"/>
              <w:jc w:val="center"/>
              <w:rPr>
                <w:rFonts w:hint="eastAsia" w:ascii="宋体" w:hAnsi="宋体" w:cs="宋体"/>
                <w:bCs/>
                <w:sz w:val="24"/>
              </w:rPr>
            </w:pPr>
          </w:p>
        </w:tc>
        <w:tc>
          <w:tcPr>
            <w:tcW w:w="3046" w:type="dxa"/>
          </w:tcPr>
          <w:p>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bl>
    <w:p>
      <w:pPr>
        <w:pStyle w:val="23"/>
        <w:rPr>
          <w:lang w:val="en-US"/>
        </w:rPr>
      </w:pPr>
    </w:p>
    <w:p>
      <w:pPr>
        <w:jc w:val="center"/>
        <w:rPr>
          <w:rFonts w:hint="eastAsia" w:ascii="宋体" w:hAnsi="宋体" w:cs="宋体"/>
          <w:b/>
          <w:kern w:val="0"/>
          <w:sz w:val="32"/>
          <w:szCs w:val="32"/>
        </w:rPr>
      </w:pPr>
    </w:p>
    <w:p>
      <w:pPr>
        <w:pStyle w:val="2"/>
        <w:rPr>
          <w:rFonts w:hint="eastAsia"/>
        </w:rPr>
      </w:pPr>
    </w:p>
    <w:p>
      <w:pPr>
        <w:ind w:firstLine="2891" w:firstLineChars="900"/>
        <w:rPr>
          <w:rFonts w:hint="eastAsia"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sz w:val="24"/>
              </w:rPr>
            </w:pPr>
            <w:r>
              <w:rPr>
                <w:rFonts w:hint="eastAsia" w:ascii="宋体" w:hAnsi="宋体" w:cs="宋体"/>
                <w:b/>
                <w:sz w:val="24"/>
              </w:rPr>
              <w:t>品牌</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sz w:val="24"/>
              </w:rPr>
            </w:pPr>
            <w:r>
              <w:rPr>
                <w:rFonts w:hint="eastAsia" w:ascii="宋体" w:hAnsi="宋体" w:cs="宋体"/>
                <w:b/>
                <w:sz w:val="24"/>
              </w:rPr>
              <w:t>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sz w:val="24"/>
              </w:rPr>
            </w:pPr>
            <w:r>
              <w:rPr>
                <w:rFonts w:hint="eastAsia" w:ascii="宋体" w:hAnsi="宋体" w:cs="宋体"/>
                <w:b/>
                <w:sz w:val="24"/>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sz w:val="24"/>
              </w:rPr>
            </w:pPr>
            <w:r>
              <w:rPr>
                <w:rFonts w:hint="eastAsia" w:ascii="宋体" w:hAnsi="宋体" w:cs="宋体"/>
                <w:b/>
                <w:sz w:val="24"/>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p>
        </w:tc>
      </w:tr>
    </w:tbl>
    <w:p>
      <w:pPr>
        <w:spacing w:line="360" w:lineRule="auto"/>
        <w:ind w:right="420"/>
        <w:rPr>
          <w:rFonts w:hint="eastAsia" w:ascii="宋体" w:hAnsi="宋体" w:cs="宋体"/>
          <w:sz w:val="24"/>
        </w:rPr>
      </w:pPr>
      <w:r>
        <w:rPr>
          <w:rFonts w:hint="eastAsia" w:ascii="宋体" w:hAnsi="宋体" w:cs="宋体"/>
          <w:sz w:val="24"/>
        </w:rPr>
        <w:t>注：按本格式和要求提供。</w:t>
      </w: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cs="宋体"/>
                <w:b/>
                <w:bCs/>
                <w:sz w:val="24"/>
              </w:rPr>
            </w:pPr>
            <w:r>
              <w:rPr>
                <w:rFonts w:hint="eastAsia" w:ascii="宋体" w:hAnsi="宋体" w:cs="宋体"/>
                <w:b/>
                <w:bCs/>
                <w:sz w:val="24"/>
              </w:rPr>
              <w:t>序号</w:t>
            </w:r>
          </w:p>
        </w:tc>
        <w:tc>
          <w:tcPr>
            <w:tcW w:w="3683" w:type="dxa"/>
          </w:tcPr>
          <w:p>
            <w:pPr>
              <w:jc w:val="center"/>
              <w:rPr>
                <w:rFonts w:hint="eastAsia" w:ascii="宋体" w:hAnsi="宋体" w:cs="宋体"/>
                <w:b/>
                <w:bCs/>
                <w:sz w:val="24"/>
              </w:rPr>
            </w:pPr>
            <w:r>
              <w:rPr>
                <w:rFonts w:hint="eastAsia" w:ascii="宋体" w:hAnsi="宋体" w:cs="宋体"/>
                <w:b/>
                <w:bCs/>
                <w:sz w:val="24"/>
              </w:rPr>
              <w:t>招标文件章节及具体内容</w:t>
            </w:r>
          </w:p>
        </w:tc>
        <w:tc>
          <w:tcPr>
            <w:tcW w:w="3546" w:type="dxa"/>
          </w:tcPr>
          <w:p>
            <w:pPr>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pPr>
              <w:jc w:val="center"/>
              <w:rPr>
                <w:rFonts w:hint="eastAsia"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cs="宋体"/>
                <w:kern w:val="0"/>
                <w:sz w:val="24"/>
              </w:rPr>
            </w:pPr>
            <w:r>
              <w:rPr>
                <w:rFonts w:hint="eastAsia" w:ascii="宋体" w:hAnsi="宋体" w:cs="宋体"/>
                <w:kern w:val="0"/>
                <w:sz w:val="24"/>
              </w:rPr>
              <w:t>1</w:t>
            </w:r>
          </w:p>
        </w:tc>
        <w:tc>
          <w:tcPr>
            <w:tcW w:w="3683" w:type="dxa"/>
          </w:tcPr>
          <w:p>
            <w:pPr>
              <w:jc w:val="center"/>
              <w:rPr>
                <w:rFonts w:hint="eastAsia" w:ascii="宋体" w:hAnsi="宋体" w:cs="宋体"/>
                <w:b/>
                <w:kern w:val="0"/>
                <w:sz w:val="32"/>
                <w:szCs w:val="32"/>
              </w:rPr>
            </w:pPr>
          </w:p>
        </w:tc>
        <w:tc>
          <w:tcPr>
            <w:tcW w:w="3546" w:type="dxa"/>
          </w:tcPr>
          <w:p>
            <w:pPr>
              <w:jc w:val="center"/>
              <w:rPr>
                <w:rFonts w:hint="eastAsia" w:ascii="宋体" w:hAnsi="宋体" w:cs="宋体"/>
                <w:b/>
                <w:kern w:val="0"/>
                <w:sz w:val="32"/>
                <w:szCs w:val="32"/>
              </w:rPr>
            </w:pPr>
          </w:p>
        </w:tc>
        <w:tc>
          <w:tcPr>
            <w:tcW w:w="1276" w:type="dxa"/>
          </w:tcPr>
          <w:p>
            <w:pPr>
              <w:jc w:val="center"/>
              <w:rPr>
                <w:rFonts w:hint="eastAsia"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cs="宋体"/>
                <w:kern w:val="0"/>
                <w:sz w:val="24"/>
              </w:rPr>
            </w:pPr>
            <w:r>
              <w:rPr>
                <w:rFonts w:hint="eastAsia" w:ascii="宋体" w:hAnsi="宋体" w:cs="宋体"/>
                <w:kern w:val="0"/>
                <w:sz w:val="24"/>
              </w:rPr>
              <w:t>2</w:t>
            </w:r>
          </w:p>
        </w:tc>
        <w:tc>
          <w:tcPr>
            <w:tcW w:w="3683" w:type="dxa"/>
          </w:tcPr>
          <w:p>
            <w:pPr>
              <w:jc w:val="center"/>
              <w:rPr>
                <w:rFonts w:hint="eastAsia" w:ascii="宋体" w:hAnsi="宋体" w:cs="宋体"/>
                <w:b/>
                <w:kern w:val="0"/>
                <w:sz w:val="32"/>
                <w:szCs w:val="32"/>
              </w:rPr>
            </w:pPr>
          </w:p>
        </w:tc>
        <w:tc>
          <w:tcPr>
            <w:tcW w:w="3546" w:type="dxa"/>
          </w:tcPr>
          <w:p>
            <w:pPr>
              <w:jc w:val="center"/>
              <w:rPr>
                <w:rFonts w:hint="eastAsia" w:ascii="宋体" w:hAnsi="宋体" w:cs="宋体"/>
                <w:b/>
                <w:kern w:val="0"/>
                <w:sz w:val="32"/>
                <w:szCs w:val="32"/>
              </w:rPr>
            </w:pPr>
          </w:p>
        </w:tc>
        <w:tc>
          <w:tcPr>
            <w:tcW w:w="1276" w:type="dxa"/>
          </w:tcPr>
          <w:p>
            <w:pPr>
              <w:jc w:val="center"/>
              <w:rPr>
                <w:rFonts w:hint="eastAsia"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cs="宋体"/>
                <w:kern w:val="0"/>
                <w:sz w:val="24"/>
              </w:rPr>
            </w:pPr>
            <w:r>
              <w:rPr>
                <w:rFonts w:hint="eastAsia" w:ascii="宋体" w:hAnsi="宋体" w:cs="宋体"/>
                <w:kern w:val="0"/>
                <w:sz w:val="24"/>
              </w:rPr>
              <w:t>……</w:t>
            </w:r>
          </w:p>
        </w:tc>
        <w:tc>
          <w:tcPr>
            <w:tcW w:w="3683" w:type="dxa"/>
          </w:tcPr>
          <w:p>
            <w:pPr>
              <w:jc w:val="center"/>
              <w:rPr>
                <w:rFonts w:hint="eastAsia" w:ascii="宋体" w:hAnsi="宋体" w:cs="宋体"/>
                <w:b/>
                <w:kern w:val="0"/>
                <w:sz w:val="32"/>
                <w:szCs w:val="32"/>
              </w:rPr>
            </w:pPr>
          </w:p>
        </w:tc>
        <w:tc>
          <w:tcPr>
            <w:tcW w:w="3546" w:type="dxa"/>
          </w:tcPr>
          <w:p>
            <w:pPr>
              <w:jc w:val="center"/>
              <w:rPr>
                <w:rFonts w:hint="eastAsia" w:ascii="宋体" w:hAnsi="宋体" w:cs="宋体"/>
                <w:b/>
                <w:kern w:val="0"/>
                <w:sz w:val="32"/>
                <w:szCs w:val="32"/>
              </w:rPr>
            </w:pPr>
          </w:p>
        </w:tc>
        <w:tc>
          <w:tcPr>
            <w:tcW w:w="1276" w:type="dxa"/>
          </w:tcPr>
          <w:p>
            <w:pPr>
              <w:jc w:val="center"/>
              <w:rPr>
                <w:rFonts w:hint="eastAsia" w:ascii="宋体" w:hAnsi="宋体" w:cs="宋体"/>
                <w:b/>
                <w:kern w:val="0"/>
                <w:sz w:val="32"/>
                <w:szCs w:val="32"/>
              </w:rPr>
            </w:pPr>
          </w:p>
        </w:tc>
      </w:tr>
    </w:tbl>
    <w:p>
      <w:pPr>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hint="eastAsia" w:ascii="宋体" w:hAnsi="宋体" w:cs="宋体"/>
          <w:b/>
          <w:kern w:val="0"/>
          <w:sz w:val="32"/>
          <w:szCs w:val="32"/>
        </w:rPr>
      </w:pPr>
    </w:p>
    <w:p>
      <w:pPr>
        <w:spacing w:line="360" w:lineRule="auto"/>
        <w:ind w:right="420"/>
        <w:rPr>
          <w:rFonts w:hint="eastAsia" w:ascii="宋体" w:hAnsi="宋体" w:cs="宋体"/>
          <w:sz w:val="24"/>
        </w:rPr>
      </w:pPr>
      <w:r>
        <w:rPr>
          <w:rFonts w:hint="eastAsia" w:ascii="宋体" w:hAnsi="宋体" w:cs="宋体"/>
          <w:sz w:val="24"/>
        </w:rPr>
        <w:t>注：1.按本格式和要求提供。</w:t>
      </w:r>
    </w:p>
    <w:p>
      <w:pPr>
        <w:spacing w:line="360" w:lineRule="auto"/>
        <w:ind w:right="420" w:firstLine="480" w:firstLineChars="200"/>
        <w:rPr>
          <w:rFonts w:hint="eastAsia" w:ascii="宋体" w:hAnsi="宋体" w:cs="宋体"/>
          <w:sz w:val="24"/>
        </w:rPr>
      </w:pPr>
      <w:r>
        <w:rPr>
          <w:rFonts w:hint="eastAsia" w:ascii="宋体" w:hAnsi="宋体" w:cs="宋体"/>
          <w:sz w:val="24"/>
        </w:rPr>
        <w:t>2.本表格所反映的偏离情况与“符合性审查资料”、“评标标准相应的商务技术资料”不一致的，以“符合性审查资料”、“评标标准相应的商务技术资料”为准。</w:t>
      </w:r>
    </w:p>
    <w:p>
      <w:pPr>
        <w:spacing w:line="360" w:lineRule="auto"/>
        <w:ind w:right="420" w:firstLine="480" w:firstLineChars="200"/>
        <w:rPr>
          <w:rFonts w:hint="eastAsia" w:ascii="宋体" w:hAnsi="宋体" w:cs="宋体"/>
          <w:sz w:val="24"/>
        </w:rPr>
      </w:pPr>
      <w:r>
        <w:rPr>
          <w:rFonts w:hint="eastAsia" w:ascii="宋体" w:hAnsi="宋体" w:cs="宋体"/>
          <w:sz w:val="24"/>
        </w:rPr>
        <w:t>3.投标人须保证：除商务技术偏离表列出的偏离外，投标人响应招标文件的全部非实质性要求。</w:t>
      </w:r>
    </w:p>
    <w:p>
      <w:pPr>
        <w:pStyle w:val="23"/>
        <w:rPr>
          <w:rFonts w:hint="eastAsia" w:hAnsi="宋体" w:cs="宋体"/>
        </w:rPr>
      </w:pPr>
    </w:p>
    <w:p>
      <w:pPr>
        <w:pStyle w:val="61"/>
        <w:rPr>
          <w:rFonts w:hint="eastAsia" w:hAnsi="宋体" w:cs="宋体"/>
        </w:rPr>
      </w:pPr>
    </w:p>
    <w:p>
      <w:pPr>
        <w:rPr>
          <w:rFonts w:hint="eastAsia" w:ascii="宋体" w:hAnsi="宋体" w:cs="宋体"/>
          <w:sz w:val="24"/>
        </w:rPr>
      </w:pPr>
    </w:p>
    <w:p>
      <w:pPr>
        <w:pStyle w:val="23"/>
        <w:rPr>
          <w:rFonts w:hint="eastAsia" w:hAnsi="宋体" w:cs="宋体"/>
        </w:rPr>
      </w:pPr>
    </w:p>
    <w:p>
      <w:pPr>
        <w:pStyle w:val="61"/>
        <w:rPr>
          <w:rFonts w:hint="eastAsia" w:hAnsi="宋体" w:cs="宋体"/>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pStyle w:val="23"/>
        <w:rPr>
          <w:rFonts w:hint="eastAsia" w:hAnsi="宋体" w:cs="宋体"/>
        </w:rPr>
      </w:pPr>
    </w:p>
    <w:p>
      <w:pPr>
        <w:pStyle w:val="61"/>
      </w:pPr>
    </w:p>
    <w:p/>
    <w:p/>
    <w:p>
      <w:pPr>
        <w:ind w:firstLine="1911" w:firstLineChars="595"/>
        <w:rPr>
          <w:rFonts w:hint="eastAsia" w:ascii="宋体" w:hAnsi="宋体" w:cs="宋体"/>
          <w:b/>
          <w:bCs/>
          <w:sz w:val="32"/>
          <w:szCs w:val="32"/>
        </w:rPr>
      </w:pPr>
    </w:p>
    <w:p>
      <w:pPr>
        <w:spacing w:line="360" w:lineRule="auto"/>
        <w:ind w:firstLine="1911" w:firstLineChars="595"/>
        <w:rPr>
          <w:rFonts w:hint="eastAsia"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hint="eastAsia" w:ascii="宋体" w:hAnsi="宋体" w:cs="宋体"/>
          <w:kern w:val="0"/>
          <w:sz w:val="24"/>
        </w:rPr>
      </w:pPr>
      <w:r>
        <w:rPr>
          <w:rFonts w:hint="eastAsia" w:ascii="宋体" w:hAnsi="宋体" w:cs="宋体"/>
          <w:sz w:val="24"/>
          <w:lang w:eastAsia="zh-CN"/>
        </w:rPr>
        <w:t>杭州市文三教育集团（总校）</w:t>
      </w:r>
      <w:r>
        <w:rPr>
          <w:rFonts w:hint="eastAsia" w:ascii="宋体" w:hAnsi="宋体" w:cs="宋体"/>
          <w:sz w:val="24"/>
        </w:rPr>
        <w:t>、杭州市西湖区政府采购中心</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cs="宋体"/>
          <w:kern w:val="0"/>
          <w:sz w:val="24"/>
          <w:lang w:val="zh-CN"/>
        </w:rPr>
      </w:pPr>
    </w:p>
    <w:p>
      <w:pPr>
        <w:autoSpaceDE w:val="0"/>
        <w:autoSpaceDN w:val="0"/>
        <w:spacing w:line="360" w:lineRule="auto"/>
        <w:ind w:left="2"/>
        <w:jc w:val="left"/>
        <w:rPr>
          <w:rFonts w:hint="eastAsia" w:ascii="宋体" w:hAnsi="宋体" w:cs="宋体"/>
          <w:kern w:val="0"/>
          <w:sz w:val="24"/>
          <w:lang w:val="zh-CN"/>
        </w:rPr>
      </w:pPr>
    </w:p>
    <w:p>
      <w:pPr>
        <w:autoSpaceDE w:val="0"/>
        <w:autoSpaceDN w:val="0"/>
        <w:spacing w:line="360" w:lineRule="auto"/>
        <w:ind w:left="2"/>
        <w:jc w:val="left"/>
        <w:rPr>
          <w:rFonts w:hint="eastAsia" w:ascii="宋体" w:hAnsi="宋体" w:cs="宋体"/>
          <w:kern w:val="0"/>
          <w:sz w:val="24"/>
          <w:lang w:val="zh-CN"/>
        </w:rPr>
      </w:pPr>
    </w:p>
    <w:p>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hint="eastAsia" w:ascii="宋体" w:hAnsi="宋体" w:cs="宋体"/>
          <w:b/>
          <w:bCs/>
          <w:sz w:val="24"/>
        </w:rPr>
      </w:pPr>
    </w:p>
    <w:p>
      <w:pPr>
        <w:spacing w:line="360" w:lineRule="auto"/>
        <w:ind w:right="420"/>
        <w:rPr>
          <w:rFonts w:hint="eastAsia" w:ascii="宋体" w:hAnsi="宋体" w:cs="宋体"/>
          <w:sz w:val="24"/>
        </w:rPr>
      </w:pPr>
      <w:r>
        <w:rPr>
          <w:rFonts w:hint="eastAsia" w:ascii="宋体" w:hAnsi="宋体" w:cs="宋体"/>
          <w:sz w:val="24"/>
        </w:rPr>
        <w:t>注：按本格式和要求提供。</w:t>
      </w:r>
    </w:p>
    <w:p>
      <w:pPr>
        <w:spacing w:line="360" w:lineRule="auto"/>
        <w:jc w:val="center"/>
        <w:rPr>
          <w:rFonts w:hint="eastAsia" w:ascii="宋体" w:hAnsi="宋体" w:cs="宋体"/>
          <w:b/>
          <w:bCs/>
          <w:sz w:val="24"/>
        </w:rPr>
        <w:sectPr>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hint="eastAsia" w:ascii="宋体" w:hAnsi="宋体" w:cs="宋体"/>
          <w:b/>
          <w:kern w:val="0"/>
          <w:sz w:val="36"/>
          <w:szCs w:val="36"/>
        </w:rPr>
      </w:pPr>
    </w:p>
    <w:p>
      <w:pPr>
        <w:numPr>
          <w:ilvl w:val="0"/>
          <w:numId w:val="14"/>
        </w:numPr>
        <w:snapToGrid w:val="0"/>
        <w:spacing w:line="360" w:lineRule="auto"/>
        <w:rPr>
          <w:rFonts w:hint="eastAsia" w:ascii="宋体" w:hAnsi="宋体" w:cs="宋体"/>
          <w:sz w:val="24"/>
        </w:rPr>
      </w:pPr>
      <w:r>
        <w:rPr>
          <w:rFonts w:hint="eastAsia" w:ascii="宋体" w:hAnsi="宋体" w:cs="宋体"/>
          <w:sz w:val="24"/>
        </w:rPr>
        <w:t>开标一览表（报价表）………………………………………………………（页码）</w:t>
      </w:r>
    </w:p>
    <w:p>
      <w:pPr>
        <w:numPr>
          <w:ilvl w:val="0"/>
          <w:numId w:val="14"/>
        </w:numPr>
        <w:snapToGrid w:val="0"/>
        <w:spacing w:line="360" w:lineRule="auto"/>
        <w:rPr>
          <w:rFonts w:hint="eastAsia" w:ascii="宋体" w:hAnsi="宋体" w:cs="宋体"/>
          <w:sz w:val="24"/>
        </w:rPr>
      </w:pPr>
      <w:r>
        <w:rPr>
          <w:rFonts w:hint="eastAsia" w:ascii="宋体" w:hAnsi="宋体" w:cs="宋体"/>
          <w:sz w:val="24"/>
        </w:rPr>
        <w:t>报价情况说明（如果有）…………………………………………………（页码）</w:t>
      </w:r>
    </w:p>
    <w:p>
      <w:pPr>
        <w:pStyle w:val="79"/>
        <w:numPr>
          <w:ilvl w:val="0"/>
          <w:numId w:val="14"/>
        </w:numPr>
        <w:ind w:firstLine="0" w:firstLineChars="0"/>
        <w:rPr>
          <w:rFonts w:hint="eastAsia" w:ascii="宋体" w:hAnsi="宋体" w:eastAsia="宋体" w:cs="宋体"/>
        </w:rPr>
      </w:pPr>
      <w:r>
        <w:rPr>
          <w:rFonts w:hint="eastAsia" w:ascii="宋体" w:hAnsi="宋体" w:eastAsia="宋体" w:cs="宋体"/>
        </w:rPr>
        <w:t>中小企业声明函（如果有）………………………………………………（页码）</w:t>
      </w:r>
    </w:p>
    <w:p>
      <w:pPr>
        <w:pStyle w:val="25"/>
        <w:ind w:left="0" w:leftChars="0" w:firstLine="0" w:firstLineChars="0"/>
        <w:rPr>
          <w:rFonts w:hint="eastAsia"/>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hint="eastAsia" w:ascii="宋体" w:hAnsi="宋体" w:cs="宋体"/>
          <w:kern w:val="0"/>
          <w:sz w:val="24"/>
        </w:rPr>
      </w:pPr>
      <w:r>
        <w:rPr>
          <w:rFonts w:hint="eastAsia" w:ascii="宋体" w:hAnsi="宋体" w:cs="宋体"/>
          <w:sz w:val="24"/>
          <w:lang w:eastAsia="zh-CN"/>
        </w:rPr>
        <w:t>杭州市文三教育集团（总校）</w:t>
      </w:r>
      <w:r>
        <w:rPr>
          <w:rFonts w:hint="eastAsia" w:ascii="宋体" w:hAnsi="宋体" w:cs="宋体"/>
          <w:sz w:val="24"/>
        </w:rPr>
        <w:t>、杭州市西湖区政府采购中心</w:t>
      </w:r>
      <w:r>
        <w:rPr>
          <w:rFonts w:hint="eastAsia" w:ascii="宋体" w:hAnsi="宋体" w:cs="宋体"/>
          <w:kern w:val="0"/>
          <w:sz w:val="24"/>
          <w:lang w:val="zh-CN"/>
        </w:rPr>
        <w:t>：</w:t>
      </w:r>
    </w:p>
    <w:p>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杭州市文三教育集团（总校）</w:t>
      </w:r>
      <w:r>
        <w:rPr>
          <w:rFonts w:hint="eastAsia" w:ascii="宋体" w:hAnsi="宋体" w:cs="宋体"/>
          <w:sz w:val="24"/>
        </w:rPr>
        <w:t>新校区电子显示屏采购项目</w:t>
      </w:r>
      <w:r>
        <w:rPr>
          <w:rFonts w:hint="eastAsia" w:ascii="宋体" w:hAnsi="宋体" w:cs="宋体"/>
          <w:kern w:val="0"/>
          <w:sz w:val="24"/>
          <w:lang w:val="zh-CN"/>
        </w:rPr>
        <w:t>【招标编号：</w:t>
      </w:r>
      <w:r>
        <w:rPr>
          <w:rFonts w:hint="eastAsia" w:ascii="宋体" w:hAnsi="宋体" w:cs="宋体"/>
          <w:sz w:val="24"/>
        </w:rPr>
        <w:t>XHZFCG-2025-</w:t>
      </w:r>
      <w:r>
        <w:rPr>
          <w:rFonts w:hint="eastAsia" w:ascii="宋体" w:hAnsi="宋体" w:cs="宋体"/>
          <w:sz w:val="24"/>
          <w:lang w:eastAsia="zh-CN"/>
        </w:rPr>
        <w:t>G-71</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3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620"/>
        <w:gridCol w:w="1455"/>
        <w:gridCol w:w="2303"/>
        <w:gridCol w:w="993"/>
        <w:gridCol w:w="1559"/>
        <w:gridCol w:w="1790"/>
        <w:gridCol w:w="2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hint="eastAsia" w:ascii="宋体" w:hAnsi="宋体" w:cs="宋体"/>
                <w:b/>
                <w:sz w:val="24"/>
              </w:rPr>
            </w:pPr>
            <w:r>
              <w:rPr>
                <w:rFonts w:hint="eastAsia" w:ascii="宋体" w:hAnsi="宋体" w:cs="宋体"/>
                <w:b/>
                <w:sz w:val="24"/>
              </w:rPr>
              <w:t>序号</w:t>
            </w:r>
          </w:p>
        </w:tc>
        <w:tc>
          <w:tcPr>
            <w:tcW w:w="2620" w:type="dxa"/>
            <w:vAlign w:val="center"/>
          </w:tcPr>
          <w:p>
            <w:pPr>
              <w:spacing w:line="360" w:lineRule="auto"/>
              <w:jc w:val="center"/>
              <w:rPr>
                <w:rFonts w:hint="eastAsia" w:ascii="宋体" w:hAnsi="宋体" w:cs="宋体"/>
                <w:b/>
                <w:sz w:val="24"/>
              </w:rPr>
            </w:pPr>
            <w:r>
              <w:rPr>
                <w:rFonts w:hint="eastAsia" w:ascii="宋体" w:hAnsi="宋体" w:cs="宋体"/>
                <w:b/>
                <w:sz w:val="24"/>
              </w:rPr>
              <w:t>名称</w:t>
            </w:r>
          </w:p>
        </w:tc>
        <w:tc>
          <w:tcPr>
            <w:tcW w:w="1455" w:type="dxa"/>
          </w:tcPr>
          <w:p>
            <w:pPr>
              <w:spacing w:line="360" w:lineRule="auto"/>
              <w:jc w:val="center"/>
              <w:rPr>
                <w:rFonts w:hint="eastAsia" w:ascii="宋体" w:hAnsi="宋体" w:cs="宋体"/>
                <w:b/>
                <w:sz w:val="24"/>
              </w:rPr>
            </w:pPr>
          </w:p>
          <w:p>
            <w:pPr>
              <w:spacing w:line="360" w:lineRule="auto"/>
              <w:jc w:val="center"/>
              <w:rPr>
                <w:rFonts w:hint="eastAsia" w:ascii="宋体" w:hAnsi="宋体" w:cs="宋体"/>
                <w:b/>
                <w:sz w:val="24"/>
              </w:rPr>
            </w:pPr>
            <w:r>
              <w:rPr>
                <w:rFonts w:hint="eastAsia" w:ascii="宋体" w:hAnsi="宋体" w:cs="宋体"/>
                <w:b/>
                <w:sz w:val="24"/>
              </w:rPr>
              <w:t>品牌</w:t>
            </w:r>
          </w:p>
        </w:tc>
        <w:tc>
          <w:tcPr>
            <w:tcW w:w="2303" w:type="dxa"/>
            <w:vAlign w:val="center"/>
          </w:tcPr>
          <w:p>
            <w:pPr>
              <w:spacing w:line="360" w:lineRule="auto"/>
              <w:jc w:val="center"/>
              <w:rPr>
                <w:rFonts w:hint="eastAsia" w:ascii="宋体" w:hAnsi="宋体" w:cs="宋体"/>
                <w:b/>
                <w:sz w:val="24"/>
              </w:rPr>
            </w:pPr>
            <w:r>
              <w:rPr>
                <w:rFonts w:hint="eastAsia" w:ascii="宋体" w:hAnsi="宋体" w:cs="宋体"/>
                <w:b/>
                <w:sz w:val="24"/>
              </w:rPr>
              <w:t>规格型号</w:t>
            </w:r>
          </w:p>
        </w:tc>
        <w:tc>
          <w:tcPr>
            <w:tcW w:w="993" w:type="dxa"/>
            <w:vAlign w:val="center"/>
          </w:tcPr>
          <w:p>
            <w:pPr>
              <w:spacing w:line="360" w:lineRule="auto"/>
              <w:jc w:val="center"/>
              <w:rPr>
                <w:rFonts w:hint="eastAsia"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hint="eastAsia" w:ascii="宋体" w:hAnsi="宋体" w:cs="宋体"/>
                <w:b/>
                <w:sz w:val="24"/>
              </w:rPr>
            </w:pPr>
            <w:r>
              <w:rPr>
                <w:rFonts w:hint="eastAsia" w:ascii="宋体" w:hAnsi="宋体" w:cs="宋体"/>
                <w:b/>
                <w:sz w:val="24"/>
              </w:rPr>
              <w:t>单价</w:t>
            </w:r>
          </w:p>
        </w:tc>
        <w:tc>
          <w:tcPr>
            <w:tcW w:w="1790" w:type="dxa"/>
            <w:vAlign w:val="center"/>
          </w:tcPr>
          <w:p>
            <w:pPr>
              <w:spacing w:line="360" w:lineRule="auto"/>
              <w:jc w:val="center"/>
              <w:rPr>
                <w:rFonts w:hint="eastAsia" w:ascii="宋体" w:hAnsi="宋体" w:cs="宋体"/>
                <w:b/>
                <w:sz w:val="24"/>
              </w:rPr>
            </w:pPr>
            <w:r>
              <w:rPr>
                <w:rFonts w:hint="eastAsia" w:ascii="宋体" w:hAnsi="宋体" w:cs="宋体"/>
                <w:b/>
                <w:sz w:val="24"/>
              </w:rPr>
              <w:t>合计</w:t>
            </w:r>
          </w:p>
        </w:tc>
        <w:tc>
          <w:tcPr>
            <w:tcW w:w="2721" w:type="dxa"/>
            <w:vAlign w:val="center"/>
          </w:tcPr>
          <w:p>
            <w:pPr>
              <w:spacing w:line="360" w:lineRule="auto"/>
              <w:jc w:val="center"/>
              <w:rPr>
                <w:rFonts w:hint="eastAsia" w:ascii="宋体" w:hAnsi="宋体" w:cs="宋体"/>
                <w:b/>
                <w:sz w:val="24"/>
              </w:rPr>
            </w:pPr>
          </w:p>
          <w:p>
            <w:pPr>
              <w:spacing w:line="360" w:lineRule="auto"/>
              <w:jc w:val="center"/>
              <w:rPr>
                <w:rFonts w:hint="eastAsia" w:ascii="宋体" w:hAnsi="宋体" w:cs="宋体"/>
                <w:b/>
                <w:sz w:val="24"/>
              </w:rPr>
            </w:pPr>
            <w:r>
              <w:rPr>
                <w:rFonts w:hint="eastAsia" w:ascii="宋体" w:hAnsi="宋体" w:cs="宋体"/>
                <w:b/>
                <w:sz w:val="24"/>
              </w:rPr>
              <w:t>备注（如果有）</w:t>
            </w:r>
          </w:p>
          <w:p>
            <w:pPr>
              <w:spacing w:line="360" w:lineRule="auto"/>
              <w:jc w:val="cente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534" w:type="dxa"/>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2620" w:type="dxa"/>
            <w:vAlign w:val="center"/>
          </w:tcPr>
          <w:p>
            <w:pPr>
              <w:snapToGrid w:val="0"/>
              <w:spacing w:line="360" w:lineRule="auto"/>
              <w:rPr>
                <w:rFonts w:hint="eastAsia" w:ascii="宋体" w:hAnsi="宋体" w:cs="宋体"/>
                <w:kern w:val="0"/>
                <w:sz w:val="24"/>
                <w:lang w:val="zh-CN"/>
              </w:rPr>
            </w:pPr>
          </w:p>
        </w:tc>
        <w:tc>
          <w:tcPr>
            <w:tcW w:w="1455" w:type="dxa"/>
            <w:vAlign w:val="center"/>
          </w:tcPr>
          <w:p>
            <w:pPr>
              <w:snapToGrid w:val="0"/>
              <w:spacing w:line="360" w:lineRule="auto"/>
              <w:jc w:val="center"/>
              <w:rPr>
                <w:rFonts w:hint="eastAsia" w:ascii="宋体" w:hAnsi="宋体" w:cs="宋体"/>
                <w:sz w:val="24"/>
              </w:rPr>
            </w:pPr>
          </w:p>
        </w:tc>
        <w:tc>
          <w:tcPr>
            <w:tcW w:w="2303" w:type="dxa"/>
            <w:vAlign w:val="center"/>
          </w:tcPr>
          <w:p>
            <w:pPr>
              <w:snapToGrid w:val="0"/>
              <w:spacing w:line="360" w:lineRule="auto"/>
              <w:jc w:val="center"/>
              <w:rPr>
                <w:rFonts w:hint="eastAsia" w:ascii="宋体" w:hAnsi="宋体" w:cs="宋体"/>
                <w:sz w:val="24"/>
              </w:rPr>
            </w:pPr>
          </w:p>
        </w:tc>
        <w:tc>
          <w:tcPr>
            <w:tcW w:w="993" w:type="dxa"/>
            <w:vAlign w:val="center"/>
          </w:tcPr>
          <w:p>
            <w:pPr>
              <w:snapToGrid w:val="0"/>
              <w:spacing w:line="360" w:lineRule="auto"/>
              <w:jc w:val="center"/>
              <w:rPr>
                <w:rFonts w:hint="eastAsia" w:ascii="宋体" w:hAnsi="宋体" w:cs="宋体"/>
                <w:sz w:val="24"/>
              </w:rPr>
            </w:pPr>
          </w:p>
        </w:tc>
        <w:tc>
          <w:tcPr>
            <w:tcW w:w="1559" w:type="dxa"/>
            <w:vAlign w:val="center"/>
          </w:tcPr>
          <w:p>
            <w:pPr>
              <w:spacing w:line="360" w:lineRule="auto"/>
              <w:jc w:val="center"/>
              <w:rPr>
                <w:rFonts w:hint="eastAsia" w:ascii="宋体" w:hAnsi="宋体" w:cs="宋体"/>
                <w:sz w:val="24"/>
              </w:rPr>
            </w:pPr>
          </w:p>
        </w:tc>
        <w:tc>
          <w:tcPr>
            <w:tcW w:w="1790" w:type="dxa"/>
            <w:vAlign w:val="center"/>
          </w:tcPr>
          <w:p>
            <w:pPr>
              <w:spacing w:line="360" w:lineRule="auto"/>
              <w:jc w:val="center"/>
              <w:rPr>
                <w:rFonts w:hint="eastAsia" w:ascii="宋体" w:hAnsi="宋体" w:cs="宋体"/>
                <w:sz w:val="24"/>
              </w:rPr>
            </w:pPr>
          </w:p>
        </w:tc>
        <w:tc>
          <w:tcPr>
            <w:tcW w:w="2721" w:type="dxa"/>
            <w:vAlign w:val="center"/>
          </w:tcPr>
          <w:p>
            <w:pPr>
              <w:pStyle w:val="15"/>
              <w:spacing w:line="360" w:lineRule="auto"/>
              <w:ind w:firstLine="0"/>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34" w:type="dxa"/>
            <w:vAlign w:val="center"/>
          </w:tcPr>
          <w:p>
            <w:pPr>
              <w:spacing w:line="360" w:lineRule="auto"/>
              <w:jc w:val="center"/>
              <w:rPr>
                <w:rFonts w:hint="eastAsia" w:ascii="宋体" w:hAnsi="宋体" w:cs="宋体"/>
                <w:sz w:val="24"/>
              </w:rPr>
            </w:pPr>
            <w:r>
              <w:rPr>
                <w:rFonts w:hint="eastAsia" w:ascii="宋体" w:hAnsi="宋体" w:cs="宋体"/>
                <w:sz w:val="24"/>
              </w:rPr>
              <w:t>2</w:t>
            </w:r>
          </w:p>
        </w:tc>
        <w:tc>
          <w:tcPr>
            <w:tcW w:w="2620" w:type="dxa"/>
            <w:vAlign w:val="center"/>
          </w:tcPr>
          <w:p>
            <w:pPr>
              <w:snapToGrid w:val="0"/>
              <w:spacing w:line="360" w:lineRule="auto"/>
              <w:rPr>
                <w:rFonts w:hint="eastAsia" w:ascii="宋体" w:hAnsi="宋体" w:cs="宋体"/>
                <w:kern w:val="0"/>
                <w:sz w:val="24"/>
                <w:lang w:val="zh-CN"/>
              </w:rPr>
            </w:pPr>
          </w:p>
        </w:tc>
        <w:tc>
          <w:tcPr>
            <w:tcW w:w="1455" w:type="dxa"/>
            <w:vAlign w:val="center"/>
          </w:tcPr>
          <w:p>
            <w:pPr>
              <w:snapToGrid w:val="0"/>
              <w:spacing w:line="360" w:lineRule="auto"/>
              <w:jc w:val="center"/>
              <w:rPr>
                <w:rFonts w:hint="eastAsia" w:ascii="宋体" w:hAnsi="宋体" w:cs="宋体"/>
                <w:sz w:val="24"/>
              </w:rPr>
            </w:pPr>
          </w:p>
        </w:tc>
        <w:tc>
          <w:tcPr>
            <w:tcW w:w="2303" w:type="dxa"/>
            <w:vAlign w:val="center"/>
          </w:tcPr>
          <w:p>
            <w:pPr>
              <w:snapToGrid w:val="0"/>
              <w:spacing w:line="360" w:lineRule="auto"/>
              <w:jc w:val="center"/>
              <w:rPr>
                <w:rFonts w:hint="eastAsia" w:ascii="宋体" w:hAnsi="宋体" w:cs="宋体"/>
                <w:sz w:val="24"/>
              </w:rPr>
            </w:pPr>
          </w:p>
        </w:tc>
        <w:tc>
          <w:tcPr>
            <w:tcW w:w="993" w:type="dxa"/>
            <w:vAlign w:val="center"/>
          </w:tcPr>
          <w:p>
            <w:pPr>
              <w:snapToGrid w:val="0"/>
              <w:spacing w:line="360" w:lineRule="auto"/>
              <w:jc w:val="center"/>
              <w:rPr>
                <w:rFonts w:hint="eastAsia" w:ascii="宋体" w:hAnsi="宋体" w:cs="宋体"/>
                <w:sz w:val="24"/>
              </w:rPr>
            </w:pPr>
          </w:p>
        </w:tc>
        <w:tc>
          <w:tcPr>
            <w:tcW w:w="1559" w:type="dxa"/>
            <w:vAlign w:val="center"/>
          </w:tcPr>
          <w:p>
            <w:pPr>
              <w:spacing w:line="360" w:lineRule="auto"/>
              <w:jc w:val="center"/>
              <w:rPr>
                <w:rFonts w:hint="eastAsia" w:ascii="宋体" w:hAnsi="宋体" w:cs="宋体"/>
                <w:sz w:val="24"/>
              </w:rPr>
            </w:pPr>
          </w:p>
        </w:tc>
        <w:tc>
          <w:tcPr>
            <w:tcW w:w="1790" w:type="dxa"/>
            <w:vAlign w:val="center"/>
          </w:tcPr>
          <w:p>
            <w:pPr>
              <w:spacing w:line="360" w:lineRule="auto"/>
              <w:jc w:val="center"/>
              <w:rPr>
                <w:rFonts w:hint="eastAsia" w:ascii="宋体" w:hAnsi="宋体" w:cs="宋体"/>
                <w:sz w:val="24"/>
              </w:rPr>
            </w:pPr>
          </w:p>
        </w:tc>
        <w:tc>
          <w:tcPr>
            <w:tcW w:w="2721" w:type="dxa"/>
            <w:vAlign w:val="center"/>
          </w:tcPr>
          <w:p>
            <w:pPr>
              <w:pStyle w:val="15"/>
              <w:spacing w:line="360" w:lineRule="auto"/>
              <w:ind w:firstLine="0"/>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cs="宋体"/>
                <w:sz w:val="24"/>
              </w:rPr>
            </w:pPr>
            <w:r>
              <w:rPr>
                <w:rFonts w:hint="eastAsia" w:ascii="宋体" w:hAnsi="宋体" w:cs="宋体"/>
                <w:sz w:val="24"/>
              </w:rPr>
              <w:t>…</w:t>
            </w:r>
          </w:p>
        </w:tc>
        <w:tc>
          <w:tcPr>
            <w:tcW w:w="2620" w:type="dxa"/>
            <w:vAlign w:val="center"/>
          </w:tcPr>
          <w:p>
            <w:pPr>
              <w:snapToGrid w:val="0"/>
              <w:spacing w:line="360" w:lineRule="auto"/>
              <w:jc w:val="center"/>
              <w:rPr>
                <w:rFonts w:hint="eastAsia" w:ascii="宋体" w:hAnsi="宋体" w:cs="宋体"/>
                <w:sz w:val="24"/>
              </w:rPr>
            </w:pPr>
          </w:p>
        </w:tc>
        <w:tc>
          <w:tcPr>
            <w:tcW w:w="1455" w:type="dxa"/>
            <w:vAlign w:val="center"/>
          </w:tcPr>
          <w:p>
            <w:pPr>
              <w:snapToGrid w:val="0"/>
              <w:spacing w:line="360" w:lineRule="auto"/>
              <w:jc w:val="center"/>
              <w:rPr>
                <w:rFonts w:hint="eastAsia" w:ascii="宋体" w:hAnsi="宋体" w:cs="宋体"/>
                <w:sz w:val="24"/>
              </w:rPr>
            </w:pPr>
          </w:p>
        </w:tc>
        <w:tc>
          <w:tcPr>
            <w:tcW w:w="2303" w:type="dxa"/>
            <w:vAlign w:val="center"/>
          </w:tcPr>
          <w:p>
            <w:pPr>
              <w:snapToGrid w:val="0"/>
              <w:spacing w:line="360" w:lineRule="auto"/>
              <w:jc w:val="center"/>
              <w:rPr>
                <w:rFonts w:hint="eastAsia" w:ascii="宋体" w:hAnsi="宋体" w:cs="宋体"/>
                <w:sz w:val="24"/>
              </w:rPr>
            </w:pPr>
          </w:p>
        </w:tc>
        <w:tc>
          <w:tcPr>
            <w:tcW w:w="993" w:type="dxa"/>
            <w:vAlign w:val="center"/>
          </w:tcPr>
          <w:p>
            <w:pPr>
              <w:snapToGrid w:val="0"/>
              <w:spacing w:line="360" w:lineRule="auto"/>
              <w:jc w:val="center"/>
              <w:rPr>
                <w:rFonts w:hint="eastAsia" w:ascii="宋体" w:hAnsi="宋体" w:cs="宋体"/>
                <w:sz w:val="24"/>
              </w:rPr>
            </w:pPr>
          </w:p>
        </w:tc>
        <w:tc>
          <w:tcPr>
            <w:tcW w:w="1559" w:type="dxa"/>
            <w:vAlign w:val="center"/>
          </w:tcPr>
          <w:p>
            <w:pPr>
              <w:spacing w:line="360" w:lineRule="auto"/>
              <w:jc w:val="center"/>
              <w:rPr>
                <w:rFonts w:hint="eastAsia" w:ascii="宋体" w:hAnsi="宋体" w:cs="宋体"/>
                <w:sz w:val="24"/>
              </w:rPr>
            </w:pPr>
          </w:p>
        </w:tc>
        <w:tc>
          <w:tcPr>
            <w:tcW w:w="1790" w:type="dxa"/>
            <w:vAlign w:val="center"/>
          </w:tcPr>
          <w:p>
            <w:pPr>
              <w:spacing w:line="360" w:lineRule="auto"/>
              <w:jc w:val="center"/>
              <w:rPr>
                <w:rFonts w:hint="eastAsia" w:ascii="宋体" w:hAnsi="宋体" w:cs="宋体"/>
                <w:sz w:val="24"/>
              </w:rPr>
            </w:pPr>
          </w:p>
        </w:tc>
        <w:tc>
          <w:tcPr>
            <w:tcW w:w="2721" w:type="dxa"/>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hint="eastAsia" w:ascii="宋体" w:hAnsi="宋体" w:cs="宋体"/>
                <w:b/>
                <w:sz w:val="24"/>
              </w:rPr>
            </w:pPr>
            <w:r>
              <w:rPr>
                <w:rFonts w:hint="eastAsia" w:ascii="宋体" w:hAnsi="宋体" w:cs="宋体"/>
                <w:b/>
                <w:sz w:val="24"/>
              </w:rPr>
              <w:t>投标报价（小写）</w:t>
            </w:r>
          </w:p>
        </w:tc>
        <w:tc>
          <w:tcPr>
            <w:tcW w:w="7063" w:type="dxa"/>
            <w:gridSpan w:val="4"/>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hint="eastAsia" w:ascii="宋体" w:hAnsi="宋体" w:cs="宋体"/>
                <w:b/>
                <w:sz w:val="24"/>
              </w:rPr>
            </w:pPr>
            <w:r>
              <w:rPr>
                <w:rFonts w:hint="eastAsia" w:ascii="宋体" w:hAnsi="宋体" w:cs="宋体"/>
                <w:b/>
                <w:sz w:val="24"/>
              </w:rPr>
              <w:t>投标报价（大写）</w:t>
            </w:r>
          </w:p>
        </w:tc>
        <w:tc>
          <w:tcPr>
            <w:tcW w:w="7063" w:type="dxa"/>
            <w:gridSpan w:val="4"/>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hint="eastAsia" w:ascii="宋体" w:hAnsi="宋体" w:cs="宋体"/>
                <w:b/>
                <w:sz w:val="24"/>
              </w:rPr>
            </w:pPr>
            <w:r>
              <w:rPr>
                <w:rFonts w:hint="eastAsia" w:ascii="宋体" w:hAnsi="宋体" w:cs="宋体"/>
                <w:b/>
                <w:sz w:val="24"/>
              </w:rPr>
              <w:t>是否为小微企业</w:t>
            </w:r>
          </w:p>
        </w:tc>
        <w:tc>
          <w:tcPr>
            <w:tcW w:w="7063" w:type="dxa"/>
            <w:gridSpan w:val="4"/>
            <w:vAlign w:val="center"/>
          </w:tcPr>
          <w:p>
            <w:pPr>
              <w:spacing w:line="360" w:lineRule="auto"/>
              <w:jc w:val="center"/>
              <w:rPr>
                <w:rFonts w:hint="eastAsia" w:ascii="宋体" w:hAnsi="宋体" w:cs="宋体"/>
                <w:sz w:val="24"/>
              </w:rPr>
            </w:pPr>
            <w:sdt>
              <w:sdtPr>
                <w:rPr>
                  <w:rFonts w:hint="eastAsia" w:ascii="宋体" w:hAnsi="宋体" w:cs="宋体"/>
                  <w:kern w:val="0"/>
                  <w:sz w:val="24"/>
                </w:rPr>
                <w:id w:val="2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 xml:space="preserve">是   </w:t>
            </w:r>
            <w:r>
              <w:rPr>
                <w:rFonts w:ascii="宋体" w:hAnsi="宋体" w:cs="宋体"/>
                <w:kern w:val="0"/>
                <w:sz w:val="24"/>
              </w:rPr>
              <w:t xml:space="preserve">      </w:t>
            </w:r>
            <w:sdt>
              <w:sdtPr>
                <w:rPr>
                  <w:rFonts w:hint="eastAsia" w:ascii="宋体" w:hAnsi="宋体" w:cs="宋体"/>
                  <w:kern w:val="0"/>
                  <w:sz w:val="24"/>
                </w:rPr>
                <w:id w:val="3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p>
        </w:tc>
      </w:tr>
    </w:tbl>
    <w:p>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1、投标人需按本表格</w:t>
      </w:r>
      <w:r>
        <w:rPr>
          <w:rFonts w:hint="eastAsia" w:ascii="宋体" w:hAnsi="宋体" w:cs="宋体"/>
          <w:kern w:val="0"/>
          <w:sz w:val="24"/>
        </w:rPr>
        <w:t>要求</w:t>
      </w:r>
      <w:r>
        <w:rPr>
          <w:rFonts w:hint="eastAsia" w:ascii="宋体" w:hAnsi="宋体" w:cs="宋体"/>
          <w:kern w:val="0"/>
          <w:sz w:val="24"/>
          <w:lang w:val="zh-CN"/>
        </w:rPr>
        <w:t>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hint="eastAsia"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pacing w:line="360" w:lineRule="auto"/>
        <w:ind w:firstLine="480" w:firstLineChars="200"/>
        <w:rPr>
          <w:rFonts w:hint="eastAsia" w:ascii="宋体" w:hAnsi="宋体" w:cs="宋体"/>
          <w:b/>
          <w:kern w:val="0"/>
          <w:sz w:val="24"/>
        </w:rPr>
      </w:pPr>
      <w:r>
        <w:rPr>
          <w:rFonts w:hint="eastAsia" w:ascii="宋体" w:hAnsi="宋体" w:cs="宋体"/>
          <w:kern w:val="0"/>
          <w:sz w:val="24"/>
          <w:lang w:val="zh-CN"/>
        </w:rPr>
        <w:t>3、</w:t>
      </w:r>
      <w:r>
        <w:rPr>
          <w:rFonts w:hint="eastAsia" w:ascii="宋体" w:hAnsi="宋体" w:cs="宋体"/>
          <w:kern w:val="0"/>
          <w:sz w:val="24"/>
          <w:highlight w:val="none"/>
          <w:lang w:val="zh-CN"/>
        </w:rPr>
        <w:t>特别提示：采购代理机构将对项目名称和项目编号，中标供应商名称、地址和中标金额，主要中标标的名称、品牌（如果有）、规格型号、数量、单价等予以公示</w:t>
      </w:r>
      <w:r>
        <w:rPr>
          <w:rFonts w:hint="eastAsia" w:ascii="宋体" w:hAnsi="宋体" w:cs="宋体"/>
          <w:kern w:val="0"/>
          <w:sz w:val="24"/>
          <w:lang w:val="zh-CN"/>
        </w:rPr>
        <w:t>。</w:t>
      </w:r>
    </w:p>
    <w:p>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pPr>
        <w:autoSpaceDE w:val="0"/>
        <w:autoSpaceDN w:val="0"/>
        <w:spacing w:line="360" w:lineRule="auto"/>
        <w:ind w:left="2" w:leftChars="1" w:right="1120" w:firstLine="7200" w:firstLineChars="30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firstLine="2640" w:firstLineChars="11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rPr>
          <w:rFonts w:hint="eastAsia" w:ascii="宋体" w:hAnsi="宋体" w:cs="宋体"/>
          <w:sz w:val="32"/>
          <w:szCs w:val="32"/>
        </w:rPr>
      </w:pPr>
    </w:p>
    <w:p>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pPr>
        <w:pStyle w:val="691"/>
        <w:keepNext w:val="0"/>
        <w:pageBreakBefore w:val="0"/>
        <w:numPr>
          <w:ilvl w:val="255"/>
          <w:numId w:val="0"/>
        </w:numPr>
        <w:tabs>
          <w:tab w:val="clear" w:pos="720"/>
        </w:tabs>
        <w:snapToGrid w:val="0"/>
        <w:spacing w:before="120" w:after="120"/>
        <w:outlineLvl w:val="9"/>
        <w:rPr>
          <w:rFonts w:hint="eastAsia" w:ascii="宋体" w:hAnsi="宋体" w:eastAsia="宋体" w:cs="宋体"/>
          <w:kern w:val="2"/>
          <w:sz w:val="32"/>
          <w:szCs w:val="32"/>
        </w:rPr>
      </w:pPr>
      <w:r>
        <w:rPr>
          <w:rFonts w:hint="eastAsia" w:ascii="宋体" w:hAnsi="宋体" w:eastAsia="宋体" w:cs="宋体"/>
          <w:kern w:val="2"/>
          <w:sz w:val="32"/>
          <w:szCs w:val="32"/>
        </w:rPr>
        <w:t>二、报价情况说明（如果有）</w:t>
      </w:r>
    </w:p>
    <w:p>
      <w:pPr>
        <w:pStyle w:val="691"/>
        <w:keepNext w:val="0"/>
        <w:pageBreakBefore w:val="0"/>
        <w:tabs>
          <w:tab w:val="clear" w:pos="720"/>
        </w:tabs>
        <w:snapToGrid w:val="0"/>
        <w:spacing w:before="120" w:after="120"/>
        <w:ind w:firstLine="643"/>
        <w:outlineLvl w:val="9"/>
        <w:rPr>
          <w:rFonts w:hint="eastAsia" w:ascii="宋体" w:hAnsi="宋体" w:eastAsia="宋体" w:cs="宋体"/>
          <w:b w:val="0"/>
          <w:sz w:val="24"/>
          <w:szCs w:val="24"/>
        </w:rPr>
      </w:pPr>
      <w:r>
        <w:rPr>
          <w:rFonts w:hint="eastAsia" w:ascii="宋体" w:hAnsi="宋体" w:eastAsia="宋体" w:cs="宋体"/>
          <w:b w:val="0"/>
          <w:sz w:val="24"/>
          <w:szCs w:val="24"/>
        </w:rPr>
        <w:t>（如供应商报价低于项目预算50%的，应当提交本文档，详细阐述不影响产品质量或者诚信履约的具体原因</w:t>
      </w:r>
      <w:r>
        <w:rPr>
          <w:rFonts w:hint="eastAsia" w:ascii="宋体" w:hAnsi="宋体" w:eastAsia="宋体" w:cs="宋体"/>
          <w:kern w:val="2"/>
          <w:sz w:val="24"/>
          <w:szCs w:val="24"/>
        </w:rPr>
        <w:t>，否则投标无效。</w:t>
      </w:r>
      <w:r>
        <w:rPr>
          <w:rFonts w:hint="eastAsia" w:ascii="宋体" w:hAnsi="宋体" w:eastAsia="宋体" w:cs="宋体"/>
          <w:b w:val="0"/>
          <w:sz w:val="24"/>
          <w:szCs w:val="24"/>
        </w:rPr>
        <w:t>）</w:t>
      </w:r>
    </w:p>
    <w:p>
      <w:pPr>
        <w:pStyle w:val="691"/>
        <w:keepNext w:val="0"/>
        <w:pageBreakBefore w:val="0"/>
        <w:tabs>
          <w:tab w:val="clear" w:pos="720"/>
        </w:tabs>
        <w:snapToGrid w:val="0"/>
        <w:spacing w:before="120" w:after="120"/>
        <w:ind w:firstLine="643"/>
        <w:outlineLvl w:val="9"/>
        <w:rPr>
          <w:rFonts w:hint="eastAsia" w:ascii="宋体" w:hAnsi="宋体" w:eastAsia="宋体" w:cs="宋体"/>
          <w:b w:val="0"/>
          <w:sz w:val="24"/>
          <w:szCs w:val="24"/>
        </w:rPr>
      </w:pPr>
    </w:p>
    <w:p>
      <w:pPr>
        <w:pStyle w:val="691"/>
        <w:keepNext w:val="0"/>
        <w:pageBreakBefore w:val="0"/>
        <w:tabs>
          <w:tab w:val="clear" w:pos="720"/>
        </w:tabs>
        <w:snapToGrid w:val="0"/>
        <w:spacing w:before="120" w:after="120"/>
        <w:ind w:firstLine="643"/>
        <w:outlineLvl w:val="9"/>
        <w:rPr>
          <w:rFonts w:hint="eastAsia" w:ascii="宋体" w:hAnsi="宋体" w:eastAsia="宋体" w:cs="宋体"/>
          <w:b w:val="0"/>
          <w:sz w:val="24"/>
          <w:szCs w:val="24"/>
        </w:rPr>
      </w:pPr>
    </w:p>
    <w:p>
      <w:pPr>
        <w:pStyle w:val="691"/>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w:t>
      </w:r>
      <w:bookmarkStart w:id="545" w:name="_Hlk101259491"/>
      <w:r>
        <w:rPr>
          <w:rFonts w:hint="eastAsia" w:ascii="宋体" w:hAnsi="宋体" w:eastAsia="宋体" w:cs="宋体"/>
          <w:sz w:val="32"/>
          <w:szCs w:val="32"/>
        </w:rPr>
        <w:t>（如果有）</w:t>
      </w:r>
      <w:bookmarkEnd w:id="545"/>
    </w:p>
    <w:p>
      <w:pPr>
        <w:widowControl/>
        <w:spacing w:line="360" w:lineRule="auto"/>
        <w:ind w:firstLine="120" w:firstLineChars="50"/>
        <w:jc w:val="left"/>
        <w:sectPr>
          <w:pgSz w:w="11906" w:h="16838"/>
          <w:pgMar w:top="1247" w:right="1418" w:bottom="1276" w:left="1418" w:header="851" w:footer="992" w:gutter="0"/>
          <w:cols w:space="720" w:num="1"/>
          <w:titlePg/>
          <w:docGrid w:linePitch="312" w:charSpace="0"/>
        </w:sect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pStyle w:val="3"/>
        <w:keepNext w:val="0"/>
        <w:keepLines w:val="0"/>
        <w:pageBreakBefore/>
        <w:widowControl/>
        <w:spacing w:before="100" w:beforeAutospacing="1" w:after="100" w:afterAutospacing="1" w:line="360" w:lineRule="auto"/>
        <w:ind w:left="1290" w:firstLine="3092" w:firstLineChars="700"/>
        <w:rPr>
          <w:rFonts w:hint="eastAsia" w:ascii="宋体" w:hAnsi="宋体" w:cs="宋体"/>
        </w:rPr>
      </w:pPr>
      <w:bookmarkStart w:id="546" w:name="_Toc465665161"/>
      <w:r>
        <w:rPr>
          <w:rFonts w:hint="eastAsia" w:ascii="宋体" w:hAnsi="宋体" w:cs="宋体"/>
        </w:rPr>
        <w:t>附件</w:t>
      </w:r>
      <w:bookmarkEnd w:id="546"/>
    </w:p>
    <w:p>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hint="eastAsia" w:ascii="宋体" w:hAnsi="宋体" w:cs="宋体"/>
          <w:b/>
          <w:spacing w:val="6"/>
          <w:sz w:val="32"/>
          <w:szCs w:val="32"/>
        </w:rPr>
      </w:pPr>
      <w:bookmarkStart w:id="547" w:name="OLE_LINK14"/>
      <w:bookmarkStart w:id="548" w:name="OLE_LINK13"/>
      <w:r>
        <w:rPr>
          <w:rFonts w:hint="eastAsia" w:ascii="宋体" w:hAnsi="宋体" w:cs="宋体"/>
          <w:b/>
          <w:spacing w:val="6"/>
          <w:sz w:val="32"/>
          <w:szCs w:val="32"/>
        </w:rPr>
        <w:t>残疾人福利性单位声明函</w:t>
      </w:r>
    </w:p>
    <w:bookmarkEnd w:id="547"/>
    <w:bookmarkEnd w:id="548"/>
    <w:p>
      <w:pPr>
        <w:spacing w:line="360" w:lineRule="auto"/>
        <w:rPr>
          <w:rFonts w:hint="eastAsia" w:ascii="宋体" w:hAnsi="宋体" w:cs="宋体"/>
          <w:b/>
          <w:spacing w:val="6"/>
          <w:sz w:val="30"/>
          <w:szCs w:val="30"/>
        </w:rPr>
      </w:pPr>
    </w:p>
    <w:p>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pPr>
        <w:spacing w:line="360" w:lineRule="auto"/>
        <w:ind w:firstLine="480" w:firstLineChars="200"/>
        <w:rPr>
          <w:rFonts w:hint="eastAsia" w:ascii="宋体" w:hAnsi="宋体" w:cs="宋体"/>
          <w:sz w:val="24"/>
        </w:rPr>
      </w:pPr>
    </w:p>
    <w:p>
      <w:pPr>
        <w:spacing w:line="360" w:lineRule="auto"/>
        <w:ind w:firstLine="420" w:firstLineChars="200"/>
        <w:rPr>
          <w:rFonts w:hint="eastAsia" w:ascii="宋体" w:hAnsi="宋体" w:cs="宋体"/>
        </w:rPr>
      </w:pPr>
    </w:p>
    <w:p>
      <w:pPr>
        <w:spacing w:line="360" w:lineRule="auto"/>
        <w:ind w:firstLine="420" w:firstLineChars="200"/>
        <w:rPr>
          <w:rFonts w:hint="eastAsia" w:ascii="宋体" w:hAnsi="宋体" w:cs="宋体"/>
        </w:rPr>
      </w:pPr>
    </w:p>
    <w:p>
      <w:pPr>
        <w:spacing w:line="360" w:lineRule="auto"/>
        <w:ind w:firstLine="420" w:firstLineChars="200"/>
        <w:rPr>
          <w:rFonts w:hint="eastAsia" w:ascii="宋体" w:hAnsi="宋体" w:cs="宋体"/>
        </w:rPr>
      </w:pPr>
    </w:p>
    <w:p>
      <w:pPr>
        <w:spacing w:line="360" w:lineRule="auto"/>
        <w:ind w:firstLine="420" w:firstLineChars="200"/>
        <w:rPr>
          <w:rFonts w:hint="eastAsia" w:ascii="宋体" w:hAnsi="宋体" w:cs="宋体"/>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hint="eastAsia" w:ascii="宋体" w:hAnsi="宋体" w:cs="宋体"/>
          <w:bCs/>
          <w:sz w:val="24"/>
        </w:rPr>
      </w:pPr>
      <w:r>
        <w:rPr>
          <w:rFonts w:hint="eastAsia" w:ascii="宋体" w:hAnsi="宋体" w:cs="宋体"/>
          <w:bCs/>
          <w:sz w:val="24"/>
        </w:rPr>
        <w:t>二、质疑项目基本情况</w:t>
      </w:r>
    </w:p>
    <w:p>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hint="eastAsia" w:ascii="宋体" w:hAnsi="宋体" w:cs="宋体"/>
          <w:bCs/>
          <w:sz w:val="24"/>
        </w:rPr>
      </w:pPr>
      <w:r>
        <w:rPr>
          <w:rFonts w:hint="eastAsia" w:ascii="宋体" w:hAnsi="宋体" w:cs="宋体"/>
          <w:bCs/>
          <w:sz w:val="24"/>
        </w:rPr>
        <w:t>三、质疑事项具体内容</w:t>
      </w:r>
    </w:p>
    <w:p>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hint="eastAsia" w:ascii="宋体" w:hAnsi="宋体" w:cs="宋体"/>
          <w:sz w:val="24"/>
        </w:rPr>
      </w:pPr>
      <w:r>
        <w:rPr>
          <w:rFonts w:hint="eastAsia" w:ascii="宋体" w:hAnsi="宋体" w:cs="宋体"/>
          <w:sz w:val="24"/>
          <w:u w:val="dotted"/>
        </w:rPr>
        <w:t xml:space="preserve">                                                       </w:t>
      </w:r>
    </w:p>
    <w:p>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pPr>
        <w:snapToGrid w:val="0"/>
        <w:spacing w:line="360" w:lineRule="auto"/>
        <w:rPr>
          <w:rFonts w:hint="eastAsia" w:ascii="宋体" w:hAnsi="宋体" w:cs="宋体"/>
          <w:sz w:val="24"/>
          <w:u w:val="dotted"/>
        </w:rPr>
      </w:pPr>
      <w:r>
        <w:rPr>
          <w:rFonts w:hint="eastAsia" w:ascii="宋体" w:hAnsi="宋体" w:cs="宋体"/>
          <w:sz w:val="24"/>
        </w:rPr>
        <w:t>质疑事项2</w:t>
      </w:r>
    </w:p>
    <w:p>
      <w:pPr>
        <w:snapToGrid w:val="0"/>
        <w:spacing w:line="360" w:lineRule="auto"/>
        <w:rPr>
          <w:rFonts w:hint="eastAsia" w:ascii="宋体" w:hAnsi="宋体" w:cs="宋体"/>
          <w:sz w:val="24"/>
        </w:rPr>
      </w:pPr>
      <w:r>
        <w:rPr>
          <w:rFonts w:hint="eastAsia" w:ascii="宋体" w:hAnsi="宋体" w:cs="宋体"/>
          <w:sz w:val="24"/>
        </w:rPr>
        <w:t>……</w:t>
      </w:r>
    </w:p>
    <w:p>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hint="eastAsia" w:ascii="宋体" w:hAnsi="宋体" w:cs="宋体"/>
          <w:sz w:val="24"/>
        </w:rPr>
      </w:pPr>
      <w:r>
        <w:rPr>
          <w:rFonts w:hint="eastAsia" w:ascii="宋体" w:hAnsi="宋体" w:cs="宋体"/>
          <w:sz w:val="24"/>
        </w:rPr>
        <w:t xml:space="preserve">签字(签章)：                   公章：                      </w:t>
      </w:r>
    </w:p>
    <w:p>
      <w:pPr>
        <w:spacing w:line="360" w:lineRule="auto"/>
        <w:rPr>
          <w:rFonts w:hint="eastAsia" w:ascii="宋体" w:hAnsi="宋体" w:cs="宋体"/>
          <w:sz w:val="24"/>
        </w:rPr>
      </w:pPr>
      <w:r>
        <w:rPr>
          <w:rFonts w:hint="eastAsia" w:ascii="宋体" w:hAnsi="宋体" w:cs="宋体"/>
          <w:sz w:val="24"/>
        </w:rPr>
        <w:t xml:space="preserve">日期：    </w:t>
      </w:r>
    </w:p>
    <w:p>
      <w:pPr>
        <w:spacing w:line="360" w:lineRule="auto"/>
        <w:jc w:val="center"/>
        <w:rPr>
          <w:rFonts w:hint="eastAsia" w:ascii="宋体" w:hAnsi="宋体" w:cs="宋体"/>
          <w:b/>
          <w:bCs/>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cs="宋体"/>
          <w:sz w:val="30"/>
          <w:szCs w:val="30"/>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left"/>
        <w:rPr>
          <w:rFonts w:hint="eastAsia" w:ascii="宋体" w:hAnsi="宋体" w:cs="宋体"/>
          <w:b/>
          <w:spacing w:val="6"/>
          <w:sz w:val="32"/>
          <w:szCs w:val="32"/>
        </w:rPr>
      </w:pPr>
    </w:p>
    <w:p>
      <w:pPr>
        <w:pStyle w:val="2"/>
        <w:rPr>
          <w:rFonts w:hint="eastAsia"/>
        </w:rPr>
      </w:pPr>
    </w:p>
    <w:p>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hint="eastAsia" w:ascii="宋体" w:hAnsi="宋体" w:cs="宋体"/>
          <w:b/>
          <w:sz w:val="24"/>
        </w:rPr>
      </w:pPr>
    </w:p>
    <w:p>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hint="eastAsia" w:ascii="宋体" w:hAnsi="宋体" w:cs="宋体"/>
          <w:sz w:val="24"/>
        </w:rPr>
      </w:pPr>
      <w:r>
        <w:rPr>
          <w:rFonts w:hint="eastAsia" w:ascii="宋体" w:hAnsi="宋体" w:cs="宋体"/>
          <w:sz w:val="24"/>
        </w:rPr>
        <w:t>一、投诉相关主体基本情况</w:t>
      </w:r>
    </w:p>
    <w:p>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被投诉人2</w:t>
      </w:r>
    </w:p>
    <w:p>
      <w:pPr>
        <w:spacing w:line="360" w:lineRule="auto"/>
        <w:rPr>
          <w:rFonts w:hint="eastAsia" w:ascii="宋体" w:hAnsi="宋体" w:cs="宋体"/>
          <w:sz w:val="24"/>
          <w:u w:val="dotted"/>
        </w:rPr>
      </w:pPr>
      <w:r>
        <w:rPr>
          <w:rFonts w:hint="eastAsia" w:ascii="宋体" w:hAnsi="宋体" w:cs="宋体"/>
          <w:sz w:val="24"/>
        </w:rPr>
        <w:t>……</w:t>
      </w:r>
    </w:p>
    <w:p>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二、投诉项目基本情况</w:t>
      </w:r>
    </w:p>
    <w:p>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hint="eastAsia" w:ascii="宋体" w:hAnsi="宋体" w:cs="宋体"/>
          <w:sz w:val="24"/>
        </w:rPr>
      </w:pPr>
      <w:r>
        <w:rPr>
          <w:rFonts w:hint="eastAsia" w:ascii="宋体" w:hAnsi="宋体" w:cs="宋体"/>
          <w:sz w:val="24"/>
        </w:rPr>
        <w:t>三、质疑基本情况</w:t>
      </w:r>
    </w:p>
    <w:p>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hint="eastAsia" w:ascii="宋体" w:hAnsi="宋体" w:cs="宋体"/>
          <w:sz w:val="24"/>
        </w:rPr>
      </w:pPr>
      <w:r>
        <w:rPr>
          <w:rFonts w:hint="eastAsia" w:ascii="宋体" w:hAnsi="宋体" w:cs="宋体"/>
          <w:sz w:val="24"/>
        </w:rPr>
        <w:t>四、投诉事项具体内容</w:t>
      </w:r>
    </w:p>
    <w:p>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hint="eastAsia" w:ascii="宋体" w:hAnsi="宋体" w:cs="宋体"/>
          <w:sz w:val="24"/>
          <w:u w:val="dotted"/>
        </w:rPr>
      </w:pPr>
      <w:r>
        <w:rPr>
          <w:rFonts w:hint="eastAsia" w:ascii="宋体" w:hAnsi="宋体" w:cs="宋体"/>
          <w:sz w:val="24"/>
          <w:u w:val="dotted"/>
        </w:rPr>
        <w:t xml:space="preserve">                                                      </w:t>
      </w:r>
    </w:p>
    <w:p>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hint="eastAsia" w:ascii="宋体" w:hAnsi="宋体" w:cs="宋体"/>
          <w:sz w:val="24"/>
          <w:u w:val="dotted"/>
        </w:rPr>
      </w:pPr>
      <w:r>
        <w:rPr>
          <w:rFonts w:hint="eastAsia" w:ascii="宋体" w:hAnsi="宋体" w:cs="宋体"/>
          <w:sz w:val="24"/>
          <w:u w:val="dotted"/>
        </w:rPr>
        <w:t xml:space="preserve">                                                      </w:t>
      </w:r>
    </w:p>
    <w:p>
      <w:pPr>
        <w:spacing w:line="360" w:lineRule="auto"/>
        <w:rPr>
          <w:rFonts w:hint="eastAsia" w:ascii="宋体" w:hAnsi="宋体" w:cs="宋体"/>
          <w:sz w:val="24"/>
        </w:rPr>
      </w:pPr>
      <w:r>
        <w:rPr>
          <w:rFonts w:hint="eastAsia" w:ascii="宋体" w:hAnsi="宋体" w:cs="宋体"/>
          <w:sz w:val="24"/>
        </w:rPr>
        <w:t>投诉事项2</w:t>
      </w:r>
    </w:p>
    <w:p>
      <w:pPr>
        <w:spacing w:line="360" w:lineRule="auto"/>
        <w:rPr>
          <w:rFonts w:hint="eastAsia" w:ascii="宋体" w:hAnsi="宋体" w:cs="宋体"/>
          <w:sz w:val="24"/>
          <w:u w:val="dotted"/>
        </w:rPr>
      </w:pPr>
      <w:r>
        <w:rPr>
          <w:rFonts w:hint="eastAsia" w:ascii="宋体" w:hAnsi="宋体" w:cs="宋体"/>
          <w:sz w:val="24"/>
        </w:rPr>
        <w:t>……</w:t>
      </w:r>
    </w:p>
    <w:p>
      <w:pPr>
        <w:spacing w:line="360" w:lineRule="auto"/>
        <w:rPr>
          <w:rFonts w:hint="eastAsia" w:ascii="宋体" w:hAnsi="宋体" w:cs="宋体"/>
          <w:sz w:val="24"/>
        </w:rPr>
      </w:pPr>
      <w:r>
        <w:rPr>
          <w:rFonts w:hint="eastAsia" w:ascii="宋体" w:hAnsi="宋体" w:cs="宋体"/>
          <w:sz w:val="24"/>
        </w:rPr>
        <w:t>五、与投诉事项相关的投诉请求</w:t>
      </w:r>
    </w:p>
    <w:p>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hint="eastAsia" w:ascii="宋体" w:hAnsi="宋体" w:cs="宋体"/>
          <w:sz w:val="24"/>
          <w:u w:val="single"/>
        </w:rPr>
      </w:pP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rPr>
        <w:t xml:space="preserve">签字(签章)：                   公章：                      </w:t>
      </w:r>
    </w:p>
    <w:p>
      <w:pPr>
        <w:spacing w:line="360" w:lineRule="auto"/>
        <w:rPr>
          <w:rFonts w:hint="eastAsia" w:ascii="宋体" w:hAnsi="宋体" w:cs="宋体"/>
          <w:sz w:val="24"/>
        </w:rPr>
      </w:pPr>
      <w:r>
        <w:rPr>
          <w:rFonts w:hint="eastAsia" w:ascii="宋体" w:hAnsi="宋体" w:cs="宋体"/>
          <w:sz w:val="24"/>
        </w:rPr>
        <w:t xml:space="preserve">日期：    </w:t>
      </w: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autoSpaceDE w:val="0"/>
        <w:autoSpaceDN w:val="0"/>
        <w:jc w:val="both"/>
        <w:rPr>
          <w:rFonts w:hint="eastAsia" w:ascii="宋体" w:hAnsi="宋体" w:cs="宋体"/>
          <w:b/>
          <w:spacing w:val="6"/>
          <w:sz w:val="32"/>
          <w:szCs w:val="32"/>
        </w:rPr>
      </w:pPr>
    </w:p>
    <w:p>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hint="eastAsia" w:ascii="宋体" w:hAnsi="宋体" w:cs="宋体"/>
          <w:sz w:val="24"/>
        </w:rPr>
      </w:pPr>
      <w:r>
        <w:rPr>
          <w:rFonts w:hint="eastAsia" w:ascii="宋体" w:hAnsi="宋体" w:cs="宋体"/>
          <w:sz w:val="24"/>
          <w:u w:val="single"/>
          <w:lang w:eastAsia="zh-CN"/>
        </w:rPr>
        <w:t>杭州市文三教育集团（总校）</w:t>
      </w:r>
      <w:r>
        <w:rPr>
          <w:rFonts w:hint="eastAsia" w:ascii="宋体" w:hAnsi="宋体" w:cs="宋体"/>
          <w:sz w:val="24"/>
          <w:u w:val="single"/>
        </w:rPr>
        <w:t>、杭州市西湖区政府采购中心</w:t>
      </w:r>
    </w:p>
    <w:p>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杭州市文三教育集团（总校）</w:t>
      </w:r>
      <w:r>
        <w:rPr>
          <w:rFonts w:hint="eastAsia" w:ascii="宋体" w:hAnsi="宋体" w:cs="宋体"/>
          <w:sz w:val="24"/>
        </w:rPr>
        <w:t>新校区电子显示屏采购项目【招标编号：XHZFCG-2025-</w:t>
      </w:r>
      <w:r>
        <w:rPr>
          <w:rFonts w:hint="eastAsia" w:ascii="宋体" w:hAnsi="宋体" w:cs="宋体"/>
          <w:sz w:val="24"/>
          <w:lang w:eastAsia="zh-CN"/>
        </w:rPr>
        <w:t>G-71</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cs="宋体"/>
          <w:sz w:val="24"/>
        </w:rPr>
      </w:pPr>
      <w:r>
        <w:rPr>
          <w:rFonts w:hint="eastAsia" w:ascii="宋体" w:hAnsi="宋体" w:cs="宋体"/>
          <w:sz w:val="24"/>
        </w:rPr>
        <w:t>特此说明。</w:t>
      </w:r>
    </w:p>
    <w:p>
      <w:pPr>
        <w:spacing w:line="360" w:lineRule="auto"/>
        <w:ind w:firstLine="494"/>
        <w:rPr>
          <w:rFonts w:hint="eastAsia" w:ascii="宋体" w:hAnsi="宋体" w:cs="宋体"/>
          <w:sz w:val="24"/>
        </w:rPr>
      </w:pPr>
    </w:p>
    <w:p>
      <w:pPr>
        <w:spacing w:line="360" w:lineRule="auto"/>
        <w:ind w:firstLine="494"/>
        <w:rPr>
          <w:rFonts w:hint="eastAsia" w:ascii="宋体" w:hAnsi="宋体" w:cs="宋体"/>
          <w:sz w:val="24"/>
        </w:rPr>
      </w:pPr>
    </w:p>
    <w:p>
      <w:pPr>
        <w:spacing w:line="360" w:lineRule="auto"/>
        <w:ind w:firstLine="494"/>
        <w:rPr>
          <w:rFonts w:hint="eastAsia" w:ascii="宋体" w:hAnsi="宋体" w:cs="宋体"/>
          <w:sz w:val="24"/>
        </w:rPr>
      </w:pPr>
    </w:p>
    <w:p>
      <w:pPr>
        <w:spacing w:line="360" w:lineRule="auto"/>
        <w:ind w:firstLine="494"/>
        <w:rPr>
          <w:rFonts w:hint="eastAsia" w:ascii="宋体" w:hAnsi="宋体" w:cs="宋体"/>
          <w:sz w:val="24"/>
        </w:rPr>
      </w:pPr>
    </w:p>
    <w:p>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pPr>
        <w:ind w:right="1440" w:firstLine="494"/>
        <w:jc w:val="center"/>
        <w:rPr>
          <w:rFonts w:hint="eastAsia" w:ascii="宋体" w:hAnsi="宋体" w:cs="宋体"/>
          <w:sz w:val="24"/>
        </w:rPr>
      </w:pPr>
      <w:r>
        <w:rPr>
          <w:rFonts w:hint="eastAsia" w:ascii="宋体" w:hAnsi="宋体" w:cs="宋体"/>
          <w:sz w:val="24"/>
        </w:rPr>
        <w:t xml:space="preserve">                              日期：       年     月     日</w:t>
      </w:r>
    </w:p>
    <w:p>
      <w:pPr>
        <w:rPr>
          <w:rFonts w:hint="eastAsia" w:ascii="宋体" w:hAnsi="宋体" w:cs="宋体"/>
          <w:sz w:val="24"/>
        </w:rPr>
      </w:pPr>
      <w:r>
        <w:rPr>
          <w:rFonts w:hint="eastAsia" w:ascii="宋体" w:hAnsi="宋体" w:cs="宋体"/>
          <w:b/>
          <w:bCs/>
          <w:sz w:val="24"/>
        </w:rPr>
        <w:t>附：</w:t>
      </w:r>
    </w:p>
    <w:p>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pStyle w:val="23"/>
        <w:rPr>
          <w:rFonts w:hint="eastAsia" w:hAnsi="宋体" w:cs="宋体"/>
          <w:b/>
          <w:spacing w:val="6"/>
          <w:sz w:val="32"/>
          <w:szCs w:val="32"/>
        </w:rPr>
      </w:pPr>
    </w:p>
    <w:p>
      <w:pPr>
        <w:pStyle w:val="61"/>
        <w:rPr>
          <w:rFonts w:hint="eastAsia" w:hAnsi="宋体" w:cs="宋体"/>
          <w:b/>
          <w:spacing w:val="6"/>
          <w:sz w:val="32"/>
          <w:szCs w:val="32"/>
        </w:rPr>
      </w:pPr>
    </w:p>
    <w:p/>
    <w:p>
      <w:pPr>
        <w:pStyle w:val="61"/>
        <w:rPr>
          <w:rFonts w:hint="eastAsia" w:hAnsi="宋体" w:cs="宋体"/>
          <w:b/>
          <w:spacing w:val="6"/>
          <w:sz w:val="32"/>
          <w:szCs w:val="32"/>
        </w:rPr>
      </w:pPr>
    </w:p>
    <w:p>
      <w:pPr>
        <w:pStyle w:val="61"/>
        <w:rPr>
          <w:rFonts w:hint="eastAsia" w:hAnsi="宋体" w:cs="宋体"/>
          <w:b/>
          <w:spacing w:val="6"/>
          <w:sz w:val="32"/>
          <w:szCs w:val="32"/>
        </w:rPr>
      </w:pPr>
    </w:p>
    <w:p>
      <w:pPr>
        <w:rPr>
          <w:rFonts w:hint="eastAsia" w:ascii="宋体" w:hAnsi="宋体" w:cs="宋体"/>
          <w:b/>
          <w:spacing w:val="6"/>
          <w:sz w:val="32"/>
          <w:szCs w:val="32"/>
        </w:rPr>
      </w:pPr>
    </w:p>
    <w:p>
      <w:pPr>
        <w:autoSpaceDE w:val="0"/>
        <w:autoSpaceDN w:val="0"/>
        <w:jc w:val="center"/>
        <w:rPr>
          <w:rFonts w:hint="eastAsia"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杭州市文三教育集团（总校）</w:t>
      </w:r>
      <w:r>
        <w:rPr>
          <w:rFonts w:hint="eastAsia" w:ascii="宋体" w:hAnsi="宋体" w:cs="宋体"/>
          <w:sz w:val="24"/>
        </w:rPr>
        <w:t>新校区电子显示屏采购项目【招标编号：XHZFCG-2025-</w:t>
      </w:r>
      <w:r>
        <w:rPr>
          <w:rFonts w:hint="eastAsia" w:ascii="宋体" w:hAnsi="宋体" w:cs="宋体"/>
          <w:sz w:val="24"/>
          <w:lang w:eastAsia="zh-CN"/>
        </w:rPr>
        <w:t>G-71</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hint="eastAsia" w:ascii="宋体" w:hAnsi="宋体" w:cs="宋体"/>
          <w:kern w:val="0"/>
          <w:sz w:val="24"/>
          <w:lang w:val="zh-CN"/>
        </w:rPr>
      </w:pPr>
      <w:bookmarkStart w:id="549" w:name="_Hlk101134295"/>
      <w:r>
        <w:rPr>
          <w:rFonts w:hint="eastAsia" w:ascii="宋体" w:hAnsi="宋体" w:cs="宋体"/>
          <w:kern w:val="0"/>
          <w:sz w:val="24"/>
          <w:lang w:val="zh-CN"/>
        </w:rPr>
        <w:t>（联合体成员1）承担的工作和义务为：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bookmarkEnd w:id="549"/>
    <w:p>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（未预留份额专门面向中小企业采购的采购项目，以及预留份额中的非预留部分采购包，接受联合体投标的，联合协议约定小微企业的合同份额占到合同总金额30%以上的，对联合体报价给予</w:t>
      </w:r>
      <w:r>
        <w:rPr>
          <w:rFonts w:ascii="宋体" w:hAnsi="宋体" w:cs="宋体"/>
          <w:b/>
          <w:kern w:val="0"/>
          <w:sz w:val="24"/>
        </w:rPr>
        <w:t>6</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hint="eastAsia" w:ascii="宋体" w:hAnsi="宋体" w:cs="宋体"/>
          <w:sz w:val="24"/>
        </w:rPr>
      </w:pPr>
      <w:r>
        <w:rPr>
          <w:rFonts w:hint="eastAsia" w:ascii="宋体" w:hAnsi="宋体" w:cs="宋体"/>
          <w:sz w:val="24"/>
        </w:rPr>
        <w:t>注：按本格式和要求提供。</w:t>
      </w:r>
    </w:p>
    <w:p>
      <w:pPr>
        <w:pStyle w:val="2"/>
        <w:rPr>
          <w:rFonts w:hint="eastAsia" w:ascii="宋体" w:hAnsi="宋体" w:cs="宋体"/>
          <w:sz w:val="24"/>
        </w:rPr>
      </w:pPr>
    </w:p>
    <w:p>
      <w:pPr>
        <w:snapToGrid w:val="0"/>
        <w:spacing w:line="360" w:lineRule="auto"/>
        <w:ind w:firstLine="3666" w:firstLineChars="1100"/>
        <w:rPr>
          <w:rFonts w:hint="eastAsia" w:ascii="宋体" w:hAnsi="宋体" w:cs="宋体"/>
          <w:b/>
          <w:spacing w:val="6"/>
          <w:sz w:val="32"/>
          <w:szCs w:val="32"/>
        </w:rPr>
      </w:pPr>
    </w:p>
    <w:p>
      <w:pPr>
        <w:snapToGrid w:val="0"/>
        <w:spacing w:line="360" w:lineRule="auto"/>
        <w:ind w:firstLine="3666" w:firstLineChars="1100"/>
        <w:rPr>
          <w:rFonts w:hint="eastAsia" w:ascii="宋体" w:hAnsi="宋体" w:cs="宋体"/>
          <w:b/>
          <w:spacing w:val="6"/>
          <w:sz w:val="32"/>
          <w:szCs w:val="32"/>
        </w:rPr>
      </w:pPr>
    </w:p>
    <w:p>
      <w:pPr>
        <w:snapToGrid w:val="0"/>
        <w:spacing w:line="360" w:lineRule="auto"/>
        <w:ind w:firstLine="3666" w:firstLineChars="1100"/>
        <w:rPr>
          <w:rFonts w:hint="eastAsia" w:ascii="宋体" w:hAnsi="宋体" w:cs="宋体"/>
          <w:b/>
          <w:spacing w:val="6"/>
          <w:sz w:val="32"/>
          <w:szCs w:val="32"/>
        </w:rPr>
      </w:pPr>
    </w:p>
    <w:p>
      <w:pPr>
        <w:snapToGrid w:val="0"/>
        <w:spacing w:line="360" w:lineRule="auto"/>
        <w:ind w:firstLine="3666" w:firstLineChars="1100"/>
        <w:rPr>
          <w:rFonts w:hint="eastAsia" w:ascii="宋体" w:hAnsi="宋体" w:cs="宋体"/>
          <w:b/>
          <w:spacing w:val="6"/>
          <w:sz w:val="32"/>
          <w:szCs w:val="32"/>
        </w:rPr>
      </w:pPr>
    </w:p>
    <w:p>
      <w:pPr>
        <w:snapToGrid w:val="0"/>
        <w:spacing w:line="360" w:lineRule="auto"/>
        <w:ind w:firstLine="3666" w:firstLineChars="1100"/>
        <w:rPr>
          <w:rFonts w:hint="eastAsia" w:ascii="宋体" w:hAnsi="宋体" w:cs="宋体"/>
          <w:b/>
          <w:spacing w:val="6"/>
          <w:sz w:val="32"/>
          <w:szCs w:val="32"/>
        </w:rPr>
      </w:pPr>
    </w:p>
    <w:p>
      <w:pPr>
        <w:snapToGrid w:val="0"/>
        <w:spacing w:line="360" w:lineRule="auto"/>
        <w:ind w:firstLine="3666" w:firstLineChars="1100"/>
        <w:rPr>
          <w:rFonts w:hint="eastAsia" w:ascii="宋体" w:hAnsi="宋体" w:cs="宋体"/>
          <w:b/>
          <w:spacing w:val="6"/>
          <w:sz w:val="32"/>
          <w:szCs w:val="32"/>
        </w:rPr>
      </w:pPr>
    </w:p>
    <w:p>
      <w:pPr>
        <w:snapToGrid w:val="0"/>
        <w:spacing w:line="360" w:lineRule="auto"/>
        <w:ind w:firstLine="3666" w:firstLineChars="1100"/>
        <w:rPr>
          <w:rFonts w:hint="eastAsia" w:ascii="宋体" w:hAnsi="宋体" w:cs="宋体"/>
          <w:b/>
          <w:spacing w:val="6"/>
          <w:sz w:val="32"/>
          <w:szCs w:val="32"/>
        </w:rPr>
      </w:pPr>
    </w:p>
    <w:p>
      <w:pPr>
        <w:snapToGrid w:val="0"/>
        <w:spacing w:line="360" w:lineRule="auto"/>
        <w:ind w:firstLine="3666" w:firstLineChars="1100"/>
        <w:rPr>
          <w:rFonts w:hint="eastAsia" w:ascii="宋体" w:hAnsi="宋体" w:cs="宋体"/>
          <w:b/>
          <w:spacing w:val="6"/>
          <w:sz w:val="32"/>
          <w:szCs w:val="32"/>
        </w:rPr>
      </w:pPr>
    </w:p>
    <w:p>
      <w:pPr>
        <w:snapToGrid w:val="0"/>
        <w:spacing w:line="360" w:lineRule="auto"/>
        <w:ind w:firstLine="3666" w:firstLineChars="1100"/>
        <w:rPr>
          <w:rFonts w:hint="eastAsia" w:ascii="宋体" w:hAnsi="宋体" w:cs="宋体"/>
          <w:b/>
          <w:spacing w:val="6"/>
          <w:sz w:val="32"/>
          <w:szCs w:val="32"/>
        </w:rPr>
      </w:pPr>
    </w:p>
    <w:p>
      <w:pPr>
        <w:snapToGrid w:val="0"/>
        <w:spacing w:line="360" w:lineRule="auto"/>
        <w:ind w:firstLine="3666" w:firstLineChars="1100"/>
        <w:rPr>
          <w:rFonts w:hint="eastAsia" w:ascii="宋体" w:hAnsi="宋体" w:cs="宋体"/>
          <w:b/>
          <w:spacing w:val="6"/>
          <w:sz w:val="32"/>
          <w:szCs w:val="32"/>
        </w:rPr>
      </w:pPr>
    </w:p>
    <w:p>
      <w:pPr>
        <w:snapToGrid w:val="0"/>
        <w:spacing w:line="360" w:lineRule="auto"/>
        <w:ind w:firstLine="3666" w:firstLineChars="1100"/>
        <w:rPr>
          <w:rFonts w:hint="eastAsia" w:ascii="宋体" w:hAnsi="宋体" w:cs="宋体"/>
          <w:b/>
          <w:spacing w:val="6"/>
          <w:sz w:val="32"/>
          <w:szCs w:val="32"/>
        </w:rPr>
      </w:pPr>
    </w:p>
    <w:p>
      <w:pPr>
        <w:snapToGrid w:val="0"/>
        <w:spacing w:line="360" w:lineRule="auto"/>
        <w:ind w:firstLine="3666" w:firstLineChars="1100"/>
        <w:rPr>
          <w:rFonts w:hint="eastAsia" w:ascii="宋体" w:hAnsi="宋体" w:cs="宋体"/>
          <w:b/>
          <w:spacing w:val="6"/>
          <w:sz w:val="32"/>
          <w:szCs w:val="32"/>
        </w:rPr>
      </w:pPr>
    </w:p>
    <w:p>
      <w:pPr>
        <w:snapToGrid w:val="0"/>
        <w:spacing w:line="360" w:lineRule="auto"/>
        <w:ind w:firstLine="3666" w:firstLineChars="1100"/>
        <w:rPr>
          <w:rFonts w:hint="eastAsia" w:ascii="宋体" w:hAnsi="宋体" w:cs="宋体"/>
          <w:b/>
          <w:spacing w:val="6"/>
          <w:sz w:val="32"/>
          <w:szCs w:val="32"/>
        </w:rPr>
      </w:pPr>
    </w:p>
    <w:p>
      <w:pPr>
        <w:snapToGrid w:val="0"/>
        <w:spacing w:line="360" w:lineRule="auto"/>
        <w:ind w:firstLine="3666" w:firstLineChars="1100"/>
        <w:rPr>
          <w:rFonts w:hint="eastAsia" w:ascii="宋体" w:hAnsi="宋体" w:cs="宋体"/>
          <w:b/>
          <w:spacing w:val="6"/>
          <w:sz w:val="32"/>
          <w:szCs w:val="32"/>
        </w:rPr>
      </w:pPr>
    </w:p>
    <w:p>
      <w:pPr>
        <w:snapToGrid w:val="0"/>
        <w:spacing w:line="360" w:lineRule="auto"/>
        <w:ind w:firstLine="3666" w:firstLineChars="1100"/>
        <w:rPr>
          <w:rFonts w:hint="eastAsia" w:ascii="宋体" w:hAnsi="宋体" w:cs="宋体"/>
          <w:b/>
          <w:spacing w:val="6"/>
          <w:sz w:val="32"/>
          <w:szCs w:val="32"/>
        </w:rPr>
      </w:pPr>
    </w:p>
    <w:p>
      <w:pPr>
        <w:snapToGrid w:val="0"/>
        <w:spacing w:line="360" w:lineRule="auto"/>
        <w:ind w:firstLine="3666" w:firstLineChars="1100"/>
        <w:rPr>
          <w:rFonts w:hint="eastAsia" w:ascii="宋体" w:hAnsi="宋体" w:cs="宋体"/>
          <w:b/>
          <w:spacing w:val="6"/>
          <w:sz w:val="32"/>
          <w:szCs w:val="32"/>
        </w:rPr>
      </w:pPr>
    </w:p>
    <w:p>
      <w:pPr>
        <w:pStyle w:val="23"/>
        <w:rPr>
          <w:rFonts w:hint="eastAsia" w:hAnsi="宋体" w:cs="宋体"/>
          <w:b/>
          <w:spacing w:val="6"/>
          <w:sz w:val="32"/>
          <w:szCs w:val="32"/>
        </w:rPr>
      </w:pPr>
    </w:p>
    <w:p>
      <w:pPr>
        <w:pStyle w:val="61"/>
        <w:ind w:left="0" w:leftChars="0" w:firstLine="0" w:firstLineChars="0"/>
      </w:pPr>
    </w:p>
    <w:p>
      <w:pPr>
        <w:pStyle w:val="61"/>
      </w:pPr>
    </w:p>
    <w:p>
      <w:pPr>
        <w:pStyle w:val="61"/>
      </w:pPr>
    </w:p>
    <w:p>
      <w:pPr>
        <w:snapToGrid w:val="0"/>
        <w:spacing w:line="360" w:lineRule="auto"/>
        <w:ind w:firstLine="3666" w:firstLineChars="1100"/>
        <w:rPr>
          <w:rFonts w:hint="eastAsia"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lang w:eastAsia="zh-CN"/>
        </w:rPr>
        <w:t>杭州市文三教育集团（总校）</w:t>
      </w:r>
      <w:r>
        <w:rPr>
          <w:rFonts w:hint="eastAsia" w:ascii="宋体" w:hAnsi="宋体" w:cs="宋体"/>
          <w:sz w:val="24"/>
        </w:rPr>
        <w:t>新校区电子显示屏采购项目【招标编号：XHZFCG-2025-</w:t>
      </w:r>
      <w:r>
        <w:rPr>
          <w:rFonts w:hint="eastAsia" w:ascii="宋体" w:hAnsi="宋体" w:cs="宋体"/>
          <w:sz w:val="24"/>
          <w:lang w:eastAsia="zh-CN"/>
        </w:rPr>
        <w:t>G-71</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2"/>
        <w:ind w:left="664" w:leftChars="316" w:firstLine="229" w:firstLineChars="95"/>
        <w:rPr>
          <w:rFonts w:hint="eastAsia"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ascii="宋体" w:hAnsi="宋体" w:cs="宋体"/>
          <w:b/>
          <w:kern w:val="0"/>
          <w:sz w:val="24"/>
        </w:rPr>
        <w:t>6</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550"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0"/>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hint="eastAsia" w:ascii="宋体" w:hAnsi="宋体" w:cs="宋体"/>
          <w:u w:val="single"/>
        </w:rPr>
      </w:pPr>
      <w:r>
        <w:rPr>
          <w:rFonts w:hint="eastAsia" w:ascii="宋体" w:hAnsi="宋体" w:cs="宋体"/>
          <w:u w:val="single"/>
        </w:rPr>
        <w:t xml:space="preserve">                                                                                  </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hint="eastAsia" w:ascii="宋体" w:hAnsi="宋体" w:cs="宋体"/>
          <w:kern w:val="0"/>
          <w:sz w:val="24"/>
          <w:lang w:val="zh-CN"/>
        </w:rPr>
      </w:pPr>
      <w:r>
        <w:rPr>
          <w:rFonts w:hint="eastAsia" w:ascii="宋体" w:hAnsi="宋体" w:cs="宋体"/>
          <w:u w:val="single"/>
        </w:rPr>
        <w:t xml:space="preserve">                                                                                     </w:t>
      </w:r>
      <w:r>
        <w:rPr>
          <w:rFonts w:hint="eastAsia" w:ascii="宋体" w:hAnsi="宋体" w:cs="宋体"/>
          <w:kern w:val="0"/>
          <w:sz w:val="24"/>
          <w:lang w:val="zh-CN"/>
        </w:rPr>
        <w:t>六、违约责任</w:t>
      </w:r>
    </w:p>
    <w:p>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hint="eastAsia" w:ascii="宋体" w:hAnsi="宋体" w:cs="宋体"/>
          <w:u w:val="single"/>
        </w:rPr>
      </w:pPr>
      <w:r>
        <w:rPr>
          <w:rFonts w:hint="eastAsia" w:ascii="宋体" w:hAnsi="宋体" w:cs="宋体"/>
          <w:u w:val="single"/>
        </w:rPr>
        <w:t xml:space="preserve">                                                                                </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八、其他</w:t>
      </w:r>
    </w:p>
    <w:p>
      <w:pPr>
        <w:snapToGrid w:val="0"/>
        <w:spacing w:line="360" w:lineRule="auto"/>
        <w:ind w:firstLine="576"/>
        <w:rPr>
          <w:rFonts w:hint="eastAsia" w:ascii="宋体" w:hAnsi="宋体" w:cs="宋体"/>
          <w:u w:val="single"/>
          <w:lang w:val="zh-CN"/>
        </w:rPr>
      </w:pPr>
      <w:r>
        <w:rPr>
          <w:rFonts w:hint="eastAsia" w:ascii="宋体" w:hAnsi="宋体" w:cs="宋体"/>
          <w:u w:val="single"/>
        </w:rPr>
        <w:t xml:space="preserve">                                                                                </w:t>
      </w:r>
    </w:p>
    <w:p>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ind w:firstLine="5640" w:firstLineChars="2350"/>
        <w:rPr>
          <w:rFonts w:hint="eastAsia" w:ascii="宋体" w:hAns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jc w:val="center"/>
        <w:rPr>
          <w:rFonts w:hint="eastAsia" w:ascii="宋体" w:hAnsi="宋体" w:cs="宋体"/>
          <w:b/>
          <w:spacing w:val="6"/>
          <w:sz w:val="32"/>
          <w:szCs w:val="32"/>
        </w:rPr>
      </w:pPr>
    </w:p>
    <w:p>
      <w:pPr>
        <w:spacing w:line="360" w:lineRule="auto"/>
        <w:ind w:right="420"/>
        <w:rPr>
          <w:rFonts w:hint="eastAsia" w:ascii="宋体" w:hAnsi="宋体" w:cs="宋体"/>
          <w:sz w:val="24"/>
        </w:rPr>
      </w:pPr>
      <w:r>
        <w:rPr>
          <w:rFonts w:hint="eastAsia" w:ascii="宋体" w:hAnsi="宋体" w:cs="宋体"/>
          <w:sz w:val="24"/>
        </w:rPr>
        <w:t>注：按本格式和要求提供。</w:t>
      </w:r>
    </w:p>
    <w:p>
      <w:pPr>
        <w:autoSpaceDE w:val="0"/>
        <w:autoSpaceDN w:val="0"/>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pStyle w:val="2"/>
        <w:rPr>
          <w:rFonts w:hint="eastAsia" w:ascii="宋体" w:hAnsi="宋体" w:cs="宋体"/>
          <w:spacing w:val="6"/>
          <w:lang w:val="en-US"/>
        </w:rPr>
      </w:pPr>
    </w:p>
    <w:p>
      <w:pPr>
        <w:rPr>
          <w:rFonts w:hint="eastAsia" w:ascii="宋体" w:hAnsi="宋体" w:cs="宋体"/>
          <w:b/>
          <w:spacing w:val="6"/>
          <w:sz w:val="32"/>
          <w:szCs w:val="32"/>
        </w:rPr>
      </w:pPr>
    </w:p>
    <w:p>
      <w:pPr>
        <w:pStyle w:val="2"/>
        <w:rPr>
          <w:rFonts w:hint="eastAsia" w:ascii="宋体" w:hAnsi="宋体" w:cs="宋体"/>
          <w:spacing w:val="6"/>
          <w:lang w:val="en-US"/>
        </w:rPr>
      </w:pPr>
    </w:p>
    <w:p>
      <w:pPr>
        <w:rPr>
          <w:rFonts w:hint="eastAsia" w:ascii="宋体" w:hAnsi="宋体" w:cs="宋体"/>
          <w:b/>
          <w:spacing w:val="6"/>
          <w:sz w:val="32"/>
          <w:szCs w:val="32"/>
        </w:rPr>
      </w:pPr>
    </w:p>
    <w:p>
      <w:pPr>
        <w:pStyle w:val="2"/>
        <w:rPr>
          <w:rFonts w:hint="eastAsia" w:ascii="宋体" w:hAnsi="宋体" w:cs="宋体"/>
          <w:spacing w:val="6"/>
          <w:lang w:val="en-US"/>
        </w:rPr>
      </w:pPr>
    </w:p>
    <w:p>
      <w:pPr>
        <w:rPr>
          <w:rFonts w:hint="eastAsia" w:ascii="宋体" w:hAnsi="宋体" w:cs="宋体"/>
          <w:b/>
          <w:spacing w:val="6"/>
          <w:sz w:val="32"/>
          <w:szCs w:val="32"/>
        </w:rPr>
      </w:pPr>
    </w:p>
    <w:p>
      <w:pPr>
        <w:pStyle w:val="2"/>
        <w:rPr>
          <w:rFonts w:hint="eastAsia"/>
          <w:lang w:val="en-US"/>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pStyle w:val="2"/>
        <w:rPr>
          <w:rFonts w:hint="eastAsia" w:ascii="宋体" w:hAnsi="宋体" w:cs="宋体"/>
          <w:b/>
          <w:spacing w:val="6"/>
          <w:sz w:val="32"/>
          <w:szCs w:val="32"/>
        </w:rPr>
      </w:pPr>
    </w:p>
    <w:p>
      <w:pPr>
        <w:rPr>
          <w:rFonts w:hint="eastAsia" w:ascii="宋体" w:hAnsi="宋体" w:cs="宋体"/>
          <w:b/>
          <w:spacing w:val="6"/>
          <w:sz w:val="32"/>
          <w:szCs w:val="32"/>
        </w:rPr>
      </w:pPr>
    </w:p>
    <w:p>
      <w:pPr>
        <w:autoSpaceDE w:val="0"/>
        <w:autoSpaceDN w:val="0"/>
        <w:jc w:val="both"/>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left"/>
        <w:rPr>
          <w:rFonts w:hint="eastAsia"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pPr>
        <w:spacing w:line="360" w:lineRule="auto"/>
        <w:jc w:val="center"/>
        <w:rPr>
          <w:rFonts w:hint="eastAsia" w:ascii="宋体" w:hAnsi="宋体" w:cs="宋体"/>
          <w:sz w:val="24"/>
          <w:u w:val="single"/>
        </w:rPr>
      </w:pPr>
    </w:p>
    <w:p>
      <w:pPr>
        <w:spacing w:line="360" w:lineRule="auto"/>
        <w:jc w:val="center"/>
        <w:rPr>
          <w:rFonts w:hint="eastAsia"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杭州市文三教育集团（总校）</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sz w:val="24"/>
          <w:u w:val="single"/>
          <w:lang w:eastAsia="zh-CN"/>
        </w:rPr>
        <w:t>杭州市文三教育集团（总校）</w:t>
      </w:r>
      <w:r>
        <w:rPr>
          <w:rFonts w:hint="eastAsia" w:ascii="宋体" w:hAnsi="宋体" w:cs="宋体"/>
          <w:sz w:val="24"/>
          <w:u w:val="single"/>
        </w:rPr>
        <w:t>新校区电子显示屏采购项目</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室外</w:t>
      </w:r>
      <w:r>
        <w:rPr>
          <w:rFonts w:hint="eastAsia" w:ascii="宋体" w:hAnsi="宋体" w:cs="宋体"/>
          <w:sz w:val="24"/>
          <w:u w:val="single"/>
        </w:rPr>
        <w:t>P3</w:t>
      </w:r>
      <w:r>
        <w:rPr>
          <w:rFonts w:hint="eastAsia"/>
          <w:sz w:val="24"/>
          <w:u w:val="single"/>
        </w:rPr>
        <w:t xml:space="preserve">全彩色显示屏 </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w:t>
      </w:r>
      <w:r>
        <w:rPr>
          <w:rFonts w:hint="eastAsia" w:ascii="宋体" w:hAnsi="宋体" w:cs="宋体"/>
          <w:sz w:val="24"/>
        </w:rPr>
        <w:t>①</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② （中型企业、小型企业、微型企业） ；</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室内</w:t>
      </w:r>
      <w:r>
        <w:rPr>
          <w:rFonts w:hint="eastAsia" w:ascii="宋体" w:hAnsi="宋体" w:cs="宋体"/>
          <w:sz w:val="24"/>
          <w:u w:val="single"/>
        </w:rPr>
        <w:t xml:space="preserve">P1.53全彩色显示屏 </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w:t>
      </w:r>
      <w:r>
        <w:rPr>
          <w:rFonts w:hint="eastAsia" w:ascii="宋体" w:hAnsi="宋体" w:cs="宋体"/>
          <w:sz w:val="24"/>
        </w:rPr>
        <w:t>①</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② （中型企业、小型企业、微型企业） ；</w:t>
      </w:r>
    </w:p>
    <w:p>
      <w:pPr>
        <w:spacing w:line="360" w:lineRule="auto"/>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室内</w:t>
      </w:r>
      <w:r>
        <w:rPr>
          <w:rFonts w:hint="eastAsia" w:ascii="宋体" w:hAnsi="宋体" w:cs="宋体"/>
          <w:sz w:val="24"/>
          <w:u w:val="single"/>
        </w:rPr>
        <w:t xml:space="preserve">P2全彩色显示屏 </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w:t>
      </w:r>
      <w:r>
        <w:rPr>
          <w:rFonts w:hint="eastAsia" w:ascii="宋体" w:hAnsi="宋体" w:cs="宋体"/>
          <w:sz w:val="24"/>
        </w:rPr>
        <w:t>①</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② （中型企业、小型企业、微型企业） ；</w:t>
      </w:r>
    </w:p>
    <w:p>
      <w:pPr>
        <w:spacing w:line="360" w:lineRule="auto"/>
        <w:ind w:firstLine="480" w:firstLineChars="200"/>
        <w:rPr>
          <w:rFonts w:hint="eastAsia" w:ascii="宋体" w:hAnsi="宋体" w:cs="宋体"/>
          <w:sz w:val="24"/>
          <w:u w:val="single"/>
        </w:rPr>
      </w:pPr>
      <w:r>
        <w:rPr>
          <w:rFonts w:hint="eastAsia" w:ascii="宋体" w:hAnsi="宋体" w:cs="宋体"/>
          <w:sz w:val="24"/>
        </w:rPr>
        <w:t>4.</w:t>
      </w:r>
      <w:r>
        <w:rPr>
          <w:rFonts w:hint="eastAsia" w:ascii="宋体" w:hAnsi="宋体" w:cs="宋体"/>
          <w:sz w:val="24"/>
          <w:u w:val="single"/>
        </w:rPr>
        <w:t xml:space="preserve">  控制系统 </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w:t>
      </w:r>
      <w:r>
        <w:rPr>
          <w:rFonts w:hint="eastAsia" w:ascii="宋体" w:hAnsi="宋体" w:cs="宋体"/>
          <w:sz w:val="24"/>
        </w:rPr>
        <w:t>①</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② （中型企业、小型企业、微型企业） ；</w:t>
      </w:r>
    </w:p>
    <w:p>
      <w:pPr>
        <w:spacing w:line="360" w:lineRule="auto"/>
        <w:ind w:firstLine="480" w:firstLineChars="200"/>
      </w:pPr>
      <w:r>
        <w:rPr>
          <w:rFonts w:hint="eastAsia" w:ascii="宋体" w:hAnsi="宋体" w:cs="宋体"/>
          <w:sz w:val="24"/>
        </w:rPr>
        <w:t>5.</w:t>
      </w:r>
      <w:r>
        <w:rPr>
          <w:rFonts w:hint="eastAsia" w:ascii="宋体" w:hAnsi="宋体" w:cs="宋体"/>
          <w:sz w:val="24"/>
          <w:u w:val="single"/>
        </w:rPr>
        <w:t xml:space="preserve">  </w:t>
      </w:r>
      <w:r>
        <w:rPr>
          <w:rFonts w:hint="eastAsia" w:ascii="宋体" w:hAnsi="宋体" w:cs="宋体"/>
          <w:snapToGrid w:val="0"/>
          <w:color w:val="000000"/>
          <w:kern w:val="28"/>
          <w:sz w:val="24"/>
          <w:u w:val="single"/>
        </w:rPr>
        <w:t>终端控制器</w:t>
      </w:r>
      <w:r>
        <w:rPr>
          <w:rFonts w:hint="eastAsia" w:ascii="宋体" w:hAnsi="宋体" w:cs="宋体"/>
          <w:sz w:val="24"/>
          <w:u w:val="single"/>
        </w:rPr>
        <w:t xml:space="preserve"> </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w:t>
      </w:r>
      <w:r>
        <w:rPr>
          <w:rFonts w:hint="eastAsia" w:ascii="宋体" w:hAnsi="宋体" w:cs="宋体"/>
          <w:sz w:val="24"/>
        </w:rPr>
        <w:t>①</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② （中型企业、小型企业、微型企业） ；</w:t>
      </w:r>
    </w:p>
    <w:p>
      <w:pPr>
        <w:spacing w:line="360" w:lineRule="auto"/>
        <w:ind w:firstLine="480" w:firstLineChars="200"/>
        <w:rPr>
          <w:rFonts w:hint="eastAsia" w:ascii="宋体" w:hAnsi="宋体" w:cs="宋体"/>
          <w:sz w:val="24"/>
          <w:u w:val="single"/>
        </w:rPr>
      </w:pPr>
      <w:r>
        <w:rPr>
          <w:rFonts w:hint="eastAsia" w:ascii="宋体" w:hAnsi="宋体" w:cs="宋体"/>
          <w:sz w:val="24"/>
        </w:rPr>
        <w:t>6.</w:t>
      </w:r>
      <w:r>
        <w:rPr>
          <w:rFonts w:hint="eastAsia" w:ascii="宋体" w:hAnsi="宋体" w:cs="宋体"/>
          <w:sz w:val="24"/>
          <w:u w:val="single"/>
        </w:rPr>
        <w:t xml:space="preserve">  </w:t>
      </w:r>
      <w:r>
        <w:rPr>
          <w:rFonts w:hint="eastAsia" w:ascii="宋体" w:hAnsi="宋体" w:cs="宋体"/>
          <w:snapToGrid w:val="0"/>
          <w:color w:val="000000"/>
          <w:kern w:val="28"/>
          <w:sz w:val="24"/>
          <w:u w:val="single"/>
        </w:rPr>
        <w:t>视频拼接器</w:t>
      </w:r>
      <w:r>
        <w:rPr>
          <w:rFonts w:hint="eastAsia" w:ascii="宋体" w:hAnsi="宋体" w:cs="宋体"/>
          <w:sz w:val="24"/>
          <w:u w:val="single"/>
        </w:rPr>
        <w:t xml:space="preserve">  </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w:t>
      </w:r>
      <w:r>
        <w:rPr>
          <w:rFonts w:hint="eastAsia" w:ascii="宋体" w:hAnsi="宋体" w:cs="宋体"/>
          <w:sz w:val="24"/>
        </w:rPr>
        <w:t>①</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② （中型企业、小型企业、微型企业） ；</w:t>
      </w:r>
    </w:p>
    <w:p>
      <w:pPr>
        <w:spacing w:line="360" w:lineRule="auto"/>
        <w:ind w:firstLine="480" w:firstLineChars="200"/>
        <w:rPr>
          <w:rFonts w:hint="eastAsia" w:ascii="宋体" w:hAnsi="宋体" w:cs="宋体"/>
          <w:sz w:val="24"/>
          <w:u w:val="single"/>
        </w:rPr>
      </w:pPr>
      <w:r>
        <w:rPr>
          <w:rFonts w:hint="eastAsia" w:ascii="宋体" w:hAnsi="宋体" w:cs="宋体"/>
          <w:sz w:val="24"/>
        </w:rPr>
        <w:t>7.</w:t>
      </w:r>
      <w:r>
        <w:rPr>
          <w:rFonts w:hint="eastAsia" w:ascii="宋体" w:hAnsi="宋体" w:cs="宋体"/>
          <w:sz w:val="24"/>
          <w:u w:val="single"/>
        </w:rPr>
        <w:t xml:space="preserve"> </w:t>
      </w:r>
      <w:r>
        <w:rPr>
          <w:rFonts w:hint="eastAsia" w:ascii="宋体" w:hAnsi="宋体" w:cs="宋体"/>
          <w:kern w:val="0"/>
          <w:sz w:val="24"/>
          <w:u w:val="single"/>
        </w:rPr>
        <w:t>散热系统</w:t>
      </w:r>
      <w:r>
        <w:rPr>
          <w:rFonts w:hint="eastAsia" w:ascii="宋体" w:hAnsi="宋体" w:cs="宋体"/>
          <w:sz w:val="24"/>
          <w:u w:val="single"/>
        </w:rPr>
        <w:t xml:space="preserve"> </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w:t>
      </w:r>
      <w:r>
        <w:rPr>
          <w:rFonts w:hint="eastAsia" w:ascii="宋体" w:hAnsi="宋体" w:cs="宋体"/>
          <w:sz w:val="24"/>
        </w:rPr>
        <w:t>①</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② （中型企业、小型企业、微型企业） 。</w:t>
      </w:r>
    </w:p>
    <w:p>
      <w:pPr>
        <w:pStyle w:val="79"/>
        <w:ind w:firstLine="480"/>
      </w:pPr>
    </w:p>
    <w:p>
      <w:pPr>
        <w:spacing w:line="360" w:lineRule="auto"/>
        <w:ind w:firstLine="480" w:firstLineChars="200"/>
        <w:rPr>
          <w:rFonts w:hint="eastAsia" w:ascii="宋体" w:hAnsi="宋体" w:cs="宋体"/>
          <w:sz w:val="24"/>
        </w:rPr>
      </w:pP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hint="eastAsia"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hint="eastAsia" w:ascii="宋体" w:hAnsi="宋体" w:cs="宋体"/>
          <w:b/>
          <w:bCs/>
          <w:szCs w:val="21"/>
        </w:rPr>
      </w:pPr>
      <w:r>
        <w:rPr>
          <w:rFonts w:hint="eastAsia" w:ascii="宋体" w:hAnsi="宋体" w:cs="宋体"/>
          <w:b/>
          <w:bCs/>
          <w:szCs w:val="21"/>
        </w:rPr>
        <w:t>从业人员、营业收入、资产总额填报上一年度数据，无上一年度数据的新成立企业可不填报。</w:t>
      </w:r>
    </w:p>
    <w:p>
      <w:pPr>
        <w:spacing w:line="360" w:lineRule="auto"/>
        <w:ind w:right="420"/>
        <w:rPr>
          <w:rFonts w:hint="eastAsia" w:ascii="宋体" w:hAnsi="宋体" w:cs="宋体"/>
          <w:sz w:val="24"/>
        </w:rPr>
      </w:pPr>
      <w:r>
        <w:rPr>
          <w:rFonts w:hint="eastAsia" w:ascii="宋体" w:hAnsi="宋体" w:cs="宋体"/>
          <w:sz w:val="24"/>
        </w:rPr>
        <w:t>注：</w:t>
      </w:r>
    </w:p>
    <w:p>
      <w:pPr>
        <w:spacing w:line="360" w:lineRule="auto"/>
        <w:ind w:right="420" w:firstLine="480" w:firstLineChars="200"/>
        <w:rPr>
          <w:rFonts w:hint="eastAsia" w:ascii="宋体" w:hAnsi="宋体" w:cs="宋体"/>
          <w:sz w:val="24"/>
        </w:rPr>
      </w:pPr>
      <w:r>
        <w:rPr>
          <w:rFonts w:hint="eastAsia" w:ascii="宋体" w:hAnsi="宋体" w:cs="宋体"/>
          <w:sz w:val="24"/>
        </w:rPr>
        <w:t>1、应按本格式和要求填写。其中，标的名称和所属行业依据招标文件第二部分投标人须知前附表中“采购标的及其对应的中小企业划分标准所属行业”规定的要求填写，不得缺漏（声明函格式内容中已填写的，无需改动）；标记“①”处填写企业名称；从业人员、营业收入、资产总额填报上一年度数据，无上一年度数据的新成立企业可不填报；结合所填数据，依据《中小企业划型标准规定》（工信部联企业〔2011〕300号）规定，确定中型企业、小型企业、微型企业三种企业类型中的其中一种在标记“②”处填写。</w:t>
      </w:r>
    </w:p>
    <w:p>
      <w:pPr>
        <w:spacing w:line="360" w:lineRule="auto"/>
        <w:ind w:firstLine="480" w:firstLineChars="2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pStyle w:val="2"/>
        <w:rPr>
          <w:rFonts w:hint="eastAsia" w:ascii="宋体" w:hAnsi="宋体" w:cs="宋体"/>
          <w:sz w:val="24"/>
        </w:rPr>
      </w:pPr>
    </w:p>
    <w:p>
      <w:pPr>
        <w:rPr>
          <w:rFonts w:hint="eastAsia" w:ascii="宋体" w:hAnsi="宋体" w:cs="宋体"/>
          <w:sz w:val="24"/>
        </w:rPr>
      </w:pPr>
    </w:p>
    <w:p>
      <w:pPr>
        <w:pStyle w:val="2"/>
        <w:rPr>
          <w:rFonts w:hint="eastAsia" w:ascii="宋体" w:hAnsi="宋体" w:cs="宋体"/>
          <w:sz w:val="24"/>
        </w:rPr>
      </w:pPr>
    </w:p>
    <w:p>
      <w:pPr>
        <w:rPr>
          <w:rFonts w:hint="eastAsia" w:ascii="宋体" w:hAnsi="宋体" w:cs="宋体"/>
          <w:sz w:val="24"/>
        </w:rPr>
      </w:pPr>
    </w:p>
    <w:p>
      <w:pPr>
        <w:pStyle w:val="2"/>
        <w:rPr>
          <w:rFonts w:hint="eastAsia" w:ascii="宋体" w:hAnsi="宋体" w:cs="宋体"/>
          <w:sz w:val="24"/>
        </w:rPr>
      </w:pPr>
    </w:p>
    <w:p>
      <w:pPr>
        <w:rPr>
          <w:rFonts w:hint="eastAsia" w:ascii="宋体" w:hAnsi="宋体" w:cs="宋体"/>
          <w:sz w:val="24"/>
        </w:rPr>
      </w:pPr>
    </w:p>
    <w:p>
      <w:pPr>
        <w:pStyle w:val="2"/>
        <w:rPr>
          <w:rFonts w:hint="eastAsia" w:ascii="宋体" w:hAnsi="宋体" w:cs="宋体"/>
          <w:sz w:val="24"/>
        </w:rPr>
      </w:pPr>
    </w:p>
    <w:p>
      <w:pPr>
        <w:rPr>
          <w:rFonts w:hint="eastAsia" w:ascii="宋体" w:hAnsi="宋体" w:cs="宋体"/>
          <w:sz w:val="24"/>
        </w:rPr>
      </w:pPr>
    </w:p>
    <w:p>
      <w:pPr>
        <w:pStyle w:val="2"/>
        <w:rPr>
          <w:rFonts w:hint="eastAsia" w:ascii="宋体" w:hAnsi="宋体" w:cs="宋体"/>
          <w:sz w:val="24"/>
        </w:rPr>
      </w:pPr>
    </w:p>
    <w:p>
      <w:pPr>
        <w:rPr>
          <w:rFonts w:hint="eastAsia" w:ascii="宋体" w:hAnsi="宋体" w:cs="宋体"/>
          <w:sz w:val="24"/>
        </w:rPr>
      </w:pPr>
    </w:p>
    <w:p>
      <w:pPr>
        <w:spacing w:line="360" w:lineRule="auto"/>
        <w:rPr>
          <w:rFonts w:hint="eastAsia" w:ascii="宋体" w:hAnsi="宋体" w:cs="宋体"/>
          <w:sz w:val="24"/>
        </w:rPr>
      </w:pPr>
    </w:p>
    <w:p>
      <w:pPr>
        <w:pStyle w:val="2"/>
        <w:rPr>
          <w:rFonts w:hint="eastAsia" w:ascii="宋体" w:hAnsi="宋体" w:eastAsia="宋体" w:cs="宋体"/>
          <w:bCs w:val="0"/>
          <w:sz w:val="36"/>
          <w:szCs w:val="20"/>
          <w:lang w:val="en-US"/>
        </w:rPr>
      </w:pPr>
      <w:r>
        <w:rPr>
          <w:rFonts w:hint="eastAsia" w:ascii="宋体" w:hAnsi="宋体" w:eastAsia="宋体" w:cs="宋体"/>
          <w:bCs w:val="0"/>
          <w:sz w:val="36"/>
          <w:szCs w:val="20"/>
          <w:lang w:val="en-US"/>
        </w:rPr>
        <w:t>附件8：中小企业划型标准</w:t>
      </w:r>
    </w:p>
    <w:p>
      <w:pPr>
        <w:spacing w:line="360" w:lineRule="auto"/>
        <w:rPr>
          <w:rFonts w:hint="eastAsia" w:ascii="宋体" w:hAnsi="宋体" w:eastAsia="宋体" w:cs="宋体"/>
          <w:kern w:val="0"/>
          <w:sz w:val="24"/>
          <w:lang w:eastAsia="zh-CN"/>
        </w:rPr>
      </w:pPr>
      <w:r>
        <w:rPr>
          <w:rFonts w:hint="eastAsia" w:ascii="宋体" w:hAnsi="宋体" w:cs="宋体"/>
          <w:kern w:val="0"/>
          <w:sz w:val="24"/>
        </w:rPr>
        <w:t>各行业划型标准为：</w:t>
      </w:r>
    </w:p>
    <w:p>
      <w:pPr>
        <w:spacing w:line="360" w:lineRule="auto"/>
        <w:rPr>
          <w:rFonts w:hint="eastAsia" w:ascii="宋体" w:hAnsi="宋体" w:eastAsia="宋体" w:cs="宋体"/>
          <w:kern w:val="0"/>
          <w:sz w:val="24"/>
          <w:lang w:eastAsia="zh-CN"/>
        </w:rPr>
      </w:pPr>
      <w:r>
        <w:rPr>
          <w:rFonts w:hint="eastAsia" w:ascii="宋体" w:hAnsi="宋体" w:cs="宋体"/>
          <w:kern w:val="0"/>
          <w:sz w:val="24"/>
        </w:rPr>
        <w:t>　　（一）农、林、牧、渔业。营业收入20000万元以下的为中小微型企业。其中，营业收入500万元及以上的为中型企业，营业收入50万元及以上的为小型企业，营业收入50万元以下的为微型企业。</w:t>
      </w:r>
    </w:p>
    <w:p>
      <w:pPr>
        <w:spacing w:line="360" w:lineRule="auto"/>
        <w:rPr>
          <w:rFonts w:hint="eastAsia" w:ascii="宋体" w:hAnsi="宋体" w:eastAsia="宋体" w:cs="宋体"/>
          <w:kern w:val="0"/>
          <w:sz w:val="24"/>
          <w:lang w:eastAsia="zh-CN"/>
        </w:rPr>
      </w:pPr>
      <w:r>
        <w:rPr>
          <w:rFonts w:hint="eastAsia" w:ascii="宋体" w:hAnsi="宋体" w:cs="宋体"/>
          <w:kern w:val="0"/>
          <w:sz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60" w:lineRule="auto"/>
        <w:rPr>
          <w:rFonts w:hint="eastAsia" w:ascii="宋体" w:hAnsi="宋体" w:eastAsia="宋体" w:cs="宋体"/>
          <w:kern w:val="0"/>
          <w:sz w:val="24"/>
          <w:lang w:eastAsia="zh-CN"/>
        </w:rPr>
      </w:pPr>
      <w:r>
        <w:rPr>
          <w:rFonts w:hint="eastAsia" w:ascii="宋体" w:hAnsi="宋体" w:cs="宋体"/>
          <w:kern w:val="0"/>
          <w:sz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360" w:lineRule="auto"/>
        <w:rPr>
          <w:rFonts w:hint="eastAsia" w:ascii="宋体" w:hAnsi="宋体" w:eastAsia="宋体" w:cs="宋体"/>
          <w:kern w:val="0"/>
          <w:sz w:val="24"/>
          <w:lang w:eastAsia="zh-CN"/>
        </w:rPr>
      </w:pPr>
      <w:r>
        <w:rPr>
          <w:rFonts w:hint="eastAsia" w:ascii="宋体" w:hAnsi="宋体" w:cs="宋体"/>
          <w:kern w:val="0"/>
          <w:sz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360" w:lineRule="auto"/>
        <w:rPr>
          <w:rFonts w:hint="eastAsia" w:ascii="宋体" w:hAnsi="宋体" w:eastAsia="宋体" w:cs="宋体"/>
          <w:kern w:val="0"/>
          <w:sz w:val="24"/>
          <w:lang w:eastAsia="zh-CN"/>
        </w:rPr>
      </w:pPr>
      <w:r>
        <w:rPr>
          <w:rFonts w:hint="eastAsia" w:ascii="宋体" w:hAnsi="宋体" w:cs="宋体"/>
          <w:kern w:val="0"/>
          <w:sz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360" w:lineRule="auto"/>
        <w:rPr>
          <w:rFonts w:hint="eastAsia" w:ascii="宋体" w:hAnsi="宋体" w:eastAsia="宋体" w:cs="宋体"/>
          <w:kern w:val="0"/>
          <w:sz w:val="24"/>
          <w:lang w:eastAsia="zh-CN"/>
        </w:rPr>
      </w:pPr>
      <w:r>
        <w:rPr>
          <w:rFonts w:hint="eastAsia" w:ascii="宋体" w:hAnsi="宋体" w:cs="宋体"/>
          <w:kern w:val="0"/>
          <w:sz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360" w:lineRule="auto"/>
        <w:rPr>
          <w:rFonts w:hint="eastAsia" w:ascii="宋体" w:hAnsi="宋体" w:eastAsia="宋体" w:cs="宋体"/>
          <w:kern w:val="0"/>
          <w:sz w:val="24"/>
          <w:lang w:eastAsia="zh-CN"/>
        </w:rPr>
      </w:pPr>
      <w:r>
        <w:rPr>
          <w:rFonts w:hint="eastAsia" w:ascii="宋体" w:hAnsi="宋体" w:cs="宋体"/>
          <w:kern w:val="0"/>
          <w:sz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rPr>
          <w:rFonts w:hint="eastAsia" w:ascii="宋体" w:hAnsi="宋体" w:eastAsia="宋体" w:cs="宋体"/>
          <w:kern w:val="0"/>
          <w:sz w:val="24"/>
          <w:lang w:eastAsia="zh-CN"/>
        </w:rPr>
      </w:pPr>
      <w:r>
        <w:rPr>
          <w:rFonts w:hint="eastAsia" w:ascii="宋体" w:hAnsi="宋体" w:cs="宋体"/>
          <w:kern w:val="0"/>
          <w:sz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360" w:lineRule="auto"/>
        <w:rPr>
          <w:rFonts w:hint="eastAsia" w:ascii="宋体" w:hAnsi="宋体" w:eastAsia="宋体" w:cs="宋体"/>
          <w:kern w:val="0"/>
          <w:sz w:val="24"/>
          <w:lang w:eastAsia="zh-CN"/>
        </w:rPr>
      </w:pPr>
      <w:r>
        <w:rPr>
          <w:rFonts w:hint="eastAsia" w:ascii="宋体" w:hAnsi="宋体" w:cs="宋体"/>
          <w:kern w:val="0"/>
          <w:sz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rPr>
          <w:rFonts w:hint="eastAsia" w:ascii="宋体" w:hAnsi="宋体" w:eastAsia="宋体" w:cs="宋体"/>
          <w:kern w:val="0"/>
          <w:sz w:val="24"/>
          <w:lang w:eastAsia="zh-CN"/>
        </w:rPr>
      </w:pPr>
      <w:r>
        <w:rPr>
          <w:rFonts w:hint="eastAsia" w:ascii="宋体" w:hAnsi="宋体" w:cs="宋体"/>
          <w:kern w:val="0"/>
          <w:sz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rPr>
          <w:rFonts w:hint="eastAsia" w:ascii="宋体" w:hAnsi="宋体" w:eastAsia="宋体" w:cs="宋体"/>
          <w:kern w:val="0"/>
          <w:sz w:val="24"/>
          <w:lang w:eastAsia="zh-CN"/>
        </w:rPr>
      </w:pPr>
      <w:r>
        <w:rPr>
          <w:rFonts w:hint="eastAsia" w:ascii="宋体" w:hAnsi="宋体" w:cs="宋体"/>
          <w:kern w:val="0"/>
          <w:sz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360" w:lineRule="auto"/>
        <w:rPr>
          <w:rFonts w:hint="eastAsia" w:ascii="宋体" w:hAnsi="宋体" w:eastAsia="宋体" w:cs="宋体"/>
          <w:kern w:val="0"/>
          <w:sz w:val="24"/>
          <w:lang w:eastAsia="zh-CN"/>
        </w:rPr>
      </w:pPr>
      <w:r>
        <w:rPr>
          <w:rFonts w:hint="eastAsia" w:ascii="宋体" w:hAnsi="宋体" w:cs="宋体"/>
          <w:kern w:val="0"/>
          <w:sz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60" w:lineRule="auto"/>
        <w:rPr>
          <w:rFonts w:hint="eastAsia" w:ascii="宋体" w:hAnsi="宋体" w:eastAsia="宋体" w:cs="宋体"/>
          <w:kern w:val="0"/>
          <w:sz w:val="24"/>
          <w:lang w:eastAsia="zh-CN"/>
        </w:rPr>
      </w:pPr>
      <w:r>
        <w:rPr>
          <w:rFonts w:hint="eastAsia" w:ascii="宋体" w:hAnsi="宋体" w:cs="宋体"/>
          <w:kern w:val="0"/>
          <w:sz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360" w:lineRule="auto"/>
        <w:rPr>
          <w:rFonts w:hint="eastAsia" w:ascii="宋体" w:hAnsi="宋体" w:eastAsia="宋体" w:cs="宋体"/>
          <w:kern w:val="0"/>
          <w:sz w:val="24"/>
          <w:lang w:eastAsia="zh-CN"/>
        </w:rPr>
      </w:pPr>
      <w:r>
        <w:rPr>
          <w:rFonts w:hint="eastAsia" w:ascii="宋体" w:hAnsi="宋体" w:cs="宋体"/>
          <w:kern w:val="0"/>
          <w:sz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rPr>
          <w:rFonts w:hint="eastAsia" w:ascii="宋体" w:hAnsi="宋体" w:eastAsia="宋体" w:cs="宋体"/>
          <w:kern w:val="0"/>
          <w:sz w:val="24"/>
          <w:lang w:eastAsia="zh-CN"/>
        </w:rPr>
      </w:pPr>
      <w:r>
        <w:rPr>
          <w:rFonts w:hint="eastAsia" w:ascii="宋体" w:hAnsi="宋体" w:cs="宋体"/>
          <w:kern w:val="0"/>
          <w:sz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pPr>
      <w:r>
        <w:rPr>
          <w:rFonts w:hint="eastAsia" w:ascii="宋体" w:hAnsi="宋体" w:cs="宋体"/>
          <w:kern w:val="0"/>
          <w:sz w:val="24"/>
        </w:rPr>
        <w:t>　　（十六）其他未列明行业。从业人员300人以下的为中小微型企业。其中，从业人员100人及以上的为中型企业；从业人员10人及以上的为小型企业；从业人员10人以下的为微型企业。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hint="eastAsia" w:ascii="宋体" w:hAnsi="宋体" w:cs="宋体"/>
          <w:sz w:val="24"/>
        </w:rPr>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551" w:name="_Toc131845147"/>
    <w:bookmarkStart w:id="552" w:name="_Toc164085800"/>
    <w:bookmarkStart w:id="553" w:name="_Toc36110187"/>
    <w:bookmarkStart w:id="554" w:name="_Toc91899912"/>
    <w:r>
      <w:rPr>
        <w:rFonts w:hint="eastAsia" w:ascii="仿宋_GB2312" w:eastAsia="仿宋_GB2312"/>
        <w:kern w:val="0"/>
        <w:szCs w:val="21"/>
      </w:rPr>
      <w:t xml:space="preserve"> 页</w:t>
    </w:r>
    <w:bookmarkEnd w:id="551"/>
    <w:bookmarkEnd w:id="552"/>
    <w:bookmarkEnd w:id="553"/>
    <w:bookmarkEnd w:id="55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4"/>
      </w:pBdr>
      <w:jc w:val="right"/>
      <w:rPr>
        <w:rFonts w:ascii="仿宋_GB2312" w:eastAsia="仿宋_GB2312"/>
        <w:i/>
        <w:u w:val="single"/>
      </w:rPr>
    </w:pPr>
    <w:r>
      <w:t></w:t>
    </w:r>
    <w:r>
      <w:rPr>
        <w:rFonts w:hint="eastAsia"/>
      </w:rPr>
      <w:t xml:space="preserve">             </w:t>
    </w:r>
    <w:r>
      <w:rPr>
        <w:rFonts w:hint="eastAsia" w:ascii="宋体" w:hAnsi="宋体" w:cs="宋体"/>
        <w:sz w:val="21"/>
        <w:szCs w:val="21"/>
      </w:rPr>
      <w:t>西湖区政府采购公开招标文件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西湖区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b/>
        <w:i/>
        <w:u w:val="single"/>
      </w:rPr>
    </w:pPr>
    <w:r>
      <w:t></w:t>
    </w:r>
    <w:r>
      <w:rPr>
        <w:rFonts w:hint="eastAsia"/>
      </w:rPr>
      <w:t xml:space="preserve">                                               西湖区政府采购公开招标文件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pPr>
    <w:r>
      <w:rPr>
        <w:rFonts w:hint="eastAsia"/>
      </w:rPr>
      <w:t xml:space="preserve">       </w:t>
    </w:r>
  </w:p>
  <w:p>
    <w:pPr>
      <w:pStyle w:val="41"/>
    </w:pPr>
    <w:r>
      <w:rPr>
        <w:rFonts w:hint="eastAsia"/>
      </w:rPr>
      <w:t xml:space="preserve">                                                                  西湖区政府采购公开招标文件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b/>
        <w:i/>
        <w:u w:val="single"/>
      </w:rPr>
    </w:pPr>
    <w:r>
      <w:t></w:t>
    </w:r>
    <w:r>
      <w:rPr>
        <w:rFonts w:hint="eastAsia"/>
      </w:rPr>
      <w:t xml:space="preserve">                                               西湖区政府采购公开招标文件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b/>
        <w:i/>
        <w:u w:val="single"/>
      </w:rPr>
    </w:pPr>
    <w:r>
      <w:rPr>
        <w:rFonts w:hint="eastAsia"/>
      </w:rPr>
      <w:t xml:space="preserve">                                  西湖区政府采购公开招标文件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西湖区政府采购公开招标文件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b/>
        <w:i/>
        <w:iCs/>
        <w:u w:val="single"/>
      </w:rPr>
    </w:pPr>
    <w:r>
      <w:t></w:t>
    </w:r>
    <w:r>
      <w:rPr>
        <w:rFonts w:hint="eastAsia"/>
      </w:rPr>
      <w:t>西湖区政府采购公开招标文件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西湖区政府采购公开招标文件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32A87D"/>
    <w:multiLevelType w:val="singleLevel"/>
    <w:tmpl w:val="9832A87D"/>
    <w:lvl w:ilvl="0" w:tentative="0">
      <w:start w:val="2"/>
      <w:numFmt w:val="chineseCounting"/>
      <w:suff w:val="space"/>
      <w:lvlText w:val="第%1部分"/>
      <w:lvlJc w:val="left"/>
      <w:rPr>
        <w:rFonts w:hint="eastAsia"/>
      </w:rPr>
    </w:lvl>
  </w:abstractNum>
  <w:abstractNum w:abstractNumId="1">
    <w:nsid w:val="B1B28156"/>
    <w:multiLevelType w:val="singleLevel"/>
    <w:tmpl w:val="B1B28156"/>
    <w:lvl w:ilvl="0" w:tentative="0">
      <w:start w:val="24"/>
      <w:numFmt w:val="decimal"/>
      <w:lvlText w:val="%1."/>
      <w:lvlJc w:val="left"/>
      <w:pPr>
        <w:tabs>
          <w:tab w:val="left" w:pos="312"/>
        </w:tabs>
      </w:pPr>
    </w:lvl>
  </w:abstractNum>
  <w:abstractNum w:abstractNumId="2">
    <w:nsid w:val="DE3B04BA"/>
    <w:multiLevelType w:val="singleLevel"/>
    <w:tmpl w:val="DE3B04BA"/>
    <w:lvl w:ilvl="0" w:tentative="0">
      <w:start w:val="1"/>
      <w:numFmt w:val="decimal"/>
      <w:lvlText w:val="%1."/>
      <w:lvlJc w:val="left"/>
      <w:pPr>
        <w:ind w:left="425" w:hanging="425"/>
      </w:pPr>
      <w:rPr>
        <w:rFonts w:hint="default"/>
      </w:rPr>
    </w:lvl>
  </w:abstractNum>
  <w:abstractNum w:abstractNumId="3">
    <w:nsid w:val="E77EB746"/>
    <w:multiLevelType w:val="singleLevel"/>
    <w:tmpl w:val="E77EB746"/>
    <w:lvl w:ilvl="0" w:tentative="0">
      <w:start w:val="5"/>
      <w:numFmt w:val="decimal"/>
      <w:suff w:val="nothing"/>
      <w:lvlText w:val="%1、"/>
      <w:lvlJc w:val="left"/>
    </w:lvl>
  </w:abstractNum>
  <w:abstractNum w:abstractNumId="4">
    <w:nsid w:val="E7BB9D71"/>
    <w:multiLevelType w:val="singleLevel"/>
    <w:tmpl w:val="E7BB9D71"/>
    <w:lvl w:ilvl="0" w:tentative="0">
      <w:start w:val="1"/>
      <w:numFmt w:val="decimal"/>
      <w:suff w:val="nothing"/>
      <w:lvlText w:val="（%1）"/>
      <w:lvlJc w:val="left"/>
    </w:lvl>
  </w:abstractNum>
  <w:abstractNum w:abstractNumId="5">
    <w:nsid w:val="00000004"/>
    <w:multiLevelType w:val="singleLevel"/>
    <w:tmpl w:val="00000004"/>
    <w:lvl w:ilvl="0" w:tentative="0">
      <w:start w:val="1"/>
      <w:numFmt w:val="decimal"/>
      <w:suff w:val="nothing"/>
      <w:lvlText w:val="%1）"/>
      <w:lvlJc w:val="left"/>
    </w:lvl>
  </w:abstractNum>
  <w:abstractNum w:abstractNumId="6">
    <w:nsid w:val="0A9D13D1"/>
    <w:multiLevelType w:val="singleLevel"/>
    <w:tmpl w:val="0A9D13D1"/>
    <w:lvl w:ilvl="0" w:tentative="0">
      <w:start w:val="1"/>
      <w:numFmt w:val="decimal"/>
      <w:lvlText w:val="%1."/>
      <w:lvlJc w:val="left"/>
      <w:pPr>
        <w:ind w:left="425" w:hanging="425"/>
      </w:pPr>
      <w:rPr>
        <w:rFonts w:hint="default"/>
      </w:rPr>
    </w:lvl>
  </w:abstractNum>
  <w:abstractNum w:abstractNumId="7">
    <w:nsid w:val="0FB687AB"/>
    <w:multiLevelType w:val="singleLevel"/>
    <w:tmpl w:val="0FB687AB"/>
    <w:lvl w:ilvl="0" w:tentative="0">
      <w:start w:val="1"/>
      <w:numFmt w:val="decimal"/>
      <w:suff w:val="nothing"/>
      <w:lvlText w:val="%1、"/>
      <w:lvlJc w:val="left"/>
    </w:lvl>
  </w:abstractNum>
  <w:abstractNum w:abstractNumId="8">
    <w:nsid w:val="13661ED5"/>
    <w:multiLevelType w:val="singleLevel"/>
    <w:tmpl w:val="13661ED5"/>
    <w:lvl w:ilvl="0" w:tentative="0">
      <w:start w:val="1"/>
      <w:numFmt w:val="decimal"/>
      <w:suff w:val="nothing"/>
      <w:lvlText w:val="%1、"/>
      <w:lvlJc w:val="left"/>
    </w:lvl>
  </w:abstractNum>
  <w:abstractNum w:abstractNumId="9">
    <w:nsid w:val="21B40B1E"/>
    <w:multiLevelType w:val="singleLevel"/>
    <w:tmpl w:val="21B40B1E"/>
    <w:lvl w:ilvl="0" w:tentative="0">
      <w:start w:val="4"/>
      <w:numFmt w:val="chineseCounting"/>
      <w:suff w:val="space"/>
      <w:lvlText w:val="第%1部分"/>
      <w:lvlJc w:val="left"/>
      <w:rPr>
        <w:rFonts w:hint="eastAsia"/>
      </w:rPr>
    </w:lvl>
  </w:abstractNum>
  <w:abstractNum w:abstractNumId="10">
    <w:nsid w:val="28EB644D"/>
    <w:multiLevelType w:val="singleLevel"/>
    <w:tmpl w:val="28EB644D"/>
    <w:lvl w:ilvl="0" w:tentative="0">
      <w:start w:val="1"/>
      <w:numFmt w:val="decimal"/>
      <w:lvlText w:val="%1."/>
      <w:lvlJc w:val="left"/>
      <w:pPr>
        <w:ind w:left="425" w:hanging="425"/>
      </w:pPr>
      <w:rPr>
        <w:rFonts w:hint="default"/>
      </w:rPr>
    </w:lvl>
  </w:abstractNum>
  <w:abstractNum w:abstractNumId="11">
    <w:nsid w:val="40AE30C0"/>
    <w:multiLevelType w:val="singleLevel"/>
    <w:tmpl w:val="40AE30C0"/>
    <w:lvl w:ilvl="0" w:tentative="0">
      <w:start w:val="1"/>
      <w:numFmt w:val="decimal"/>
      <w:suff w:val="nothing"/>
      <w:lvlText w:val="（%1）"/>
      <w:lvlJc w:val="left"/>
    </w:lvl>
  </w:abstractNum>
  <w:abstractNum w:abstractNumId="12">
    <w:nsid w:val="54B1E7CA"/>
    <w:multiLevelType w:val="singleLevel"/>
    <w:tmpl w:val="54B1E7CA"/>
    <w:lvl w:ilvl="0" w:tentative="0">
      <w:start w:val="11"/>
      <w:numFmt w:val="decimal"/>
      <w:suff w:val="space"/>
      <w:lvlText w:val="%1."/>
      <w:lvlJc w:val="left"/>
    </w:lvl>
  </w:abstractNum>
  <w:abstractNum w:abstractNumId="13">
    <w:nsid w:val="7655A73E"/>
    <w:multiLevelType w:val="singleLevel"/>
    <w:tmpl w:val="7655A73E"/>
    <w:lvl w:ilvl="0" w:tentative="0">
      <w:start w:val="1"/>
      <w:numFmt w:val="decimal"/>
      <w:suff w:val="nothing"/>
      <w:lvlText w:val="（%1）"/>
      <w:lvlJc w:val="left"/>
    </w:lvl>
  </w:abstractNum>
  <w:num w:numId="1">
    <w:abstractNumId w:val="7"/>
  </w:num>
  <w:num w:numId="2">
    <w:abstractNumId w:val="0"/>
  </w:num>
  <w:num w:numId="3">
    <w:abstractNumId w:val="12"/>
  </w:num>
  <w:num w:numId="4">
    <w:abstractNumId w:val="1"/>
  </w:num>
  <w:num w:numId="5">
    <w:abstractNumId w:val="8"/>
  </w:num>
  <w:num w:numId="6">
    <w:abstractNumId w:val="2"/>
  </w:num>
  <w:num w:numId="7">
    <w:abstractNumId w:val="6"/>
  </w:num>
  <w:num w:numId="8">
    <w:abstractNumId w:val="10"/>
  </w:num>
  <w:num w:numId="9">
    <w:abstractNumId w:val="9"/>
  </w:num>
  <w:num w:numId="10">
    <w:abstractNumId w:val="5"/>
  </w:num>
  <w:num w:numId="11">
    <w:abstractNumId w:val="4"/>
  </w:num>
  <w:num w:numId="12">
    <w:abstractNumId w:val="11"/>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5OWNmODZlZmViN2YxOGNiYjBlY2IxNTcxNjI2Y2EifQ=="/>
    <w:docVar w:name="KSO_WPS_MARK_KEY" w:val="63d11f08-3af8-4c4a-8500-c1d33bf340b7"/>
  </w:docVars>
  <w:rsids>
    <w:rsidRoot w:val="00172A27"/>
    <w:rsid w:val="00000451"/>
    <w:rsid w:val="0000108B"/>
    <w:rsid w:val="0000133D"/>
    <w:rsid w:val="00001509"/>
    <w:rsid w:val="000032B2"/>
    <w:rsid w:val="0000363B"/>
    <w:rsid w:val="000058BD"/>
    <w:rsid w:val="0000600F"/>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5DB2"/>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B7669"/>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D7D96"/>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45"/>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6786C"/>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5BA"/>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43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270"/>
    <w:rsid w:val="00201A0C"/>
    <w:rsid w:val="00201A88"/>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C7B"/>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3BD"/>
    <w:rsid w:val="00233538"/>
    <w:rsid w:val="00233CA0"/>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362"/>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27"/>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414"/>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4F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B773B"/>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16"/>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1CC"/>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5886"/>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048"/>
    <w:rsid w:val="0045277C"/>
    <w:rsid w:val="00452B29"/>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F9D"/>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472"/>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98"/>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37CC4"/>
    <w:rsid w:val="00540401"/>
    <w:rsid w:val="005405B2"/>
    <w:rsid w:val="0054076A"/>
    <w:rsid w:val="00540D47"/>
    <w:rsid w:val="00540EE7"/>
    <w:rsid w:val="00541A22"/>
    <w:rsid w:val="00541EAD"/>
    <w:rsid w:val="005424C2"/>
    <w:rsid w:val="005426B2"/>
    <w:rsid w:val="00543519"/>
    <w:rsid w:val="00543640"/>
    <w:rsid w:val="005439CA"/>
    <w:rsid w:val="00544019"/>
    <w:rsid w:val="005444C6"/>
    <w:rsid w:val="00544BF9"/>
    <w:rsid w:val="00544F05"/>
    <w:rsid w:val="00544FCC"/>
    <w:rsid w:val="005454B8"/>
    <w:rsid w:val="00545ACB"/>
    <w:rsid w:val="00545DB9"/>
    <w:rsid w:val="005462ED"/>
    <w:rsid w:val="00546585"/>
    <w:rsid w:val="0054680A"/>
    <w:rsid w:val="00546BF8"/>
    <w:rsid w:val="00547BA2"/>
    <w:rsid w:val="00547EE7"/>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2D"/>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D3F"/>
    <w:rsid w:val="00574E7B"/>
    <w:rsid w:val="00574F36"/>
    <w:rsid w:val="00576B5C"/>
    <w:rsid w:val="005770CC"/>
    <w:rsid w:val="005802F9"/>
    <w:rsid w:val="005806D5"/>
    <w:rsid w:val="00580DFC"/>
    <w:rsid w:val="0058132F"/>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055"/>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2D2F"/>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A6F"/>
    <w:rsid w:val="00683DAD"/>
    <w:rsid w:val="00684592"/>
    <w:rsid w:val="00684963"/>
    <w:rsid w:val="00685033"/>
    <w:rsid w:val="0068517F"/>
    <w:rsid w:val="00685D65"/>
    <w:rsid w:val="00685FC8"/>
    <w:rsid w:val="00686E80"/>
    <w:rsid w:val="006870E2"/>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4A9"/>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07FD4"/>
    <w:rsid w:val="00710257"/>
    <w:rsid w:val="00710587"/>
    <w:rsid w:val="007107D5"/>
    <w:rsid w:val="007119DC"/>
    <w:rsid w:val="00711CC7"/>
    <w:rsid w:val="0071230A"/>
    <w:rsid w:val="0071294A"/>
    <w:rsid w:val="00712BDD"/>
    <w:rsid w:val="00712E1E"/>
    <w:rsid w:val="00712F37"/>
    <w:rsid w:val="00713944"/>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0D44"/>
    <w:rsid w:val="007413EB"/>
    <w:rsid w:val="007413FB"/>
    <w:rsid w:val="00742D32"/>
    <w:rsid w:val="00742E9B"/>
    <w:rsid w:val="007444E6"/>
    <w:rsid w:val="0074592C"/>
    <w:rsid w:val="00745C91"/>
    <w:rsid w:val="00746098"/>
    <w:rsid w:val="00746D58"/>
    <w:rsid w:val="00747578"/>
    <w:rsid w:val="00750ACA"/>
    <w:rsid w:val="00750B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385"/>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16D"/>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B99"/>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1DD5"/>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4B80"/>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6723"/>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0D4"/>
    <w:rsid w:val="008B67E6"/>
    <w:rsid w:val="008B69B8"/>
    <w:rsid w:val="008B7042"/>
    <w:rsid w:val="008B770C"/>
    <w:rsid w:val="008B7C6A"/>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3B89"/>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9F2"/>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6FAF"/>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3AC1"/>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52"/>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21B"/>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322"/>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900"/>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6A78"/>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95E"/>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93E"/>
    <w:rsid w:val="00A847F9"/>
    <w:rsid w:val="00A84F27"/>
    <w:rsid w:val="00A8519C"/>
    <w:rsid w:val="00A855EE"/>
    <w:rsid w:val="00A857D5"/>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785"/>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2A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24B3"/>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4D7"/>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B6E"/>
    <w:rsid w:val="00B53623"/>
    <w:rsid w:val="00B53D1D"/>
    <w:rsid w:val="00B53E98"/>
    <w:rsid w:val="00B53F9B"/>
    <w:rsid w:val="00B54B19"/>
    <w:rsid w:val="00B55F64"/>
    <w:rsid w:val="00B56ECA"/>
    <w:rsid w:val="00B57093"/>
    <w:rsid w:val="00B57B5D"/>
    <w:rsid w:val="00B60613"/>
    <w:rsid w:val="00B60FF2"/>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5096"/>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7D3"/>
    <w:rsid w:val="00BF2DDC"/>
    <w:rsid w:val="00BF32DE"/>
    <w:rsid w:val="00BF38D8"/>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4F99"/>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BF4"/>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6B9"/>
    <w:rsid w:val="00CD78D4"/>
    <w:rsid w:val="00CE0697"/>
    <w:rsid w:val="00CE14CB"/>
    <w:rsid w:val="00CE2E2E"/>
    <w:rsid w:val="00CE3A51"/>
    <w:rsid w:val="00CE41F9"/>
    <w:rsid w:val="00CE59F6"/>
    <w:rsid w:val="00CE66CD"/>
    <w:rsid w:val="00CE6B9B"/>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20D"/>
    <w:rsid w:val="00D0281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821"/>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5EA5"/>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6FC8"/>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23"/>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2EEE"/>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09C"/>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7B4"/>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37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25F"/>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6DB3"/>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C0502"/>
    <w:rsid w:val="011F6449"/>
    <w:rsid w:val="01236AFB"/>
    <w:rsid w:val="012B48B5"/>
    <w:rsid w:val="019F7441"/>
    <w:rsid w:val="01A14924"/>
    <w:rsid w:val="01B37585"/>
    <w:rsid w:val="01D55165"/>
    <w:rsid w:val="01DF6BF8"/>
    <w:rsid w:val="01E06FCF"/>
    <w:rsid w:val="01EC2C57"/>
    <w:rsid w:val="02083982"/>
    <w:rsid w:val="020C26B0"/>
    <w:rsid w:val="020D7CF1"/>
    <w:rsid w:val="025F0711"/>
    <w:rsid w:val="026B2E25"/>
    <w:rsid w:val="02824D4D"/>
    <w:rsid w:val="02D86D25"/>
    <w:rsid w:val="02DC4B10"/>
    <w:rsid w:val="02DD76CE"/>
    <w:rsid w:val="02F36323"/>
    <w:rsid w:val="02F5619C"/>
    <w:rsid w:val="0326446A"/>
    <w:rsid w:val="032D5555"/>
    <w:rsid w:val="036634D2"/>
    <w:rsid w:val="03CE5F43"/>
    <w:rsid w:val="03CF4484"/>
    <w:rsid w:val="03DB0660"/>
    <w:rsid w:val="03DD35E4"/>
    <w:rsid w:val="03EE0393"/>
    <w:rsid w:val="04076900"/>
    <w:rsid w:val="041A5A3B"/>
    <w:rsid w:val="042311BA"/>
    <w:rsid w:val="0426603B"/>
    <w:rsid w:val="042B157A"/>
    <w:rsid w:val="045721D1"/>
    <w:rsid w:val="048F763B"/>
    <w:rsid w:val="049F330E"/>
    <w:rsid w:val="04AA775C"/>
    <w:rsid w:val="04AF1889"/>
    <w:rsid w:val="04AF1A7E"/>
    <w:rsid w:val="04D47218"/>
    <w:rsid w:val="04F66F48"/>
    <w:rsid w:val="05251E14"/>
    <w:rsid w:val="054144F3"/>
    <w:rsid w:val="05A16594"/>
    <w:rsid w:val="05A7762D"/>
    <w:rsid w:val="060E5941"/>
    <w:rsid w:val="06110FAF"/>
    <w:rsid w:val="063F6C84"/>
    <w:rsid w:val="06493CA7"/>
    <w:rsid w:val="065A6178"/>
    <w:rsid w:val="06695D4A"/>
    <w:rsid w:val="066F1CF3"/>
    <w:rsid w:val="06930BB8"/>
    <w:rsid w:val="06DD5842"/>
    <w:rsid w:val="07113573"/>
    <w:rsid w:val="07245D42"/>
    <w:rsid w:val="07264C62"/>
    <w:rsid w:val="073271B3"/>
    <w:rsid w:val="0734173C"/>
    <w:rsid w:val="073F31CD"/>
    <w:rsid w:val="0779354C"/>
    <w:rsid w:val="07A95146"/>
    <w:rsid w:val="07C17B95"/>
    <w:rsid w:val="07ED44BE"/>
    <w:rsid w:val="08061376"/>
    <w:rsid w:val="08202AE5"/>
    <w:rsid w:val="08452D77"/>
    <w:rsid w:val="086401F8"/>
    <w:rsid w:val="08751CAA"/>
    <w:rsid w:val="087E4C40"/>
    <w:rsid w:val="08A871D0"/>
    <w:rsid w:val="08BB18F5"/>
    <w:rsid w:val="08C05E30"/>
    <w:rsid w:val="08D66AD6"/>
    <w:rsid w:val="08DA33A3"/>
    <w:rsid w:val="08E80F13"/>
    <w:rsid w:val="092764A8"/>
    <w:rsid w:val="09335624"/>
    <w:rsid w:val="0944690F"/>
    <w:rsid w:val="09535675"/>
    <w:rsid w:val="095F057D"/>
    <w:rsid w:val="09642282"/>
    <w:rsid w:val="09733572"/>
    <w:rsid w:val="09772C16"/>
    <w:rsid w:val="098353B5"/>
    <w:rsid w:val="098F597B"/>
    <w:rsid w:val="09A92330"/>
    <w:rsid w:val="09B06B87"/>
    <w:rsid w:val="09BA2AC6"/>
    <w:rsid w:val="09C13146"/>
    <w:rsid w:val="09E04166"/>
    <w:rsid w:val="09E078D6"/>
    <w:rsid w:val="0A1C0718"/>
    <w:rsid w:val="0A3E7710"/>
    <w:rsid w:val="0A416E54"/>
    <w:rsid w:val="0A5B7E63"/>
    <w:rsid w:val="0A640676"/>
    <w:rsid w:val="0A774E4C"/>
    <w:rsid w:val="0A9E015E"/>
    <w:rsid w:val="0AA374A5"/>
    <w:rsid w:val="0AA74DF8"/>
    <w:rsid w:val="0AAB7649"/>
    <w:rsid w:val="0ABC5606"/>
    <w:rsid w:val="0AED608E"/>
    <w:rsid w:val="0AF35E63"/>
    <w:rsid w:val="0B30404E"/>
    <w:rsid w:val="0B481F73"/>
    <w:rsid w:val="0B4C6C14"/>
    <w:rsid w:val="0B4E4D50"/>
    <w:rsid w:val="0B547599"/>
    <w:rsid w:val="0B631A88"/>
    <w:rsid w:val="0B683D45"/>
    <w:rsid w:val="0B7F3F11"/>
    <w:rsid w:val="0B84338B"/>
    <w:rsid w:val="0B884417"/>
    <w:rsid w:val="0BC33EB3"/>
    <w:rsid w:val="0BE1258C"/>
    <w:rsid w:val="0BF35373"/>
    <w:rsid w:val="0BF6188C"/>
    <w:rsid w:val="0BF73C91"/>
    <w:rsid w:val="0C160487"/>
    <w:rsid w:val="0C170175"/>
    <w:rsid w:val="0C571A41"/>
    <w:rsid w:val="0C5C1171"/>
    <w:rsid w:val="0C5E1CBC"/>
    <w:rsid w:val="0C615B50"/>
    <w:rsid w:val="0C6C0B64"/>
    <w:rsid w:val="0C776A4C"/>
    <w:rsid w:val="0C8445DA"/>
    <w:rsid w:val="0C87121B"/>
    <w:rsid w:val="0C9604C1"/>
    <w:rsid w:val="0CAE52C5"/>
    <w:rsid w:val="0CC007F7"/>
    <w:rsid w:val="0CC617AC"/>
    <w:rsid w:val="0CE618DF"/>
    <w:rsid w:val="0CFE707A"/>
    <w:rsid w:val="0D063BDA"/>
    <w:rsid w:val="0D08375F"/>
    <w:rsid w:val="0D0A4C90"/>
    <w:rsid w:val="0D184CFB"/>
    <w:rsid w:val="0D4A7419"/>
    <w:rsid w:val="0D825C61"/>
    <w:rsid w:val="0D827401"/>
    <w:rsid w:val="0D84094E"/>
    <w:rsid w:val="0D855790"/>
    <w:rsid w:val="0D8A00E9"/>
    <w:rsid w:val="0D8D589E"/>
    <w:rsid w:val="0DA01C73"/>
    <w:rsid w:val="0DB3008F"/>
    <w:rsid w:val="0DD63300"/>
    <w:rsid w:val="0DF50604"/>
    <w:rsid w:val="0DF702FE"/>
    <w:rsid w:val="0E060E51"/>
    <w:rsid w:val="0E143FCA"/>
    <w:rsid w:val="0E292B6A"/>
    <w:rsid w:val="0E5604B2"/>
    <w:rsid w:val="0E6A0AA4"/>
    <w:rsid w:val="0E6A2F4E"/>
    <w:rsid w:val="0E6D5D79"/>
    <w:rsid w:val="0E9D0089"/>
    <w:rsid w:val="0EB803EE"/>
    <w:rsid w:val="0ECB4175"/>
    <w:rsid w:val="0EDD59EC"/>
    <w:rsid w:val="0EEE3827"/>
    <w:rsid w:val="0EF94D4B"/>
    <w:rsid w:val="0F3D0BE6"/>
    <w:rsid w:val="0F4958DC"/>
    <w:rsid w:val="0F515DF7"/>
    <w:rsid w:val="0F596BA8"/>
    <w:rsid w:val="0F6248D2"/>
    <w:rsid w:val="0F693536"/>
    <w:rsid w:val="0F7B0511"/>
    <w:rsid w:val="0F7B76D9"/>
    <w:rsid w:val="0F816ACD"/>
    <w:rsid w:val="0F9832DB"/>
    <w:rsid w:val="0F9B693F"/>
    <w:rsid w:val="0FB7537C"/>
    <w:rsid w:val="0FBF3FD2"/>
    <w:rsid w:val="0FBF7FF3"/>
    <w:rsid w:val="0FCB2156"/>
    <w:rsid w:val="101C21C7"/>
    <w:rsid w:val="103233B6"/>
    <w:rsid w:val="103462C0"/>
    <w:rsid w:val="1036360E"/>
    <w:rsid w:val="10646583"/>
    <w:rsid w:val="10705876"/>
    <w:rsid w:val="107D4B15"/>
    <w:rsid w:val="108A3C80"/>
    <w:rsid w:val="109C2F25"/>
    <w:rsid w:val="10C26171"/>
    <w:rsid w:val="10F33360"/>
    <w:rsid w:val="10FC16EA"/>
    <w:rsid w:val="110F1D40"/>
    <w:rsid w:val="11266F33"/>
    <w:rsid w:val="112857CB"/>
    <w:rsid w:val="11345598"/>
    <w:rsid w:val="118963A1"/>
    <w:rsid w:val="11C6522A"/>
    <w:rsid w:val="11D34725"/>
    <w:rsid w:val="11E104CC"/>
    <w:rsid w:val="11E20309"/>
    <w:rsid w:val="12045226"/>
    <w:rsid w:val="12255233"/>
    <w:rsid w:val="122856C3"/>
    <w:rsid w:val="12530213"/>
    <w:rsid w:val="127723A9"/>
    <w:rsid w:val="127759F8"/>
    <w:rsid w:val="12862074"/>
    <w:rsid w:val="12863E8D"/>
    <w:rsid w:val="12883966"/>
    <w:rsid w:val="128D5A80"/>
    <w:rsid w:val="129E45B4"/>
    <w:rsid w:val="12D71F72"/>
    <w:rsid w:val="12D81596"/>
    <w:rsid w:val="13072A44"/>
    <w:rsid w:val="132A2A6A"/>
    <w:rsid w:val="135A334F"/>
    <w:rsid w:val="135F4BE2"/>
    <w:rsid w:val="138370D3"/>
    <w:rsid w:val="139B1A0A"/>
    <w:rsid w:val="139D25C7"/>
    <w:rsid w:val="13A22600"/>
    <w:rsid w:val="13B37593"/>
    <w:rsid w:val="13B92EA3"/>
    <w:rsid w:val="13BF3CE4"/>
    <w:rsid w:val="13CD08FA"/>
    <w:rsid w:val="13E9022F"/>
    <w:rsid w:val="140C1453"/>
    <w:rsid w:val="141008D8"/>
    <w:rsid w:val="14107EB2"/>
    <w:rsid w:val="14125FE6"/>
    <w:rsid w:val="146D271E"/>
    <w:rsid w:val="148A6D92"/>
    <w:rsid w:val="14982588"/>
    <w:rsid w:val="149A5AD9"/>
    <w:rsid w:val="14A7619D"/>
    <w:rsid w:val="14C1523D"/>
    <w:rsid w:val="150536C3"/>
    <w:rsid w:val="150C1963"/>
    <w:rsid w:val="151447A0"/>
    <w:rsid w:val="152D6842"/>
    <w:rsid w:val="154A6454"/>
    <w:rsid w:val="15762120"/>
    <w:rsid w:val="16380DF1"/>
    <w:rsid w:val="16945794"/>
    <w:rsid w:val="16A8729C"/>
    <w:rsid w:val="16B33777"/>
    <w:rsid w:val="16BC70A7"/>
    <w:rsid w:val="16C6339E"/>
    <w:rsid w:val="172F2D79"/>
    <w:rsid w:val="172F68A1"/>
    <w:rsid w:val="17557BEF"/>
    <w:rsid w:val="176B2636"/>
    <w:rsid w:val="17944956"/>
    <w:rsid w:val="17B15508"/>
    <w:rsid w:val="17D349C1"/>
    <w:rsid w:val="1830729E"/>
    <w:rsid w:val="183D31A0"/>
    <w:rsid w:val="1870062C"/>
    <w:rsid w:val="18817102"/>
    <w:rsid w:val="18830A15"/>
    <w:rsid w:val="18852B28"/>
    <w:rsid w:val="188624F1"/>
    <w:rsid w:val="188B5321"/>
    <w:rsid w:val="18931597"/>
    <w:rsid w:val="18E246D1"/>
    <w:rsid w:val="190330EF"/>
    <w:rsid w:val="19932372"/>
    <w:rsid w:val="19A20DD5"/>
    <w:rsid w:val="19A40DA3"/>
    <w:rsid w:val="19AE03F1"/>
    <w:rsid w:val="1A071A03"/>
    <w:rsid w:val="1A1F16AE"/>
    <w:rsid w:val="1A277D14"/>
    <w:rsid w:val="1A340F3C"/>
    <w:rsid w:val="1A3B5C77"/>
    <w:rsid w:val="1A725422"/>
    <w:rsid w:val="1A984BAD"/>
    <w:rsid w:val="1A991646"/>
    <w:rsid w:val="1AB8220E"/>
    <w:rsid w:val="1AE4166C"/>
    <w:rsid w:val="1AF06CFB"/>
    <w:rsid w:val="1AF11B8D"/>
    <w:rsid w:val="1B083691"/>
    <w:rsid w:val="1B11359C"/>
    <w:rsid w:val="1B2A271F"/>
    <w:rsid w:val="1B530544"/>
    <w:rsid w:val="1B713184"/>
    <w:rsid w:val="1BA209CF"/>
    <w:rsid w:val="1BAC70DC"/>
    <w:rsid w:val="1BB4777D"/>
    <w:rsid w:val="1BD75AB8"/>
    <w:rsid w:val="1C006A5E"/>
    <w:rsid w:val="1C0459C2"/>
    <w:rsid w:val="1C1B3B4A"/>
    <w:rsid w:val="1C2E0873"/>
    <w:rsid w:val="1C57529A"/>
    <w:rsid w:val="1C69609F"/>
    <w:rsid w:val="1C88086E"/>
    <w:rsid w:val="1CA27B15"/>
    <w:rsid w:val="1CA92C52"/>
    <w:rsid w:val="1CDD28FB"/>
    <w:rsid w:val="1CF96351"/>
    <w:rsid w:val="1D266CE1"/>
    <w:rsid w:val="1D3963AF"/>
    <w:rsid w:val="1D6A673C"/>
    <w:rsid w:val="1D9247AE"/>
    <w:rsid w:val="1DB567EC"/>
    <w:rsid w:val="1DBC3FC2"/>
    <w:rsid w:val="1DCB495D"/>
    <w:rsid w:val="1DF51A98"/>
    <w:rsid w:val="1E0C7EA5"/>
    <w:rsid w:val="1E113C34"/>
    <w:rsid w:val="1E3D060F"/>
    <w:rsid w:val="1E3F7D2E"/>
    <w:rsid w:val="1E4134E4"/>
    <w:rsid w:val="1E5062B3"/>
    <w:rsid w:val="1E523514"/>
    <w:rsid w:val="1E714A66"/>
    <w:rsid w:val="1E802593"/>
    <w:rsid w:val="1E8B6156"/>
    <w:rsid w:val="1EA703CC"/>
    <w:rsid w:val="1EB7330C"/>
    <w:rsid w:val="1EBE4409"/>
    <w:rsid w:val="1F0A0FF3"/>
    <w:rsid w:val="1F20479D"/>
    <w:rsid w:val="1F5771FF"/>
    <w:rsid w:val="1F6D15F4"/>
    <w:rsid w:val="1F813B73"/>
    <w:rsid w:val="1FC87ED5"/>
    <w:rsid w:val="1FE868A9"/>
    <w:rsid w:val="20034907"/>
    <w:rsid w:val="200E0366"/>
    <w:rsid w:val="20173E4B"/>
    <w:rsid w:val="204E48BC"/>
    <w:rsid w:val="20576BE7"/>
    <w:rsid w:val="208921B3"/>
    <w:rsid w:val="208C394F"/>
    <w:rsid w:val="20973DEB"/>
    <w:rsid w:val="20B26522"/>
    <w:rsid w:val="20B44310"/>
    <w:rsid w:val="20C2357E"/>
    <w:rsid w:val="211116EB"/>
    <w:rsid w:val="216133FC"/>
    <w:rsid w:val="21D56769"/>
    <w:rsid w:val="21E52EF3"/>
    <w:rsid w:val="21FB5D7B"/>
    <w:rsid w:val="22015E94"/>
    <w:rsid w:val="220B1C3D"/>
    <w:rsid w:val="221D1D20"/>
    <w:rsid w:val="2224077E"/>
    <w:rsid w:val="22334A87"/>
    <w:rsid w:val="224156DA"/>
    <w:rsid w:val="226460A0"/>
    <w:rsid w:val="2284282D"/>
    <w:rsid w:val="22BE6801"/>
    <w:rsid w:val="22E63B6F"/>
    <w:rsid w:val="22EE11B0"/>
    <w:rsid w:val="232A6913"/>
    <w:rsid w:val="233500BF"/>
    <w:rsid w:val="23377FF7"/>
    <w:rsid w:val="23526439"/>
    <w:rsid w:val="236B425F"/>
    <w:rsid w:val="23836192"/>
    <w:rsid w:val="23901F29"/>
    <w:rsid w:val="239C0061"/>
    <w:rsid w:val="23A733AA"/>
    <w:rsid w:val="23B908A4"/>
    <w:rsid w:val="23BD5235"/>
    <w:rsid w:val="23E95BEF"/>
    <w:rsid w:val="23FD0064"/>
    <w:rsid w:val="24112A25"/>
    <w:rsid w:val="2437337B"/>
    <w:rsid w:val="245375B0"/>
    <w:rsid w:val="24642C0A"/>
    <w:rsid w:val="24B22173"/>
    <w:rsid w:val="24B95AD9"/>
    <w:rsid w:val="24BE24DA"/>
    <w:rsid w:val="24C85F28"/>
    <w:rsid w:val="24CF5825"/>
    <w:rsid w:val="24D663E6"/>
    <w:rsid w:val="24D77F2B"/>
    <w:rsid w:val="24E63C8B"/>
    <w:rsid w:val="2523208F"/>
    <w:rsid w:val="252860E2"/>
    <w:rsid w:val="25676503"/>
    <w:rsid w:val="258B00E2"/>
    <w:rsid w:val="258D3BD5"/>
    <w:rsid w:val="25A4306A"/>
    <w:rsid w:val="25A917A6"/>
    <w:rsid w:val="25BE27CC"/>
    <w:rsid w:val="25F74A5C"/>
    <w:rsid w:val="2628662C"/>
    <w:rsid w:val="262D45DE"/>
    <w:rsid w:val="267253B0"/>
    <w:rsid w:val="2674607E"/>
    <w:rsid w:val="268169ED"/>
    <w:rsid w:val="26871DC8"/>
    <w:rsid w:val="26A53EF9"/>
    <w:rsid w:val="26A94201"/>
    <w:rsid w:val="26AC274F"/>
    <w:rsid w:val="26B75F6B"/>
    <w:rsid w:val="27044A29"/>
    <w:rsid w:val="271D34C8"/>
    <w:rsid w:val="27456926"/>
    <w:rsid w:val="276142BF"/>
    <w:rsid w:val="27783712"/>
    <w:rsid w:val="27907362"/>
    <w:rsid w:val="281D0E4E"/>
    <w:rsid w:val="28333E1D"/>
    <w:rsid w:val="28454BD6"/>
    <w:rsid w:val="28455253"/>
    <w:rsid w:val="28551971"/>
    <w:rsid w:val="28560AFC"/>
    <w:rsid w:val="285B1C53"/>
    <w:rsid w:val="287405B8"/>
    <w:rsid w:val="289F7086"/>
    <w:rsid w:val="28C32028"/>
    <w:rsid w:val="28CC490F"/>
    <w:rsid w:val="28DE40AA"/>
    <w:rsid w:val="29345E77"/>
    <w:rsid w:val="294C65AD"/>
    <w:rsid w:val="295C48D4"/>
    <w:rsid w:val="296F5223"/>
    <w:rsid w:val="29806583"/>
    <w:rsid w:val="298B3C4C"/>
    <w:rsid w:val="299203EC"/>
    <w:rsid w:val="29CA2B72"/>
    <w:rsid w:val="29CE3AB1"/>
    <w:rsid w:val="29DC225D"/>
    <w:rsid w:val="29E4043D"/>
    <w:rsid w:val="29F26D24"/>
    <w:rsid w:val="2A067935"/>
    <w:rsid w:val="2A135BAE"/>
    <w:rsid w:val="2A15033F"/>
    <w:rsid w:val="2A1662C1"/>
    <w:rsid w:val="2A1C7367"/>
    <w:rsid w:val="2A1F6415"/>
    <w:rsid w:val="2A2815FA"/>
    <w:rsid w:val="2A6D6092"/>
    <w:rsid w:val="2A6F6324"/>
    <w:rsid w:val="2A7D74CC"/>
    <w:rsid w:val="2A7D76B4"/>
    <w:rsid w:val="2A8E16D9"/>
    <w:rsid w:val="2A9A007E"/>
    <w:rsid w:val="2B437463"/>
    <w:rsid w:val="2B7807EE"/>
    <w:rsid w:val="2BA50BF7"/>
    <w:rsid w:val="2BBF00EC"/>
    <w:rsid w:val="2BC37CFD"/>
    <w:rsid w:val="2BD5237F"/>
    <w:rsid w:val="2BE536CE"/>
    <w:rsid w:val="2BE758D9"/>
    <w:rsid w:val="2C09049E"/>
    <w:rsid w:val="2C0A653C"/>
    <w:rsid w:val="2C191F85"/>
    <w:rsid w:val="2CA945A8"/>
    <w:rsid w:val="2CC3566A"/>
    <w:rsid w:val="2CE82D6F"/>
    <w:rsid w:val="2CFC5020"/>
    <w:rsid w:val="2D2600C9"/>
    <w:rsid w:val="2D343236"/>
    <w:rsid w:val="2D6A1F89"/>
    <w:rsid w:val="2DD15014"/>
    <w:rsid w:val="2DED26D4"/>
    <w:rsid w:val="2DF72DE4"/>
    <w:rsid w:val="2E0220AF"/>
    <w:rsid w:val="2E4B082A"/>
    <w:rsid w:val="2E5D4E86"/>
    <w:rsid w:val="2E5D790B"/>
    <w:rsid w:val="2E813A2E"/>
    <w:rsid w:val="2E9A3C18"/>
    <w:rsid w:val="2EBB0FEE"/>
    <w:rsid w:val="2EC63002"/>
    <w:rsid w:val="2EE43FBD"/>
    <w:rsid w:val="2EFC0EE0"/>
    <w:rsid w:val="2F0A6B38"/>
    <w:rsid w:val="2F2D7712"/>
    <w:rsid w:val="2F5A6E7B"/>
    <w:rsid w:val="2F946CCB"/>
    <w:rsid w:val="2FD25781"/>
    <w:rsid w:val="2FDC745C"/>
    <w:rsid w:val="2FFD7934"/>
    <w:rsid w:val="30171AF5"/>
    <w:rsid w:val="302803A7"/>
    <w:rsid w:val="3034687E"/>
    <w:rsid w:val="304A239F"/>
    <w:rsid w:val="3071193C"/>
    <w:rsid w:val="30733ACD"/>
    <w:rsid w:val="308C3862"/>
    <w:rsid w:val="309379D8"/>
    <w:rsid w:val="30A270F7"/>
    <w:rsid w:val="30CF4393"/>
    <w:rsid w:val="30DF1478"/>
    <w:rsid w:val="30EC586F"/>
    <w:rsid w:val="312F7360"/>
    <w:rsid w:val="316073D8"/>
    <w:rsid w:val="319C6071"/>
    <w:rsid w:val="319E48F7"/>
    <w:rsid w:val="31A90956"/>
    <w:rsid w:val="31AC537E"/>
    <w:rsid w:val="31D75713"/>
    <w:rsid w:val="31E3679B"/>
    <w:rsid w:val="31E732FD"/>
    <w:rsid w:val="32517576"/>
    <w:rsid w:val="32BE5C2C"/>
    <w:rsid w:val="32C455D6"/>
    <w:rsid w:val="32DF4B28"/>
    <w:rsid w:val="32FB6478"/>
    <w:rsid w:val="33263B3F"/>
    <w:rsid w:val="33380434"/>
    <w:rsid w:val="336963EB"/>
    <w:rsid w:val="33816EEB"/>
    <w:rsid w:val="33924ADF"/>
    <w:rsid w:val="33EB55CD"/>
    <w:rsid w:val="33EC4C02"/>
    <w:rsid w:val="340D2360"/>
    <w:rsid w:val="3410665D"/>
    <w:rsid w:val="34192C62"/>
    <w:rsid w:val="34211214"/>
    <w:rsid w:val="342E63AB"/>
    <w:rsid w:val="343641B0"/>
    <w:rsid w:val="34647963"/>
    <w:rsid w:val="34670FD0"/>
    <w:rsid w:val="346E2409"/>
    <w:rsid w:val="348B1B2D"/>
    <w:rsid w:val="34931DC5"/>
    <w:rsid w:val="34950E68"/>
    <w:rsid w:val="34986E94"/>
    <w:rsid w:val="34AF62C9"/>
    <w:rsid w:val="34B306BA"/>
    <w:rsid w:val="34CB4388"/>
    <w:rsid w:val="34D27FF4"/>
    <w:rsid w:val="34DB7E13"/>
    <w:rsid w:val="34F463BD"/>
    <w:rsid w:val="34FA6E12"/>
    <w:rsid w:val="34FD7B87"/>
    <w:rsid w:val="3539483F"/>
    <w:rsid w:val="354D7158"/>
    <w:rsid w:val="356067C2"/>
    <w:rsid w:val="358D5588"/>
    <w:rsid w:val="35C43A64"/>
    <w:rsid w:val="35D301AE"/>
    <w:rsid w:val="36070CBD"/>
    <w:rsid w:val="363A3B40"/>
    <w:rsid w:val="365302AE"/>
    <w:rsid w:val="36607A0A"/>
    <w:rsid w:val="366D55E2"/>
    <w:rsid w:val="366E227C"/>
    <w:rsid w:val="366F2E0D"/>
    <w:rsid w:val="367B6A5C"/>
    <w:rsid w:val="36A74ADA"/>
    <w:rsid w:val="36AC3C67"/>
    <w:rsid w:val="36AD60D5"/>
    <w:rsid w:val="36B204FD"/>
    <w:rsid w:val="36B224F9"/>
    <w:rsid w:val="36C941C4"/>
    <w:rsid w:val="36E43776"/>
    <w:rsid w:val="36EC0CC9"/>
    <w:rsid w:val="373F410B"/>
    <w:rsid w:val="374D4ACB"/>
    <w:rsid w:val="37A8186B"/>
    <w:rsid w:val="37EE7094"/>
    <w:rsid w:val="37FE39FA"/>
    <w:rsid w:val="382516C4"/>
    <w:rsid w:val="38296C89"/>
    <w:rsid w:val="383002EB"/>
    <w:rsid w:val="38586797"/>
    <w:rsid w:val="388D2FD0"/>
    <w:rsid w:val="389D0FEB"/>
    <w:rsid w:val="38B833C0"/>
    <w:rsid w:val="38BC0149"/>
    <w:rsid w:val="38D87D1C"/>
    <w:rsid w:val="39186D3D"/>
    <w:rsid w:val="39437908"/>
    <w:rsid w:val="396106E4"/>
    <w:rsid w:val="39636459"/>
    <w:rsid w:val="396B7F6C"/>
    <w:rsid w:val="398C61C1"/>
    <w:rsid w:val="39B417A9"/>
    <w:rsid w:val="39CB3DB0"/>
    <w:rsid w:val="39FC5695"/>
    <w:rsid w:val="3A006D8E"/>
    <w:rsid w:val="3A3651E5"/>
    <w:rsid w:val="3A612966"/>
    <w:rsid w:val="3A744481"/>
    <w:rsid w:val="3A8C7BEF"/>
    <w:rsid w:val="3A906246"/>
    <w:rsid w:val="3AAD1707"/>
    <w:rsid w:val="3B135A0E"/>
    <w:rsid w:val="3B2349B7"/>
    <w:rsid w:val="3B583D69"/>
    <w:rsid w:val="3B5B1515"/>
    <w:rsid w:val="3B5C25ED"/>
    <w:rsid w:val="3B616CFF"/>
    <w:rsid w:val="3B6259F6"/>
    <w:rsid w:val="3B64270E"/>
    <w:rsid w:val="3B8E39EE"/>
    <w:rsid w:val="3B976654"/>
    <w:rsid w:val="3BB426E7"/>
    <w:rsid w:val="3BC01EFC"/>
    <w:rsid w:val="3BCA786A"/>
    <w:rsid w:val="3BD31E2F"/>
    <w:rsid w:val="3BF15831"/>
    <w:rsid w:val="3C105946"/>
    <w:rsid w:val="3C471448"/>
    <w:rsid w:val="3C5F759A"/>
    <w:rsid w:val="3C6C525A"/>
    <w:rsid w:val="3C984118"/>
    <w:rsid w:val="3CB855DE"/>
    <w:rsid w:val="3CCE23CB"/>
    <w:rsid w:val="3CD17D17"/>
    <w:rsid w:val="3D064EB5"/>
    <w:rsid w:val="3D3C47C7"/>
    <w:rsid w:val="3D3C7F39"/>
    <w:rsid w:val="3D440F09"/>
    <w:rsid w:val="3D4504A0"/>
    <w:rsid w:val="3D5E4F3B"/>
    <w:rsid w:val="3D8734BB"/>
    <w:rsid w:val="3D9A11D4"/>
    <w:rsid w:val="3DA16D89"/>
    <w:rsid w:val="3DA364BE"/>
    <w:rsid w:val="3DB22A0E"/>
    <w:rsid w:val="3DE041CB"/>
    <w:rsid w:val="3E0D48F6"/>
    <w:rsid w:val="3E1868B4"/>
    <w:rsid w:val="3E377251"/>
    <w:rsid w:val="3E42664B"/>
    <w:rsid w:val="3E5210C3"/>
    <w:rsid w:val="3E5A7334"/>
    <w:rsid w:val="3E7B5D6B"/>
    <w:rsid w:val="3E843E66"/>
    <w:rsid w:val="3E8F51FE"/>
    <w:rsid w:val="3E926F87"/>
    <w:rsid w:val="3E9A59DE"/>
    <w:rsid w:val="3EAF4836"/>
    <w:rsid w:val="3EBD5502"/>
    <w:rsid w:val="3EC33DFA"/>
    <w:rsid w:val="3EF06066"/>
    <w:rsid w:val="3F060E16"/>
    <w:rsid w:val="3F1D1096"/>
    <w:rsid w:val="3F2F0234"/>
    <w:rsid w:val="3F4F7231"/>
    <w:rsid w:val="3F6363FE"/>
    <w:rsid w:val="3F756B8F"/>
    <w:rsid w:val="3F77438E"/>
    <w:rsid w:val="3F95482B"/>
    <w:rsid w:val="3FC60585"/>
    <w:rsid w:val="4019356B"/>
    <w:rsid w:val="402B55A8"/>
    <w:rsid w:val="40592157"/>
    <w:rsid w:val="406E1CAE"/>
    <w:rsid w:val="40953369"/>
    <w:rsid w:val="40A0133A"/>
    <w:rsid w:val="40C31A53"/>
    <w:rsid w:val="40DB575D"/>
    <w:rsid w:val="40FF545D"/>
    <w:rsid w:val="410067C8"/>
    <w:rsid w:val="41142E80"/>
    <w:rsid w:val="414C3799"/>
    <w:rsid w:val="41540B2E"/>
    <w:rsid w:val="4176379C"/>
    <w:rsid w:val="418F0D2A"/>
    <w:rsid w:val="41D01505"/>
    <w:rsid w:val="421C22C0"/>
    <w:rsid w:val="421F3B36"/>
    <w:rsid w:val="42457F27"/>
    <w:rsid w:val="42474939"/>
    <w:rsid w:val="424C3C57"/>
    <w:rsid w:val="42613FF3"/>
    <w:rsid w:val="42660D96"/>
    <w:rsid w:val="428558F8"/>
    <w:rsid w:val="428667D2"/>
    <w:rsid w:val="42881693"/>
    <w:rsid w:val="42BC429A"/>
    <w:rsid w:val="42CD1CE0"/>
    <w:rsid w:val="42E1381E"/>
    <w:rsid w:val="42ED6459"/>
    <w:rsid w:val="42FE58DD"/>
    <w:rsid w:val="43174B3D"/>
    <w:rsid w:val="434B790E"/>
    <w:rsid w:val="4360274F"/>
    <w:rsid w:val="43977AB6"/>
    <w:rsid w:val="43A3342B"/>
    <w:rsid w:val="43B72D12"/>
    <w:rsid w:val="43C77C27"/>
    <w:rsid w:val="43D178FC"/>
    <w:rsid w:val="43DE09EE"/>
    <w:rsid w:val="43E2665A"/>
    <w:rsid w:val="43F1380D"/>
    <w:rsid w:val="44002FAD"/>
    <w:rsid w:val="44190B72"/>
    <w:rsid w:val="445525C3"/>
    <w:rsid w:val="44687367"/>
    <w:rsid w:val="447A6AFE"/>
    <w:rsid w:val="448E2866"/>
    <w:rsid w:val="449101DD"/>
    <w:rsid w:val="44A27E42"/>
    <w:rsid w:val="44DE1391"/>
    <w:rsid w:val="44E67CEF"/>
    <w:rsid w:val="451B225C"/>
    <w:rsid w:val="452410C9"/>
    <w:rsid w:val="45317DFB"/>
    <w:rsid w:val="45401290"/>
    <w:rsid w:val="45634C4B"/>
    <w:rsid w:val="456D3CE4"/>
    <w:rsid w:val="4579042C"/>
    <w:rsid w:val="457C4AF8"/>
    <w:rsid w:val="457F0571"/>
    <w:rsid w:val="45851176"/>
    <w:rsid w:val="45B608B1"/>
    <w:rsid w:val="45C63B94"/>
    <w:rsid w:val="460E7DA5"/>
    <w:rsid w:val="46422483"/>
    <w:rsid w:val="4659254A"/>
    <w:rsid w:val="465B0637"/>
    <w:rsid w:val="465E3F0D"/>
    <w:rsid w:val="466235E9"/>
    <w:rsid w:val="46677EBA"/>
    <w:rsid w:val="466A16E6"/>
    <w:rsid w:val="46873754"/>
    <w:rsid w:val="46893F2B"/>
    <w:rsid w:val="46C348CC"/>
    <w:rsid w:val="46C4686E"/>
    <w:rsid w:val="4707219F"/>
    <w:rsid w:val="47264D6A"/>
    <w:rsid w:val="477B778F"/>
    <w:rsid w:val="478203EC"/>
    <w:rsid w:val="47B025FA"/>
    <w:rsid w:val="4809698F"/>
    <w:rsid w:val="480B6A17"/>
    <w:rsid w:val="4811697D"/>
    <w:rsid w:val="4840005F"/>
    <w:rsid w:val="487129B6"/>
    <w:rsid w:val="487A3E25"/>
    <w:rsid w:val="488B5503"/>
    <w:rsid w:val="48937E21"/>
    <w:rsid w:val="489A0361"/>
    <w:rsid w:val="48AE0B5A"/>
    <w:rsid w:val="48B84099"/>
    <w:rsid w:val="48B94FF3"/>
    <w:rsid w:val="48E37AAB"/>
    <w:rsid w:val="48E93052"/>
    <w:rsid w:val="48FD4B4C"/>
    <w:rsid w:val="490A68E0"/>
    <w:rsid w:val="491055FE"/>
    <w:rsid w:val="492B2184"/>
    <w:rsid w:val="493619A6"/>
    <w:rsid w:val="49576359"/>
    <w:rsid w:val="495F5B3E"/>
    <w:rsid w:val="496F77D7"/>
    <w:rsid w:val="497654FD"/>
    <w:rsid w:val="49B64211"/>
    <w:rsid w:val="49BA536E"/>
    <w:rsid w:val="49F6167F"/>
    <w:rsid w:val="4A064FA0"/>
    <w:rsid w:val="4A121A7F"/>
    <w:rsid w:val="4A16615C"/>
    <w:rsid w:val="4A2324A9"/>
    <w:rsid w:val="4A4424D7"/>
    <w:rsid w:val="4A4825D5"/>
    <w:rsid w:val="4A835FE1"/>
    <w:rsid w:val="4AB5333A"/>
    <w:rsid w:val="4AB82D0F"/>
    <w:rsid w:val="4AD37D5C"/>
    <w:rsid w:val="4ADD3943"/>
    <w:rsid w:val="4AEB7664"/>
    <w:rsid w:val="4AFD7C19"/>
    <w:rsid w:val="4B0567D1"/>
    <w:rsid w:val="4B1239A8"/>
    <w:rsid w:val="4B1D34BA"/>
    <w:rsid w:val="4B236AAE"/>
    <w:rsid w:val="4B2C48CA"/>
    <w:rsid w:val="4B3068A1"/>
    <w:rsid w:val="4B6C066E"/>
    <w:rsid w:val="4B707271"/>
    <w:rsid w:val="4B9739F7"/>
    <w:rsid w:val="4BEE2503"/>
    <w:rsid w:val="4BF756CB"/>
    <w:rsid w:val="4C245A30"/>
    <w:rsid w:val="4CB06A8C"/>
    <w:rsid w:val="4CB6685F"/>
    <w:rsid w:val="4CC3342D"/>
    <w:rsid w:val="4CC367FE"/>
    <w:rsid w:val="4CC41E4C"/>
    <w:rsid w:val="4CCA7EF7"/>
    <w:rsid w:val="4CF174F3"/>
    <w:rsid w:val="4CFE6EE8"/>
    <w:rsid w:val="4D077F3C"/>
    <w:rsid w:val="4D123355"/>
    <w:rsid w:val="4D292E6F"/>
    <w:rsid w:val="4D2A3B31"/>
    <w:rsid w:val="4D312C52"/>
    <w:rsid w:val="4D325D16"/>
    <w:rsid w:val="4D905305"/>
    <w:rsid w:val="4D964A72"/>
    <w:rsid w:val="4D9C1254"/>
    <w:rsid w:val="4E0A77A2"/>
    <w:rsid w:val="4E5F790C"/>
    <w:rsid w:val="4E793892"/>
    <w:rsid w:val="4E796648"/>
    <w:rsid w:val="4E800872"/>
    <w:rsid w:val="4EA8717C"/>
    <w:rsid w:val="4EC569ED"/>
    <w:rsid w:val="4EC71E9A"/>
    <w:rsid w:val="4ED50EA1"/>
    <w:rsid w:val="4EEC050C"/>
    <w:rsid w:val="4F104EC3"/>
    <w:rsid w:val="4F47354A"/>
    <w:rsid w:val="4F593D5B"/>
    <w:rsid w:val="4F88382C"/>
    <w:rsid w:val="4F911C54"/>
    <w:rsid w:val="4FA15C1D"/>
    <w:rsid w:val="4FC25CF7"/>
    <w:rsid w:val="4FE625E0"/>
    <w:rsid w:val="50110D44"/>
    <w:rsid w:val="5021480F"/>
    <w:rsid w:val="50316FB1"/>
    <w:rsid w:val="503E1327"/>
    <w:rsid w:val="50962ECB"/>
    <w:rsid w:val="50A42E38"/>
    <w:rsid w:val="50A4577F"/>
    <w:rsid w:val="50B73D1F"/>
    <w:rsid w:val="50BD5BC9"/>
    <w:rsid w:val="50C11EEE"/>
    <w:rsid w:val="50D77AEB"/>
    <w:rsid w:val="50E97CFC"/>
    <w:rsid w:val="50FA4028"/>
    <w:rsid w:val="510D65B7"/>
    <w:rsid w:val="511157AB"/>
    <w:rsid w:val="5142540C"/>
    <w:rsid w:val="51641D40"/>
    <w:rsid w:val="518832C8"/>
    <w:rsid w:val="519D3C50"/>
    <w:rsid w:val="51A0432A"/>
    <w:rsid w:val="51A86090"/>
    <w:rsid w:val="51B7396D"/>
    <w:rsid w:val="522569E2"/>
    <w:rsid w:val="522E4CC3"/>
    <w:rsid w:val="5244713B"/>
    <w:rsid w:val="52615633"/>
    <w:rsid w:val="526F4DE4"/>
    <w:rsid w:val="52877413"/>
    <w:rsid w:val="529415BE"/>
    <w:rsid w:val="52977FD4"/>
    <w:rsid w:val="52A25790"/>
    <w:rsid w:val="52A96B6F"/>
    <w:rsid w:val="52B21B59"/>
    <w:rsid w:val="52B45975"/>
    <w:rsid w:val="52D94AA4"/>
    <w:rsid w:val="52DF776B"/>
    <w:rsid w:val="52EA3A62"/>
    <w:rsid w:val="52F50BB8"/>
    <w:rsid w:val="53097272"/>
    <w:rsid w:val="53264EE3"/>
    <w:rsid w:val="534306B9"/>
    <w:rsid w:val="53544462"/>
    <w:rsid w:val="5397158E"/>
    <w:rsid w:val="53D6654F"/>
    <w:rsid w:val="53DF3E7E"/>
    <w:rsid w:val="53F561A1"/>
    <w:rsid w:val="54013861"/>
    <w:rsid w:val="54136627"/>
    <w:rsid w:val="54487265"/>
    <w:rsid w:val="544D6070"/>
    <w:rsid w:val="54605E1E"/>
    <w:rsid w:val="54B3506A"/>
    <w:rsid w:val="54B41724"/>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3606E"/>
    <w:rsid w:val="55DC29B6"/>
    <w:rsid w:val="55DD4241"/>
    <w:rsid w:val="566B6D1E"/>
    <w:rsid w:val="5692707E"/>
    <w:rsid w:val="56DF0A43"/>
    <w:rsid w:val="57032A2C"/>
    <w:rsid w:val="570F5219"/>
    <w:rsid w:val="575D12B5"/>
    <w:rsid w:val="57610A87"/>
    <w:rsid w:val="577B1140"/>
    <w:rsid w:val="577B7F21"/>
    <w:rsid w:val="577F181B"/>
    <w:rsid w:val="57834E6B"/>
    <w:rsid w:val="57866458"/>
    <w:rsid w:val="57921984"/>
    <w:rsid w:val="579737F0"/>
    <w:rsid w:val="57AB7B30"/>
    <w:rsid w:val="57AF5251"/>
    <w:rsid w:val="57B26373"/>
    <w:rsid w:val="57B27F05"/>
    <w:rsid w:val="57B63F04"/>
    <w:rsid w:val="57CD20C2"/>
    <w:rsid w:val="57D675AB"/>
    <w:rsid w:val="57D95FDD"/>
    <w:rsid w:val="57E45EE2"/>
    <w:rsid w:val="582B3593"/>
    <w:rsid w:val="586B6A32"/>
    <w:rsid w:val="5880340A"/>
    <w:rsid w:val="58917D2F"/>
    <w:rsid w:val="5894085C"/>
    <w:rsid w:val="58AE4F0C"/>
    <w:rsid w:val="58B47E5C"/>
    <w:rsid w:val="58B85899"/>
    <w:rsid w:val="58BF6871"/>
    <w:rsid w:val="58E363A9"/>
    <w:rsid w:val="5915074C"/>
    <w:rsid w:val="595E1678"/>
    <w:rsid w:val="596D5BD4"/>
    <w:rsid w:val="597E3DD8"/>
    <w:rsid w:val="598B7C59"/>
    <w:rsid w:val="59DD570D"/>
    <w:rsid w:val="59F13F3A"/>
    <w:rsid w:val="59F80043"/>
    <w:rsid w:val="5A09252F"/>
    <w:rsid w:val="5A0B2778"/>
    <w:rsid w:val="5A2331B3"/>
    <w:rsid w:val="5A2A7C7B"/>
    <w:rsid w:val="5A3E2560"/>
    <w:rsid w:val="5A5D3B6E"/>
    <w:rsid w:val="5A637A76"/>
    <w:rsid w:val="5A6D33BA"/>
    <w:rsid w:val="5A792B1F"/>
    <w:rsid w:val="5A874767"/>
    <w:rsid w:val="5AA85BE2"/>
    <w:rsid w:val="5AAD6F28"/>
    <w:rsid w:val="5AD63A24"/>
    <w:rsid w:val="5B2353A2"/>
    <w:rsid w:val="5B2E1A1D"/>
    <w:rsid w:val="5B6E5FBA"/>
    <w:rsid w:val="5B843A1C"/>
    <w:rsid w:val="5B873E3F"/>
    <w:rsid w:val="5BDD2AAD"/>
    <w:rsid w:val="5C02690E"/>
    <w:rsid w:val="5C196DA7"/>
    <w:rsid w:val="5C2A048C"/>
    <w:rsid w:val="5C4E46A0"/>
    <w:rsid w:val="5C80234E"/>
    <w:rsid w:val="5C84430D"/>
    <w:rsid w:val="5C8A680C"/>
    <w:rsid w:val="5CC85916"/>
    <w:rsid w:val="5D0C4701"/>
    <w:rsid w:val="5D0F0395"/>
    <w:rsid w:val="5D221076"/>
    <w:rsid w:val="5D397964"/>
    <w:rsid w:val="5D5A391C"/>
    <w:rsid w:val="5D5F10C0"/>
    <w:rsid w:val="5D891B7B"/>
    <w:rsid w:val="5D91253D"/>
    <w:rsid w:val="5D966D34"/>
    <w:rsid w:val="5DAD38EE"/>
    <w:rsid w:val="5DFE6352"/>
    <w:rsid w:val="5E006862"/>
    <w:rsid w:val="5E0207B9"/>
    <w:rsid w:val="5E0D40E7"/>
    <w:rsid w:val="5E0F1C0D"/>
    <w:rsid w:val="5E10565B"/>
    <w:rsid w:val="5E1834A1"/>
    <w:rsid w:val="5E261785"/>
    <w:rsid w:val="5E4A7017"/>
    <w:rsid w:val="5E552BBA"/>
    <w:rsid w:val="5E611C10"/>
    <w:rsid w:val="5E7A0F3F"/>
    <w:rsid w:val="5E907E2E"/>
    <w:rsid w:val="5EAD0EDC"/>
    <w:rsid w:val="5EE17A4E"/>
    <w:rsid w:val="5EEF6479"/>
    <w:rsid w:val="5EFC7377"/>
    <w:rsid w:val="5F06174D"/>
    <w:rsid w:val="5F203DD7"/>
    <w:rsid w:val="5F3A3602"/>
    <w:rsid w:val="5F3A715E"/>
    <w:rsid w:val="5F45733B"/>
    <w:rsid w:val="5F546472"/>
    <w:rsid w:val="5F6277C6"/>
    <w:rsid w:val="5F6D0B1D"/>
    <w:rsid w:val="5F8D0B82"/>
    <w:rsid w:val="5F9745B0"/>
    <w:rsid w:val="5FCC5339"/>
    <w:rsid w:val="5FD01870"/>
    <w:rsid w:val="5FE34A5B"/>
    <w:rsid w:val="5FFE1E36"/>
    <w:rsid w:val="6008154F"/>
    <w:rsid w:val="60232584"/>
    <w:rsid w:val="60235132"/>
    <w:rsid w:val="602D33A7"/>
    <w:rsid w:val="607330CE"/>
    <w:rsid w:val="60787F3E"/>
    <w:rsid w:val="60825176"/>
    <w:rsid w:val="608E7761"/>
    <w:rsid w:val="609F2AC4"/>
    <w:rsid w:val="60FA2EE8"/>
    <w:rsid w:val="61054A27"/>
    <w:rsid w:val="6109644E"/>
    <w:rsid w:val="610A52BC"/>
    <w:rsid w:val="611D2366"/>
    <w:rsid w:val="61421856"/>
    <w:rsid w:val="615227C4"/>
    <w:rsid w:val="61654E3F"/>
    <w:rsid w:val="6182292A"/>
    <w:rsid w:val="619F7F92"/>
    <w:rsid w:val="61F94C26"/>
    <w:rsid w:val="62000E56"/>
    <w:rsid w:val="624F3E49"/>
    <w:rsid w:val="62632286"/>
    <w:rsid w:val="62885958"/>
    <w:rsid w:val="62A675E2"/>
    <w:rsid w:val="62F30847"/>
    <w:rsid w:val="62F40B65"/>
    <w:rsid w:val="62FC2CFE"/>
    <w:rsid w:val="62FD0BCE"/>
    <w:rsid w:val="63024505"/>
    <w:rsid w:val="63074459"/>
    <w:rsid w:val="63127AD5"/>
    <w:rsid w:val="632847B8"/>
    <w:rsid w:val="635600A5"/>
    <w:rsid w:val="635B1DB5"/>
    <w:rsid w:val="63711FED"/>
    <w:rsid w:val="63880DDC"/>
    <w:rsid w:val="638D750D"/>
    <w:rsid w:val="638E1826"/>
    <w:rsid w:val="63A268B7"/>
    <w:rsid w:val="63A51143"/>
    <w:rsid w:val="63AC6CC0"/>
    <w:rsid w:val="63B23BC7"/>
    <w:rsid w:val="63C24D92"/>
    <w:rsid w:val="64055776"/>
    <w:rsid w:val="64240056"/>
    <w:rsid w:val="643E143A"/>
    <w:rsid w:val="64491666"/>
    <w:rsid w:val="648B6EEF"/>
    <w:rsid w:val="64963634"/>
    <w:rsid w:val="64B27D9B"/>
    <w:rsid w:val="64C158BF"/>
    <w:rsid w:val="64CA0774"/>
    <w:rsid w:val="64CE2EAA"/>
    <w:rsid w:val="653B4160"/>
    <w:rsid w:val="653C3090"/>
    <w:rsid w:val="65854376"/>
    <w:rsid w:val="65872459"/>
    <w:rsid w:val="658767BE"/>
    <w:rsid w:val="65892531"/>
    <w:rsid w:val="65A96DEB"/>
    <w:rsid w:val="65C70F02"/>
    <w:rsid w:val="65DE176F"/>
    <w:rsid w:val="65E52CED"/>
    <w:rsid w:val="66195831"/>
    <w:rsid w:val="6626043C"/>
    <w:rsid w:val="662E75B1"/>
    <w:rsid w:val="66342C2E"/>
    <w:rsid w:val="663720CA"/>
    <w:rsid w:val="663E784C"/>
    <w:rsid w:val="66700400"/>
    <w:rsid w:val="668A32D0"/>
    <w:rsid w:val="668B6A45"/>
    <w:rsid w:val="66A0106E"/>
    <w:rsid w:val="66B91667"/>
    <w:rsid w:val="66E75458"/>
    <w:rsid w:val="672F3F24"/>
    <w:rsid w:val="673E055F"/>
    <w:rsid w:val="674F751F"/>
    <w:rsid w:val="67551CE3"/>
    <w:rsid w:val="67A22552"/>
    <w:rsid w:val="67B22DCC"/>
    <w:rsid w:val="67BE71AA"/>
    <w:rsid w:val="67D90273"/>
    <w:rsid w:val="67DE5875"/>
    <w:rsid w:val="67E55852"/>
    <w:rsid w:val="67EB1AB4"/>
    <w:rsid w:val="67FA1285"/>
    <w:rsid w:val="682E5386"/>
    <w:rsid w:val="6832302E"/>
    <w:rsid w:val="68551F4F"/>
    <w:rsid w:val="687C10C9"/>
    <w:rsid w:val="68840C16"/>
    <w:rsid w:val="68876EFB"/>
    <w:rsid w:val="68884654"/>
    <w:rsid w:val="689F444F"/>
    <w:rsid w:val="68B96DBB"/>
    <w:rsid w:val="68CA2805"/>
    <w:rsid w:val="68E937A3"/>
    <w:rsid w:val="693E15D3"/>
    <w:rsid w:val="69627681"/>
    <w:rsid w:val="6977531D"/>
    <w:rsid w:val="697E7860"/>
    <w:rsid w:val="698D24A1"/>
    <w:rsid w:val="69AF4A04"/>
    <w:rsid w:val="69BE66B5"/>
    <w:rsid w:val="69CC2BFF"/>
    <w:rsid w:val="69E51685"/>
    <w:rsid w:val="69FC2745"/>
    <w:rsid w:val="69FD55B8"/>
    <w:rsid w:val="6A0B1C62"/>
    <w:rsid w:val="6A2406C8"/>
    <w:rsid w:val="6A6634FD"/>
    <w:rsid w:val="6A6E0137"/>
    <w:rsid w:val="6A846349"/>
    <w:rsid w:val="6ADE0BD1"/>
    <w:rsid w:val="6AE96859"/>
    <w:rsid w:val="6B147746"/>
    <w:rsid w:val="6B24787C"/>
    <w:rsid w:val="6B4052E2"/>
    <w:rsid w:val="6B477A2A"/>
    <w:rsid w:val="6B573233"/>
    <w:rsid w:val="6B5B6274"/>
    <w:rsid w:val="6B7834E8"/>
    <w:rsid w:val="6B935D53"/>
    <w:rsid w:val="6B945E48"/>
    <w:rsid w:val="6BB46B4D"/>
    <w:rsid w:val="6C054650"/>
    <w:rsid w:val="6C196F71"/>
    <w:rsid w:val="6C226FCB"/>
    <w:rsid w:val="6C31226F"/>
    <w:rsid w:val="6C496C32"/>
    <w:rsid w:val="6C552F0B"/>
    <w:rsid w:val="6C8163CC"/>
    <w:rsid w:val="6C8C67B7"/>
    <w:rsid w:val="6C9D744C"/>
    <w:rsid w:val="6D167928"/>
    <w:rsid w:val="6D26299B"/>
    <w:rsid w:val="6D345BED"/>
    <w:rsid w:val="6D4772EC"/>
    <w:rsid w:val="6D481658"/>
    <w:rsid w:val="6D9078AF"/>
    <w:rsid w:val="6DAA3FEF"/>
    <w:rsid w:val="6DC0172B"/>
    <w:rsid w:val="6DCB690C"/>
    <w:rsid w:val="6DD41A5B"/>
    <w:rsid w:val="6DEC1FCB"/>
    <w:rsid w:val="6DF43C2E"/>
    <w:rsid w:val="6DF51CA3"/>
    <w:rsid w:val="6E080427"/>
    <w:rsid w:val="6E1D7FF6"/>
    <w:rsid w:val="6E250FD9"/>
    <w:rsid w:val="6E8335BD"/>
    <w:rsid w:val="6E8E12EF"/>
    <w:rsid w:val="6E972936"/>
    <w:rsid w:val="6ED446C5"/>
    <w:rsid w:val="6EEB648C"/>
    <w:rsid w:val="6EF83FBF"/>
    <w:rsid w:val="6F2A7D94"/>
    <w:rsid w:val="6F377216"/>
    <w:rsid w:val="6F8331F1"/>
    <w:rsid w:val="6F984C65"/>
    <w:rsid w:val="6FAE1A09"/>
    <w:rsid w:val="6FC104BF"/>
    <w:rsid w:val="6FD75BF8"/>
    <w:rsid w:val="6FF83813"/>
    <w:rsid w:val="6FFB0D41"/>
    <w:rsid w:val="702F6635"/>
    <w:rsid w:val="707723D0"/>
    <w:rsid w:val="7086453D"/>
    <w:rsid w:val="70DC3F26"/>
    <w:rsid w:val="70F5661B"/>
    <w:rsid w:val="710A4D84"/>
    <w:rsid w:val="71360107"/>
    <w:rsid w:val="713B688E"/>
    <w:rsid w:val="71557E27"/>
    <w:rsid w:val="7182771C"/>
    <w:rsid w:val="71D43752"/>
    <w:rsid w:val="71F1796A"/>
    <w:rsid w:val="72154626"/>
    <w:rsid w:val="72262B5D"/>
    <w:rsid w:val="72283FF7"/>
    <w:rsid w:val="722E7212"/>
    <w:rsid w:val="723A0474"/>
    <w:rsid w:val="725923E4"/>
    <w:rsid w:val="72864BF7"/>
    <w:rsid w:val="729023FC"/>
    <w:rsid w:val="72965B82"/>
    <w:rsid w:val="72BB62AA"/>
    <w:rsid w:val="730D2510"/>
    <w:rsid w:val="73713C11"/>
    <w:rsid w:val="73C0646E"/>
    <w:rsid w:val="74085625"/>
    <w:rsid w:val="742222F5"/>
    <w:rsid w:val="743F2553"/>
    <w:rsid w:val="74476126"/>
    <w:rsid w:val="745C27A1"/>
    <w:rsid w:val="74706664"/>
    <w:rsid w:val="747F3682"/>
    <w:rsid w:val="74980BF6"/>
    <w:rsid w:val="749C4185"/>
    <w:rsid w:val="74C46F90"/>
    <w:rsid w:val="75067759"/>
    <w:rsid w:val="752E6DCD"/>
    <w:rsid w:val="7546339A"/>
    <w:rsid w:val="7551380D"/>
    <w:rsid w:val="75600BE5"/>
    <w:rsid w:val="7564475C"/>
    <w:rsid w:val="7583797F"/>
    <w:rsid w:val="75947170"/>
    <w:rsid w:val="75AD39FB"/>
    <w:rsid w:val="75D20F1D"/>
    <w:rsid w:val="75DA2C18"/>
    <w:rsid w:val="75F54412"/>
    <w:rsid w:val="76065B94"/>
    <w:rsid w:val="761D08E0"/>
    <w:rsid w:val="765D347C"/>
    <w:rsid w:val="76605D9B"/>
    <w:rsid w:val="7664729D"/>
    <w:rsid w:val="76826699"/>
    <w:rsid w:val="76C87133"/>
    <w:rsid w:val="76CD08D5"/>
    <w:rsid w:val="76DB4B92"/>
    <w:rsid w:val="77052AA4"/>
    <w:rsid w:val="77073972"/>
    <w:rsid w:val="77136511"/>
    <w:rsid w:val="771D176E"/>
    <w:rsid w:val="77340A39"/>
    <w:rsid w:val="77351FD0"/>
    <w:rsid w:val="77470212"/>
    <w:rsid w:val="77472422"/>
    <w:rsid w:val="777F31F2"/>
    <w:rsid w:val="77953325"/>
    <w:rsid w:val="77A15B74"/>
    <w:rsid w:val="77D1700D"/>
    <w:rsid w:val="77D622A3"/>
    <w:rsid w:val="77EC04CC"/>
    <w:rsid w:val="78775729"/>
    <w:rsid w:val="788078FA"/>
    <w:rsid w:val="788259A6"/>
    <w:rsid w:val="78A42DB0"/>
    <w:rsid w:val="78A656AB"/>
    <w:rsid w:val="78B2245C"/>
    <w:rsid w:val="78B66F1B"/>
    <w:rsid w:val="78E172CC"/>
    <w:rsid w:val="78EA1D1F"/>
    <w:rsid w:val="78EA354B"/>
    <w:rsid w:val="7904172F"/>
    <w:rsid w:val="790F7E27"/>
    <w:rsid w:val="792A231A"/>
    <w:rsid w:val="792C5912"/>
    <w:rsid w:val="79316829"/>
    <w:rsid w:val="795F6ED2"/>
    <w:rsid w:val="797E66A9"/>
    <w:rsid w:val="798518A4"/>
    <w:rsid w:val="79975481"/>
    <w:rsid w:val="799F781A"/>
    <w:rsid w:val="79A72C42"/>
    <w:rsid w:val="79A97383"/>
    <w:rsid w:val="79E27E8B"/>
    <w:rsid w:val="79F850CE"/>
    <w:rsid w:val="79FD443C"/>
    <w:rsid w:val="7A1D1975"/>
    <w:rsid w:val="7A33702A"/>
    <w:rsid w:val="7A3E5150"/>
    <w:rsid w:val="7A4670D6"/>
    <w:rsid w:val="7A534B63"/>
    <w:rsid w:val="7A611232"/>
    <w:rsid w:val="7A615382"/>
    <w:rsid w:val="7A67303B"/>
    <w:rsid w:val="7A6F5AB6"/>
    <w:rsid w:val="7AA36F7D"/>
    <w:rsid w:val="7AAB1D04"/>
    <w:rsid w:val="7ABA4368"/>
    <w:rsid w:val="7AD05746"/>
    <w:rsid w:val="7AF04C56"/>
    <w:rsid w:val="7B0703E4"/>
    <w:rsid w:val="7B205002"/>
    <w:rsid w:val="7B257FFD"/>
    <w:rsid w:val="7B2A40D3"/>
    <w:rsid w:val="7B343476"/>
    <w:rsid w:val="7B3D79A6"/>
    <w:rsid w:val="7B5A2978"/>
    <w:rsid w:val="7B5A7E4C"/>
    <w:rsid w:val="7B667AF9"/>
    <w:rsid w:val="7B7468F8"/>
    <w:rsid w:val="7B94571F"/>
    <w:rsid w:val="7BEE0103"/>
    <w:rsid w:val="7BF25856"/>
    <w:rsid w:val="7BFA2E42"/>
    <w:rsid w:val="7C09018C"/>
    <w:rsid w:val="7C0A0FE4"/>
    <w:rsid w:val="7C254906"/>
    <w:rsid w:val="7C271095"/>
    <w:rsid w:val="7C590818"/>
    <w:rsid w:val="7C7C10F6"/>
    <w:rsid w:val="7C853BEA"/>
    <w:rsid w:val="7C881368"/>
    <w:rsid w:val="7CE27788"/>
    <w:rsid w:val="7CF46400"/>
    <w:rsid w:val="7D0C32F1"/>
    <w:rsid w:val="7D0F408D"/>
    <w:rsid w:val="7D2D3F3E"/>
    <w:rsid w:val="7D491C6C"/>
    <w:rsid w:val="7D5429C0"/>
    <w:rsid w:val="7D6E6D43"/>
    <w:rsid w:val="7DB57A34"/>
    <w:rsid w:val="7DD213BC"/>
    <w:rsid w:val="7DE60973"/>
    <w:rsid w:val="7DEF0916"/>
    <w:rsid w:val="7E1E5218"/>
    <w:rsid w:val="7E957AB5"/>
    <w:rsid w:val="7E9A4E1F"/>
    <w:rsid w:val="7EA7723A"/>
    <w:rsid w:val="7ECD4D1C"/>
    <w:rsid w:val="7EF56FBB"/>
    <w:rsid w:val="7F0768EB"/>
    <w:rsid w:val="7F143BEC"/>
    <w:rsid w:val="7F325443"/>
    <w:rsid w:val="7F666987"/>
    <w:rsid w:val="7F715AF2"/>
    <w:rsid w:val="7F886E69"/>
    <w:rsid w:val="7FCC7507"/>
    <w:rsid w:val="7FF32CE5"/>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4"/>
    <w:autoRedefine/>
    <w:qFormat/>
    <w:uiPriority w:val="0"/>
    <w:pPr>
      <w:spacing w:line="480" w:lineRule="exact"/>
      <w:ind w:firstLine="480" w:firstLineChars="200"/>
    </w:pPr>
    <w:rPr>
      <w:rFonts w:ascii="宋体" w:hAnsi="宋体"/>
      <w:sz w:val="24"/>
    </w:rPr>
  </w:style>
  <w:style w:type="paragraph" w:styleId="25">
    <w:name w:val="Body Text First Indent 2"/>
    <w:basedOn w:val="24"/>
    <w:next w:val="1"/>
    <w:link w:val="121"/>
    <w:autoRedefine/>
    <w:qFormat/>
    <w:uiPriority w:val="0"/>
    <w:pPr>
      <w:adjustRightInd/>
      <w:spacing w:after="120" w:line="240" w:lineRule="auto"/>
      <w:ind w:left="420" w:leftChars="200" w:firstLine="210"/>
    </w:pPr>
    <w:rPr>
      <w:sz w:val="21"/>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1"/>
    <w:autoRedefine/>
    <w:qFormat/>
    <w:uiPriority w:val="0"/>
    <w:pPr>
      <w:ind w:left="100" w:leftChars="2500"/>
    </w:pPr>
    <w:rPr>
      <w:rFonts w:ascii="宋体"/>
      <w:sz w:val="24"/>
      <w:szCs w:val="21"/>
      <w:lang w:val="zh-CN"/>
    </w:r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0"/>
    <w:autoRedefine/>
    <w:qFormat/>
    <w:uiPriority w:val="0"/>
    <w:rPr>
      <w:lang w:val="zh-CN"/>
    </w:rPr>
  </w:style>
  <w:style w:type="paragraph" w:styleId="39">
    <w:name w:val="Balloon Text"/>
    <w:basedOn w:val="1"/>
    <w:link w:val="188"/>
    <w:autoRedefine/>
    <w:qFormat/>
    <w:uiPriority w:val="0"/>
    <w:rPr>
      <w:sz w:val="18"/>
      <w:szCs w:val="18"/>
    </w:rPr>
  </w:style>
  <w:style w:type="paragraph" w:styleId="40">
    <w:name w:val="footer"/>
    <w:basedOn w:val="1"/>
    <w:link w:val="382"/>
    <w:autoRedefine/>
    <w:qFormat/>
    <w:uiPriority w:val="99"/>
    <w:pPr>
      <w:tabs>
        <w:tab w:val="center" w:pos="4153"/>
        <w:tab w:val="right" w:pos="8306"/>
      </w:tabs>
      <w:snapToGrid w:val="0"/>
      <w:jc w:val="left"/>
    </w:pPr>
    <w:rPr>
      <w:sz w:val="18"/>
      <w:szCs w:val="18"/>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autoRedefine/>
    <w:qFormat/>
    <w:uiPriority w:val="0"/>
    <w:rPr>
      <w:b/>
      <w:bCs/>
    </w:rPr>
  </w:style>
  <w:style w:type="paragraph" w:styleId="61">
    <w:name w:val="Body Text First Indent"/>
    <w:basedOn w:val="23"/>
    <w:link w:val="320"/>
    <w:autoRedefine/>
    <w:qFormat/>
    <w:uiPriority w:val="0"/>
    <w:pPr>
      <w:ind w:firstLine="420"/>
    </w:pPr>
    <w:rPr>
      <w:rFonts w:hAnsi="Calibri" w:cs="Times New Roman"/>
      <w:snapToGrid/>
      <w:szCs w:val="20"/>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styleId="79">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80">
    <w:name w:val="_Style 3"/>
    <w:basedOn w:val="1"/>
    <w:autoRedefine/>
    <w:qFormat/>
    <w:uiPriority w:val="0"/>
    <w:pPr>
      <w:adjustRightInd/>
      <w:ind w:firstLine="420" w:firstLineChars="200"/>
    </w:pPr>
    <w:rPr>
      <w:rFonts w:eastAsia="仿宋_GB2312"/>
      <w:sz w:val="28"/>
    </w:rPr>
  </w:style>
  <w:style w:type="paragraph" w:customStyle="1" w:styleId="81">
    <w:name w:val="正文文本首行缩进1"/>
    <w:basedOn w:val="23"/>
    <w:autoRedefine/>
    <w:qFormat/>
    <w:uiPriority w:val="0"/>
    <w:pPr>
      <w:ind w:firstLine="420"/>
    </w:pPr>
    <w:rPr>
      <w:rFonts w:hAnsi="Calibri" w:cs="Times New Roman"/>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字符"/>
    <w:link w:val="60"/>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25"/>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autoRedefine/>
    <w:qFormat/>
    <w:uiPriority w:val="0"/>
    <w:rPr>
      <w:rFonts w:ascii="Arial" w:hAnsi="Arial" w:eastAsia="黑体" w:cs="Arial"/>
      <w:snapToGrid w:val="0"/>
      <w:kern w:val="0"/>
      <w:szCs w:val="21"/>
    </w:rPr>
  </w:style>
  <w:style w:type="character" w:customStyle="1" w:styleId="125">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字符"/>
    <w:link w:val="47"/>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字符"/>
    <w:link w:val="7"/>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2"/>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字符"/>
    <w:link w:val="36"/>
    <w:autoRedefine/>
    <w:qFormat/>
    <w:uiPriority w:val="0"/>
    <w:rPr>
      <w:rFonts w:ascii="宋体"/>
      <w:kern w:val="2"/>
      <w:sz w:val="24"/>
      <w:szCs w:val="21"/>
      <w:lang w:val="zh-CN"/>
    </w:rPr>
  </w:style>
  <w:style w:type="character" w:customStyle="1" w:styleId="182">
    <w:name w:val="标题 9 字符"/>
    <w:link w:val="10"/>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字符1"/>
    <w:link w:val="39"/>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字符"/>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69"/>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字符"/>
    <w:link w:val="30"/>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5"/>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字符"/>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79"/>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3"/>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59"/>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6"/>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7"/>
    <w:autoRedefine/>
    <w:qFormat/>
    <w:uiPriority w:val="0"/>
    <w:rPr>
      <w:rFonts w:ascii="黑体" w:hAnsi="Courier New" w:eastAsia="黑体"/>
    </w:rPr>
  </w:style>
  <w:style w:type="character" w:customStyle="1" w:styleId="301">
    <w:name w:val="正文文本 2 字符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5"/>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8"/>
    <w:autoRedefine/>
    <w:qFormat/>
    <w:uiPriority w:val="0"/>
    <w:rPr>
      <w:b/>
      <w:bCs/>
      <w:kern w:val="2"/>
      <w:sz w:val="24"/>
      <w:szCs w:val="24"/>
    </w:rPr>
  </w:style>
  <w:style w:type="character" w:customStyle="1" w:styleId="307">
    <w:name w:val="正文文本缩进 2 字符"/>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61"/>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5"/>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autoRedefine/>
    <w:qFormat/>
    <w:uiPriority w:val="0"/>
    <w:rPr>
      <w:kern w:val="2"/>
      <w:sz w:val="21"/>
      <w:szCs w:val="24"/>
    </w:rPr>
  </w:style>
  <w:style w:type="character" w:customStyle="1" w:styleId="344">
    <w:name w:val="签名 字符"/>
    <w:link w:val="42"/>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9"/>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40"/>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1"/>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1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7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6"/>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5"/>
    <w:next w:val="235"/>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5"/>
    <w:next w:val="235"/>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8"/>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79"/>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autoRedefine/>
    <w:qFormat/>
    <w:uiPriority w:val="0"/>
    <w:pPr>
      <w:tabs>
        <w:tab w:val="left" w:pos="1080"/>
      </w:tabs>
      <w:ind w:left="1080" w:hanging="1080"/>
    </w:pPr>
  </w:style>
  <w:style w:type="paragraph" w:customStyle="1" w:styleId="895">
    <w:name w:val="数字标题1"/>
    <w:basedOn w:val="3"/>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2"/>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字符"/>
    <w:link w:val="38"/>
    <w:autoRedefine/>
    <w:qFormat/>
    <w:uiPriority w:val="0"/>
    <w:rPr>
      <w:kern w:val="2"/>
      <w:sz w:val="21"/>
      <w:szCs w:val="24"/>
      <w:lang w:val="zh-CN"/>
    </w:rPr>
  </w:style>
  <w:style w:type="character" w:customStyle="1" w:styleId="931">
    <w:name w:val="无间隔 字符"/>
    <w:link w:val="482"/>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79"/>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md-end-block"/>
    <w:basedOn w:val="1"/>
    <w:autoRedefine/>
    <w:qFormat/>
    <w:uiPriority w:val="0"/>
    <w:pPr>
      <w:widowControl/>
      <w:adjustRightInd/>
      <w:spacing w:before="100" w:beforeAutospacing="1" w:after="100" w:afterAutospacing="1"/>
      <w:jc w:val="left"/>
    </w:pPr>
    <w:rPr>
      <w:rFonts w:ascii="宋体" w:hAnsi="宋体" w:cs="宋体"/>
      <w:kern w:val="0"/>
      <w:sz w:val="24"/>
    </w:rPr>
  </w:style>
  <w:style w:type="character" w:customStyle="1" w:styleId="963">
    <w:name w:val="md-plain"/>
    <w:basedOn w:val="69"/>
    <w:autoRedefine/>
    <w:qFormat/>
    <w:uiPriority w:val="0"/>
  </w:style>
  <w:style w:type="character" w:customStyle="1" w:styleId="964">
    <w:name w:val="font101"/>
    <w:basedOn w:val="69"/>
    <w:autoRedefine/>
    <w:qFormat/>
    <w:uiPriority w:val="0"/>
    <w:rPr>
      <w:rFonts w:hint="default" w:ascii="Calibri" w:hAnsi="Calibri" w:cs="Calibri"/>
      <w:color w:val="000000"/>
      <w:sz w:val="22"/>
      <w:szCs w:val="22"/>
      <w:u w:val="none"/>
    </w:rPr>
  </w:style>
  <w:style w:type="character" w:customStyle="1" w:styleId="965">
    <w:name w:val="font121"/>
    <w:basedOn w:val="69"/>
    <w:autoRedefine/>
    <w:qFormat/>
    <w:uiPriority w:val="0"/>
    <w:rPr>
      <w:rFonts w:hint="default" w:ascii="Calibri" w:hAnsi="Calibri" w:cs="Calibri"/>
      <w:b/>
      <w:bCs/>
      <w:color w:val="000000"/>
      <w:sz w:val="22"/>
      <w:szCs w:val="22"/>
      <w:u w:val="none"/>
    </w:rPr>
  </w:style>
  <w:style w:type="character" w:customStyle="1" w:styleId="966">
    <w:name w:val="font131"/>
    <w:basedOn w:val="69"/>
    <w:autoRedefine/>
    <w:qFormat/>
    <w:uiPriority w:val="0"/>
    <w:rPr>
      <w:rFonts w:hint="eastAsia" w:ascii="宋体" w:hAnsi="宋体" w:eastAsia="宋体" w:cs="宋体"/>
      <w:b/>
      <w:bCs/>
      <w:color w:val="000000"/>
      <w:sz w:val="22"/>
      <w:szCs w:val="22"/>
      <w:u w:val="none"/>
    </w:rPr>
  </w:style>
  <w:style w:type="character" w:customStyle="1" w:styleId="967">
    <w:name w:val="font112"/>
    <w:basedOn w:val="69"/>
    <w:autoRedefine/>
    <w:qFormat/>
    <w:uiPriority w:val="0"/>
    <w:rPr>
      <w:rFonts w:hint="default" w:ascii="Calibri" w:hAnsi="Calibri" w:cs="Calibri"/>
      <w:b/>
      <w:bCs/>
      <w:color w:val="000000"/>
      <w:sz w:val="22"/>
      <w:szCs w:val="22"/>
      <w:u w:val="none"/>
    </w:rPr>
  </w:style>
  <w:style w:type="paragraph" w:customStyle="1" w:styleId="968">
    <w:name w:val="招标正文"/>
    <w:basedOn w:val="1"/>
    <w:autoRedefine/>
    <w:qFormat/>
    <w:uiPriority w:val="0"/>
    <w:pPr>
      <w:snapToGrid w:val="0"/>
      <w:spacing w:line="360" w:lineRule="auto"/>
      <w:ind w:firstLine="480" w:firstLineChars="200"/>
    </w:pPr>
    <w:rPr>
      <w:rFonts w:ascii="宋体" w:hAnsi="宋体"/>
      <w:color w:val="000000"/>
      <w:kern w:val="0"/>
      <w:sz w:val="24"/>
      <w:szCs w:val="21"/>
    </w:rPr>
  </w:style>
  <w:style w:type="paragraph" w:customStyle="1" w:styleId="969">
    <w:name w:val="正文空2字"/>
    <w:basedOn w:val="97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0">
    <w:name w:val="左对齐正文"/>
    <w:autoRedefine/>
    <w:qFormat/>
    <w:uiPriority w:val="99"/>
    <w:rPr>
      <w:rFonts w:ascii="Calibri" w:hAnsi="Calibri" w:eastAsia="仿宋_GB2312" w:cs="Calibri"/>
      <w:kern w:val="2"/>
      <w:sz w:val="32"/>
      <w:szCs w:val="32"/>
      <w:lang w:val="en-US" w:eastAsia="zh-CN" w:bidi="ar-SA"/>
    </w:rPr>
  </w:style>
  <w:style w:type="character" w:customStyle="1" w:styleId="971">
    <w:name w:val="Unresolved Mention"/>
    <w:basedOn w:val="69"/>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94</Pages>
  <Words>47584</Words>
  <Characters>51488</Characters>
  <Lines>422</Lines>
  <Paragraphs>119</Paragraphs>
  <TotalTime>31</TotalTime>
  <ScaleCrop>false</ScaleCrop>
  <LinksUpToDate>false</LinksUpToDate>
  <CharactersWithSpaces>57293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2025-05-14T00:21:00Z</dcterms:created>
  <dc:creator>玥</dc:creator>
  <cp:lastModifiedBy>郭笑双</cp:lastModifiedBy>
  <cp:lastPrinted>2025-06-13T06:21:00Z</cp:lastPrinted>
  <dcterms:modified xsi:type="dcterms:W3CDTF">2025-07-02T01:29:24Z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71C8DE7B909748D49629F33F3762CB97</vt:lpwstr>
  </property>
  <property fmtid="{D5CDD505-2E9C-101B-9397-08002B2CF9AE}" pid="5" name="KSOTemplateDocerSaveRecord">
    <vt:lpwstr>eyJoZGlkIjoiNDg0YzU1Y2ZkYTQxZTQ1ZDE4NGM5MWU0N2M0MGMyYjUiLCJ1c2VySWQiOiI1ODAwMjYxMDEifQ==</vt:lpwstr>
  </property>
</Properties>
</file>