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C95FF">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绍兴市第一中学田径场维修改造工程</w:t>
      </w:r>
    </w:p>
    <w:p w14:paraId="64208696">
      <w:pPr>
        <w:spacing w:line="240" w:lineRule="atLeast"/>
        <w:jc w:val="center"/>
        <w:outlineLvl w:val="0"/>
        <w:rPr>
          <w:rFonts w:hint="eastAsia" w:ascii="仿宋" w:hAnsi="仿宋" w:eastAsia="仿宋" w:cs="仿宋"/>
          <w:b/>
          <w:color w:val="auto"/>
          <w:sz w:val="72"/>
          <w:szCs w:val="72"/>
          <w:highlight w:val="none"/>
        </w:rPr>
      </w:pPr>
    </w:p>
    <w:p w14:paraId="7B4CF2C0">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2CBC9974">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3CD94F05">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629967D2">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596FC743">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65EBE401">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4A584E2">
      <w:pPr>
        <w:spacing w:line="240" w:lineRule="atLeast"/>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1CB11DE4">
      <w:pPr>
        <w:adjustRightInd/>
        <w:spacing w:line="360" w:lineRule="auto"/>
        <w:jc w:val="center"/>
        <w:rPr>
          <w:rFonts w:ascii="仿宋" w:hAnsi="仿宋" w:eastAsia="仿宋" w:cs="仿宋"/>
          <w:color w:val="auto"/>
          <w:sz w:val="28"/>
          <w:szCs w:val="20"/>
          <w:highlight w:val="none"/>
        </w:rPr>
      </w:pPr>
      <w:r>
        <w:rPr>
          <w:rFonts w:hint="eastAsia" w:ascii="仿宋" w:hAnsi="仿宋" w:eastAsia="仿宋" w:cs="仿宋"/>
          <w:b/>
          <w:color w:val="auto"/>
          <w:sz w:val="44"/>
          <w:szCs w:val="44"/>
          <w:highlight w:val="none"/>
        </w:rPr>
        <w:t>（电子交易）</w:t>
      </w:r>
    </w:p>
    <w:p w14:paraId="48F0ABE1">
      <w:pPr>
        <w:snapToGrid w:val="0"/>
        <w:spacing w:line="360" w:lineRule="auto"/>
        <w:jc w:val="center"/>
        <w:rPr>
          <w:rFonts w:ascii="仿宋" w:hAnsi="仿宋" w:eastAsia="仿宋" w:cs="仿宋"/>
          <w:color w:val="auto"/>
          <w:sz w:val="32"/>
          <w:szCs w:val="32"/>
          <w:highlight w:val="none"/>
        </w:rPr>
      </w:pPr>
    </w:p>
    <w:p w14:paraId="1BD5ABFA">
      <w:pPr>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磋商编号：</w:t>
      </w:r>
      <w:r>
        <w:rPr>
          <w:rFonts w:hint="eastAsia" w:ascii="仿宋" w:hAnsi="仿宋" w:eastAsia="仿宋" w:cs="仿宋"/>
          <w:color w:val="auto"/>
          <w:sz w:val="32"/>
          <w:szCs w:val="32"/>
          <w:highlight w:val="none"/>
          <w:lang w:eastAsia="zh-CN"/>
        </w:rPr>
        <w:t>ZJHX-2025-05-08-1</w:t>
      </w:r>
    </w:p>
    <w:tbl>
      <w:tblPr>
        <w:tblStyle w:val="60"/>
        <w:tblW w:w="7801" w:type="dxa"/>
        <w:jc w:val="center"/>
        <w:tblLayout w:type="fixed"/>
        <w:tblCellMar>
          <w:top w:w="0" w:type="dxa"/>
          <w:left w:w="108" w:type="dxa"/>
          <w:bottom w:w="0" w:type="dxa"/>
          <w:right w:w="108" w:type="dxa"/>
        </w:tblCellMar>
      </w:tblPr>
      <w:tblGrid>
        <w:gridCol w:w="2356"/>
        <w:gridCol w:w="5445"/>
      </w:tblGrid>
      <w:tr w14:paraId="67364E82">
        <w:tblPrEx>
          <w:tblCellMar>
            <w:top w:w="0" w:type="dxa"/>
            <w:left w:w="108" w:type="dxa"/>
            <w:bottom w:w="0" w:type="dxa"/>
            <w:right w:w="108" w:type="dxa"/>
          </w:tblCellMar>
        </w:tblPrEx>
        <w:trPr>
          <w:trHeight w:val="454" w:hRule="atLeast"/>
          <w:jc w:val="center"/>
        </w:trPr>
        <w:tc>
          <w:tcPr>
            <w:tcW w:w="2356" w:type="dxa"/>
            <w:vAlign w:val="center"/>
          </w:tcPr>
          <w:p w14:paraId="5D09F17D">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2090884853"/>
              </w:rPr>
              <w:t>采购单位</w:t>
            </w:r>
            <w:r>
              <w:rPr>
                <w:rFonts w:hint="eastAsia" w:ascii="仿宋" w:hAnsi="仿宋" w:eastAsia="仿宋" w:cs="仿宋"/>
                <w:color w:val="auto"/>
                <w:spacing w:val="0"/>
                <w:kern w:val="0"/>
                <w:sz w:val="32"/>
                <w:szCs w:val="32"/>
                <w:highlight w:val="none"/>
                <w:fitText w:val="2240" w:id="2090884853"/>
              </w:rPr>
              <w:t>：</w:t>
            </w:r>
          </w:p>
        </w:tc>
        <w:tc>
          <w:tcPr>
            <w:tcW w:w="5445" w:type="dxa"/>
            <w:vAlign w:val="center"/>
          </w:tcPr>
          <w:p w14:paraId="683A2900">
            <w:pPr>
              <w:spacing w:line="320" w:lineRule="exact"/>
              <w:outlineLvl w:val="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绍兴市第一中学</w:t>
            </w:r>
          </w:p>
        </w:tc>
      </w:tr>
      <w:tr w14:paraId="18667BFE">
        <w:tblPrEx>
          <w:tblCellMar>
            <w:top w:w="0" w:type="dxa"/>
            <w:left w:w="108" w:type="dxa"/>
            <w:bottom w:w="0" w:type="dxa"/>
            <w:right w:w="108" w:type="dxa"/>
          </w:tblCellMar>
        </w:tblPrEx>
        <w:trPr>
          <w:trHeight w:val="454" w:hRule="atLeast"/>
          <w:jc w:val="center"/>
        </w:trPr>
        <w:tc>
          <w:tcPr>
            <w:tcW w:w="2356" w:type="dxa"/>
            <w:vAlign w:val="center"/>
          </w:tcPr>
          <w:p w14:paraId="1B680A7E">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采购代理机构</w:t>
            </w:r>
            <w:r>
              <w:rPr>
                <w:rFonts w:hint="eastAsia" w:ascii="仿宋" w:hAnsi="仿宋" w:eastAsia="仿宋" w:cs="仿宋"/>
                <w:color w:val="auto"/>
                <w:sz w:val="32"/>
                <w:szCs w:val="32"/>
                <w:highlight w:val="none"/>
              </w:rPr>
              <w:t>：</w:t>
            </w:r>
          </w:p>
        </w:tc>
        <w:tc>
          <w:tcPr>
            <w:tcW w:w="5445" w:type="dxa"/>
            <w:vAlign w:val="center"/>
          </w:tcPr>
          <w:p w14:paraId="18883742">
            <w:pPr>
              <w:spacing w:after="100" w:afterAutospacing="1" w:line="44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浙江华夏工程管理有限公司</w:t>
            </w:r>
          </w:p>
        </w:tc>
      </w:tr>
      <w:tr w14:paraId="0AD4589B">
        <w:tblPrEx>
          <w:tblCellMar>
            <w:top w:w="0" w:type="dxa"/>
            <w:left w:w="108" w:type="dxa"/>
            <w:bottom w:w="0" w:type="dxa"/>
            <w:right w:w="108" w:type="dxa"/>
          </w:tblCellMar>
        </w:tblPrEx>
        <w:trPr>
          <w:trHeight w:val="454" w:hRule="atLeast"/>
          <w:jc w:val="center"/>
        </w:trPr>
        <w:tc>
          <w:tcPr>
            <w:tcW w:w="2356" w:type="dxa"/>
            <w:vAlign w:val="center"/>
          </w:tcPr>
          <w:p w14:paraId="618CDFBA">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1"/>
              </w:rPr>
              <w:t>监督单位</w:t>
            </w:r>
            <w:r>
              <w:rPr>
                <w:rFonts w:hint="eastAsia" w:ascii="仿宋" w:hAnsi="仿宋" w:eastAsia="仿宋" w:cs="仿宋"/>
                <w:color w:val="auto"/>
                <w:spacing w:val="0"/>
                <w:kern w:val="0"/>
                <w:sz w:val="32"/>
                <w:szCs w:val="32"/>
                <w:highlight w:val="none"/>
                <w:fitText w:val="2240" w:id="1"/>
              </w:rPr>
              <w:t>：</w:t>
            </w:r>
          </w:p>
        </w:tc>
        <w:tc>
          <w:tcPr>
            <w:tcW w:w="5445" w:type="dxa"/>
            <w:vAlign w:val="center"/>
          </w:tcPr>
          <w:p w14:paraId="35994801">
            <w:pPr>
              <w:spacing w:after="100" w:afterAutospacing="1" w:line="44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绍兴市财政局</w:t>
            </w:r>
          </w:p>
        </w:tc>
      </w:tr>
      <w:tr w14:paraId="3B1E6900">
        <w:tblPrEx>
          <w:tblCellMar>
            <w:top w:w="0" w:type="dxa"/>
            <w:left w:w="108" w:type="dxa"/>
            <w:bottom w:w="0" w:type="dxa"/>
            <w:right w:w="108" w:type="dxa"/>
          </w:tblCellMar>
        </w:tblPrEx>
        <w:trPr>
          <w:trHeight w:val="454" w:hRule="atLeast"/>
          <w:jc w:val="center"/>
        </w:trPr>
        <w:tc>
          <w:tcPr>
            <w:tcW w:w="7801" w:type="dxa"/>
            <w:gridSpan w:val="2"/>
            <w:vAlign w:val="center"/>
          </w:tcPr>
          <w:p w14:paraId="6EDFDAEE">
            <w:pPr>
              <w:spacing w:after="100" w:afterAutospacing="1"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tc>
      </w:tr>
    </w:tbl>
    <w:p w14:paraId="17F6B088">
      <w:pPr>
        <w:tabs>
          <w:tab w:val="left" w:pos="2268"/>
        </w:tabs>
        <w:spacing w:line="360" w:lineRule="auto"/>
        <w:jc w:val="center"/>
        <w:rPr>
          <w:rFonts w:ascii="宋体" w:hAnsi="宋体" w:eastAsia="宋体" w:cs="仿宋_GB2312"/>
          <w:color w:val="auto"/>
          <w:sz w:val="24"/>
          <w:highlight w:val="none"/>
        </w:rPr>
        <w:sectPr>
          <w:headerReference r:id="rId3" w:type="even"/>
          <w:footerReference r:id="rId4" w:type="even"/>
          <w:pgSz w:w="11906" w:h="16838"/>
          <w:pgMar w:top="1814" w:right="1474" w:bottom="1814" w:left="1474" w:header="851" w:footer="992" w:gutter="0"/>
          <w:cols w:space="720" w:num="1"/>
          <w:titlePg/>
          <w:docGrid w:linePitch="312" w:charSpace="0"/>
        </w:sectPr>
      </w:pPr>
    </w:p>
    <w:p w14:paraId="39231B4D">
      <w:pPr>
        <w:pStyle w:val="71"/>
        <w:rPr>
          <w:color w:val="auto"/>
          <w:highlight w:val="none"/>
        </w:rPr>
      </w:pPr>
    </w:p>
    <w:p w14:paraId="7D286A88">
      <w:pPr>
        <w:spacing w:line="360" w:lineRule="auto"/>
        <w:jc w:val="center"/>
        <w:rPr>
          <w:rFonts w:hint="eastAsia" w:ascii="仿宋" w:hAnsi="仿宋" w:eastAsia="仿宋" w:cs="仿宋"/>
          <w:b/>
          <w:color w:val="auto"/>
          <w:sz w:val="48"/>
          <w:szCs w:val="48"/>
          <w:highlight w:val="none"/>
        </w:rPr>
      </w:pPr>
    </w:p>
    <w:p w14:paraId="2C28F545">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B2C9774">
      <w:pPr>
        <w:spacing w:line="360" w:lineRule="auto"/>
        <w:rPr>
          <w:rFonts w:ascii="仿宋" w:hAnsi="仿宋" w:eastAsia="仿宋" w:cs="仿宋"/>
          <w:color w:val="auto"/>
          <w:sz w:val="32"/>
          <w:szCs w:val="32"/>
          <w:highlight w:val="none"/>
        </w:rPr>
      </w:pPr>
    </w:p>
    <w:p w14:paraId="2F41F35F">
      <w:pPr>
        <w:spacing w:line="360" w:lineRule="auto"/>
        <w:rPr>
          <w:rFonts w:ascii="仿宋" w:hAnsi="仿宋" w:eastAsia="仿宋" w:cs="仿宋"/>
          <w:color w:val="auto"/>
          <w:sz w:val="32"/>
          <w:szCs w:val="32"/>
          <w:highlight w:val="none"/>
        </w:rPr>
      </w:pPr>
    </w:p>
    <w:p w14:paraId="3D2A30D0">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磋商邀请公告</w:t>
      </w:r>
    </w:p>
    <w:p w14:paraId="6893EE26">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14:paraId="7428FB37">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14:paraId="65A1DEF2">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14:paraId="47820769">
      <w:pPr>
        <w:spacing w:line="360" w:lineRule="auto"/>
        <w:ind w:firstLine="1446" w:firstLineChars="4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评审方法及标准</w:t>
      </w:r>
    </w:p>
    <w:p w14:paraId="63C82234">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第六部分      磋商响应文件及其附件格式</w:t>
      </w:r>
    </w:p>
    <w:p w14:paraId="0E5C48F9">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0C373374">
      <w:pPr>
        <w:spacing w:line="360" w:lineRule="auto"/>
        <w:ind w:firstLine="549" w:firstLineChars="229"/>
        <w:rPr>
          <w:rFonts w:ascii="宋体" w:hAnsi="宋体" w:eastAsia="宋体" w:cs="仿宋_GB2312"/>
          <w:color w:val="auto"/>
          <w:sz w:val="24"/>
          <w:highlight w:val="none"/>
        </w:rPr>
      </w:pPr>
    </w:p>
    <w:p w14:paraId="1C7E4A4D">
      <w:pPr>
        <w:spacing w:line="360" w:lineRule="auto"/>
        <w:ind w:firstLine="549" w:firstLineChars="229"/>
        <w:rPr>
          <w:rFonts w:ascii="宋体" w:hAnsi="宋体" w:eastAsia="宋体" w:cs="仿宋_GB2312"/>
          <w:color w:val="auto"/>
          <w:sz w:val="24"/>
          <w:highlight w:val="none"/>
        </w:rPr>
      </w:pPr>
    </w:p>
    <w:p w14:paraId="4A151C20">
      <w:pPr>
        <w:spacing w:line="360" w:lineRule="auto"/>
        <w:ind w:firstLine="549" w:firstLineChars="229"/>
        <w:rPr>
          <w:rFonts w:ascii="宋体" w:hAnsi="宋体" w:eastAsia="宋体" w:cs="仿宋_GB2312"/>
          <w:color w:val="auto"/>
          <w:sz w:val="24"/>
          <w:highlight w:val="none"/>
        </w:rPr>
      </w:pPr>
    </w:p>
    <w:p w14:paraId="4380E087">
      <w:pPr>
        <w:spacing w:line="360" w:lineRule="auto"/>
        <w:ind w:firstLine="549" w:firstLineChars="229"/>
        <w:rPr>
          <w:rFonts w:ascii="宋体" w:hAnsi="宋体" w:eastAsia="宋体" w:cs="仿宋_GB2312"/>
          <w:color w:val="auto"/>
          <w:sz w:val="24"/>
          <w:highlight w:val="none"/>
        </w:rPr>
      </w:pPr>
    </w:p>
    <w:p w14:paraId="51FF9A54">
      <w:pPr>
        <w:spacing w:line="360" w:lineRule="auto"/>
        <w:ind w:firstLine="549" w:firstLineChars="229"/>
        <w:rPr>
          <w:rFonts w:ascii="宋体" w:hAnsi="宋体" w:eastAsia="宋体" w:cs="仿宋_GB2312"/>
          <w:color w:val="auto"/>
          <w:sz w:val="24"/>
          <w:highlight w:val="none"/>
        </w:rPr>
      </w:pPr>
    </w:p>
    <w:p w14:paraId="717F8D15">
      <w:pPr>
        <w:spacing w:line="360" w:lineRule="auto"/>
        <w:ind w:firstLine="549" w:firstLineChars="229"/>
        <w:rPr>
          <w:rFonts w:ascii="宋体" w:hAnsi="宋体" w:eastAsia="宋体" w:cs="仿宋_GB2312"/>
          <w:color w:val="auto"/>
          <w:sz w:val="24"/>
          <w:highlight w:val="none"/>
        </w:rPr>
      </w:pPr>
    </w:p>
    <w:p w14:paraId="5003C8C3">
      <w:pPr>
        <w:spacing w:line="360" w:lineRule="auto"/>
        <w:ind w:firstLine="549" w:firstLineChars="229"/>
        <w:rPr>
          <w:rFonts w:ascii="宋体" w:hAnsi="宋体" w:eastAsia="宋体" w:cs="仿宋_GB2312"/>
          <w:color w:val="auto"/>
          <w:sz w:val="24"/>
          <w:highlight w:val="none"/>
        </w:rPr>
      </w:pPr>
    </w:p>
    <w:p w14:paraId="14FC5069">
      <w:pPr>
        <w:spacing w:line="360" w:lineRule="auto"/>
        <w:ind w:firstLine="549" w:firstLineChars="229"/>
        <w:rPr>
          <w:rFonts w:ascii="宋体" w:hAnsi="宋体" w:eastAsia="宋体" w:cs="仿宋_GB2312"/>
          <w:color w:val="auto"/>
          <w:sz w:val="24"/>
          <w:highlight w:val="none"/>
        </w:rPr>
      </w:pPr>
    </w:p>
    <w:p w14:paraId="6A0A57DD">
      <w:pPr>
        <w:spacing w:line="360" w:lineRule="auto"/>
        <w:ind w:firstLine="549" w:firstLineChars="229"/>
        <w:rPr>
          <w:rFonts w:ascii="宋体" w:hAnsi="宋体" w:eastAsia="宋体" w:cs="仿宋_GB2312"/>
          <w:color w:val="auto"/>
          <w:sz w:val="24"/>
          <w:highlight w:val="none"/>
        </w:rPr>
      </w:pPr>
    </w:p>
    <w:p w14:paraId="47E4084E">
      <w:pPr>
        <w:spacing w:line="360" w:lineRule="auto"/>
        <w:ind w:firstLine="549" w:firstLineChars="229"/>
        <w:rPr>
          <w:rFonts w:ascii="宋体" w:hAnsi="宋体" w:eastAsia="宋体" w:cs="仿宋_GB2312"/>
          <w:color w:val="auto"/>
          <w:sz w:val="24"/>
          <w:highlight w:val="none"/>
        </w:rPr>
      </w:pPr>
    </w:p>
    <w:bookmarkEnd w:id="1"/>
    <w:p w14:paraId="4CDFAB2A">
      <w:pPr>
        <w:adjustRightInd/>
        <w:spacing w:line="360" w:lineRule="auto"/>
        <w:jc w:val="center"/>
        <w:outlineLvl w:val="0"/>
        <w:rPr>
          <w:rFonts w:ascii="仿宋" w:hAnsi="仿宋" w:eastAsia="仿宋" w:cs="仿宋"/>
          <w:b/>
          <w:color w:val="auto"/>
          <w:sz w:val="36"/>
          <w:szCs w:val="20"/>
          <w:highlight w:val="none"/>
        </w:rPr>
        <w:sectPr>
          <w:footerReference r:id="rId5" w:type="default"/>
          <w:pgSz w:w="11906" w:h="16838"/>
          <w:pgMar w:top="1814" w:right="1474" w:bottom="1814" w:left="1474" w:header="851" w:footer="992" w:gutter="0"/>
          <w:pgNumType w:start="1"/>
          <w:cols w:space="720" w:num="1"/>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14:paraId="6368E237">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磋商邀请公告</w:t>
      </w:r>
    </w:p>
    <w:p w14:paraId="32772B1B">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B9220E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绍兴市第一中学田径场维修改造工程</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0000FF"/>
          <w:sz w:val="24"/>
          <w:highlight w:val="none"/>
          <w:u w:val="single"/>
        </w:rPr>
        <w:t>202</w:t>
      </w:r>
      <w:r>
        <w:rPr>
          <w:rFonts w:hint="eastAsia" w:ascii="仿宋" w:hAnsi="仿宋" w:eastAsia="仿宋" w:cs="仿宋"/>
          <w:color w:val="0000FF"/>
          <w:sz w:val="24"/>
          <w:highlight w:val="none"/>
          <w:u w:val="single"/>
          <w:lang w:val="en-US" w:eastAsia="zh-CN"/>
        </w:rPr>
        <w:t>5</w:t>
      </w:r>
      <w:r>
        <w:rPr>
          <w:rFonts w:hint="eastAsia" w:ascii="仿宋" w:hAnsi="仿宋" w:eastAsia="仿宋" w:cs="仿宋"/>
          <w:bCs/>
          <w:color w:val="0000FF"/>
          <w:sz w:val="24"/>
          <w:highlight w:val="none"/>
          <w:u w:val="single"/>
        </w:rPr>
        <w:t>年</w:t>
      </w:r>
      <w:r>
        <w:rPr>
          <w:rFonts w:hint="eastAsia" w:ascii="仿宋" w:hAnsi="仿宋" w:eastAsia="仿宋" w:cs="仿宋"/>
          <w:bCs/>
          <w:color w:val="0000FF"/>
          <w:sz w:val="24"/>
          <w:highlight w:val="none"/>
          <w:u w:val="single"/>
          <w:lang w:val="en-US" w:eastAsia="zh-CN"/>
        </w:rPr>
        <w:t>7</w:t>
      </w:r>
      <w:r>
        <w:rPr>
          <w:rFonts w:hint="eastAsia" w:ascii="仿宋" w:hAnsi="仿宋" w:eastAsia="仿宋" w:cs="仿宋"/>
          <w:bCs/>
          <w:color w:val="0000FF"/>
          <w:sz w:val="24"/>
          <w:highlight w:val="none"/>
          <w:u w:val="single"/>
        </w:rPr>
        <w:t>月</w:t>
      </w:r>
      <w:r>
        <w:rPr>
          <w:rFonts w:hint="eastAsia" w:ascii="仿宋" w:hAnsi="仿宋" w:eastAsia="仿宋" w:cs="仿宋"/>
          <w:bCs/>
          <w:color w:val="0000FF"/>
          <w:sz w:val="24"/>
          <w:highlight w:val="none"/>
          <w:u w:val="single"/>
          <w:lang w:val="en-US" w:eastAsia="zh-CN"/>
        </w:rPr>
        <w:t>11</w:t>
      </w:r>
      <w:r>
        <w:rPr>
          <w:rFonts w:hint="eastAsia" w:ascii="仿宋" w:hAnsi="仿宋" w:eastAsia="仿宋" w:cs="仿宋"/>
          <w:bCs/>
          <w:color w:val="0000FF"/>
          <w:sz w:val="24"/>
          <w:highlight w:val="none"/>
          <w:u w:val="single"/>
        </w:rPr>
        <w:t>日</w:t>
      </w:r>
      <w:r>
        <w:rPr>
          <w:rFonts w:hint="eastAsia" w:ascii="仿宋" w:hAnsi="仿宋" w:eastAsia="仿宋" w:cs="仿宋"/>
          <w:bCs/>
          <w:color w:val="0000FF"/>
          <w:sz w:val="24"/>
          <w:highlight w:val="none"/>
          <w:u w:val="single"/>
          <w:lang w:val="en-US" w:eastAsia="zh-CN"/>
        </w:rPr>
        <w:t>9</w:t>
      </w:r>
      <w:r>
        <w:rPr>
          <w:rFonts w:hint="eastAsia" w:ascii="仿宋" w:hAnsi="仿宋" w:eastAsia="仿宋" w:cs="仿宋"/>
          <w:bCs/>
          <w:color w:val="0000FF"/>
          <w:sz w:val="24"/>
          <w:highlight w:val="none"/>
          <w:u w:val="single"/>
        </w:rPr>
        <w:t>点</w:t>
      </w:r>
      <w:r>
        <w:rPr>
          <w:rFonts w:hint="eastAsia" w:ascii="仿宋" w:hAnsi="仿宋" w:eastAsia="仿宋" w:cs="仿宋"/>
          <w:bCs/>
          <w:color w:val="0000FF"/>
          <w:sz w:val="24"/>
          <w:highlight w:val="none"/>
          <w:u w:val="single"/>
          <w:lang w:val="en-US" w:eastAsia="zh-CN"/>
        </w:rPr>
        <w:t>00</w:t>
      </w:r>
      <w:r>
        <w:rPr>
          <w:rFonts w:hint="eastAsia" w:ascii="仿宋" w:hAnsi="仿宋" w:eastAsia="仿宋" w:cs="仿宋"/>
          <w:bCs/>
          <w:color w:val="0000FF"/>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63771FDD">
      <w:pPr>
        <w:pStyle w:val="5"/>
        <w:numPr>
          <w:ilvl w:val="0"/>
          <w:numId w:val="0"/>
        </w:numPr>
        <w:spacing w:line="336" w:lineRule="auto"/>
        <w:rPr>
          <w:rFonts w:ascii="仿宋" w:eastAsia="仿宋" w:cs="仿宋"/>
          <w:color w:val="auto"/>
          <w:sz w:val="24"/>
          <w:szCs w:val="24"/>
          <w:highlight w:val="none"/>
        </w:rPr>
      </w:pPr>
      <w:bookmarkStart w:id="9" w:name="_Toc28359012"/>
      <w:bookmarkStart w:id="10" w:name="_Toc35393798"/>
      <w:bookmarkStart w:id="11" w:name="_Toc35393629"/>
      <w:bookmarkStart w:id="12" w:name="_Toc28359089"/>
      <w:r>
        <w:rPr>
          <w:rFonts w:hint="eastAsia" w:ascii="仿宋" w:eastAsia="仿宋" w:cs="仿宋"/>
          <w:color w:val="auto"/>
          <w:sz w:val="24"/>
          <w:szCs w:val="24"/>
          <w:highlight w:val="none"/>
        </w:rPr>
        <w:t>一、项目基本情况</w:t>
      </w:r>
      <w:bookmarkEnd w:id="9"/>
      <w:bookmarkEnd w:id="10"/>
      <w:bookmarkEnd w:id="11"/>
      <w:bookmarkEnd w:id="12"/>
    </w:p>
    <w:p w14:paraId="7D542FC8">
      <w:pPr>
        <w:spacing w:line="336"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ZJHX-2025-05-08-1</w:t>
      </w:r>
    </w:p>
    <w:p w14:paraId="2FCEFA83">
      <w:pPr>
        <w:spacing w:line="336"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绍兴市第一中学田径场维修改造工程</w:t>
      </w:r>
    </w:p>
    <w:p w14:paraId="682A1EE0">
      <w:pPr>
        <w:spacing w:line="336"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7E7FC13E">
      <w:pPr>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 xml:space="preserve">2247000.00 </w:t>
      </w:r>
    </w:p>
    <w:p w14:paraId="59AEAD47">
      <w:pPr>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2246736.00</w:t>
      </w:r>
      <w:r>
        <w:rPr>
          <w:rFonts w:hint="eastAsia" w:ascii="仿宋" w:hAnsi="仿宋" w:eastAsia="仿宋" w:cs="仿宋"/>
          <w:b/>
          <w:color w:val="auto"/>
          <w:sz w:val="24"/>
          <w:highlight w:val="none"/>
        </w:rPr>
        <w:t xml:space="preserve"> </w:t>
      </w:r>
    </w:p>
    <w:p w14:paraId="3AC3CF85">
      <w:pPr>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39414C60">
      <w:pPr>
        <w:spacing w:line="336"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44E69984">
      <w:pPr>
        <w:spacing w:line="336" w:lineRule="auto"/>
        <w:ind w:firstLine="720" w:firstLineChars="3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color w:val="auto"/>
          <w:sz w:val="24"/>
          <w:highlight w:val="none"/>
          <w:lang w:eastAsia="zh-CN"/>
        </w:rPr>
        <w:t>绍兴市第一中学田径场维修改造工程</w:t>
      </w:r>
    </w:p>
    <w:p w14:paraId="0DF78CE2">
      <w:pPr>
        <w:spacing w:line="336" w:lineRule="auto"/>
        <w:ind w:firstLine="720" w:firstLineChars="3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0006FB1D">
      <w:pPr>
        <w:spacing w:line="336" w:lineRule="auto"/>
        <w:ind w:firstLine="720" w:firstLineChars="3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w:t>
      </w:r>
      <w:r>
        <w:rPr>
          <w:rFonts w:hint="eastAsia" w:ascii="仿宋" w:hAnsi="仿宋" w:eastAsia="仿宋" w:cs="仿宋"/>
          <w:b w:val="0"/>
          <w:bCs/>
          <w:color w:val="auto"/>
          <w:sz w:val="24"/>
          <w:highlight w:val="none"/>
          <w:lang w:val="en-US" w:eastAsia="zh-CN"/>
        </w:rPr>
        <w:t>2247000.00</w:t>
      </w:r>
      <w:bookmarkStart w:id="81" w:name="_GoBack"/>
      <w:bookmarkEnd w:id="81"/>
    </w:p>
    <w:p w14:paraId="06830392">
      <w:pPr>
        <w:spacing w:line="336" w:lineRule="auto"/>
        <w:ind w:firstLine="720" w:firstLineChars="300"/>
        <w:rPr>
          <w:rFonts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详见磋商文件。</w:t>
      </w:r>
    </w:p>
    <w:p w14:paraId="37DDADF9">
      <w:pPr>
        <w:spacing w:line="336" w:lineRule="auto"/>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lang w:val="en-US" w:eastAsia="zh-CN"/>
        </w:rPr>
        <w:t>标项1，</w:t>
      </w:r>
      <w:r>
        <w:rPr>
          <w:rFonts w:hint="eastAsia" w:ascii="仿宋" w:hAnsi="仿宋" w:eastAsia="仿宋" w:cs="仿宋"/>
          <w:b w:val="0"/>
          <w:bCs/>
          <w:color w:val="auto"/>
          <w:sz w:val="24"/>
          <w:highlight w:val="none"/>
        </w:rPr>
        <w:t>按双方合同约定条款执行。</w:t>
      </w:r>
    </w:p>
    <w:p w14:paraId="2DF30FE2">
      <w:pPr>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本项目接受联合体磋商：☐是，</w:t>
      </w:r>
      <w:sdt>
        <w:sdtPr>
          <w:rPr>
            <w:rFonts w:hint="eastAsia" w:ascii="仿宋_GB2312" w:hAnsi="仿宋" w:eastAsia="仿宋_GB2312" w:cs="Arial"/>
            <w:color w:val="auto"/>
            <w:sz w:val="21"/>
            <w:szCs w:val="21"/>
            <w:highlight w:val="none"/>
          </w:rPr>
          <w:id w:val="725337177"/>
        </w:sdtPr>
        <w:sdtEndPr>
          <w:rPr>
            <w:rFonts w:hint="eastAsia" w:ascii="仿宋_GB2312" w:hAnsi="仿宋" w:eastAsia="仿宋_GB2312" w:cs="Arial"/>
            <w:color w:val="auto"/>
            <w:sz w:val="21"/>
            <w:szCs w:val="21"/>
            <w:highlight w:val="none"/>
          </w:rPr>
        </w:sdtEndPr>
        <w:sdtContent>
          <w:r>
            <w:rPr>
              <w:rFonts w:hint="eastAsia" w:ascii="仿宋_GB2312" w:hAnsi="MS Gothic" w:eastAsia="仿宋_GB2312" w:cs="Arial"/>
              <w:color w:val="auto"/>
              <w:highlight w:val="none"/>
            </w:rPr>
            <w:sym w:font="Wingdings" w:char="00FE"/>
          </w:r>
        </w:sdtContent>
      </w:sdt>
      <w:r>
        <w:rPr>
          <w:rFonts w:hint="eastAsia" w:ascii="仿宋" w:hAnsi="仿宋" w:eastAsia="仿宋" w:cs="仿宋"/>
          <w:b/>
          <w:color w:val="auto"/>
          <w:sz w:val="24"/>
          <w:highlight w:val="none"/>
        </w:rPr>
        <w:t>否。</w:t>
      </w:r>
    </w:p>
    <w:p w14:paraId="20ED5784">
      <w:pPr>
        <w:spacing w:line="336" w:lineRule="auto"/>
        <w:rPr>
          <w:rFonts w:ascii="仿宋" w:hAnsi="仿宋" w:eastAsia="仿宋" w:cs="仿宋"/>
          <w:b/>
          <w:bCs/>
          <w:color w:val="auto"/>
          <w:sz w:val="24"/>
          <w:highlight w:val="none"/>
        </w:rPr>
      </w:pPr>
      <w:bookmarkStart w:id="13" w:name="_Toc28359090"/>
      <w:bookmarkStart w:id="14" w:name="_Toc35393799"/>
      <w:bookmarkStart w:id="15" w:name="_Toc28359013"/>
      <w:bookmarkStart w:id="16" w:name="_Toc35393630"/>
      <w:r>
        <w:rPr>
          <w:rFonts w:hint="eastAsia" w:ascii="仿宋" w:hAnsi="仿宋" w:eastAsia="仿宋" w:cs="仿宋"/>
          <w:b/>
          <w:bCs/>
          <w:color w:val="auto"/>
          <w:sz w:val="24"/>
          <w:highlight w:val="none"/>
        </w:rPr>
        <w:t>二、申请人的资格要求：</w:t>
      </w:r>
      <w:bookmarkEnd w:id="13"/>
      <w:bookmarkEnd w:id="14"/>
      <w:bookmarkEnd w:id="15"/>
      <w:bookmarkEnd w:id="16"/>
    </w:p>
    <w:p w14:paraId="427031B2">
      <w:pPr>
        <w:spacing w:line="336"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highlight w:val="none"/>
          <w:lang w:eastAsia="zh-CN"/>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348F4555">
      <w:pPr>
        <w:spacing w:line="336"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32619E88">
      <w:pPr>
        <w:spacing w:line="336"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85F7FD7">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p>
    <w:p w14:paraId="5C4DB13C">
      <w:pPr>
        <w:spacing w:line="336" w:lineRule="auto"/>
        <w:ind w:firstLine="420" w:firstLineChars="200"/>
        <w:rPr>
          <w:rFonts w:ascii="仿宋" w:hAnsi="仿宋" w:eastAsia="仿宋" w:cs="仿宋"/>
          <w:color w:val="auto"/>
          <w:sz w:val="24"/>
          <w:highlight w:val="none"/>
        </w:rPr>
      </w:pPr>
      <w:sdt>
        <w:sdtPr>
          <w:rPr>
            <w:rFonts w:hint="eastAsia" w:ascii="仿宋_GB2312" w:hAnsi="仿宋" w:eastAsia="仿宋_GB2312" w:cs="Arial"/>
            <w:color w:val="auto"/>
            <w:sz w:val="21"/>
            <w:szCs w:val="21"/>
            <w:highlight w:val="none"/>
          </w:rPr>
          <w:id w:val="147475971"/>
        </w:sdtPr>
        <w:sdtEndPr>
          <w:rPr>
            <w:rFonts w:hint="eastAsia" w:ascii="仿宋_GB2312" w:hAnsi="仿宋" w:eastAsia="仿宋_GB2312" w:cs="Arial"/>
            <w:color w:val="auto"/>
            <w:sz w:val="21"/>
            <w:szCs w:val="21"/>
            <w:highlight w:val="none"/>
          </w:rPr>
        </w:sdtEndPr>
        <w:sdtContent>
          <w:r>
            <w:rPr>
              <w:rFonts w:hint="eastAsia" w:ascii="仿宋" w:hAnsi="仿宋" w:eastAsia="仿宋" w:cs="仿宋"/>
              <w:color w:val="auto"/>
              <w:sz w:val="24"/>
              <w:szCs w:val="24"/>
              <w:highlight w:val="none"/>
              <w:lang w:eastAsia="zh-CN"/>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16F8C62B">
      <w:pPr>
        <w:spacing w:line="336" w:lineRule="auto"/>
        <w:ind w:firstLine="785" w:firstLineChars="374"/>
        <w:rPr>
          <w:rFonts w:ascii="仿宋" w:hAnsi="仿宋" w:eastAsia="仿宋" w:cs="仿宋"/>
          <w:color w:val="auto"/>
          <w:sz w:val="24"/>
          <w:highlight w:val="none"/>
        </w:rPr>
      </w:pPr>
      <w:sdt>
        <w:sdtPr>
          <w:rPr>
            <w:rFonts w:hint="eastAsia" w:ascii="仿宋_GB2312" w:hAnsi="仿宋" w:eastAsia="仿宋_GB2312" w:cs="Arial"/>
            <w:color w:val="auto"/>
            <w:sz w:val="21"/>
            <w:szCs w:val="21"/>
            <w:highlight w:val="none"/>
          </w:rPr>
          <w:id w:val="147465694"/>
        </w:sdtPr>
        <w:sdtEndPr>
          <w:rPr>
            <w:rFonts w:hint="eastAsia" w:ascii="仿宋_GB2312" w:hAnsi="仿宋" w:eastAsia="仿宋_GB2312" w:cs="Arial"/>
            <w:color w:val="auto"/>
            <w:sz w:val="21"/>
            <w:szCs w:val="21"/>
            <w:highlight w:val="none"/>
          </w:rPr>
        </w:sdtEndPr>
        <w:sdtContent>
          <w:r>
            <w:rPr>
              <w:rFonts w:hint="eastAsia" w:ascii="仿宋" w:hAnsi="仿宋" w:eastAsia="仿宋" w:cs="仿宋"/>
              <w:color w:val="auto"/>
              <w:sz w:val="24"/>
              <w:szCs w:val="24"/>
              <w:highlight w:val="none"/>
              <w:lang w:eastAsia="zh-CN"/>
            </w:rPr>
            <w:t>☑</w:t>
          </w:r>
        </w:sdtContent>
      </w:sdt>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全部由符合政策要求的中小企业承接，提供中小企业声明函；</w:t>
      </w:r>
    </w:p>
    <w:p w14:paraId="5ED46678">
      <w:pPr>
        <w:spacing w:line="336"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全部由符合政策要求的小微企业承接，提供中小企业声明函；</w:t>
      </w:r>
    </w:p>
    <w:p w14:paraId="6A7EA318">
      <w:pPr>
        <w:spacing w:line="336"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3B53416">
      <w:pPr>
        <w:spacing w:line="336"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0CB6A4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w:t>
      </w:r>
    </w:p>
    <w:p w14:paraId="14A6E039">
      <w:pPr>
        <w:pageBreakBefore w:val="0"/>
        <w:widowControl w:val="0"/>
        <w:kinsoku/>
        <w:wordWrap/>
        <w:overflowPunct/>
        <w:topLinePunct w:val="0"/>
        <w:autoSpaceDE/>
        <w:autoSpaceDN/>
        <w:bidi w:val="0"/>
        <w:spacing w:line="440" w:lineRule="exact"/>
        <w:ind w:left="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64CAE5">
      <w:pPr>
        <w:spacing w:line="336" w:lineRule="auto"/>
        <w:rPr>
          <w:rFonts w:ascii="仿宋" w:hAnsi="仿宋" w:eastAsia="仿宋" w:cs="仿宋"/>
          <w:b/>
          <w:bCs/>
          <w:color w:val="auto"/>
          <w:sz w:val="24"/>
          <w:highlight w:val="none"/>
        </w:rPr>
      </w:pPr>
      <w:bookmarkStart w:id="17" w:name="_Toc28359091"/>
      <w:bookmarkStart w:id="18" w:name="_Toc35393631"/>
      <w:bookmarkStart w:id="19" w:name="_Toc35393800"/>
      <w:bookmarkStart w:id="20" w:name="_Toc28359014"/>
      <w:r>
        <w:rPr>
          <w:rFonts w:hint="eastAsia" w:ascii="仿宋" w:hAnsi="仿宋" w:eastAsia="仿宋" w:cs="仿宋"/>
          <w:b/>
          <w:bCs/>
          <w:color w:val="auto"/>
          <w:sz w:val="24"/>
          <w:highlight w:val="none"/>
        </w:rPr>
        <w:t>三、获取（下载）采购文件</w:t>
      </w:r>
      <w:bookmarkEnd w:id="17"/>
      <w:bookmarkEnd w:id="18"/>
      <w:bookmarkEnd w:id="19"/>
      <w:bookmarkEnd w:id="20"/>
    </w:p>
    <w:p w14:paraId="326DD68D">
      <w:pPr>
        <w:spacing w:line="336"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0000FF"/>
          <w:sz w:val="27"/>
          <w:szCs w:val="27"/>
          <w:highlight w:val="none"/>
        </w:rPr>
        <w:t>/</w:t>
      </w:r>
      <w:r>
        <w:rPr>
          <w:rFonts w:hint="eastAsia" w:ascii="仿宋" w:hAnsi="仿宋" w:eastAsia="仿宋" w:cs="仿宋"/>
          <w:color w:val="0000FF"/>
          <w:sz w:val="24"/>
          <w:highlight w:val="none"/>
        </w:rPr>
        <w:t>至202</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7</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11</w:t>
      </w:r>
      <w:r>
        <w:rPr>
          <w:rFonts w:hint="eastAsia" w:ascii="仿宋" w:hAnsi="仿宋" w:eastAsia="仿宋" w:cs="仿宋"/>
          <w:color w:val="0000FF"/>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C23601B">
      <w:pPr>
        <w:spacing w:line="336"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60700810">
      <w:pPr>
        <w:spacing w:line="336"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67FC5ACA">
      <w:pPr>
        <w:spacing w:line="336"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0C0585B6">
      <w:pPr>
        <w:pStyle w:val="5"/>
        <w:numPr>
          <w:ilvl w:val="0"/>
          <w:numId w:val="0"/>
        </w:numPr>
        <w:spacing w:line="336" w:lineRule="auto"/>
        <w:rPr>
          <w:rFonts w:ascii="仿宋" w:eastAsia="仿宋" w:cs="仿宋"/>
          <w:color w:val="auto"/>
          <w:sz w:val="24"/>
          <w:szCs w:val="24"/>
          <w:highlight w:val="none"/>
        </w:rPr>
      </w:pPr>
      <w:bookmarkStart w:id="21" w:name="_Toc35393632"/>
      <w:bookmarkStart w:id="22" w:name="_Toc35393801"/>
      <w:bookmarkStart w:id="23" w:name="_Toc28359015"/>
      <w:bookmarkStart w:id="24" w:name="_Toc28359092"/>
      <w:r>
        <w:rPr>
          <w:rFonts w:hint="eastAsia" w:ascii="仿宋" w:eastAsia="仿宋" w:cs="仿宋"/>
          <w:color w:val="auto"/>
          <w:sz w:val="24"/>
          <w:szCs w:val="24"/>
          <w:highlight w:val="none"/>
        </w:rPr>
        <w:t>四、响应文件提交</w:t>
      </w:r>
      <w:bookmarkEnd w:id="21"/>
      <w:bookmarkEnd w:id="22"/>
      <w:bookmarkEnd w:id="23"/>
      <w:bookmarkEnd w:id="24"/>
      <w:r>
        <w:rPr>
          <w:rFonts w:hint="eastAsia" w:ascii="仿宋" w:eastAsia="仿宋" w:cs="仿宋"/>
          <w:color w:val="auto"/>
          <w:sz w:val="24"/>
          <w:szCs w:val="24"/>
          <w:highlight w:val="none"/>
        </w:rPr>
        <w:t>（上传）</w:t>
      </w:r>
    </w:p>
    <w:p w14:paraId="74E7FA5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0000FF"/>
          <w:sz w:val="24"/>
          <w:highlight w:val="none"/>
          <w:u w:val="single"/>
        </w:rPr>
        <w:t>202</w:t>
      </w:r>
      <w:r>
        <w:rPr>
          <w:rFonts w:hint="eastAsia" w:ascii="仿宋" w:hAnsi="仿宋" w:eastAsia="仿宋" w:cs="仿宋"/>
          <w:color w:val="0000FF"/>
          <w:sz w:val="24"/>
          <w:highlight w:val="none"/>
          <w:u w:val="single"/>
          <w:lang w:val="en-US" w:eastAsia="zh-CN"/>
        </w:rPr>
        <w:t>5</w:t>
      </w:r>
      <w:r>
        <w:rPr>
          <w:rFonts w:hint="eastAsia" w:ascii="仿宋" w:hAnsi="仿宋" w:eastAsia="仿宋" w:cs="仿宋"/>
          <w:bCs/>
          <w:color w:val="0000FF"/>
          <w:sz w:val="24"/>
          <w:highlight w:val="none"/>
          <w:u w:val="single"/>
        </w:rPr>
        <w:t>年</w:t>
      </w:r>
      <w:r>
        <w:rPr>
          <w:rFonts w:hint="eastAsia" w:ascii="仿宋" w:hAnsi="仿宋" w:eastAsia="仿宋" w:cs="仿宋"/>
          <w:bCs/>
          <w:color w:val="0000FF"/>
          <w:sz w:val="24"/>
          <w:highlight w:val="none"/>
          <w:u w:val="single"/>
          <w:lang w:val="en-US" w:eastAsia="zh-CN"/>
        </w:rPr>
        <w:t>7</w:t>
      </w:r>
      <w:r>
        <w:rPr>
          <w:rFonts w:hint="eastAsia" w:ascii="仿宋" w:hAnsi="仿宋" w:eastAsia="仿宋" w:cs="仿宋"/>
          <w:bCs/>
          <w:color w:val="0000FF"/>
          <w:sz w:val="24"/>
          <w:highlight w:val="none"/>
          <w:u w:val="single"/>
        </w:rPr>
        <w:t>月</w:t>
      </w:r>
      <w:r>
        <w:rPr>
          <w:rFonts w:hint="eastAsia" w:ascii="仿宋" w:hAnsi="仿宋" w:eastAsia="仿宋" w:cs="仿宋"/>
          <w:bCs/>
          <w:color w:val="0000FF"/>
          <w:sz w:val="24"/>
          <w:highlight w:val="none"/>
          <w:u w:val="single"/>
          <w:lang w:val="en-US" w:eastAsia="zh-CN"/>
        </w:rPr>
        <w:t>11</w:t>
      </w:r>
      <w:r>
        <w:rPr>
          <w:rFonts w:hint="eastAsia" w:ascii="仿宋" w:hAnsi="仿宋" w:eastAsia="仿宋" w:cs="仿宋"/>
          <w:bCs/>
          <w:color w:val="0000FF"/>
          <w:sz w:val="24"/>
          <w:highlight w:val="none"/>
          <w:u w:val="single"/>
        </w:rPr>
        <w:t>日</w:t>
      </w:r>
      <w:r>
        <w:rPr>
          <w:rFonts w:hint="eastAsia" w:ascii="仿宋" w:hAnsi="仿宋" w:eastAsia="仿宋" w:cs="仿宋"/>
          <w:bCs/>
          <w:color w:val="0000FF"/>
          <w:sz w:val="24"/>
          <w:highlight w:val="none"/>
          <w:u w:val="single"/>
          <w:lang w:val="en-US" w:eastAsia="zh-CN"/>
        </w:rPr>
        <w:t>9</w:t>
      </w:r>
      <w:r>
        <w:rPr>
          <w:rFonts w:hint="eastAsia" w:ascii="仿宋" w:hAnsi="仿宋" w:eastAsia="仿宋" w:cs="仿宋"/>
          <w:bCs/>
          <w:color w:val="0000FF"/>
          <w:sz w:val="24"/>
          <w:highlight w:val="none"/>
          <w:u w:val="single"/>
        </w:rPr>
        <w:t>点</w:t>
      </w:r>
      <w:r>
        <w:rPr>
          <w:rFonts w:hint="eastAsia" w:ascii="仿宋" w:hAnsi="仿宋" w:eastAsia="仿宋" w:cs="仿宋"/>
          <w:bCs/>
          <w:color w:val="0000FF"/>
          <w:sz w:val="24"/>
          <w:highlight w:val="none"/>
          <w:u w:val="single"/>
          <w:lang w:val="en-US" w:eastAsia="zh-CN"/>
        </w:rPr>
        <w:t>00</w:t>
      </w:r>
      <w:r>
        <w:rPr>
          <w:rFonts w:hint="eastAsia" w:ascii="仿宋" w:hAnsi="仿宋" w:eastAsia="仿宋" w:cs="仿宋"/>
          <w:bCs/>
          <w:color w:val="0000FF"/>
          <w:sz w:val="24"/>
          <w:highlight w:val="none"/>
          <w:u w:val="single"/>
        </w:rPr>
        <w:t>分00秒</w:t>
      </w:r>
      <w:r>
        <w:rPr>
          <w:rFonts w:hint="eastAsia" w:ascii="仿宋" w:hAnsi="仿宋" w:eastAsia="仿宋" w:cs="仿宋"/>
          <w:bCs/>
          <w:color w:val="auto"/>
          <w:sz w:val="24"/>
          <w:highlight w:val="none"/>
        </w:rPr>
        <w:t>（北京时间）</w:t>
      </w:r>
    </w:p>
    <w:p w14:paraId="33FB05F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49BF9389">
      <w:pPr>
        <w:pStyle w:val="5"/>
        <w:numPr>
          <w:ilvl w:val="0"/>
          <w:numId w:val="0"/>
        </w:numPr>
        <w:spacing w:line="336" w:lineRule="auto"/>
        <w:rPr>
          <w:rFonts w:ascii="仿宋" w:eastAsia="仿宋" w:cs="仿宋"/>
          <w:color w:val="auto"/>
          <w:sz w:val="24"/>
          <w:szCs w:val="24"/>
          <w:highlight w:val="none"/>
        </w:rPr>
      </w:pPr>
      <w:bookmarkStart w:id="25" w:name="_Toc28359093"/>
      <w:bookmarkStart w:id="26" w:name="_Toc35393633"/>
      <w:bookmarkStart w:id="27" w:name="_Toc28359016"/>
      <w:bookmarkStart w:id="28" w:name="_Toc35393802"/>
      <w:r>
        <w:rPr>
          <w:rFonts w:hint="eastAsia" w:ascii="仿宋" w:eastAsia="仿宋" w:cs="仿宋"/>
          <w:color w:val="auto"/>
          <w:sz w:val="24"/>
          <w:szCs w:val="24"/>
          <w:highlight w:val="none"/>
        </w:rPr>
        <w:t>五、响应文件开启</w:t>
      </w:r>
      <w:bookmarkEnd w:id="25"/>
      <w:bookmarkEnd w:id="26"/>
      <w:bookmarkEnd w:id="27"/>
      <w:bookmarkEnd w:id="28"/>
    </w:p>
    <w:p w14:paraId="3F60BAC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0000FF"/>
          <w:sz w:val="24"/>
          <w:highlight w:val="none"/>
          <w:u w:val="single"/>
        </w:rPr>
        <w:t>202</w:t>
      </w:r>
      <w:r>
        <w:rPr>
          <w:rFonts w:hint="eastAsia" w:ascii="仿宋" w:hAnsi="仿宋" w:eastAsia="仿宋" w:cs="仿宋"/>
          <w:color w:val="0000FF"/>
          <w:sz w:val="24"/>
          <w:highlight w:val="none"/>
          <w:u w:val="single"/>
          <w:lang w:val="en-US" w:eastAsia="zh-CN"/>
        </w:rPr>
        <w:t>5</w:t>
      </w:r>
      <w:r>
        <w:rPr>
          <w:rFonts w:hint="eastAsia" w:ascii="仿宋" w:hAnsi="仿宋" w:eastAsia="仿宋" w:cs="仿宋"/>
          <w:bCs/>
          <w:color w:val="0000FF"/>
          <w:sz w:val="24"/>
          <w:highlight w:val="none"/>
          <w:u w:val="single"/>
        </w:rPr>
        <w:t>年</w:t>
      </w:r>
      <w:r>
        <w:rPr>
          <w:rFonts w:hint="eastAsia" w:ascii="仿宋" w:hAnsi="仿宋" w:eastAsia="仿宋" w:cs="仿宋"/>
          <w:bCs/>
          <w:color w:val="0000FF"/>
          <w:sz w:val="24"/>
          <w:highlight w:val="none"/>
          <w:u w:val="single"/>
          <w:lang w:val="en-US" w:eastAsia="zh-CN"/>
        </w:rPr>
        <w:t>7</w:t>
      </w:r>
      <w:r>
        <w:rPr>
          <w:rFonts w:hint="eastAsia" w:ascii="仿宋" w:hAnsi="仿宋" w:eastAsia="仿宋" w:cs="仿宋"/>
          <w:bCs/>
          <w:color w:val="0000FF"/>
          <w:sz w:val="24"/>
          <w:highlight w:val="none"/>
          <w:u w:val="single"/>
        </w:rPr>
        <w:t>月</w:t>
      </w:r>
      <w:r>
        <w:rPr>
          <w:rFonts w:hint="eastAsia" w:ascii="仿宋" w:hAnsi="仿宋" w:eastAsia="仿宋" w:cs="仿宋"/>
          <w:bCs/>
          <w:color w:val="0000FF"/>
          <w:sz w:val="24"/>
          <w:highlight w:val="none"/>
          <w:u w:val="single"/>
          <w:lang w:val="en-US" w:eastAsia="zh-CN"/>
        </w:rPr>
        <w:t>11</w:t>
      </w:r>
      <w:r>
        <w:rPr>
          <w:rFonts w:hint="eastAsia" w:ascii="仿宋" w:hAnsi="仿宋" w:eastAsia="仿宋" w:cs="仿宋"/>
          <w:bCs/>
          <w:color w:val="0000FF"/>
          <w:sz w:val="24"/>
          <w:highlight w:val="none"/>
          <w:u w:val="single"/>
        </w:rPr>
        <w:t>日</w:t>
      </w:r>
      <w:r>
        <w:rPr>
          <w:rFonts w:hint="eastAsia" w:ascii="仿宋" w:hAnsi="仿宋" w:eastAsia="仿宋" w:cs="仿宋"/>
          <w:bCs/>
          <w:color w:val="0000FF"/>
          <w:sz w:val="24"/>
          <w:highlight w:val="none"/>
          <w:u w:val="single"/>
          <w:lang w:val="en-US" w:eastAsia="zh-CN"/>
        </w:rPr>
        <w:t>9</w:t>
      </w:r>
      <w:r>
        <w:rPr>
          <w:rFonts w:hint="eastAsia" w:ascii="仿宋" w:hAnsi="仿宋" w:eastAsia="仿宋" w:cs="仿宋"/>
          <w:bCs/>
          <w:color w:val="0000FF"/>
          <w:sz w:val="24"/>
          <w:highlight w:val="none"/>
          <w:u w:val="single"/>
        </w:rPr>
        <w:t>点</w:t>
      </w:r>
      <w:r>
        <w:rPr>
          <w:rFonts w:hint="eastAsia" w:ascii="仿宋" w:hAnsi="仿宋" w:eastAsia="仿宋" w:cs="仿宋"/>
          <w:bCs/>
          <w:color w:val="0000FF"/>
          <w:sz w:val="24"/>
          <w:highlight w:val="none"/>
          <w:u w:val="single"/>
          <w:lang w:val="en-US" w:eastAsia="zh-CN"/>
        </w:rPr>
        <w:t>00</w:t>
      </w:r>
      <w:r>
        <w:rPr>
          <w:rFonts w:hint="eastAsia" w:ascii="仿宋" w:hAnsi="仿宋" w:eastAsia="仿宋" w:cs="仿宋"/>
          <w:bCs/>
          <w:color w:val="0000FF"/>
          <w:sz w:val="24"/>
          <w:highlight w:val="none"/>
          <w:u w:val="single"/>
        </w:rPr>
        <w:t>分00秒</w:t>
      </w:r>
      <w:r>
        <w:rPr>
          <w:rFonts w:hint="eastAsia" w:ascii="仿宋" w:hAnsi="仿宋" w:eastAsia="仿宋" w:cs="仿宋"/>
          <w:bCs/>
          <w:color w:val="auto"/>
          <w:sz w:val="24"/>
          <w:highlight w:val="none"/>
        </w:rPr>
        <w:t>（北京时间）</w:t>
      </w:r>
    </w:p>
    <w:p w14:paraId="30368FC5">
      <w:pPr>
        <w:spacing w:line="336" w:lineRule="auto"/>
        <w:ind w:firstLine="480" w:firstLineChars="200"/>
        <w:jc w:val="left"/>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w:t>
      </w:r>
      <w:r>
        <w:rPr>
          <w:rFonts w:hint="eastAsia" w:ascii="仿宋" w:hAnsi="仿宋" w:eastAsia="仿宋" w:cs="仿宋"/>
          <w:color w:val="auto"/>
          <w:sz w:val="24"/>
          <w:highlight w:val="none"/>
          <w:u w:val="single"/>
          <w:lang w:val="en-US" w:eastAsia="zh-CN"/>
        </w:rPr>
        <w:t>绍兴市越城区迅腾大厦1404</w:t>
      </w:r>
      <w:r>
        <w:rPr>
          <w:rFonts w:hint="eastAsia" w:ascii="仿宋" w:hAnsi="仿宋" w:eastAsia="仿宋" w:cs="仿宋"/>
          <w:color w:val="auto"/>
          <w:sz w:val="24"/>
          <w:highlight w:val="none"/>
        </w:rPr>
        <w:t>，政采云平</w:t>
      </w:r>
      <w:r>
        <w:rPr>
          <w:rFonts w:hint="eastAsia" w:ascii="仿宋" w:hAnsi="仿宋" w:eastAsia="仿宋" w:cs="仿宋"/>
          <w:color w:val="auto"/>
          <w:sz w:val="24"/>
          <w:highlight w:val="none"/>
          <w:lang w:val="en-US" w:eastAsia="zh-CN"/>
        </w:rPr>
        <w:t>台</w:t>
      </w:r>
      <w:r>
        <w:rPr>
          <w:rFonts w:hint="eastAsia" w:ascii="仿宋" w:hAnsi="仿宋" w:eastAsia="仿宋" w:cs="仿宋"/>
          <w:color w:val="auto"/>
          <w:sz w:val="24"/>
          <w:highlight w:val="none"/>
        </w:rPr>
        <w:t>（https://www.zcygov.cn/）。</w:t>
      </w:r>
    </w:p>
    <w:p w14:paraId="6BBE4C92">
      <w:pPr>
        <w:pStyle w:val="5"/>
        <w:numPr>
          <w:ilvl w:val="0"/>
          <w:numId w:val="0"/>
        </w:numPr>
        <w:spacing w:line="336" w:lineRule="auto"/>
        <w:rPr>
          <w:rFonts w:ascii="仿宋" w:eastAsia="仿宋" w:cs="仿宋"/>
          <w:color w:val="auto"/>
          <w:sz w:val="24"/>
          <w:szCs w:val="24"/>
          <w:highlight w:val="none"/>
        </w:rPr>
      </w:pPr>
      <w:bookmarkStart w:id="29" w:name="_Toc35393634"/>
      <w:bookmarkStart w:id="30" w:name="_Toc28359094"/>
      <w:bookmarkStart w:id="31" w:name="_Toc35393803"/>
      <w:bookmarkStart w:id="32" w:name="_Toc28359017"/>
      <w:r>
        <w:rPr>
          <w:rFonts w:hint="eastAsia" w:ascii="仿宋" w:eastAsia="仿宋" w:cs="仿宋"/>
          <w:color w:val="auto"/>
          <w:sz w:val="24"/>
          <w:szCs w:val="24"/>
          <w:highlight w:val="none"/>
        </w:rPr>
        <w:t>六、公告期限</w:t>
      </w:r>
      <w:bookmarkEnd w:id="29"/>
      <w:bookmarkEnd w:id="30"/>
      <w:bookmarkEnd w:id="31"/>
      <w:bookmarkEnd w:id="32"/>
    </w:p>
    <w:p w14:paraId="2D7DF1A4">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01BFFE10">
      <w:pPr>
        <w:pStyle w:val="5"/>
        <w:numPr>
          <w:ilvl w:val="0"/>
          <w:numId w:val="0"/>
        </w:numPr>
        <w:spacing w:line="336" w:lineRule="auto"/>
        <w:rPr>
          <w:rFonts w:ascii="仿宋" w:eastAsia="仿宋" w:cs="仿宋"/>
          <w:color w:val="auto"/>
          <w:sz w:val="24"/>
          <w:szCs w:val="24"/>
          <w:highlight w:val="none"/>
        </w:rPr>
      </w:pPr>
      <w:bookmarkStart w:id="33" w:name="_Toc35393635"/>
      <w:bookmarkStart w:id="34" w:name="_Toc35393804"/>
      <w:r>
        <w:rPr>
          <w:rFonts w:hint="eastAsia" w:ascii="仿宋" w:eastAsia="仿宋" w:cs="仿宋"/>
          <w:color w:val="auto"/>
          <w:sz w:val="24"/>
          <w:szCs w:val="24"/>
          <w:highlight w:val="none"/>
        </w:rPr>
        <w:t>七、其他补充事宜</w:t>
      </w:r>
      <w:bookmarkEnd w:id="33"/>
      <w:bookmarkEnd w:id="34"/>
    </w:p>
    <w:p w14:paraId="57A02BDD">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B91C68">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5419C">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02D049">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人应特别注意CA锁有效性，CA锁延期、补办后，虽硬件介质不变，但锁的证书Key号发生改变，视为不同锁，会导致开标时无法解密投标文件），视为投标文件撤回；⑩具体操作指南：详见政采云平台“服务中心-帮助文档-项目采购-操作流程-电子招投标-政府采购项目电子交易管理操作指南-供应商”。（3）招标文件公告期限与招标公告的公告期限一致。</w:t>
      </w:r>
    </w:p>
    <w:p w14:paraId="14A26DCE">
      <w:pPr>
        <w:pStyle w:val="5"/>
        <w:numPr>
          <w:ilvl w:val="0"/>
          <w:numId w:val="0"/>
        </w:numPr>
        <w:spacing w:line="336" w:lineRule="auto"/>
        <w:rPr>
          <w:rFonts w:ascii="仿宋" w:eastAsia="仿宋" w:cs="仿宋"/>
          <w:color w:val="auto"/>
          <w:sz w:val="24"/>
          <w:szCs w:val="24"/>
          <w:highlight w:val="none"/>
        </w:rPr>
      </w:pPr>
      <w:bookmarkStart w:id="35" w:name="_Toc35393805"/>
      <w:bookmarkStart w:id="36" w:name="_Toc28359095"/>
      <w:bookmarkStart w:id="37" w:name="_Toc35393636"/>
      <w:bookmarkStart w:id="38" w:name="_Toc28359018"/>
      <w:r>
        <w:rPr>
          <w:rFonts w:hint="eastAsia" w:ascii="仿宋" w:eastAsia="仿宋" w:cs="仿宋"/>
          <w:color w:val="auto"/>
          <w:sz w:val="24"/>
          <w:szCs w:val="24"/>
          <w:highlight w:val="none"/>
        </w:rPr>
        <w:t>八、凡对本次采购提出询问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5"/>
      <w:bookmarkEnd w:id="36"/>
      <w:bookmarkEnd w:id="37"/>
      <w:bookmarkEnd w:id="38"/>
    </w:p>
    <w:p w14:paraId="568DC015">
      <w:pPr>
        <w:pStyle w:val="331"/>
        <w:spacing w:afterLines="0" w:line="440" w:lineRule="exact"/>
        <w:ind w:firstLine="482"/>
        <w:rPr>
          <w:rFonts w:ascii="仿宋_GB2312" w:hAnsi="新宋体" w:eastAsia="仿宋_GB2312"/>
          <w:b/>
          <w:color w:val="auto"/>
          <w:szCs w:val="24"/>
          <w:highlight w:val="none"/>
        </w:rPr>
      </w:pPr>
      <w:r>
        <w:rPr>
          <w:rFonts w:hint="eastAsia" w:ascii="仿宋_GB2312" w:hAnsi="新宋体" w:eastAsia="仿宋_GB2312"/>
          <w:b/>
          <w:color w:val="auto"/>
          <w:szCs w:val="24"/>
          <w:highlight w:val="none"/>
        </w:rPr>
        <w:t>1.采购人信息：</w:t>
      </w:r>
    </w:p>
    <w:p w14:paraId="5D038F68">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名称：</w:t>
      </w:r>
      <w:r>
        <w:rPr>
          <w:rFonts w:hint="eastAsia" w:ascii="仿宋_GB2312" w:hAnsi="新宋体" w:eastAsia="仿宋_GB2312"/>
          <w:color w:val="auto"/>
          <w:szCs w:val="24"/>
          <w:highlight w:val="none"/>
          <w:lang w:eastAsia="zh-CN"/>
        </w:rPr>
        <w:t>绍兴市第一中学</w:t>
      </w:r>
      <w:r>
        <w:rPr>
          <w:rFonts w:ascii="仿宋_GB2312" w:hAnsi="新宋体" w:eastAsia="仿宋_GB2312"/>
          <w:color w:val="auto"/>
          <w:szCs w:val="24"/>
          <w:highlight w:val="none"/>
        </w:rPr>
        <w:t> </w:t>
      </w:r>
    </w:p>
    <w:p w14:paraId="622FB05E">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地址：绍兴市越城区站前大道1898号</w:t>
      </w:r>
    </w:p>
    <w:p w14:paraId="6047630E">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传真：</w:t>
      </w:r>
      <w:r>
        <w:rPr>
          <w:rFonts w:hint="eastAsia" w:ascii="仿宋_GB2312" w:hAnsi="新宋体" w:eastAsia="仿宋_GB2312"/>
          <w:color w:val="auto"/>
          <w:szCs w:val="24"/>
          <w:highlight w:val="none"/>
          <w:lang w:val="en-US" w:eastAsia="zh-CN"/>
        </w:rPr>
        <w:t>/</w:t>
      </w:r>
    </w:p>
    <w:p w14:paraId="7DF9F538">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项目联系人（询问）：</w:t>
      </w:r>
      <w:r>
        <w:rPr>
          <w:rFonts w:hint="eastAsia" w:ascii="仿宋_GB2312" w:hAnsi="新宋体" w:eastAsia="仿宋_GB2312"/>
          <w:color w:val="auto"/>
          <w:szCs w:val="24"/>
          <w:highlight w:val="none"/>
          <w:lang w:val="en-US" w:eastAsia="zh-CN"/>
        </w:rPr>
        <w:t>孟老师</w:t>
      </w:r>
    </w:p>
    <w:p w14:paraId="755BDC6A">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项目联系方式（询问）：</w:t>
      </w:r>
      <w:r>
        <w:rPr>
          <w:rFonts w:hint="eastAsia" w:ascii="仿宋_GB2312" w:hAnsi="新宋体" w:eastAsia="仿宋_GB2312"/>
          <w:color w:val="auto"/>
          <w:szCs w:val="24"/>
          <w:highlight w:val="none"/>
          <w:lang w:val="en-US" w:eastAsia="zh-CN"/>
        </w:rPr>
        <w:t>0575-85338008</w:t>
      </w:r>
    </w:p>
    <w:p w14:paraId="0FF86E26">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质疑联系人：</w:t>
      </w:r>
      <w:r>
        <w:rPr>
          <w:rFonts w:hint="eastAsia" w:ascii="仿宋_GB2312" w:hAnsi="新宋体" w:eastAsia="仿宋_GB2312"/>
          <w:color w:val="auto"/>
          <w:szCs w:val="24"/>
          <w:highlight w:val="none"/>
          <w:lang w:val="en-US" w:eastAsia="zh-CN"/>
        </w:rPr>
        <w:t>陈老师</w:t>
      </w:r>
      <w:r>
        <w:rPr>
          <w:rFonts w:hint="eastAsia" w:ascii="仿宋_GB2312" w:hAnsi="新宋体" w:eastAsia="仿宋_GB2312"/>
          <w:color w:val="auto"/>
          <w:szCs w:val="24"/>
          <w:highlight w:val="none"/>
        </w:rPr>
        <w:t xml:space="preserve"> </w:t>
      </w:r>
      <w:r>
        <w:rPr>
          <w:rFonts w:hint="eastAsia" w:ascii="仿宋_GB2312" w:hAnsi="新宋体" w:eastAsia="仿宋_GB2312"/>
          <w:color w:val="auto"/>
          <w:szCs w:val="24"/>
          <w:highlight w:val="none"/>
          <w:lang w:val="en-US" w:eastAsia="zh-CN"/>
        </w:rPr>
        <w:t xml:space="preserve">    </w:t>
      </w:r>
    </w:p>
    <w:p w14:paraId="18C325FA">
      <w:pPr>
        <w:pStyle w:val="331"/>
        <w:spacing w:afterLines="0" w:line="440" w:lineRule="exact"/>
        <w:ind w:firstLine="480"/>
        <w:rPr>
          <w:rFonts w:hint="eastAsia" w:ascii="仿宋_GB2312" w:hAnsi="新宋体" w:eastAsia="仿宋_GB2312"/>
          <w:color w:val="auto"/>
          <w:szCs w:val="24"/>
          <w:highlight w:val="none"/>
          <w:lang w:eastAsia="zh-CN"/>
        </w:rPr>
      </w:pPr>
      <w:r>
        <w:rPr>
          <w:rFonts w:hint="eastAsia" w:ascii="仿宋_GB2312" w:hAnsi="新宋体" w:eastAsia="仿宋_GB2312"/>
          <w:color w:val="auto"/>
          <w:szCs w:val="24"/>
          <w:highlight w:val="none"/>
        </w:rPr>
        <w:t>质疑联系方式：</w:t>
      </w:r>
      <w:r>
        <w:rPr>
          <w:rFonts w:hint="eastAsia" w:ascii="仿宋_GB2312" w:hAnsi="新宋体" w:eastAsia="仿宋_GB2312"/>
          <w:color w:val="auto"/>
          <w:szCs w:val="24"/>
          <w:highlight w:val="none"/>
          <w:shd w:val="clear" w:color="auto" w:fill="auto"/>
          <w:lang w:val="en-US" w:eastAsia="zh-CN"/>
        </w:rPr>
        <w:t>17757553212</w:t>
      </w:r>
    </w:p>
    <w:p w14:paraId="1AB06FDE">
      <w:pPr>
        <w:pStyle w:val="331"/>
        <w:spacing w:afterLines="0" w:line="440" w:lineRule="exact"/>
        <w:ind w:firstLine="482"/>
        <w:rPr>
          <w:rFonts w:ascii="仿宋_GB2312" w:hAnsi="新宋体" w:eastAsia="仿宋_GB2312"/>
          <w:b/>
          <w:color w:val="auto"/>
          <w:szCs w:val="24"/>
          <w:highlight w:val="none"/>
        </w:rPr>
      </w:pPr>
      <w:r>
        <w:rPr>
          <w:rFonts w:hint="eastAsia" w:ascii="仿宋_GB2312" w:hAnsi="新宋体" w:eastAsia="仿宋_GB2312"/>
          <w:b/>
          <w:color w:val="auto"/>
          <w:szCs w:val="24"/>
          <w:highlight w:val="none"/>
        </w:rPr>
        <w:t>2.采购代理机构信息：</w:t>
      </w:r>
      <w:r>
        <w:rPr>
          <w:rFonts w:ascii="仿宋_GB2312" w:hAnsi="新宋体" w:eastAsia="仿宋_GB2312"/>
          <w:b/>
          <w:color w:val="auto"/>
          <w:szCs w:val="24"/>
          <w:highlight w:val="none"/>
        </w:rPr>
        <w:t>      </w:t>
      </w:r>
    </w:p>
    <w:p w14:paraId="26958E2F">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名称：</w:t>
      </w:r>
      <w:r>
        <w:rPr>
          <w:rFonts w:hint="eastAsia" w:ascii="仿宋_GB2312" w:hAnsi="新宋体" w:eastAsia="仿宋_GB2312"/>
          <w:color w:val="auto"/>
          <w:szCs w:val="24"/>
          <w:highlight w:val="none"/>
          <w:lang w:val="en-US" w:eastAsia="zh-CN"/>
        </w:rPr>
        <w:t>浙江华夏工程管理有限公司</w:t>
      </w:r>
      <w:r>
        <w:rPr>
          <w:rFonts w:ascii="仿宋_GB2312" w:hAnsi="新宋体" w:eastAsia="仿宋_GB2312"/>
          <w:color w:val="auto"/>
          <w:szCs w:val="24"/>
          <w:highlight w:val="none"/>
        </w:rPr>
        <w:t>       </w:t>
      </w:r>
    </w:p>
    <w:p w14:paraId="2306728A">
      <w:pPr>
        <w:pStyle w:val="331"/>
        <w:spacing w:afterLines="0" w:line="440" w:lineRule="exact"/>
        <w:ind w:firstLine="480"/>
        <w:rPr>
          <w:rFonts w:hint="default" w:ascii="仿宋_GB2312" w:hAnsi="新宋体" w:eastAsia="仿宋_GB2312"/>
          <w:color w:val="auto"/>
          <w:szCs w:val="24"/>
          <w:highlight w:val="none"/>
          <w:lang w:val="en-US" w:eastAsia="zh-CN"/>
        </w:rPr>
      </w:pPr>
      <w:r>
        <w:rPr>
          <w:rFonts w:hint="eastAsia" w:ascii="仿宋_GB2312" w:hAnsi="新宋体" w:eastAsia="仿宋_GB2312"/>
          <w:color w:val="auto"/>
          <w:szCs w:val="24"/>
          <w:highlight w:val="none"/>
        </w:rPr>
        <w:t>地址：绍兴市越城区</w:t>
      </w:r>
      <w:r>
        <w:rPr>
          <w:rFonts w:hint="eastAsia" w:ascii="仿宋_GB2312" w:hAnsi="新宋体" w:eastAsia="仿宋_GB2312"/>
          <w:color w:val="auto"/>
          <w:szCs w:val="24"/>
          <w:highlight w:val="none"/>
          <w:lang w:val="en-US" w:eastAsia="zh-CN"/>
        </w:rPr>
        <w:t>迪荡街道迅腾大厦1404室</w:t>
      </w:r>
    </w:p>
    <w:p w14:paraId="617AAAB1">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传真：</w:t>
      </w:r>
      <w:r>
        <w:rPr>
          <w:rFonts w:hint="eastAsia" w:ascii="仿宋_GB2312" w:hAnsi="新宋体" w:eastAsia="仿宋_GB2312"/>
          <w:color w:val="auto"/>
          <w:szCs w:val="24"/>
          <w:highlight w:val="none"/>
          <w:lang w:val="en-US" w:eastAsia="zh-CN"/>
        </w:rPr>
        <w:t>/</w:t>
      </w:r>
      <w:r>
        <w:rPr>
          <w:rFonts w:ascii="仿宋_GB2312" w:hAnsi="新宋体" w:eastAsia="仿宋_GB2312"/>
          <w:color w:val="auto"/>
          <w:szCs w:val="24"/>
          <w:highlight w:val="none"/>
        </w:rPr>
        <w:t>       </w:t>
      </w:r>
    </w:p>
    <w:p w14:paraId="12E5F7CF">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项目联系人（询问）：</w:t>
      </w:r>
      <w:r>
        <w:rPr>
          <w:rFonts w:hint="eastAsia" w:ascii="仿宋_GB2312" w:hAnsi="新宋体" w:eastAsia="仿宋_GB2312"/>
          <w:color w:val="auto"/>
          <w:szCs w:val="24"/>
          <w:highlight w:val="none"/>
          <w:lang w:val="en-US" w:eastAsia="zh-CN"/>
        </w:rPr>
        <w:t>张峰</w:t>
      </w:r>
      <w:r>
        <w:rPr>
          <w:rFonts w:ascii="仿宋_GB2312" w:hAnsi="新宋体" w:eastAsia="仿宋_GB2312"/>
          <w:color w:val="auto"/>
          <w:szCs w:val="24"/>
          <w:highlight w:val="none"/>
        </w:rPr>
        <w:t>        </w:t>
      </w:r>
    </w:p>
    <w:p w14:paraId="1B42A6D7">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项目联系方式（询问）：</w:t>
      </w:r>
      <w:r>
        <w:rPr>
          <w:rFonts w:hint="eastAsia" w:ascii="仿宋_GB2312" w:hAnsi="新宋体" w:eastAsia="仿宋_GB2312"/>
          <w:color w:val="auto"/>
          <w:szCs w:val="24"/>
          <w:highlight w:val="none"/>
          <w:lang w:val="en-US" w:eastAsia="zh-CN"/>
        </w:rPr>
        <w:t>13625856780</w:t>
      </w:r>
      <w:r>
        <w:rPr>
          <w:rFonts w:ascii="仿宋_GB2312" w:hAnsi="新宋体" w:eastAsia="仿宋_GB2312"/>
          <w:color w:val="auto"/>
          <w:szCs w:val="24"/>
          <w:highlight w:val="none"/>
        </w:rPr>
        <w:t> </w:t>
      </w:r>
    </w:p>
    <w:p w14:paraId="32DED648">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质疑联系人：</w:t>
      </w:r>
      <w:r>
        <w:rPr>
          <w:rFonts w:hint="eastAsia" w:ascii="仿宋_GB2312" w:hAnsi="新宋体" w:eastAsia="仿宋_GB2312"/>
          <w:color w:val="auto"/>
          <w:szCs w:val="24"/>
          <w:highlight w:val="none"/>
          <w:lang w:val="en-US" w:eastAsia="zh-CN"/>
        </w:rPr>
        <w:t>俞洪波</w:t>
      </w:r>
      <w:r>
        <w:rPr>
          <w:rFonts w:ascii="仿宋_GB2312" w:hAnsi="新宋体" w:eastAsia="仿宋_GB2312"/>
          <w:color w:val="auto"/>
          <w:szCs w:val="24"/>
          <w:highlight w:val="none"/>
        </w:rPr>
        <w:t>       </w:t>
      </w:r>
    </w:p>
    <w:p w14:paraId="3F1D085B">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质疑联系方式：</w:t>
      </w:r>
      <w:r>
        <w:rPr>
          <w:rFonts w:hint="eastAsia" w:ascii="仿宋_GB2312" w:hAnsi="新宋体" w:eastAsia="仿宋_GB2312"/>
          <w:color w:val="auto"/>
          <w:szCs w:val="24"/>
          <w:highlight w:val="none"/>
          <w:lang w:val="en-US" w:eastAsia="zh-CN"/>
        </w:rPr>
        <w:t>18106849337</w:t>
      </w:r>
      <w:r>
        <w:rPr>
          <w:rFonts w:ascii="仿宋_GB2312" w:hAnsi="新宋体" w:eastAsia="仿宋_GB2312"/>
          <w:color w:val="auto"/>
          <w:szCs w:val="24"/>
          <w:highlight w:val="none"/>
        </w:rPr>
        <w:t> </w:t>
      </w:r>
      <w:r>
        <w:rPr>
          <w:rFonts w:hint="eastAsia" w:ascii="仿宋_GB2312" w:hAnsi="新宋体" w:eastAsia="仿宋_GB2312"/>
          <w:color w:val="auto"/>
          <w:szCs w:val="24"/>
          <w:highlight w:val="none"/>
        </w:rPr>
        <w:t>　　　　　　</w:t>
      </w:r>
      <w:r>
        <w:rPr>
          <w:rFonts w:ascii="仿宋_GB2312" w:hAnsi="新宋体" w:eastAsia="仿宋_GB2312"/>
          <w:color w:val="auto"/>
          <w:szCs w:val="24"/>
          <w:highlight w:val="none"/>
        </w:rPr>
        <w:t>   </w:t>
      </w:r>
    </w:p>
    <w:p w14:paraId="199E09D2">
      <w:pPr>
        <w:pStyle w:val="331"/>
        <w:spacing w:afterLines="0" w:line="440" w:lineRule="exact"/>
        <w:ind w:firstLine="482"/>
        <w:rPr>
          <w:rFonts w:ascii="仿宋_GB2312" w:hAnsi="新宋体" w:eastAsia="仿宋_GB2312"/>
          <w:b/>
          <w:color w:val="auto"/>
          <w:szCs w:val="24"/>
          <w:highlight w:val="none"/>
        </w:rPr>
      </w:pPr>
      <w:r>
        <w:rPr>
          <w:rFonts w:hint="eastAsia" w:ascii="仿宋_GB2312" w:hAnsi="新宋体" w:eastAsia="仿宋_GB2312"/>
          <w:b/>
          <w:color w:val="auto"/>
          <w:szCs w:val="24"/>
          <w:highlight w:val="none"/>
        </w:rPr>
        <w:t>3.同级政府采购监督管理部门：</w:t>
      </w:r>
      <w:r>
        <w:rPr>
          <w:rFonts w:ascii="仿宋_GB2312" w:hAnsi="新宋体" w:eastAsia="仿宋_GB2312"/>
          <w:b/>
          <w:color w:val="auto"/>
          <w:szCs w:val="24"/>
          <w:highlight w:val="none"/>
        </w:rPr>
        <w:t>      </w:t>
      </w:r>
    </w:p>
    <w:p w14:paraId="732FF108">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名称：绍兴市财政局</w:t>
      </w:r>
      <w:r>
        <w:rPr>
          <w:rFonts w:ascii="仿宋_GB2312" w:hAnsi="新宋体" w:eastAsia="仿宋_GB2312"/>
          <w:color w:val="auto"/>
          <w:szCs w:val="24"/>
          <w:highlight w:val="none"/>
        </w:rPr>
        <w:t>       </w:t>
      </w:r>
    </w:p>
    <w:p w14:paraId="697AAB95">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地址：绍兴市越城区凤林西路151号</w:t>
      </w:r>
      <w:r>
        <w:rPr>
          <w:rFonts w:ascii="仿宋_GB2312" w:hAnsi="新宋体" w:eastAsia="仿宋_GB2312"/>
          <w:color w:val="auto"/>
          <w:szCs w:val="24"/>
          <w:highlight w:val="none"/>
        </w:rPr>
        <w:t>       </w:t>
      </w:r>
    </w:p>
    <w:p w14:paraId="3D520B2C">
      <w:pPr>
        <w:pStyle w:val="331"/>
        <w:spacing w:afterLines="0" w:line="440" w:lineRule="exact"/>
        <w:ind w:firstLine="480"/>
        <w:rPr>
          <w:rFonts w:ascii="仿宋_GB2312" w:hAnsi="新宋体" w:eastAsia="仿宋_GB2312"/>
          <w:color w:val="auto"/>
          <w:szCs w:val="24"/>
          <w:highlight w:val="none"/>
        </w:rPr>
      </w:pPr>
      <w:r>
        <w:rPr>
          <w:rFonts w:hint="eastAsia" w:ascii="仿宋_GB2312" w:hAnsi="新宋体" w:eastAsia="仿宋_GB2312"/>
          <w:color w:val="auto"/>
          <w:szCs w:val="24"/>
          <w:highlight w:val="none"/>
        </w:rPr>
        <w:t>传真：</w:t>
      </w:r>
      <w:r>
        <w:rPr>
          <w:rFonts w:ascii="仿宋_GB2312" w:hAnsi="新宋体" w:eastAsia="仿宋_GB2312"/>
          <w:color w:val="auto"/>
          <w:szCs w:val="24"/>
          <w:highlight w:val="none"/>
        </w:rPr>
        <w:t>0575-8520</w:t>
      </w:r>
      <w:r>
        <w:rPr>
          <w:rFonts w:hint="eastAsia" w:ascii="仿宋_GB2312" w:hAnsi="新宋体" w:eastAsia="仿宋_GB2312"/>
          <w:color w:val="auto"/>
          <w:szCs w:val="24"/>
          <w:highlight w:val="none"/>
        </w:rPr>
        <w:t>9697</w:t>
      </w:r>
      <w:r>
        <w:rPr>
          <w:rFonts w:ascii="仿宋_GB2312" w:hAnsi="新宋体" w:eastAsia="仿宋_GB2312"/>
          <w:color w:val="auto"/>
          <w:szCs w:val="24"/>
          <w:highlight w:val="none"/>
        </w:rPr>
        <w:t>       </w:t>
      </w:r>
    </w:p>
    <w:p w14:paraId="52C62734">
      <w:pPr>
        <w:pStyle w:val="331"/>
        <w:spacing w:afterLines="0" w:line="440" w:lineRule="exact"/>
        <w:ind w:firstLine="480"/>
        <w:rPr>
          <w:rFonts w:hint="eastAsia" w:ascii="仿宋_GB2312" w:hAnsi="新宋体" w:eastAsia="仿宋_GB2312" w:cs="Times New Roman"/>
          <w:color w:val="auto"/>
          <w:kern w:val="0"/>
          <w:sz w:val="24"/>
          <w:szCs w:val="24"/>
          <w:highlight w:val="none"/>
          <w:lang w:val="en-US" w:eastAsia="zh-CN" w:bidi="ar-SA"/>
        </w:rPr>
      </w:pPr>
      <w:r>
        <w:rPr>
          <w:rFonts w:hint="eastAsia" w:ascii="仿宋_GB2312" w:hAnsi="新宋体" w:eastAsia="仿宋_GB2312" w:cs="Times New Roman"/>
          <w:color w:val="auto"/>
          <w:kern w:val="0"/>
          <w:sz w:val="24"/>
          <w:szCs w:val="24"/>
          <w:highlight w:val="none"/>
          <w:lang w:val="en-US" w:eastAsia="zh-CN" w:bidi="ar-SA"/>
        </w:rPr>
        <w:t xml:space="preserve">联系人 ：张婷婷 </w:t>
      </w:r>
    </w:p>
    <w:p w14:paraId="5F597C90">
      <w:pPr>
        <w:pStyle w:val="331"/>
        <w:spacing w:afterLines="0" w:line="440" w:lineRule="exact"/>
        <w:ind w:firstLine="480"/>
        <w:rPr>
          <w:rFonts w:hint="eastAsia" w:ascii="仿宋" w:hAnsi="仿宋" w:eastAsia="仿宋" w:cs="仿宋"/>
          <w:color w:val="auto"/>
          <w:sz w:val="24"/>
          <w:highlight w:val="none"/>
        </w:rPr>
      </w:pPr>
      <w:r>
        <w:rPr>
          <w:rFonts w:hint="eastAsia" w:ascii="仿宋_GB2312" w:hAnsi="新宋体" w:eastAsia="仿宋_GB2312"/>
          <w:color w:val="auto"/>
          <w:szCs w:val="24"/>
          <w:highlight w:val="none"/>
        </w:rPr>
        <w:t>监督投诉电话：</w:t>
      </w:r>
      <w:r>
        <w:rPr>
          <w:rFonts w:ascii="仿宋_GB2312" w:hAnsi="新宋体" w:eastAsia="仿宋_GB2312"/>
          <w:color w:val="auto"/>
          <w:szCs w:val="24"/>
          <w:highlight w:val="none"/>
        </w:rPr>
        <w:t>0575-8520</w:t>
      </w:r>
      <w:r>
        <w:rPr>
          <w:rFonts w:hint="eastAsia" w:ascii="仿宋_GB2312" w:hAnsi="新宋体" w:eastAsia="仿宋_GB2312"/>
          <w:color w:val="auto"/>
          <w:szCs w:val="24"/>
          <w:highlight w:val="none"/>
        </w:rPr>
        <w:t>9697</w:t>
      </w:r>
      <w:r>
        <w:rPr>
          <w:rFonts w:hint="eastAsia" w:ascii="仿宋_GB2312" w:hAnsi="新宋体" w:eastAsia="仿宋_GB2312" w:cs="Times New Roman"/>
          <w:color w:val="auto"/>
          <w:kern w:val="0"/>
          <w:sz w:val="24"/>
          <w:szCs w:val="24"/>
          <w:highlight w:val="none"/>
          <w:lang w:val="en-US" w:eastAsia="zh-CN" w:bidi="ar-SA"/>
        </w:rPr>
        <w:t xml:space="preserve">    </w:t>
      </w:r>
      <w:r>
        <w:rPr>
          <w:rFonts w:hint="eastAsia" w:ascii="仿宋" w:hAnsi="仿宋" w:eastAsia="仿宋" w:cs="仿宋"/>
          <w:color w:val="auto"/>
          <w:sz w:val="24"/>
          <w:highlight w:val="none"/>
        </w:rPr>
        <w:t xml:space="preserve"> </w:t>
      </w:r>
    </w:p>
    <w:p w14:paraId="4E777808">
      <w:pPr>
        <w:pStyle w:val="331"/>
        <w:spacing w:afterLines="0"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18C9F3B3">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66B7444">
      <w:pPr>
        <w:pStyle w:val="34"/>
        <w:spacing w:line="336" w:lineRule="auto"/>
        <w:ind w:firstLine="480" w:firstLineChars="200"/>
        <w:jc w:val="right"/>
        <w:rPr>
          <w:rFonts w:ascii="仿宋" w:hAnsi="仿宋" w:eastAsia="仿宋" w:cs="仿宋"/>
          <w:color w:val="auto"/>
          <w:sz w:val="24"/>
          <w:szCs w:val="24"/>
          <w:highlight w:val="none"/>
        </w:rPr>
      </w:pPr>
    </w:p>
    <w:p w14:paraId="5A599520">
      <w:pPr>
        <w:pStyle w:val="34"/>
        <w:spacing w:line="336" w:lineRule="auto"/>
        <w:ind w:firstLine="480" w:firstLineChars="200"/>
        <w:rPr>
          <w:rFonts w:ascii="仿宋" w:hAnsi="仿宋" w:eastAsia="仿宋" w:cs="仿宋"/>
          <w:color w:val="auto"/>
          <w:sz w:val="24"/>
          <w:szCs w:val="24"/>
          <w:highlight w:val="none"/>
        </w:rPr>
      </w:pPr>
    </w:p>
    <w:p w14:paraId="679884A8">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24E09B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14:paraId="34DDA3EF">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0"/>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17"/>
        <w:gridCol w:w="7428"/>
      </w:tblGrid>
      <w:tr w14:paraId="369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C34CA20">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545" w:type="dxa"/>
            <w:gridSpan w:val="2"/>
            <w:vAlign w:val="center"/>
          </w:tcPr>
          <w:p w14:paraId="20B123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833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8BB367A">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545" w:type="dxa"/>
            <w:gridSpan w:val="2"/>
            <w:vAlign w:val="center"/>
          </w:tcPr>
          <w:p w14:paraId="5631640F">
            <w:pPr>
              <w:snapToGrid w:val="0"/>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w:t>
            </w:r>
            <w:r>
              <w:rPr>
                <w:rFonts w:hint="eastAsia" w:ascii="仿宋" w:hAnsi="仿宋" w:eastAsia="仿宋" w:cs="仿宋"/>
                <w:color w:val="auto"/>
                <w:sz w:val="24"/>
                <w:highlight w:val="none"/>
              </w:rPr>
              <w:t>：</w:t>
            </w:r>
          </w:p>
          <w:p w14:paraId="46C89E43">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7183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5DB1EFE">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545" w:type="dxa"/>
            <w:gridSpan w:val="2"/>
            <w:vAlign w:val="center"/>
          </w:tcPr>
          <w:p w14:paraId="76AB4810">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18DAD32">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652CBF86">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363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4A4DD7B">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545" w:type="dxa"/>
            <w:gridSpan w:val="2"/>
            <w:vAlign w:val="center"/>
          </w:tcPr>
          <w:p w14:paraId="42209B17">
            <w:pPr>
              <w:autoSpaceDE w:val="0"/>
              <w:autoSpaceDN w:val="0"/>
              <w:spacing w:line="336" w:lineRule="auto"/>
              <w:textAlignment w:val="bottom"/>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color w:val="auto"/>
                <w:sz w:val="24"/>
                <w:highlight w:val="none"/>
              </w:rPr>
              <w:t>磋商响应人的磋商文件中承</w:t>
            </w:r>
            <w:r>
              <w:rPr>
                <w:rFonts w:hint="eastAsia" w:ascii="仿宋" w:hAnsi="仿宋" w:eastAsia="仿宋" w:cs="仿宋"/>
                <w:b/>
                <w:color w:val="auto"/>
                <w:sz w:val="24"/>
                <w:szCs w:val="21"/>
                <w:highlight w:val="none"/>
              </w:rPr>
              <w:t>诺的磋商有效期少于磋商文件中载明的磋商有效期的，磋商无效。</w:t>
            </w:r>
          </w:p>
        </w:tc>
      </w:tr>
      <w:tr w14:paraId="3301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9FC4197">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545" w:type="dxa"/>
            <w:gridSpan w:val="2"/>
            <w:vAlign w:val="center"/>
          </w:tcPr>
          <w:p w14:paraId="2825147E">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657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CC8BEE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545" w:type="dxa"/>
            <w:gridSpan w:val="2"/>
            <w:vAlign w:val="center"/>
          </w:tcPr>
          <w:p w14:paraId="43ED4150">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BD1899B">
            <w:pPr>
              <w:spacing w:line="336" w:lineRule="auto"/>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7CE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BF14746">
            <w:pPr>
              <w:spacing w:line="336"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545" w:type="dxa"/>
            <w:gridSpan w:val="2"/>
            <w:vAlign w:val="center"/>
          </w:tcPr>
          <w:p w14:paraId="77BC26D7">
            <w:pPr>
              <w:spacing w:line="336" w:lineRule="auto"/>
              <w:rPr>
                <w:rFonts w:hint="eastAsia" w:ascii="仿宋" w:hAnsi="仿宋" w:eastAsia="仿宋" w:cs="仿宋"/>
                <w:color w:val="auto"/>
                <w:kern w:val="0"/>
                <w:sz w:val="24"/>
                <w:highlight w:val="none"/>
                <w:lang w:eastAsia="zh-CN"/>
              </w:rPr>
            </w:pPr>
            <w:r>
              <w:rPr>
                <w:rFonts w:hint="eastAsia" w:ascii="仿宋" w:hAnsi="仿宋" w:eastAsia="仿宋" w:cs="仿宋"/>
                <w:b/>
                <w:color w:val="auto"/>
                <w:sz w:val="24"/>
                <w:highlight w:val="none"/>
              </w:rPr>
              <w:t>招标范围</w:t>
            </w:r>
            <w:r>
              <w:rPr>
                <w:rFonts w:hint="eastAsia" w:ascii="仿宋" w:hAnsi="仿宋" w:eastAsia="仿宋" w:cs="仿宋"/>
                <w:b/>
                <w:color w:val="auto"/>
                <w:sz w:val="24"/>
                <w:highlight w:val="none"/>
                <w:lang w:eastAsia="zh-CN"/>
              </w:rPr>
              <w:t>：</w:t>
            </w:r>
            <w:r>
              <w:rPr>
                <w:rFonts w:hint="eastAsia" w:ascii="仿宋" w:hAnsi="仿宋" w:eastAsia="仿宋" w:cs="仿宋"/>
                <w:color w:val="auto"/>
                <w:kern w:val="0"/>
                <w:sz w:val="24"/>
                <w:highlight w:val="none"/>
                <w:lang w:val="en-US" w:eastAsia="zh-CN"/>
              </w:rPr>
              <w:t>绍兴市第一中学操场维修改造</w:t>
            </w:r>
            <w:r>
              <w:rPr>
                <w:rFonts w:hint="eastAsia" w:ascii="仿宋" w:hAnsi="仿宋" w:eastAsia="仿宋" w:cs="仿宋"/>
                <w:color w:val="auto"/>
                <w:kern w:val="0"/>
                <w:sz w:val="24"/>
                <w:highlight w:val="none"/>
                <w:lang w:eastAsia="zh-CN"/>
              </w:rPr>
              <w:t>等内容，具体详见</w:t>
            </w:r>
            <w:r>
              <w:rPr>
                <w:rFonts w:hint="eastAsia" w:ascii="仿宋" w:hAnsi="仿宋" w:eastAsia="仿宋" w:cs="仿宋"/>
                <w:color w:val="auto"/>
                <w:kern w:val="0"/>
                <w:sz w:val="24"/>
                <w:highlight w:val="none"/>
                <w:lang w:val="en-US" w:eastAsia="zh-CN"/>
              </w:rPr>
              <w:t>图</w:t>
            </w:r>
            <w:r>
              <w:rPr>
                <w:rFonts w:hint="eastAsia" w:ascii="仿宋" w:hAnsi="仿宋" w:eastAsia="仿宋" w:cs="仿宋"/>
                <w:color w:val="auto"/>
                <w:sz w:val="24"/>
                <w:highlight w:val="none"/>
                <w:lang w:val="en-US" w:eastAsia="zh-CN"/>
              </w:rPr>
              <w:t>纸、</w:t>
            </w:r>
            <w:r>
              <w:rPr>
                <w:rFonts w:hint="eastAsia" w:ascii="仿宋" w:hAnsi="仿宋" w:eastAsia="仿宋" w:cs="仿宋"/>
                <w:color w:val="auto"/>
                <w:sz w:val="24"/>
                <w:highlight w:val="none"/>
              </w:rPr>
              <w:t>工程量清单</w:t>
            </w:r>
          </w:p>
        </w:tc>
      </w:tr>
      <w:tr w14:paraId="1ED8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61D3A88">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545" w:type="dxa"/>
            <w:gridSpan w:val="2"/>
            <w:vAlign w:val="center"/>
          </w:tcPr>
          <w:p w14:paraId="737FD2A8">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工期：</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日历天</w:t>
            </w:r>
            <w:r>
              <w:rPr>
                <w:rFonts w:hint="eastAsia" w:ascii="仿宋" w:hAnsi="仿宋" w:eastAsia="仿宋" w:cs="仿宋"/>
                <w:color w:val="auto"/>
                <w:sz w:val="24"/>
                <w:highlight w:val="none"/>
                <w:lang w:val="en-US" w:eastAsia="zh-CN"/>
              </w:rPr>
              <w:t>。</w:t>
            </w:r>
          </w:p>
        </w:tc>
      </w:tr>
      <w:tr w14:paraId="618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0D117817">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545" w:type="dxa"/>
            <w:gridSpan w:val="2"/>
            <w:vAlign w:val="center"/>
          </w:tcPr>
          <w:p w14:paraId="405C8C3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p>
        </w:tc>
      </w:tr>
      <w:tr w14:paraId="40E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F093F49">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45" w:type="dxa"/>
            <w:gridSpan w:val="2"/>
            <w:vAlign w:val="center"/>
          </w:tcPr>
          <w:p w14:paraId="39546FAD">
            <w:pPr>
              <w:autoSpaceDE w:val="0"/>
              <w:autoSpaceDN w:val="0"/>
              <w:spacing w:line="336" w:lineRule="auto"/>
              <w:textAlignment w:val="bottom"/>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77BF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06D025C6">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545" w:type="dxa"/>
            <w:gridSpan w:val="2"/>
            <w:vAlign w:val="center"/>
          </w:tcPr>
          <w:p w14:paraId="4141A156">
            <w:pPr>
              <w:autoSpaceDE w:val="0"/>
              <w:autoSpaceDN w:val="0"/>
              <w:spacing w:line="336"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234C6380">
            <w:pPr>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r>
              <w:rPr>
                <w:rFonts w:hint="eastAsia" w:ascii="仿宋" w:hAnsi="仿宋" w:eastAsia="仿宋" w:cs="仿宋"/>
                <w:color w:val="auto"/>
                <w:kern w:val="0"/>
                <w:sz w:val="24"/>
                <w:highlight w:val="none"/>
                <w:lang w:val="zh-CN"/>
              </w:rPr>
              <w:t>本项目不组织统一的现场踏勘，但鉴于本项目位于</w:t>
            </w:r>
            <w:r>
              <w:rPr>
                <w:rFonts w:hint="eastAsia" w:ascii="仿宋" w:hAnsi="仿宋" w:eastAsia="仿宋" w:cs="仿宋"/>
                <w:color w:val="auto"/>
                <w:kern w:val="0"/>
                <w:sz w:val="24"/>
                <w:highlight w:val="none"/>
                <w:lang w:val="en-US" w:eastAsia="zh-CN"/>
              </w:rPr>
              <w:t>监区</w:t>
            </w:r>
            <w:r>
              <w:rPr>
                <w:rFonts w:hint="eastAsia" w:ascii="仿宋" w:hAnsi="仿宋" w:eastAsia="仿宋" w:cs="仿宋"/>
                <w:color w:val="auto"/>
                <w:kern w:val="0"/>
                <w:sz w:val="24"/>
                <w:highlight w:val="none"/>
                <w:lang w:val="zh-CN"/>
              </w:rPr>
              <w:t>内部，有一定的</w:t>
            </w:r>
            <w:r>
              <w:rPr>
                <w:rFonts w:hint="eastAsia" w:ascii="仿宋" w:hAnsi="仿宋" w:eastAsia="仿宋" w:cs="仿宋"/>
                <w:color w:val="auto"/>
                <w:kern w:val="0"/>
                <w:sz w:val="24"/>
                <w:highlight w:val="none"/>
                <w:lang w:val="en-US" w:eastAsia="zh-CN"/>
              </w:rPr>
              <w:t>局限性及安全性</w:t>
            </w:r>
            <w:r>
              <w:rPr>
                <w:rFonts w:hint="eastAsia" w:ascii="仿宋" w:hAnsi="仿宋" w:eastAsia="仿宋" w:cs="仿宋"/>
                <w:color w:val="auto"/>
                <w:kern w:val="0"/>
                <w:sz w:val="24"/>
                <w:highlight w:val="none"/>
                <w:lang w:val="zh-CN"/>
              </w:rPr>
              <w:t>，存在施工场地狭小、施工时间受限</w:t>
            </w:r>
            <w:r>
              <w:rPr>
                <w:rFonts w:hint="eastAsia" w:ascii="仿宋" w:hAnsi="仿宋" w:eastAsia="仿宋" w:cs="仿宋"/>
                <w:color w:val="auto"/>
                <w:kern w:val="0"/>
                <w:sz w:val="24"/>
                <w:highlight w:val="none"/>
                <w:lang w:val="en-US" w:eastAsia="zh-CN"/>
              </w:rPr>
              <w:t>等</w:t>
            </w:r>
            <w:r>
              <w:rPr>
                <w:rFonts w:hint="eastAsia" w:ascii="仿宋" w:hAnsi="仿宋" w:eastAsia="仿宋" w:cs="仿宋"/>
                <w:color w:val="auto"/>
                <w:kern w:val="0"/>
                <w:sz w:val="24"/>
                <w:highlight w:val="none"/>
                <w:lang w:val="zh-CN"/>
              </w:rPr>
              <w:t>，需做好安全围护并保证</w:t>
            </w:r>
            <w:r>
              <w:rPr>
                <w:rFonts w:hint="eastAsia" w:ascii="仿宋" w:hAnsi="仿宋" w:eastAsia="仿宋" w:cs="仿宋"/>
                <w:color w:val="auto"/>
                <w:kern w:val="0"/>
                <w:sz w:val="24"/>
                <w:highlight w:val="none"/>
                <w:lang w:val="en-US" w:eastAsia="zh-CN"/>
              </w:rPr>
              <w:t>监区正常生活</w:t>
            </w:r>
            <w:r>
              <w:rPr>
                <w:rFonts w:hint="eastAsia" w:ascii="仿宋" w:hAnsi="仿宋" w:eastAsia="仿宋" w:cs="仿宋"/>
                <w:color w:val="auto"/>
                <w:kern w:val="0"/>
                <w:sz w:val="24"/>
                <w:highlight w:val="none"/>
                <w:lang w:val="zh-CN"/>
              </w:rPr>
              <w:t>，请各潜在供应商在结合自身企业情况对现场进行自行踏勘，以充分考虑施工过程实际情况，降低施工风险。踏勘过程中的安全责任磋商响应人自负。</w:t>
            </w:r>
          </w:p>
          <w:p w14:paraId="2BA38368">
            <w:pPr>
              <w:autoSpaceDE w:val="0"/>
              <w:autoSpaceDN w:val="0"/>
              <w:spacing w:line="336" w:lineRule="auto"/>
              <w:textAlignment w:val="bottom"/>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EC8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3B9A18D">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545" w:type="dxa"/>
            <w:gridSpan w:val="2"/>
            <w:vAlign w:val="center"/>
          </w:tcPr>
          <w:p w14:paraId="045EB16A">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041685C9">
            <w:pPr>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70CF333E">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17A66025">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0D66DF4">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FFCAD1">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CA71BAE">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920F60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0EEB28E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2A508CA">
            <w:pPr>
              <w:autoSpaceDE w:val="0"/>
              <w:autoSpaceDN w:val="0"/>
              <w:spacing w:line="336"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00B8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5E6B2965">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45" w:type="dxa"/>
            <w:gridSpan w:val="2"/>
            <w:vAlign w:val="center"/>
          </w:tcPr>
          <w:p w14:paraId="22E077CB">
            <w:pPr>
              <w:spacing w:beforeLines="0" w:afterLines="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3C935730">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4A506C8F">
            <w:pPr>
              <w:spacing w:beforeLines="0" w:after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63D69E29">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14:paraId="6CD1B182">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6B0CB800">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5EFED05A">
            <w:pPr>
              <w:spacing w:beforeLines="0" w:after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23C57856">
            <w:pPr>
              <w:spacing w:line="336"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303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20AD230C">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117" w:type="dxa"/>
            <w:vAlign w:val="center"/>
          </w:tcPr>
          <w:p w14:paraId="061FEC5B">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428" w:type="dxa"/>
            <w:vAlign w:val="center"/>
          </w:tcPr>
          <w:p w14:paraId="56B34501">
            <w:pPr>
              <w:spacing w:line="336"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14:paraId="448D65D2">
            <w:pPr>
              <w:snapToGrid w:val="0"/>
              <w:spacing w:line="336"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953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A8ADFCE">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117" w:type="dxa"/>
            <w:vAlign w:val="center"/>
          </w:tcPr>
          <w:p w14:paraId="152F6733">
            <w:pPr>
              <w:snapToGrid w:val="0"/>
              <w:spacing w:line="336" w:lineRule="auto"/>
              <w:jc w:val="center"/>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承包方式</w:t>
            </w:r>
          </w:p>
        </w:tc>
        <w:tc>
          <w:tcPr>
            <w:tcW w:w="7428" w:type="dxa"/>
            <w:vAlign w:val="center"/>
          </w:tcPr>
          <w:p w14:paraId="566543F3">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固定单价及中标下浮率的方式承包。</w:t>
            </w:r>
          </w:p>
        </w:tc>
      </w:tr>
      <w:tr w14:paraId="7F06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06C8ED97">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117" w:type="dxa"/>
            <w:vAlign w:val="center"/>
          </w:tcPr>
          <w:p w14:paraId="4676D165">
            <w:pPr>
              <w:snapToGrid w:val="0"/>
              <w:spacing w:line="336"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质量标准</w:t>
            </w:r>
          </w:p>
        </w:tc>
        <w:tc>
          <w:tcPr>
            <w:tcW w:w="7428" w:type="dxa"/>
            <w:vAlign w:val="center"/>
          </w:tcPr>
          <w:p w14:paraId="743FA950">
            <w:pPr>
              <w:snapToGrid w:val="0"/>
              <w:spacing w:line="336"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符合现行国家有关工程施工质量验收规范和标准的“合格”标准。</w:t>
            </w:r>
          </w:p>
        </w:tc>
      </w:tr>
      <w:tr w14:paraId="2F98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69" w:type="dxa"/>
            <w:vAlign w:val="center"/>
          </w:tcPr>
          <w:p w14:paraId="671E943F">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1117" w:type="dxa"/>
            <w:vAlign w:val="center"/>
          </w:tcPr>
          <w:p w14:paraId="704A6E15">
            <w:pPr>
              <w:snapToGrid w:val="0"/>
              <w:spacing w:line="336" w:lineRule="auto"/>
              <w:ind w:left="14" w:hanging="14" w:hangingChars="7"/>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428" w:type="dxa"/>
            <w:vAlign w:val="center"/>
          </w:tcPr>
          <w:p w14:paraId="264A650C">
            <w:pPr>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16F44D">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p w14:paraId="5CA3A1BB">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类。</w:t>
            </w:r>
          </w:p>
        </w:tc>
      </w:tr>
      <w:tr w14:paraId="5D14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9C6E392">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117" w:type="dxa"/>
            <w:vAlign w:val="center"/>
          </w:tcPr>
          <w:p w14:paraId="7035DD21">
            <w:pPr>
              <w:snapToGrid w:val="0"/>
              <w:spacing w:line="336" w:lineRule="auto"/>
              <w:ind w:hanging="1"/>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1"/>
                <w:szCs w:val="21"/>
                <w:highlight w:val="none"/>
              </w:rPr>
              <w:t>采购标的对应的中小企业划分标准所属行业</w:t>
            </w:r>
          </w:p>
        </w:tc>
        <w:tc>
          <w:tcPr>
            <w:tcW w:w="7428" w:type="dxa"/>
            <w:vAlign w:val="center"/>
          </w:tcPr>
          <w:p w14:paraId="7A8018AC">
            <w:pPr>
              <w:snapToGrid w:val="0"/>
              <w:spacing w:line="336" w:lineRule="auto"/>
              <w:rPr>
                <w:rFonts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绍兴市第一中学田径场维修改造工程</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建筑业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14:paraId="091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9778164">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p>
        </w:tc>
        <w:tc>
          <w:tcPr>
            <w:tcW w:w="1117" w:type="dxa"/>
            <w:vMerge w:val="restart"/>
            <w:vAlign w:val="center"/>
          </w:tcPr>
          <w:p w14:paraId="61F446D0">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428" w:type="dxa"/>
            <w:vAlign w:val="center"/>
          </w:tcPr>
          <w:p w14:paraId="536F1D72">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70C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09F71BCC">
            <w:pPr>
              <w:spacing w:line="336" w:lineRule="auto"/>
              <w:jc w:val="center"/>
              <w:rPr>
                <w:rFonts w:ascii="仿宋" w:hAnsi="仿宋" w:eastAsia="仿宋" w:cs="仿宋"/>
                <w:color w:val="auto"/>
                <w:sz w:val="24"/>
                <w:highlight w:val="none"/>
              </w:rPr>
            </w:pPr>
          </w:p>
        </w:tc>
        <w:tc>
          <w:tcPr>
            <w:tcW w:w="1117" w:type="dxa"/>
            <w:vMerge w:val="continue"/>
            <w:vAlign w:val="center"/>
          </w:tcPr>
          <w:p w14:paraId="29110B98">
            <w:pPr>
              <w:snapToGrid w:val="0"/>
              <w:spacing w:line="336" w:lineRule="auto"/>
              <w:rPr>
                <w:rFonts w:ascii="仿宋" w:hAnsi="仿宋" w:eastAsia="仿宋" w:cs="仿宋"/>
                <w:b/>
                <w:color w:val="auto"/>
                <w:sz w:val="24"/>
                <w:highlight w:val="none"/>
              </w:rPr>
            </w:pPr>
          </w:p>
        </w:tc>
        <w:tc>
          <w:tcPr>
            <w:tcW w:w="7428" w:type="dxa"/>
            <w:vAlign w:val="center"/>
          </w:tcPr>
          <w:p w14:paraId="26E711EB">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48ED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3BCA17C4">
            <w:pPr>
              <w:spacing w:line="336" w:lineRule="auto"/>
              <w:jc w:val="center"/>
              <w:rPr>
                <w:rFonts w:ascii="仿宋" w:hAnsi="仿宋" w:eastAsia="仿宋" w:cs="仿宋"/>
                <w:color w:val="auto"/>
                <w:sz w:val="24"/>
                <w:highlight w:val="none"/>
              </w:rPr>
            </w:pPr>
          </w:p>
        </w:tc>
        <w:tc>
          <w:tcPr>
            <w:tcW w:w="1117" w:type="dxa"/>
            <w:vMerge w:val="continue"/>
            <w:vAlign w:val="center"/>
          </w:tcPr>
          <w:p w14:paraId="1A3D7740">
            <w:pPr>
              <w:snapToGrid w:val="0"/>
              <w:spacing w:line="336" w:lineRule="auto"/>
              <w:rPr>
                <w:rFonts w:ascii="仿宋" w:hAnsi="仿宋" w:eastAsia="仿宋" w:cs="仿宋"/>
                <w:b/>
                <w:color w:val="auto"/>
                <w:sz w:val="24"/>
                <w:highlight w:val="none"/>
              </w:rPr>
            </w:pPr>
          </w:p>
        </w:tc>
        <w:tc>
          <w:tcPr>
            <w:tcW w:w="7428" w:type="dxa"/>
            <w:vAlign w:val="center"/>
          </w:tcPr>
          <w:p w14:paraId="28696C4F">
            <w:pPr>
              <w:snapToGrid w:val="0"/>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、政府采购严重违法失信行为记录名单的供应商将被拒绝参与政府采购活动。</w:t>
            </w:r>
          </w:p>
          <w:p w14:paraId="23B357CC">
            <w:pPr>
              <w:snapToGrid w:val="0"/>
              <w:spacing w:line="336" w:lineRule="auto"/>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C62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8ACAC3C">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8545" w:type="dxa"/>
            <w:gridSpan w:val="2"/>
            <w:vAlign w:val="center"/>
          </w:tcPr>
          <w:p w14:paraId="6B76443B">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14:paraId="72DD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DC69DAF">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545" w:type="dxa"/>
            <w:gridSpan w:val="2"/>
            <w:vAlign w:val="center"/>
          </w:tcPr>
          <w:p w14:paraId="6C1E5F73">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更正补充公告请自行登录浙江政府采购网或绍兴公共资源交易网查看下载。</w:t>
            </w:r>
          </w:p>
        </w:tc>
      </w:tr>
      <w:tr w14:paraId="6E9C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5FCC6992">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545" w:type="dxa"/>
            <w:gridSpan w:val="2"/>
            <w:vAlign w:val="center"/>
          </w:tcPr>
          <w:p w14:paraId="363598C8">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磋商注意事项：</w:t>
            </w:r>
          </w:p>
          <w:p w14:paraId="5FBFC5B8">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14:paraId="7D845FDD">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4F550671">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40226E5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14:paraId="3BE7ABBE">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14:paraId="5F9AE30E">
            <w:pPr>
              <w:snapToGrid w:val="0"/>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14:paraId="47865D2F">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视为磋商响应文件撤回</w:t>
            </w:r>
            <w:r>
              <w:rPr>
                <w:rFonts w:hint="eastAsia" w:ascii="仿宋" w:hAnsi="仿宋" w:eastAsia="仿宋" w:cs="仿宋"/>
                <w:color w:val="auto"/>
                <w:sz w:val="24"/>
                <w:highlight w:val="none"/>
              </w:rPr>
              <w:t>。</w:t>
            </w:r>
          </w:p>
        </w:tc>
      </w:tr>
      <w:tr w14:paraId="48DF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684CC86C">
            <w:pPr>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8545" w:type="dxa"/>
            <w:gridSpan w:val="2"/>
            <w:vAlign w:val="center"/>
          </w:tcPr>
          <w:p w14:paraId="215B27BB">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7CF81C3B">
            <w:pPr>
              <w:spacing w:line="336"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7D2D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6FE288C1">
            <w:pPr>
              <w:spacing w:line="336" w:lineRule="auto"/>
              <w:jc w:val="center"/>
              <w:rPr>
                <w:rFonts w:ascii="仿宋" w:hAnsi="仿宋" w:eastAsia="仿宋" w:cs="仿宋"/>
                <w:color w:val="auto"/>
                <w:sz w:val="24"/>
                <w:highlight w:val="none"/>
              </w:rPr>
            </w:pPr>
          </w:p>
        </w:tc>
        <w:tc>
          <w:tcPr>
            <w:tcW w:w="8545" w:type="dxa"/>
            <w:gridSpan w:val="2"/>
            <w:vAlign w:val="center"/>
          </w:tcPr>
          <w:p w14:paraId="475A78D6">
            <w:pPr>
              <w:spacing w:line="336"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14:paraId="3296D3EC">
            <w:pPr>
              <w:spacing w:line="336"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14:paraId="50FC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D2B693E">
            <w:pPr>
              <w:snapToGrid w:val="0"/>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8545" w:type="dxa"/>
            <w:gridSpan w:val="2"/>
            <w:vAlign w:val="center"/>
          </w:tcPr>
          <w:p w14:paraId="1B377EDA">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采购代理服务费：</w:t>
            </w:r>
          </w:p>
          <w:p w14:paraId="0B9D687E">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投标人需支付以下费用，并在投标报价中自行考虑：</w:t>
            </w:r>
          </w:p>
          <w:p w14:paraId="0857694C">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采购代理服务费按下列工程招标差额定率累进法计算方式计取后由中标人支付。成交金额100万元以下的部分,工程类采购费率1.00%; 成交金额100万元至500万元的部分,工程类采购费率0.80%;</w:t>
            </w:r>
            <w:r>
              <w:rPr>
                <w:rFonts w:hint="eastAsia" w:ascii="仿宋" w:hAnsi="仿宋" w:eastAsia="仿宋" w:cs="仿宋"/>
                <w:color w:val="auto"/>
                <w:sz w:val="24"/>
                <w:highlight w:val="none"/>
              </w:rPr>
              <w:t>。</w:t>
            </w:r>
          </w:p>
          <w:p w14:paraId="7C667A0D">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中标服务费的交纳方式：</w:t>
            </w:r>
          </w:p>
          <w:p w14:paraId="064C0F38">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14:paraId="55515611">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公司名称：浙江华夏工程管理有限公司绍兴分公司</w:t>
            </w:r>
          </w:p>
          <w:p w14:paraId="59F3E85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 1211018109200094088</w:t>
            </w:r>
          </w:p>
          <w:p w14:paraId="3585EADF">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工商银行城东新区支行</w:t>
            </w:r>
          </w:p>
          <w:p w14:paraId="666B7E8F">
            <w:pPr>
              <w:spacing w:line="336" w:lineRule="auto"/>
              <w:rPr>
                <w:rFonts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采购代理服务费的交纳时间：领取中标通知书前</w:t>
            </w:r>
            <w:r>
              <w:rPr>
                <w:rFonts w:hint="eastAsia" w:ascii="仿宋" w:hAnsi="仿宋" w:eastAsia="仿宋" w:cs="仿宋"/>
                <w:color w:val="auto"/>
                <w:sz w:val="24"/>
                <w:highlight w:val="none"/>
                <w:lang w:val="en-US" w:eastAsia="zh-CN"/>
              </w:rPr>
              <w:t>缴纳</w:t>
            </w:r>
            <w:r>
              <w:rPr>
                <w:rFonts w:hint="eastAsia" w:ascii="仿宋" w:hAnsi="仿宋" w:eastAsia="仿宋" w:cs="仿宋"/>
                <w:color w:val="auto"/>
                <w:sz w:val="24"/>
                <w:highlight w:val="none"/>
              </w:rPr>
              <w:t>。</w:t>
            </w:r>
          </w:p>
        </w:tc>
      </w:tr>
      <w:tr w14:paraId="6B8C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8930FD6">
            <w:pPr>
              <w:snapToGrid w:val="0"/>
              <w:spacing w:line="336"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w:t>
            </w:r>
          </w:p>
        </w:tc>
        <w:tc>
          <w:tcPr>
            <w:tcW w:w="8545" w:type="dxa"/>
            <w:gridSpan w:val="2"/>
            <w:vAlign w:val="center"/>
          </w:tcPr>
          <w:p w14:paraId="31499C8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政府采购工程需落实绿色建材要求：</w:t>
            </w:r>
          </w:p>
          <w:p w14:paraId="664323D3">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本工程需严格根据《绍兴市政府采购支持绿色建材试点项目实施管理办法（试行）》、《绍兴市财政局绍兴市住房和城乡建设局绍兴市政务服务办公室关于试点项目绿色建材带量集中采购工作的通知（试行）》等文件要求执行。</w:t>
            </w:r>
          </w:p>
          <w:p w14:paraId="57F7028B">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本工程建材采购须符合上级部门的相关绿色建材试点要求，凡纳入《绍兴市绿色建材集中采购目录》(详见http://www.zhucaicloud.com)的建材，承包人须按发包人指定的采购模式（即“甲定乙采”）执行并应用采购结果。</w:t>
            </w:r>
          </w:p>
          <w:p w14:paraId="28812284">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本工程相关绿色材料在后期项目实施过程中，若发布的关于绿色建材试点工作的各种文件，承包人均需根据发包人的要求无条件执行，包括但不限于：发包人对项目中使用的绿色建材的采购方式等进行调整，如由“甲定乙采”调整为“甲供”等内容。采用市场询价、定价原则，具体按相关办法执行。</w:t>
            </w:r>
          </w:p>
          <w:p w14:paraId="37787BE2">
            <w:pPr>
              <w:spacing w:line="336"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政策联系人：高之聪   联系电话：13732227857</w:t>
            </w:r>
          </w:p>
        </w:tc>
      </w:tr>
      <w:tr w14:paraId="51DE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14" w:type="dxa"/>
            <w:gridSpan w:val="3"/>
            <w:vAlign w:val="center"/>
          </w:tcPr>
          <w:p w14:paraId="779FA59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p>
        </w:tc>
      </w:tr>
      <w:tr w14:paraId="7EB7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14" w:type="dxa"/>
            <w:gridSpan w:val="3"/>
            <w:vAlign w:val="center"/>
          </w:tcPr>
          <w:p w14:paraId="3CB243F5">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注：成交候选供应商放弃成交资格或因质疑、投诉被取消成交资格或不能履行合同的，本项目应重新开展采购活动。</w:t>
            </w:r>
          </w:p>
        </w:tc>
      </w:tr>
    </w:tbl>
    <w:p w14:paraId="1C8E079E">
      <w:pPr>
        <w:snapToGrid w:val="0"/>
        <w:spacing w:line="336" w:lineRule="auto"/>
        <w:jc w:val="center"/>
        <w:rPr>
          <w:rFonts w:ascii="仿宋" w:hAnsi="仿宋" w:eastAsia="仿宋" w:cs="仿宋"/>
          <w:b/>
          <w:color w:val="auto"/>
          <w:sz w:val="32"/>
          <w:szCs w:val="20"/>
          <w:highlight w:val="none"/>
        </w:rPr>
      </w:pPr>
    </w:p>
    <w:p w14:paraId="5936E203">
      <w:pPr>
        <w:snapToGrid w:val="0"/>
        <w:spacing w:line="336" w:lineRule="auto"/>
        <w:jc w:val="center"/>
        <w:rPr>
          <w:rFonts w:ascii="仿宋" w:hAnsi="仿宋" w:eastAsia="仿宋" w:cs="仿宋"/>
          <w:b/>
          <w:color w:val="auto"/>
          <w:sz w:val="32"/>
          <w:szCs w:val="20"/>
          <w:highlight w:val="none"/>
        </w:rPr>
      </w:pPr>
    </w:p>
    <w:p w14:paraId="763AD523">
      <w:pPr>
        <w:snapToGrid w:val="0"/>
        <w:spacing w:line="336" w:lineRule="auto"/>
        <w:jc w:val="center"/>
        <w:rPr>
          <w:rFonts w:ascii="仿宋" w:hAnsi="仿宋" w:eastAsia="仿宋" w:cs="仿宋"/>
          <w:b/>
          <w:color w:val="auto"/>
          <w:sz w:val="32"/>
          <w:szCs w:val="20"/>
          <w:highlight w:val="none"/>
        </w:rPr>
      </w:pPr>
    </w:p>
    <w:p w14:paraId="386430CC">
      <w:pPr>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6A9F293">
      <w:pPr>
        <w:snapToGrid w:val="0"/>
        <w:spacing w:line="336"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5610857">
      <w:pPr>
        <w:snapToGrid w:val="0"/>
        <w:spacing w:line="336" w:lineRule="auto"/>
        <w:ind w:firstLine="480" w:firstLineChars="200"/>
        <w:jc w:val="left"/>
        <w:rPr>
          <w:rFonts w:ascii="仿宋" w:hAnsi="仿宋" w:eastAsia="仿宋" w:cs="仿宋"/>
          <w:color w:val="auto"/>
          <w:szCs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0FBCE88A">
      <w:pPr>
        <w:adjustRightInd/>
        <w:spacing w:line="336"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3661300">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27085639">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14:paraId="4391C78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“投标人”“供应商”系指响应磋商、参加本次竞争的法人、其他组织或自然人。</w:t>
      </w:r>
    </w:p>
    <w:p w14:paraId="65B76D37">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2.4“监督单位”系指磋商邀请公告中载明的本项目的法定义监督管理部门</w:t>
      </w:r>
    </w:p>
    <w:p w14:paraId="5315D417">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2.5“负责人”系指法人企业的法定负责人，或其他组织为法律、行政法规规定代表单位行使职权的主要负责人，或自然人本人。</w:t>
      </w:r>
    </w:p>
    <w:p w14:paraId="0EE120D2">
      <w:pPr>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_GB2312" w:hAnsi="仿宋" w:eastAsia="仿宋_GB2312"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r>
        <w:rPr>
          <w:rFonts w:hint="eastAsia" w:ascii="仿宋" w:hAnsi="仿宋" w:eastAsia="仿宋" w:cs="仿宋"/>
          <w:color w:val="auto"/>
          <w:sz w:val="24"/>
          <w:highlight w:val="none"/>
          <w:lang w:val="en-US" w:eastAsia="zh-CN"/>
        </w:rPr>
        <w:t xml:space="preserve">  </w:t>
      </w:r>
    </w:p>
    <w:p w14:paraId="7670F40C">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2D738615">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”系指适用本项目的要求，“☐”系指不适用本项目的要求。</w:t>
      </w:r>
    </w:p>
    <w:p w14:paraId="0AA7F7C5">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w:t>
      </w:r>
      <w:r>
        <w:rPr>
          <w:rFonts w:hint="eastAsia"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14:paraId="6BCEA36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629D3C4">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 支持绿色发展</w:t>
      </w:r>
    </w:p>
    <w:p w14:paraId="513325F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4FB4494E">
      <w:pPr>
        <w:spacing w:line="440" w:lineRule="exact"/>
        <w:rPr>
          <w:rFonts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采购人拟采购的产品属于政府强制采购的节能产品品目清单范围的，磋商响应人未按磋商文件要求提供国家确定的认证机构出具的、处于有效期之内的节能产品认证证书，磋商无效。</w:t>
      </w:r>
    </w:p>
    <w:p w14:paraId="0BB607F5">
      <w:pPr>
        <w:spacing w:line="440" w:lineRule="exact"/>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w:t>
      </w:r>
      <w:r>
        <w:rPr>
          <w:rFonts w:hint="eastAsia" w:ascii="仿宋_GB2312" w:hAnsi="仿宋" w:eastAsia="仿宋_GB2312"/>
          <w:color w:val="auto"/>
          <w:sz w:val="24"/>
          <w:highlight w:val="none"/>
          <w:lang w:eastAsia="zh-CN"/>
        </w:rPr>
        <w:t>应</w:t>
      </w:r>
      <w:r>
        <w:rPr>
          <w:rFonts w:hint="eastAsia" w:ascii="仿宋_GB2312" w:hAnsi="仿宋" w:eastAsia="仿宋_GB2312"/>
          <w:color w:val="auto"/>
          <w:sz w:val="24"/>
          <w:highlight w:val="none"/>
        </w:rPr>
        <w:t>将绿色建材性能、指标等作为实质性条件纳入采购文件和合同，具体性能指标要求</w:t>
      </w:r>
      <w:r>
        <w:rPr>
          <w:rFonts w:hint="eastAsia" w:ascii="仿宋_GB2312" w:hAnsi="仿宋" w:eastAsia="仿宋_GB2312"/>
          <w:color w:val="auto"/>
          <w:sz w:val="24"/>
          <w:highlight w:val="none"/>
          <w:lang w:eastAsia="zh-CN"/>
        </w:rPr>
        <w:t>按照</w:t>
      </w:r>
      <w:r>
        <w:rPr>
          <w:rFonts w:hint="eastAsia" w:ascii="仿宋_GB2312" w:hAnsi="仿宋" w:eastAsia="仿宋_GB2312"/>
          <w:color w:val="auto"/>
          <w:sz w:val="24"/>
          <w:highlight w:val="none"/>
        </w:rPr>
        <w:t>相关绿色建材政府采购需求标准</w:t>
      </w:r>
      <w:r>
        <w:rPr>
          <w:rFonts w:hint="eastAsia" w:ascii="仿宋_GB2312" w:hAnsi="仿宋" w:eastAsia="仿宋_GB2312"/>
          <w:color w:val="auto"/>
          <w:sz w:val="24"/>
          <w:highlight w:val="none"/>
          <w:lang w:eastAsia="zh-CN"/>
        </w:rPr>
        <w:t>执行</w:t>
      </w:r>
      <w:r>
        <w:rPr>
          <w:rFonts w:hint="eastAsia" w:ascii="仿宋_GB2312" w:hAnsi="仿宋" w:eastAsia="仿宋_GB2312"/>
          <w:color w:val="auto"/>
          <w:sz w:val="24"/>
          <w:highlight w:val="none"/>
        </w:rPr>
        <w:t>。</w:t>
      </w:r>
    </w:p>
    <w:p w14:paraId="7C3BE20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BC4F1F">
      <w:pPr>
        <w:spacing w:line="440" w:lineRule="exact"/>
        <w:rPr>
          <w:rFonts w:ascii="仿宋_GB2312" w:hAnsi="仿宋" w:eastAsia="仿宋_GB2312"/>
          <w:color w:val="auto"/>
          <w:sz w:val="24"/>
          <w:highlight w:val="none"/>
        </w:rPr>
      </w:pPr>
      <w:r>
        <w:rPr>
          <w:rFonts w:hint="eastAsia" w:ascii="仿宋_GB2312" w:hAnsi="宋体" w:eastAsia="仿宋_GB2312"/>
          <w:color w:val="auto"/>
          <w:sz w:val="24"/>
          <w:highlight w:val="none"/>
        </w:rPr>
        <w:t>3.2.5</w:t>
      </w:r>
      <w:r>
        <w:rPr>
          <w:rFonts w:hint="eastAsia" w:ascii="仿宋_GB2312" w:hAnsi="仿宋" w:eastAsia="仿宋_GB2312"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2149A1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4B2157CF">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D36A6F1">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663AEEC0">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61CEE7C0">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0FA68A1D">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5FC54B7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99E14A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4CE820A5">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 联合体各方均为中小企业的，联合体视同中小企业。其中，联合体各方均为小微企业的，联合体视同小微企业。</w:t>
      </w:r>
    </w:p>
    <w:p w14:paraId="55C61B6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5A70BFF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81DA91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3.4</w:t>
      </w:r>
      <w:r>
        <w:rPr>
          <w:rFonts w:hint="eastAsia" w:ascii="仿宋_GB2312" w:eastAsia="仿宋_GB2312"/>
          <w:bCs/>
          <w:color w:val="auto"/>
          <w:sz w:val="24"/>
          <w:highlight w:val="none"/>
        </w:rPr>
        <w:t>支持科技创新发展</w:t>
      </w:r>
    </w:p>
    <w:p w14:paraId="16E95D01">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对省级以上主管部门认定的首台套产品，自纳入《省推广应用指导目录》起三年内参加政府采购活动，视同已具备相应销售业绩，业绩分为满分。</w:t>
      </w:r>
    </w:p>
    <w:p w14:paraId="1D1FAC84">
      <w:pPr>
        <w:spacing w:line="440" w:lineRule="exact"/>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3.5平等对待内</w:t>
      </w:r>
      <w:r>
        <w:rPr>
          <w:rFonts w:hint="eastAsia" w:ascii="仿宋_GB2312" w:hAnsi="仿宋" w:eastAsia="仿宋_GB2312"/>
          <w:color w:val="auto"/>
          <w:sz w:val="24"/>
          <w:highlight w:val="none"/>
        </w:rPr>
        <w:t>外资企业</w:t>
      </w:r>
      <w:r>
        <w:rPr>
          <w:rFonts w:hint="eastAsia" w:ascii="仿宋_GB2312" w:hAnsi="仿宋" w:eastAsia="仿宋_GB2312" w:cs="仿宋"/>
          <w:color w:val="auto"/>
          <w:sz w:val="24"/>
          <w:highlight w:val="none"/>
        </w:rPr>
        <w:t>和符合条件的破产重整企业</w:t>
      </w:r>
    </w:p>
    <w:p w14:paraId="023E9CC5">
      <w:pPr>
        <w:spacing w:line="440" w:lineRule="exact"/>
        <w:ind w:firstLine="480" w:firstLineChars="200"/>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平等对待内</w:t>
      </w:r>
      <w:r>
        <w:rPr>
          <w:rFonts w:hint="eastAsia" w:ascii="仿宋_GB2312" w:hAnsi="仿宋" w:eastAsia="仿宋_GB2312"/>
          <w:color w:val="auto"/>
          <w:sz w:val="24"/>
          <w:highlight w:val="none"/>
        </w:rPr>
        <w:t>外资企业</w:t>
      </w:r>
      <w:r>
        <w:rPr>
          <w:rFonts w:hint="eastAsia" w:ascii="仿宋_GB2312" w:hAnsi="仿宋" w:eastAsia="仿宋_GB2312" w:cs="仿宋"/>
          <w:color w:val="auto"/>
          <w:sz w:val="24"/>
          <w:highlight w:val="none"/>
        </w:rPr>
        <w:t>和符合条件的破产重整企业，切实保障企业公平竞争，平等维护企业的合法利益。</w:t>
      </w:r>
    </w:p>
    <w:p w14:paraId="2A35A07C">
      <w:pPr>
        <w:spacing w:line="440" w:lineRule="exact"/>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仿宋" w:eastAsia="仿宋_GB2312"/>
          <w:color w:val="auto"/>
          <w:sz w:val="24"/>
          <w:highlight w:val="none"/>
        </w:rPr>
        <w:t>4.特别说明：</w:t>
      </w:r>
    </w:p>
    <w:p w14:paraId="54A68235">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011201A8">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1E9C5025">
      <w:pPr>
        <w:spacing w:line="440" w:lineRule="exact"/>
        <w:rPr>
          <w:rFonts w:ascii="仿宋" w:hAnsi="仿宋" w:eastAsia="仿宋" w:cs="仿宋"/>
          <w:b/>
          <w:color w:val="auto"/>
          <w:sz w:val="32"/>
          <w:szCs w:val="32"/>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r>
        <w:rPr>
          <w:rFonts w:hint="eastAsia" w:ascii="仿宋" w:hAnsi="仿宋" w:eastAsia="仿宋" w:cs="仿宋"/>
          <w:color w:val="auto"/>
          <w:sz w:val="24"/>
          <w:highlight w:val="none"/>
        </w:rPr>
        <w:t>。</w:t>
      </w:r>
    </w:p>
    <w:p w14:paraId="365B0668">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072610CB">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1．政府采购方式</w:t>
      </w:r>
    </w:p>
    <w:p w14:paraId="1C14A569">
      <w:pPr>
        <w:snapToGrid w:val="0"/>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1.1 本项目采用</w:t>
      </w:r>
      <w:r>
        <w:rPr>
          <w:rFonts w:hint="eastAsia" w:ascii="仿宋" w:hAnsi="仿宋" w:eastAsia="仿宋" w:cs="仿宋"/>
          <w:b/>
          <w:color w:val="auto"/>
          <w:kern w:val="0"/>
          <w:sz w:val="24"/>
          <w:highlight w:val="none"/>
        </w:rPr>
        <w:t>竞争性磋商</w:t>
      </w:r>
      <w:r>
        <w:rPr>
          <w:rFonts w:hint="eastAsia" w:ascii="仿宋" w:hAnsi="仿宋" w:eastAsia="仿宋" w:cs="仿宋"/>
          <w:color w:val="auto"/>
          <w:sz w:val="24"/>
          <w:highlight w:val="none"/>
        </w:rPr>
        <w:t>方式进行。</w:t>
      </w:r>
    </w:p>
    <w:p w14:paraId="3054255E">
      <w:pPr>
        <w:snapToGrid w:val="0"/>
        <w:spacing w:line="336"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1.2 如某一标项实质性响应磋商文件的供应商不足三家时，由采购人重新组织开展采购活动或按有关规定实施。</w:t>
      </w:r>
    </w:p>
    <w:p w14:paraId="723B6410">
      <w:pPr>
        <w:snapToGrid w:val="0"/>
        <w:spacing w:line="336" w:lineRule="auto"/>
        <w:ind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 本次竞争性磋商设定上限价，上限价即谈判公告中公布的各分标项预算金额。（各分标项之间的预算金额不能互相调整）</w:t>
      </w:r>
    </w:p>
    <w:p w14:paraId="60727FC3">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磋商委托</w:t>
      </w:r>
    </w:p>
    <w:p w14:paraId="1580885B">
      <w:pPr>
        <w:pStyle w:val="16"/>
        <w:tabs>
          <w:tab w:val="clear" w:pos="390"/>
        </w:tabs>
        <w:spacing w:line="336"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本项目为电子磋商项目，供应商的法定代表人或其授权代表或个体工商户不需要参加现场磋商和开标。</w:t>
      </w:r>
    </w:p>
    <w:p w14:paraId="78133BFE">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 磋商费用</w:t>
      </w:r>
    </w:p>
    <w:p w14:paraId="64E6F90F">
      <w:pPr>
        <w:pStyle w:val="16"/>
        <w:tabs>
          <w:tab w:val="clear" w:pos="390"/>
        </w:tabs>
        <w:spacing w:line="336"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供应商应自行承担编制磋商响应文件及参加本次磋商所涉及的一切费用。不管磋商结果如何，采购人对上述费用不负任何责任。</w:t>
      </w:r>
    </w:p>
    <w:p w14:paraId="183C10E3">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 磋商文件</w:t>
      </w:r>
    </w:p>
    <w:p w14:paraId="147F4B1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hint="eastAsia" w:ascii="仿宋" w:hAnsi="仿宋" w:eastAsia="仿宋" w:cs="仿宋"/>
          <w:bCs/>
          <w:color w:val="auto"/>
          <w:sz w:val="24"/>
          <w:highlight w:val="none"/>
        </w:rPr>
        <w:t>磋商文件包括本磋商文件及所有的磋商答疑记录（澄清、修改）和发出的补充通知</w:t>
      </w:r>
      <w:r>
        <w:rPr>
          <w:rFonts w:hint="eastAsia" w:ascii="仿宋" w:hAnsi="仿宋" w:eastAsia="仿宋" w:cs="仿宋"/>
          <w:color w:val="auto"/>
          <w:sz w:val="24"/>
          <w:highlight w:val="none"/>
        </w:rPr>
        <w:t>。</w:t>
      </w:r>
    </w:p>
    <w:p w14:paraId="2C00359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4.2磋商文件的澄清 </w:t>
      </w:r>
    </w:p>
    <w:p w14:paraId="26F6C429">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highlight w:val="none"/>
        </w:rPr>
        <w:t>）)</w:t>
      </w:r>
      <w:r>
        <w:rPr>
          <w:rFonts w:hint="eastAsia" w:ascii="仿宋" w:hAnsi="仿宋" w:eastAsia="仿宋" w:cs="仿宋"/>
          <w:color w:val="auto"/>
          <w:sz w:val="24"/>
          <w:highlight w:val="none"/>
        </w:rPr>
        <w:t>等通知采购人，但通知不得迟于磋商截止前7日使采购人收到，采购人将用书面形式予以答复。如有必要，可将不说明来源的答复发给所有供应商。</w:t>
      </w:r>
    </w:p>
    <w:p w14:paraId="0DBA845B">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4.3磋商文件的修改</w:t>
      </w:r>
    </w:p>
    <w:p w14:paraId="470F224B">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21E4F916">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7D58BAA3">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1AE5D824">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7A008B1B">
      <w:pPr>
        <w:snapToGrid w:val="0"/>
        <w:spacing w:line="336" w:lineRule="auto"/>
        <w:ind w:firstLine="470" w:firstLineChars="196"/>
        <w:jc w:val="left"/>
        <w:rPr>
          <w:rFonts w:ascii="仿宋" w:hAnsi="仿宋" w:eastAsia="仿宋" w:cs="仿宋"/>
          <w:color w:val="auto"/>
          <w:sz w:val="24"/>
          <w:highlight w:val="none"/>
        </w:rPr>
      </w:pPr>
      <w:r>
        <w:rPr>
          <w:rFonts w:hint="eastAsia" w:ascii="仿宋_GB2312" w:hAnsi="仿宋" w:eastAsia="仿宋_GB2312"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80FD3A1">
      <w:pPr>
        <w:pStyle w:val="24"/>
        <w:spacing w:line="336" w:lineRule="auto"/>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DBCE3ED">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5A03E738">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1.响应文件的语言及计量单位</w:t>
      </w:r>
    </w:p>
    <w:p w14:paraId="2DC288AB">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1.1供应商应仔细阅读磋商文件中的所有内容，按照磋商文件要求，详细编制响应文件，并保证响应文件的正确性和真实性。</w:t>
      </w:r>
    </w:p>
    <w:p w14:paraId="7B4BFC39">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 响应文件以及供应商与采购人、采购代理机构就有关磋商事宜的所有来往函电，均应以中文书写（技术术语除外）。</w:t>
      </w:r>
    </w:p>
    <w:p w14:paraId="7B98F1B5">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 磋商计量单位，除磋商文件中有特殊要求外，应采用中华人民共和国法定计量单位，货币单位：人民币元。</w:t>
      </w:r>
    </w:p>
    <w:p w14:paraId="70D5F640">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1.4不按磋商文件的要求提供的响应文件可能导致被拒绝。</w:t>
      </w:r>
    </w:p>
    <w:p w14:paraId="5BFA8032">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1.5响应文件的形式和效力</w:t>
      </w:r>
    </w:p>
    <w:p w14:paraId="4EE2D9E2">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1.5.1磋商响应文件为电子响应文件，电子响应文件按“政采云供应商项目采购-电子招投标操作指南”及本磋商文件要求制作、加密传输。</w:t>
      </w:r>
    </w:p>
    <w:p w14:paraId="3184E916">
      <w:pPr>
        <w:snapToGrid w:val="0"/>
        <w:spacing w:line="336" w:lineRule="auto"/>
        <w:ind w:firstLine="482" w:firstLineChars="2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1.5.2响应文件的效力：</w:t>
      </w:r>
    </w:p>
    <w:p w14:paraId="78194F11">
      <w:pPr>
        <w:snapToGrid w:val="0"/>
        <w:spacing w:line="336" w:lineRule="auto"/>
        <w:ind w:firstLine="482" w:firstLineChars="2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磋商响应文件未在磋商截止时间前完成传输的，视为磋商响应文件撤回；磋商响应文件未按时解密，亦视为响应文件撤回。</w:t>
      </w:r>
    </w:p>
    <w:p w14:paraId="382510B2">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14:paraId="2F8BCC0F">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14:paraId="20D46BD7">
      <w:pPr>
        <w:snapToGrid w:val="0"/>
        <w:spacing w:line="336" w:lineRule="auto"/>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5F6B1577">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8C9571A">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2078D39E">
      <w:pPr>
        <w:snapToGrid w:val="0"/>
        <w:spacing w:line="336"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rPr>
        <w:t>2.1.3分包意向协议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20A89C">
      <w:pPr>
        <w:snapToGrid w:val="0"/>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2.1.4落实政府采购政策需满足的资格要求（如果有)；</w:t>
      </w:r>
    </w:p>
    <w:p w14:paraId="1803B17A">
      <w:pPr>
        <w:snapToGrid w:val="0"/>
        <w:spacing w:line="336" w:lineRule="auto"/>
        <w:ind w:firstLine="720" w:firstLineChars="300"/>
        <w:rPr>
          <w:rFonts w:hint="eastAsia" w:ascii="仿宋" w:hAnsi="仿宋" w:eastAsia="仿宋" w:cs="仿宋"/>
          <w:b/>
          <w:color w:val="auto"/>
          <w:sz w:val="24"/>
          <w:highlight w:val="none"/>
          <w:lang w:val="zh-CN"/>
        </w:rPr>
      </w:pPr>
      <w:r>
        <w:rPr>
          <w:rFonts w:hint="eastAsia" w:ascii="仿宋" w:hAnsi="仿宋" w:eastAsia="仿宋" w:cs="仿宋"/>
          <w:color w:val="auto"/>
          <w:sz w:val="24"/>
          <w:highlight w:val="none"/>
        </w:rPr>
        <w:t>2.1.5本项目的特定资格要求（如果有)</w:t>
      </w:r>
      <w:r>
        <w:rPr>
          <w:rFonts w:hint="eastAsia" w:ascii="仿宋" w:hAnsi="仿宋" w:eastAsia="仿宋" w:cs="仿宋"/>
          <w:color w:val="auto"/>
          <w:sz w:val="24"/>
          <w:highlight w:val="none"/>
          <w:lang w:eastAsia="zh-CN"/>
        </w:rPr>
        <w:t>：</w:t>
      </w:r>
    </w:p>
    <w:p w14:paraId="67F2E786">
      <w:pPr>
        <w:snapToGrid w:val="0"/>
        <w:spacing w:line="336" w:lineRule="auto"/>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013C826C">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266A0ECF">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2064A881">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527091CE">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w:t>
      </w:r>
      <w:r>
        <w:rPr>
          <w:rFonts w:hint="eastAsia" w:ascii="仿宋" w:hAnsi="仿宋" w:eastAsia="仿宋" w:cs="仿宋"/>
          <w:color w:val="auto"/>
          <w:sz w:val="24"/>
          <w:highlight w:val="none"/>
        </w:rPr>
        <w:t>法定代表人及其授权代表身份证复印件（复印件）</w:t>
      </w:r>
      <w:r>
        <w:rPr>
          <w:rFonts w:hint="eastAsia" w:ascii="仿宋" w:hAnsi="仿宋" w:eastAsia="仿宋" w:cs="仿宋"/>
          <w:color w:val="auto"/>
          <w:sz w:val="24"/>
          <w:highlight w:val="none"/>
          <w:lang w:eastAsia="zh-CN"/>
        </w:rPr>
        <w:t>；</w:t>
      </w:r>
    </w:p>
    <w:p w14:paraId="7D58C8DB">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法定代表人身份证明书；</w:t>
      </w:r>
    </w:p>
    <w:p w14:paraId="1823708A">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val="zh-CN"/>
        </w:rPr>
        <w:t>政府采购供应商</w:t>
      </w:r>
      <w:r>
        <w:rPr>
          <w:rFonts w:hint="eastAsia" w:ascii="仿宋" w:hAnsi="仿宋" w:eastAsia="仿宋" w:cs="仿宋"/>
          <w:color w:val="auto"/>
          <w:sz w:val="24"/>
          <w:highlight w:val="none"/>
          <w:lang w:val="en-US" w:eastAsia="zh-CN"/>
        </w:rPr>
        <w:t>廉政承诺书（格式见第六部分附件）；</w:t>
      </w:r>
    </w:p>
    <w:p w14:paraId="688EF459">
      <w:pPr>
        <w:snapToGrid w:val="0"/>
        <w:spacing w:line="336" w:lineRule="auto"/>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w:t>
      </w:r>
      <w:r>
        <w:rPr>
          <w:rFonts w:hint="eastAsia" w:ascii="仿宋" w:hAnsi="仿宋" w:eastAsia="仿宋" w:cs="仿宋"/>
          <w:color w:val="auto"/>
          <w:sz w:val="24"/>
          <w:highlight w:val="none"/>
        </w:rPr>
        <w:t>招标控制价认可函</w:t>
      </w:r>
      <w:r>
        <w:rPr>
          <w:rFonts w:hint="eastAsia" w:ascii="仿宋" w:hAnsi="仿宋" w:eastAsia="仿宋" w:cs="仿宋"/>
          <w:color w:val="auto"/>
          <w:sz w:val="24"/>
          <w:highlight w:val="none"/>
          <w:lang w:val="en-US" w:eastAsia="zh-CN"/>
        </w:rPr>
        <w:t>（格式见第六部分附件）；</w:t>
      </w:r>
    </w:p>
    <w:p w14:paraId="29297D3A">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u w:val="wave"/>
        </w:rPr>
        <w:t>未尽事宜请各</w:t>
      </w:r>
      <w:r>
        <w:rPr>
          <w:rFonts w:hint="eastAsia" w:ascii="仿宋" w:hAnsi="仿宋" w:eastAsia="仿宋" w:cs="仿宋"/>
          <w:color w:val="auto"/>
          <w:sz w:val="24"/>
          <w:highlight w:val="none"/>
          <w:u w:val="wave"/>
          <w:lang w:eastAsia="zh-CN"/>
        </w:rPr>
        <w:t>磋商响应</w:t>
      </w:r>
      <w:r>
        <w:rPr>
          <w:rFonts w:hint="eastAsia" w:ascii="仿宋" w:hAnsi="仿宋" w:eastAsia="仿宋" w:cs="仿宋"/>
          <w:color w:val="auto"/>
          <w:sz w:val="24"/>
          <w:highlight w:val="none"/>
          <w:u w:val="wave"/>
        </w:rPr>
        <w:t>单位按评分标准和相对应标项相关要求制作；</w:t>
      </w:r>
    </w:p>
    <w:p w14:paraId="42B1F265">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需要说明的其他文件和说明（格式自拟）。</w:t>
      </w:r>
    </w:p>
    <w:p w14:paraId="2F438FE7">
      <w:pPr>
        <w:snapToGrid w:val="0"/>
        <w:spacing w:line="336" w:lineRule="auto"/>
        <w:ind w:firstLine="482" w:firstLineChars="200"/>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zh-CN" w:eastAsia="zh-CN" w:bidi="ar-SA"/>
        </w:rPr>
        <w:t xml:space="preserve">2.3报价文件： </w:t>
      </w:r>
    </w:p>
    <w:p w14:paraId="51809F28">
      <w:pPr>
        <w:adjustRightInd w:val="0"/>
        <w:snapToGrid w:val="0"/>
        <w:spacing w:line="336" w:lineRule="auto"/>
        <w:ind w:firstLine="480" w:firstLineChars="200"/>
        <w:jc w:val="both"/>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default" w:ascii="仿宋" w:hAnsi="仿宋" w:eastAsia="仿宋" w:cs="仿宋"/>
          <w:b w:val="0"/>
          <w:bCs w:val="0"/>
          <w:i w:val="0"/>
          <w:iCs w:val="0"/>
          <w:color w:val="auto"/>
          <w:kern w:val="2"/>
          <w:sz w:val="24"/>
          <w:szCs w:val="24"/>
          <w:highlight w:val="none"/>
          <w:vertAlign w:val="baseline"/>
          <w:lang w:val="en-US" w:eastAsia="zh-CN" w:bidi="ar-SA"/>
        </w:rPr>
        <w:t xml:space="preserve">  2.3.1磋商一览表（报价表）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14:paraId="42C45795">
      <w:pPr>
        <w:adjustRightInd w:val="0"/>
        <w:snapToGrid w:val="0"/>
        <w:spacing w:line="336" w:lineRule="auto"/>
        <w:ind w:firstLine="720" w:firstLineChars="300"/>
        <w:jc w:val="both"/>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2.3.2中小企业声明函（如果有）；</w:t>
      </w:r>
    </w:p>
    <w:p w14:paraId="2A760544">
      <w:pPr>
        <w:adjustRightInd w:val="0"/>
        <w:snapToGrid w:val="0"/>
        <w:spacing w:line="336" w:lineRule="auto"/>
        <w:ind w:firstLine="720" w:firstLineChars="300"/>
        <w:jc w:val="both"/>
        <w:rPr>
          <w:rFonts w:hint="default" w:ascii="仿宋" w:hAnsi="仿宋" w:eastAsia="仿宋" w:cs="仿宋"/>
          <w:b/>
          <w:color w:val="auto"/>
          <w:sz w:val="24"/>
          <w:highlight w:val="none"/>
          <w:lang w:val="en-US"/>
        </w:rPr>
      </w:pPr>
      <w:r>
        <w:rPr>
          <w:rFonts w:hint="eastAsia" w:ascii="仿宋_GB2312" w:hAnsi="仿宋" w:eastAsia="仿宋_GB2312" w:cs="仿宋"/>
          <w:color w:val="auto"/>
          <w:sz w:val="24"/>
          <w:highlight w:val="none"/>
        </w:rPr>
        <w:t>2.3.3 残疾人福利性单位声明函（如果有）。</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w:t>
      </w:r>
    </w:p>
    <w:p w14:paraId="05ED6E6E">
      <w:pPr>
        <w:adjustRightInd w:val="0"/>
        <w:snapToGrid w:val="0"/>
        <w:spacing w:line="336" w:lineRule="auto"/>
        <w:jc w:val="both"/>
        <w:rPr>
          <w:rFonts w:hint="eastAsia" w:ascii="仿宋" w:hAnsi="仿宋" w:eastAsia="仿宋" w:cs="仿宋"/>
          <w:b/>
          <w:color w:val="auto"/>
          <w:sz w:val="24"/>
          <w:highlight w:val="none"/>
          <w:lang w:val="zh-CN"/>
        </w:rPr>
      </w:pPr>
      <w:r>
        <w:rPr>
          <w:rFonts w:hint="default"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w:t>
      </w:r>
      <w:r>
        <w:rPr>
          <w:rFonts w:hint="default" w:ascii="仿宋" w:hAnsi="仿宋" w:eastAsia="仿宋" w:cs="仿宋"/>
          <w:b/>
          <w:bCs/>
          <w:i w:val="0"/>
          <w:iCs w:val="0"/>
          <w:color w:val="auto"/>
          <w:kern w:val="2"/>
          <w:sz w:val="24"/>
          <w:szCs w:val="24"/>
          <w:highlight w:val="none"/>
          <w:vertAlign w:val="baseline"/>
          <w:lang w:val="zh-CN" w:eastAsia="zh-CN" w:bidi="ar-SA"/>
        </w:rPr>
        <w:t>报价</w:t>
      </w:r>
    </w:p>
    <w:p w14:paraId="69111D40">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7DE2A460">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54E6A683">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395D7D9B">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default"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14:paraId="7C58B728">
      <w:pPr>
        <w:pStyle w:val="34"/>
        <w:spacing w:line="336" w:lineRule="auto"/>
        <w:rPr>
          <w:rFonts w:ascii="仿宋" w:hAnsi="仿宋" w:eastAsia="仿宋" w:cs="仿宋"/>
          <w:b/>
          <w:color w:val="auto"/>
          <w:sz w:val="24"/>
          <w:szCs w:val="24"/>
          <w:highlight w:val="none"/>
        </w:rPr>
      </w:pPr>
      <w:r>
        <w:rPr>
          <w:rFonts w:hint="default"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 xml:space="preserve"> 响应文件的编制和签署</w:t>
      </w:r>
    </w:p>
    <w:p w14:paraId="3EC8BAB1">
      <w:pPr>
        <w:spacing w:line="336" w:lineRule="auto"/>
        <w:ind w:firstLine="480" w:firstLineChars="200"/>
        <w:rPr>
          <w:rFonts w:ascii="仿宋" w:hAnsi="仿宋" w:eastAsia="仿宋" w:cs="仿宋"/>
          <w:b/>
          <w:color w:val="auto"/>
          <w:sz w:val="24"/>
          <w:highlight w:val="none"/>
        </w:rPr>
      </w:pPr>
      <w:r>
        <w:rPr>
          <w:rFonts w:hint="default"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7B7AFBF0">
      <w:pPr>
        <w:spacing w:line="336" w:lineRule="auto"/>
        <w:ind w:firstLine="480" w:firstLineChars="200"/>
        <w:rPr>
          <w:rFonts w:ascii="仿宋" w:hAnsi="仿宋" w:eastAsia="仿宋" w:cs="仿宋"/>
          <w:color w:val="auto"/>
          <w:kern w:val="0"/>
          <w:sz w:val="24"/>
          <w:highlight w:val="none"/>
          <w:lang w:val="zh-CN"/>
        </w:rPr>
      </w:pPr>
      <w:r>
        <w:rPr>
          <w:rFonts w:hint="default"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07CC812F">
      <w:pPr>
        <w:spacing w:line="336" w:lineRule="auto"/>
        <w:ind w:firstLine="480" w:firstLineChars="200"/>
        <w:rPr>
          <w:rFonts w:ascii="仿宋" w:hAnsi="仿宋" w:eastAsia="仿宋" w:cs="仿宋"/>
          <w:color w:val="auto"/>
          <w:kern w:val="0"/>
          <w:sz w:val="24"/>
          <w:highlight w:val="none"/>
          <w:lang w:val="zh-CN"/>
        </w:rPr>
      </w:pPr>
      <w:r>
        <w:rPr>
          <w:rFonts w:hint="default"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6042AC6D">
      <w:pPr>
        <w:pStyle w:val="393"/>
        <w:snapToGrid w:val="0"/>
        <w:spacing w:before="0" w:line="336" w:lineRule="auto"/>
        <w:ind w:firstLine="480"/>
        <w:rPr>
          <w:rFonts w:ascii="仿宋" w:hAnsi="仿宋" w:eastAsia="仿宋" w:cs="仿宋"/>
          <w:b/>
          <w:color w:val="auto"/>
          <w:highlight w:val="none"/>
        </w:rPr>
      </w:pPr>
      <w:r>
        <w:rPr>
          <w:rFonts w:hint="default" w:ascii="仿宋" w:hAnsi="仿宋" w:eastAsia="仿宋" w:cs="仿宋"/>
          <w:color w:val="auto"/>
          <w:szCs w:val="24"/>
          <w:highlight w:val="none"/>
          <w:lang w:val="en-US"/>
        </w:rPr>
        <w:t>4</w:t>
      </w:r>
      <w:r>
        <w:rPr>
          <w:rFonts w:hint="eastAsia" w:ascii="仿宋" w:hAnsi="仿宋" w:eastAsia="仿宋" w:cs="仿宋"/>
          <w:color w:val="auto"/>
          <w:szCs w:val="24"/>
          <w:highlight w:val="none"/>
        </w:rPr>
        <w:t>.4响应文件按照磋商文件第六部分格式要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35A2F962">
      <w:pPr>
        <w:pStyle w:val="393"/>
        <w:snapToGrid w:val="0"/>
        <w:spacing w:before="0" w:line="336" w:lineRule="auto"/>
        <w:ind w:firstLine="480"/>
        <w:rPr>
          <w:rFonts w:ascii="仿宋" w:hAnsi="仿宋" w:eastAsia="仿宋" w:cs="仿宋"/>
          <w:color w:val="auto"/>
          <w:highlight w:val="none"/>
        </w:rPr>
      </w:pPr>
      <w:r>
        <w:rPr>
          <w:rFonts w:hint="default" w:ascii="仿宋" w:hAnsi="仿宋" w:eastAsia="仿宋" w:cs="仿宋"/>
          <w:color w:val="auto"/>
          <w:szCs w:val="24"/>
          <w:highlight w:val="none"/>
          <w:lang w:val="en-US"/>
        </w:rPr>
        <w:t>4</w:t>
      </w:r>
      <w:r>
        <w:rPr>
          <w:rFonts w:hint="eastAsia" w:ascii="仿宋" w:hAnsi="仿宋" w:eastAsia="仿宋" w:cs="仿宋"/>
          <w:color w:val="auto"/>
          <w:szCs w:val="24"/>
          <w:highlight w:val="none"/>
        </w:rPr>
        <w:t>.5为确保网上操作合法、有效和安全，供应商应当在响应截止时间前完成在“政府采购云平台”的身份认证，确保在电子交易过程中能够对相关数据电文进行加密和使用电子签名。</w:t>
      </w:r>
    </w:p>
    <w:p w14:paraId="7E98AEC9">
      <w:pPr>
        <w:pStyle w:val="393"/>
        <w:snapToGrid w:val="0"/>
        <w:spacing w:before="0" w:line="336" w:lineRule="auto"/>
        <w:ind w:firstLine="480"/>
        <w:rPr>
          <w:rFonts w:ascii="仿宋" w:hAnsi="仿宋" w:eastAsia="仿宋" w:cs="仿宋"/>
          <w:color w:val="auto"/>
          <w:szCs w:val="24"/>
          <w:highlight w:val="none"/>
        </w:rPr>
      </w:pPr>
      <w:r>
        <w:rPr>
          <w:rFonts w:hint="default" w:ascii="仿宋" w:hAnsi="仿宋" w:eastAsia="仿宋" w:cs="仿宋"/>
          <w:color w:val="auto"/>
          <w:highlight w:val="none"/>
          <w:lang w:val="en-US"/>
        </w:rPr>
        <w:t>4.</w:t>
      </w:r>
      <w:r>
        <w:rPr>
          <w:rFonts w:hint="eastAsia" w:ascii="仿宋" w:hAnsi="仿宋" w:eastAsia="仿宋" w:cs="仿宋"/>
          <w:color w:val="auto"/>
          <w:highlight w:val="none"/>
        </w:rPr>
        <w:t>6磋商文件对响应文件签署、盖章的要求适用于电子签名。</w:t>
      </w:r>
    </w:p>
    <w:p w14:paraId="2A43AA98">
      <w:pPr>
        <w:pStyle w:val="393"/>
        <w:spacing w:before="0" w:line="336" w:lineRule="auto"/>
        <w:ind w:firstLine="0" w:firstLineChars="0"/>
        <w:rPr>
          <w:rFonts w:ascii="仿宋" w:hAnsi="仿宋" w:eastAsia="仿宋" w:cs="仿宋"/>
          <w:b/>
          <w:color w:val="auto"/>
          <w:szCs w:val="24"/>
          <w:highlight w:val="none"/>
        </w:rPr>
      </w:pPr>
      <w:r>
        <w:rPr>
          <w:rFonts w:hint="default" w:ascii="仿宋" w:hAnsi="仿宋" w:eastAsia="仿宋" w:cs="仿宋"/>
          <w:b/>
          <w:color w:val="auto"/>
          <w:szCs w:val="24"/>
          <w:highlight w:val="none"/>
          <w:lang w:val="en-US"/>
        </w:rPr>
        <w:t>5</w:t>
      </w:r>
      <w:r>
        <w:rPr>
          <w:rFonts w:hint="eastAsia" w:ascii="仿宋" w:hAnsi="仿宋" w:eastAsia="仿宋" w:cs="仿宋"/>
          <w:b/>
          <w:color w:val="auto"/>
          <w:szCs w:val="24"/>
          <w:highlight w:val="none"/>
        </w:rPr>
        <w:t>. 磋商响应文件的提交、补充、修改、撤回</w:t>
      </w:r>
    </w:p>
    <w:p w14:paraId="6B291FEA">
      <w:pPr>
        <w:pStyle w:val="393"/>
        <w:spacing w:before="0" w:line="336" w:lineRule="auto"/>
        <w:ind w:firstLine="480"/>
        <w:rPr>
          <w:rFonts w:ascii="仿宋" w:hAnsi="仿宋" w:eastAsia="仿宋" w:cs="仿宋"/>
          <w:color w:val="auto"/>
          <w:szCs w:val="24"/>
          <w:highlight w:val="none"/>
        </w:rPr>
      </w:pPr>
      <w:r>
        <w:rPr>
          <w:rFonts w:hint="default" w:ascii="仿宋" w:hAnsi="仿宋" w:eastAsia="仿宋" w:cs="仿宋"/>
          <w:color w:val="auto"/>
          <w:szCs w:val="24"/>
          <w:highlight w:val="none"/>
          <w:lang w:val="en-US"/>
        </w:rPr>
        <w:t>5</w:t>
      </w:r>
      <w:r>
        <w:rPr>
          <w:rFonts w:hint="eastAsia" w:ascii="仿宋" w:hAnsi="仿宋" w:eastAsia="仿宋" w:cs="仿宋"/>
          <w:color w:val="auto"/>
          <w:szCs w:val="24"/>
          <w:highlight w:val="none"/>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C54414B">
      <w:pPr>
        <w:spacing w:line="336" w:lineRule="auto"/>
        <w:ind w:firstLine="480" w:firstLineChars="200"/>
        <w:rPr>
          <w:rFonts w:ascii="仿宋" w:hAnsi="仿宋" w:eastAsia="仿宋" w:cs="仿宋"/>
          <w:color w:val="auto"/>
          <w:sz w:val="24"/>
          <w:highlight w:val="none"/>
        </w:rPr>
      </w:pPr>
      <w:r>
        <w:rPr>
          <w:rFonts w:hint="default" w:ascii="仿宋" w:hAnsi="仿宋" w:eastAsia="仿宋" w:cs="仿宋"/>
          <w:color w:val="auto"/>
          <w:sz w:val="24"/>
          <w:highlight w:val="none"/>
          <w:lang w:val="en-US"/>
        </w:rPr>
        <w:t>5</w:t>
      </w:r>
      <w:r>
        <w:rPr>
          <w:rFonts w:hint="eastAsia" w:ascii="仿宋" w:hAnsi="仿宋" w:eastAsia="仿宋" w:cs="仿宋"/>
          <w:color w:val="auto"/>
          <w:sz w:val="24"/>
          <w:highlight w:val="none"/>
        </w:rPr>
        <w:t>.2 在响应截止时间以后，不能补充、修改响应文件。</w:t>
      </w:r>
    </w:p>
    <w:p w14:paraId="5C15D18B">
      <w:pPr>
        <w:spacing w:line="336" w:lineRule="auto"/>
        <w:ind w:firstLine="480" w:firstLineChars="200"/>
        <w:rPr>
          <w:rFonts w:ascii="仿宋" w:hAnsi="仿宋" w:eastAsia="仿宋" w:cs="仿宋"/>
          <w:color w:val="auto"/>
          <w:sz w:val="24"/>
          <w:highlight w:val="none"/>
        </w:rPr>
      </w:pPr>
      <w:r>
        <w:rPr>
          <w:rFonts w:hint="default" w:ascii="仿宋" w:hAnsi="仿宋" w:eastAsia="仿宋" w:cs="仿宋"/>
          <w:color w:val="auto"/>
          <w:sz w:val="24"/>
          <w:highlight w:val="none"/>
          <w:lang w:val="en-US"/>
        </w:rPr>
        <w:t>5.</w:t>
      </w:r>
      <w:r>
        <w:rPr>
          <w:rFonts w:hint="eastAsia" w:ascii="仿宋" w:hAnsi="仿宋" w:eastAsia="仿宋" w:cs="仿宋"/>
          <w:color w:val="auto"/>
          <w:sz w:val="24"/>
          <w:highlight w:val="none"/>
        </w:rPr>
        <w:t>3 在提交“最后报价”后，供应商不能退出磋商。</w:t>
      </w:r>
    </w:p>
    <w:p w14:paraId="6D10C4FF">
      <w:pPr>
        <w:spacing w:line="336" w:lineRule="auto"/>
        <w:ind w:firstLine="480" w:firstLineChars="200"/>
        <w:rPr>
          <w:rFonts w:ascii="仿宋" w:hAnsi="仿宋" w:eastAsia="仿宋" w:cs="仿宋"/>
          <w:color w:val="auto"/>
          <w:sz w:val="24"/>
          <w:highlight w:val="none"/>
        </w:rPr>
      </w:pPr>
      <w:r>
        <w:rPr>
          <w:rFonts w:hint="default" w:ascii="仿宋" w:hAnsi="仿宋" w:eastAsia="仿宋" w:cs="仿宋"/>
          <w:color w:val="auto"/>
          <w:sz w:val="24"/>
          <w:highlight w:val="none"/>
          <w:lang w:val="en-US"/>
        </w:rPr>
        <w:t>5</w:t>
      </w:r>
      <w:r>
        <w:rPr>
          <w:rFonts w:hint="eastAsia" w:ascii="仿宋" w:hAnsi="仿宋" w:eastAsia="仿宋" w:cs="仿宋"/>
          <w:color w:val="auto"/>
          <w:sz w:val="24"/>
          <w:highlight w:val="none"/>
        </w:rPr>
        <w:t>.4 电子交易平台收到响应文件，将妥善保存并即时向供应商发出确认回执通知。在响应截止时间前，除供应商补充、修改或者撤回响应文件外，任何单位和个人不得解密或提取响应文件。</w:t>
      </w:r>
    </w:p>
    <w:p w14:paraId="44905774">
      <w:pPr>
        <w:spacing w:line="336" w:lineRule="auto"/>
        <w:ind w:firstLine="480" w:firstLineChars="200"/>
        <w:rPr>
          <w:rFonts w:ascii="仿宋" w:hAnsi="仿宋" w:eastAsia="仿宋" w:cs="仿宋"/>
          <w:b/>
          <w:color w:val="auto"/>
          <w:sz w:val="24"/>
          <w:szCs w:val="24"/>
          <w:highlight w:val="none"/>
        </w:rPr>
      </w:pPr>
      <w:r>
        <w:rPr>
          <w:rFonts w:hint="default" w:ascii="仿宋" w:hAnsi="仿宋" w:eastAsia="仿宋" w:cs="仿宋"/>
          <w:color w:val="auto"/>
          <w:sz w:val="24"/>
          <w:highlight w:val="none"/>
          <w:lang w:val="en-US"/>
        </w:rPr>
        <w:t>5</w:t>
      </w:r>
      <w:r>
        <w:rPr>
          <w:rFonts w:hint="eastAsia" w:ascii="仿宋" w:hAnsi="仿宋" w:eastAsia="仿宋" w:cs="仿宋"/>
          <w:color w:val="auto"/>
          <w:sz w:val="24"/>
          <w:highlight w:val="none"/>
        </w:rPr>
        <w:t>.5 采购代理机构可以视情况延长提交响应文件的截止时间。在上述情况下，采购代理机构与供应商以前在响应截止期方面的全部权利、责任和义务，将适用于延长至新的响应截止期。</w:t>
      </w:r>
    </w:p>
    <w:p w14:paraId="733E397B">
      <w:pPr>
        <w:pStyle w:val="393"/>
        <w:spacing w:before="0" w:line="336" w:lineRule="auto"/>
        <w:ind w:firstLine="0" w:firstLineChars="0"/>
        <w:rPr>
          <w:rFonts w:ascii="仿宋" w:hAnsi="仿宋" w:eastAsia="仿宋" w:cs="仿宋"/>
          <w:b/>
          <w:color w:val="auto"/>
          <w:szCs w:val="24"/>
          <w:highlight w:val="none"/>
        </w:rPr>
      </w:pPr>
      <w:r>
        <w:rPr>
          <w:rStyle w:val="70"/>
          <w:color w:val="auto"/>
          <w:highlight w:val="none"/>
          <w:lang w:val="en-US"/>
        </w:rPr>
        <w:t>6.</w:t>
      </w:r>
      <w:r>
        <w:rPr>
          <w:rFonts w:hint="eastAsia" w:ascii="仿宋" w:hAnsi="仿宋" w:eastAsia="仿宋" w:cs="仿宋"/>
          <w:b/>
          <w:color w:val="auto"/>
          <w:szCs w:val="24"/>
          <w:highlight w:val="none"/>
        </w:rPr>
        <w:t>磋商响应有效期</w:t>
      </w:r>
    </w:p>
    <w:p w14:paraId="68819C0C">
      <w:pPr>
        <w:snapToGrid w:val="0"/>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1磋商响应有效期为从提交磋商响应文件的截止之日起90天。供应商的磋商响应文件中承诺的磋商响应有效期少于磋商文件中载明的磋商有效期的，磋商无效。</w:t>
      </w:r>
    </w:p>
    <w:p w14:paraId="6F6063EA">
      <w:pPr>
        <w:snapToGrid w:val="0"/>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2磋商响应文件合格投递后，自磋商截止日期起，在磋商有效期内有效。</w:t>
      </w:r>
    </w:p>
    <w:p w14:paraId="5A76BAA2">
      <w:pPr>
        <w:snapToGrid w:val="0"/>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21ABFFA9">
      <w:pPr>
        <w:adjustRightInd/>
        <w:spacing w:line="336" w:lineRule="auto"/>
        <w:outlineLvl w:val="0"/>
        <w:rPr>
          <w:rFonts w:ascii="仿宋" w:hAnsi="仿宋" w:eastAsia="仿宋" w:cs="仿宋"/>
          <w:b/>
          <w:color w:val="auto"/>
          <w:sz w:val="32"/>
          <w:szCs w:val="20"/>
          <w:highlight w:val="none"/>
        </w:rPr>
      </w:pPr>
    </w:p>
    <w:p w14:paraId="31FA26B0">
      <w:pPr>
        <w:adjustRightInd/>
        <w:spacing w:line="336"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30A8E57B">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1．磋商程序</w:t>
      </w:r>
    </w:p>
    <w:p w14:paraId="32A8FA0C">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1.1响应截止时间后，主持人宣布磋商开始。</w:t>
      </w:r>
    </w:p>
    <w:p w14:paraId="65AE00C6">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1.2供应商登录政采云平台，用“项目采购-开标评标”功能对电子磋商响应文件进行在线解密。在线解密电子磋商响应文件时间为磋商截止时间起30分钟内。</w:t>
      </w:r>
    </w:p>
    <w:p w14:paraId="077F56A5">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1.3确定各供应商磋商、演示顺序（如有要求）。</w:t>
      </w:r>
    </w:p>
    <w:p w14:paraId="07EA51C0">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1.4磋商小组对磋商响应文件进行评估和比较。</w:t>
      </w:r>
    </w:p>
    <w:p w14:paraId="4C7839A9">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1.5磋商小组与单一供应商分别进行磋商。</w:t>
      </w:r>
    </w:p>
    <w:p w14:paraId="23B25531">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7941BFC2">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5BB67D9A">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1.8主持人公布磋商结果。</w:t>
      </w:r>
    </w:p>
    <w:p w14:paraId="2F5382FC">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特别说明：政采云公司如对电子化磋商程序有调整的，按调整后的程序操作。</w:t>
      </w:r>
    </w:p>
    <w:p w14:paraId="1FE0C868">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6DB5D294">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385950B2">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08B1D248">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7286B915">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294AE56D">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3356C36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14:paraId="7AFE205E">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3．磋商内容</w:t>
      </w:r>
    </w:p>
    <w:p w14:paraId="6CAA269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3.1本次磋商内容为在磋商文件范围内就供应商的磋商响应文件，磋商小组与供应商在技术、价格、服务、合同等问题进行磋商，最终确定成交与否。</w:t>
      </w:r>
    </w:p>
    <w:p w14:paraId="7D973BB5">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3.2磋商应作书面记录，供应商并就磋商内容作出书面承诺，并由供应商法定代表人或其授权委托人签字后生效，作为磋商响应文件的一部分。</w:t>
      </w:r>
    </w:p>
    <w:p w14:paraId="2DC648A9">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3.3磋商文件有实质性变动的，磋商小组以书面形式通知所有参加磋商的供应商。</w:t>
      </w:r>
    </w:p>
    <w:p w14:paraId="649EC975">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4．磋商</w:t>
      </w:r>
    </w:p>
    <w:p w14:paraId="166CBC1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4.1磋商小组由采购人依法组建，负责评审活动。磋商小组遵循公开、公平、公正、科学合理、竞争择优的原则。</w:t>
      </w:r>
    </w:p>
    <w:p w14:paraId="4B250D21">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4.2磋商小组由采购人代表和有关方面的专家组成，成员人数为3人以上单数。</w:t>
      </w:r>
    </w:p>
    <w:p w14:paraId="573FA7C0">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4.3磋商小组负责对供应商资格的最终审定。</w:t>
      </w:r>
    </w:p>
    <w:p w14:paraId="5D8CE5F5">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28A6BBC0">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24F2018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14:paraId="03307C5F">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6A174A8">
      <w:pPr>
        <w:widowControl/>
        <w:snapToGrid w:val="0"/>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4.6</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对磋商响应文件的判定，只依据磋商响应文件和磋商文件内容本身，不依据任何外来证明。</w:t>
      </w:r>
    </w:p>
    <w:p w14:paraId="02C8274C">
      <w:pPr>
        <w:widowControl/>
        <w:snapToGrid w:val="0"/>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4.7磋商小组不向落标方解释落标的原因，不退还磋商响应文件。</w:t>
      </w:r>
    </w:p>
    <w:p w14:paraId="46C864F5">
      <w:pPr>
        <w:snapToGrid w:val="0"/>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5．磋商响应文件的初审鉴定</w:t>
      </w:r>
    </w:p>
    <w:p w14:paraId="21A8E2A7">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5.1资格性审查</w:t>
      </w:r>
    </w:p>
    <w:p w14:paraId="12CFF3C7">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5.1.1依据法律、法规和磋商文件规定，对磋商响应文件中对资格证明、磋商保证金等进行审查，以确定供应商是否具备磋商资格。</w:t>
      </w:r>
    </w:p>
    <w:p w14:paraId="20F9E4A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5.2符合性审查</w:t>
      </w:r>
    </w:p>
    <w:p w14:paraId="7568249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508D8DB8">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5.3如果磋商响应文件实质不响应磋商文件的各项要求，磋商小组将予以拒绝，并且不允许供应商通过修改或撤销其不符合要求的差异或保留，使之成为具有响应性的磋商。</w:t>
      </w:r>
    </w:p>
    <w:p w14:paraId="54B7AAFD">
      <w:pPr>
        <w:widowControl/>
        <w:snapToGrid w:val="0"/>
        <w:spacing w:line="336"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6. 对明显的文字和计算错误的修正原则</w:t>
      </w:r>
    </w:p>
    <w:p w14:paraId="7D5CE4AA">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6.1磋商响应文件中报价一览表（报价表）内容与磋商响应文件中相应内容不一致的，以报价一览表（报价表）为准；</w:t>
      </w:r>
    </w:p>
    <w:p w14:paraId="6D5A3481">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6.2大写金额和小写金额不一致的，以大写金额为准；</w:t>
      </w:r>
    </w:p>
    <w:p w14:paraId="0C2F5880">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6.3单价金额小数点或者百分比有明显错位的，以报价一览表的总价为准，并修改单价；</w:t>
      </w:r>
    </w:p>
    <w:p w14:paraId="4C99B3F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6.4总价金额与按单价汇总金额不一致的，以单价金额计算结果为准。</w:t>
      </w:r>
    </w:p>
    <w:p w14:paraId="742EEE18">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修正后的报价按照财政部公布第87号令《政府采购货物和服务招标投标管理办法》</w:t>
      </w:r>
      <w:r>
        <w:rPr>
          <w:rFonts w:hint="eastAsia" w:ascii="仿宋" w:hAnsi="仿宋" w:eastAsia="仿宋" w:cs="仿宋"/>
          <w:color w:val="auto"/>
          <w:sz w:val="24"/>
          <w:highlight w:val="none"/>
        </w:rPr>
        <w:t>第五十一条第二款的规定经磋商响应人确认后产生约束力，磋商响应人不确认的，其磋商无效。</w:t>
      </w:r>
    </w:p>
    <w:p w14:paraId="4BC40874">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7.磋商响应文件的评审、比较和否决</w:t>
      </w:r>
    </w:p>
    <w:p w14:paraId="066264A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7.1磋商小组将对在实质上响应磋商文件要求的磋商响应文件进行评估和比较。</w:t>
      </w:r>
    </w:p>
    <w:p w14:paraId="41FBB57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7.2磋商小组可以书面形式要求供应商就磋商响应文件含义不明确的内容进行书面说明并提供相关材料。</w:t>
      </w:r>
    </w:p>
    <w:p w14:paraId="594855D9">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7.3如发现与磋商文件要求相偏离的，磋商小组应对其偏离情形进行必要的书面核实。</w:t>
      </w:r>
    </w:p>
    <w:p w14:paraId="4AF2FF6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7.4如属于实质性偏离或符合无效响应条件的，磋商小组应当询问相关供应商，并允许其进行陈述申辩，但不允许对偏离条款撤回。</w:t>
      </w:r>
    </w:p>
    <w:p w14:paraId="528949D5">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7.5比较与评价。磋商小组依据磋商文件规定的评审标准和方法，对磋商响应文件进行商务和技术评估，综合比较与评价。</w:t>
      </w:r>
    </w:p>
    <w:p w14:paraId="6B11968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7.6汇总（商务技术得分情况）。磋商小组各成员应当独立对每个供应商的磋商响应文件进行评价，并汇总商务技术得分情况。</w:t>
      </w:r>
    </w:p>
    <w:p w14:paraId="246A26F4">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7.7 报价审核。对符合采购需求且通过商务技术（资信）评审的供应商的报价的合理性、准确性等进行审查核实。</w:t>
      </w:r>
    </w:p>
    <w:p w14:paraId="7675987D">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6709AA15">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7.7.2根据财政部发布的《政府采购促进中小企业发展暂行办法》规定，对于非专门面向中小企业的项目，对小型和微型企业产品的价格给予一定的扣除，用扣除后的价格参与评审。</w:t>
      </w:r>
    </w:p>
    <w:p w14:paraId="0760FB5E">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7.7.3如需磋商价格修正，按财政部第87号令第五十九条的规定对磋商价格进行修正。</w:t>
      </w:r>
    </w:p>
    <w:p w14:paraId="283C8DEA">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7.8磋商小组依据磋商文件规定的评标标准和方法，对磋商响应文件进行评审和比较后，向</w:t>
      </w:r>
      <w:r>
        <w:rPr>
          <w:rFonts w:hint="eastAsia" w:ascii="仿宋" w:hAnsi="仿宋" w:eastAsia="仿宋" w:cs="仿宋"/>
          <w:color w:val="auto"/>
          <w:sz w:val="24"/>
          <w:highlight w:val="none"/>
          <w:lang w:eastAsia="zh-CN"/>
        </w:rPr>
        <w:t>采购人或其委托的采购代理机构</w:t>
      </w:r>
      <w:r>
        <w:rPr>
          <w:rFonts w:hint="eastAsia" w:ascii="仿宋" w:hAnsi="仿宋" w:eastAsia="仿宋" w:cs="仿宋"/>
          <w:color w:val="auto"/>
          <w:sz w:val="24"/>
          <w:highlight w:val="none"/>
        </w:rPr>
        <w:t>提供书面磋商报告，并按得分高低排序推荐中标候选供应商。</w:t>
      </w:r>
    </w:p>
    <w:p w14:paraId="5F6554C4">
      <w:pPr>
        <w:pStyle w:val="16"/>
        <w:tabs>
          <w:tab w:val="clear" w:pos="390"/>
        </w:tabs>
        <w:spacing w:line="336" w:lineRule="auto"/>
        <w:ind w:left="0" w:firstLine="0"/>
        <w:rPr>
          <w:rFonts w:ascii="仿宋" w:hAnsi="仿宋" w:eastAsia="仿宋" w:cs="仿宋"/>
          <w:b/>
          <w:color w:val="auto"/>
          <w:highlight w:val="none"/>
        </w:rPr>
      </w:pPr>
      <w:r>
        <w:rPr>
          <w:rFonts w:hint="eastAsia" w:ascii="仿宋" w:hAnsi="仿宋" w:eastAsia="仿宋" w:cs="仿宋"/>
          <w:b/>
          <w:color w:val="auto"/>
          <w:highlight w:val="none"/>
        </w:rPr>
        <w:t>8.磋商响应文件的澄清</w:t>
      </w:r>
    </w:p>
    <w:p w14:paraId="0AB524FE">
      <w:pPr>
        <w:pStyle w:val="16"/>
        <w:tabs>
          <w:tab w:val="clear" w:pos="390"/>
        </w:tabs>
        <w:spacing w:line="336"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1C21844C">
      <w:pPr>
        <w:pStyle w:val="34"/>
        <w:snapToGrid w:val="0"/>
        <w:spacing w:line="336"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14:paraId="2EECD39D">
      <w:pPr>
        <w:tabs>
          <w:tab w:val="left" w:pos="4085"/>
        </w:tabs>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磋商响应文件有下列情形之一的作无效磋商响应处理：</w:t>
      </w:r>
    </w:p>
    <w:p w14:paraId="22723DE8">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9.1磋商响应文件未按照磋商文件规定要求电子签章、签字或盖章的；</w:t>
      </w:r>
    </w:p>
    <w:p w14:paraId="78DEC19D">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9.2单位负责人为同一人或者存在直接控股、管理关系的不同供应商参加同一合同项下的政府采购活动的（均无效）；</w:t>
      </w:r>
    </w:p>
    <w:p w14:paraId="2BC07B24">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9.3为采购项目提供整体设计、规范编制或者项目管理、监理、检测等服务的供应商参加该采购项目的其他采购活动的； </w:t>
      </w:r>
    </w:p>
    <w:p w14:paraId="78E45E2C">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9.4供应商不具备磋商文件中规定的资格要求的（供应商未提供有效的资格证明文件的，视为其不具备磋商文件中规定的资格要求）；</w:t>
      </w:r>
    </w:p>
    <w:p w14:paraId="22EF010D">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9.5《法定代表人身份证明书》与提供的身份证</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信息不符的；《法定代表人授权委托书》与提供的身份证</w:t>
      </w:r>
      <w:r>
        <w:rPr>
          <w:rFonts w:hint="eastAsia" w:ascii="仿宋" w:hAnsi="仿宋" w:eastAsia="仿宋" w:cs="仿宋"/>
          <w:b/>
          <w:color w:val="auto"/>
          <w:sz w:val="24"/>
          <w:highlight w:val="none"/>
          <w:lang w:eastAsia="zh-CN"/>
        </w:rPr>
        <w:t>复制件</w:t>
      </w:r>
      <w:r>
        <w:rPr>
          <w:rFonts w:hint="eastAsia" w:ascii="仿宋" w:hAnsi="仿宋" w:eastAsia="仿宋" w:cs="仿宋"/>
          <w:b/>
          <w:color w:val="auto"/>
          <w:sz w:val="24"/>
          <w:highlight w:val="none"/>
        </w:rPr>
        <w:t>信息不符的；</w:t>
      </w:r>
    </w:p>
    <w:p w14:paraId="7D7603C8">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9.6《法定代表人授权委托书》或《法定代表人身份证明书》填写不全、错误、未加盖公章(《法定代表人授权委托书》要求“电子签章”和“签字或盖章”缺一不可）的；</w:t>
      </w:r>
    </w:p>
    <w:p w14:paraId="4D8D256A">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9.7授权代表非磋商响应单位正式职工（以社保证明为准，如授权代表为离退休返聘人员的，需提供退休证明及单位聘用证明)，法定代表人及个体工商户除外；</w:t>
      </w:r>
    </w:p>
    <w:p w14:paraId="4B10B651">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9.8磋商响应文件中的磋商响应函无供应商电子签章或填写不全的；</w:t>
      </w:r>
    </w:p>
    <w:p w14:paraId="7F63047F">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9.9供应商递交两份或两份以上内容不同的磋商响应文件，且未声明哪一份有效的；</w:t>
      </w:r>
    </w:p>
    <w:p w14:paraId="1E299220">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9.10报价一经涂改，涂改处无磋商响应单位电子签章或者未经法定代表人或授权代表签字或盖章的；</w:t>
      </w:r>
    </w:p>
    <w:p w14:paraId="401AE83C">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9.11磋商响应文件中未按磋商响应文件规定的格式填写，或未详细应答磋商服务（或技术或产品等要求），经磋商后仍无法详细应答或应答不完整有缺失，致使磋商小组无法评审的；</w:t>
      </w:r>
    </w:p>
    <w:p w14:paraId="283D6FE6">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9.12出现同一标的物或本次磋商产品(服务)内的主要产品(重要组成部分)出现商务技术文件资料、报价文件资料描述不一致或前后描述不一致，经磋商小组认定后为无法评审的；</w:t>
      </w:r>
    </w:p>
    <w:p w14:paraId="230849F1">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9.13《技术偏离说明表》不真实填写或弄虚作假的；</w:t>
      </w:r>
    </w:p>
    <w:p w14:paraId="2A5CFE45">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9.14磋商响应文件有采购人不能接受的条件；</w:t>
      </w:r>
    </w:p>
    <w:p w14:paraId="7A4EAC7D">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9.15磋商小组认为供应商的报价明显低于其他通过符合性审查磋商响应人的报价，有可能影响产品质量或者不能诚信履约的，未能按要求提供书面说明或者提交相关证明材料证明其报价合理性的; </w:t>
      </w:r>
    </w:p>
    <w:p w14:paraId="47CC7EF9">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9.16最后报价超过预算金额或上限价的；</w:t>
      </w:r>
    </w:p>
    <w:p w14:paraId="5AA533D6">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9.17磋商小组认定有重大偏差或实质性不响应磋商文件要求的；</w:t>
      </w:r>
    </w:p>
    <w:p w14:paraId="3B43A3D4">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9.18采购人拟采购的产品属于政府强制采购的节能产品品目清单范围的，供应商未按磋商文件要求提供国家确定的认证机构出具的、处于有效期之内的节能产品认证证书的；</w:t>
      </w:r>
    </w:p>
    <w:p w14:paraId="100AA236">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9.19《报价一览表》填写不完整或字迹不能辨认或有漏项的；</w:t>
      </w:r>
    </w:p>
    <w:p w14:paraId="02FC0EEF">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9.20供应商对根据修正原则修正后的报价不确认的；</w:t>
      </w:r>
    </w:p>
    <w:p w14:paraId="324AD838">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9.21供应商提供虚假材料磋商的（包括但不限于以下情节）；</w:t>
      </w:r>
    </w:p>
    <w:p w14:paraId="342C0AA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9.21.1使用伪造、变造的许可证件；</w:t>
      </w:r>
    </w:p>
    <w:p w14:paraId="75336E0F">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9.21.2提供虚假的财务状况或者业绩；</w:t>
      </w:r>
    </w:p>
    <w:p w14:paraId="45FD9C2B">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9.21.3提供虚假的项目负责人或者主要技术人员简历、劳动关系证明；</w:t>
      </w:r>
    </w:p>
    <w:p w14:paraId="744D23ED">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9.21.4提供虚假的信用状况；</w:t>
      </w:r>
    </w:p>
    <w:p w14:paraId="26AB882B">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9.21.5其他弄虚作假的行为。</w:t>
      </w:r>
    </w:p>
    <w:p w14:paraId="2673C832">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9.22有下列情形之一的，视为供应商串通磋商，其磋商无效：</w:t>
      </w:r>
    </w:p>
    <w:p w14:paraId="415D716F">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9.22.1不同供应商的磋商响应文件由同一单位或者个人编制；</w:t>
      </w:r>
    </w:p>
    <w:p w14:paraId="0BDE946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9.22.2不同供应商委托同一单位或者个人办理磋商事宜；</w:t>
      </w:r>
    </w:p>
    <w:p w14:paraId="5907B9E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9.22.3不同供应商的磋商响应文件载明的项目管理成员或者联系人员为同一人；</w:t>
      </w:r>
    </w:p>
    <w:p w14:paraId="71386453">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9.22.4不同供应商的磋商响应文件异常一致或者磋商报价呈规律性差异；</w:t>
      </w:r>
    </w:p>
    <w:p w14:paraId="500DAF89">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9.22.5不同供应商的磋商响应文件相互混装；</w:t>
      </w:r>
    </w:p>
    <w:p w14:paraId="7A88FB62">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11CAEAF9">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9.23有下列情形之一的，属于恶意串通，其磋商无效：</w:t>
      </w:r>
    </w:p>
    <w:p w14:paraId="5032F5D1">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9.23.1供应商直接或者间接从采购人或者采购机构处获得其他供应商的相关情况并修改其磋商响应文件；</w:t>
      </w:r>
    </w:p>
    <w:p w14:paraId="290B633A">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9.23.2供应商按照采购人或者采购机构的授意撤换、修改磋商响应文件；</w:t>
      </w:r>
    </w:p>
    <w:p w14:paraId="02EEDBF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9.23.3供应商之间协商报价、技术方案等磋商响应文件的实质性内容；</w:t>
      </w:r>
    </w:p>
    <w:p w14:paraId="073C04AA">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9.23.4属于同一集团、协会、商会等组织成员的供应商按照该组织要求协同参加政府采购活动；</w:t>
      </w:r>
    </w:p>
    <w:p w14:paraId="7E98262C">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9.23.5供应商之间事先约定由某一特定供应商中标、成交；</w:t>
      </w:r>
    </w:p>
    <w:p w14:paraId="0704443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9.23.6供应商之间商定部分供应商放弃参加政府采购活动或者放弃中标、成交；</w:t>
      </w:r>
    </w:p>
    <w:p w14:paraId="760F44A1">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9.23.7供应商与采购人或者采购机构之间、供应商相互之间，为谋求特定供应商中标、成交或者排斥其他供应商的其他串通行为。</w:t>
      </w:r>
    </w:p>
    <w:p w14:paraId="68C7DA13">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9.24磋商响应文件出现不是唯一的、有选择性报价的；</w:t>
      </w:r>
    </w:p>
    <w:p w14:paraId="4251C86D">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09536527">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9.26</w:t>
      </w:r>
      <w:r>
        <w:rPr>
          <w:rFonts w:hint="eastAsia" w:ascii="仿宋" w:hAnsi="仿宋" w:eastAsia="仿宋" w:cs="仿宋"/>
          <w:b/>
          <w:color w:val="auto"/>
          <w:sz w:val="24"/>
          <w:highlight w:val="none"/>
        </w:rPr>
        <w:t>参与同一个采购包(标段)的供应商存在下列情形之一的</w:t>
      </w:r>
      <w:r>
        <w:rPr>
          <w:rFonts w:hint="eastAsia" w:ascii="仿宋" w:hAnsi="仿宋" w:eastAsia="仿宋" w:cs="仿宋"/>
          <w:b/>
          <w:color w:val="auto"/>
          <w:sz w:val="24"/>
          <w:highlight w:val="none"/>
          <w:lang w:eastAsia="zh-CN"/>
        </w:rPr>
        <w:t>，其磋商无效：</w:t>
      </w:r>
    </w:p>
    <w:p w14:paraId="77411830">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6F7FE8E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6D3D56F6">
      <w:pPr>
        <w:tabs>
          <w:tab w:val="left" w:pos="3870"/>
          <w:tab w:val="left" w:pos="4085"/>
        </w:tabs>
        <w:snapToGrid w:val="0"/>
        <w:spacing w:line="336" w:lineRule="auto"/>
        <w:ind w:firstLine="480" w:firstLineChars="2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6EEF6DEE">
      <w:pPr>
        <w:tabs>
          <w:tab w:val="left" w:pos="3870"/>
          <w:tab w:val="left" w:pos="4085"/>
        </w:tabs>
        <w:snapToGrid w:val="0"/>
        <w:spacing w:line="336" w:lineRule="auto"/>
        <w:ind w:firstLine="480" w:firstLineChars="200"/>
        <w:jc w:val="left"/>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104A12DB">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9.2</w:t>
      </w: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rPr>
        <w:t>其他违反法律、法规的情形。</w:t>
      </w:r>
    </w:p>
    <w:p w14:paraId="3C738913">
      <w:pPr>
        <w:tabs>
          <w:tab w:val="left" w:pos="3870"/>
          <w:tab w:val="left" w:pos="4085"/>
        </w:tabs>
        <w:snapToGrid w:val="0"/>
        <w:spacing w:line="336"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磋商过程保密</w:t>
      </w:r>
    </w:p>
    <w:p w14:paraId="5F49AAF5">
      <w:pPr>
        <w:snapToGrid w:val="0"/>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10.1</w:t>
      </w:r>
      <w:r>
        <w:rPr>
          <w:rFonts w:hint="eastAsia" w:ascii="仿宋" w:hAnsi="仿宋" w:eastAsia="仿宋" w:cs="仿宋"/>
          <w:color w:val="auto"/>
          <w:sz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188350A1">
      <w:pPr>
        <w:snapToGrid w:val="0"/>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 在磋商期间，供应商企图影响采购人、采购代理机构或</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的任何活动，都将导致磋商被拒绝，并由其承担相应的法律责任。</w:t>
      </w:r>
    </w:p>
    <w:p w14:paraId="3AC302D2">
      <w:pPr>
        <w:adjustRightInd/>
        <w:spacing w:line="336" w:lineRule="auto"/>
        <w:jc w:val="center"/>
        <w:outlineLvl w:val="0"/>
        <w:rPr>
          <w:rFonts w:ascii="仿宋" w:hAnsi="仿宋" w:eastAsia="仿宋" w:cs="仿宋"/>
          <w:color w:val="auto"/>
          <w:sz w:val="32"/>
          <w:szCs w:val="32"/>
          <w:highlight w:val="none"/>
        </w:rPr>
      </w:pPr>
    </w:p>
    <w:p w14:paraId="0A0C8799">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78EBEC2D">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bookmarkStart w:id="39" w:name="_Toc81372776"/>
      <w:bookmarkStart w:id="40" w:name="_Toc81372953"/>
      <w:bookmarkStart w:id="41" w:name="_Toc84325929"/>
      <w:r>
        <w:rPr>
          <w:rFonts w:hint="eastAsia" w:ascii="仿宋" w:hAnsi="仿宋" w:eastAsia="仿宋" w:cs="仿宋"/>
          <w:b/>
          <w:color w:val="auto"/>
          <w:sz w:val="24"/>
          <w:highlight w:val="none"/>
        </w:rPr>
        <w:t>成交条件</w:t>
      </w:r>
    </w:p>
    <w:p w14:paraId="3D3EE819">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1.1磋商响应文件基本符合磋商文件要求；</w:t>
      </w:r>
    </w:p>
    <w:p w14:paraId="74EDDBEC">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1.2供应商有很好的执行合同的能力；</w:t>
      </w:r>
    </w:p>
    <w:p w14:paraId="1E05E73B">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1.3实施方案最合理并对采购人最为有利，最大限度满足磋商文件的要求；</w:t>
      </w:r>
    </w:p>
    <w:p w14:paraId="3952C153">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1.4供应商能够提供质量技术、商务经济占综合优势的系统及服务。</w:t>
      </w:r>
    </w:p>
    <w:p w14:paraId="69EBEA74">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2.成交确认</w:t>
      </w:r>
    </w:p>
    <w:p w14:paraId="1FC34A3B">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2.1采购人应当在收到评审报告之日起５个工作日内，在评审报告提出的成交候选供应商单中确定成交供应商。</w:t>
      </w:r>
    </w:p>
    <w:p w14:paraId="1EC54C19">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2.2采购人逾期未确定成交供应商的，视为确定评审报告提出的成交候选供应商为成交供应商。</w:t>
      </w:r>
    </w:p>
    <w:p w14:paraId="3BB71FAC">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2.3采购人应在确认成交供应商前再次对资格条件和相关证件材料进一步查验核实。</w:t>
      </w:r>
    </w:p>
    <w:p w14:paraId="3E19B9BD">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3．成交通知</w:t>
      </w:r>
    </w:p>
    <w:bookmarkEnd w:id="39"/>
    <w:bookmarkEnd w:id="40"/>
    <w:bookmarkEnd w:id="41"/>
    <w:p w14:paraId="176E4545">
      <w:pPr>
        <w:pStyle w:val="393"/>
        <w:tabs>
          <w:tab w:val="left" w:pos="0"/>
        </w:tabs>
        <w:spacing w:before="0" w:line="336" w:lineRule="auto"/>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http://zfcg.czt.zj.gov.cn/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、绍兴公共资源交易网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"http://ggb.sx.gov.cn"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http://ggb.sx.gov.cn</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）发布</w:t>
      </w:r>
      <w:r>
        <w:rPr>
          <w:rFonts w:hint="eastAsia" w:ascii="仿宋" w:hAnsi="仿宋" w:eastAsia="仿宋" w:cs="仿宋"/>
          <w:color w:val="auto"/>
          <w:kern w:val="0"/>
          <w:highlight w:val="none"/>
        </w:rPr>
        <w:t>成交公告，成交公告期限为1个工作日。</w:t>
      </w:r>
    </w:p>
    <w:p w14:paraId="4C9D3150">
      <w:pPr>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14:paraId="1D2FAF16">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4B10EF8C">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58AA0FEA">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6F302E28">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7DDF5CA9">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2390B520">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6AAD6CC3">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7FAE0454">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5.1成交人应当在成交通知书发出之日起30天内与采购人签订合同，自采购合同签订之日起</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个工作日内</w:t>
      </w:r>
      <w:r>
        <w:rPr>
          <w:rFonts w:hint="eastAsia" w:ascii="仿宋" w:hAnsi="仿宋" w:eastAsia="仿宋" w:cs="仿宋"/>
          <w:color w:val="auto"/>
          <w:sz w:val="24"/>
          <w:highlight w:val="none"/>
        </w:rPr>
        <w:t>，通过电子交易平台进行备案。</w:t>
      </w:r>
    </w:p>
    <w:p w14:paraId="0EDF38DD">
      <w:pPr>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14:paraId="7A38D2FF">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66AD2EA3">
      <w:pPr>
        <w:tabs>
          <w:tab w:val="left" w:pos="6780"/>
        </w:tabs>
        <w:spacing w:line="336" w:lineRule="auto"/>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46A5A">
      <w:pPr>
        <w:tabs>
          <w:tab w:val="left" w:pos="6780"/>
        </w:tabs>
        <w:spacing w:line="336" w:lineRule="auto"/>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14:paraId="65BB094A">
      <w:pPr>
        <w:tabs>
          <w:tab w:val="left" w:pos="6780"/>
        </w:tabs>
        <w:spacing w:line="336" w:lineRule="auto"/>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23A62C">
      <w:pPr>
        <w:tabs>
          <w:tab w:val="left" w:pos="6780"/>
        </w:tabs>
        <w:spacing w:line="336" w:lineRule="auto"/>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227A2E">
      <w:pPr>
        <w:tabs>
          <w:tab w:val="left" w:pos="6780"/>
        </w:tabs>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7. 售后服务考核</w:t>
      </w:r>
      <w:r>
        <w:rPr>
          <w:rFonts w:hint="eastAsia" w:ascii="仿宋" w:hAnsi="仿宋" w:eastAsia="仿宋" w:cs="仿宋"/>
          <w:b/>
          <w:color w:val="auto"/>
          <w:sz w:val="24"/>
          <w:highlight w:val="none"/>
        </w:rPr>
        <w:tab/>
      </w:r>
    </w:p>
    <w:p w14:paraId="33F82470">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6E884304">
      <w:pPr>
        <w:spacing w:line="336" w:lineRule="auto"/>
        <w:ind w:firstLine="640" w:firstLineChars="200"/>
        <w:rPr>
          <w:rFonts w:ascii="仿宋" w:hAnsi="仿宋" w:eastAsia="仿宋" w:cs="仿宋"/>
          <w:color w:val="auto"/>
          <w:sz w:val="32"/>
          <w:szCs w:val="32"/>
          <w:highlight w:val="none"/>
        </w:rPr>
      </w:pPr>
    </w:p>
    <w:p w14:paraId="6A8A4A26">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0B5195BC">
      <w:pPr>
        <w:pStyle w:val="34"/>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5E3A91B7">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5383A7">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14:paraId="1F387DAB">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FEAA0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14:paraId="749C98A1">
      <w:pPr>
        <w:pStyle w:val="34"/>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371C19E0">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5B4122A0">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2288A3">
      <w:pPr>
        <w:pStyle w:val="17"/>
        <w:spacing w:line="336" w:lineRule="auto"/>
        <w:ind w:firstLine="434" w:firstLineChars="181"/>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29882B4">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583B1749">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2E79E1AF">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536EAD71">
      <w:pPr>
        <w:pStyle w:val="34"/>
        <w:spacing w:line="336"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w:t>
      </w:r>
      <w:r>
        <w:rPr>
          <w:rFonts w:hint="default" w:ascii="仿宋" w:hAnsi="仿宋" w:eastAsia="仿宋" w:cs="仿宋"/>
          <w:b/>
          <w:color w:val="auto"/>
          <w:kern w:val="0"/>
          <w:sz w:val="24"/>
          <w:highlight w:val="none"/>
          <w:lang w:val="en-US"/>
        </w:rPr>
        <w:t>2</w:t>
      </w:r>
      <w:r>
        <w:rPr>
          <w:rFonts w:hint="eastAsia" w:ascii="仿宋" w:hAnsi="仿宋" w:eastAsia="仿宋" w:cs="仿宋"/>
          <w:b/>
          <w:color w:val="auto"/>
          <w:kern w:val="0"/>
          <w:sz w:val="24"/>
          <w:highlight w:val="none"/>
          <w:lang w:val="zh-CN"/>
        </w:rPr>
        <w:t>质疑函</w:t>
      </w:r>
    </w:p>
    <w:p w14:paraId="471B03DA">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default" w:ascii="仿宋" w:hAnsi="仿宋" w:eastAsia="仿宋" w:cs="仿宋"/>
          <w:color w:val="auto"/>
          <w:sz w:val="24"/>
          <w:highlight w:val="none"/>
          <w:lang w:val="en-US"/>
        </w:rPr>
        <w:t>2</w:t>
      </w:r>
      <w:r>
        <w:rPr>
          <w:rFonts w:hint="eastAsia" w:ascii="仿宋" w:hAnsi="仿宋" w:eastAsia="仿宋" w:cs="仿宋"/>
          <w:color w:val="auto"/>
          <w:sz w:val="24"/>
          <w:highlight w:val="none"/>
        </w:rPr>
        <w:t>.1供应商提出质疑应当提交质疑函和必要的证明材料。质疑函应当包括下列内容：</w:t>
      </w:r>
    </w:p>
    <w:p w14:paraId="7282AF30">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44268DCD">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6ED17E44">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2E908F6">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55652620">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0A873A7D">
      <w:pPr>
        <w:pStyle w:val="34"/>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68977A1F">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18B798E">
      <w:pPr>
        <w:pStyle w:val="34"/>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33E24031">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19C23986">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采购代理机构的答复不满意或者采购人、采购代理机构未在规定的时间内作出答复的，可以在答复期满后十五个工作日内向同级政府采购监督管理部门提出投诉。</w:t>
      </w:r>
    </w:p>
    <w:p w14:paraId="49A0A721">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2D775DB3">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2FDCA6FD">
      <w:pPr>
        <w:pStyle w:val="34"/>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7C64DE33">
      <w:pPr>
        <w:pStyle w:val="34"/>
        <w:spacing w:line="336"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28A0D793">
      <w:pPr>
        <w:spacing w:line="336" w:lineRule="auto"/>
        <w:ind w:firstLine="480" w:firstLineChars="200"/>
        <w:rPr>
          <w:rFonts w:ascii="仿宋" w:hAnsi="仿宋" w:eastAsia="仿宋" w:cs="仿宋"/>
          <w:color w:val="auto"/>
          <w:sz w:val="24"/>
          <w:szCs w:val="20"/>
          <w:highlight w:val="none"/>
        </w:rPr>
      </w:pPr>
    </w:p>
    <w:p w14:paraId="6BCF322A">
      <w:pPr>
        <w:pStyle w:val="34"/>
        <w:spacing w:line="336" w:lineRule="auto"/>
        <w:ind w:firstLine="480" w:firstLineChars="200"/>
        <w:rPr>
          <w:rFonts w:ascii="仿宋" w:hAnsi="仿宋" w:eastAsia="仿宋" w:cs="仿宋"/>
          <w:color w:val="auto"/>
          <w:sz w:val="24"/>
          <w:highlight w:val="none"/>
        </w:rPr>
      </w:pPr>
    </w:p>
    <w:p w14:paraId="72BAC0B0">
      <w:pPr>
        <w:tabs>
          <w:tab w:val="left" w:pos="0"/>
        </w:tabs>
        <w:spacing w:line="336" w:lineRule="auto"/>
        <w:rPr>
          <w:rFonts w:ascii="仿宋" w:hAnsi="仿宋" w:eastAsia="仿宋" w:cs="仿宋"/>
          <w:b/>
          <w:color w:val="auto"/>
          <w:sz w:val="32"/>
          <w:szCs w:val="20"/>
          <w:highlight w:val="none"/>
        </w:rPr>
      </w:pPr>
      <w:bookmarkStart w:id="42" w:name="_Hlt68057669"/>
      <w:bookmarkEnd w:id="42"/>
      <w:bookmarkStart w:id="43" w:name="_Hlt74729768"/>
      <w:bookmarkEnd w:id="43"/>
      <w:bookmarkStart w:id="44" w:name="_Hlt74730295"/>
      <w:bookmarkEnd w:id="44"/>
      <w:bookmarkStart w:id="45" w:name="_Hlt75236101"/>
      <w:bookmarkEnd w:id="45"/>
      <w:bookmarkStart w:id="46" w:name="_Hlt74707468"/>
      <w:bookmarkEnd w:id="46"/>
      <w:bookmarkStart w:id="47" w:name="_Hlt68072990"/>
      <w:bookmarkEnd w:id="47"/>
      <w:bookmarkStart w:id="48" w:name="_Hlt75236290"/>
      <w:bookmarkEnd w:id="48"/>
      <w:bookmarkStart w:id="49" w:name="_Hlt75236011"/>
      <w:bookmarkEnd w:id="49"/>
      <w:bookmarkStart w:id="50" w:name="_Hlt74714665"/>
      <w:bookmarkEnd w:id="50"/>
      <w:r>
        <w:rPr>
          <w:rFonts w:hint="eastAsia" w:ascii="仿宋" w:hAnsi="仿宋" w:eastAsia="仿宋" w:cs="仿宋"/>
          <w:b/>
          <w:color w:val="auto"/>
          <w:sz w:val="36"/>
          <w:szCs w:val="36"/>
          <w:highlight w:val="none"/>
        </w:rPr>
        <w:br w:type="page"/>
      </w:r>
    </w:p>
    <w:bookmarkEnd w:id="8"/>
    <w:p w14:paraId="1256922F">
      <w:pPr>
        <w:adjustRightInd/>
        <w:spacing w:line="336" w:lineRule="auto"/>
        <w:jc w:val="center"/>
        <w:outlineLvl w:val="0"/>
        <w:rPr>
          <w:rFonts w:hint="eastAsia" w:ascii="仿宋" w:hAnsi="仿宋" w:eastAsia="仿宋" w:cs="仿宋"/>
          <w:b/>
          <w:color w:val="auto"/>
          <w:sz w:val="36"/>
          <w:szCs w:val="36"/>
          <w:highlight w:val="none"/>
        </w:rPr>
      </w:pPr>
      <w:bookmarkStart w:id="51" w:name="第三部分"/>
      <w:bookmarkStart w:id="52" w:name="_Toc164416483"/>
      <w:r>
        <w:rPr>
          <w:rFonts w:hint="eastAsia" w:ascii="仿宋" w:hAnsi="仿宋" w:eastAsia="仿宋" w:cs="仿宋"/>
          <w:b/>
          <w:color w:val="auto"/>
          <w:sz w:val="36"/>
          <w:szCs w:val="36"/>
          <w:highlight w:val="none"/>
        </w:rPr>
        <w:t>第三部分  项目技术规范和服务要求</w:t>
      </w:r>
    </w:p>
    <w:p w14:paraId="4BE84944">
      <w:pPr>
        <w:snapToGrid w:val="0"/>
        <w:spacing w:line="440" w:lineRule="exact"/>
        <w:jc w:val="left"/>
        <w:rPr>
          <w:rFonts w:hint="eastAsia" w:ascii="仿宋" w:hAnsi="仿宋" w:eastAsia="仿宋"/>
          <w:b/>
          <w:color w:val="auto"/>
          <w:sz w:val="24"/>
          <w:highlight w:val="none"/>
        </w:rPr>
      </w:pPr>
      <w:bookmarkStart w:id="53" w:name="_Toc151354173"/>
      <w:r>
        <w:rPr>
          <w:rFonts w:hint="eastAsia" w:ascii="仿宋" w:hAnsi="仿宋" w:eastAsia="仿宋"/>
          <w:b/>
          <w:color w:val="auto"/>
          <w:sz w:val="24"/>
          <w:highlight w:val="none"/>
        </w:rPr>
        <w:t>1.招标项目名称及数量：</w:t>
      </w:r>
      <w:bookmarkEnd w:id="53"/>
    </w:p>
    <w:p w14:paraId="31346FE8">
      <w:pPr>
        <w:snapToGrid w:val="0"/>
        <w:spacing w:line="440" w:lineRule="exact"/>
        <w:jc w:val="left"/>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bdr w:val="single" w:color="auto" w:sz="4" w:space="0"/>
        </w:rPr>
        <w:t>01标</w:t>
      </w:r>
      <w:r>
        <w:rPr>
          <w:rFonts w:hint="eastAsia" w:ascii="仿宋" w:hAnsi="仿宋" w:eastAsia="仿宋" w:cs="Arial"/>
          <w:b/>
          <w:bCs/>
          <w:color w:val="auto"/>
          <w:sz w:val="24"/>
          <w:highlight w:val="none"/>
          <w:lang w:eastAsia="zh-CN"/>
        </w:rPr>
        <w:t>绍兴市第一中学田径场维修改造工程</w:t>
      </w:r>
      <w:r>
        <w:rPr>
          <w:rFonts w:hint="eastAsia" w:ascii="仿宋" w:hAnsi="仿宋" w:eastAsia="仿宋" w:cs="Arial"/>
          <w:b/>
          <w:bCs/>
          <w:color w:val="auto"/>
          <w:sz w:val="24"/>
          <w:highlight w:val="none"/>
        </w:rPr>
        <w:t xml:space="preserve">   </w:t>
      </w:r>
    </w:p>
    <w:p w14:paraId="55369F08">
      <w:pPr>
        <w:numPr>
          <w:ilvl w:val="0"/>
          <w:numId w:val="7"/>
        </w:num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项目情况</w:t>
      </w:r>
    </w:p>
    <w:p w14:paraId="512C1055">
      <w:pPr>
        <w:numPr>
          <w:ilvl w:val="0"/>
          <w:numId w:val="8"/>
        </w:num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范围及内容：</w:t>
      </w:r>
    </w:p>
    <w:p w14:paraId="3E3127DB">
      <w:pPr>
        <w:numPr>
          <w:ilvl w:val="0"/>
          <w:numId w:val="0"/>
        </w:numPr>
        <w:snapToGrid w:val="0"/>
        <w:spacing w:line="440" w:lineRule="exact"/>
        <w:jc w:val="left"/>
        <w:rPr>
          <w:rFonts w:hint="eastAsia" w:ascii="仿宋" w:hAnsi="仿宋" w:eastAsia="仿宋" w:cs="仿宋"/>
          <w:color w:val="auto"/>
          <w:sz w:val="24"/>
          <w:highlight w:val="none"/>
        </w:rPr>
      </w:pPr>
      <w:r>
        <w:rPr>
          <w:rFonts w:hint="eastAsia" w:ascii="仿宋" w:hAnsi="仿宋" w:eastAsia="仿宋" w:cs="Arial"/>
          <w:b w:val="0"/>
          <w:bCs w:val="0"/>
          <w:color w:val="auto"/>
          <w:sz w:val="24"/>
          <w:highlight w:val="none"/>
          <w:lang w:val="en-US" w:eastAsia="zh-CN"/>
        </w:rPr>
        <w:t>绍兴市第一中学操场维修改造</w:t>
      </w:r>
      <w:r>
        <w:rPr>
          <w:rFonts w:hint="eastAsia" w:ascii="仿宋" w:hAnsi="仿宋" w:eastAsia="仿宋" w:cs="仿宋"/>
          <w:color w:val="auto"/>
          <w:kern w:val="0"/>
          <w:sz w:val="24"/>
          <w:highlight w:val="none"/>
          <w:lang w:eastAsia="zh-CN"/>
        </w:rPr>
        <w:t>等内容，具体详见</w:t>
      </w:r>
      <w:r>
        <w:rPr>
          <w:rFonts w:hint="eastAsia" w:ascii="仿宋" w:hAnsi="仿宋" w:eastAsia="仿宋" w:cs="仿宋"/>
          <w:color w:val="auto"/>
          <w:sz w:val="24"/>
          <w:highlight w:val="none"/>
        </w:rPr>
        <w:t>工程量清单。</w:t>
      </w:r>
    </w:p>
    <w:p w14:paraId="585FEC0A">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编制依据及口径：</w:t>
      </w:r>
    </w:p>
    <w:p w14:paraId="6BB5D500">
      <w:pPr>
        <w:numPr>
          <w:ilvl w:val="0"/>
          <w:numId w:val="0"/>
        </w:numPr>
        <w:snapToGrid w:val="0"/>
        <w:spacing w:line="440" w:lineRule="exact"/>
        <w:ind w:leftChars="0"/>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定额</w:t>
      </w:r>
      <w:r>
        <w:rPr>
          <w:rFonts w:hint="eastAsia" w:ascii="仿宋" w:hAnsi="仿宋" w:eastAsia="仿宋" w:cs="仿宋"/>
          <w:color w:val="auto"/>
          <w:kern w:val="0"/>
          <w:sz w:val="24"/>
          <w:szCs w:val="20"/>
          <w:highlight w:val="none"/>
          <w:lang w:val="en-US" w:eastAsia="zh-CN" w:bidi="ar-SA"/>
        </w:rPr>
        <w:t>套用：《建设工程工程量清单计价规范》（GB50500-2013）、《建设工程工程量计算规范（2013）浙江省补充规定》、《通用安装工程工程量计算规范》（GB50856-2013）、《浙江省建设工程计价规则》（2018）、《浙江省建设工程施工机械台班费用定额（2018版）》、《浙江省房屋建筑与装饰工程预算定额（2018版）》、《浙江省市政工程预算定额》（2018版）、《浙江省通用安装工程预算定额（2018版）》、《浙江省建筑安装材料基期价格(2018版)》 。</w:t>
      </w:r>
    </w:p>
    <w:p w14:paraId="79CCE334">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取费说明：</w:t>
      </w:r>
    </w:p>
    <w:p w14:paraId="51088B71">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程费用执行《浙江省建设工程计价规则》（2018版）中建筑安装工程施工取费费率相关规定及浙建建发【2019】92号文件。建筑工程管理费、利润按单独装饰工程中值计取，安装工程按水、电、暖通、消防、智能、自控及通信安装工程中值计取，市政工程按道路、排水、河道护岸、水处理构筑物及城市综合管廊、生活垃圾处理工程；施工组织措施费中安全文明施工基本费按工程市区工程中限计取【绍市建设办（2022）31号】，其余施工组织措施费不考虑；规费按规定计取。</w:t>
      </w:r>
    </w:p>
    <w:p w14:paraId="56FA2051">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本工程税金按一般计税法9%计取。</w:t>
      </w:r>
    </w:p>
    <w:p w14:paraId="677E3ABF">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农民工工伤保险费已包含在标底报价内。</w:t>
      </w:r>
    </w:p>
    <w:p w14:paraId="7B9FE228">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安全生产责任保险费按绍市建设[2022]31号文、绍市建设[2024]51号文相关规定执行。其中，安全生产责任保险费采用分档累计方式计取，折算后按1.37%计入，实际没有发生或不提供发票，结算时全部扣除。如遇政策性文件调整，需做相应调整。</w:t>
      </w:r>
    </w:p>
    <w:p w14:paraId="28E34D52">
      <w:pPr>
        <w:numPr>
          <w:ilvl w:val="0"/>
          <w:numId w:val="0"/>
        </w:numPr>
        <w:snapToGrid w:val="0"/>
        <w:spacing w:line="440" w:lineRule="exact"/>
        <w:ind w:leftChars="0"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根据浙建建发【2022】37号文，疫情常态化防控、“智慧工地”增加费已计入标底报价内。</w:t>
      </w:r>
    </w:p>
    <w:p w14:paraId="0540113A">
      <w:pPr>
        <w:numPr>
          <w:ilvl w:val="0"/>
          <w:numId w:val="8"/>
        </w:numPr>
        <w:snapToGrid w:val="0"/>
        <w:spacing w:line="440" w:lineRule="exact"/>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工期：</w:t>
      </w:r>
    </w:p>
    <w:p w14:paraId="36670C41">
      <w:pPr>
        <w:numPr>
          <w:ilvl w:val="0"/>
          <w:numId w:val="0"/>
        </w:numPr>
        <w:snapToGrid w:val="0"/>
        <w:spacing w:line="440" w:lineRule="exact"/>
        <w:ind w:lef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40日历天。</w:t>
      </w:r>
    </w:p>
    <w:p w14:paraId="14361F46">
      <w:pPr>
        <w:numPr>
          <w:ilvl w:val="0"/>
          <w:numId w:val="8"/>
        </w:numPr>
        <w:snapToGrid w:val="0"/>
        <w:spacing w:line="440" w:lineRule="exact"/>
        <w:ind w:left="0" w:leftChars="0" w:firstLine="0" w:firstLineChars="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要求质量等级：</w:t>
      </w:r>
    </w:p>
    <w:p w14:paraId="69F35AFA">
      <w:pPr>
        <w:numPr>
          <w:ilvl w:val="0"/>
          <w:numId w:val="0"/>
        </w:num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符合现行国家有关工程施工质量验收规范和标准的“合格”标准。</w:t>
      </w:r>
    </w:p>
    <w:p w14:paraId="2E538A86">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六、施工要求和验收：</w:t>
      </w:r>
    </w:p>
    <w:p w14:paraId="7C86D766">
      <w:pPr>
        <w:pStyle w:val="34"/>
        <w:spacing w:line="360" w:lineRule="auto"/>
        <w:ind w:firstLine="480" w:firstLineChars="200"/>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除非采购人另有要求，中标供应商必须按采购人提供的施工图和有关国家规范和标准施工，未提到的其他规范和标准，只要与本项目有关，中标供应商都必须遵照执行。</w:t>
      </w:r>
    </w:p>
    <w:p w14:paraId="0CFBA5C9">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七、支付方式</w:t>
      </w:r>
    </w:p>
    <w:p w14:paraId="0B7D17BA">
      <w:pPr>
        <w:pStyle w:val="389"/>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工程款的支付方式:本工程支付合同金额50%的工程预付款，工程竣工验收合格，结算审核完成后30个工作日内支付至合同价的100%。</w:t>
      </w:r>
    </w:p>
    <w:p w14:paraId="09AA8678">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八、竣工结算及付款：</w:t>
      </w:r>
    </w:p>
    <w:p w14:paraId="1238311E">
      <w:pPr>
        <w:pStyle w:val="34"/>
        <w:spacing w:line="360" w:lineRule="auto"/>
        <w:ind w:firstLine="480" w:firstLineChars="200"/>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本项目竣工验收达到约定合格条件后，中标供应商应在15日内提供工程结算。采购人在同等时间内提出审核意见并报审计部门进行决算审计。</w:t>
      </w:r>
    </w:p>
    <w:p w14:paraId="753553D5">
      <w:pPr>
        <w:pStyle w:val="34"/>
        <w:spacing w:line="360" w:lineRule="auto"/>
        <w:ind w:firstLine="480" w:firstLineChars="200"/>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本工程的合同价根据乙方中标价确定，原则上采用</w:t>
      </w:r>
      <w:r>
        <w:rPr>
          <w:rFonts w:hint="eastAsia" w:ascii="仿宋" w:hAnsi="仿宋" w:eastAsia="仿宋" w:cs="仿宋"/>
          <w:b w:val="0"/>
          <w:bCs w:val="0"/>
          <w:color w:val="auto"/>
          <w:kern w:val="2"/>
          <w:sz w:val="24"/>
          <w:szCs w:val="20"/>
          <w:highlight w:val="none"/>
          <w:u w:val="single"/>
          <w:lang w:val="en-US" w:eastAsia="zh-CN" w:bidi="ar-SA"/>
        </w:rPr>
        <w:t xml:space="preserve">  固定单价及中标下浮率 </w:t>
      </w:r>
      <w:r>
        <w:rPr>
          <w:rFonts w:hint="eastAsia" w:ascii="仿宋" w:hAnsi="仿宋" w:eastAsia="仿宋" w:cs="仿宋"/>
          <w:b w:val="0"/>
          <w:bCs w:val="0"/>
          <w:color w:val="auto"/>
          <w:kern w:val="2"/>
          <w:sz w:val="24"/>
          <w:szCs w:val="20"/>
          <w:highlight w:val="none"/>
          <w:lang w:val="en-US" w:eastAsia="zh-CN" w:bidi="ar-SA"/>
        </w:rPr>
        <w:t>的方式承包，工程量不作调整。（注：但如遇工程量根据实际情况确需调整，经双方确认，按实结算。）</w:t>
      </w:r>
    </w:p>
    <w:p w14:paraId="6073498D">
      <w:pPr>
        <w:pStyle w:val="389"/>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九、保修期限：</w:t>
      </w:r>
    </w:p>
    <w:p w14:paraId="1B757145">
      <w:pPr>
        <w:pStyle w:val="34"/>
        <w:spacing w:line="360" w:lineRule="auto"/>
        <w:ind w:firstLine="480" w:firstLineChars="200"/>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保修期为：二年，从采购人竣工验收合格之日起计算。</w:t>
      </w:r>
    </w:p>
    <w:p w14:paraId="77B1B160">
      <w:pPr>
        <w:pStyle w:val="34"/>
        <w:numPr>
          <w:ilvl w:val="0"/>
          <w:numId w:val="0"/>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十、其他部分说明：</w:t>
      </w:r>
    </w:p>
    <w:p w14:paraId="16FFD319">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1.中标单位的施工人员进场后，必须严格按建设单位确定的施工图及工作内容和施工规范施工。遵守建设单位的规章制度，不得损坏建设单位的公共设施。做好“四防” 工作，生产和生活垃圾分别堆放，统一处理，做到文明施工，注意施工安全，施工安全生产人员的保险及费用由中标单位负责，发生安全事故、治安及建设单位安全由中标单位完全负责，保证施工进度。</w:t>
      </w:r>
    </w:p>
    <w:p w14:paraId="40040B45">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2.在施工过程中若出现工程质量、进度等问题，经甲方三次书面通知后仍未采取有效措施的，甲方有权单方终止合同，并保留索赔的权利。</w:t>
      </w:r>
    </w:p>
    <w:p w14:paraId="01A10DA7">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服务要求：①按有关保修要求和相关期限，如出现质量问题，施工单位在接到单位通知后24小时内答复，72小时内免费修复。②中标单位不签订合同，给招标单位造成损失的，由中标单位承担。③中标单位在施工完毕后，应通知及配合招标单位组织验收。</w:t>
      </w:r>
    </w:p>
    <w:p w14:paraId="15EFE130">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4.保证邻近建筑物的安全，若有损坏或者引起质量问题，中标人需无条件按招标人要求进行修复。</w:t>
      </w:r>
    </w:p>
    <w:p w14:paraId="38C27ECE">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5.不能影响校内正常的秩序，并要保证站内人员的安全。</w:t>
      </w:r>
    </w:p>
    <w:p w14:paraId="0972A649">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6.中标单位应按市政府规定办理农民工保险，相关费用由中标单位承担，材料运输、保管和施工中的一切安全由中标单位负责。</w:t>
      </w:r>
    </w:p>
    <w:p w14:paraId="3631C994">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7.本项目的项目预工程结算审计费等相关费用由中标单位承担。 </w:t>
      </w:r>
    </w:p>
    <w:p w14:paraId="6D82711D">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本工程标底预算中甲方所指定或推荐的材料品牌，中标单位必须按照要求施工，施工前所需材料必须经过甲方认可后方可施工，如擅自施工，甲方有权让中标单位整改，施工过程中产生的所有费用均由中标单位承担。</w:t>
      </w:r>
    </w:p>
    <w:p w14:paraId="6FC94C33">
      <w:pPr>
        <w:pStyle w:val="34"/>
        <w:numPr>
          <w:ilvl w:val="0"/>
          <w:numId w:val="0"/>
        </w:numPr>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9.各投标单位必须在投标前详细审核全部招标文件（包括图纸及标底预算）、包括修改文件（如果有的话）及有关附件，并根据自身实力合理报价。</w:t>
      </w:r>
    </w:p>
    <w:p w14:paraId="7A5E8FAF">
      <w:pPr>
        <w:spacing w:line="336" w:lineRule="auto"/>
        <w:jc w:val="center"/>
        <w:outlineLvl w:val="0"/>
        <w:rPr>
          <w:rFonts w:hint="eastAsia" w:ascii="仿宋" w:hAnsi="仿宋" w:eastAsia="仿宋" w:cs="仿宋"/>
          <w:b/>
          <w:color w:val="auto"/>
          <w:sz w:val="36"/>
          <w:szCs w:val="36"/>
          <w:highlight w:val="none"/>
        </w:rPr>
      </w:pPr>
    </w:p>
    <w:p w14:paraId="4F55AB2C">
      <w:pPr>
        <w:spacing w:line="336" w:lineRule="auto"/>
        <w:jc w:val="center"/>
        <w:outlineLvl w:val="0"/>
        <w:rPr>
          <w:rFonts w:hint="eastAsia" w:ascii="仿宋" w:hAnsi="仿宋" w:eastAsia="仿宋" w:cs="仿宋"/>
          <w:b/>
          <w:color w:val="auto"/>
          <w:sz w:val="36"/>
          <w:szCs w:val="36"/>
          <w:highlight w:val="none"/>
        </w:rPr>
      </w:pPr>
    </w:p>
    <w:p w14:paraId="74D644E7">
      <w:pPr>
        <w:spacing w:line="336" w:lineRule="auto"/>
        <w:jc w:val="center"/>
        <w:outlineLvl w:val="0"/>
        <w:rPr>
          <w:rFonts w:hint="eastAsia" w:ascii="仿宋" w:hAnsi="仿宋" w:eastAsia="仿宋" w:cs="仿宋"/>
          <w:b/>
          <w:color w:val="auto"/>
          <w:sz w:val="36"/>
          <w:szCs w:val="36"/>
          <w:highlight w:val="none"/>
        </w:rPr>
      </w:pPr>
    </w:p>
    <w:p w14:paraId="390CC328">
      <w:pPr>
        <w:pStyle w:val="2"/>
        <w:rPr>
          <w:rFonts w:hint="eastAsia" w:ascii="仿宋" w:hAnsi="仿宋" w:eastAsia="仿宋" w:cs="仿宋"/>
          <w:b/>
          <w:color w:val="auto"/>
          <w:sz w:val="36"/>
          <w:szCs w:val="36"/>
          <w:highlight w:val="none"/>
        </w:rPr>
      </w:pPr>
    </w:p>
    <w:p w14:paraId="51C0C243">
      <w:pPr>
        <w:pStyle w:val="2"/>
        <w:rPr>
          <w:rFonts w:hint="eastAsia" w:ascii="仿宋" w:hAnsi="仿宋" w:eastAsia="仿宋" w:cs="仿宋"/>
          <w:b/>
          <w:color w:val="auto"/>
          <w:sz w:val="36"/>
          <w:szCs w:val="36"/>
          <w:highlight w:val="none"/>
        </w:rPr>
      </w:pPr>
    </w:p>
    <w:p w14:paraId="6A8432F1">
      <w:pPr>
        <w:pStyle w:val="2"/>
        <w:rPr>
          <w:rFonts w:hint="eastAsia" w:ascii="仿宋" w:hAnsi="仿宋" w:eastAsia="仿宋" w:cs="仿宋"/>
          <w:b/>
          <w:color w:val="auto"/>
          <w:sz w:val="36"/>
          <w:szCs w:val="36"/>
          <w:highlight w:val="none"/>
        </w:rPr>
      </w:pPr>
    </w:p>
    <w:p w14:paraId="7B6246FC">
      <w:pPr>
        <w:pStyle w:val="2"/>
        <w:rPr>
          <w:rFonts w:hint="eastAsia" w:ascii="仿宋" w:hAnsi="仿宋" w:eastAsia="仿宋" w:cs="仿宋"/>
          <w:b/>
          <w:color w:val="auto"/>
          <w:sz w:val="36"/>
          <w:szCs w:val="36"/>
          <w:highlight w:val="none"/>
        </w:rPr>
      </w:pPr>
    </w:p>
    <w:p w14:paraId="7D8E4EEF">
      <w:pPr>
        <w:pStyle w:val="2"/>
        <w:rPr>
          <w:rFonts w:hint="eastAsia" w:ascii="仿宋" w:hAnsi="仿宋" w:eastAsia="仿宋" w:cs="仿宋"/>
          <w:b/>
          <w:color w:val="auto"/>
          <w:sz w:val="36"/>
          <w:szCs w:val="36"/>
          <w:highlight w:val="none"/>
        </w:rPr>
      </w:pPr>
    </w:p>
    <w:p w14:paraId="22FAB3D1">
      <w:pPr>
        <w:pStyle w:val="2"/>
        <w:rPr>
          <w:rFonts w:hint="eastAsia" w:ascii="仿宋" w:hAnsi="仿宋" w:eastAsia="仿宋" w:cs="仿宋"/>
          <w:b/>
          <w:color w:val="auto"/>
          <w:sz w:val="36"/>
          <w:szCs w:val="36"/>
          <w:highlight w:val="none"/>
        </w:rPr>
      </w:pPr>
    </w:p>
    <w:p w14:paraId="529F0B25">
      <w:pPr>
        <w:pStyle w:val="2"/>
        <w:rPr>
          <w:rFonts w:hint="eastAsia" w:ascii="仿宋" w:hAnsi="仿宋" w:eastAsia="仿宋" w:cs="仿宋"/>
          <w:b/>
          <w:color w:val="auto"/>
          <w:sz w:val="36"/>
          <w:szCs w:val="36"/>
          <w:highlight w:val="none"/>
        </w:rPr>
      </w:pPr>
    </w:p>
    <w:p w14:paraId="380633AC">
      <w:pPr>
        <w:pStyle w:val="2"/>
        <w:rPr>
          <w:rFonts w:hint="eastAsia" w:ascii="仿宋" w:hAnsi="仿宋" w:eastAsia="仿宋" w:cs="仿宋"/>
          <w:b/>
          <w:color w:val="auto"/>
          <w:sz w:val="36"/>
          <w:szCs w:val="36"/>
          <w:highlight w:val="none"/>
        </w:rPr>
      </w:pPr>
    </w:p>
    <w:p w14:paraId="10D4523A">
      <w:pPr>
        <w:pStyle w:val="2"/>
        <w:rPr>
          <w:rFonts w:hint="eastAsia" w:ascii="仿宋" w:hAnsi="仿宋" w:eastAsia="仿宋" w:cs="仿宋"/>
          <w:b/>
          <w:color w:val="auto"/>
          <w:sz w:val="36"/>
          <w:szCs w:val="36"/>
          <w:highlight w:val="none"/>
        </w:rPr>
      </w:pPr>
    </w:p>
    <w:p w14:paraId="5DD187DC">
      <w:pPr>
        <w:pStyle w:val="2"/>
        <w:rPr>
          <w:rFonts w:hint="eastAsia" w:ascii="仿宋" w:hAnsi="仿宋" w:eastAsia="仿宋" w:cs="仿宋"/>
          <w:b/>
          <w:color w:val="auto"/>
          <w:sz w:val="36"/>
          <w:szCs w:val="36"/>
          <w:highlight w:val="none"/>
        </w:rPr>
      </w:pPr>
    </w:p>
    <w:p w14:paraId="633756B4">
      <w:pPr>
        <w:spacing w:line="336" w:lineRule="auto"/>
        <w:jc w:val="center"/>
        <w:outlineLvl w:val="0"/>
        <w:rPr>
          <w:rFonts w:hint="eastAsia" w:ascii="仿宋" w:hAnsi="仿宋" w:eastAsia="仿宋" w:cs="仿宋"/>
          <w:b/>
          <w:color w:val="auto"/>
          <w:sz w:val="36"/>
          <w:szCs w:val="36"/>
          <w:highlight w:val="none"/>
        </w:rPr>
      </w:pPr>
    </w:p>
    <w:p w14:paraId="747B2E2A">
      <w:pPr>
        <w:pageBreakBefore w:val="0"/>
        <w:kinsoku/>
        <w:wordWrap/>
        <w:overflowPunct/>
        <w:topLinePunct w:val="0"/>
        <w:bidi w:val="0"/>
        <w:spacing w:line="276" w:lineRule="auto"/>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第四部分  </w:t>
      </w:r>
      <w:r>
        <w:rPr>
          <w:rFonts w:hint="eastAsia" w:ascii="仿宋" w:hAnsi="仿宋" w:eastAsia="仿宋" w:cs="仿宋"/>
          <w:b/>
          <w:color w:val="auto"/>
          <w:sz w:val="36"/>
          <w:szCs w:val="36"/>
          <w:highlight w:val="none"/>
          <w:lang w:eastAsia="zh-CN"/>
        </w:rPr>
        <w:t>拟签订的合同文本</w:t>
      </w:r>
    </w:p>
    <w:p w14:paraId="28190759">
      <w:pPr>
        <w:pStyle w:val="71"/>
        <w:pageBreakBefore w:val="0"/>
        <w:kinsoku/>
        <w:wordWrap/>
        <w:overflowPunct/>
        <w:topLinePunct w:val="0"/>
        <w:bidi w:val="0"/>
        <w:spacing w:line="276" w:lineRule="auto"/>
        <w:textAlignment w:val="auto"/>
        <w:rPr>
          <w:rFonts w:hint="eastAsia" w:ascii="仿宋" w:hAnsi="仿宋" w:eastAsia="仿宋" w:cs="仿宋"/>
          <w:color w:val="auto"/>
          <w:sz w:val="24"/>
          <w:highlight w:val="none"/>
          <w:u w:val="single"/>
        </w:rPr>
      </w:pPr>
      <w:bookmarkStart w:id="54" w:name="第五部分"/>
      <w:bookmarkStart w:id="55" w:name="_Toc86217003"/>
    </w:p>
    <w:bookmarkEnd w:id="54"/>
    <w:bookmarkEnd w:id="55"/>
    <w:p w14:paraId="6238AC61">
      <w:pPr>
        <w:spacing w:before="231" w:line="223" w:lineRule="auto"/>
        <w:ind w:firstLine="320" w:firstLineChars="100"/>
        <w:rPr>
          <w:rFonts w:ascii="宋体" w:hAnsi="宋体"/>
          <w:bCs/>
          <w:color w:val="auto"/>
          <w:kern w:val="2"/>
          <w:sz w:val="32"/>
          <w:szCs w:val="32"/>
          <w:highlight w:val="none"/>
        </w:rPr>
      </w:pPr>
      <w:r>
        <w:rPr>
          <w:rFonts w:hint="eastAsia" w:ascii="宋体" w:hAnsi="宋体"/>
          <w:bCs/>
          <w:color w:val="auto"/>
          <w:kern w:val="2"/>
          <w:sz w:val="32"/>
          <w:szCs w:val="32"/>
          <w:highlight w:val="none"/>
        </w:rPr>
        <w:t>（GF-2017-0201）</w:t>
      </w:r>
    </w:p>
    <w:p w14:paraId="3CD1C085">
      <w:pPr>
        <w:spacing w:before="231" w:line="223" w:lineRule="auto"/>
        <w:ind w:left="1558"/>
        <w:rPr>
          <w:rFonts w:ascii="宋体" w:hAnsi="宋体" w:cs="宋体"/>
          <w:color w:val="auto"/>
          <w:spacing w:val="8"/>
          <w:sz w:val="71"/>
          <w:szCs w:val="71"/>
          <w:highlight w:val="none"/>
        </w:rPr>
      </w:pPr>
    </w:p>
    <w:p w14:paraId="1F0EEF13">
      <w:pPr>
        <w:spacing w:before="231" w:line="223" w:lineRule="auto"/>
        <w:ind w:left="1558"/>
        <w:rPr>
          <w:rFonts w:ascii="宋体" w:hAnsi="宋体" w:cs="宋体"/>
          <w:color w:val="auto"/>
          <w:sz w:val="71"/>
          <w:szCs w:val="71"/>
          <w:highlight w:val="none"/>
        </w:rPr>
      </w:pPr>
      <w:r>
        <w:rPr>
          <w:rFonts w:ascii="宋体" w:hAnsi="宋体" w:cs="宋体"/>
          <w:color w:val="auto"/>
          <w:spacing w:val="8"/>
          <w:sz w:val="71"/>
          <w:szCs w:val="71"/>
          <w:highlight w:val="none"/>
        </w:rPr>
        <w:t>建设工程施工合</w:t>
      </w:r>
      <w:r>
        <w:rPr>
          <w:rFonts w:ascii="宋体" w:hAnsi="宋体" w:cs="宋体"/>
          <w:color w:val="auto"/>
          <w:spacing w:val="6"/>
          <w:sz w:val="71"/>
          <w:szCs w:val="71"/>
          <w:highlight w:val="none"/>
        </w:rPr>
        <w:t>同</w:t>
      </w:r>
    </w:p>
    <w:p w14:paraId="3807167D">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r>
        <w:rPr>
          <w:rFonts w:ascii="宋体" w:hAnsi="宋体" w:cs="宋体"/>
          <w:color w:val="auto"/>
          <w:spacing w:val="39"/>
          <w:sz w:val="52"/>
          <w:szCs w:val="52"/>
          <w:highlight w:val="none"/>
        </w:rPr>
        <w:t>(示范文本)</w:t>
      </w:r>
    </w:p>
    <w:p w14:paraId="0E7B2DB4">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p>
    <w:p w14:paraId="44F13032">
      <w:pPr>
        <w:keepNext/>
        <w:keepLines/>
        <w:autoSpaceDE/>
        <w:autoSpaceDN/>
        <w:adjustRightInd/>
        <w:spacing w:before="260" w:after="260" w:line="413" w:lineRule="auto"/>
        <w:jc w:val="center"/>
        <w:outlineLvl w:val="2"/>
        <w:rPr>
          <w:rFonts w:ascii="宋体" w:hAnsi="宋体" w:cs="宋体"/>
          <w:color w:val="auto"/>
          <w:spacing w:val="39"/>
          <w:sz w:val="52"/>
          <w:szCs w:val="52"/>
          <w:highlight w:val="none"/>
        </w:rPr>
      </w:pPr>
    </w:p>
    <w:p w14:paraId="0B1DA64A">
      <w:pPr>
        <w:pStyle w:val="43"/>
        <w:rPr>
          <w:rFonts w:ascii="宋体" w:hAnsi="宋体" w:cs="宋体"/>
          <w:color w:val="auto"/>
          <w:spacing w:val="39"/>
          <w:sz w:val="52"/>
          <w:szCs w:val="52"/>
          <w:highlight w:val="none"/>
        </w:rPr>
      </w:pPr>
    </w:p>
    <w:p w14:paraId="2D4AC762">
      <w:pPr>
        <w:rPr>
          <w:color w:val="auto"/>
          <w:highlight w:val="none"/>
        </w:rPr>
      </w:pPr>
    </w:p>
    <w:p w14:paraId="3527E5C8">
      <w:pPr>
        <w:spacing w:before="100" w:line="624" w:lineRule="exact"/>
        <w:rPr>
          <w:rFonts w:ascii="宋体" w:hAnsi="宋体" w:cs="宋体"/>
          <w:b/>
          <w:bCs/>
          <w:color w:val="auto"/>
          <w:spacing w:val="-25"/>
          <w:position w:val="23"/>
          <w:sz w:val="31"/>
          <w:szCs w:val="31"/>
          <w:highlight w:val="none"/>
        </w:rPr>
      </w:pPr>
    </w:p>
    <w:p w14:paraId="2E520D5A">
      <w:pPr>
        <w:spacing w:before="100" w:line="624" w:lineRule="exact"/>
        <w:ind w:firstLine="2319" w:firstLineChars="1100"/>
        <w:rPr>
          <w:rFonts w:ascii="宋体" w:hAnsi="宋体" w:cs="宋体"/>
          <w:b/>
          <w:bCs/>
          <w:color w:val="auto"/>
          <w:sz w:val="31"/>
          <w:szCs w:val="31"/>
          <w:highlight w:val="none"/>
        </w:rPr>
      </w:pPr>
      <w:r>
        <w:rPr>
          <w:b/>
          <w:bCs/>
          <w:color w:val="auto"/>
          <w:highlight w:val="none"/>
        </w:rPr>
        <mc:AlternateContent>
          <mc:Choice Requires="wps">
            <w:drawing>
              <wp:anchor distT="0" distB="0" distL="0" distR="0" simplePos="0" relativeHeight="251660288" behindDoc="0" locked="0" layoutInCell="1" allowOverlap="1">
                <wp:simplePos x="0" y="0"/>
                <wp:positionH relativeFrom="column">
                  <wp:posOffset>3952240</wp:posOffset>
                </wp:positionH>
                <wp:positionV relativeFrom="paragraph">
                  <wp:posOffset>68580</wp:posOffset>
                </wp:positionV>
                <wp:extent cx="758825" cy="492125"/>
                <wp:effectExtent l="0" t="0" r="0" b="0"/>
                <wp:wrapNone/>
                <wp:docPr id="1044" name="文本框 237"/>
                <wp:cNvGraphicFramePr/>
                <a:graphic xmlns:a="http://schemas.openxmlformats.org/drawingml/2006/main">
                  <a:graphicData uri="http://schemas.microsoft.com/office/word/2010/wordprocessingShape">
                    <wps:wsp>
                      <wps:cNvSpPr/>
                      <wps:spPr>
                        <a:xfrm>
                          <a:off x="0" y="0"/>
                          <a:ext cx="758825" cy="492124"/>
                        </a:xfrm>
                        <a:prstGeom prst="rect">
                          <a:avLst/>
                        </a:prstGeom>
                        <a:ln>
                          <a:noFill/>
                        </a:ln>
                      </wps:spPr>
                      <wps:txbx>
                        <w:txbxContent>
                          <w:p w14:paraId="0C9EEFE7">
                            <w:pPr>
                              <w:spacing w:line="20" w:lineRule="exact"/>
                            </w:pPr>
                          </w:p>
                          <w:tbl>
                            <w:tblPr>
                              <w:tblStyle w:val="634"/>
                              <w:tblW w:w="1139" w:type="dxa"/>
                              <w:tblInd w:w="35"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1B48CDBF">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tcPr>
                                <w:p w14:paraId="0A7E9A54">
                                  <w:pPr>
                                    <w:spacing w:before="226" w:line="226" w:lineRule="auto"/>
                                    <w:ind w:left="157"/>
                                    <w:rPr>
                                      <w:rFonts w:ascii="宋体" w:hAnsi="宋体" w:cs="宋体"/>
                                      <w:sz w:val="31"/>
                                      <w:szCs w:val="31"/>
                                      <w:lang w:eastAsia="en-US"/>
                                    </w:rPr>
                                  </w:pPr>
                                  <w:r>
                                    <w:rPr>
                                      <w:rFonts w:ascii="宋体" w:hAnsi="宋体" w:cs="宋体"/>
                                      <w:b/>
                                      <w:bCs/>
                                      <w:spacing w:val="3"/>
                                      <w:sz w:val="31"/>
                                      <w:szCs w:val="31"/>
                                      <w:lang w:eastAsia="en-US"/>
                                    </w:rPr>
                                    <w:t>制定</w:t>
                                  </w:r>
                                </w:p>
                              </w:tc>
                            </w:tr>
                          </w:tbl>
                          <w:p w14:paraId="221EB3D6">
                            <w:pPr>
                              <w:rPr>
                                <w:rFonts w:ascii="Arial"/>
                                <w:sz w:val="21"/>
                              </w:rPr>
                            </w:pPr>
                          </w:p>
                        </w:txbxContent>
                      </wps:txbx>
                      <wps:bodyPr vert="horz" wrap="square" lIns="0" tIns="0" rIns="0" bIns="0" anchor="t" upright="1">
                        <a:noAutofit/>
                      </wps:bodyPr>
                    </wps:wsp>
                  </a:graphicData>
                </a:graphic>
              </wp:anchor>
            </w:drawing>
          </mc:Choice>
          <mc:Fallback>
            <w:pict>
              <v:rect id="文本框 237" o:spid="_x0000_s1026" o:spt="1" style="position:absolute;left:0pt;margin-left:311.2pt;margin-top:5.4pt;height:38.75pt;width:59.75pt;z-index:251660288;mso-width-relative:page;mso-height-relative:page;" filled="f" stroked="f" coordsize="21600,21600" o:gfxdata="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KHk/ZAAAACQEAAA8AAAAA&#10;AAAAAQAgAAAAIgAAAGRycy9kb3ducmV2LnhtbFBLAQIUABQAAAAIAIdO4kB6RWpW2gEAAKADAAAO&#10;AAAAAAAAAAEAIAAAACgBAABkcnMvZTJvRG9jLnhtbFBLBQYAAAAABgAGAFkBAAB0BQAAAAA=&#10;">
                <v:fill on="f" focussize="0,0"/>
                <v:stroke on="f"/>
                <v:imagedata o:title=""/>
                <o:lock v:ext="edit" aspectratio="f"/>
                <v:textbox inset="0mm,0mm,0mm,0mm">
                  <w:txbxContent>
                    <w:p w14:paraId="0C9EEFE7">
                      <w:pPr>
                        <w:spacing w:line="20" w:lineRule="exact"/>
                      </w:pPr>
                    </w:p>
                    <w:tbl>
                      <w:tblPr>
                        <w:tblStyle w:val="634"/>
                        <w:tblW w:w="1139" w:type="dxa"/>
                        <w:tblInd w:w="35"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1B48CDBF">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tcPr>
                          <w:p w14:paraId="0A7E9A54">
                            <w:pPr>
                              <w:spacing w:before="226" w:line="226" w:lineRule="auto"/>
                              <w:ind w:left="157"/>
                              <w:rPr>
                                <w:rFonts w:ascii="宋体" w:hAnsi="宋体" w:cs="宋体"/>
                                <w:sz w:val="31"/>
                                <w:szCs w:val="31"/>
                                <w:lang w:eastAsia="en-US"/>
                              </w:rPr>
                            </w:pPr>
                            <w:r>
                              <w:rPr>
                                <w:rFonts w:ascii="宋体" w:hAnsi="宋体" w:cs="宋体"/>
                                <w:b/>
                                <w:bCs/>
                                <w:spacing w:val="3"/>
                                <w:sz w:val="31"/>
                                <w:szCs w:val="31"/>
                                <w:lang w:eastAsia="en-US"/>
                              </w:rPr>
                              <w:t>制定</w:t>
                            </w:r>
                          </w:p>
                        </w:tc>
                      </w:tr>
                    </w:tbl>
                    <w:p w14:paraId="221EB3D6">
                      <w:pPr>
                        <w:rPr>
                          <w:rFonts w:ascii="Arial"/>
                          <w:sz w:val="21"/>
                        </w:rPr>
                      </w:pPr>
                    </w:p>
                  </w:txbxContent>
                </v:textbox>
              </v:rect>
            </w:pict>
          </mc:Fallback>
        </mc:AlternateContent>
      </w:r>
      <w:r>
        <w:rPr>
          <w:rFonts w:ascii="宋体" w:hAnsi="宋体" w:cs="宋体"/>
          <w:b/>
          <w:bCs/>
          <w:color w:val="auto"/>
          <w:spacing w:val="-25"/>
          <w:position w:val="23"/>
          <w:sz w:val="31"/>
          <w:szCs w:val="31"/>
          <w:highlight w:val="none"/>
        </w:rPr>
        <w:t>住</w:t>
      </w:r>
      <w:r>
        <w:rPr>
          <w:rFonts w:hint="eastAsia" w:ascii="宋体" w:hAnsi="宋体" w:cs="宋体"/>
          <w:b/>
          <w:bCs/>
          <w:color w:val="auto"/>
          <w:spacing w:val="-25"/>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房</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和</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城</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乡</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建</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设</w:t>
      </w:r>
      <w:r>
        <w:rPr>
          <w:rFonts w:hint="eastAsia" w:ascii="宋体" w:hAnsi="宋体" w:cs="宋体"/>
          <w:b/>
          <w:bCs/>
          <w:color w:val="auto"/>
          <w:spacing w:val="-13"/>
          <w:position w:val="23"/>
          <w:sz w:val="31"/>
          <w:szCs w:val="31"/>
          <w:highlight w:val="none"/>
          <w:lang w:val="en-US" w:eastAsia="zh-CN"/>
        </w:rPr>
        <w:t xml:space="preserve"> </w:t>
      </w:r>
      <w:r>
        <w:rPr>
          <w:rFonts w:ascii="宋体" w:hAnsi="宋体" w:cs="宋体"/>
          <w:b/>
          <w:bCs/>
          <w:color w:val="auto"/>
          <w:spacing w:val="-13"/>
          <w:position w:val="23"/>
          <w:sz w:val="31"/>
          <w:szCs w:val="31"/>
          <w:highlight w:val="none"/>
        </w:rPr>
        <w:t>部</w:t>
      </w:r>
    </w:p>
    <w:p w14:paraId="7ACA7FAA">
      <w:pPr>
        <w:spacing w:line="360" w:lineRule="auto"/>
        <w:ind w:firstLine="2486" w:firstLineChars="700"/>
        <w:jc w:val="both"/>
        <w:rPr>
          <w:rFonts w:hint="eastAsia" w:ascii="方正公文黑体" w:hAnsi="方正公文黑体"/>
          <w:color w:val="auto"/>
          <w:sz w:val="28"/>
          <w:szCs w:val="28"/>
          <w:highlight w:val="none"/>
        </w:rPr>
      </w:pPr>
      <w:r>
        <w:rPr>
          <w:rFonts w:ascii="宋体" w:hAnsi="宋体" w:cs="宋体"/>
          <w:b/>
          <w:bCs/>
          <w:color w:val="auto"/>
          <w:spacing w:val="22"/>
          <w:sz w:val="31"/>
          <w:szCs w:val="31"/>
          <w:highlight w:val="none"/>
        </w:rPr>
        <w:t>国家工商行政管理总</w:t>
      </w:r>
      <w:r>
        <w:rPr>
          <w:rFonts w:ascii="宋体" w:hAnsi="宋体" w:cs="宋体"/>
          <w:b/>
          <w:bCs/>
          <w:color w:val="auto"/>
          <w:spacing w:val="20"/>
          <w:sz w:val="31"/>
          <w:szCs w:val="31"/>
          <w:highlight w:val="none"/>
        </w:rPr>
        <w:t>局</w:t>
      </w:r>
      <w:r>
        <w:rPr>
          <w:rFonts w:ascii="宋体" w:hAnsi="宋体"/>
          <w:bCs/>
          <w:color w:val="auto"/>
          <w:kern w:val="2"/>
          <w:sz w:val="32"/>
          <w:szCs w:val="32"/>
          <w:highlight w:val="none"/>
        </w:rPr>
        <w:br w:type="page"/>
      </w:r>
    </w:p>
    <w:p w14:paraId="72D00046">
      <w:pPr>
        <w:pStyle w:val="6"/>
        <w:numPr>
          <w:ilvl w:val="2"/>
          <w:numId w:val="0"/>
        </w:numPr>
        <w:tabs>
          <w:tab w:val="clear" w:pos="900"/>
        </w:tabs>
        <w:ind w:left="900" w:leftChars="0" w:hanging="720" w:firstLineChars="0"/>
        <w:jc w:val="center"/>
        <w:rPr>
          <w:rFonts w:hint="eastAsia" w:ascii="仿宋" w:hAnsi="仿宋" w:eastAsia="仿宋" w:cs="仿宋"/>
          <w:b w:val="0"/>
          <w:bCs w:val="0"/>
          <w:color w:val="auto"/>
          <w:sz w:val="44"/>
          <w:szCs w:val="44"/>
          <w:highlight w:val="none"/>
        </w:rPr>
      </w:pPr>
      <w:bookmarkStart w:id="56" w:name="_Toc296503025"/>
      <w:bookmarkStart w:id="57" w:name="_Toc296890982"/>
      <w:bookmarkStart w:id="58" w:name="_Toc351203480"/>
      <w:r>
        <w:rPr>
          <w:rFonts w:hint="eastAsia" w:ascii="仿宋" w:hAnsi="仿宋" w:eastAsia="仿宋" w:cs="仿宋"/>
          <w:b w:val="0"/>
          <w:bCs w:val="0"/>
          <w:color w:val="auto"/>
          <w:sz w:val="44"/>
          <w:szCs w:val="44"/>
          <w:highlight w:val="none"/>
        </w:rPr>
        <w:t>第一部分 合同协议书</w:t>
      </w:r>
      <w:bookmarkEnd w:id="56"/>
      <w:bookmarkEnd w:id="57"/>
      <w:bookmarkEnd w:id="58"/>
    </w:p>
    <w:p w14:paraId="21AB5096">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rPr>
        <w:t>发包人（全称）：</w:t>
      </w:r>
      <w:r>
        <w:rPr>
          <w:rFonts w:hint="eastAsia" w:ascii="仿宋" w:hAnsi="仿宋" w:eastAsia="仿宋" w:cs="仿宋"/>
          <w:b/>
          <w:i w:val="0"/>
          <w:iCs w:val="0"/>
          <w:color w:val="auto"/>
          <w:sz w:val="24"/>
          <w:szCs w:val="24"/>
          <w:highlight w:val="none"/>
          <w:u w:val="single"/>
        </w:rPr>
        <w:t></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b/>
          <w:i w:val="0"/>
          <w:iCs w:val="0"/>
          <w:color w:val="auto"/>
          <w:sz w:val="24"/>
          <w:szCs w:val="24"/>
          <w:highlight w:val="none"/>
          <w:u w:val="single"/>
        </w:rPr>
        <w:t></w:t>
      </w:r>
    </w:p>
    <w:p w14:paraId="19E2584F">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
          <w:i w:val="0"/>
          <w:iCs w:val="0"/>
          <w:color w:val="auto"/>
          <w:sz w:val="24"/>
          <w:szCs w:val="24"/>
          <w:highlight w:val="none"/>
          <w:u w:val="single"/>
        </w:rPr>
      </w:pPr>
      <w:r>
        <w:rPr>
          <w:rFonts w:hint="eastAsia" w:ascii="仿宋" w:hAnsi="仿宋" w:eastAsia="仿宋" w:cs="仿宋"/>
          <w:b/>
          <w:i w:val="0"/>
          <w:iCs w:val="0"/>
          <w:color w:val="auto"/>
          <w:sz w:val="24"/>
          <w:szCs w:val="24"/>
          <w:highlight w:val="none"/>
        </w:rPr>
        <w:t>承包人（全称）：</w:t>
      </w:r>
      <w:r>
        <w:rPr>
          <w:rFonts w:hint="eastAsia" w:ascii="仿宋" w:hAnsi="仿宋" w:eastAsia="仿宋" w:cs="仿宋"/>
          <w:b/>
          <w:i w:val="0"/>
          <w:iCs w:val="0"/>
          <w:color w:val="auto"/>
          <w:sz w:val="24"/>
          <w:szCs w:val="24"/>
          <w:highlight w:val="none"/>
          <w:u w:val="single"/>
        </w:rPr>
        <w:t></w:t>
      </w:r>
      <w:r>
        <w:rPr>
          <w:rFonts w:hint="eastAsia" w:ascii="仿宋" w:hAnsi="仿宋" w:eastAsia="仿宋" w:cs="仿宋"/>
          <w:b/>
          <w:i w:val="0"/>
          <w:iCs w:val="0"/>
          <w:color w:val="auto"/>
          <w:sz w:val="24"/>
          <w:szCs w:val="24"/>
          <w:highlight w:val="none"/>
          <w:u w:val="single"/>
          <w:lang w:val="en-US" w:eastAsia="zh-CN"/>
        </w:rPr>
        <w:t xml:space="preserve">                      </w:t>
      </w:r>
      <w:r>
        <w:rPr>
          <w:rFonts w:hint="eastAsia" w:ascii="仿宋" w:hAnsi="仿宋" w:eastAsia="仿宋" w:cs="仿宋"/>
          <w:b/>
          <w:i w:val="0"/>
          <w:iCs w:val="0"/>
          <w:color w:val="auto"/>
          <w:sz w:val="24"/>
          <w:szCs w:val="24"/>
          <w:highlight w:val="none"/>
          <w:u w:val="single"/>
        </w:rPr>
        <w:t>  </w:t>
      </w:r>
    </w:p>
    <w:p w14:paraId="595794F8">
      <w:pPr>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根据《中华人民共和国</w:t>
      </w:r>
      <w:r>
        <w:rPr>
          <w:rFonts w:hint="eastAsia" w:ascii="仿宋" w:hAnsi="仿宋" w:eastAsia="仿宋" w:cs="仿宋"/>
          <w:i w:val="0"/>
          <w:iCs w:val="0"/>
          <w:color w:val="auto"/>
          <w:sz w:val="24"/>
          <w:szCs w:val="24"/>
          <w:highlight w:val="none"/>
          <w:lang w:eastAsia="zh-CN"/>
        </w:rPr>
        <w:t>民法典</w:t>
      </w:r>
      <w:r>
        <w:rPr>
          <w:rFonts w:hint="eastAsia" w:ascii="仿宋" w:hAnsi="仿宋" w:eastAsia="仿宋" w:cs="仿宋"/>
          <w:i w:val="0"/>
          <w:iCs w:val="0"/>
          <w:color w:val="auto"/>
          <w:sz w:val="24"/>
          <w:szCs w:val="24"/>
          <w:highlight w:val="none"/>
        </w:rPr>
        <w:t>》、《中华人民共和国建筑法》及有关法律规定，遵循平等、自愿、公平和诚实信用的原则，双方就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施工及有关事项协商一致，共同达成如下协议：</w:t>
      </w:r>
    </w:p>
    <w:p w14:paraId="1775C59B">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59" w:name="_Toc351203481"/>
      <w:r>
        <w:rPr>
          <w:rFonts w:hint="eastAsia" w:ascii="仿宋" w:hAnsi="仿宋" w:eastAsia="仿宋" w:cs="仿宋"/>
          <w:b w:val="0"/>
          <w:bCs/>
          <w:i w:val="0"/>
          <w:iCs w:val="0"/>
          <w:color w:val="auto"/>
          <w:kern w:val="2"/>
          <w:sz w:val="24"/>
          <w:szCs w:val="24"/>
          <w:highlight w:val="none"/>
          <w:lang w:val="en-US" w:eastAsia="zh-CN" w:bidi="ar-SA"/>
        </w:rPr>
        <w:t>一、工程概况</w:t>
      </w:r>
      <w:bookmarkEnd w:id="59"/>
    </w:p>
    <w:p w14:paraId="1432069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1.工程名称：</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0EBCBAF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i w:val="0"/>
          <w:iCs w:val="0"/>
          <w:color w:val="auto"/>
          <w:kern w:val="0"/>
          <w:sz w:val="24"/>
          <w:szCs w:val="24"/>
          <w:highlight w:val="none"/>
          <w:u w:val="single"/>
          <w:lang w:val="en-US" w:eastAsia="zh-CN"/>
        </w:rPr>
      </w:pPr>
      <w:r>
        <w:rPr>
          <w:rFonts w:hint="eastAsia" w:ascii="仿宋" w:hAnsi="仿宋" w:eastAsia="仿宋" w:cs="仿宋"/>
          <w:i w:val="0"/>
          <w:iCs w:val="0"/>
          <w:color w:val="auto"/>
          <w:kern w:val="0"/>
          <w:sz w:val="24"/>
          <w:szCs w:val="24"/>
          <w:highlight w:val="none"/>
          <w:lang w:val="en-US" w:eastAsia="zh-CN"/>
        </w:rPr>
        <w:t>1.1标项名称：</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none"/>
          <w:lang w:val="en-US" w:eastAsia="zh-CN"/>
        </w:rPr>
        <w:t>。</w:t>
      </w:r>
    </w:p>
    <w:p w14:paraId="732D714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2.工程地点：</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5645C2A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3.工程立项批准文号：</w:t>
      </w:r>
      <w:r>
        <w:rPr>
          <w:rFonts w:hint="eastAsia" w:ascii="仿宋" w:hAnsi="仿宋" w:eastAsia="仿宋" w:cs="仿宋"/>
          <w:i w:val="0"/>
          <w:iCs w:val="0"/>
          <w:color w:val="auto"/>
          <w:kern w:val="0"/>
          <w:sz w:val="24"/>
          <w:szCs w:val="24"/>
          <w:highlight w:val="none"/>
          <w:u w:val="single"/>
          <w:lang w:val="en-US" w:eastAsia="zh-CN"/>
        </w:rPr>
        <w:t xml:space="preserve">  /    </w:t>
      </w:r>
      <w:r>
        <w:rPr>
          <w:rFonts w:hint="eastAsia" w:ascii="仿宋" w:hAnsi="仿宋" w:eastAsia="仿宋" w:cs="仿宋"/>
          <w:i w:val="0"/>
          <w:iCs w:val="0"/>
          <w:color w:val="auto"/>
          <w:kern w:val="0"/>
          <w:sz w:val="24"/>
          <w:szCs w:val="24"/>
          <w:highlight w:val="none"/>
        </w:rPr>
        <w:t>。</w:t>
      </w:r>
    </w:p>
    <w:p w14:paraId="12F3485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4.资金来源：</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0D51C28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5.工程内容：</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23596B6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群体工程应附《承包人承揽工程项目一览表》（附件1）。</w:t>
      </w:r>
    </w:p>
    <w:p w14:paraId="451230A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6.工程承包范围：</w:t>
      </w:r>
      <w:r>
        <w:rPr>
          <w:rFonts w:hint="eastAsia" w:ascii="仿宋" w:hAnsi="仿宋" w:eastAsia="仿宋" w:cs="仿宋"/>
          <w:i w:val="0"/>
          <w:iCs w:val="0"/>
          <w:color w:val="auto"/>
          <w:kern w:val="0"/>
          <w:sz w:val="24"/>
          <w:szCs w:val="24"/>
          <w:highlight w:val="none"/>
          <w:u w:val="single"/>
        </w:rPr>
        <w:t>施工图范围内</w:t>
      </w:r>
      <w:r>
        <w:rPr>
          <w:rFonts w:hint="eastAsia" w:ascii="仿宋" w:hAnsi="仿宋" w:eastAsia="仿宋" w:cs="仿宋"/>
          <w:i w:val="0"/>
          <w:iCs w:val="0"/>
          <w:color w:val="auto"/>
          <w:kern w:val="0"/>
          <w:sz w:val="24"/>
          <w:szCs w:val="24"/>
          <w:highlight w:val="none"/>
          <w:u w:val="single"/>
          <w:lang w:val="en-US" w:eastAsia="zh-CN"/>
        </w:rPr>
        <w:t>所有内容</w:t>
      </w:r>
      <w:r>
        <w:rPr>
          <w:rFonts w:hint="eastAsia" w:ascii="仿宋" w:hAnsi="仿宋" w:eastAsia="仿宋" w:cs="仿宋"/>
          <w:i w:val="0"/>
          <w:iCs w:val="0"/>
          <w:color w:val="auto"/>
          <w:kern w:val="0"/>
          <w:sz w:val="24"/>
          <w:szCs w:val="24"/>
          <w:highlight w:val="none"/>
          <w:u w:val="single"/>
          <w:lang w:eastAsia="zh-CN"/>
        </w:rPr>
        <w:t>，</w:t>
      </w:r>
      <w:r>
        <w:rPr>
          <w:rFonts w:hint="eastAsia" w:ascii="仿宋" w:hAnsi="仿宋" w:eastAsia="仿宋" w:cs="仿宋"/>
          <w:i w:val="0"/>
          <w:iCs w:val="0"/>
          <w:color w:val="auto"/>
          <w:kern w:val="0"/>
          <w:sz w:val="24"/>
          <w:szCs w:val="24"/>
          <w:highlight w:val="none"/>
          <w:u w:val="single"/>
        </w:rPr>
        <w:t>具体范围及内容详见施工图及标底预算书</w:t>
      </w:r>
      <w:r>
        <w:rPr>
          <w:rFonts w:hint="eastAsia" w:ascii="仿宋" w:hAnsi="仿宋" w:eastAsia="仿宋" w:cs="仿宋"/>
          <w:i w:val="0"/>
          <w:iCs w:val="0"/>
          <w:color w:val="auto"/>
          <w:kern w:val="0"/>
          <w:sz w:val="24"/>
          <w:szCs w:val="24"/>
          <w:highlight w:val="none"/>
        </w:rPr>
        <w:t>。</w:t>
      </w:r>
    </w:p>
    <w:p w14:paraId="1ACD97CB">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0" w:name="_Toc351203482"/>
      <w:r>
        <w:rPr>
          <w:rFonts w:hint="eastAsia" w:ascii="仿宋" w:hAnsi="仿宋" w:eastAsia="仿宋" w:cs="仿宋"/>
          <w:b w:val="0"/>
          <w:bCs/>
          <w:i w:val="0"/>
          <w:iCs w:val="0"/>
          <w:color w:val="auto"/>
          <w:kern w:val="2"/>
          <w:sz w:val="24"/>
          <w:szCs w:val="24"/>
          <w:highlight w:val="none"/>
          <w:lang w:val="en-US" w:eastAsia="zh-CN" w:bidi="ar-SA"/>
        </w:rPr>
        <w:t>二、合同工期</w:t>
      </w:r>
      <w:bookmarkEnd w:id="60"/>
    </w:p>
    <w:p w14:paraId="268E0E4A">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计划开工日期：</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日。</w:t>
      </w:r>
    </w:p>
    <w:p w14:paraId="3B30948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计划竣工日期：</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日。</w:t>
      </w:r>
    </w:p>
    <w:p w14:paraId="5B7DC486">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工期总日历天数：</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天。工期总日历天数与根据前述计划开竣工日期计算的工期天数不一致的，以工期总日历天数为准。</w:t>
      </w:r>
    </w:p>
    <w:p w14:paraId="045C188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1" w:name="_Toc351203483"/>
      <w:r>
        <w:rPr>
          <w:rFonts w:hint="eastAsia" w:ascii="仿宋" w:hAnsi="仿宋" w:eastAsia="仿宋" w:cs="仿宋"/>
          <w:b w:val="0"/>
          <w:bCs/>
          <w:i w:val="0"/>
          <w:iCs w:val="0"/>
          <w:color w:val="auto"/>
          <w:kern w:val="2"/>
          <w:sz w:val="24"/>
          <w:szCs w:val="24"/>
          <w:highlight w:val="none"/>
          <w:lang w:val="en-US" w:eastAsia="zh-CN" w:bidi="ar-SA"/>
        </w:rPr>
        <w:t>三、质量标准</w:t>
      </w:r>
      <w:bookmarkEnd w:id="61"/>
    </w:p>
    <w:p w14:paraId="688B3AF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工程质量符合</w:t>
      </w:r>
      <w:r>
        <w:rPr>
          <w:rFonts w:hint="eastAsia" w:ascii="仿宋" w:hAnsi="仿宋" w:eastAsia="仿宋" w:cs="仿宋"/>
          <w:i w:val="0"/>
          <w:iCs w:val="0"/>
          <w:color w:val="auto"/>
          <w:kern w:val="0"/>
          <w:sz w:val="24"/>
          <w:szCs w:val="24"/>
          <w:highlight w:val="none"/>
          <w:u w:val="single"/>
          <w:lang w:val="en-US" w:eastAsia="zh-CN"/>
        </w:rPr>
        <w:t xml:space="preserve">  合格  </w:t>
      </w:r>
      <w:r>
        <w:rPr>
          <w:rFonts w:hint="eastAsia" w:ascii="仿宋" w:hAnsi="仿宋" w:eastAsia="仿宋" w:cs="仿宋"/>
          <w:i w:val="0"/>
          <w:iCs w:val="0"/>
          <w:color w:val="auto"/>
          <w:kern w:val="0"/>
          <w:sz w:val="24"/>
          <w:szCs w:val="24"/>
          <w:highlight w:val="none"/>
        </w:rPr>
        <w:t>标准。</w:t>
      </w:r>
    </w:p>
    <w:p w14:paraId="6AB6B701">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2" w:name="_Toc351203484"/>
      <w:r>
        <w:rPr>
          <w:rFonts w:hint="eastAsia" w:ascii="仿宋" w:hAnsi="仿宋" w:eastAsia="仿宋" w:cs="仿宋"/>
          <w:b w:val="0"/>
          <w:bCs/>
          <w:i w:val="0"/>
          <w:iCs w:val="0"/>
          <w:color w:val="auto"/>
          <w:kern w:val="2"/>
          <w:sz w:val="24"/>
          <w:szCs w:val="24"/>
          <w:highlight w:val="none"/>
          <w:lang w:val="en-US" w:eastAsia="zh-CN" w:bidi="ar-SA"/>
        </w:rPr>
        <w:t>四、签约合同价与合同价格形式</w:t>
      </w:r>
      <w:bookmarkEnd w:id="62"/>
      <w:r>
        <w:rPr>
          <w:rFonts w:hint="eastAsia" w:ascii="仿宋" w:hAnsi="仿宋" w:eastAsia="仿宋" w:cs="仿宋"/>
          <w:b w:val="0"/>
          <w:bCs/>
          <w:i w:val="0"/>
          <w:iCs w:val="0"/>
          <w:color w:val="auto"/>
          <w:kern w:val="2"/>
          <w:sz w:val="24"/>
          <w:szCs w:val="24"/>
          <w:highlight w:val="none"/>
          <w:lang w:val="en-US" w:eastAsia="zh-CN" w:bidi="ar-SA"/>
        </w:rPr>
        <w:tab/>
      </w:r>
    </w:p>
    <w:p w14:paraId="0F8891C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1.签约合同价为：</w:t>
      </w:r>
    </w:p>
    <w:p w14:paraId="2970E8A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11B1A37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其中：</w:t>
      </w:r>
    </w:p>
    <w:p w14:paraId="6EEC023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（1）安全文明施工费：</w:t>
      </w:r>
    </w:p>
    <w:p w14:paraId="13F6A40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42BC7E1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（2）材料和工程设备暂估价金额：</w:t>
      </w:r>
    </w:p>
    <w:p w14:paraId="1BBA747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3A959256">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（3）专业工程暂估价金额：</w:t>
      </w:r>
    </w:p>
    <w:p w14:paraId="7951AB0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2A59DF87">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（4）暂列金额：</w:t>
      </w:r>
    </w:p>
    <w:p w14:paraId="5F2262D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人民币（大写）</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元)。</w:t>
      </w:r>
    </w:p>
    <w:p w14:paraId="0E97C4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2.合同价格形式：</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w:t>
      </w:r>
    </w:p>
    <w:p w14:paraId="4AB4D0C4">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3" w:name="_Toc351203485"/>
      <w:r>
        <w:rPr>
          <w:rFonts w:hint="eastAsia" w:ascii="仿宋" w:hAnsi="仿宋" w:eastAsia="仿宋" w:cs="仿宋"/>
          <w:b w:val="0"/>
          <w:bCs/>
          <w:i w:val="0"/>
          <w:iCs w:val="0"/>
          <w:color w:val="auto"/>
          <w:kern w:val="2"/>
          <w:sz w:val="24"/>
          <w:szCs w:val="24"/>
          <w:highlight w:val="none"/>
          <w:lang w:val="en-US" w:eastAsia="zh-CN" w:bidi="ar-SA"/>
        </w:rPr>
        <w:t>五、</w:t>
      </w:r>
      <w:bookmarkEnd w:id="63"/>
      <w:r>
        <w:rPr>
          <w:rFonts w:hint="eastAsia" w:ascii="仿宋" w:hAnsi="仿宋" w:eastAsia="仿宋" w:cs="仿宋"/>
          <w:b w:val="0"/>
          <w:bCs/>
          <w:i w:val="0"/>
          <w:iCs w:val="0"/>
          <w:color w:val="auto"/>
          <w:kern w:val="2"/>
          <w:sz w:val="24"/>
          <w:szCs w:val="24"/>
          <w:highlight w:val="none"/>
          <w:lang w:val="en-US" w:eastAsia="zh-CN" w:bidi="ar-SA"/>
        </w:rPr>
        <w:t>项目经理</w:t>
      </w:r>
    </w:p>
    <w:p w14:paraId="63DB2354">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承包人项目经理：</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rPr>
        <w:t>。</w:t>
      </w:r>
    </w:p>
    <w:p w14:paraId="60A767EE">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4" w:name="_Toc351203486"/>
      <w:r>
        <w:rPr>
          <w:rFonts w:hint="eastAsia" w:ascii="仿宋" w:hAnsi="仿宋" w:eastAsia="仿宋" w:cs="仿宋"/>
          <w:b w:val="0"/>
          <w:bCs/>
          <w:i w:val="0"/>
          <w:iCs w:val="0"/>
          <w:color w:val="auto"/>
          <w:kern w:val="2"/>
          <w:sz w:val="24"/>
          <w:szCs w:val="24"/>
          <w:highlight w:val="none"/>
          <w:lang w:val="en-US" w:eastAsia="zh-CN" w:bidi="ar-SA"/>
        </w:rPr>
        <w:t>六、合同文件构成</w:t>
      </w:r>
      <w:bookmarkEnd w:id="64"/>
    </w:p>
    <w:p w14:paraId="0E5D12EC">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本协议书与下列文件一起构成合同文件：</w:t>
      </w:r>
    </w:p>
    <w:p w14:paraId="442B031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（1）中标通知书（如果有）；</w:t>
      </w:r>
    </w:p>
    <w:p w14:paraId="308EB265">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 xml:space="preserve">（2）投标函及其附录（如果有）； </w:t>
      </w:r>
    </w:p>
    <w:p w14:paraId="0D9F8649">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（3）专用合同条款及其附件；</w:t>
      </w:r>
    </w:p>
    <w:p w14:paraId="05C884C1">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（4）通用合同条款；</w:t>
      </w:r>
    </w:p>
    <w:p w14:paraId="1F2EACB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（5）技术标准和要求；</w:t>
      </w:r>
    </w:p>
    <w:p w14:paraId="10D5AB3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（6）图纸；</w:t>
      </w:r>
    </w:p>
    <w:p w14:paraId="1D9DEFCD">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（7）已标价工程量清单或预算书；</w:t>
      </w:r>
    </w:p>
    <w:p w14:paraId="327F3AE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（8）其他合同文件。</w:t>
      </w:r>
    </w:p>
    <w:p w14:paraId="18F21BAE">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在合同订立及履行过程中形成的与合同有关的文件均构成合同文件组成部分。</w:t>
      </w:r>
    </w:p>
    <w:p w14:paraId="0F29ABC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E07FE2D">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5" w:name="_Toc351203487"/>
      <w:r>
        <w:rPr>
          <w:rFonts w:hint="eastAsia" w:ascii="仿宋" w:hAnsi="仿宋" w:eastAsia="仿宋" w:cs="仿宋"/>
          <w:b w:val="0"/>
          <w:bCs/>
          <w:i w:val="0"/>
          <w:iCs w:val="0"/>
          <w:color w:val="auto"/>
          <w:kern w:val="2"/>
          <w:sz w:val="24"/>
          <w:szCs w:val="24"/>
          <w:highlight w:val="none"/>
          <w:lang w:val="en-US" w:eastAsia="zh-CN" w:bidi="ar-SA"/>
        </w:rPr>
        <w:t>七、承诺</w:t>
      </w:r>
      <w:bookmarkEnd w:id="65"/>
    </w:p>
    <w:p w14:paraId="222E8A5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1.发包人承诺按照法律规定履行项目审批手续、筹集工程建设资金并按照合同约定的期限和方式支付合同价款。</w:t>
      </w:r>
    </w:p>
    <w:p w14:paraId="0BD51562">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03A0DFA3">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3.发包人和承包人通过招投标形式签订合同的，双方理解并承诺不再就同一工程另行签订与合同实质性内容相背离的协议。</w:t>
      </w:r>
    </w:p>
    <w:p w14:paraId="6884934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bookmarkStart w:id="66" w:name="_Toc351203488"/>
      <w:r>
        <w:rPr>
          <w:rFonts w:hint="eastAsia" w:ascii="仿宋" w:hAnsi="仿宋" w:eastAsia="仿宋" w:cs="仿宋"/>
          <w:b w:val="0"/>
          <w:bCs/>
          <w:i w:val="0"/>
          <w:iCs w:val="0"/>
          <w:color w:val="auto"/>
          <w:kern w:val="2"/>
          <w:sz w:val="24"/>
          <w:szCs w:val="24"/>
          <w:highlight w:val="none"/>
          <w:lang w:val="en-US" w:eastAsia="zh-CN" w:bidi="ar-SA"/>
        </w:rPr>
        <w:t xml:space="preserve">    八、词语含义</w:t>
      </w:r>
      <w:bookmarkEnd w:id="66"/>
    </w:p>
    <w:p w14:paraId="127EA1E8">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本协议书中词语含义与第二部分通用合同条款中赋予的含义相同。</w:t>
      </w:r>
    </w:p>
    <w:p w14:paraId="60D56E8F">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7" w:name="_Toc351203489"/>
      <w:r>
        <w:rPr>
          <w:rFonts w:hint="eastAsia" w:ascii="仿宋" w:hAnsi="仿宋" w:eastAsia="仿宋" w:cs="仿宋"/>
          <w:b w:val="0"/>
          <w:bCs/>
          <w:i w:val="0"/>
          <w:iCs w:val="0"/>
          <w:color w:val="auto"/>
          <w:kern w:val="2"/>
          <w:sz w:val="24"/>
          <w:szCs w:val="24"/>
          <w:highlight w:val="none"/>
          <w:lang w:val="en-US" w:eastAsia="zh-CN" w:bidi="ar-SA"/>
        </w:rPr>
        <w:t>九、签订时间</w:t>
      </w:r>
      <w:bookmarkEnd w:id="67"/>
    </w:p>
    <w:p w14:paraId="3B384A1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本合同于</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日签订。</w:t>
      </w:r>
    </w:p>
    <w:p w14:paraId="2349BD36">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8" w:name="_Toc351203490"/>
      <w:r>
        <w:rPr>
          <w:rFonts w:hint="eastAsia" w:ascii="仿宋" w:hAnsi="仿宋" w:eastAsia="仿宋" w:cs="仿宋"/>
          <w:b w:val="0"/>
          <w:bCs/>
          <w:i w:val="0"/>
          <w:iCs w:val="0"/>
          <w:color w:val="auto"/>
          <w:kern w:val="2"/>
          <w:sz w:val="24"/>
          <w:szCs w:val="24"/>
          <w:highlight w:val="none"/>
          <w:lang w:val="en-US" w:eastAsia="zh-CN" w:bidi="ar-SA"/>
        </w:rPr>
        <w:t>十、签订地点</w:t>
      </w:r>
      <w:bookmarkEnd w:id="68"/>
    </w:p>
    <w:p w14:paraId="4194C2C0">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本合同在</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签订。</w:t>
      </w:r>
    </w:p>
    <w:p w14:paraId="4DB8C243">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69" w:name="_Toc351203491"/>
      <w:r>
        <w:rPr>
          <w:rFonts w:hint="eastAsia" w:ascii="仿宋" w:hAnsi="仿宋" w:eastAsia="仿宋" w:cs="仿宋"/>
          <w:b w:val="0"/>
          <w:bCs/>
          <w:i w:val="0"/>
          <w:iCs w:val="0"/>
          <w:color w:val="auto"/>
          <w:kern w:val="2"/>
          <w:sz w:val="24"/>
          <w:szCs w:val="24"/>
          <w:highlight w:val="none"/>
          <w:lang w:val="en-US" w:eastAsia="zh-CN" w:bidi="ar-SA"/>
        </w:rPr>
        <w:t>十一、补充协议</w:t>
      </w:r>
      <w:bookmarkEnd w:id="69"/>
    </w:p>
    <w:p w14:paraId="0BBA649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合同未尽事宜，合同当事人另行签订补充协议，补充协议是合同的组成部分。</w:t>
      </w:r>
    </w:p>
    <w:p w14:paraId="118B2225">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70" w:name="_Toc351203492"/>
      <w:r>
        <w:rPr>
          <w:rFonts w:hint="eastAsia" w:ascii="仿宋" w:hAnsi="仿宋" w:eastAsia="仿宋" w:cs="仿宋"/>
          <w:b w:val="0"/>
          <w:bCs/>
          <w:i w:val="0"/>
          <w:iCs w:val="0"/>
          <w:color w:val="auto"/>
          <w:kern w:val="2"/>
          <w:sz w:val="24"/>
          <w:szCs w:val="24"/>
          <w:highlight w:val="none"/>
          <w:lang w:val="en-US" w:eastAsia="zh-CN" w:bidi="ar-SA"/>
        </w:rPr>
        <w:t>十二、合同生效</w:t>
      </w:r>
      <w:bookmarkEnd w:id="70"/>
    </w:p>
    <w:p w14:paraId="45C4C89F">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本合同自</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 xml:space="preserve"> </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生效。</w:t>
      </w:r>
    </w:p>
    <w:p w14:paraId="1A10AD13">
      <w:pPr>
        <w:keepNext/>
        <w:keepLines/>
        <w:pageBreakBefore w:val="0"/>
        <w:widowControl w:val="0"/>
        <w:kinsoku/>
        <w:wordWrap/>
        <w:overflowPunct/>
        <w:topLinePunct w:val="0"/>
        <w:autoSpaceDE/>
        <w:autoSpaceDN/>
        <w:bidi w:val="0"/>
        <w:snapToGrid/>
        <w:spacing w:line="440" w:lineRule="exact"/>
        <w:jc w:val="both"/>
        <w:textAlignment w:val="auto"/>
        <w:outlineLvl w:val="3"/>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    </w:t>
      </w:r>
      <w:bookmarkStart w:id="71" w:name="_Toc351203493"/>
      <w:r>
        <w:rPr>
          <w:rFonts w:hint="eastAsia" w:ascii="仿宋" w:hAnsi="仿宋" w:eastAsia="仿宋" w:cs="仿宋"/>
          <w:b w:val="0"/>
          <w:bCs/>
          <w:i w:val="0"/>
          <w:iCs w:val="0"/>
          <w:color w:val="auto"/>
          <w:kern w:val="2"/>
          <w:sz w:val="24"/>
          <w:szCs w:val="24"/>
          <w:highlight w:val="none"/>
          <w:lang w:val="en-US" w:eastAsia="zh-CN" w:bidi="ar-SA"/>
        </w:rPr>
        <w:t>十三、合同份数</w:t>
      </w:r>
      <w:bookmarkEnd w:id="71"/>
    </w:p>
    <w:p w14:paraId="3D9731BB">
      <w:pPr>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本合同一式</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捌</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份，均具有同等法律效力，发包人执</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肆</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份，承包人执</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u w:val="single"/>
          <w:lang w:val="en-US" w:eastAsia="zh-CN"/>
        </w:rPr>
        <w:t>肆</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份。</w:t>
      </w:r>
    </w:p>
    <w:p w14:paraId="24B39928">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i w:val="0"/>
          <w:iCs w:val="0"/>
          <w:color w:val="auto"/>
          <w:sz w:val="24"/>
          <w:szCs w:val="24"/>
          <w:highlight w:val="none"/>
        </w:rPr>
      </w:pPr>
    </w:p>
    <w:p w14:paraId="2F4945C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p>
    <w:p w14:paraId="60D9B32C">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发包人：  (公章)             承包人：  (公章)</w:t>
      </w:r>
    </w:p>
    <w:p w14:paraId="335E50C6">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u w:val="single"/>
        </w:rPr>
      </w:pPr>
      <w:r>
        <w:rPr>
          <w:rFonts w:hint="eastAsia" w:ascii="仿宋" w:hAnsi="仿宋" w:eastAsia="仿宋" w:cs="仿宋"/>
          <w:i w:val="0"/>
          <w:iCs w:val="0"/>
          <w:color w:val="auto"/>
          <w:sz w:val="24"/>
          <w:szCs w:val="24"/>
          <w:highlight w:val="none"/>
        </w:rPr>
        <w:t xml:space="preserve">                                 </w:t>
      </w:r>
    </w:p>
    <w:p w14:paraId="3AAF7A9A">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法定代表人或其委托代理人：  法定代表人或其委托代理人：</w:t>
      </w:r>
    </w:p>
    <w:p w14:paraId="64A1B1E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（签字）                    （签字）</w:t>
      </w:r>
    </w:p>
    <w:p w14:paraId="33040CF1">
      <w:pPr>
        <w:pageBreakBefore w:val="0"/>
        <w:widowControl w:val="0"/>
        <w:tabs>
          <w:tab w:val="left" w:pos="4410"/>
        </w:tabs>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组织机构代码：</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组织机构代码：</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w:t>
      </w:r>
    </w:p>
    <w:p w14:paraId="353ECE7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地  址：</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地  址：</w:t>
      </w:r>
      <w:r>
        <w:rPr>
          <w:rFonts w:hint="eastAsia" w:ascii="仿宋" w:hAnsi="仿宋" w:eastAsia="仿宋" w:cs="仿宋"/>
          <w:i w:val="0"/>
          <w:iCs w:val="0"/>
          <w:color w:val="auto"/>
          <w:sz w:val="24"/>
          <w:szCs w:val="24"/>
          <w:highlight w:val="none"/>
          <w:u w:val="single"/>
        </w:rPr>
        <w:t xml:space="preserve">        </w:t>
      </w:r>
    </w:p>
    <w:p w14:paraId="680717FC">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邮政编码：</w:t>
      </w:r>
      <w:r>
        <w:rPr>
          <w:rFonts w:hint="eastAsia" w:ascii="仿宋" w:hAnsi="仿宋" w:eastAsia="仿宋" w:cs="仿宋"/>
          <w:i w:val="0"/>
          <w:iCs w:val="0"/>
          <w:color w:val="auto"/>
          <w:sz w:val="24"/>
          <w:szCs w:val="24"/>
          <w:highlight w:val="none"/>
          <w:u w:val="single"/>
        </w:rPr>
        <w:t xml:space="preserve">      </w:t>
      </w:r>
      <w:r>
        <w:rPr>
          <w:rFonts w:hint="eastAsia" w:ascii="仿宋" w:hAnsi="仿宋" w:eastAsia="仿宋" w:cs="仿宋"/>
          <w:i w:val="0"/>
          <w:iCs w:val="0"/>
          <w:color w:val="auto"/>
          <w:sz w:val="24"/>
          <w:szCs w:val="24"/>
          <w:highlight w:val="none"/>
        </w:rPr>
        <w:t xml:space="preserve"> 邮政编码：</w:t>
      </w:r>
      <w:r>
        <w:rPr>
          <w:rFonts w:hint="eastAsia" w:ascii="仿宋" w:hAnsi="仿宋" w:eastAsia="仿宋" w:cs="仿宋"/>
          <w:i w:val="0"/>
          <w:iCs w:val="0"/>
          <w:color w:val="auto"/>
          <w:sz w:val="24"/>
          <w:szCs w:val="24"/>
          <w:highlight w:val="none"/>
          <w:u w:val="single"/>
        </w:rPr>
        <w:t xml:space="preserve">   </w:t>
      </w:r>
    </w:p>
    <w:p w14:paraId="7D146FD2">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法定代表人：</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法定代表人：</w:t>
      </w:r>
      <w:r>
        <w:rPr>
          <w:rFonts w:hint="eastAsia" w:ascii="仿宋" w:hAnsi="仿宋" w:eastAsia="仿宋" w:cs="仿宋"/>
          <w:i w:val="0"/>
          <w:iCs w:val="0"/>
          <w:color w:val="auto"/>
          <w:sz w:val="24"/>
          <w:szCs w:val="24"/>
          <w:highlight w:val="none"/>
          <w:u w:val="single"/>
        </w:rPr>
        <w:t xml:space="preserve">             </w:t>
      </w:r>
    </w:p>
    <w:p w14:paraId="27204FDB">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委托代理人：</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委托代理人：</w:t>
      </w:r>
      <w:r>
        <w:rPr>
          <w:rFonts w:hint="eastAsia" w:ascii="仿宋" w:hAnsi="仿宋" w:eastAsia="仿宋" w:cs="仿宋"/>
          <w:i w:val="0"/>
          <w:iCs w:val="0"/>
          <w:color w:val="auto"/>
          <w:sz w:val="24"/>
          <w:szCs w:val="24"/>
          <w:highlight w:val="none"/>
          <w:u w:val="single"/>
        </w:rPr>
        <w:t xml:space="preserve">             </w:t>
      </w:r>
    </w:p>
    <w:p w14:paraId="6346A575">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  话：</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电  话：</w:t>
      </w:r>
      <w:r>
        <w:rPr>
          <w:rFonts w:hint="eastAsia" w:ascii="仿宋" w:hAnsi="仿宋" w:eastAsia="仿宋" w:cs="仿宋"/>
          <w:i w:val="0"/>
          <w:iCs w:val="0"/>
          <w:color w:val="auto"/>
          <w:sz w:val="24"/>
          <w:szCs w:val="24"/>
          <w:highlight w:val="none"/>
          <w:u w:val="single"/>
        </w:rPr>
        <w:t xml:space="preserve">     </w:t>
      </w:r>
    </w:p>
    <w:p w14:paraId="69DC7B8F">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传  真：</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传  真：</w:t>
      </w:r>
      <w:r>
        <w:rPr>
          <w:rFonts w:hint="eastAsia" w:ascii="仿宋" w:hAnsi="仿宋" w:eastAsia="仿宋" w:cs="仿宋"/>
          <w:i w:val="0"/>
          <w:iCs w:val="0"/>
          <w:color w:val="auto"/>
          <w:sz w:val="24"/>
          <w:szCs w:val="24"/>
          <w:highlight w:val="none"/>
          <w:u w:val="single"/>
        </w:rPr>
        <w:t xml:space="preserve">     </w:t>
      </w:r>
    </w:p>
    <w:p w14:paraId="40AF588B">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电子信箱：</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电子信箱：</w:t>
      </w:r>
      <w:r>
        <w:rPr>
          <w:rFonts w:hint="eastAsia" w:ascii="仿宋" w:hAnsi="仿宋" w:eastAsia="仿宋" w:cs="仿宋"/>
          <w:i w:val="0"/>
          <w:iCs w:val="0"/>
          <w:color w:val="auto"/>
          <w:sz w:val="24"/>
          <w:szCs w:val="24"/>
          <w:highlight w:val="none"/>
          <w:u w:val="single"/>
        </w:rPr>
        <w:t xml:space="preserve">   </w:t>
      </w:r>
    </w:p>
    <w:p w14:paraId="1EBC9DAD">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开户银行：</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开户银行：</w:t>
      </w:r>
      <w:r>
        <w:rPr>
          <w:rFonts w:hint="eastAsia" w:ascii="仿宋" w:hAnsi="仿宋" w:eastAsia="仿宋" w:cs="仿宋"/>
          <w:i w:val="0"/>
          <w:iCs w:val="0"/>
          <w:color w:val="auto"/>
          <w:sz w:val="24"/>
          <w:szCs w:val="24"/>
          <w:highlight w:val="none"/>
          <w:u w:val="single"/>
        </w:rPr>
        <w:t xml:space="preserve">   </w:t>
      </w:r>
    </w:p>
    <w:p w14:paraId="18E42823">
      <w:pPr>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账  号：</w:t>
      </w:r>
      <w:r>
        <w:rPr>
          <w:rFonts w:hint="eastAsia" w:ascii="仿宋" w:hAnsi="仿宋" w:eastAsia="仿宋" w:cs="仿宋"/>
          <w:i w:val="0"/>
          <w:iCs w:val="0"/>
          <w:color w:val="auto"/>
          <w:sz w:val="24"/>
          <w:szCs w:val="24"/>
          <w:highlight w:val="none"/>
          <w:u w:val="single"/>
        </w:rPr>
        <w:t xml:space="preserve">       </w:t>
      </w:r>
      <w:r>
        <w:rPr>
          <w:rFonts w:hint="eastAsia" w:ascii="仿宋" w:hAnsi="仿宋" w:eastAsia="仿宋" w:cs="仿宋"/>
          <w:i w:val="0"/>
          <w:iCs w:val="0"/>
          <w:color w:val="auto"/>
          <w:sz w:val="24"/>
          <w:szCs w:val="24"/>
          <w:highlight w:val="none"/>
        </w:rPr>
        <w:t xml:space="preserve">   账  号：</w:t>
      </w:r>
      <w:r>
        <w:rPr>
          <w:rFonts w:hint="eastAsia" w:ascii="仿宋" w:hAnsi="仿宋" w:eastAsia="仿宋" w:cs="仿宋"/>
          <w:i w:val="0"/>
          <w:iCs w:val="0"/>
          <w:color w:val="auto"/>
          <w:sz w:val="24"/>
          <w:szCs w:val="24"/>
          <w:highlight w:val="none"/>
          <w:u w:val="single"/>
        </w:rPr>
        <w:t xml:space="preserve">     </w:t>
      </w:r>
    </w:p>
    <w:p w14:paraId="033EE878">
      <w:pPr>
        <w:spacing w:line="500" w:lineRule="exact"/>
        <w:jc w:val="center"/>
        <w:rPr>
          <w:rFonts w:hint="default" w:ascii="Times New Roman" w:hAnsi="Times New Roman" w:eastAsia="仿宋" w:cs="Times New Roman"/>
          <w:b/>
          <w:color w:val="auto"/>
          <w:sz w:val="44"/>
          <w:szCs w:val="44"/>
          <w:highlight w:val="none"/>
        </w:rPr>
      </w:pPr>
      <w:r>
        <w:rPr>
          <w:rFonts w:hint="eastAsia" w:ascii="黑体" w:hAnsi="黑体" w:eastAsia="黑体"/>
          <w:b w:val="0"/>
          <w:color w:val="auto"/>
          <w:sz w:val="44"/>
          <w:szCs w:val="44"/>
          <w:highlight w:val="none"/>
        </w:rPr>
        <w:br w:type="page"/>
      </w:r>
      <w:r>
        <w:rPr>
          <w:rFonts w:hint="eastAsia" w:ascii="仿宋" w:hAnsi="仿宋" w:eastAsia="仿宋" w:cs="仿宋"/>
          <w:b w:val="0"/>
          <w:bCs w:val="0"/>
          <w:color w:val="auto"/>
          <w:sz w:val="44"/>
          <w:szCs w:val="44"/>
          <w:highlight w:val="none"/>
        </w:rPr>
        <w:t>第二部分 合同主要协议条款</w:t>
      </w:r>
    </w:p>
    <w:p w14:paraId="18C1DDCA">
      <w:pPr>
        <w:spacing w:line="500" w:lineRule="exact"/>
        <w:jc w:val="center"/>
        <w:rPr>
          <w:rFonts w:hint="default" w:ascii="Times New Roman" w:hAnsi="Times New Roman" w:eastAsia="仿宋" w:cs="Times New Roman"/>
          <w:color w:val="auto"/>
          <w:sz w:val="36"/>
          <w:szCs w:val="36"/>
          <w:highlight w:val="none"/>
        </w:rPr>
      </w:pPr>
    </w:p>
    <w:p w14:paraId="6D204855">
      <w:pPr>
        <w:pStyle w:val="24"/>
        <w:keepNext w:val="0"/>
        <w:keepLines w:val="0"/>
        <w:pageBreakBefore w:val="0"/>
        <w:widowControl w:val="0"/>
        <w:kinsoku w:val="0"/>
        <w:wordWrap/>
        <w:overflowPunct/>
        <w:topLinePunct w:val="0"/>
        <w:autoSpaceDE/>
        <w:autoSpaceDN/>
        <w:bidi w:val="0"/>
        <w:adjustRightInd w:val="0"/>
        <w:snapToGrid w:val="0"/>
        <w:spacing w:line="480" w:lineRule="exact"/>
        <w:ind w:left="0"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使用住房和城乡建设部、国家工商行政管理总局制定的《建设工程施工合同（示范文本）》（</w:t>
      </w:r>
      <w:r>
        <w:rPr>
          <w:rFonts w:hint="default" w:ascii="Times New Roman" w:hAnsi="Times New Roman" w:eastAsia="仿宋" w:cs="Times New Roman"/>
          <w:color w:val="auto"/>
          <w:sz w:val="24"/>
          <w:highlight w:val="none"/>
          <w:lang w:bidi="ar-SA"/>
        </w:rPr>
        <w:t>GF-2017-0201</w:t>
      </w:r>
      <w:r>
        <w:rPr>
          <w:rFonts w:hint="default" w:ascii="Times New Roman" w:hAnsi="Times New Roman" w:eastAsia="仿宋" w:cs="Times New Roman"/>
          <w:color w:val="auto"/>
          <w:sz w:val="24"/>
          <w:highlight w:val="none"/>
        </w:rPr>
        <w:t>）及当地建设主管部门颁发的施工合同专用条款（范本）</w:t>
      </w:r>
    </w:p>
    <w:p w14:paraId="491F4B52">
      <w:pPr>
        <w:keepNext w:val="0"/>
        <w:keepLines w:val="0"/>
        <w:pageBreakBefore w:val="0"/>
        <w:widowControl w:val="0"/>
        <w:wordWrap/>
        <w:overflowPunct/>
        <w:topLinePunct w:val="0"/>
        <w:autoSpaceDE/>
        <w:autoSpaceDN/>
        <w:bidi w:val="0"/>
        <w:adjustRightInd w:val="0"/>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合同协议条款将由招标人（甲方）与中标人（乙方）结合本工程具体情况协商后签订。以下为招标人提出涉及投标人的主要条款，投标人在投标书中进行承诺。</w:t>
      </w:r>
    </w:p>
    <w:p w14:paraId="1744A3A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outlineLvl w:val="9"/>
        <w:rPr>
          <w:rFonts w:hint="default" w:ascii="Times New Roman" w:hAnsi="Times New Roman" w:eastAsia="仿宋" w:cs="Times New Roman"/>
          <w:color w:val="auto"/>
          <w:sz w:val="32"/>
          <w:highlight w:val="none"/>
        </w:rPr>
      </w:pPr>
    </w:p>
    <w:p w14:paraId="7F52C2B5">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一、施工组织设计和工期</w:t>
      </w:r>
    </w:p>
    <w:p w14:paraId="4D8465CD">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进度计划</w:t>
      </w:r>
    </w:p>
    <w:p w14:paraId="44E3E85A">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乙方提供的施工组织设计（或方案），甲方对其进度计划提出质疑和合理修正时，乙方应在签订合同后根据甲方要求提供修正的施工组织设计，甲方代表及时给予批复。</w:t>
      </w:r>
    </w:p>
    <w:p w14:paraId="1FCBE1EA">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（二）工程开工</w:t>
      </w:r>
    </w:p>
    <w:p w14:paraId="4B7A42F5">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开工时间配合</w:t>
      </w:r>
      <w:r>
        <w:rPr>
          <w:rFonts w:hint="eastAsia" w:ascii="Times New Roman" w:hAnsi="Times New Roman" w:eastAsia="仿宋" w:cs="Times New Roman"/>
          <w:color w:val="auto"/>
          <w:sz w:val="24"/>
          <w:highlight w:val="none"/>
          <w:lang w:val="en-US" w:eastAsia="zh-CN"/>
        </w:rPr>
        <w:t>甲方</w:t>
      </w:r>
      <w:r>
        <w:rPr>
          <w:rFonts w:hint="default" w:ascii="Times New Roman" w:hAnsi="Times New Roman" w:eastAsia="仿宋" w:cs="Times New Roman"/>
          <w:color w:val="auto"/>
          <w:sz w:val="24"/>
          <w:highlight w:val="none"/>
        </w:rPr>
        <w:t>工作安排。</w:t>
      </w:r>
    </w:p>
    <w:p w14:paraId="6345996C">
      <w:pPr>
        <w:keepNext w:val="0"/>
        <w:keepLines w:val="0"/>
        <w:pageBreakBefore w:val="0"/>
        <w:widowControl w:val="0"/>
        <w:kinsoku/>
        <w:wordWrap/>
        <w:overflowPunct/>
        <w:topLinePunct w:val="0"/>
        <w:autoSpaceDE/>
        <w:autoSpaceDN/>
        <w:bidi w:val="0"/>
        <w:adjustRightInd w:val="0"/>
        <w:snapToGrid/>
        <w:spacing w:line="480" w:lineRule="exact"/>
        <w:ind w:left="0" w:leftChars="0" w:firstLine="482" w:firstLineChars="200"/>
        <w:textAlignment w:val="auto"/>
        <w:outlineLvl w:val="9"/>
        <w:rPr>
          <w:rFonts w:hint="default" w:ascii="Times New Roman" w:hAnsi="Times New Roman" w:eastAsia="仿宋" w:cs="Times New Roman"/>
          <w:b/>
          <w:color w:val="auto"/>
          <w:sz w:val="24"/>
          <w:highlight w:val="none"/>
          <w:lang w:val="en-US" w:eastAsia="zh-CN"/>
        </w:rPr>
      </w:pPr>
      <w:r>
        <w:rPr>
          <w:rFonts w:hint="eastAsia" w:ascii="Times New Roman" w:hAnsi="Times New Roman" w:eastAsia="仿宋" w:cs="Times New Roman"/>
          <w:b/>
          <w:color w:val="auto"/>
          <w:sz w:val="24"/>
          <w:highlight w:val="none"/>
          <w:lang w:eastAsia="zh-CN"/>
        </w:rPr>
        <w:t>（</w:t>
      </w:r>
      <w:r>
        <w:rPr>
          <w:rFonts w:hint="eastAsia" w:ascii="Times New Roman" w:hAnsi="Times New Roman" w:eastAsia="仿宋" w:cs="Times New Roman"/>
          <w:b/>
          <w:color w:val="auto"/>
          <w:sz w:val="24"/>
          <w:highlight w:val="none"/>
          <w:lang w:val="en-US" w:eastAsia="zh-CN"/>
        </w:rPr>
        <w:t>三</w:t>
      </w:r>
      <w:r>
        <w:rPr>
          <w:rFonts w:hint="eastAsia" w:ascii="Times New Roman" w:hAnsi="Times New Roman" w:eastAsia="仿宋" w:cs="Times New Roman"/>
          <w:b/>
          <w:color w:val="auto"/>
          <w:sz w:val="24"/>
          <w:highlight w:val="none"/>
          <w:lang w:eastAsia="zh-CN"/>
        </w:rPr>
        <w:t>）</w:t>
      </w:r>
      <w:r>
        <w:rPr>
          <w:rFonts w:hint="eastAsia" w:ascii="Times New Roman" w:hAnsi="Times New Roman" w:eastAsia="仿宋" w:cs="Times New Roman"/>
          <w:b/>
          <w:color w:val="auto"/>
          <w:sz w:val="24"/>
          <w:highlight w:val="none"/>
          <w:lang w:val="en-US" w:eastAsia="zh-CN"/>
        </w:rPr>
        <w:t>工期延误</w:t>
      </w:r>
    </w:p>
    <w:p w14:paraId="1523BD3C">
      <w:pPr>
        <w:keepNext w:val="0"/>
        <w:keepLines w:val="0"/>
        <w:pageBreakBefore w:val="0"/>
        <w:widowControl w:val="0"/>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对以下原因造成竣工日期推迟的延误，经甲方代表确认后，合同工期相应顺延</w:t>
      </w:r>
      <w:r>
        <w:rPr>
          <w:rFonts w:hint="eastAsia" w:eastAsia="仿宋" w:cs="Times New Roman"/>
          <w:color w:val="auto"/>
          <w:sz w:val="24"/>
          <w:highlight w:val="none"/>
          <w:lang w:eastAsia="zh-CN"/>
        </w:rPr>
        <w:t>：</w:t>
      </w:r>
    </w:p>
    <w:p w14:paraId="218C3BBC">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eastAsia" w:ascii="仿宋" w:hAnsi="仿宋" w:eastAsia="仿宋" w:cs="仿宋"/>
          <w:i w:val="0"/>
          <w:iCs w:val="0"/>
          <w:color w:val="auto"/>
          <w:kern w:val="2"/>
          <w:sz w:val="24"/>
          <w:szCs w:val="24"/>
          <w:highlight w:val="none"/>
          <w:u w:val="none"/>
          <w:lang w:val="en-US" w:eastAsia="zh-CN"/>
        </w:rPr>
        <w:t>因台风、梅雨等天气原因造成的工期延误</w:t>
      </w:r>
      <w:r>
        <w:rPr>
          <w:rFonts w:hint="eastAsia" w:ascii="Times New Roman" w:hAnsi="Times New Roman" w:eastAsia="仿宋" w:cs="Times New Roman"/>
          <w:color w:val="auto"/>
          <w:sz w:val="24"/>
          <w:highlight w:val="none"/>
          <w:lang w:eastAsia="zh-CN"/>
        </w:rPr>
        <w:t>。</w:t>
      </w:r>
    </w:p>
    <w:p w14:paraId="46B6004F">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rPr>
        <w:t>由甲方</w:t>
      </w:r>
      <w:r>
        <w:rPr>
          <w:rFonts w:hint="eastAsia" w:eastAsia="仿宋" w:cs="Times New Roman"/>
          <w:color w:val="auto"/>
          <w:sz w:val="24"/>
          <w:highlight w:val="none"/>
          <w:lang w:eastAsia="zh-CN"/>
        </w:rPr>
        <w:t>原因</w:t>
      </w:r>
      <w:r>
        <w:rPr>
          <w:rFonts w:hint="default" w:ascii="Times New Roman" w:hAnsi="Times New Roman" w:eastAsia="仿宋" w:cs="Times New Roman"/>
          <w:color w:val="auto"/>
          <w:sz w:val="24"/>
          <w:highlight w:val="none"/>
        </w:rPr>
        <w:t>造成的</w:t>
      </w:r>
      <w:r>
        <w:rPr>
          <w:rFonts w:hint="eastAsia" w:eastAsia="仿宋" w:cs="Times New Roman"/>
          <w:color w:val="auto"/>
          <w:sz w:val="24"/>
          <w:highlight w:val="none"/>
          <w:lang w:eastAsia="zh-CN"/>
        </w:rPr>
        <w:t>工期</w:t>
      </w:r>
      <w:r>
        <w:rPr>
          <w:rFonts w:hint="default" w:ascii="Times New Roman" w:hAnsi="Times New Roman" w:eastAsia="仿宋" w:cs="Times New Roman"/>
          <w:color w:val="auto"/>
          <w:sz w:val="24"/>
          <w:highlight w:val="none"/>
        </w:rPr>
        <w:t>延误。</w:t>
      </w:r>
    </w:p>
    <w:p w14:paraId="204C7CF1">
      <w:pPr>
        <w:keepNext w:val="0"/>
        <w:keepLines w:val="0"/>
        <w:pageBreakBefore w:val="0"/>
        <w:widowControl w:val="0"/>
        <w:numPr>
          <w:ilvl w:val="0"/>
          <w:numId w:val="9"/>
        </w:numPr>
        <w:kinsoku/>
        <w:wordWrap/>
        <w:overflowPunct/>
        <w:topLinePunct w:val="0"/>
        <w:autoSpaceDE/>
        <w:autoSpaceDN/>
        <w:bidi w:val="0"/>
        <w:adjustRightInd w:val="0"/>
        <w:snapToGrid/>
        <w:spacing w:line="480" w:lineRule="exact"/>
        <w:ind w:left="0" w:leftChars="0" w:firstLine="510"/>
        <w:textAlignment w:val="auto"/>
        <w:outlineLvl w:val="9"/>
        <w:rPr>
          <w:rFonts w:hint="eastAsia" w:ascii="Times New Roman" w:hAnsi="Times New Roman" w:eastAsia="仿宋" w:cs="Times New Roman"/>
          <w:color w:val="auto"/>
          <w:sz w:val="24"/>
          <w:highlight w:val="none"/>
          <w:lang w:eastAsia="zh-CN"/>
        </w:rPr>
      </w:pPr>
      <w:r>
        <w:rPr>
          <w:rFonts w:hint="eastAsia" w:eastAsia="仿宋" w:cs="Times New Roman"/>
          <w:color w:val="auto"/>
          <w:sz w:val="24"/>
          <w:highlight w:val="none"/>
          <w:lang w:eastAsia="zh-CN"/>
        </w:rPr>
        <w:t>其他</w:t>
      </w:r>
      <w:r>
        <w:rPr>
          <w:rFonts w:hint="default" w:ascii="Times New Roman" w:hAnsi="Times New Roman" w:eastAsia="仿宋" w:cs="Times New Roman"/>
          <w:color w:val="auto"/>
          <w:sz w:val="24"/>
          <w:highlight w:val="none"/>
        </w:rPr>
        <w:t>不可抗力。</w:t>
      </w:r>
    </w:p>
    <w:p w14:paraId="4D31C02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510" w:leftChars="0"/>
        <w:textAlignment w:val="auto"/>
        <w:outlineLvl w:val="9"/>
        <w:rPr>
          <w:rFonts w:hint="eastAsia" w:ascii="Times New Roman" w:hAnsi="Times New Roman" w:eastAsia="仿宋" w:cs="Times New Roman"/>
          <w:color w:val="auto"/>
          <w:sz w:val="24"/>
          <w:highlight w:val="none"/>
          <w:lang w:eastAsia="zh-CN"/>
        </w:rPr>
      </w:pPr>
    </w:p>
    <w:p w14:paraId="2D613BA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二、质量与验收</w:t>
      </w:r>
    </w:p>
    <w:p w14:paraId="433C8C0A">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质量标准</w:t>
      </w:r>
    </w:p>
    <w:p w14:paraId="224C592B">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乙方应按现行的国家施工验收规范和质量评定标准进行施工，乙方必须作出质量履约保证</w:t>
      </w:r>
      <w:r>
        <w:rPr>
          <w:rFonts w:hint="default" w:ascii="Times New Roman" w:hAnsi="Times New Roman" w:eastAsia="仿宋" w:cs="Times New Roman"/>
          <w:b/>
          <w:color w:val="auto"/>
          <w:sz w:val="24"/>
          <w:highlight w:val="none"/>
        </w:rPr>
        <w:t>。</w:t>
      </w:r>
    </w:p>
    <w:p w14:paraId="491826B3">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甲方对本工程质量的特殊要求：</w:t>
      </w:r>
      <w:r>
        <w:rPr>
          <w:rFonts w:hint="eastAsia" w:ascii="仿宋" w:hAnsi="仿宋" w:eastAsia="仿宋" w:cs="仿宋"/>
          <w:color w:val="auto"/>
          <w:sz w:val="24"/>
          <w:szCs w:val="24"/>
          <w:highlight w:val="none"/>
        </w:rPr>
        <w:t>提交给甲方进行验收，质量必须达到合格。</w:t>
      </w:r>
    </w:p>
    <w:p w14:paraId="75CEE3E6">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（二）工程质量等级</w:t>
      </w:r>
    </w:p>
    <w:p w14:paraId="04937035">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乙方中标的质量等级标准为本工程的合同约定条件。工程经各方有关主管部门核验，不能达到要求质量等级的，作违约论处：</w:t>
      </w:r>
    </w:p>
    <w:p w14:paraId="6CC6FD2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合格等级未达到的，无条件返工至合格，并再扣除合同价的</w:t>
      </w: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作为违约金</w:t>
      </w:r>
      <w:r>
        <w:rPr>
          <w:rFonts w:hint="default" w:ascii="Times New Roman" w:hAnsi="Times New Roman" w:eastAsia="仿宋" w:cs="Times New Roman"/>
          <w:color w:val="auto"/>
          <w:sz w:val="24"/>
          <w:highlight w:val="none"/>
        </w:rPr>
        <w:t>。</w:t>
      </w:r>
    </w:p>
    <w:p w14:paraId="3454B4B4">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如无法达到合格要求的，中标单位应赔偿全部损失。</w:t>
      </w:r>
    </w:p>
    <w:p w14:paraId="222030A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p>
    <w:p w14:paraId="65D5144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9"/>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三、合同价款与支付</w:t>
      </w:r>
    </w:p>
    <w:p w14:paraId="40687A56">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合同价款的确定</w:t>
      </w:r>
    </w:p>
    <w:p w14:paraId="50C1F2D5">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480" w:lineRule="exact"/>
        <w:ind w:left="0" w:firstLine="420"/>
        <w:jc w:val="both"/>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本工程的合同价根据乙方中标价确定，原则上采用</w:t>
      </w:r>
      <w:r>
        <w:rPr>
          <w:rFonts w:hint="eastAsia" w:ascii="Times New Roman" w:hAnsi="Times New Roman" w:eastAsia="仿宋" w:cs="Times New Roman"/>
          <w:color w:val="auto"/>
          <w:sz w:val="24"/>
          <w:szCs w:val="24"/>
          <w:highlight w:val="none"/>
          <w:u w:val="single"/>
          <w:lang w:val="en-US" w:eastAsia="zh-CN"/>
        </w:rPr>
        <w:t xml:space="preserve">          </w:t>
      </w:r>
      <w:r>
        <w:rPr>
          <w:rFonts w:hint="default" w:ascii="Times New Roman" w:hAnsi="Times New Roman" w:eastAsia="仿宋" w:cs="Times New Roman"/>
          <w:color w:val="auto"/>
          <w:sz w:val="24"/>
          <w:szCs w:val="24"/>
          <w:highlight w:val="none"/>
        </w:rPr>
        <w:t>的方式承包。</w:t>
      </w:r>
    </w:p>
    <w:p w14:paraId="79FA8C9C">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（二）合同价款的调整</w:t>
      </w:r>
    </w:p>
    <w:p w14:paraId="2ED3F828">
      <w:pPr>
        <w:keepNext w:val="0"/>
        <w:keepLines w:val="0"/>
        <w:pageBreakBefore w:val="0"/>
        <w:kinsoku/>
        <w:wordWrap/>
        <w:overflowPunct/>
        <w:topLinePunct w:val="0"/>
        <w:autoSpaceDE/>
        <w:autoSpaceDN/>
        <w:bidi w:val="0"/>
        <w:adjustRightInd w:val="0"/>
        <w:snapToGrid/>
        <w:spacing w:beforeAutospacing="0" w:line="480" w:lineRule="exact"/>
        <w:ind w:left="0" w:firstLine="480" w:firstLineChars="2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发生下列情况之一的合同价款可以调整。</w:t>
      </w:r>
    </w:p>
    <w:p w14:paraId="2280C14A">
      <w:pPr>
        <w:keepNext w:val="0"/>
        <w:keepLines w:val="0"/>
        <w:pageBreakBefore w:val="0"/>
        <w:kinsoku/>
        <w:wordWrap/>
        <w:overflowPunct/>
        <w:topLinePunct w:val="0"/>
        <w:autoSpaceDE/>
        <w:autoSpaceDN/>
        <w:bidi w:val="0"/>
        <w:adjustRightInd w:val="0"/>
        <w:snapToGrid/>
        <w:spacing w:beforeAutospacing="0" w:line="480" w:lineRule="exact"/>
        <w:ind w:left="0" w:firstLine="720" w:firstLineChars="300"/>
        <w:textAlignment w:val="auto"/>
        <w:outlineLvl w:val="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1.由于设计变更引起的工程量增减；</w:t>
      </w:r>
    </w:p>
    <w:p w14:paraId="7AF0A338">
      <w:pPr>
        <w:keepNext w:val="0"/>
        <w:keepLines w:val="0"/>
        <w:pageBreakBefore w:val="0"/>
        <w:kinsoku/>
        <w:wordWrap/>
        <w:overflowPunct/>
        <w:topLinePunct w:val="0"/>
        <w:autoSpaceDE/>
        <w:autoSpaceDN/>
        <w:bidi w:val="0"/>
        <w:adjustRightInd w:val="0"/>
        <w:snapToGrid/>
        <w:spacing w:beforeAutospacing="0" w:line="480" w:lineRule="exact"/>
        <w:ind w:left="0" w:firstLine="720" w:firstLineChars="3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2.不可抗力发生。                                                          </w:t>
      </w:r>
    </w:p>
    <w:p w14:paraId="12E8B5A1">
      <w:pPr>
        <w:keepNext w:val="0"/>
        <w:keepLines w:val="0"/>
        <w:pageBreakBefore w:val="0"/>
        <w:kinsoku/>
        <w:wordWrap/>
        <w:overflowPunct/>
        <w:topLinePunct w:val="0"/>
        <w:autoSpaceDE/>
        <w:autoSpaceDN/>
        <w:bidi w:val="0"/>
        <w:adjustRightInd w:val="0"/>
        <w:snapToGrid/>
        <w:spacing w:beforeAutospacing="0" w:line="480" w:lineRule="exact"/>
        <w:ind w:left="0" w:firstLine="482" w:firstLineChars="200"/>
        <w:textAlignment w:val="auto"/>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（三）</w:t>
      </w:r>
      <w:r>
        <w:rPr>
          <w:rFonts w:hint="default" w:ascii="Times New Roman" w:hAnsi="Times New Roman" w:eastAsia="仿宋" w:cs="Times New Roman"/>
          <w:b/>
          <w:color w:val="auto"/>
          <w:sz w:val="24"/>
          <w:highlight w:val="none"/>
        </w:rPr>
        <w:t>工程款支付</w:t>
      </w:r>
    </w:p>
    <w:p w14:paraId="0053C93A">
      <w:pPr>
        <w:keepNext w:val="0"/>
        <w:keepLines w:val="0"/>
        <w:pageBreakBefore w:val="0"/>
        <w:kinsoku/>
        <w:wordWrap/>
        <w:overflowPunct/>
        <w:topLinePunct w:val="0"/>
        <w:autoSpaceDE/>
        <w:autoSpaceDN/>
        <w:bidi w:val="0"/>
        <w:adjustRightInd w:val="0"/>
        <w:snapToGrid/>
        <w:spacing w:beforeAutospacing="0" w:line="480" w:lineRule="exact"/>
        <w:ind w:left="0" w:firstLine="480" w:firstLineChars="200"/>
        <w:textAlignment w:val="auto"/>
        <w:rPr>
          <w:rFonts w:hint="eastAsia" w:ascii="仿宋" w:hAnsi="仿宋" w:eastAsia="仿宋" w:cs="仿宋"/>
          <w:i w:val="0"/>
          <w:iCs w:val="0"/>
          <w:color w:val="auto"/>
          <w:sz w:val="24"/>
          <w:szCs w:val="24"/>
          <w:highlight w:val="none"/>
        </w:rPr>
      </w:pPr>
      <w:r>
        <w:rPr>
          <w:rFonts w:hint="default" w:ascii="Times New Roman" w:hAnsi="Times New Roman" w:eastAsia="仿宋" w:cs="Times New Roman"/>
          <w:color w:val="auto"/>
          <w:sz w:val="24"/>
          <w:highlight w:val="none"/>
        </w:rPr>
        <w:t>工程款的支付方式：</w:t>
      </w:r>
      <w:r>
        <w:rPr>
          <w:rFonts w:hint="eastAsia" w:ascii="仿宋" w:hAnsi="仿宋" w:eastAsia="仿宋" w:cs="仿宋"/>
          <w:i w:val="0"/>
          <w:iCs w:val="0"/>
          <w:color w:val="auto"/>
          <w:kern w:val="2"/>
          <w:sz w:val="24"/>
          <w:szCs w:val="24"/>
          <w:highlight w:val="none"/>
          <w:u w:val="single"/>
          <w:lang w:val="en-US" w:eastAsia="zh-CN"/>
        </w:rPr>
        <w:t xml:space="preserve">                      。</w:t>
      </w:r>
    </w:p>
    <w:p w14:paraId="671F4FB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5BCBD21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四、材料和设备供应</w:t>
      </w:r>
    </w:p>
    <w:p w14:paraId="1F10991F">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color w:val="auto"/>
          <w:sz w:val="24"/>
          <w:highlight w:val="none"/>
        </w:rPr>
        <w:t>甲方供应材料、设备</w:t>
      </w:r>
    </w:p>
    <w:p w14:paraId="1CDE7F2D">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甲方供应材料设备</w:t>
      </w:r>
      <w:r>
        <w:rPr>
          <w:rFonts w:hint="eastAsia" w:ascii="仿宋" w:hAnsi="仿宋" w:eastAsia="仿宋" w:cs="仿宋"/>
          <w:color w:val="auto"/>
          <w:sz w:val="24"/>
          <w:highlight w:val="none"/>
          <w:u w:val="single"/>
        </w:rPr>
        <w:t xml:space="preserve">  无，但对特殊材料的单价及供货商需经甲方及有关部门认可。</w:t>
      </w:r>
    </w:p>
    <w:p w14:paraId="161E77C1">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甲方未按照条款约定的材料及设备的规格、数量、质量等级和提供时间、地点供应材料设备，所应承担的责任是：</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4569576D">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（二）乙方采购材料、设备</w:t>
      </w:r>
    </w:p>
    <w:p w14:paraId="6091E9E5">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乙方采购材料、设备：</w:t>
      </w:r>
      <w:r>
        <w:rPr>
          <w:rFonts w:hint="eastAsia" w:ascii="仿宋" w:hAnsi="仿宋" w:eastAsia="仿宋" w:cs="仿宋"/>
          <w:b/>
          <w:bCs/>
          <w:color w:val="auto"/>
          <w:sz w:val="24"/>
          <w:highlight w:val="none"/>
          <w:u w:val="single"/>
          <w:lang w:eastAsia="zh-CN"/>
        </w:rPr>
        <w:t>施工中使用的关键原材料（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），必须符合国家标准，乙方</w:t>
      </w:r>
      <w:r>
        <w:rPr>
          <w:rFonts w:hint="eastAsia" w:ascii="仿宋" w:hAnsi="仿宋" w:eastAsia="仿宋" w:cs="仿宋"/>
          <w:b/>
          <w:bCs/>
          <w:color w:val="auto"/>
          <w:sz w:val="24"/>
          <w:highlight w:val="none"/>
          <w:u w:val="single"/>
          <w:lang w:val="en-US" w:eastAsia="zh-CN"/>
        </w:rPr>
        <w:t>原材料（塑胶）</w:t>
      </w:r>
      <w:r>
        <w:rPr>
          <w:rFonts w:hint="eastAsia" w:ascii="仿宋" w:hAnsi="仿宋" w:eastAsia="仿宋" w:cs="仿宋"/>
          <w:b/>
          <w:bCs/>
          <w:color w:val="auto"/>
          <w:sz w:val="24"/>
          <w:highlight w:val="none"/>
          <w:u w:val="single"/>
          <w:lang w:eastAsia="zh-CN"/>
        </w:rPr>
        <w:t>进场后须提供</w:t>
      </w:r>
      <w:r>
        <w:rPr>
          <w:rFonts w:hint="eastAsia" w:ascii="仿宋" w:hAnsi="仿宋" w:eastAsia="仿宋" w:cs="仿宋"/>
          <w:b/>
          <w:bCs/>
          <w:color w:val="auto"/>
          <w:sz w:val="24"/>
          <w:highlight w:val="none"/>
          <w:u w:val="single"/>
          <w:lang w:val="en-US" w:eastAsia="zh-CN"/>
        </w:rPr>
        <w:t>原材料</w:t>
      </w:r>
      <w:r>
        <w:rPr>
          <w:rFonts w:hint="eastAsia" w:ascii="仿宋" w:hAnsi="仿宋" w:eastAsia="仿宋" w:cs="仿宋"/>
          <w:b/>
          <w:bCs/>
          <w:color w:val="auto"/>
          <w:sz w:val="24"/>
          <w:highlight w:val="none"/>
          <w:u w:val="single"/>
          <w:lang w:eastAsia="zh-CN"/>
        </w:rPr>
        <w:t>合格证书及检测报告，原材料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要求一次性进场，由甲方统一封存，甲方将委托有资质的权威检测部门按照国家有关标准对有害物质含量进行随机抽检，抽检合格后才能投入使用。检测合格，所产生的检测费用由</w:t>
      </w:r>
      <w:r>
        <w:rPr>
          <w:rFonts w:hint="eastAsia" w:ascii="仿宋" w:hAnsi="仿宋" w:eastAsia="仿宋" w:cs="仿宋"/>
          <w:b/>
          <w:bCs/>
          <w:color w:val="auto"/>
          <w:sz w:val="24"/>
          <w:highlight w:val="none"/>
          <w:u w:val="single"/>
          <w:lang w:val="en-US" w:eastAsia="zh-CN"/>
        </w:rPr>
        <w:t>甲</w:t>
      </w:r>
      <w:r>
        <w:rPr>
          <w:rFonts w:hint="eastAsia" w:ascii="仿宋" w:hAnsi="仿宋" w:eastAsia="仿宋" w:cs="仿宋"/>
          <w:b/>
          <w:bCs/>
          <w:color w:val="auto"/>
          <w:sz w:val="24"/>
          <w:highlight w:val="none"/>
          <w:u w:val="single"/>
          <w:lang w:eastAsia="zh-CN"/>
        </w:rPr>
        <w:t>方承担。检测不合格，则</w:t>
      </w:r>
      <w:r>
        <w:rPr>
          <w:rFonts w:hint="eastAsia" w:ascii="仿宋" w:hAnsi="仿宋" w:eastAsia="仿宋" w:cs="仿宋"/>
          <w:b/>
          <w:bCs/>
          <w:color w:val="auto"/>
          <w:sz w:val="24"/>
          <w:highlight w:val="none"/>
          <w:u w:val="single"/>
          <w:lang w:val="en-US" w:eastAsia="zh-CN"/>
        </w:rPr>
        <w:t>要求更换所有</w:t>
      </w:r>
      <w:r>
        <w:rPr>
          <w:rFonts w:hint="eastAsia" w:ascii="仿宋" w:hAnsi="仿宋" w:eastAsia="仿宋" w:cs="仿宋"/>
          <w:b/>
          <w:bCs/>
          <w:color w:val="auto"/>
          <w:sz w:val="24"/>
          <w:highlight w:val="none"/>
          <w:u w:val="single"/>
          <w:lang w:eastAsia="zh-CN"/>
        </w:rPr>
        <w:t>原材料</w:t>
      </w:r>
      <w:r>
        <w:rPr>
          <w:rFonts w:hint="eastAsia" w:ascii="仿宋" w:hAnsi="仿宋" w:eastAsia="仿宋" w:cs="仿宋"/>
          <w:b/>
          <w:bCs/>
          <w:color w:val="auto"/>
          <w:sz w:val="24"/>
          <w:highlight w:val="none"/>
          <w:u w:val="single"/>
          <w:lang w:val="en-US" w:eastAsia="zh-CN"/>
        </w:rPr>
        <w:t>（塑胶）</w:t>
      </w:r>
      <w:r>
        <w:rPr>
          <w:rFonts w:hint="eastAsia" w:ascii="仿宋" w:hAnsi="仿宋" w:eastAsia="仿宋" w:cs="仿宋"/>
          <w:b/>
          <w:bCs/>
          <w:color w:val="auto"/>
          <w:sz w:val="24"/>
          <w:highlight w:val="none"/>
          <w:u w:val="single"/>
          <w:lang w:eastAsia="zh-CN"/>
        </w:rPr>
        <w:t>，所产生的检测费用</w:t>
      </w:r>
      <w:r>
        <w:rPr>
          <w:rFonts w:hint="eastAsia" w:ascii="仿宋" w:hAnsi="仿宋" w:eastAsia="仿宋" w:cs="仿宋"/>
          <w:b/>
          <w:bCs/>
          <w:color w:val="auto"/>
          <w:sz w:val="24"/>
          <w:highlight w:val="none"/>
          <w:u w:val="single"/>
          <w:lang w:val="en-US" w:eastAsia="zh-CN"/>
        </w:rPr>
        <w:t>及其他损失</w:t>
      </w:r>
      <w:r>
        <w:rPr>
          <w:rFonts w:hint="eastAsia" w:ascii="仿宋" w:hAnsi="仿宋" w:eastAsia="仿宋" w:cs="仿宋"/>
          <w:b/>
          <w:bCs/>
          <w:color w:val="auto"/>
          <w:sz w:val="24"/>
          <w:highlight w:val="none"/>
          <w:u w:val="single"/>
          <w:lang w:eastAsia="zh-CN"/>
        </w:rPr>
        <w:t>由乙方</w:t>
      </w:r>
      <w:r>
        <w:rPr>
          <w:rFonts w:hint="eastAsia" w:ascii="仿宋" w:hAnsi="仿宋" w:eastAsia="仿宋" w:cs="仿宋"/>
          <w:b/>
          <w:bCs/>
          <w:color w:val="auto"/>
          <w:sz w:val="24"/>
          <w:highlight w:val="none"/>
          <w:u w:val="single"/>
          <w:lang w:val="en-US" w:eastAsia="zh-CN"/>
        </w:rPr>
        <w:t>自行</w:t>
      </w:r>
      <w:r>
        <w:rPr>
          <w:rFonts w:hint="eastAsia" w:ascii="仿宋" w:hAnsi="仿宋" w:eastAsia="仿宋" w:cs="仿宋"/>
          <w:b/>
          <w:bCs/>
          <w:color w:val="auto"/>
          <w:sz w:val="24"/>
          <w:highlight w:val="none"/>
          <w:u w:val="single"/>
          <w:lang w:eastAsia="zh-CN"/>
        </w:rPr>
        <w:t>承担</w:t>
      </w:r>
      <w:r>
        <w:rPr>
          <w:rFonts w:hint="eastAsia" w:ascii="仿宋" w:hAnsi="仿宋" w:eastAsia="仿宋" w:cs="仿宋"/>
          <w:b/>
          <w:bCs/>
          <w:color w:val="auto"/>
          <w:sz w:val="24"/>
          <w:highlight w:val="none"/>
          <w:u w:val="single"/>
        </w:rPr>
        <w:t>。</w:t>
      </w:r>
    </w:p>
    <w:p w14:paraId="6183DF6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特殊要求：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highlight w:val="none"/>
          <w:u w:val="single"/>
        </w:rPr>
        <w:t xml:space="preserve"> </w:t>
      </w:r>
    </w:p>
    <w:p w14:paraId="656ED65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应承担的违约责任：自行处理一切损失和承担相应的违约责任。 </w:t>
      </w:r>
    </w:p>
    <w:p w14:paraId="6D54A19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0CE9139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五、设计变更</w:t>
      </w:r>
    </w:p>
    <w:p w14:paraId="66A1C295">
      <w:pPr>
        <w:keepNext w:val="0"/>
        <w:keepLines w:val="0"/>
        <w:pageBreakBefore w:val="0"/>
        <w:widowControl w:val="0"/>
        <w:kinsoku/>
        <w:wordWrap/>
        <w:overflowPunct/>
        <w:topLinePunct w:val="0"/>
        <w:autoSpaceDE/>
        <w:autoSpaceDN/>
        <w:bidi w:val="0"/>
        <w:adjustRightInd w:val="0"/>
        <w:snapToGrid/>
        <w:spacing w:line="480" w:lineRule="exact"/>
        <w:ind w:firstLine="472" w:firstLineChars="197"/>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当本工程需要变更时，应符合国家法律法规相关规定出具工程变更联系单，并按招标方及其上级部门的规定程序及权限进行审批，经招标方、总监审批同意后，方可进行变更。变更的工程量应根据变更设计图纸、变更联系单、图纸会审纪要等，并按有关工程量计算规则计算确定。</w:t>
      </w:r>
    </w:p>
    <w:p w14:paraId="62C6196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六、竣工结算</w:t>
      </w:r>
    </w:p>
    <w:p w14:paraId="18B5BF9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本工程验收达到约定条件后，乙方应在28日内提供工程结算。甲方按内部规定的时间内提供审核意见报有关部门核准。</w:t>
      </w:r>
    </w:p>
    <w:p w14:paraId="083F56B7">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甲方未按合同规定办理竣工结算时，应承担的责任为：支付同期银行利息；乙方未按合同规定办理竣工结算时，应承担的责任为：甲方将不予退还质量保证金。 </w:t>
      </w:r>
    </w:p>
    <w:p w14:paraId="265098F6">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竣工决算还应执行以下条款：</w:t>
      </w:r>
    </w:p>
    <w:p w14:paraId="43D4F6D6">
      <w:pPr>
        <w:keepNext w:val="0"/>
        <w:keepLines w:val="0"/>
        <w:pageBreakBefore w:val="0"/>
        <w:widowControl w:val="0"/>
        <w:kinsoku/>
        <w:wordWrap/>
        <w:overflowPunct/>
        <w:topLinePunct w:val="0"/>
        <w:autoSpaceDE/>
        <w:autoSpaceDN/>
        <w:bidi w:val="0"/>
        <w:adjustRightInd w:val="0"/>
        <w:snapToGrid/>
        <w:spacing w:line="480" w:lineRule="exact"/>
        <w:ind w:firstLine="51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（一）决算按招标人参考价口径和工程变更中的相应条款。</w:t>
      </w:r>
    </w:p>
    <w:p w14:paraId="02016851">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w:t>
      </w:r>
      <w:r>
        <w:rPr>
          <w:rFonts w:hint="eastAsia" w:eastAsia="仿宋" w:cs="Times New Roman"/>
          <w:color w:val="auto"/>
          <w:sz w:val="24"/>
          <w:highlight w:val="none"/>
          <w:lang w:val="en-US" w:eastAsia="zh-CN"/>
        </w:rPr>
        <w:t>二</w:t>
      </w:r>
      <w:r>
        <w:rPr>
          <w:rFonts w:hint="default" w:ascii="Times New Roman" w:hAnsi="Times New Roman" w:eastAsia="仿宋" w:cs="Times New Roman"/>
          <w:color w:val="auto"/>
          <w:sz w:val="24"/>
          <w:highlight w:val="none"/>
        </w:rPr>
        <w:t>）甲方内部的其它规定。</w:t>
      </w:r>
    </w:p>
    <w:p w14:paraId="779F4C69">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6EC6E6D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r>
        <w:rPr>
          <w:rFonts w:hint="default" w:ascii="Times New Roman" w:hAnsi="Times New Roman" w:eastAsia="仿宋" w:cs="Times New Roman"/>
          <w:color w:val="auto"/>
          <w:sz w:val="32"/>
          <w:highlight w:val="none"/>
        </w:rPr>
        <w:t>七、保  修</w:t>
      </w:r>
    </w:p>
    <w:p w14:paraId="247D1019">
      <w:pPr>
        <w:spacing w:line="500" w:lineRule="exact"/>
        <w:ind w:firstLine="354" w:firstLineChars="147"/>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bCs/>
          <w:color w:val="auto"/>
          <w:sz w:val="24"/>
          <w:highlight w:val="none"/>
        </w:rPr>
        <w:t>（一）</w:t>
      </w:r>
      <w:r>
        <w:rPr>
          <w:rFonts w:hint="default" w:ascii="Times New Roman" w:hAnsi="Times New Roman" w:eastAsia="仿宋" w:cs="Times New Roman"/>
          <w:b/>
          <w:color w:val="auto"/>
          <w:sz w:val="24"/>
          <w:highlight w:val="none"/>
        </w:rPr>
        <w:t>保修期限</w:t>
      </w:r>
    </w:p>
    <w:p w14:paraId="03CF32BA">
      <w:pPr>
        <w:spacing w:line="500" w:lineRule="exact"/>
        <w:ind w:firstLine="51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本工程保修期限按国家规定为：本工程保修期为</w:t>
      </w:r>
      <w:r>
        <w:rPr>
          <w:rFonts w:hint="eastAsia" w:eastAsia="仿宋" w:cs="Times New Roman"/>
          <w:color w:val="auto"/>
          <w:sz w:val="24"/>
          <w:highlight w:val="none"/>
          <w:lang w:val="en-US" w:eastAsia="zh-CN"/>
        </w:rPr>
        <w:t>二</w:t>
      </w:r>
      <w:r>
        <w:rPr>
          <w:rFonts w:hint="default" w:ascii="Times New Roman" w:hAnsi="Times New Roman" w:eastAsia="仿宋" w:cs="Times New Roman"/>
          <w:color w:val="auto"/>
          <w:sz w:val="24"/>
          <w:highlight w:val="none"/>
        </w:rPr>
        <w:t>年，保修期从甲方批准的竣工之日起计算。</w:t>
      </w:r>
    </w:p>
    <w:p w14:paraId="7CE1259E">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default" w:ascii="Times New Roman" w:hAnsi="Times New Roman" w:eastAsia="仿宋" w:cs="Times New Roman"/>
          <w:color w:val="auto"/>
          <w:sz w:val="32"/>
          <w:highlight w:val="none"/>
        </w:rPr>
      </w:pPr>
    </w:p>
    <w:p w14:paraId="77A93518">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3520" w:firstLineChars="1100"/>
        <w:textAlignment w:val="auto"/>
        <w:outlineLvl w:val="0"/>
        <w:rPr>
          <w:rFonts w:hint="eastAsia" w:ascii="仿宋" w:hAnsi="仿宋" w:eastAsia="仿宋" w:cs="仿宋"/>
          <w:color w:val="auto"/>
          <w:kern w:val="2"/>
          <w:sz w:val="24"/>
          <w:szCs w:val="24"/>
          <w:highlight w:val="none"/>
        </w:rPr>
      </w:pPr>
      <w:r>
        <w:rPr>
          <w:rFonts w:hint="default" w:ascii="Times New Roman" w:hAnsi="Times New Roman" w:eastAsia="仿宋" w:cs="Times New Roman"/>
          <w:color w:val="auto"/>
          <w:sz w:val="32"/>
          <w:highlight w:val="none"/>
        </w:rPr>
        <w:t>八、其  它</w:t>
      </w:r>
    </w:p>
    <w:p w14:paraId="5C83C42B">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1.中标单位的施工人员进场后，必须严格按建设单位确定的施工图及工作内容和施工规范施工。遵守建设单位的规章制度，不得损坏建设单位的公共设施。做好“四防” 工作，生产和生活垃圾分别堆放，统一处理，做到文明施工，注意施工安全，施工安全生产人员的保险及费用由中标单位负责，发生安全事故、治安及建设单位安全由中标单位完全负责，保证施工进度。</w:t>
      </w:r>
    </w:p>
    <w:p w14:paraId="4B35839D">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2.在施工过程中若出现工程质量、进度等问题，经甲方三次书面通知后仍未采取有效措施的，甲方有权单方终止合同，并保留索赔的权利。</w:t>
      </w:r>
    </w:p>
    <w:p w14:paraId="5B35ACBE">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3.服务要求：①按有关保修要求和相关期限，如出现质量问题，施工单位在接到单位通知后24小时内答复，72小时内免费修复。②中标单位不签订合同，给招标单位造成损失的，由中标单位承担。③中标单位在施工完毕后，应通知及配合招标单位组织验收。</w:t>
      </w:r>
    </w:p>
    <w:p w14:paraId="5EBFD1DF">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4.保证邻近建筑物的安全，若有损坏或者引起质量问题，中标人需无条件按招标人要求进行修复。</w:t>
      </w:r>
    </w:p>
    <w:p w14:paraId="729D1369">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5.不能影响站内正常的秩序，并要保证站内人员的安全。</w:t>
      </w:r>
    </w:p>
    <w:p w14:paraId="03DA4586">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6.中标单位应按市政府规定办理农民工保险，相关费用由中标单位承担，材料运输、保管和施工中的一切安全由中标单位负责。</w:t>
      </w:r>
    </w:p>
    <w:p w14:paraId="3EE87C91">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7.本工程标底预算中甲方所指定或推荐的材料品牌，中标单位必须按照要求施工，施工前所需材料必须经过甲方认可后方可施工，如擅自施工，甲方有权让中标单位整改，施工过程中产生的所有费用均由中标单位承担。</w:t>
      </w:r>
    </w:p>
    <w:p w14:paraId="55333E3C">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lang w:val="en-US" w:eastAsia="zh-CN"/>
        </w:rPr>
      </w:pPr>
      <w:r>
        <w:rPr>
          <w:rFonts w:hint="eastAsia" w:ascii="仿宋" w:hAnsi="仿宋" w:eastAsia="仿宋" w:cs="仿宋"/>
          <w:i w:val="0"/>
          <w:iCs w:val="0"/>
          <w:color w:val="auto"/>
          <w:kern w:val="2"/>
          <w:sz w:val="24"/>
          <w:szCs w:val="24"/>
          <w:highlight w:val="none"/>
          <w:u w:val="none"/>
          <w:lang w:val="en-US" w:eastAsia="zh-CN"/>
        </w:rPr>
        <w:t>8.各投标单位必须在投标前详细审核全部招标文件（包括图纸及标底预算）、包括修改文件（如果有的话）及有关附件，并根据自身实力合理报价。</w:t>
      </w:r>
    </w:p>
    <w:p w14:paraId="5BA2FC4A">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i w:val="0"/>
          <w:iCs w:val="0"/>
          <w:color w:val="auto"/>
          <w:kern w:val="2"/>
          <w:sz w:val="24"/>
          <w:szCs w:val="24"/>
          <w:highlight w:val="none"/>
          <w:u w:val="none"/>
        </w:rPr>
      </w:pPr>
      <w:r>
        <w:rPr>
          <w:rFonts w:hint="eastAsia" w:ascii="仿宋" w:hAnsi="仿宋" w:eastAsia="仿宋" w:cs="仿宋"/>
          <w:i w:val="0"/>
          <w:iCs w:val="0"/>
          <w:color w:val="auto"/>
          <w:kern w:val="2"/>
          <w:sz w:val="24"/>
          <w:szCs w:val="24"/>
          <w:highlight w:val="none"/>
          <w:u w:val="none"/>
          <w:lang w:val="en-US" w:eastAsia="zh-CN"/>
        </w:rPr>
        <w:t>9.</w:t>
      </w:r>
      <w:r>
        <w:rPr>
          <w:rFonts w:hint="eastAsia" w:ascii="仿宋" w:hAnsi="仿宋" w:eastAsia="仿宋" w:cs="仿宋"/>
          <w:i w:val="0"/>
          <w:iCs w:val="0"/>
          <w:color w:val="auto"/>
          <w:kern w:val="2"/>
          <w:sz w:val="24"/>
          <w:szCs w:val="24"/>
          <w:highlight w:val="none"/>
          <w:u w:val="none"/>
        </w:rPr>
        <w:t>合同双方确认，本合同及本合同约定的其它文件组成部分中的各项约定都是通过法定招标过程形成的合法成果，不存在与招标文件和承包人投标文件实质性内容不一致的条款。如果存在任何此类不一致的条款，也不是合同双方真实意思的表示，对合同双方不构成任 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ACFBC86">
      <w:pPr>
        <w:spacing w:line="336" w:lineRule="auto"/>
        <w:jc w:val="center"/>
        <w:outlineLvl w:val="0"/>
        <w:rPr>
          <w:rFonts w:hint="default" w:ascii="仿宋" w:hAnsi="仿宋" w:eastAsia="仿宋" w:cs="仿宋"/>
          <w:b/>
          <w:color w:val="auto"/>
          <w:sz w:val="36"/>
          <w:szCs w:val="36"/>
          <w:highlight w:val="none"/>
          <w:lang w:val="en-US" w:eastAsia="zh-CN"/>
        </w:rPr>
      </w:pPr>
    </w:p>
    <w:p w14:paraId="50BABFEA">
      <w:pPr>
        <w:spacing w:line="336" w:lineRule="auto"/>
        <w:jc w:val="center"/>
        <w:outlineLvl w:val="0"/>
        <w:rPr>
          <w:rFonts w:hint="eastAsia" w:ascii="仿宋" w:hAnsi="仿宋" w:eastAsia="仿宋" w:cs="仿宋"/>
          <w:b/>
          <w:color w:val="auto"/>
          <w:sz w:val="36"/>
          <w:szCs w:val="36"/>
          <w:highlight w:val="none"/>
        </w:rPr>
      </w:pPr>
    </w:p>
    <w:p w14:paraId="171D85EF">
      <w:pPr>
        <w:spacing w:line="336" w:lineRule="auto"/>
        <w:jc w:val="center"/>
        <w:outlineLvl w:val="0"/>
        <w:rPr>
          <w:rFonts w:hint="eastAsia" w:ascii="仿宋" w:hAnsi="仿宋" w:eastAsia="仿宋" w:cs="仿宋"/>
          <w:b/>
          <w:color w:val="auto"/>
          <w:sz w:val="36"/>
          <w:szCs w:val="36"/>
          <w:highlight w:val="none"/>
        </w:rPr>
      </w:pPr>
    </w:p>
    <w:p w14:paraId="605047CF">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1"/>
      <w:bookmarkEnd w:id="52"/>
      <w:bookmarkStart w:id="72" w:name="第四部分"/>
      <w:r>
        <w:rPr>
          <w:rFonts w:hint="eastAsia" w:ascii="仿宋" w:hAnsi="仿宋" w:eastAsia="仿宋" w:cs="仿宋"/>
          <w:b/>
          <w:color w:val="auto"/>
          <w:sz w:val="36"/>
          <w:szCs w:val="36"/>
          <w:highlight w:val="none"/>
        </w:rPr>
        <w:t>评审方法及评审标准</w:t>
      </w:r>
    </w:p>
    <w:p w14:paraId="65F32011">
      <w:pPr>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1、磋商方法：</w:t>
      </w:r>
    </w:p>
    <w:p w14:paraId="1963D30D">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60C635DA">
      <w:pPr>
        <w:spacing w:line="336" w:lineRule="auto"/>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color w:val="auto"/>
          <w:sz w:val="24"/>
          <w:highlight w:val="none"/>
          <w:lang w:eastAsia="zh-CN"/>
        </w:rPr>
        <w:t>成交人</w:t>
      </w:r>
      <w:r>
        <w:rPr>
          <w:rFonts w:hint="eastAsia" w:ascii="仿宋" w:hAnsi="仿宋" w:eastAsia="仿宋" w:cs="仿宋"/>
          <w:b/>
          <w:color w:val="auto"/>
          <w:sz w:val="24"/>
          <w:highlight w:val="none"/>
        </w:rPr>
        <w:t>推荐资格；评审得分相同的，由采购人或者采购人委托评标委员会按照磋商文件规定的方式确定一个供应商获得</w:t>
      </w:r>
      <w:r>
        <w:rPr>
          <w:rFonts w:hint="eastAsia" w:ascii="仿宋" w:hAnsi="仿宋" w:eastAsia="仿宋" w:cs="仿宋"/>
          <w:b/>
          <w:color w:val="auto"/>
          <w:sz w:val="24"/>
          <w:highlight w:val="none"/>
          <w:lang w:eastAsia="zh-CN"/>
        </w:rPr>
        <w:t>成交人</w:t>
      </w:r>
      <w:r>
        <w:rPr>
          <w:rFonts w:hint="eastAsia" w:ascii="仿宋" w:hAnsi="仿宋" w:eastAsia="仿宋" w:cs="仿宋"/>
          <w:b/>
          <w:color w:val="auto"/>
          <w:sz w:val="24"/>
          <w:highlight w:val="none"/>
        </w:rPr>
        <w:t>推荐资格，磋商文件未规定的采取随机抽取方式确定，其他同品牌供应商不作为中标候选人。</w:t>
      </w:r>
    </w:p>
    <w:p w14:paraId="4AAA788F">
      <w:pPr>
        <w:spacing w:line="336"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非单一产品采购项目，采购人应当根据采购项目技术构成、产品价格比重等合理确定核心产品，并在磋商文件中载明。多家供应商提供的核心产品品牌相同的，按前款规定处理。</w:t>
      </w:r>
    </w:p>
    <w:p w14:paraId="3BECBBE1">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50</w:t>
      </w:r>
      <w:r>
        <w:rPr>
          <w:rFonts w:hint="eastAsia" w:ascii="仿宋" w:hAnsi="仿宋" w:eastAsia="仿宋" w:cs="仿宋"/>
          <w:color w:val="auto"/>
          <w:sz w:val="24"/>
          <w:highlight w:val="none"/>
        </w:rPr>
        <w:t>分。评分依下述所列为评审打分依据，分值如下（计算分值时，按其算术平均值保留小数2位）。</w:t>
      </w:r>
    </w:p>
    <w:p w14:paraId="1B69FAF3">
      <w:pPr>
        <w:spacing w:line="336" w:lineRule="auto"/>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50</w:t>
      </w:r>
      <w:r>
        <w:rPr>
          <w:rFonts w:hint="eastAsia" w:ascii="仿宋" w:hAnsi="仿宋" w:eastAsia="仿宋" w:cs="仿宋"/>
          <w:b/>
          <w:bCs/>
          <w:iCs/>
          <w:color w:val="auto"/>
          <w:sz w:val="24"/>
          <w:highlight w:val="none"/>
        </w:rPr>
        <w:t>分）</w:t>
      </w:r>
    </w:p>
    <w:tbl>
      <w:tblPr>
        <w:tblStyle w:val="60"/>
        <w:tblW w:w="9978" w:type="dxa"/>
        <w:jc w:val="center"/>
        <w:tblLayout w:type="fixed"/>
        <w:tblCellMar>
          <w:top w:w="0" w:type="dxa"/>
          <w:left w:w="108" w:type="dxa"/>
          <w:bottom w:w="0" w:type="dxa"/>
          <w:right w:w="108" w:type="dxa"/>
        </w:tblCellMar>
      </w:tblPr>
      <w:tblGrid>
        <w:gridCol w:w="764"/>
        <w:gridCol w:w="1710"/>
        <w:gridCol w:w="6654"/>
        <w:gridCol w:w="850"/>
      </w:tblGrid>
      <w:tr w14:paraId="61CFDEE9">
        <w:tblPrEx>
          <w:tblCellMar>
            <w:top w:w="0" w:type="dxa"/>
            <w:left w:w="108" w:type="dxa"/>
            <w:bottom w:w="0" w:type="dxa"/>
            <w:right w:w="108" w:type="dxa"/>
          </w:tblCellMar>
        </w:tblPrEx>
        <w:trPr>
          <w:trHeight w:val="50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C46BF6D">
            <w:pPr>
              <w:widowControl w:val="0"/>
              <w:spacing w:line="24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序号</w:t>
            </w:r>
          </w:p>
        </w:tc>
        <w:tc>
          <w:tcPr>
            <w:tcW w:w="1710" w:type="dxa"/>
            <w:tcBorders>
              <w:top w:val="single" w:color="auto" w:sz="4" w:space="0"/>
              <w:left w:val="nil"/>
              <w:bottom w:val="single" w:color="auto" w:sz="4" w:space="0"/>
              <w:right w:val="single" w:color="auto" w:sz="4" w:space="0"/>
            </w:tcBorders>
            <w:noWrap w:val="0"/>
            <w:vAlign w:val="center"/>
          </w:tcPr>
          <w:p w14:paraId="5C8E93ED">
            <w:pPr>
              <w:widowControl w:val="0"/>
              <w:spacing w:line="24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项目名称</w:t>
            </w:r>
          </w:p>
        </w:tc>
        <w:tc>
          <w:tcPr>
            <w:tcW w:w="6654" w:type="dxa"/>
            <w:tcBorders>
              <w:top w:val="single" w:color="auto" w:sz="4" w:space="0"/>
              <w:left w:val="nil"/>
              <w:bottom w:val="single" w:color="auto" w:sz="4" w:space="0"/>
              <w:right w:val="single" w:color="auto" w:sz="4" w:space="0"/>
            </w:tcBorders>
            <w:noWrap w:val="0"/>
            <w:vAlign w:val="center"/>
          </w:tcPr>
          <w:p w14:paraId="2929A451">
            <w:pPr>
              <w:widowControl w:val="0"/>
              <w:spacing w:line="24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评分内容</w:t>
            </w:r>
          </w:p>
        </w:tc>
        <w:tc>
          <w:tcPr>
            <w:tcW w:w="850" w:type="dxa"/>
            <w:tcBorders>
              <w:top w:val="single" w:color="auto" w:sz="4" w:space="0"/>
              <w:left w:val="nil"/>
              <w:bottom w:val="single" w:color="auto" w:sz="4" w:space="0"/>
              <w:right w:val="single" w:color="auto" w:sz="4" w:space="0"/>
            </w:tcBorders>
            <w:noWrap w:val="0"/>
            <w:vAlign w:val="center"/>
          </w:tcPr>
          <w:p w14:paraId="2AC927C3">
            <w:pPr>
              <w:widowControl w:val="0"/>
              <w:spacing w:line="24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分值</w:t>
            </w:r>
          </w:p>
        </w:tc>
      </w:tr>
      <w:tr w14:paraId="234E6DCF">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45E733F">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1</w:t>
            </w:r>
          </w:p>
        </w:tc>
        <w:tc>
          <w:tcPr>
            <w:tcW w:w="1710" w:type="dxa"/>
            <w:tcBorders>
              <w:top w:val="single" w:color="auto" w:sz="4" w:space="0"/>
              <w:left w:val="nil"/>
              <w:bottom w:val="single" w:color="auto" w:sz="4" w:space="0"/>
              <w:right w:val="single" w:color="auto" w:sz="4" w:space="0"/>
            </w:tcBorders>
            <w:noWrap w:val="0"/>
            <w:vAlign w:val="center"/>
          </w:tcPr>
          <w:p w14:paraId="2DEC907E">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w:t>
            </w:r>
          </w:p>
        </w:tc>
        <w:tc>
          <w:tcPr>
            <w:tcW w:w="6654" w:type="dxa"/>
            <w:tcBorders>
              <w:top w:val="single" w:color="auto" w:sz="4" w:space="0"/>
              <w:left w:val="nil"/>
              <w:bottom w:val="single" w:color="auto" w:sz="4" w:space="0"/>
              <w:right w:val="single" w:color="auto" w:sz="4" w:space="0"/>
            </w:tcBorders>
            <w:noWrap w:val="0"/>
            <w:vAlign w:val="top"/>
          </w:tcPr>
          <w:p w14:paraId="08CC2078">
            <w:pPr>
              <w:widowControl w:val="0"/>
              <w:spacing w:line="240" w:lineRule="auto"/>
              <w:jc w:val="left"/>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2"/>
                <w:sz w:val="24"/>
                <w:szCs w:val="24"/>
                <w:highlight w:val="none"/>
                <w:lang w:val="en-US" w:eastAsia="zh-CN" w:bidi="ar-SA"/>
              </w:rPr>
              <w:t>投标人提供自2022年1月1日以来（以合同签订时间为准）承担过类似项目的，每个业绩得1分，本项最高得</w:t>
            </w:r>
            <w:r>
              <w:rPr>
                <w:rFonts w:hint="eastAsia" w:eastAsia="仿宋_GB2312" w:cs="Times New Roman"/>
                <w:b w:val="0"/>
                <w:bCs w:val="0"/>
                <w:color w:val="auto"/>
                <w:kern w:val="2"/>
                <w:sz w:val="24"/>
                <w:szCs w:val="24"/>
                <w:highlight w:val="none"/>
                <w:lang w:val="en-US" w:eastAsia="zh-CN" w:bidi="ar-SA"/>
              </w:rPr>
              <w:t>2</w:t>
            </w:r>
            <w:r>
              <w:rPr>
                <w:rFonts w:hint="eastAsia" w:ascii="Times New Roman" w:hAnsi="Times New Roman" w:eastAsia="仿宋_GB2312" w:cs="Times New Roman"/>
                <w:b w:val="0"/>
                <w:bCs w:val="0"/>
                <w:color w:val="auto"/>
                <w:kern w:val="2"/>
                <w:sz w:val="24"/>
                <w:szCs w:val="24"/>
                <w:highlight w:val="none"/>
                <w:lang w:val="en-US" w:eastAsia="zh-CN" w:bidi="ar-SA"/>
              </w:rPr>
              <w:t>分。</w:t>
            </w:r>
          </w:p>
          <w:p w14:paraId="255C7A9B">
            <w:pPr>
              <w:widowControl w:val="0"/>
              <w:spacing w:line="240" w:lineRule="auto"/>
              <w:jc w:val="left"/>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注：须提供合同复印件并加盖供应商公章，如合同中未体现类似案例的，须提供加盖业主单位公章的证明材料复印件并加盖供应商公章。</w:t>
            </w:r>
          </w:p>
        </w:tc>
        <w:tc>
          <w:tcPr>
            <w:tcW w:w="850" w:type="dxa"/>
            <w:tcBorders>
              <w:top w:val="single" w:color="auto" w:sz="4" w:space="0"/>
              <w:left w:val="nil"/>
              <w:bottom w:val="single" w:color="auto" w:sz="4" w:space="0"/>
              <w:right w:val="single" w:color="auto" w:sz="4" w:space="0"/>
            </w:tcBorders>
            <w:noWrap w:val="0"/>
            <w:vAlign w:val="center"/>
          </w:tcPr>
          <w:p w14:paraId="4C75500C">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分</w:t>
            </w:r>
          </w:p>
        </w:tc>
      </w:tr>
      <w:tr w14:paraId="3EE87595">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9229BD3">
            <w:pPr>
              <w:widowControl w:val="0"/>
              <w:spacing w:line="24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2</w:t>
            </w:r>
          </w:p>
        </w:tc>
        <w:tc>
          <w:tcPr>
            <w:tcW w:w="1710" w:type="dxa"/>
            <w:tcBorders>
              <w:top w:val="single" w:color="auto" w:sz="4" w:space="0"/>
              <w:left w:val="nil"/>
              <w:bottom w:val="single" w:color="auto" w:sz="4" w:space="0"/>
              <w:right w:val="single" w:color="auto" w:sz="4" w:space="0"/>
            </w:tcBorders>
            <w:noWrap w:val="0"/>
            <w:vAlign w:val="center"/>
          </w:tcPr>
          <w:p w14:paraId="042E514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施工方案</w:t>
            </w:r>
          </w:p>
        </w:tc>
        <w:tc>
          <w:tcPr>
            <w:tcW w:w="6654" w:type="dxa"/>
            <w:tcBorders>
              <w:top w:val="single" w:color="auto" w:sz="4" w:space="0"/>
              <w:left w:val="nil"/>
              <w:bottom w:val="single" w:color="auto" w:sz="4" w:space="0"/>
              <w:right w:val="single" w:color="auto" w:sz="4" w:space="0"/>
            </w:tcBorders>
            <w:noWrap w:val="0"/>
            <w:vAlign w:val="center"/>
          </w:tcPr>
          <w:p w14:paraId="557DC45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根据投标人提供的施工方法的合理性，工艺的可行性等情况进行打分。</w:t>
            </w:r>
            <w:r>
              <w:rPr>
                <w:rFonts w:hint="eastAsia" w:ascii="仿宋" w:hAnsi="仿宋" w:eastAsia="仿宋" w:cs="仿宋"/>
                <w:sz w:val="24"/>
                <w:highlight w:val="none"/>
              </w:rPr>
              <w:t>(本项分值设置为</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,4,3,2,1,0.5,0分)</w:t>
            </w:r>
          </w:p>
        </w:tc>
        <w:tc>
          <w:tcPr>
            <w:tcW w:w="850" w:type="dxa"/>
            <w:tcBorders>
              <w:top w:val="single" w:color="auto" w:sz="4" w:space="0"/>
              <w:left w:val="nil"/>
              <w:bottom w:val="single" w:color="auto" w:sz="4" w:space="0"/>
              <w:right w:val="single" w:color="auto" w:sz="4" w:space="0"/>
            </w:tcBorders>
            <w:noWrap w:val="0"/>
            <w:vAlign w:val="center"/>
          </w:tcPr>
          <w:p w14:paraId="5474B4A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5分</w:t>
            </w:r>
          </w:p>
        </w:tc>
      </w:tr>
      <w:tr w14:paraId="45CEF5A0">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36CAD1E">
            <w:pPr>
              <w:widowControl w:val="0"/>
              <w:spacing w:line="240" w:lineRule="auto"/>
              <w:jc w:val="center"/>
              <w:rPr>
                <w:rFonts w:hint="default"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3</w:t>
            </w:r>
          </w:p>
        </w:tc>
        <w:tc>
          <w:tcPr>
            <w:tcW w:w="1710" w:type="dxa"/>
            <w:tcBorders>
              <w:top w:val="single" w:color="auto" w:sz="4" w:space="0"/>
              <w:left w:val="nil"/>
              <w:bottom w:val="single" w:color="auto" w:sz="4" w:space="0"/>
              <w:right w:val="single" w:color="auto" w:sz="4" w:space="0"/>
            </w:tcBorders>
            <w:noWrap w:val="0"/>
            <w:vAlign w:val="center"/>
          </w:tcPr>
          <w:p w14:paraId="7A507A4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质量措施方案</w:t>
            </w:r>
          </w:p>
        </w:tc>
        <w:tc>
          <w:tcPr>
            <w:tcW w:w="6654" w:type="dxa"/>
            <w:tcBorders>
              <w:top w:val="single" w:color="auto" w:sz="4" w:space="0"/>
              <w:left w:val="nil"/>
              <w:bottom w:val="single" w:color="auto" w:sz="4" w:space="0"/>
              <w:right w:val="single" w:color="auto" w:sz="4" w:space="0"/>
            </w:tcBorders>
            <w:noWrap w:val="0"/>
            <w:vAlign w:val="center"/>
          </w:tcPr>
          <w:p w14:paraId="7B2ABC4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根据投标人提供的质量保证措施方案的适应性和合理性进行打分。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731A38A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0586714D">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FDBAAB8">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4</w:t>
            </w:r>
          </w:p>
        </w:tc>
        <w:tc>
          <w:tcPr>
            <w:tcW w:w="1710" w:type="dxa"/>
            <w:tcBorders>
              <w:top w:val="single" w:color="auto" w:sz="4" w:space="0"/>
              <w:left w:val="nil"/>
              <w:bottom w:val="single" w:color="auto" w:sz="4" w:space="0"/>
              <w:right w:val="single" w:color="auto" w:sz="4" w:space="0"/>
            </w:tcBorders>
            <w:noWrap w:val="0"/>
            <w:vAlign w:val="center"/>
          </w:tcPr>
          <w:p w14:paraId="3D1605F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重难点方案</w:t>
            </w:r>
          </w:p>
        </w:tc>
        <w:tc>
          <w:tcPr>
            <w:tcW w:w="6654" w:type="dxa"/>
            <w:tcBorders>
              <w:top w:val="single" w:color="auto" w:sz="4" w:space="0"/>
              <w:left w:val="nil"/>
              <w:bottom w:val="single" w:color="auto" w:sz="4" w:space="0"/>
              <w:right w:val="single" w:color="auto" w:sz="4" w:space="0"/>
            </w:tcBorders>
            <w:noWrap w:val="0"/>
            <w:vAlign w:val="center"/>
          </w:tcPr>
          <w:p w14:paraId="517CC869">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根据投标人提供的施工关键工序、复杂环节的相应技术措施的周全性，有针对性，可实施性;科学、可靠、可行。</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6278B6B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r>
      <w:tr w14:paraId="5A114C38">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42F5361">
            <w:pPr>
              <w:widowControl w:val="0"/>
              <w:spacing w:line="240" w:lineRule="auto"/>
              <w:jc w:val="center"/>
              <w:rPr>
                <w:rFonts w:hint="default"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5</w:t>
            </w:r>
          </w:p>
        </w:tc>
        <w:tc>
          <w:tcPr>
            <w:tcW w:w="1710" w:type="dxa"/>
            <w:tcBorders>
              <w:top w:val="single" w:color="auto" w:sz="4" w:space="0"/>
              <w:left w:val="nil"/>
              <w:bottom w:val="single" w:color="auto" w:sz="4" w:space="0"/>
              <w:right w:val="single" w:color="auto" w:sz="4" w:space="0"/>
            </w:tcBorders>
            <w:noWrap w:val="0"/>
            <w:vAlign w:val="center"/>
          </w:tcPr>
          <w:p w14:paraId="3185EE0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施工进度计划</w:t>
            </w:r>
          </w:p>
        </w:tc>
        <w:tc>
          <w:tcPr>
            <w:tcW w:w="6654" w:type="dxa"/>
            <w:tcBorders>
              <w:top w:val="single" w:color="auto" w:sz="4" w:space="0"/>
              <w:left w:val="nil"/>
              <w:bottom w:val="single" w:color="auto" w:sz="4" w:space="0"/>
              <w:right w:val="single" w:color="auto" w:sz="4" w:space="0"/>
            </w:tcBorders>
            <w:noWrap w:val="0"/>
            <w:vAlign w:val="center"/>
          </w:tcPr>
          <w:p w14:paraId="5DA2345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根据投标人提供的进度计划安排的科学性和合理性进行评分，供应商提供的施工总进度计划安排需完善合理，各主要施工工序应有详细周密的劳动力安排计划和材料进场计划，制定施工进度计划网络图。</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679CE7E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57083004">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08926C4">
            <w:pPr>
              <w:widowControl w:val="0"/>
              <w:spacing w:line="24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6</w:t>
            </w:r>
          </w:p>
        </w:tc>
        <w:tc>
          <w:tcPr>
            <w:tcW w:w="1710" w:type="dxa"/>
            <w:tcBorders>
              <w:top w:val="single" w:color="auto" w:sz="4" w:space="0"/>
              <w:left w:val="nil"/>
              <w:bottom w:val="single" w:color="auto" w:sz="4" w:space="0"/>
              <w:right w:val="single" w:color="auto" w:sz="4" w:space="0"/>
            </w:tcBorders>
            <w:noWrap w:val="0"/>
            <w:vAlign w:val="center"/>
          </w:tcPr>
          <w:p w14:paraId="52573BC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安全文明方案</w:t>
            </w:r>
          </w:p>
        </w:tc>
        <w:tc>
          <w:tcPr>
            <w:tcW w:w="6654" w:type="dxa"/>
            <w:tcBorders>
              <w:top w:val="single" w:color="auto" w:sz="4" w:space="0"/>
              <w:left w:val="nil"/>
              <w:bottom w:val="single" w:color="auto" w:sz="4" w:space="0"/>
              <w:right w:val="single" w:color="auto" w:sz="4" w:space="0"/>
            </w:tcBorders>
            <w:noWrap w:val="0"/>
            <w:vAlign w:val="center"/>
          </w:tcPr>
          <w:p w14:paraId="3AA76359">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根据投标人提供的安全、文明施工及市政、市容、环保、消防等的保证措施方案的适应性和合理性进行打分。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0F50310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r>
      <w:tr w14:paraId="29A50F64">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DECA7D7">
            <w:pPr>
              <w:widowControl w:val="0"/>
              <w:spacing w:line="240" w:lineRule="auto"/>
              <w:jc w:val="center"/>
              <w:rPr>
                <w:rFonts w:hint="default"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7</w:t>
            </w:r>
          </w:p>
        </w:tc>
        <w:tc>
          <w:tcPr>
            <w:tcW w:w="1710" w:type="dxa"/>
            <w:tcBorders>
              <w:top w:val="single" w:color="auto" w:sz="4" w:space="0"/>
              <w:left w:val="nil"/>
              <w:bottom w:val="single" w:color="auto" w:sz="4" w:space="0"/>
              <w:right w:val="single" w:color="auto" w:sz="4" w:space="0"/>
            </w:tcBorders>
            <w:noWrap w:val="0"/>
            <w:vAlign w:val="center"/>
          </w:tcPr>
          <w:p w14:paraId="53878B3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人员配置</w:t>
            </w:r>
          </w:p>
        </w:tc>
        <w:tc>
          <w:tcPr>
            <w:tcW w:w="6654" w:type="dxa"/>
            <w:tcBorders>
              <w:top w:val="single" w:color="auto" w:sz="4" w:space="0"/>
              <w:left w:val="nil"/>
              <w:bottom w:val="single" w:color="auto" w:sz="4" w:space="0"/>
              <w:right w:val="single" w:color="auto" w:sz="4" w:space="0"/>
            </w:tcBorders>
            <w:noWrap w:val="0"/>
            <w:vAlign w:val="center"/>
          </w:tcPr>
          <w:p w14:paraId="3991AD0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根据投标人提供的派驻现场的工程技术管理人员的专业配置情况进行打分，包括提供的人员配置数量、结构、内部管理制度以及如何满足本工程的施工的要求内容。</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712FD26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E1B1E0C">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89013F">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8</w:t>
            </w:r>
          </w:p>
        </w:tc>
        <w:tc>
          <w:tcPr>
            <w:tcW w:w="1710" w:type="dxa"/>
            <w:tcBorders>
              <w:top w:val="single" w:color="auto" w:sz="4" w:space="0"/>
              <w:left w:val="nil"/>
              <w:bottom w:val="single" w:color="auto" w:sz="4" w:space="0"/>
              <w:right w:val="single" w:color="auto" w:sz="4" w:space="0"/>
            </w:tcBorders>
            <w:noWrap w:val="0"/>
            <w:vAlign w:val="center"/>
          </w:tcPr>
          <w:p w14:paraId="77F2809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项目经理到位率</w:t>
            </w:r>
          </w:p>
        </w:tc>
        <w:tc>
          <w:tcPr>
            <w:tcW w:w="6654" w:type="dxa"/>
            <w:tcBorders>
              <w:top w:val="single" w:color="auto" w:sz="4" w:space="0"/>
              <w:left w:val="nil"/>
              <w:bottom w:val="single" w:color="auto" w:sz="4" w:space="0"/>
              <w:right w:val="single" w:color="auto" w:sz="4" w:space="0"/>
            </w:tcBorders>
            <w:noWrap w:val="0"/>
            <w:vAlign w:val="center"/>
          </w:tcPr>
          <w:p w14:paraId="2BA0F8BA">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拟派项目经理到位率承诺达到90%及以上得3分；达到80%及以上得1分；低于80%不得分。</w:t>
            </w:r>
          </w:p>
        </w:tc>
        <w:tc>
          <w:tcPr>
            <w:tcW w:w="850" w:type="dxa"/>
            <w:tcBorders>
              <w:top w:val="single" w:color="auto" w:sz="4" w:space="0"/>
              <w:left w:val="nil"/>
              <w:bottom w:val="single" w:color="auto" w:sz="4" w:space="0"/>
              <w:right w:val="single" w:color="auto" w:sz="4" w:space="0"/>
            </w:tcBorders>
            <w:noWrap w:val="0"/>
            <w:vAlign w:val="center"/>
          </w:tcPr>
          <w:p w14:paraId="49AA2BE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2A2829C1">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D6F15E3">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9</w:t>
            </w:r>
          </w:p>
        </w:tc>
        <w:tc>
          <w:tcPr>
            <w:tcW w:w="1710" w:type="dxa"/>
            <w:tcBorders>
              <w:top w:val="single" w:color="auto" w:sz="4" w:space="0"/>
              <w:left w:val="nil"/>
              <w:bottom w:val="single" w:color="auto" w:sz="4" w:space="0"/>
              <w:right w:val="single" w:color="auto" w:sz="4" w:space="0"/>
            </w:tcBorders>
            <w:noWrap w:val="0"/>
            <w:vAlign w:val="center"/>
          </w:tcPr>
          <w:p w14:paraId="7C30A3B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确保工期措施和方案</w:t>
            </w:r>
          </w:p>
        </w:tc>
        <w:tc>
          <w:tcPr>
            <w:tcW w:w="6654" w:type="dxa"/>
            <w:tcBorders>
              <w:top w:val="single" w:color="auto" w:sz="4" w:space="0"/>
              <w:left w:val="nil"/>
              <w:bottom w:val="single" w:color="auto" w:sz="4" w:space="0"/>
              <w:right w:val="single" w:color="auto" w:sz="4" w:space="0"/>
            </w:tcBorders>
            <w:noWrap w:val="0"/>
            <w:vAlign w:val="center"/>
          </w:tcPr>
          <w:p w14:paraId="31CEB7C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根据投标人提供的确保工期措施和方案的科学性、完整性、针对性进行打分。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003564A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0506C1E5">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A88DE4E">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10</w:t>
            </w:r>
          </w:p>
        </w:tc>
        <w:tc>
          <w:tcPr>
            <w:tcW w:w="1710" w:type="dxa"/>
            <w:tcBorders>
              <w:top w:val="single" w:color="auto" w:sz="4" w:space="0"/>
              <w:left w:val="nil"/>
              <w:bottom w:val="single" w:color="auto" w:sz="4" w:space="0"/>
              <w:right w:val="single" w:color="auto" w:sz="4" w:space="0"/>
            </w:tcBorders>
            <w:noWrap w:val="0"/>
            <w:vAlign w:val="center"/>
          </w:tcPr>
          <w:p w14:paraId="41AA098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合理化建议</w:t>
            </w:r>
          </w:p>
        </w:tc>
        <w:tc>
          <w:tcPr>
            <w:tcW w:w="6654" w:type="dxa"/>
            <w:tcBorders>
              <w:top w:val="single" w:color="auto" w:sz="4" w:space="0"/>
              <w:left w:val="nil"/>
              <w:bottom w:val="single" w:color="auto" w:sz="4" w:space="0"/>
              <w:right w:val="single" w:color="auto" w:sz="4" w:space="0"/>
            </w:tcBorders>
            <w:noWrap w:val="0"/>
            <w:vAlign w:val="center"/>
          </w:tcPr>
          <w:p w14:paraId="72C729BE">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根据投标人提供对项目实施过程的重点、难点、具体建议的针对性和提出改进措施的合理性进行打分。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0DA809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3D1DC44A">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C8A60AA">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11</w:t>
            </w:r>
          </w:p>
        </w:tc>
        <w:tc>
          <w:tcPr>
            <w:tcW w:w="1710" w:type="dxa"/>
            <w:tcBorders>
              <w:top w:val="single" w:color="auto" w:sz="4" w:space="0"/>
              <w:left w:val="nil"/>
              <w:bottom w:val="single" w:color="auto" w:sz="4" w:space="0"/>
              <w:right w:val="single" w:color="auto" w:sz="4" w:space="0"/>
            </w:tcBorders>
            <w:noWrap w:val="0"/>
            <w:vAlign w:val="center"/>
          </w:tcPr>
          <w:p w14:paraId="07ADDDF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工程设备</w:t>
            </w:r>
          </w:p>
        </w:tc>
        <w:tc>
          <w:tcPr>
            <w:tcW w:w="6654" w:type="dxa"/>
            <w:tcBorders>
              <w:top w:val="single" w:color="auto" w:sz="4" w:space="0"/>
              <w:left w:val="nil"/>
              <w:bottom w:val="single" w:color="auto" w:sz="4" w:space="0"/>
              <w:right w:val="single" w:color="auto" w:sz="4" w:space="0"/>
            </w:tcBorders>
            <w:noWrap w:val="0"/>
            <w:vAlign w:val="center"/>
          </w:tcPr>
          <w:p w14:paraId="7E580CA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根据投标人提供的施工机具和检验仪器与工程质量和进度的符合性进行打分。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B2B1EC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2950571">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82B77A7">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12</w:t>
            </w:r>
          </w:p>
        </w:tc>
        <w:tc>
          <w:tcPr>
            <w:tcW w:w="1710" w:type="dxa"/>
            <w:tcBorders>
              <w:top w:val="single" w:color="auto" w:sz="4" w:space="0"/>
              <w:left w:val="nil"/>
              <w:bottom w:val="single" w:color="auto" w:sz="4" w:space="0"/>
              <w:right w:val="single" w:color="auto" w:sz="4" w:space="0"/>
            </w:tcBorders>
            <w:noWrap w:val="0"/>
            <w:vAlign w:val="center"/>
          </w:tcPr>
          <w:p w14:paraId="77F306C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服务承诺</w:t>
            </w:r>
          </w:p>
        </w:tc>
        <w:tc>
          <w:tcPr>
            <w:tcW w:w="6654" w:type="dxa"/>
            <w:tcBorders>
              <w:top w:val="single" w:color="auto" w:sz="4" w:space="0"/>
              <w:left w:val="nil"/>
              <w:bottom w:val="single" w:color="auto" w:sz="4" w:space="0"/>
              <w:right w:val="single" w:color="auto" w:sz="4" w:space="0"/>
            </w:tcBorders>
            <w:noWrap w:val="0"/>
            <w:vAlign w:val="center"/>
          </w:tcPr>
          <w:p w14:paraId="0E79EFE6">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根据投标人提供的免费保修、售后服务方案合理性、适应性进行打分。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1C1A2AA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1F392B6B">
        <w:tblPrEx>
          <w:tblCellMar>
            <w:top w:w="0" w:type="dxa"/>
            <w:left w:w="108" w:type="dxa"/>
            <w:bottom w:w="0" w:type="dxa"/>
            <w:right w:w="108" w:type="dxa"/>
          </w:tblCellMar>
        </w:tblPrEx>
        <w:trPr>
          <w:trHeight w:val="41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0EF012A7">
            <w:pPr>
              <w:widowControl w:val="0"/>
              <w:spacing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13</w:t>
            </w:r>
          </w:p>
        </w:tc>
        <w:tc>
          <w:tcPr>
            <w:tcW w:w="1710" w:type="dxa"/>
            <w:tcBorders>
              <w:top w:val="single" w:color="auto" w:sz="4" w:space="0"/>
              <w:left w:val="nil"/>
              <w:bottom w:val="single" w:color="auto" w:sz="4" w:space="0"/>
              <w:right w:val="single" w:color="auto" w:sz="4" w:space="0"/>
            </w:tcBorders>
            <w:noWrap w:val="0"/>
            <w:vAlign w:val="center"/>
          </w:tcPr>
          <w:p w14:paraId="0F31373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应急预案</w:t>
            </w:r>
          </w:p>
        </w:tc>
        <w:tc>
          <w:tcPr>
            <w:tcW w:w="6654" w:type="dxa"/>
            <w:tcBorders>
              <w:top w:val="single" w:color="auto" w:sz="4" w:space="0"/>
              <w:left w:val="nil"/>
              <w:bottom w:val="single" w:color="auto" w:sz="4" w:space="0"/>
              <w:right w:val="single" w:color="auto" w:sz="4" w:space="0"/>
            </w:tcBorders>
            <w:noWrap w:val="0"/>
            <w:vAlign w:val="center"/>
          </w:tcPr>
          <w:p w14:paraId="3A56A63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根据投标人提供针对安全事故、恶劣天气以及突发等情况的应急预案的合理性和适用性进行打分。</w:t>
            </w:r>
            <w:r>
              <w:rPr>
                <w:rFonts w:hint="eastAsia" w:ascii="仿宋" w:hAnsi="仿宋" w:eastAsia="仿宋" w:cs="仿宋"/>
                <w:sz w:val="24"/>
                <w:highlight w:val="none"/>
              </w:rPr>
              <w:t>(本项分值设置为4,3,2,1,0.5,0分)</w:t>
            </w:r>
          </w:p>
        </w:tc>
        <w:tc>
          <w:tcPr>
            <w:tcW w:w="850" w:type="dxa"/>
            <w:tcBorders>
              <w:top w:val="single" w:color="auto" w:sz="4" w:space="0"/>
              <w:left w:val="nil"/>
              <w:bottom w:val="single" w:color="auto" w:sz="4" w:space="0"/>
              <w:right w:val="single" w:color="auto" w:sz="4" w:space="0"/>
            </w:tcBorders>
            <w:noWrap w:val="0"/>
            <w:vAlign w:val="center"/>
          </w:tcPr>
          <w:p w14:paraId="2DB92C8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4分</w:t>
            </w:r>
          </w:p>
        </w:tc>
      </w:tr>
    </w:tbl>
    <w:p w14:paraId="0EEB64A2">
      <w:pPr>
        <w:adjustRightInd/>
        <w:spacing w:line="336"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1CCF641A">
      <w:pPr>
        <w:spacing w:line="336" w:lineRule="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50</w:t>
      </w:r>
      <w:r>
        <w:rPr>
          <w:rFonts w:hint="eastAsia" w:ascii="仿宋" w:hAnsi="仿宋" w:eastAsia="仿宋" w:cs="仿宋"/>
          <w:b/>
          <w:bCs/>
          <w:iCs/>
          <w:color w:val="auto"/>
          <w:sz w:val="24"/>
          <w:highlight w:val="none"/>
        </w:rPr>
        <w:t>分）</w:t>
      </w:r>
    </w:p>
    <w:p w14:paraId="4D78F033">
      <w:pPr>
        <w:spacing w:line="336"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6A572CD1">
      <w:pPr>
        <w:spacing w:line="336"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217F0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0C29D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hint="default"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50</w:t>
      </w:r>
    </w:p>
    <w:p w14:paraId="724C4A53">
      <w:pPr>
        <w:pStyle w:val="71"/>
        <w:spacing w:line="336" w:lineRule="auto"/>
        <w:rPr>
          <w:rFonts w:ascii="仿宋" w:hAnsi="仿宋" w:eastAsia="仿宋" w:cs="仿宋"/>
          <w:color w:val="auto"/>
          <w:highlight w:val="none"/>
        </w:rPr>
      </w:pPr>
    </w:p>
    <w:p w14:paraId="2DDCE154">
      <w:pPr>
        <w:adjustRightInd/>
        <w:spacing w:line="336" w:lineRule="auto"/>
        <w:ind w:firstLine="482" w:firstLineChars="200"/>
        <w:rPr>
          <w:rFonts w:ascii="仿宋" w:hAnsi="仿宋" w:eastAsia="仿宋" w:cs="仿宋"/>
          <w:b/>
          <w:color w:val="auto"/>
          <w:kern w:val="0"/>
          <w:sz w:val="24"/>
          <w:highlight w:val="none"/>
        </w:rPr>
      </w:pPr>
    </w:p>
    <w:p w14:paraId="1CF96D99">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6C609668">
      <w:pPr>
        <w:pStyle w:val="72"/>
        <w:spacing w:line="336" w:lineRule="auto"/>
        <w:ind w:left="0"/>
        <w:rPr>
          <w:rFonts w:ascii="仿宋" w:hAnsi="仿宋" w:eastAsia="仿宋" w:cs="仿宋"/>
          <w:b/>
          <w:color w:val="auto"/>
          <w:sz w:val="24"/>
          <w:highlight w:val="none"/>
        </w:rPr>
      </w:pPr>
    </w:p>
    <w:p w14:paraId="6F54AD31">
      <w:pPr>
        <w:spacing w:line="336" w:lineRule="auto"/>
        <w:rPr>
          <w:rFonts w:ascii="仿宋" w:hAnsi="仿宋" w:eastAsia="仿宋" w:cs="仿宋"/>
          <w:b/>
          <w:color w:val="auto"/>
          <w:kern w:val="0"/>
          <w:sz w:val="24"/>
          <w:highlight w:val="none"/>
        </w:rPr>
      </w:pPr>
    </w:p>
    <w:p w14:paraId="06C5AFFE">
      <w:pPr>
        <w:pStyle w:val="71"/>
        <w:spacing w:line="336" w:lineRule="auto"/>
        <w:rPr>
          <w:rFonts w:ascii="仿宋" w:hAnsi="仿宋" w:eastAsia="仿宋" w:cs="仿宋"/>
          <w:color w:val="auto"/>
          <w:highlight w:val="none"/>
        </w:rPr>
      </w:pPr>
    </w:p>
    <w:bookmarkEnd w:id="72"/>
    <w:p w14:paraId="4DA47FAC">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664EF5B">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D11483A">
      <w:pPr>
        <w:spacing w:line="336" w:lineRule="auto"/>
        <w:jc w:val="center"/>
        <w:outlineLvl w:val="0"/>
        <w:rPr>
          <w:rFonts w:ascii="仿宋" w:hAnsi="仿宋" w:eastAsia="仿宋" w:cs="仿宋"/>
          <w:b/>
          <w:color w:val="auto"/>
          <w:kern w:val="0"/>
          <w:sz w:val="36"/>
          <w:szCs w:val="36"/>
          <w:highlight w:val="none"/>
        </w:rPr>
      </w:pPr>
    </w:p>
    <w:p w14:paraId="4ABE98BB">
      <w:pPr>
        <w:numPr>
          <w:ilvl w:val="0"/>
          <w:numId w:val="10"/>
        </w:num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符合参加政府采购活动应当具备的一般条件的承诺函……………（页码）</w:t>
      </w:r>
    </w:p>
    <w:p w14:paraId="30B122BD">
      <w:pPr>
        <w:numPr>
          <w:ilvl w:val="0"/>
          <w:numId w:val="10"/>
        </w:numPr>
        <w:snapToGrid w:val="0"/>
        <w:spacing w:line="336"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color w:val="auto"/>
          <w:sz w:val="24"/>
          <w:highlight w:val="none"/>
        </w:rPr>
        <w:t>………………………………………………………………（页码）</w:t>
      </w:r>
    </w:p>
    <w:p w14:paraId="7033D3D4">
      <w:pPr>
        <w:pStyle w:val="24"/>
        <w:spacing w:line="336" w:lineRule="auto"/>
        <w:rPr>
          <w:rFonts w:ascii="仿宋" w:hAnsi="仿宋" w:eastAsia="仿宋" w:cs="仿宋"/>
          <w:color w:val="auto"/>
          <w:highlight w:val="none"/>
        </w:rPr>
      </w:pPr>
      <w:r>
        <w:rPr>
          <w:rFonts w:hint="eastAsia" w:ascii="仿宋" w:hAnsi="仿宋" w:eastAsia="仿宋" w:cs="仿宋"/>
          <w:color w:val="auto"/>
          <w:highlight w:val="none"/>
        </w:rPr>
        <w:t>（3）分包协议………………………………………………………………（页码）</w:t>
      </w:r>
    </w:p>
    <w:p w14:paraId="7A71C60C">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（4）落实政府采购政策需满足的资格要求………………………………（页码）</w:t>
      </w:r>
    </w:p>
    <w:p w14:paraId="28D61324">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（5）本项目的特定资格要求………………………………………………（页码）</w:t>
      </w:r>
    </w:p>
    <w:p w14:paraId="706DC9E0">
      <w:pPr>
        <w:pStyle w:val="115"/>
        <w:keepNext w:val="0"/>
        <w:pageBreakBefore w:val="0"/>
        <w:tabs>
          <w:tab w:val="clear" w:pos="720"/>
        </w:tabs>
        <w:spacing w:line="336" w:lineRule="auto"/>
        <w:jc w:val="center"/>
        <w:outlineLvl w:val="9"/>
        <w:rPr>
          <w:rFonts w:ascii="仿宋" w:hAnsi="仿宋" w:eastAsia="仿宋" w:cs="仿宋"/>
          <w:color w:val="auto"/>
          <w:kern w:val="0"/>
          <w:sz w:val="32"/>
          <w:szCs w:val="32"/>
          <w:highlight w:val="none"/>
        </w:rPr>
      </w:pPr>
      <w:r>
        <w:rPr>
          <w:rFonts w:hint="eastAsia" w:ascii="仿宋" w:hAnsi="仿宋" w:eastAsia="仿宋" w:cs="仿宋"/>
          <w:color w:val="auto"/>
          <w:szCs w:val="36"/>
          <w:highlight w:val="none"/>
        </w:rPr>
        <w:br w:type="page"/>
      </w:r>
      <w:r>
        <w:rPr>
          <w:rFonts w:hint="eastAsia" w:ascii="仿宋" w:hAnsi="仿宋" w:eastAsia="仿宋" w:cs="仿宋"/>
          <w:color w:val="auto"/>
          <w:szCs w:val="36"/>
          <w:highlight w:val="none"/>
        </w:rPr>
        <w:t>一</w:t>
      </w:r>
      <w:r>
        <w:rPr>
          <w:rFonts w:hint="eastAsia" w:ascii="仿宋" w:hAnsi="仿宋" w:eastAsia="仿宋" w:cs="仿宋"/>
          <w:color w:val="auto"/>
          <w:kern w:val="0"/>
          <w:sz w:val="32"/>
          <w:szCs w:val="32"/>
          <w:highlight w:val="none"/>
        </w:rPr>
        <w:t>、符合参加政府采购活动应当具备的一般条件的承诺函</w:t>
      </w:r>
    </w:p>
    <w:p w14:paraId="578922F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FC48DF8">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2ED38239">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DBE87AE">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2B6B308">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1B4B8E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7A37CC6">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11AA98E">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7DFA4F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D191A5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14:paraId="3C29152A">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9B7E2F">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AB8D568">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F268782">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196EB87B">
      <w:pPr>
        <w:spacing w:line="336" w:lineRule="auto"/>
        <w:ind w:firstLine="6480" w:firstLineChars="270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1E0370F">
      <w:pPr>
        <w:snapToGrid w:val="0"/>
        <w:spacing w:line="336" w:lineRule="auto"/>
        <w:jc w:val="center"/>
        <w:rPr>
          <w:rFonts w:ascii="仿宋" w:hAnsi="仿宋" w:eastAsia="仿宋" w:cs="仿宋"/>
          <w:b/>
          <w:color w:val="auto"/>
          <w:kern w:val="0"/>
          <w:sz w:val="32"/>
          <w:szCs w:val="32"/>
          <w:highlight w:val="none"/>
        </w:rPr>
      </w:pPr>
    </w:p>
    <w:p w14:paraId="5022EFEF">
      <w:pPr>
        <w:widowControl/>
        <w:adjustRightInd/>
        <w:spacing w:line="336"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br w:type="page"/>
      </w:r>
    </w:p>
    <w:p w14:paraId="12D6FF80">
      <w:pPr>
        <w:widowControl/>
        <w:spacing w:line="336"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A174E17">
      <w:pPr>
        <w:widowControl/>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[以联合体形式磋商的，提供联合协议（附件4）；本项目不接受联合体磋商或者供应商不以联合体形式磋商的，则不需要提供）]</w:t>
      </w:r>
    </w:p>
    <w:p w14:paraId="1A9E3C9D">
      <w:pPr>
        <w:snapToGrid w:val="0"/>
        <w:spacing w:line="336" w:lineRule="auto"/>
        <w:jc w:val="center"/>
        <w:rPr>
          <w:rFonts w:ascii="仿宋" w:hAnsi="仿宋" w:eastAsia="仿宋" w:cs="仿宋"/>
          <w:b/>
          <w:color w:val="auto"/>
          <w:kern w:val="0"/>
          <w:sz w:val="32"/>
          <w:szCs w:val="32"/>
          <w:highlight w:val="none"/>
        </w:rPr>
      </w:pPr>
    </w:p>
    <w:p w14:paraId="5AE408E9">
      <w:pPr>
        <w:pStyle w:val="71"/>
        <w:rPr>
          <w:color w:val="auto"/>
          <w:highlight w:val="none"/>
        </w:rPr>
      </w:pPr>
    </w:p>
    <w:p w14:paraId="0C733844">
      <w:pPr>
        <w:rPr>
          <w:color w:val="auto"/>
          <w:highlight w:val="none"/>
        </w:rPr>
      </w:pPr>
    </w:p>
    <w:p w14:paraId="2A1F6C5F">
      <w:pPr>
        <w:snapToGrid w:val="0"/>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FF04717">
      <w:pPr>
        <w:widowControl/>
        <w:spacing w:line="336" w:lineRule="auto"/>
        <w:ind w:firstLine="361" w:firstLineChars="1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[中标后以分包方式履行合同的，提供分包意向协议(附件5)；采购人不同意分包或者供应商中标后不以分包方式履行合同的，则不需要提供。]</w:t>
      </w:r>
    </w:p>
    <w:p w14:paraId="76FDB884">
      <w:pPr>
        <w:pStyle w:val="71"/>
        <w:rPr>
          <w:rFonts w:ascii="仿宋" w:hAnsi="仿宋" w:eastAsia="仿宋" w:cs="仿宋"/>
          <w:b/>
          <w:color w:val="auto"/>
          <w:sz w:val="32"/>
          <w:szCs w:val="32"/>
          <w:highlight w:val="none"/>
        </w:rPr>
      </w:pPr>
    </w:p>
    <w:p w14:paraId="7EE93072">
      <w:pPr>
        <w:pStyle w:val="71"/>
        <w:rPr>
          <w:color w:val="auto"/>
          <w:highlight w:val="none"/>
        </w:rPr>
      </w:pPr>
    </w:p>
    <w:p w14:paraId="12F48EF1">
      <w:pPr>
        <w:widowControl/>
        <w:adjustRightInd/>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四、落实政府采购政策需满足的资格要求</w:t>
      </w:r>
    </w:p>
    <w:p w14:paraId="4773FDA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7F07D645">
      <w:pPr>
        <w:snapToGrid w:val="0"/>
        <w:spacing w:line="336"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CA560CD">
      <w:pPr>
        <w:widowControl/>
        <w:spacing w:line="336" w:lineRule="auto"/>
        <w:ind w:firstLine="480"/>
        <w:jc w:val="left"/>
        <w:rPr>
          <w:rFonts w:ascii="仿宋" w:hAnsi="仿宋" w:eastAsia="仿宋" w:cs="仿宋"/>
          <w:color w:val="auto"/>
          <w:sz w:val="24"/>
          <w:highlight w:val="none"/>
        </w:rPr>
      </w:pPr>
    </w:p>
    <w:p w14:paraId="3FCA851F">
      <w:pPr>
        <w:widowControl/>
        <w:spacing w:line="336"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要求以联合体形式参加的，提供联合协议和中小企业声明函（附件7），联合协议中中小企业合同金额应当达到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D39D24B">
      <w:pPr>
        <w:snapToGrid w:val="0"/>
        <w:spacing w:line="336"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B79CB94">
      <w:pPr>
        <w:spacing w:line="336"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要求合同分包的，提供分包意向协议和中小企业声明函（附件7），分包意向协议中中小企业合同金额应当达到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D33CAD4">
      <w:pPr>
        <w:spacing w:line="336" w:lineRule="auto"/>
        <w:jc w:val="both"/>
        <w:rPr>
          <w:rFonts w:ascii="仿宋" w:hAnsi="仿宋" w:eastAsia="仿宋" w:cs="仿宋"/>
          <w:b/>
          <w:color w:val="auto"/>
          <w:sz w:val="32"/>
          <w:szCs w:val="32"/>
          <w:highlight w:val="none"/>
        </w:rPr>
      </w:pPr>
    </w:p>
    <w:p w14:paraId="39CA9A08">
      <w:pPr>
        <w:spacing w:line="336" w:lineRule="auto"/>
        <w:jc w:val="center"/>
        <w:rPr>
          <w:rFonts w:hint="eastAsia" w:ascii="仿宋" w:hAnsi="仿宋" w:eastAsia="仿宋" w:cs="仿宋"/>
          <w:b/>
          <w:color w:val="auto"/>
          <w:kern w:val="0"/>
          <w:sz w:val="32"/>
          <w:szCs w:val="32"/>
          <w:highlight w:val="none"/>
        </w:rPr>
      </w:pPr>
    </w:p>
    <w:p w14:paraId="0FB9B86C">
      <w:pPr>
        <w:spacing w:line="336" w:lineRule="auto"/>
        <w:jc w:val="center"/>
        <w:rPr>
          <w:rFonts w:hint="eastAsia" w:ascii="仿宋" w:hAnsi="仿宋" w:eastAsia="仿宋" w:cs="仿宋"/>
          <w:b/>
          <w:color w:val="auto"/>
          <w:kern w:val="0"/>
          <w:sz w:val="32"/>
          <w:szCs w:val="32"/>
          <w:highlight w:val="none"/>
        </w:rPr>
      </w:pPr>
    </w:p>
    <w:p w14:paraId="2EA83DEB">
      <w:pPr>
        <w:spacing w:line="336"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五、</w:t>
      </w:r>
      <w:r>
        <w:rPr>
          <w:rFonts w:hint="eastAsia" w:ascii="仿宋" w:hAnsi="仿宋" w:eastAsia="仿宋" w:cs="仿宋"/>
          <w:b/>
          <w:color w:val="auto"/>
          <w:sz w:val="32"/>
          <w:szCs w:val="32"/>
          <w:highlight w:val="none"/>
        </w:rPr>
        <w:t>符合特定资格条件要求的资质文件（复印件）</w:t>
      </w:r>
    </w:p>
    <w:p w14:paraId="5A2299F6">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24137545">
      <w:pPr>
        <w:widowControl/>
        <w:spacing w:line="336" w:lineRule="auto"/>
        <w:ind w:firstLine="480" w:firstLineChars="200"/>
        <w:jc w:val="left"/>
        <w:rPr>
          <w:rFonts w:ascii="仿宋" w:hAnsi="仿宋" w:eastAsia="仿宋" w:cs="仿宋"/>
          <w:color w:val="auto"/>
          <w:sz w:val="24"/>
          <w:highlight w:val="none"/>
        </w:rPr>
      </w:pPr>
    </w:p>
    <w:p w14:paraId="06C52B83">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5645741">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ECCF028">
      <w:pPr>
        <w:snapToGrid w:val="0"/>
        <w:spacing w:line="336" w:lineRule="auto"/>
        <w:rPr>
          <w:rFonts w:ascii="仿宋" w:hAnsi="仿宋" w:eastAsia="仿宋" w:cs="仿宋"/>
          <w:color w:val="auto"/>
          <w:kern w:val="0"/>
          <w:sz w:val="24"/>
          <w:highlight w:val="none"/>
          <w:lang w:val="zh-CN"/>
        </w:rPr>
      </w:pPr>
    </w:p>
    <w:p w14:paraId="155D5311">
      <w:pPr>
        <w:spacing w:line="336" w:lineRule="auto"/>
        <w:rPr>
          <w:rFonts w:ascii="仿宋" w:hAnsi="仿宋" w:eastAsia="仿宋" w:cs="仿宋"/>
          <w:color w:val="auto"/>
          <w:kern w:val="0"/>
          <w:sz w:val="24"/>
          <w:highlight w:val="none"/>
          <w:lang w:val="zh-CN"/>
        </w:rPr>
      </w:pPr>
    </w:p>
    <w:p w14:paraId="1750C265">
      <w:pPr>
        <w:pStyle w:val="71"/>
        <w:spacing w:line="336" w:lineRule="auto"/>
        <w:rPr>
          <w:rFonts w:ascii="仿宋" w:hAnsi="仿宋" w:eastAsia="仿宋" w:cs="仿宋"/>
          <w:color w:val="auto"/>
          <w:highlight w:val="none"/>
          <w:lang w:val="zh-CN"/>
        </w:rPr>
      </w:pPr>
    </w:p>
    <w:p w14:paraId="4B4ED42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465F26">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B1C4289">
      <w:pPr>
        <w:spacing w:line="336" w:lineRule="auto"/>
        <w:jc w:val="center"/>
        <w:outlineLvl w:val="0"/>
        <w:rPr>
          <w:rFonts w:ascii="仿宋" w:hAnsi="仿宋" w:eastAsia="仿宋" w:cs="仿宋"/>
          <w:b/>
          <w:color w:val="auto"/>
          <w:kern w:val="0"/>
          <w:sz w:val="24"/>
          <w:highlight w:val="none"/>
        </w:rPr>
      </w:pPr>
    </w:p>
    <w:p w14:paraId="1832DCDB">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43333A7">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响应函…………………………………………………………………………（页码）</w:t>
      </w:r>
    </w:p>
    <w:p w14:paraId="2C84A467">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340C0051">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授权代表社保证明………………………………………………………………（页码）</w:t>
      </w:r>
    </w:p>
    <w:p w14:paraId="25DE7D7D">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 （页码）</w:t>
      </w:r>
    </w:p>
    <w:p w14:paraId="247E10F6">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 （页码）</w:t>
      </w:r>
    </w:p>
    <w:p w14:paraId="4C043758">
      <w:pPr>
        <w:pStyle w:val="184"/>
        <w:numPr>
          <w:ilvl w:val="0"/>
          <w:numId w:val="1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zh-CN"/>
        </w:rPr>
        <w:t>政府采购供应商廉洁自律承诺书</w:t>
      </w:r>
      <w:r>
        <w:rPr>
          <w:rFonts w:hint="eastAsia" w:ascii="仿宋" w:eastAsia="仿宋" w:cs="仿宋"/>
          <w:color w:val="auto"/>
          <w:highlight w:val="none"/>
        </w:rPr>
        <w:t>…………………………………………… （页码）</w:t>
      </w:r>
    </w:p>
    <w:p w14:paraId="15EFC0DB">
      <w:pPr>
        <w:adjustRightInd w:val="0"/>
        <w:spacing w:line="360" w:lineRule="auto"/>
        <w:ind w:right="-510" w:rightChars="-243"/>
        <w:jc w:val="both"/>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招标控制价认可函………………………………………………</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51751D75">
      <w:pPr>
        <w:spacing w:line="360" w:lineRule="auto"/>
        <w:ind w:right="-510" w:rightChars="-243"/>
        <w:jc w:val="both"/>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未尽事宜请各</w:t>
      </w:r>
      <w:r>
        <w:rPr>
          <w:rFonts w:hint="eastAsia" w:ascii="仿宋_GB2312" w:hAnsi="仿宋_GB2312" w:eastAsia="仿宋_GB2312" w:cs="仿宋_GB2312"/>
          <w:color w:val="auto"/>
          <w:kern w:val="0"/>
          <w:sz w:val="24"/>
          <w:highlight w:val="none"/>
          <w:lang w:val="zh-CN" w:eastAsia="zh-CN"/>
        </w:rPr>
        <w:t>磋商响应</w:t>
      </w:r>
      <w:r>
        <w:rPr>
          <w:rFonts w:hint="eastAsia" w:ascii="仿宋_GB2312" w:hAnsi="仿宋_GB2312" w:eastAsia="仿宋_GB2312" w:cs="仿宋_GB2312"/>
          <w:color w:val="auto"/>
          <w:kern w:val="0"/>
          <w:sz w:val="24"/>
          <w:highlight w:val="none"/>
          <w:lang w:val="zh-CN"/>
        </w:rPr>
        <w:t>单位按评分标准和相对应标项相关要求制作</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14:paraId="795D6B03">
      <w:pPr>
        <w:spacing w:line="360" w:lineRule="auto"/>
        <w:ind w:right="-368" w:rightChars="-175"/>
        <w:jc w:val="both"/>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eastAsia="zh-CN"/>
        </w:rPr>
        <w:t>供应商</w:t>
      </w:r>
      <w:r>
        <w:rPr>
          <w:rFonts w:hint="eastAsia" w:ascii="仿宋_GB2312" w:hAnsi="仿宋_GB2312" w:eastAsia="仿宋_GB2312" w:cs="仿宋_GB2312"/>
          <w:color w:val="auto"/>
          <w:kern w:val="0"/>
          <w:sz w:val="24"/>
          <w:highlight w:val="none"/>
          <w:lang w:val="zh-CN"/>
        </w:rPr>
        <w:t>需要说明的其他文件和说明</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kern w:val="0"/>
          <w:sz w:val="24"/>
          <w:highlight w:val="none"/>
        </w:rPr>
        <w:t>（页码）</w:t>
      </w:r>
    </w:p>
    <w:p w14:paraId="20FAB70A">
      <w:pPr>
        <w:pStyle w:val="72"/>
        <w:rPr>
          <w:color w:val="auto"/>
          <w:highlight w:val="none"/>
          <w:lang w:val="zh-CN"/>
        </w:rPr>
        <w:sectPr>
          <w:headerReference r:id="rId6" w:type="default"/>
          <w:footerReference r:id="rId7" w:type="default"/>
          <w:pgSz w:w="11906" w:h="16838"/>
          <w:pgMar w:top="1814" w:right="1192" w:bottom="1814" w:left="1474" w:header="851" w:footer="992" w:gutter="0"/>
          <w:pgNumType w:start="1"/>
          <w:cols w:space="720" w:num="1"/>
          <w:docGrid w:linePitch="312" w:charSpace="0"/>
        </w:sectPr>
      </w:pPr>
    </w:p>
    <w:p w14:paraId="395E3579">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5631C8C8">
      <w:pPr>
        <w:pStyle w:val="331"/>
        <w:keepNext w:val="0"/>
        <w:keepLines w:val="0"/>
        <w:pageBreakBefore w:val="0"/>
        <w:kinsoku/>
        <w:wordWrap/>
        <w:overflowPunct/>
        <w:topLinePunct w:val="0"/>
        <w:autoSpaceDE/>
        <w:autoSpaceDN/>
        <w:bidi w:val="0"/>
        <w:spacing w:afterLines="0" w:line="440" w:lineRule="exact"/>
        <w:ind w:firstLine="0" w:firstLineChars="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致：</w:t>
      </w:r>
      <w:r>
        <w:rPr>
          <w:rFonts w:hint="eastAsia" w:ascii="仿宋_GB2312" w:hAnsi="宋体" w:eastAsia="仿宋_GB2312"/>
          <w:color w:val="auto"/>
          <w:szCs w:val="24"/>
          <w:highlight w:val="none"/>
          <w:u w:val="single"/>
          <w:lang w:val="en-US" w:eastAsia="zh-CN"/>
        </w:rPr>
        <w:t xml:space="preserve"> </w:t>
      </w:r>
      <w:r>
        <w:rPr>
          <w:rFonts w:hint="eastAsia" w:ascii="仿宋" w:hAnsi="仿宋" w:eastAsia="仿宋" w:cs="仿宋"/>
          <w:color w:val="auto"/>
          <w:sz w:val="24"/>
          <w:highlight w:val="none"/>
        </w:rPr>
        <w:t>（采购人）、（采购代理机构）</w:t>
      </w:r>
      <w:r>
        <w:rPr>
          <w:rFonts w:hint="eastAsia" w:ascii="仿宋_GB2312" w:hAnsi="宋体" w:eastAsia="仿宋_GB2312"/>
          <w:color w:val="auto"/>
          <w:szCs w:val="24"/>
          <w:highlight w:val="none"/>
          <w:u w:val="single"/>
        </w:rPr>
        <w:t xml:space="preserve"> </w:t>
      </w:r>
    </w:p>
    <w:p w14:paraId="00A7B360">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根据贵方磋商文件（</w:t>
      </w:r>
      <w:r>
        <w:rPr>
          <w:rFonts w:hint="eastAsia" w:ascii="仿宋_GB2312" w:hAnsi="宋体" w:eastAsia="仿宋_GB2312"/>
          <w:b/>
          <w:color w:val="auto"/>
          <w:szCs w:val="24"/>
          <w:highlight w:val="none"/>
          <w:u w:val="single"/>
        </w:rPr>
        <w:t>填写磋商编号：</w:t>
      </w:r>
      <w:r>
        <w:rPr>
          <w:rFonts w:hint="eastAsia" w:ascii="仿宋_GB2312" w:hAnsi="宋体" w:eastAsia="仿宋_GB2312"/>
          <w:color w:val="auto"/>
          <w:szCs w:val="24"/>
          <w:highlight w:val="none"/>
          <w:u w:val="single"/>
        </w:rPr>
        <w:t xml:space="preserve">     </w:t>
      </w:r>
      <w:r>
        <w:rPr>
          <w:rFonts w:hint="eastAsia" w:ascii="仿宋_GB2312" w:hAnsi="宋体" w:eastAsia="仿宋_GB2312"/>
          <w:color w:val="auto"/>
          <w:szCs w:val="24"/>
          <w:highlight w:val="none"/>
        </w:rPr>
        <w:t>）的要求，正式授权</w:t>
      </w:r>
      <w:r>
        <w:rPr>
          <w:rFonts w:hint="eastAsia" w:ascii="仿宋_GB2312" w:hAnsi="宋体" w:eastAsia="仿宋_GB2312"/>
          <w:b/>
          <w:color w:val="auto"/>
          <w:szCs w:val="24"/>
          <w:highlight w:val="none"/>
          <w:u w:val="single"/>
        </w:rPr>
        <w:t>（全权代表姓名    、单位    、职务   ）</w:t>
      </w:r>
      <w:r>
        <w:rPr>
          <w:rFonts w:hint="eastAsia" w:ascii="仿宋_GB2312" w:hAnsi="宋体" w:eastAsia="仿宋_GB2312"/>
          <w:color w:val="auto"/>
          <w:szCs w:val="24"/>
          <w:highlight w:val="none"/>
        </w:rPr>
        <w:t>代表供应商</w:t>
      </w:r>
      <w:r>
        <w:rPr>
          <w:rFonts w:hint="eastAsia" w:ascii="仿宋_GB2312" w:hAnsi="宋体" w:eastAsia="仿宋_GB2312"/>
          <w:color w:val="auto"/>
          <w:szCs w:val="24"/>
          <w:highlight w:val="none"/>
          <w:u w:val="single"/>
        </w:rPr>
        <w:t>（</w:t>
      </w:r>
      <w:r>
        <w:rPr>
          <w:rFonts w:hint="eastAsia" w:ascii="仿宋_GB2312" w:hAnsi="宋体" w:eastAsia="仿宋_GB2312"/>
          <w:b/>
          <w:color w:val="auto"/>
          <w:szCs w:val="24"/>
          <w:highlight w:val="none"/>
          <w:u w:val="single"/>
        </w:rPr>
        <w:t xml:space="preserve">填写单位    、地址   </w:t>
      </w:r>
      <w:r>
        <w:rPr>
          <w:rFonts w:hint="eastAsia" w:ascii="仿宋_GB2312" w:hAnsi="宋体" w:eastAsia="仿宋_GB2312"/>
          <w:color w:val="auto"/>
          <w:szCs w:val="24"/>
          <w:highlight w:val="none"/>
          <w:u w:val="single"/>
        </w:rPr>
        <w:t>）</w:t>
      </w:r>
      <w:r>
        <w:rPr>
          <w:rFonts w:hint="eastAsia" w:ascii="仿宋_GB2312" w:hAnsi="宋体" w:eastAsia="仿宋_GB2312"/>
          <w:color w:val="auto"/>
          <w:szCs w:val="24"/>
          <w:highlight w:val="none"/>
        </w:rPr>
        <w:t>提交磋商响应文件。</w:t>
      </w:r>
    </w:p>
    <w:p w14:paraId="5C192A7B">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我方已完全明白磋商文件的所有条款要求，兹声明同意如下：</w:t>
      </w:r>
    </w:p>
    <w:p w14:paraId="0911D049">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1.</w:t>
      </w:r>
      <w:r>
        <w:rPr>
          <w:rFonts w:hint="eastAsia" w:ascii="仿宋_GB2312" w:hAnsi="仿宋" w:eastAsia="仿宋_GB2312" w:cs="仿宋_GB2312"/>
          <w:color w:val="auto"/>
          <w:highlight w:val="none"/>
        </w:rPr>
        <w:t xml:space="preserve"> 我方同意在供应商</w:t>
      </w:r>
      <w:r>
        <w:rPr>
          <w:rFonts w:hint="eastAsia" w:ascii="仿宋_GB2312" w:hAnsi="仿宋" w:eastAsia="仿宋_GB2312" w:cs="仿宋_GB2312"/>
          <w:color w:val="auto"/>
          <w:kern w:val="44"/>
          <w:highlight w:val="none"/>
        </w:rPr>
        <w:t>须知</w:t>
      </w:r>
      <w:r>
        <w:rPr>
          <w:rFonts w:hint="eastAsia" w:ascii="仿宋_GB2312" w:hAnsi="仿宋" w:eastAsia="仿宋_GB2312" w:cs="仿宋_GB2312"/>
          <w:color w:val="auto"/>
          <w:highlight w:val="none"/>
        </w:rPr>
        <w:t>规定的响应日期起遵守本磋商响应文件中的承诺且在响应有效期满之前均具有约束力</w:t>
      </w:r>
      <w:r>
        <w:rPr>
          <w:rFonts w:hint="eastAsia" w:ascii="仿宋_GB2312" w:hAnsi="宋体" w:eastAsia="仿宋_GB2312"/>
          <w:color w:val="auto"/>
          <w:szCs w:val="24"/>
          <w:highlight w:val="none"/>
        </w:rPr>
        <w:t>。</w:t>
      </w:r>
    </w:p>
    <w:p w14:paraId="34CAF34F">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2.我方承诺已经具备《中华人民共和国政府采购法》中规定的参加政府采购活动的供应商应当具备的条件。</w:t>
      </w:r>
    </w:p>
    <w:p w14:paraId="261A78A7">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3.</w:t>
      </w:r>
      <w:r>
        <w:rPr>
          <w:rFonts w:hint="eastAsia" w:ascii="仿宋_GB2312" w:eastAsia="仿宋_GB2312"/>
          <w:color w:val="auto"/>
          <w:highlight w:val="none"/>
        </w:rPr>
        <w:t>本公司磋商响应文件中填列的技术参数、配置、服务、数量等相关内容都是真实、准确的。保证在本次项目中所提供的资料全部真实和合法。</w:t>
      </w:r>
      <w:r>
        <w:rPr>
          <w:rFonts w:hint="eastAsia" w:ascii="仿宋_GB2312" w:hAnsi="宋体" w:eastAsia="仿宋_GB2312"/>
          <w:color w:val="auto"/>
          <w:szCs w:val="24"/>
          <w:highlight w:val="none"/>
        </w:rPr>
        <w:t>同意向绍兴虬实企业管理咨询有限公司提供可能另外要求的与磋商有关的任何数据或资料；</w:t>
      </w:r>
    </w:p>
    <w:p w14:paraId="0FF2F2E1">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4.我方理解贵方将不受你们所收到的最低报价的约束。</w:t>
      </w:r>
    </w:p>
    <w:p w14:paraId="339B6F52">
      <w:pPr>
        <w:pStyle w:val="14"/>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ascii="仿宋_GB2312" w:hAnsi="宋体" w:eastAsia="仿宋_GB2312"/>
          <w:color w:val="auto"/>
          <w:szCs w:val="24"/>
          <w:highlight w:val="none"/>
        </w:rPr>
      </w:pPr>
      <w:r>
        <w:rPr>
          <w:rFonts w:hint="eastAsia" w:ascii="仿宋_GB2312" w:hAnsi="宋体" w:eastAsia="仿宋_GB2312"/>
          <w:color w:val="auto"/>
          <w:highlight w:val="none"/>
        </w:rPr>
        <w:t>5.</w:t>
      </w:r>
      <w:r>
        <w:rPr>
          <w:rFonts w:hint="eastAsia" w:ascii="仿宋_GB2312" w:hAnsi="仿宋" w:eastAsia="仿宋_GB2312" w:cs="仿宋_GB2312"/>
          <w:color w:val="auto"/>
          <w:highlight w:val="none"/>
        </w:rPr>
        <w:t>磋商有效期为从提交磋商响应文件的截止之日起90天。</w:t>
      </w:r>
    </w:p>
    <w:p w14:paraId="5DB0A30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08850D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a)提供虚假材料谋取中标、成交的；</w:t>
      </w:r>
    </w:p>
    <w:p w14:paraId="5079AFFB">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b)采取不正当手段诋毁、排挤其他供应商的；</w:t>
      </w:r>
    </w:p>
    <w:p w14:paraId="07232B0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c)与采购人、其它供应商或者采购代理机构恶意串通的；</w:t>
      </w:r>
    </w:p>
    <w:p w14:paraId="3A9C524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d)向采购人、采购代理机构行贿或者提供其他不正当利益的；</w:t>
      </w:r>
    </w:p>
    <w:p w14:paraId="44D2D93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e)在采购过程中与采购人进行协商谈判的；</w:t>
      </w:r>
    </w:p>
    <w:p w14:paraId="14B8FC5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f)拒绝有关部门监督检查或提供虚假情况的。</w:t>
      </w:r>
    </w:p>
    <w:p w14:paraId="68CCDC2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供应商有前款第a)至e)项情形之一的，中标、成交无效。</w:t>
      </w:r>
    </w:p>
    <w:p w14:paraId="36841DB8">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地址：　　　　　　　　　　　　　　　邮政编码：</w:t>
      </w:r>
    </w:p>
    <w:p w14:paraId="1F374D46">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电话：                              传真：</w:t>
      </w:r>
    </w:p>
    <w:p w14:paraId="30B4C6A7">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开户银行：                          账号：</w:t>
      </w:r>
    </w:p>
    <w:p w14:paraId="5DAF4D7C">
      <w:pPr>
        <w:pStyle w:val="331"/>
        <w:keepNext w:val="0"/>
        <w:keepLines w:val="0"/>
        <w:pageBreakBefore w:val="0"/>
        <w:kinsoku/>
        <w:wordWrap/>
        <w:overflowPunct/>
        <w:topLinePunct w:val="0"/>
        <w:autoSpaceDE/>
        <w:autoSpaceDN/>
        <w:bidi w:val="0"/>
        <w:spacing w:afterLines="0" w:line="440" w:lineRule="exact"/>
        <w:ind w:firstLine="480"/>
        <w:textAlignment w:val="auto"/>
        <w:rPr>
          <w:rFonts w:ascii="仿宋_GB2312" w:hAnsi="宋体" w:eastAsia="仿宋_GB2312"/>
          <w:color w:val="auto"/>
          <w:szCs w:val="24"/>
          <w:highlight w:val="none"/>
        </w:rPr>
      </w:pPr>
      <w:r>
        <w:rPr>
          <w:rFonts w:hint="eastAsia" w:ascii="仿宋_GB2312" w:hAnsi="宋体" w:eastAsia="仿宋_GB2312"/>
          <w:color w:val="auto"/>
          <w:szCs w:val="24"/>
          <w:highlight w:val="none"/>
        </w:rPr>
        <w:t>法定代表人或其授权代表(签字或签章)：</w:t>
      </w:r>
    </w:p>
    <w:p w14:paraId="4EC78B1D">
      <w:pPr>
        <w:keepNext w:val="0"/>
        <w:keepLines w:val="0"/>
        <w:pageBreakBefore w:val="0"/>
        <w:kinsoku/>
        <w:wordWrap/>
        <w:overflowPunct/>
        <w:topLinePunct w:val="0"/>
        <w:autoSpaceDE/>
        <w:autoSpaceDN/>
        <w:bidi w:val="0"/>
        <w:spacing w:line="440" w:lineRule="exact"/>
        <w:ind w:firstLine="480" w:firstLineChars="20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r>
        <w:rPr>
          <w:rFonts w:hint="eastAsia" w:ascii="仿宋" w:hAnsi="仿宋" w:eastAsia="仿宋" w:cs="仿宋"/>
          <w:color w:val="auto"/>
          <w:sz w:val="24"/>
          <w:highlight w:val="none"/>
          <w:lang w:val="en-US" w:eastAsia="zh-CN"/>
        </w:rPr>
        <w:t xml:space="preserve">               </w:t>
      </w:r>
      <w:r>
        <w:rPr>
          <w:rFonts w:hint="eastAsia" w:ascii="仿宋_GB2312" w:hAnsi="宋体" w:eastAsia="仿宋_GB2312"/>
          <w:color w:val="auto"/>
          <w:szCs w:val="24"/>
          <w:highlight w:val="none"/>
        </w:rPr>
        <w:t xml:space="preserve">日期：     </w:t>
      </w:r>
    </w:p>
    <w:p w14:paraId="75548520">
      <w:pPr>
        <w:pageBreakBefore/>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二、法定代表人授权委托书（格式） </w:t>
      </w:r>
      <w:r>
        <w:rPr>
          <w:rFonts w:hint="eastAsia" w:ascii="仿宋" w:hAnsi="仿宋" w:eastAsia="仿宋" w:cs="仿宋"/>
          <w:b/>
          <w:color w:val="auto"/>
          <w:kern w:val="0"/>
          <w:sz w:val="32"/>
          <w:szCs w:val="32"/>
          <w:highlight w:val="none"/>
          <w:lang w:val="zh-CN"/>
        </w:rPr>
        <w:t>（适用于非联合体磋商）</w:t>
      </w:r>
    </w:p>
    <w:p w14:paraId="1724D386">
      <w:pPr>
        <w:spacing w:line="336" w:lineRule="auto"/>
        <w:jc w:val="center"/>
        <w:rPr>
          <w:rFonts w:ascii="仿宋" w:hAnsi="仿宋" w:eastAsia="仿宋" w:cs="仿宋"/>
          <w:b/>
          <w:color w:val="auto"/>
          <w:sz w:val="24"/>
          <w:highlight w:val="none"/>
        </w:rPr>
      </w:pPr>
    </w:p>
    <w:p w14:paraId="4D919A19">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磋商活动。授权代表在磋商、合同签订过程中所签署的一切文件和处理与之有关的一切事务，我均予以承认。</w:t>
      </w:r>
    </w:p>
    <w:p w14:paraId="5F4F116A">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C3FB19D">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BE9496D">
      <w:pPr>
        <w:snapToGrid w:val="0"/>
        <w:spacing w:line="336" w:lineRule="auto"/>
        <w:jc w:val="left"/>
        <w:rPr>
          <w:rFonts w:ascii="仿宋" w:hAnsi="仿宋" w:eastAsia="仿宋" w:cs="仿宋"/>
          <w:color w:val="auto"/>
          <w:sz w:val="24"/>
          <w:highlight w:val="none"/>
        </w:rPr>
      </w:pPr>
    </w:p>
    <w:p w14:paraId="31588F1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8950DEA">
      <w:pPr>
        <w:spacing w:line="336" w:lineRule="auto"/>
        <w:rPr>
          <w:rFonts w:ascii="仿宋" w:hAnsi="仿宋" w:eastAsia="仿宋" w:cs="仿宋"/>
          <w:color w:val="auto"/>
          <w:sz w:val="24"/>
          <w:highlight w:val="none"/>
        </w:rPr>
      </w:pPr>
    </w:p>
    <w:p w14:paraId="19BA725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B2C569D">
      <w:pPr>
        <w:spacing w:line="336" w:lineRule="auto"/>
        <w:rPr>
          <w:rFonts w:ascii="仿宋" w:hAnsi="仿宋" w:eastAsia="仿宋" w:cs="仿宋"/>
          <w:color w:val="auto"/>
          <w:sz w:val="24"/>
          <w:highlight w:val="none"/>
        </w:rPr>
      </w:pPr>
    </w:p>
    <w:p w14:paraId="37A0D906">
      <w:pPr>
        <w:widowControl/>
        <w:snapToGrid w:val="0"/>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C8E2AD8">
      <w:pPr>
        <w:spacing w:line="336" w:lineRule="auto"/>
        <w:rPr>
          <w:rFonts w:ascii="仿宋" w:hAnsi="仿宋" w:eastAsia="仿宋" w:cs="仿宋"/>
          <w:color w:val="auto"/>
          <w:sz w:val="24"/>
          <w:highlight w:val="none"/>
        </w:rPr>
      </w:pPr>
    </w:p>
    <w:p w14:paraId="0A06655F">
      <w:pPr>
        <w:spacing w:line="336" w:lineRule="auto"/>
        <w:rPr>
          <w:rFonts w:ascii="仿宋" w:hAnsi="仿宋" w:eastAsia="仿宋" w:cs="仿宋"/>
          <w:color w:val="auto"/>
          <w:sz w:val="24"/>
          <w:highlight w:val="none"/>
        </w:rPr>
      </w:pPr>
    </w:p>
    <w:p w14:paraId="20448B8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25FEF12B">
      <w:pPr>
        <w:spacing w:line="336" w:lineRule="auto"/>
        <w:rPr>
          <w:rFonts w:ascii="仿宋" w:hAnsi="仿宋" w:eastAsia="仿宋" w:cs="仿宋"/>
          <w:color w:val="auto"/>
          <w:sz w:val="24"/>
          <w:highlight w:val="none"/>
        </w:rPr>
      </w:pPr>
    </w:p>
    <w:p w14:paraId="43629F2A">
      <w:pPr>
        <w:spacing w:line="336" w:lineRule="auto"/>
        <w:rPr>
          <w:rFonts w:ascii="仿宋" w:hAnsi="仿宋" w:eastAsia="仿宋" w:cs="仿宋"/>
          <w:color w:val="auto"/>
          <w:sz w:val="24"/>
          <w:highlight w:val="none"/>
        </w:rPr>
      </w:pPr>
    </w:p>
    <w:p w14:paraId="7DE3630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4A790A6">
      <w:pPr>
        <w:spacing w:line="336" w:lineRule="auto"/>
        <w:rPr>
          <w:rFonts w:ascii="仿宋" w:hAnsi="仿宋" w:eastAsia="仿宋" w:cs="仿宋"/>
          <w:color w:val="auto"/>
          <w:sz w:val="24"/>
          <w:highlight w:val="none"/>
        </w:rPr>
      </w:pPr>
    </w:p>
    <w:p w14:paraId="4BF3E413">
      <w:pPr>
        <w:spacing w:line="336" w:lineRule="auto"/>
        <w:rPr>
          <w:rFonts w:ascii="仿宋" w:hAnsi="仿宋" w:eastAsia="仿宋" w:cs="仿宋"/>
          <w:color w:val="auto"/>
          <w:sz w:val="24"/>
          <w:highlight w:val="none"/>
        </w:rPr>
      </w:pPr>
    </w:p>
    <w:p w14:paraId="4C7C02C7">
      <w:pPr>
        <w:spacing w:line="336" w:lineRule="auto"/>
        <w:ind w:firstLine="5280" w:firstLineChars="2200"/>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AA5CD11">
      <w:pPr>
        <w:spacing w:line="336" w:lineRule="auto"/>
        <w:ind w:firstLine="4920" w:firstLineChars="2050"/>
        <w:jc w:val="left"/>
        <w:rPr>
          <w:rFonts w:ascii="仿宋" w:hAnsi="仿宋" w:eastAsia="仿宋" w:cs="仿宋"/>
          <w:color w:val="auto"/>
          <w:sz w:val="24"/>
          <w:highlight w:val="none"/>
        </w:rPr>
      </w:pPr>
    </w:p>
    <w:p w14:paraId="644740AB">
      <w:pPr>
        <w:pageBreakBefore/>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（适用于联合体磋商）</w:t>
      </w:r>
    </w:p>
    <w:p w14:paraId="6BCD74C5">
      <w:pPr>
        <w:spacing w:line="336" w:lineRule="auto"/>
        <w:jc w:val="center"/>
        <w:rPr>
          <w:rFonts w:ascii="仿宋" w:hAnsi="仿宋" w:eastAsia="仿宋" w:cs="仿宋"/>
          <w:b/>
          <w:color w:val="auto"/>
          <w:sz w:val="24"/>
          <w:highlight w:val="none"/>
        </w:rPr>
      </w:pPr>
    </w:p>
    <w:p w14:paraId="6CC9CEC0">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0B7A0EA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磋商活动。授权代表在磋商、合同签订过程中所签署的一切文件和处理与之有关的一切事务，我方均予以承认。</w:t>
      </w:r>
    </w:p>
    <w:p w14:paraId="7D4C6455">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0591527">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261E772">
      <w:pPr>
        <w:snapToGrid w:val="0"/>
        <w:spacing w:line="336" w:lineRule="auto"/>
        <w:jc w:val="left"/>
        <w:rPr>
          <w:rFonts w:ascii="仿宋" w:hAnsi="仿宋" w:eastAsia="仿宋" w:cs="仿宋"/>
          <w:color w:val="auto"/>
          <w:sz w:val="24"/>
          <w:highlight w:val="none"/>
        </w:rPr>
      </w:pPr>
    </w:p>
    <w:p w14:paraId="0B4074B1">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50C8105">
      <w:pPr>
        <w:spacing w:line="336" w:lineRule="auto"/>
        <w:rPr>
          <w:rFonts w:ascii="仿宋" w:hAnsi="仿宋" w:eastAsia="仿宋" w:cs="仿宋"/>
          <w:color w:val="auto"/>
          <w:sz w:val="24"/>
          <w:highlight w:val="none"/>
        </w:rPr>
      </w:pPr>
    </w:p>
    <w:p w14:paraId="62F355F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324C3255">
      <w:pPr>
        <w:spacing w:line="336" w:lineRule="auto"/>
        <w:rPr>
          <w:rFonts w:ascii="仿宋" w:hAnsi="仿宋" w:eastAsia="仿宋" w:cs="仿宋"/>
          <w:color w:val="auto"/>
          <w:sz w:val="24"/>
          <w:highlight w:val="none"/>
        </w:rPr>
      </w:pPr>
    </w:p>
    <w:p w14:paraId="3C505795">
      <w:pPr>
        <w:widowControl/>
        <w:snapToGrid w:val="0"/>
        <w:spacing w:line="336"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3468704F">
      <w:pPr>
        <w:spacing w:line="336" w:lineRule="auto"/>
        <w:rPr>
          <w:rFonts w:ascii="仿宋" w:hAnsi="仿宋" w:eastAsia="仿宋" w:cs="仿宋"/>
          <w:color w:val="auto"/>
          <w:sz w:val="24"/>
          <w:highlight w:val="none"/>
        </w:rPr>
      </w:pPr>
    </w:p>
    <w:p w14:paraId="215667E0">
      <w:pPr>
        <w:spacing w:line="336" w:lineRule="auto"/>
        <w:rPr>
          <w:rFonts w:ascii="仿宋" w:hAnsi="仿宋" w:eastAsia="仿宋" w:cs="仿宋"/>
          <w:color w:val="auto"/>
          <w:sz w:val="24"/>
          <w:highlight w:val="none"/>
        </w:rPr>
      </w:pPr>
    </w:p>
    <w:p w14:paraId="37BAA11C">
      <w:pPr>
        <w:spacing w:line="336" w:lineRule="auto"/>
        <w:jc w:val="right"/>
        <w:rPr>
          <w:rFonts w:ascii="仿宋" w:hAnsi="仿宋" w:eastAsia="仿宋" w:cs="仿宋"/>
          <w:color w:val="auto"/>
          <w:highlight w:val="none"/>
        </w:rPr>
      </w:pPr>
    </w:p>
    <w:p w14:paraId="6B505EA6">
      <w:pPr>
        <w:snapToGrid w:val="0"/>
        <w:spacing w:line="336"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96EEF87">
      <w:pPr>
        <w:snapToGrid w:val="0"/>
        <w:spacing w:line="336"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4FA9D24">
      <w:pPr>
        <w:snapToGrid w:val="0"/>
        <w:spacing w:line="336"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3309497">
      <w:pPr>
        <w:snapToGrid w:val="0"/>
        <w:spacing w:line="336"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35C602B">
      <w:pPr>
        <w:spacing w:line="336" w:lineRule="auto"/>
        <w:ind w:firstLine="4320" w:firstLineChars="1800"/>
        <w:rPr>
          <w:rFonts w:ascii="仿宋" w:hAnsi="仿宋" w:eastAsia="仿宋" w:cs="仿宋"/>
          <w:color w:val="auto"/>
          <w:sz w:val="24"/>
          <w:highlight w:val="none"/>
        </w:rPr>
      </w:pPr>
    </w:p>
    <w:p w14:paraId="48F009C2">
      <w:pPr>
        <w:pStyle w:val="4"/>
        <w:numPr>
          <w:ilvl w:val="0"/>
          <w:numId w:val="0"/>
        </w:numPr>
        <w:ind w:leftChars="0"/>
        <w:rPr>
          <w:color w:val="auto"/>
          <w:highlight w:val="none"/>
        </w:rPr>
      </w:pPr>
    </w:p>
    <w:p w14:paraId="7BC9ECFD">
      <w:pPr>
        <w:spacing w:line="336" w:lineRule="auto"/>
        <w:jc w:val="center"/>
        <w:rPr>
          <w:rFonts w:hint="eastAsia" w:ascii="仿宋" w:hAnsi="仿宋" w:eastAsia="仿宋" w:cs="仿宋"/>
          <w:b/>
          <w:color w:val="auto"/>
          <w:sz w:val="30"/>
          <w:szCs w:val="30"/>
          <w:highlight w:val="none"/>
        </w:rPr>
      </w:pPr>
    </w:p>
    <w:p w14:paraId="406786A4">
      <w:pPr>
        <w:spacing w:line="336"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三、授权代表社保证明</w:t>
      </w:r>
    </w:p>
    <w:p w14:paraId="6E9271A5">
      <w:pPr>
        <w:spacing w:line="336" w:lineRule="auto"/>
        <w:ind w:firstLine="720" w:firstLineChars="300"/>
        <w:jc w:val="left"/>
        <w:rPr>
          <w:rFonts w:hint="eastAsia" w:ascii="仿宋" w:hAnsi="仿宋" w:eastAsia="仿宋" w:cs="仿宋"/>
          <w:b/>
          <w:color w:val="auto"/>
          <w:sz w:val="30"/>
          <w:szCs w:val="30"/>
          <w:highlight w:val="none"/>
          <w:lang w:val="en-US" w:eastAsia="zh-CN"/>
        </w:rPr>
      </w:pPr>
      <w:r>
        <w:rPr>
          <w:rFonts w:hint="eastAsia" w:ascii="仿宋_GB2312" w:hAnsi="仿宋_GB2312" w:eastAsia="仿宋_GB2312" w:cs="仿宋_GB2312"/>
          <w:color w:val="auto"/>
          <w:sz w:val="24"/>
          <w:highlight w:val="none"/>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w:t>
      </w:r>
      <w:r>
        <w:rPr>
          <w:rFonts w:hint="eastAsia" w:ascii="仿宋_GB2312" w:hAnsi="仿宋_GB2312" w:eastAsia="仿宋_GB2312" w:cs="仿宋_GB2312"/>
          <w:color w:val="auto"/>
          <w:sz w:val="24"/>
          <w:highlight w:val="none"/>
          <w:u w:val="wave"/>
          <w:shd w:val="clear" w:color="auto" w:fill="FFFFFF"/>
          <w:lang w:eastAsia="zh-CN"/>
        </w:rPr>
        <w:t>复制件</w:t>
      </w:r>
      <w:r>
        <w:rPr>
          <w:rFonts w:hint="eastAsia" w:ascii="仿宋_GB2312" w:hAnsi="仿宋_GB2312" w:eastAsia="仿宋_GB2312" w:cs="仿宋_GB2312"/>
          <w:color w:val="auto"/>
          <w:sz w:val="24"/>
          <w:highlight w:val="none"/>
          <w:u w:val="wave"/>
          <w:shd w:val="clear" w:color="auto" w:fill="FFFFFF"/>
        </w:rPr>
        <w:t>），格式自拟。</w:t>
      </w:r>
    </w:p>
    <w:p w14:paraId="66AFC2C4">
      <w:pPr>
        <w:spacing w:line="336" w:lineRule="auto"/>
        <w:jc w:val="center"/>
        <w:rPr>
          <w:rFonts w:hint="eastAsia" w:ascii="仿宋" w:hAnsi="仿宋" w:eastAsia="仿宋" w:cs="仿宋"/>
          <w:b/>
          <w:color w:val="auto"/>
          <w:sz w:val="30"/>
          <w:szCs w:val="30"/>
          <w:highlight w:val="none"/>
          <w:lang w:val="en-US" w:eastAsia="zh-CN"/>
        </w:rPr>
      </w:pPr>
    </w:p>
    <w:p w14:paraId="3ECAE21C">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法定代表人及其授权代表身份证复印件（正反面）</w:t>
      </w:r>
    </w:p>
    <w:p w14:paraId="02D080FF">
      <w:pPr>
        <w:spacing w:line="336" w:lineRule="auto"/>
        <w:rPr>
          <w:rFonts w:ascii="仿宋" w:hAnsi="仿宋" w:eastAsia="仿宋" w:cs="仿宋"/>
          <w:b/>
          <w:color w:val="auto"/>
          <w:sz w:val="24"/>
          <w:highlight w:val="none"/>
        </w:rPr>
      </w:pPr>
    </w:p>
    <w:p w14:paraId="49021452">
      <w:pPr>
        <w:pStyle w:val="72"/>
        <w:ind w:left="0" w:leftChars="0" w:firstLine="0" w:firstLineChars="0"/>
        <w:rPr>
          <w:rFonts w:ascii="仿宋" w:hAnsi="仿宋" w:eastAsia="仿宋" w:cs="仿宋"/>
          <w:b/>
          <w:color w:val="auto"/>
          <w:sz w:val="24"/>
          <w:highlight w:val="none"/>
        </w:rPr>
      </w:pPr>
    </w:p>
    <w:p w14:paraId="5ED0C704">
      <w:pPr>
        <w:rPr>
          <w:color w:val="auto"/>
          <w:highlight w:val="none"/>
        </w:rPr>
      </w:pPr>
    </w:p>
    <w:p w14:paraId="3489A52A">
      <w:pPr>
        <w:spacing w:line="336"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、法定代表人身份证明书(格式)</w:t>
      </w:r>
    </w:p>
    <w:p w14:paraId="1424DDE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01F2C1AD">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2EA9172C">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698F6A2">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38C07A0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99A9AE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（填写供应商名称）</w:t>
      </w:r>
      <w:r>
        <w:rPr>
          <w:rFonts w:hint="eastAsia" w:ascii="仿宋" w:hAnsi="仿宋" w:eastAsia="仿宋" w:cs="仿宋"/>
          <w:color w:val="auto"/>
          <w:sz w:val="24"/>
          <w:highlight w:val="none"/>
        </w:rPr>
        <w:t>的法定代表人。</w:t>
      </w:r>
    </w:p>
    <w:p w14:paraId="35F77077">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8A6EF59">
      <w:pPr>
        <w:spacing w:line="336" w:lineRule="auto"/>
        <w:rPr>
          <w:rFonts w:ascii="仿宋" w:hAnsi="仿宋" w:eastAsia="仿宋" w:cs="仿宋"/>
          <w:color w:val="auto"/>
          <w:sz w:val="24"/>
          <w:highlight w:val="none"/>
        </w:rPr>
      </w:pPr>
    </w:p>
    <w:p w14:paraId="7AE1026E">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1EFDB403">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3D40F83">
      <w:pPr>
        <w:spacing w:line="336" w:lineRule="auto"/>
        <w:jc w:val="center"/>
        <w:rPr>
          <w:rFonts w:ascii="仿宋" w:hAnsi="仿宋" w:eastAsia="仿宋" w:cs="仿宋"/>
          <w:b/>
          <w:color w:val="auto"/>
          <w:kern w:val="0"/>
          <w:sz w:val="32"/>
          <w:szCs w:val="32"/>
          <w:highlight w:val="none"/>
        </w:rPr>
      </w:pPr>
    </w:p>
    <w:p w14:paraId="1D86A84E">
      <w:pPr>
        <w:pStyle w:val="71"/>
        <w:rPr>
          <w:color w:val="auto"/>
          <w:highlight w:val="none"/>
        </w:rPr>
      </w:pPr>
    </w:p>
    <w:p w14:paraId="1CC9325E">
      <w:pP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7900E01">
      <w:pPr>
        <w:widowControl/>
        <w:adjustRightInd/>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811D382">
      <w:pPr>
        <w:snapToGrid w:val="0"/>
        <w:spacing w:line="336" w:lineRule="auto"/>
        <w:rPr>
          <w:rFonts w:ascii="仿宋" w:hAnsi="仿宋" w:eastAsia="仿宋" w:cs="仿宋"/>
          <w:color w:val="auto"/>
          <w:sz w:val="24"/>
          <w:highlight w:val="none"/>
        </w:rPr>
      </w:pPr>
    </w:p>
    <w:p w14:paraId="72A4B8DF">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704EF9">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项目磋商要求参加磋商。在这次磋商过程中和中标后，我们将严格遵守国家法律法规要求，并郑重承诺：</w:t>
      </w:r>
    </w:p>
    <w:p w14:paraId="494B48A3">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74F54C">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3AA06B0">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11D1FBC">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DC96F28">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339938D">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37EA5DD">
      <w:pPr>
        <w:autoSpaceDE w:val="0"/>
        <w:autoSpaceDN w:val="0"/>
        <w:spacing w:line="336"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D8FC909">
      <w:pPr>
        <w:autoSpaceDE w:val="0"/>
        <w:autoSpaceDN w:val="0"/>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B1D0AD2">
      <w:pPr>
        <w:autoSpaceDE w:val="0"/>
        <w:autoSpaceDN w:val="0"/>
        <w:spacing w:line="336" w:lineRule="auto"/>
        <w:jc w:val="left"/>
        <w:rPr>
          <w:rFonts w:ascii="仿宋" w:hAnsi="仿宋" w:eastAsia="仿宋" w:cs="仿宋"/>
          <w:color w:val="auto"/>
          <w:kern w:val="0"/>
          <w:sz w:val="24"/>
          <w:highlight w:val="none"/>
          <w:lang w:val="zh-CN"/>
        </w:rPr>
      </w:pPr>
    </w:p>
    <w:p w14:paraId="6AB47779">
      <w:pPr>
        <w:autoSpaceDE w:val="0"/>
        <w:autoSpaceDN w:val="0"/>
        <w:spacing w:line="336" w:lineRule="auto"/>
        <w:jc w:val="left"/>
        <w:rPr>
          <w:rFonts w:ascii="仿宋" w:hAnsi="仿宋" w:eastAsia="仿宋" w:cs="仿宋"/>
          <w:color w:val="auto"/>
          <w:kern w:val="0"/>
          <w:sz w:val="24"/>
          <w:highlight w:val="none"/>
          <w:lang w:val="zh-CN"/>
        </w:rPr>
      </w:pPr>
    </w:p>
    <w:p w14:paraId="74A72FB6">
      <w:pPr>
        <w:autoSpaceDE w:val="0"/>
        <w:autoSpaceDN w:val="0"/>
        <w:spacing w:line="336" w:lineRule="auto"/>
        <w:jc w:val="left"/>
        <w:rPr>
          <w:rFonts w:ascii="仿宋" w:hAnsi="仿宋" w:eastAsia="仿宋" w:cs="仿宋"/>
          <w:color w:val="auto"/>
          <w:kern w:val="0"/>
          <w:sz w:val="24"/>
          <w:highlight w:val="none"/>
          <w:lang w:val="zh-CN"/>
        </w:rPr>
      </w:pPr>
    </w:p>
    <w:p w14:paraId="6CED5970">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6FACDCD6">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F84AA7C">
      <w:pPr>
        <w:spacing w:line="336" w:lineRule="auto"/>
        <w:jc w:val="center"/>
        <w:rPr>
          <w:rFonts w:ascii="仿宋" w:hAnsi="仿宋" w:eastAsia="仿宋" w:cs="仿宋"/>
          <w:b/>
          <w:bCs/>
          <w:color w:val="auto"/>
          <w:sz w:val="24"/>
          <w:highlight w:val="none"/>
        </w:rPr>
      </w:pPr>
    </w:p>
    <w:p w14:paraId="55B5D6CB">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36ACA7">
      <w:pPr>
        <w:spacing w:line="336" w:lineRule="auto"/>
        <w:jc w:val="center"/>
        <w:rPr>
          <w:rFonts w:ascii="仿宋" w:hAnsi="仿宋" w:eastAsia="仿宋" w:cs="仿宋"/>
          <w:b/>
          <w:bCs/>
          <w:color w:val="auto"/>
          <w:sz w:val="24"/>
          <w:highlight w:val="none"/>
        </w:rPr>
      </w:pPr>
    </w:p>
    <w:p w14:paraId="7CD3E318">
      <w:pPr>
        <w:spacing w:line="360" w:lineRule="auto"/>
        <w:rPr>
          <w:rFonts w:hint="eastAsia" w:ascii="仿宋_GB2312" w:hAnsi="仿宋_GB2312" w:eastAsia="仿宋_GB2312" w:cs="仿宋_GB2312"/>
          <w:b/>
          <w:color w:val="auto"/>
          <w:sz w:val="32"/>
          <w:szCs w:val="32"/>
          <w:highlight w:val="none"/>
          <w:lang w:eastAsia="zh-CN"/>
        </w:rPr>
      </w:pPr>
    </w:p>
    <w:p w14:paraId="63677D3F">
      <w:pPr>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br w:type="page"/>
      </w:r>
    </w:p>
    <w:p w14:paraId="0FEF9EEF">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lang w:val="zh-CN"/>
        </w:rPr>
        <w:t>招标控制价认可函</w:t>
      </w:r>
    </w:p>
    <w:p w14:paraId="02A50A42">
      <w:pPr>
        <w:spacing w:line="360" w:lineRule="auto"/>
        <w:rPr>
          <w:rFonts w:ascii="仿宋" w:hAnsi="仿宋" w:eastAsia="仿宋" w:cs="仿宋"/>
          <w:color w:val="auto"/>
          <w:kern w:val="0"/>
          <w:sz w:val="24"/>
          <w:highlight w:val="none"/>
        </w:rPr>
      </w:pPr>
    </w:p>
    <w:p w14:paraId="722DE8A8">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致：（</w:t>
      </w:r>
      <w:r>
        <w:rPr>
          <w:rFonts w:hint="eastAsia" w:ascii="仿宋" w:hAnsi="仿宋" w:eastAsia="仿宋" w:cs="仿宋"/>
          <w:color w:val="auto"/>
          <w:sz w:val="24"/>
          <w:highlight w:val="none"/>
        </w:rPr>
        <w:t>采购人名称）</w:t>
      </w:r>
    </w:p>
    <w:p w14:paraId="7D750B7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本单位自愿参加</w:t>
      </w:r>
      <w:r>
        <w:rPr>
          <w:rFonts w:hint="eastAsia" w:ascii="仿宋" w:hAnsi="仿宋" w:eastAsia="仿宋" w:cs="仿宋"/>
          <w:color w:val="auto"/>
          <w:sz w:val="24"/>
          <w:highlight w:val="none"/>
        </w:rPr>
        <w:t xml:space="preserve">（招标项目名称：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）的投标活动</w:t>
      </w:r>
      <w:r>
        <w:rPr>
          <w:rFonts w:hint="eastAsia" w:ascii="仿宋" w:hAnsi="仿宋" w:eastAsia="仿宋" w:cs="仿宋"/>
          <w:color w:val="auto"/>
          <w:kern w:val="0"/>
          <w:sz w:val="24"/>
          <w:highlight w:val="none"/>
        </w:rPr>
        <w:t>，并在此作如下法律承诺：对采购人提供的招标控制价表示认可，无任何异议。</w:t>
      </w:r>
    </w:p>
    <w:p w14:paraId="3AD10300">
      <w:pPr>
        <w:spacing w:line="360" w:lineRule="auto"/>
        <w:rPr>
          <w:rFonts w:ascii="仿宋" w:hAnsi="仿宋" w:eastAsia="仿宋" w:cs="仿宋"/>
          <w:color w:val="auto"/>
          <w:kern w:val="0"/>
          <w:sz w:val="24"/>
          <w:highlight w:val="none"/>
        </w:rPr>
      </w:pPr>
    </w:p>
    <w:p w14:paraId="20C58232">
      <w:pPr>
        <w:spacing w:line="360" w:lineRule="auto"/>
        <w:rPr>
          <w:rFonts w:ascii="仿宋" w:hAnsi="仿宋" w:eastAsia="仿宋" w:cs="仿宋"/>
          <w:color w:val="auto"/>
          <w:kern w:val="0"/>
          <w:sz w:val="24"/>
          <w:highlight w:val="none"/>
        </w:rPr>
      </w:pPr>
    </w:p>
    <w:p w14:paraId="3DE44B4C">
      <w:pPr>
        <w:spacing w:line="360" w:lineRule="auto"/>
        <w:rPr>
          <w:rFonts w:ascii="仿宋" w:hAnsi="仿宋" w:eastAsia="仿宋" w:cs="仿宋"/>
          <w:color w:val="auto"/>
          <w:kern w:val="0"/>
          <w:sz w:val="24"/>
          <w:highlight w:val="none"/>
        </w:rPr>
      </w:pPr>
    </w:p>
    <w:p w14:paraId="07C115B6">
      <w:pPr>
        <w:spacing w:line="360" w:lineRule="auto"/>
        <w:rPr>
          <w:rFonts w:ascii="仿宋" w:hAnsi="仿宋" w:eastAsia="仿宋" w:cs="仿宋"/>
          <w:color w:val="auto"/>
          <w:kern w:val="0"/>
          <w:sz w:val="24"/>
          <w:highlight w:val="none"/>
        </w:rPr>
      </w:pPr>
    </w:p>
    <w:p w14:paraId="1F6EF99F">
      <w:pPr>
        <w:spacing w:line="360" w:lineRule="auto"/>
        <w:rPr>
          <w:rFonts w:ascii="仿宋" w:hAnsi="仿宋" w:eastAsia="仿宋" w:cs="仿宋"/>
          <w:color w:val="auto"/>
          <w:kern w:val="0"/>
          <w:sz w:val="24"/>
          <w:highlight w:val="none"/>
        </w:rPr>
      </w:pPr>
    </w:p>
    <w:p w14:paraId="4724AC65">
      <w:pPr>
        <w:spacing w:line="360" w:lineRule="auto"/>
        <w:rPr>
          <w:rFonts w:ascii="仿宋" w:hAnsi="仿宋" w:eastAsia="仿宋" w:cs="仿宋"/>
          <w:color w:val="auto"/>
          <w:kern w:val="0"/>
          <w:sz w:val="24"/>
          <w:highlight w:val="none"/>
        </w:rPr>
      </w:pPr>
    </w:p>
    <w:p w14:paraId="35702CED">
      <w:pPr>
        <w:spacing w:line="360" w:lineRule="auto"/>
        <w:rPr>
          <w:rFonts w:ascii="仿宋" w:hAnsi="仿宋" w:eastAsia="仿宋" w:cs="仿宋"/>
          <w:color w:val="auto"/>
          <w:kern w:val="0"/>
          <w:sz w:val="24"/>
          <w:highlight w:val="none"/>
        </w:rPr>
      </w:pPr>
    </w:p>
    <w:p w14:paraId="1812CEAF">
      <w:pPr>
        <w:spacing w:line="360" w:lineRule="auto"/>
        <w:rPr>
          <w:rFonts w:ascii="仿宋" w:hAnsi="仿宋" w:eastAsia="仿宋" w:cs="仿宋"/>
          <w:color w:val="auto"/>
          <w:kern w:val="0"/>
          <w:sz w:val="24"/>
          <w:highlight w:val="none"/>
        </w:rPr>
      </w:pPr>
    </w:p>
    <w:p w14:paraId="57AFD3D8">
      <w:pPr>
        <w:pStyle w:val="52"/>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sz w:val="24"/>
          <w:szCs w:val="24"/>
          <w:highlight w:val="none"/>
        </w:rPr>
        <w:t>）</w:t>
      </w:r>
    </w:p>
    <w:p w14:paraId="44FF399B">
      <w:pPr>
        <w:pStyle w:val="52"/>
        <w:spacing w:line="360" w:lineRule="auto"/>
        <w:rPr>
          <w:rFonts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rPr>
        <w:t>法定代表人或其授权代表</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签字或盖章</w:t>
      </w:r>
      <w:r>
        <w:rPr>
          <w:rFonts w:hint="eastAsia" w:ascii="仿宋" w:hAnsi="仿宋" w:eastAsia="仿宋" w:cs="仿宋"/>
          <w:color w:val="auto"/>
          <w:sz w:val="24"/>
          <w:szCs w:val="24"/>
          <w:highlight w:val="none"/>
        </w:rPr>
        <w:t>）</w:t>
      </w:r>
    </w:p>
    <w:p w14:paraId="43FAA1F7">
      <w:pPr>
        <w:spacing w:line="360" w:lineRule="auto"/>
        <w:jc w:val="right"/>
        <w:rPr>
          <w:rFonts w:ascii="仿宋" w:hAnsi="仿宋" w:eastAsia="仿宋" w:cs="仿宋"/>
          <w:b/>
          <w:color w:val="auto"/>
          <w:sz w:val="24"/>
          <w:highlight w:val="none"/>
        </w:rPr>
      </w:pPr>
      <w:r>
        <w:rPr>
          <w:rFonts w:hint="eastAsia" w:ascii="仿宋" w:hAnsi="仿宋" w:eastAsia="仿宋" w:cs="仿宋"/>
          <w:color w:val="auto"/>
          <w:sz w:val="24"/>
          <w:highlight w:val="none"/>
        </w:rPr>
        <w:t>日期：   年   月   日</w:t>
      </w:r>
    </w:p>
    <w:p w14:paraId="13164B81">
      <w:pPr>
        <w:pStyle w:val="84"/>
        <w:ind w:firstLine="0"/>
        <w:jc w:val="both"/>
        <w:rPr>
          <w:rFonts w:hAnsi="仿宋_GB2312" w:cs="仿宋_GB2312"/>
          <w:color w:val="auto"/>
          <w:highlight w:val="none"/>
        </w:rPr>
      </w:pPr>
    </w:p>
    <w:p w14:paraId="2900C402">
      <w:pPr>
        <w:pageBreakBefore/>
        <w:spacing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八</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未尽事宜请各磋商响应单位按评分标准和相对应标项相关要求制作</w:t>
      </w:r>
    </w:p>
    <w:p w14:paraId="31A3DEDA">
      <w:pPr>
        <w:spacing w:line="360" w:lineRule="auto"/>
        <w:rPr>
          <w:rFonts w:hint="eastAsia" w:ascii="仿宋_GB2312" w:hAnsi="仿宋_GB2312" w:eastAsia="仿宋_GB2312" w:cs="仿宋_GB2312"/>
          <w:b/>
          <w:color w:val="auto"/>
          <w:sz w:val="30"/>
          <w:szCs w:val="30"/>
          <w:highlight w:val="none"/>
          <w:lang w:eastAsia="zh-CN"/>
        </w:rPr>
      </w:pPr>
    </w:p>
    <w:p w14:paraId="3FE8F401">
      <w:pPr>
        <w:pStyle w:val="71"/>
        <w:rPr>
          <w:rFonts w:hint="eastAsia" w:ascii="仿宋_GB2312" w:hAnsi="仿宋_GB2312" w:eastAsia="仿宋_GB2312" w:cs="仿宋_GB2312"/>
          <w:b/>
          <w:color w:val="auto"/>
          <w:sz w:val="30"/>
          <w:szCs w:val="30"/>
          <w:highlight w:val="none"/>
          <w:lang w:eastAsia="zh-CN"/>
        </w:rPr>
      </w:pPr>
    </w:p>
    <w:p w14:paraId="14ECDD66">
      <w:pPr>
        <w:rPr>
          <w:color w:val="auto"/>
          <w:highlight w:val="none"/>
        </w:rPr>
      </w:pPr>
    </w:p>
    <w:p w14:paraId="7742AC35">
      <w:pPr>
        <w:spacing w:line="360" w:lineRule="auto"/>
        <w:jc w:val="center"/>
        <w:rPr>
          <w:rFonts w:ascii="仿宋_GB2312" w:hAnsi="仿宋_GB2312" w:eastAsia="仿宋_GB2312" w:cs="仿宋_GB2312"/>
          <w:b/>
          <w:bCs/>
          <w:color w:val="auto"/>
          <w:sz w:val="24"/>
          <w:highlight w:val="none"/>
        </w:rPr>
      </w:pPr>
    </w:p>
    <w:p w14:paraId="51BE73B9">
      <w:pPr>
        <w:spacing w:line="360" w:lineRule="auto"/>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供应商</w:t>
      </w:r>
      <w:r>
        <w:rPr>
          <w:rFonts w:hint="eastAsia" w:ascii="仿宋_GB2312" w:hAnsi="仿宋_GB2312" w:eastAsia="仿宋_GB2312" w:cs="仿宋_GB2312"/>
          <w:b/>
          <w:bCs/>
          <w:color w:val="auto"/>
          <w:sz w:val="32"/>
          <w:szCs w:val="32"/>
          <w:highlight w:val="none"/>
        </w:rPr>
        <w:t>需要说明的其他文件和说明</w:t>
      </w:r>
    </w:p>
    <w:p w14:paraId="0BEEFB93">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（由供应商根据采购需求自行编制）</w:t>
      </w:r>
    </w:p>
    <w:p w14:paraId="36E9A586">
      <w:pPr>
        <w:spacing w:line="360" w:lineRule="auto"/>
        <w:rPr>
          <w:rFonts w:ascii="仿宋_GB2312" w:hAnsi="仿宋_GB2312" w:eastAsia="仿宋_GB2312" w:cs="仿宋_GB2312"/>
          <w:color w:val="auto"/>
          <w:sz w:val="24"/>
          <w:highlight w:val="none"/>
        </w:rPr>
      </w:pPr>
    </w:p>
    <w:p w14:paraId="50F41486">
      <w:pPr>
        <w:spacing w:line="336" w:lineRule="auto"/>
        <w:ind w:firstLine="3600" w:firstLineChars="1500"/>
        <w:rPr>
          <w:rFonts w:hint="eastAsia" w:ascii="仿宋" w:hAnsi="仿宋" w:eastAsia="仿宋" w:cs="仿宋"/>
          <w:color w:val="auto"/>
          <w:sz w:val="24"/>
          <w:highlight w:val="none"/>
        </w:rPr>
      </w:pPr>
    </w:p>
    <w:p w14:paraId="3C0A2A92">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6C92145">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F92ED26">
      <w:pPr>
        <w:pStyle w:val="71"/>
        <w:rPr>
          <w:color w:val="auto"/>
          <w:highlight w:val="none"/>
        </w:rPr>
        <w:sectPr>
          <w:headerReference r:id="rId9" w:type="first"/>
          <w:footerReference r:id="rId11" w:type="first"/>
          <w:headerReference r:id="rId8" w:type="default"/>
          <w:footerReference r:id="rId10" w:type="default"/>
          <w:pgSz w:w="11906" w:h="16838"/>
          <w:pgMar w:top="1814" w:right="1474" w:bottom="1814" w:left="1474" w:header="851" w:footer="992" w:gutter="0"/>
          <w:cols w:space="720" w:num="1"/>
          <w:titlePg/>
          <w:docGrid w:linePitch="312" w:charSpace="0"/>
        </w:sectPr>
      </w:pPr>
    </w:p>
    <w:p w14:paraId="76699B69">
      <w:pPr>
        <w:spacing w:line="336" w:lineRule="auto"/>
        <w:jc w:val="center"/>
        <w:rPr>
          <w:rFonts w:ascii="仿宋" w:hAnsi="仿宋" w:eastAsia="仿宋" w:cs="仿宋"/>
          <w:b/>
          <w:color w:val="auto"/>
          <w:sz w:val="36"/>
          <w:szCs w:val="36"/>
          <w:highlight w:val="none"/>
        </w:rPr>
      </w:pPr>
    </w:p>
    <w:p w14:paraId="0B0BB62E">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90372A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1168B7">
      <w:pPr>
        <w:spacing w:line="336" w:lineRule="auto"/>
        <w:jc w:val="center"/>
        <w:outlineLvl w:val="0"/>
        <w:rPr>
          <w:rFonts w:ascii="仿宋" w:hAnsi="仿宋" w:eastAsia="仿宋" w:cs="仿宋"/>
          <w:b/>
          <w:color w:val="auto"/>
          <w:kern w:val="0"/>
          <w:sz w:val="36"/>
          <w:szCs w:val="36"/>
          <w:highlight w:val="none"/>
        </w:rPr>
      </w:pPr>
    </w:p>
    <w:p w14:paraId="6EE856AB">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（1）磋商一览表（报价表）………………………………………………………（页码）</w:t>
      </w:r>
    </w:p>
    <w:p w14:paraId="1525DF26">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6F9D080B">
      <w:pPr>
        <w:numPr>
          <w:ilvl w:val="0"/>
          <w:numId w:val="0"/>
        </w:num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残疾人福利性单位声明函……………………………………………………（页码）</w:t>
      </w:r>
    </w:p>
    <w:p w14:paraId="719D86F6">
      <w:pPr>
        <w:pStyle w:val="71"/>
        <w:rPr>
          <w:rFonts w:hint="eastAsia" w:eastAsia="仿宋_GB2312"/>
          <w:color w:val="auto"/>
          <w:highlight w:val="none"/>
          <w:lang w:eastAsia="zh-CN"/>
        </w:rPr>
      </w:pPr>
    </w:p>
    <w:p w14:paraId="521223E8">
      <w:pPr>
        <w:snapToGrid w:val="0"/>
        <w:spacing w:line="336" w:lineRule="auto"/>
        <w:jc w:val="center"/>
        <w:rPr>
          <w:rFonts w:ascii="仿宋" w:hAnsi="仿宋" w:eastAsia="仿宋" w:cs="仿宋"/>
          <w:b/>
          <w:color w:val="auto"/>
          <w:kern w:val="0"/>
          <w:sz w:val="32"/>
          <w:szCs w:val="32"/>
          <w:highlight w:val="none"/>
        </w:rPr>
      </w:pPr>
    </w:p>
    <w:p w14:paraId="0A0775E3">
      <w:pPr>
        <w:spacing w:line="336" w:lineRule="auto"/>
        <w:jc w:val="center"/>
        <w:rPr>
          <w:rFonts w:ascii="仿宋" w:hAnsi="仿宋" w:eastAsia="仿宋" w:cs="仿宋"/>
          <w:b/>
          <w:bCs/>
          <w:color w:val="auto"/>
          <w:sz w:val="32"/>
          <w:szCs w:val="32"/>
          <w:highlight w:val="none"/>
        </w:rPr>
      </w:pPr>
    </w:p>
    <w:p w14:paraId="3FC0AE9C">
      <w:pPr>
        <w:widowControl/>
        <w:adjustRightInd/>
        <w:spacing w:line="336" w:lineRule="auto"/>
        <w:jc w:val="left"/>
        <w:rPr>
          <w:rFonts w:ascii="仿宋" w:hAnsi="仿宋" w:eastAsia="仿宋" w:cs="仿宋"/>
          <w:b/>
          <w:bCs/>
          <w:color w:val="auto"/>
          <w:sz w:val="30"/>
          <w:szCs w:val="30"/>
          <w:highlight w:val="none"/>
        </w:rPr>
      </w:pPr>
    </w:p>
    <w:p w14:paraId="5E66DD54">
      <w:pPr>
        <w:widowControl/>
        <w:adjustRightInd/>
        <w:spacing w:line="336" w:lineRule="auto"/>
        <w:jc w:val="left"/>
        <w:rPr>
          <w:rFonts w:ascii="仿宋" w:hAnsi="仿宋" w:eastAsia="仿宋" w:cs="仿宋"/>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36"/>
          <w:szCs w:val="36"/>
          <w:highlight w:val="none"/>
        </w:rPr>
        <w:br w:type="page"/>
      </w:r>
    </w:p>
    <w:p w14:paraId="3AD133EB">
      <w:pPr>
        <w:pStyle w:val="115"/>
        <w:keepNext w:val="0"/>
        <w:pageBreakBefore w:val="0"/>
        <w:tabs>
          <w:tab w:val="clear" w:pos="720"/>
        </w:tabs>
        <w:spacing w:line="336" w:lineRule="auto"/>
        <w:ind w:firstLine="64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（一）磋商一览表（报价表）</w:t>
      </w:r>
    </w:p>
    <w:p w14:paraId="03CE1EE6">
      <w:pPr>
        <w:snapToGrid w:val="0"/>
        <w:spacing w:line="336"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4762D7A">
      <w:pPr>
        <w:snapToGrid w:val="0"/>
        <w:spacing w:line="336"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【磋商编号：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4B9E7D0">
      <w:pPr>
        <w:spacing w:line="336"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磋商一览表（报价表）</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lang w:val="zh-CN"/>
        </w:rPr>
        <w:t>(单位均为人民币元)</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510"/>
        <w:gridCol w:w="2352"/>
        <w:gridCol w:w="2358"/>
      </w:tblGrid>
      <w:tr w14:paraId="383B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vAlign w:val="center"/>
          </w:tcPr>
          <w:p w14:paraId="4F4DD90E">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3" w:type="pct"/>
            <w:vAlign w:val="center"/>
          </w:tcPr>
          <w:p w14:paraId="063971EE">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2" w:type="pct"/>
            <w:vAlign w:val="center"/>
          </w:tcPr>
          <w:p w14:paraId="115DFFBF">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p>
          <w:p w14:paraId="4D5A3319">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工期（日历天）</w:t>
            </w:r>
          </w:p>
          <w:p w14:paraId="3B224E6C">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 w:hAnsi="仿宋" w:eastAsia="仿宋" w:cs="仿宋"/>
                <w:b/>
                <w:color w:val="auto"/>
                <w:sz w:val="24"/>
                <w:highlight w:val="none"/>
                <w:lang w:eastAsia="zh-CN"/>
              </w:rPr>
            </w:pPr>
          </w:p>
        </w:tc>
        <w:tc>
          <w:tcPr>
            <w:tcW w:w="1304" w:type="pct"/>
            <w:vAlign w:val="center"/>
          </w:tcPr>
          <w:p w14:paraId="5A166A79">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磋商下浮率（%）</w:t>
            </w:r>
          </w:p>
        </w:tc>
      </w:tr>
      <w:tr w14:paraId="176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49" w:type="pct"/>
            <w:vAlign w:val="center"/>
          </w:tcPr>
          <w:p w14:paraId="5C357D66">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3" w:type="pct"/>
            <w:vAlign w:val="center"/>
          </w:tcPr>
          <w:p w14:paraId="0B7DE2B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color w:val="auto"/>
                <w:sz w:val="24"/>
                <w:highlight w:val="none"/>
              </w:rPr>
            </w:pPr>
          </w:p>
        </w:tc>
        <w:tc>
          <w:tcPr>
            <w:tcW w:w="1302" w:type="pct"/>
            <w:vAlign w:val="center"/>
          </w:tcPr>
          <w:p w14:paraId="291F856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c>
          <w:tcPr>
            <w:tcW w:w="1304" w:type="pct"/>
            <w:vAlign w:val="center"/>
          </w:tcPr>
          <w:p w14:paraId="0BA6A051">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07A0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2" w:type="pct"/>
            <w:gridSpan w:val="2"/>
            <w:vAlign w:val="center"/>
          </w:tcPr>
          <w:p w14:paraId="31B206D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2607" w:type="pct"/>
            <w:gridSpan w:val="2"/>
          </w:tcPr>
          <w:p w14:paraId="2F7C69E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23E0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92" w:type="pct"/>
            <w:gridSpan w:val="2"/>
            <w:vAlign w:val="center"/>
          </w:tcPr>
          <w:p w14:paraId="323E93D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2607" w:type="pct"/>
            <w:gridSpan w:val="2"/>
          </w:tcPr>
          <w:p w14:paraId="58AEC0E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bl>
    <w:p w14:paraId="60E2232C">
      <w:pPr>
        <w:snapToGrid w:val="0"/>
        <w:spacing w:line="240" w:lineRule="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3E3CD95">
      <w:pPr>
        <w:spacing w:line="240" w:lineRule="auto"/>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1、磋商报价=最高限价（2246736元）×（1-磋商下浮率），报价四舍五入精确到元，未按规定填写的作无效标处理。</w:t>
      </w:r>
    </w:p>
    <w:p w14:paraId="18423C0F">
      <w:pPr>
        <w:spacing w:line="24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磋商文件含有采购人不能接受的附加条件，磋商无效</w:t>
      </w:r>
      <w:r>
        <w:rPr>
          <w:rFonts w:hint="eastAsia" w:ascii="仿宋" w:hAnsi="仿宋" w:eastAsia="仿宋" w:cs="仿宋"/>
          <w:color w:val="auto"/>
          <w:kern w:val="0"/>
          <w:sz w:val="24"/>
          <w:highlight w:val="none"/>
          <w:lang w:val="zh-CN"/>
        </w:rPr>
        <w:t>。</w:t>
      </w:r>
    </w:p>
    <w:p w14:paraId="3CD0C884">
      <w:pPr>
        <w:spacing w:line="24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磋商文件含有采购人不能接受的附加条件，磋商无效</w:t>
      </w:r>
      <w:r>
        <w:rPr>
          <w:rFonts w:hint="eastAsia" w:ascii="仿宋" w:hAnsi="仿宋" w:eastAsia="仿宋" w:cs="仿宋"/>
          <w:b/>
          <w:color w:val="auto"/>
          <w:kern w:val="0"/>
          <w:sz w:val="24"/>
          <w:highlight w:val="none"/>
          <w:lang w:val="zh-CN"/>
        </w:rPr>
        <w:t>；采购内容未包含在《开标一览表（报价表）》名称栏中，供应商不能作出合理解释的，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磋商文件含有采购人不能接受的附加条件的，磋商无效。</w:t>
      </w:r>
    </w:p>
    <w:p w14:paraId="22557D9A">
      <w:pPr>
        <w:snapToGrid w:val="0"/>
        <w:spacing w:line="24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79FAE5D3">
      <w:pPr>
        <w:snapToGrid w:val="0"/>
        <w:spacing w:line="24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5</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CCE4976">
      <w:pPr>
        <w:spacing w:line="240" w:lineRule="auto"/>
        <w:ind w:firstLine="480" w:firstLineChars="200"/>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供虚假材料谋取中标、成交，依照《中华人民共和国政府采购法》等国家有关规定追究相应责任。</w:t>
      </w:r>
    </w:p>
    <w:p w14:paraId="286C9C5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0F236DC">
      <w:pPr>
        <w:spacing w:line="336" w:lineRule="auto"/>
        <w:jc w:val="center"/>
        <w:rPr>
          <w:rFonts w:ascii="仿宋" w:hAnsi="仿宋" w:eastAsia="仿宋" w:cs="仿宋"/>
          <w:color w:val="auto"/>
          <w:kern w:val="0"/>
          <w:sz w:val="24"/>
          <w:highlight w:val="none"/>
          <w:lang w:val="zh-CN"/>
        </w:rPr>
        <w:sectPr>
          <w:pgSz w:w="11906" w:h="16838"/>
          <w:pgMar w:top="1474" w:right="1272" w:bottom="1474" w:left="1814" w:header="851" w:footer="992" w:gutter="0"/>
          <w:cols w:space="720" w:num="1"/>
          <w:titlePg/>
          <w:docGrid w:linePitch="312" w:charSpace="0"/>
        </w:sectPr>
      </w:pPr>
      <w:r>
        <w:rPr>
          <w:rFonts w:hint="eastAsia" w:ascii="仿宋" w:hAnsi="仿宋" w:eastAsia="仿宋" w:cs="仿宋"/>
          <w:color w:val="auto"/>
          <w:sz w:val="24"/>
          <w:highlight w:val="none"/>
        </w:rPr>
        <w:t xml:space="preserve">     日期：  年   月   日</w:t>
      </w:r>
    </w:p>
    <w:p w14:paraId="1B461B46">
      <w:pPr>
        <w:widowControl/>
        <w:adjustRightInd/>
        <w:spacing w:line="336" w:lineRule="auto"/>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2、最终磋商</w:t>
      </w:r>
      <w:r>
        <w:rPr>
          <w:rFonts w:hint="eastAsia" w:ascii="仿宋" w:hAnsi="仿宋" w:eastAsia="仿宋" w:cs="仿宋"/>
          <w:b/>
          <w:bCs/>
          <w:color w:val="auto"/>
          <w:sz w:val="28"/>
          <w:szCs w:val="28"/>
          <w:highlight w:val="none"/>
        </w:rPr>
        <w:t>一览表（磋商响应文件中不提供，此格式用于</w:t>
      </w:r>
      <w:r>
        <w:rPr>
          <w:rFonts w:hint="eastAsia" w:ascii="仿宋" w:hAnsi="仿宋" w:eastAsia="仿宋" w:cs="仿宋"/>
          <w:b/>
          <w:bCs/>
          <w:color w:val="auto"/>
          <w:sz w:val="28"/>
          <w:szCs w:val="28"/>
          <w:highlight w:val="none"/>
          <w:lang w:val="en-US" w:eastAsia="zh-CN"/>
        </w:rPr>
        <w:t>最终磋商</w:t>
      </w:r>
      <w:r>
        <w:rPr>
          <w:rFonts w:hint="eastAsia" w:ascii="仿宋" w:hAnsi="仿宋" w:eastAsia="仿宋" w:cs="仿宋"/>
          <w:b/>
          <w:bCs/>
          <w:color w:val="auto"/>
          <w:sz w:val="28"/>
          <w:szCs w:val="28"/>
          <w:highlight w:val="none"/>
        </w:rPr>
        <w:t>报价）</w:t>
      </w:r>
    </w:p>
    <w:p w14:paraId="7ACD78DE">
      <w:pPr>
        <w:keepNext w:val="0"/>
        <w:keepLines w:val="0"/>
        <w:pageBreakBefore w:val="0"/>
        <w:kinsoku/>
        <w:wordWrap/>
        <w:overflowPunct/>
        <w:topLinePunct w:val="0"/>
        <w:autoSpaceDE/>
        <w:autoSpaceDN/>
        <w:bidi w:val="0"/>
        <w:snapToGrid w:val="0"/>
        <w:spacing w:line="288"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D75E7AB">
      <w:pPr>
        <w:widowControl/>
        <w:adjustRightInd/>
        <w:spacing w:line="336" w:lineRule="auto"/>
        <w:jc w:val="left"/>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lang w:val="zh-CN"/>
        </w:rPr>
        <w:t>按你方磋商文件要求，我们，本磋商文件签字方，谨此向你方发出要约如下：如你方接受本磋商，我方承诺按照如下开标一览表（报价表）的价格完成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【磋商编号：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79269DD">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磋商一览表（报价表）</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lang w:val="zh-CN"/>
        </w:rPr>
        <w:t>(单位均为人民币元)</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565"/>
        <w:gridCol w:w="2388"/>
        <w:gridCol w:w="2392"/>
      </w:tblGrid>
      <w:tr w14:paraId="294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pct"/>
            <w:vAlign w:val="center"/>
          </w:tcPr>
          <w:p w14:paraId="4F909376">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44" w:type="pct"/>
            <w:vAlign w:val="center"/>
          </w:tcPr>
          <w:p w14:paraId="00563354">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02" w:type="pct"/>
            <w:vAlign w:val="center"/>
          </w:tcPr>
          <w:p w14:paraId="57B7EBF0">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p>
          <w:p w14:paraId="4C8FF14C">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工期（日历天）</w:t>
            </w:r>
          </w:p>
          <w:p w14:paraId="7282B36D">
            <w:pPr>
              <w:keepNext w:val="0"/>
              <w:keepLines w:val="0"/>
              <w:pageBreakBefore w:val="0"/>
              <w:widowControl w:val="0"/>
              <w:kinsoku/>
              <w:wordWrap/>
              <w:overflowPunct/>
              <w:topLinePunct w:val="0"/>
              <w:autoSpaceDE/>
              <w:autoSpaceDN/>
              <w:bidi w:val="0"/>
              <w:adjustRightInd w:val="0"/>
              <w:snapToGrid/>
              <w:spacing w:line="240" w:lineRule="exact"/>
              <w:jc w:val="both"/>
              <w:textAlignment w:val="auto"/>
              <w:rPr>
                <w:rFonts w:hint="eastAsia" w:ascii="仿宋" w:hAnsi="仿宋" w:eastAsia="仿宋" w:cs="仿宋"/>
                <w:b/>
                <w:color w:val="auto"/>
                <w:sz w:val="24"/>
                <w:highlight w:val="none"/>
                <w:lang w:eastAsia="zh-CN"/>
              </w:rPr>
            </w:pPr>
          </w:p>
        </w:tc>
        <w:tc>
          <w:tcPr>
            <w:tcW w:w="1304" w:type="pct"/>
            <w:vAlign w:val="center"/>
          </w:tcPr>
          <w:p w14:paraId="2EE1F8B2">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磋商下浮率（%）</w:t>
            </w:r>
          </w:p>
        </w:tc>
      </w:tr>
      <w:tr w14:paraId="0BF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49" w:type="pct"/>
            <w:vAlign w:val="center"/>
          </w:tcPr>
          <w:p w14:paraId="3A5CF710">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4" w:type="pct"/>
            <w:vAlign w:val="center"/>
          </w:tcPr>
          <w:p w14:paraId="617AFD2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color w:val="auto"/>
                <w:sz w:val="24"/>
                <w:highlight w:val="none"/>
              </w:rPr>
            </w:pPr>
          </w:p>
        </w:tc>
        <w:tc>
          <w:tcPr>
            <w:tcW w:w="1302" w:type="pct"/>
            <w:vAlign w:val="center"/>
          </w:tcPr>
          <w:p w14:paraId="7F3B85B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color w:val="auto"/>
                <w:sz w:val="24"/>
                <w:highlight w:val="none"/>
                <w:lang w:val="en-US" w:eastAsia="zh-CN"/>
              </w:rPr>
            </w:pPr>
          </w:p>
        </w:tc>
        <w:tc>
          <w:tcPr>
            <w:tcW w:w="1304" w:type="pct"/>
            <w:vAlign w:val="center"/>
          </w:tcPr>
          <w:p w14:paraId="4D7FFC19">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694B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3" w:type="pct"/>
            <w:gridSpan w:val="2"/>
            <w:vAlign w:val="center"/>
          </w:tcPr>
          <w:p w14:paraId="35CCA72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2606" w:type="pct"/>
            <w:gridSpan w:val="2"/>
          </w:tcPr>
          <w:p w14:paraId="3027895C">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r w14:paraId="2B3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93" w:type="pct"/>
            <w:gridSpan w:val="2"/>
            <w:vAlign w:val="center"/>
          </w:tcPr>
          <w:p w14:paraId="1F7A7D1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2606" w:type="pct"/>
            <w:gridSpan w:val="2"/>
          </w:tcPr>
          <w:p w14:paraId="36BE2313">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仿宋" w:hAnsi="仿宋" w:eastAsia="仿宋" w:cs="仿宋"/>
                <w:color w:val="auto"/>
                <w:sz w:val="24"/>
                <w:highlight w:val="none"/>
              </w:rPr>
            </w:pPr>
          </w:p>
        </w:tc>
      </w:tr>
    </w:tbl>
    <w:p w14:paraId="13638384">
      <w:pPr>
        <w:keepNext w:val="0"/>
        <w:keepLines w:val="0"/>
        <w:pageBreakBefore w:val="0"/>
        <w:widowControl w:val="0"/>
        <w:kinsoku/>
        <w:wordWrap/>
        <w:overflowPunct/>
        <w:topLinePunct w:val="0"/>
        <w:autoSpaceDE/>
        <w:autoSpaceDN/>
        <w:bidi w:val="0"/>
        <w:adjustRightInd w:val="0"/>
        <w:snapToGrid w:val="0"/>
        <w:spacing w:line="288" w:lineRule="auto"/>
        <w:ind w:firstLine="562" w:firstLineChars="200"/>
        <w:jc w:val="left"/>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en-US" w:eastAsia="zh-CN"/>
        </w:rPr>
        <w:t>注：</w:t>
      </w:r>
      <w:r>
        <w:rPr>
          <w:rFonts w:hint="eastAsia" w:ascii="仿宋" w:hAnsi="仿宋" w:eastAsia="仿宋" w:cs="仿宋"/>
          <w:b/>
          <w:color w:val="auto"/>
          <w:kern w:val="0"/>
          <w:sz w:val="28"/>
          <w:szCs w:val="28"/>
          <w:highlight w:val="none"/>
          <w:lang w:val="zh-CN" w:eastAsia="zh-CN"/>
        </w:rPr>
        <w:t>1、磋商报价=</w:t>
      </w:r>
      <w:r>
        <w:rPr>
          <w:rFonts w:hint="eastAsia" w:ascii="仿宋" w:hAnsi="仿宋" w:eastAsia="仿宋" w:cs="仿宋"/>
          <w:b/>
          <w:bCs/>
          <w:color w:val="auto"/>
          <w:kern w:val="0"/>
          <w:sz w:val="28"/>
          <w:szCs w:val="28"/>
          <w:highlight w:val="none"/>
          <w:lang w:val="en-US" w:eastAsia="zh-CN"/>
        </w:rPr>
        <w:t>最高限价（2246736元）</w:t>
      </w:r>
      <w:r>
        <w:rPr>
          <w:rFonts w:hint="eastAsia" w:ascii="仿宋" w:hAnsi="仿宋" w:eastAsia="仿宋" w:cs="仿宋"/>
          <w:b/>
          <w:color w:val="auto"/>
          <w:kern w:val="0"/>
          <w:sz w:val="28"/>
          <w:szCs w:val="28"/>
          <w:highlight w:val="none"/>
          <w:lang w:val="zh-CN" w:eastAsia="zh-CN"/>
        </w:rPr>
        <w:t>×（1-磋商下浮率），报价四舍五入精确到元，未按规定填写的作无效标处理。</w:t>
      </w:r>
    </w:p>
    <w:p w14:paraId="153DEB2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2、</w:t>
      </w:r>
      <w:r>
        <w:rPr>
          <w:rFonts w:hint="eastAsia" w:ascii="仿宋" w:hAnsi="仿宋" w:eastAsia="仿宋" w:cs="仿宋"/>
          <w:b w:val="0"/>
          <w:bCs/>
          <w:color w:val="auto"/>
          <w:kern w:val="0"/>
          <w:sz w:val="24"/>
          <w:highlight w:val="none"/>
          <w:lang w:val="zh-CN"/>
        </w:rPr>
        <w:t>供应商需按本表格式填写，否则视为磋商文件含有采购人不能接受的附加条件，磋商无效。</w:t>
      </w:r>
    </w:p>
    <w:p w14:paraId="2818973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3</w:t>
      </w:r>
      <w:r>
        <w:rPr>
          <w:rFonts w:hint="eastAsia" w:ascii="仿宋" w:hAnsi="仿宋" w:eastAsia="仿宋" w:cs="仿宋"/>
          <w:b w:val="0"/>
          <w:bCs/>
          <w:color w:val="auto"/>
          <w:kern w:val="0"/>
          <w:sz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磋商文件含有采购人不能接受的附加条件，磋商无效；采购内容未包含在《开标一览表（报价表）》名称栏中，供应商不能作出合理解释的，视为磋商文件含有采购人不能接受的附加条件的，磋商无效。</w:t>
      </w:r>
    </w:p>
    <w:p w14:paraId="46583E9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4</w:t>
      </w:r>
      <w:r>
        <w:rPr>
          <w:rFonts w:hint="eastAsia" w:ascii="仿宋" w:hAnsi="仿宋" w:eastAsia="仿宋" w:cs="仿宋"/>
          <w:b w:val="0"/>
          <w:bCs/>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25F6864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5</w:t>
      </w:r>
      <w:r>
        <w:rPr>
          <w:rFonts w:hint="eastAsia" w:ascii="仿宋" w:hAnsi="仿宋" w:eastAsia="仿宋" w:cs="仿宋"/>
          <w:b w:val="0"/>
          <w:bCs/>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2A297E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textAlignment w:val="auto"/>
        <w:rPr>
          <w:rFonts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eastAsia="zh-CN"/>
        </w:rPr>
        <w:t>6、</w:t>
      </w:r>
      <w:r>
        <w:rPr>
          <w:rFonts w:hint="eastAsia" w:ascii="仿宋" w:hAnsi="仿宋" w:eastAsia="仿宋" w:cs="仿宋"/>
          <w:b w:val="0"/>
          <w:bCs/>
          <w:color w:val="auto"/>
          <w:kern w:val="0"/>
          <w:sz w:val="24"/>
          <w:highlight w:val="none"/>
          <w:lang w:val="zh-CN"/>
        </w:rPr>
        <w:t>供虚假材料谋取中标、成交，依照《中华人民共和国政府采购法》等国家有关规定追究相应责任。</w:t>
      </w:r>
    </w:p>
    <w:p w14:paraId="5B9EB7F3">
      <w:pPr>
        <w:keepNext w:val="0"/>
        <w:keepLines w:val="0"/>
        <w:pageBreakBefore w:val="0"/>
        <w:widowControl w:val="0"/>
        <w:kinsoku/>
        <w:wordWrap/>
        <w:overflowPunct/>
        <w:topLinePunct w:val="0"/>
        <w:autoSpaceDE/>
        <w:autoSpaceDN/>
        <w:bidi w:val="0"/>
        <w:adjustRightInd w:val="0"/>
        <w:spacing w:line="288" w:lineRule="auto"/>
        <w:ind w:firstLine="4560" w:firstLineChars="1900"/>
        <w:textAlignment w:val="auto"/>
        <w:rPr>
          <w:rFonts w:hint="eastAsia" w:ascii="仿宋" w:hAnsi="仿宋" w:eastAsia="仿宋" w:cs="仿宋"/>
          <w:color w:val="auto"/>
          <w:sz w:val="24"/>
          <w:highlight w:val="none"/>
        </w:rPr>
      </w:pPr>
    </w:p>
    <w:p w14:paraId="2ED3BF41">
      <w:pPr>
        <w:keepNext w:val="0"/>
        <w:keepLines w:val="0"/>
        <w:pageBreakBefore w:val="0"/>
        <w:widowControl w:val="0"/>
        <w:kinsoku/>
        <w:wordWrap/>
        <w:overflowPunct/>
        <w:topLinePunct w:val="0"/>
        <w:autoSpaceDE/>
        <w:autoSpaceDN/>
        <w:bidi w:val="0"/>
        <w:adjustRightInd w:val="0"/>
        <w:spacing w:line="288" w:lineRule="auto"/>
        <w:ind w:firstLine="4560" w:firstLineChars="19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760C1ADC">
      <w:pPr>
        <w:widowControl/>
        <w:adjustRightInd/>
        <w:spacing w:line="336"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16316B79">
      <w:pPr>
        <w:widowControl/>
        <w:adjustRightInd/>
        <w:spacing w:line="336" w:lineRule="auto"/>
        <w:jc w:val="both"/>
        <w:rPr>
          <w:rFonts w:hint="eastAsia" w:ascii="仿宋" w:hAnsi="仿宋" w:eastAsia="仿宋" w:cs="仿宋"/>
          <w:b/>
          <w:color w:val="auto"/>
          <w:sz w:val="32"/>
          <w:szCs w:val="32"/>
          <w:highlight w:val="none"/>
        </w:rPr>
      </w:pPr>
    </w:p>
    <w:p w14:paraId="14C209E2">
      <w:pPr>
        <w:widowControl/>
        <w:adjustRightInd/>
        <w:spacing w:line="336"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73" w:name="_Toc465665161"/>
      <w:r>
        <w:rPr>
          <w:rFonts w:hint="eastAsia" w:ascii="仿宋" w:hAnsi="仿宋" w:eastAsia="仿宋" w:cs="仿宋"/>
          <w:b/>
          <w:color w:val="auto"/>
          <w:sz w:val="32"/>
          <w:szCs w:val="32"/>
          <w:highlight w:val="none"/>
        </w:rPr>
        <w:t>（如果有）</w:t>
      </w:r>
    </w:p>
    <w:p w14:paraId="099A05D5">
      <w:pPr>
        <w:widowControl/>
        <w:spacing w:line="336" w:lineRule="auto"/>
        <w:ind w:firstLine="120" w:firstLineChars="50"/>
        <w:jc w:val="left"/>
        <w:rPr>
          <w:rFonts w:ascii="仿宋" w:hAnsi="仿宋" w:eastAsia="仿宋" w:cs="仿宋"/>
          <w:b/>
          <w:color w:val="auto"/>
          <w:sz w:val="24"/>
          <w:highlight w:val="none"/>
        </w:rPr>
      </w:pPr>
    </w:p>
    <w:p w14:paraId="64691701">
      <w:pPr>
        <w:widowControl/>
        <w:spacing w:line="336"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AA1241D">
      <w:pPr>
        <w:widowControl/>
        <w:spacing w:line="336" w:lineRule="auto"/>
        <w:ind w:firstLine="120" w:firstLineChars="50"/>
        <w:jc w:val="left"/>
        <w:rPr>
          <w:rFonts w:hint="eastAsia" w:ascii="仿宋" w:hAnsi="仿宋" w:eastAsia="仿宋" w:cs="仿宋"/>
          <w:b/>
          <w:color w:val="auto"/>
          <w:sz w:val="24"/>
          <w:highlight w:val="none"/>
        </w:rPr>
      </w:pPr>
    </w:p>
    <w:p w14:paraId="1EECD772">
      <w:pPr>
        <w:pStyle w:val="71"/>
        <w:rPr>
          <w:rFonts w:hint="eastAsia" w:ascii="仿宋" w:hAnsi="仿宋" w:eastAsia="仿宋" w:cs="仿宋"/>
          <w:b/>
          <w:color w:val="auto"/>
          <w:sz w:val="24"/>
          <w:highlight w:val="none"/>
        </w:rPr>
      </w:pPr>
    </w:p>
    <w:p w14:paraId="0BAF4026">
      <w:pPr>
        <w:pStyle w:val="72"/>
        <w:rPr>
          <w:rFonts w:hint="eastAsia" w:ascii="仿宋" w:hAnsi="仿宋" w:eastAsia="仿宋" w:cs="仿宋"/>
          <w:b/>
          <w:color w:val="auto"/>
          <w:sz w:val="24"/>
          <w:highlight w:val="none"/>
        </w:rPr>
      </w:pPr>
    </w:p>
    <w:p w14:paraId="5513D411">
      <w:pPr>
        <w:rPr>
          <w:rFonts w:hint="eastAsia" w:ascii="仿宋" w:hAnsi="仿宋" w:eastAsia="仿宋" w:cs="仿宋"/>
          <w:b/>
          <w:color w:val="auto"/>
          <w:sz w:val="24"/>
          <w:highlight w:val="none"/>
        </w:rPr>
      </w:pPr>
    </w:p>
    <w:p w14:paraId="290596C1">
      <w:pPr>
        <w:pStyle w:val="71"/>
        <w:rPr>
          <w:rFonts w:hint="eastAsia"/>
          <w:color w:val="auto"/>
          <w:highlight w:val="none"/>
        </w:rPr>
      </w:pPr>
    </w:p>
    <w:p w14:paraId="29726784">
      <w:pPr>
        <w:widowControl/>
        <w:spacing w:line="336" w:lineRule="auto"/>
        <w:ind w:firstLine="161" w:firstLineChars="50"/>
        <w:jc w:val="center"/>
        <w:rPr>
          <w:rFonts w:ascii="仿宋" w:hAnsi="仿宋" w:eastAsia="仿宋" w:cs="仿宋"/>
          <w:b/>
          <w:color w:val="auto"/>
          <w:sz w:val="24"/>
          <w:highlight w:val="none"/>
        </w:rPr>
      </w:pPr>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残疾人福利性单位声明函（如果有）</w:t>
      </w:r>
    </w:p>
    <w:p w14:paraId="0D6F8FBB">
      <w:pPr>
        <w:widowControl/>
        <w:spacing w:line="336" w:lineRule="auto"/>
        <w:ind w:firstLine="361" w:firstLineChars="1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[符合条件的残疾人福利性单位，提供残疾人福利性单位声明函(附件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否</w:t>
      </w:r>
      <w:r>
        <w:rPr>
          <w:rFonts w:hint="eastAsia" w:ascii="仿宋" w:hAnsi="仿宋" w:eastAsia="仿宋" w:cs="仿宋"/>
          <w:b/>
          <w:color w:val="auto"/>
          <w:sz w:val="24"/>
          <w:highlight w:val="none"/>
        </w:rPr>
        <w:t>则不需要提供。]</w:t>
      </w:r>
    </w:p>
    <w:p w14:paraId="3193A2A9">
      <w:pPr>
        <w:widowControl/>
        <w:adjustRightInd/>
        <w:spacing w:line="336" w:lineRule="auto"/>
        <w:jc w:val="center"/>
        <w:rPr>
          <w:rFonts w:ascii="仿宋" w:hAnsi="仿宋" w:eastAsia="仿宋" w:cs="仿宋"/>
          <w:color w:val="auto"/>
          <w:sz w:val="24"/>
          <w:highlight w:val="none"/>
        </w:rPr>
      </w:pPr>
    </w:p>
    <w:p w14:paraId="55B9C9F5">
      <w:pPr>
        <w:widowControl/>
        <w:adjustRightInd/>
        <w:spacing w:line="336"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CED7A6C">
      <w:pPr>
        <w:pStyle w:val="4"/>
        <w:keepNext w:val="0"/>
        <w:keepLines w:val="0"/>
        <w:pageBreakBefore/>
        <w:widowControl/>
        <w:numPr>
          <w:ilvl w:val="0"/>
          <w:numId w:val="0"/>
        </w:numPr>
        <w:adjustRightInd/>
        <w:spacing w:before="0" w:after="0" w:line="336" w:lineRule="auto"/>
        <w:jc w:val="center"/>
        <w:rPr>
          <w:rFonts w:ascii="仿宋" w:hAnsi="仿宋" w:eastAsia="仿宋" w:cs="仿宋"/>
          <w:color w:val="auto"/>
          <w:highlight w:val="none"/>
        </w:rPr>
      </w:pPr>
      <w:r>
        <w:rPr>
          <w:rFonts w:hint="eastAsia" w:ascii="仿宋" w:hAnsi="仿宋" w:eastAsia="仿宋" w:cs="仿宋"/>
          <w:color w:val="auto"/>
          <w:highlight w:val="none"/>
        </w:rPr>
        <w:t>附件</w:t>
      </w:r>
      <w:bookmarkEnd w:id="73"/>
    </w:p>
    <w:p w14:paraId="3A6DF13B">
      <w:pPr>
        <w:spacing w:line="336"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3AFAC0F7">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415141F">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70CB179">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388B9EC">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237F1BA">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7D98E0">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416E70E">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F3E7D0">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A16596A">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81F277D">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842EFE7">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9E0F3A">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5D8419C">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F027E7">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3C887DD">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45C4DED">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5C03C15">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1908DBE">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FFABC3">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85CAFA6">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F4DFD2D">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3B4ED20">
      <w:pPr>
        <w:snapToGrid w:val="0"/>
        <w:spacing w:line="33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0B1DCDB">
      <w:pPr>
        <w:snapToGrid w:val="0"/>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84EEE8">
      <w:pPr>
        <w:spacing w:line="336" w:lineRule="auto"/>
        <w:rPr>
          <w:rFonts w:ascii="仿宋" w:hAnsi="仿宋" w:eastAsia="仿宋" w:cs="仿宋"/>
          <w:color w:val="auto"/>
          <w:sz w:val="24"/>
          <w:highlight w:val="none"/>
        </w:rPr>
      </w:pPr>
    </w:p>
    <w:p w14:paraId="624417C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3B4FF53">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AA3C56D">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A2CA22D">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D3167A">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DAC70F9">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81698DB">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8561D52">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CBB027E">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B994D3">
      <w:pPr>
        <w:widowControl/>
        <w:spacing w:line="336" w:lineRule="auto"/>
        <w:ind w:firstLine="600" w:firstLineChars="200"/>
        <w:jc w:val="left"/>
        <w:rPr>
          <w:rFonts w:ascii="仿宋" w:hAnsi="仿宋" w:eastAsia="仿宋" w:cs="仿宋"/>
          <w:color w:val="auto"/>
          <w:sz w:val="30"/>
          <w:szCs w:val="30"/>
          <w:highlight w:val="none"/>
        </w:rPr>
      </w:pPr>
    </w:p>
    <w:p w14:paraId="693CF3CC">
      <w:pPr>
        <w:spacing w:line="336"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60630AE3">
      <w:pPr>
        <w:spacing w:line="336" w:lineRule="auto"/>
        <w:jc w:val="center"/>
        <w:rPr>
          <w:rFonts w:ascii="仿宋" w:hAnsi="仿宋" w:eastAsia="仿宋" w:cs="仿宋"/>
          <w:b/>
          <w:color w:val="auto"/>
          <w:sz w:val="24"/>
          <w:highlight w:val="none"/>
        </w:rPr>
      </w:pPr>
    </w:p>
    <w:p w14:paraId="0C48901D">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685DA11">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F719173">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ACBB870">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11C860">
      <w:pPr>
        <w:tabs>
          <w:tab w:val="left" w:pos="6510"/>
        </w:tabs>
        <w:spacing w:line="336"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0C111DE">
      <w:pPr>
        <w:tabs>
          <w:tab w:val="left" w:pos="6510"/>
        </w:tabs>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761605F">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08A5880">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5FE0EA7">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08D797A">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A79AE9">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86A2E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BCF8703">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0D4882C">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B9384B">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7F24A0">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A5926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03CEE64">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2B36CCB">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F4F69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BB4FBF">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8EF687B">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2F836B9">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7D2CAC">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3B039F4">
      <w:pPr>
        <w:spacing w:line="336"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39ECD3">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ED24183">
      <w:pPr>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F2ED46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4109ED6">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0FB1F0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270A87">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BE9ED7B">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853A9CC">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280120D">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56AB37C">
      <w:pPr>
        <w:spacing w:line="33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E644B4">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0F0751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76ED25">
      <w:pPr>
        <w:spacing w:line="336"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E98D7A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B31C5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F0C3E47">
      <w:pPr>
        <w:spacing w:line="336" w:lineRule="auto"/>
        <w:rPr>
          <w:rFonts w:ascii="仿宋" w:hAnsi="仿宋" w:eastAsia="仿宋" w:cs="仿宋"/>
          <w:b/>
          <w:color w:val="auto"/>
          <w:sz w:val="24"/>
          <w:highlight w:val="none"/>
        </w:rPr>
      </w:pPr>
    </w:p>
    <w:p w14:paraId="7AFEED2B">
      <w:pPr>
        <w:spacing w:line="336" w:lineRule="auto"/>
        <w:rPr>
          <w:rFonts w:ascii="仿宋" w:hAnsi="仿宋" w:eastAsia="仿宋" w:cs="仿宋"/>
          <w:b/>
          <w:color w:val="auto"/>
          <w:sz w:val="24"/>
          <w:highlight w:val="none"/>
        </w:rPr>
      </w:pPr>
    </w:p>
    <w:p w14:paraId="5BC5B6C6">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797F44B">
      <w:pPr>
        <w:widowControl/>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05C7D9B">
      <w:pPr>
        <w:widowControl/>
        <w:spacing w:line="336"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8798569">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906D7FE">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3BDBD4B">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013152">
      <w:pPr>
        <w:widowControl/>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A77E926">
      <w:pPr>
        <w:widowControl/>
        <w:spacing w:line="336"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E82FBF2">
      <w:pPr>
        <w:spacing w:line="336" w:lineRule="auto"/>
        <w:rPr>
          <w:rFonts w:ascii="仿宋" w:hAnsi="仿宋" w:eastAsia="仿宋" w:cs="仿宋"/>
          <w:b/>
          <w:color w:val="auto"/>
          <w:sz w:val="24"/>
          <w:highlight w:val="none"/>
        </w:rPr>
      </w:pPr>
    </w:p>
    <w:p w14:paraId="0C491AE6">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B1CEA71">
      <w:pPr>
        <w:spacing w:line="336" w:lineRule="auto"/>
        <w:rPr>
          <w:rFonts w:ascii="仿宋" w:hAnsi="仿宋" w:eastAsia="仿宋" w:cs="仿宋"/>
          <w:b/>
          <w:color w:val="auto"/>
          <w:spacing w:val="6"/>
          <w:sz w:val="32"/>
          <w:szCs w:val="32"/>
          <w:highlight w:val="none"/>
        </w:rPr>
      </w:pPr>
    </w:p>
    <w:p w14:paraId="2C62DBBE">
      <w:pPr>
        <w:spacing w:line="336" w:lineRule="auto"/>
        <w:ind w:firstLine="480" w:firstLineChars="200"/>
        <w:rPr>
          <w:rFonts w:ascii="仿宋" w:hAnsi="仿宋" w:eastAsia="仿宋" w:cs="仿宋"/>
          <w:color w:val="auto"/>
          <w:sz w:val="24"/>
          <w:highlight w:val="none"/>
        </w:rPr>
      </w:pPr>
    </w:p>
    <w:p w14:paraId="57F7B345">
      <w:pPr>
        <w:autoSpaceDE w:val="0"/>
        <w:autoSpaceDN w:val="0"/>
        <w:spacing w:line="336" w:lineRule="auto"/>
        <w:jc w:val="cente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附件3：</w:t>
      </w:r>
      <w:r>
        <w:rPr>
          <w:rFonts w:hint="eastAsia" w:ascii="仿宋" w:hAnsi="仿宋" w:eastAsia="仿宋" w:cs="仿宋"/>
          <w:b/>
          <w:bCs/>
          <w:color w:val="auto"/>
          <w:sz w:val="32"/>
          <w:szCs w:val="32"/>
          <w:highlight w:val="none"/>
        </w:rPr>
        <w:t>业务专用章使用说明函</w:t>
      </w:r>
    </w:p>
    <w:p w14:paraId="3B532463">
      <w:pPr>
        <w:autoSpaceDE w:val="0"/>
        <w:autoSpaceDN w:val="0"/>
        <w:spacing w:line="336" w:lineRule="auto"/>
        <w:jc w:val="center"/>
        <w:rPr>
          <w:rFonts w:ascii="仿宋" w:hAnsi="仿宋" w:eastAsia="仿宋" w:cs="仿宋"/>
          <w:b/>
          <w:bCs/>
          <w:color w:val="auto"/>
          <w:sz w:val="32"/>
          <w:szCs w:val="32"/>
          <w:highlight w:val="none"/>
        </w:rPr>
      </w:pPr>
    </w:p>
    <w:p w14:paraId="3F9AAB59">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ECB6CEC">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7BFCEB5">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5CDB888">
      <w:pPr>
        <w:spacing w:line="336" w:lineRule="auto"/>
        <w:ind w:firstLine="494"/>
        <w:rPr>
          <w:rFonts w:ascii="仿宋" w:hAnsi="仿宋" w:eastAsia="仿宋" w:cs="仿宋"/>
          <w:color w:val="auto"/>
          <w:sz w:val="24"/>
          <w:highlight w:val="none"/>
        </w:rPr>
      </w:pPr>
    </w:p>
    <w:p w14:paraId="38CEAA1A">
      <w:pPr>
        <w:spacing w:line="336" w:lineRule="auto"/>
        <w:ind w:firstLine="494"/>
        <w:rPr>
          <w:rFonts w:ascii="仿宋" w:hAnsi="仿宋" w:eastAsia="仿宋" w:cs="仿宋"/>
          <w:color w:val="auto"/>
          <w:sz w:val="24"/>
          <w:highlight w:val="none"/>
        </w:rPr>
      </w:pPr>
    </w:p>
    <w:p w14:paraId="4D95FA27">
      <w:pPr>
        <w:spacing w:line="336" w:lineRule="auto"/>
        <w:ind w:firstLine="494"/>
        <w:rPr>
          <w:rFonts w:ascii="仿宋" w:hAnsi="仿宋" w:eastAsia="仿宋" w:cs="仿宋"/>
          <w:color w:val="auto"/>
          <w:sz w:val="24"/>
          <w:highlight w:val="none"/>
        </w:rPr>
      </w:pPr>
    </w:p>
    <w:p w14:paraId="41312C3E">
      <w:pPr>
        <w:spacing w:line="336" w:lineRule="auto"/>
        <w:ind w:firstLine="494"/>
        <w:rPr>
          <w:rFonts w:ascii="仿宋" w:hAnsi="仿宋" w:eastAsia="仿宋" w:cs="仿宋"/>
          <w:color w:val="auto"/>
          <w:sz w:val="24"/>
          <w:highlight w:val="none"/>
        </w:rPr>
      </w:pPr>
    </w:p>
    <w:p w14:paraId="08127965">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2527617D">
      <w:pPr>
        <w:spacing w:line="336" w:lineRule="auto"/>
        <w:ind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2B349DE">
      <w:pPr>
        <w:spacing w:line="336"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C5A8903">
      <w:pPr>
        <w:spacing w:line="336" w:lineRule="auto"/>
        <w:rPr>
          <w:rFonts w:ascii="仿宋" w:hAnsi="仿宋" w:eastAsia="仿宋" w:cs="仿宋"/>
          <w:bCs/>
          <w:color w:val="auto"/>
          <w:sz w:val="24"/>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3D197492">
      <w:pPr>
        <w:widowControl/>
        <w:spacing w:line="336" w:lineRule="auto"/>
        <w:ind w:firstLine="480" w:firstLineChars="200"/>
        <w:jc w:val="left"/>
        <w:rPr>
          <w:rFonts w:ascii="仿宋" w:hAnsi="仿宋" w:eastAsia="仿宋" w:cs="仿宋"/>
          <w:color w:val="auto"/>
          <w:kern w:val="0"/>
          <w:sz w:val="24"/>
          <w:highlight w:val="none"/>
        </w:rPr>
      </w:pPr>
    </w:p>
    <w:p w14:paraId="5BC24850">
      <w:pPr>
        <w:snapToGrid w:val="0"/>
        <w:spacing w:line="336" w:lineRule="auto"/>
        <w:jc w:val="center"/>
        <w:rPr>
          <w:rFonts w:ascii="仿宋" w:hAnsi="仿宋" w:eastAsia="仿宋" w:cs="仿宋"/>
          <w:b/>
          <w:color w:val="auto"/>
          <w:sz w:val="24"/>
          <w:highlight w:val="none"/>
        </w:rPr>
      </w:pPr>
    </w:p>
    <w:p w14:paraId="08B27FF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8F7CA8A">
      <w:pPr>
        <w:autoSpaceDE w:val="0"/>
        <w:autoSpaceDN w:val="0"/>
        <w:spacing w:line="336"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z w:val="32"/>
          <w:szCs w:val="32"/>
          <w:highlight w:val="none"/>
        </w:rPr>
        <w:t>附件4：</w:t>
      </w:r>
      <w:r>
        <w:rPr>
          <w:rFonts w:hint="eastAsia" w:ascii="仿宋" w:hAnsi="仿宋" w:eastAsia="仿宋" w:cs="仿宋"/>
          <w:b/>
          <w:color w:val="auto"/>
          <w:kern w:val="0"/>
          <w:sz w:val="32"/>
          <w:szCs w:val="32"/>
          <w:highlight w:val="none"/>
          <w:lang w:val="zh-CN"/>
        </w:rPr>
        <w:t>联合协议</w:t>
      </w:r>
    </w:p>
    <w:p w14:paraId="571EEC1E">
      <w:pPr>
        <w:widowControl/>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（以联合体形式磋商的，提供联合协议；本项目不接受联合体磋商或者供应商不以联合体形式磋商的，则不需要提供）</w:t>
      </w:r>
    </w:p>
    <w:p w14:paraId="71A9E746">
      <w:pPr>
        <w:snapToGrid w:val="0"/>
        <w:spacing w:line="336" w:lineRule="auto"/>
        <w:jc w:val="center"/>
        <w:rPr>
          <w:rFonts w:ascii="仿宋" w:hAnsi="仿宋" w:eastAsia="仿宋" w:cs="仿宋"/>
          <w:b/>
          <w:color w:val="auto"/>
          <w:kern w:val="0"/>
          <w:sz w:val="32"/>
          <w:szCs w:val="32"/>
          <w:highlight w:val="none"/>
          <w:lang w:val="zh-CN"/>
        </w:rPr>
      </w:pPr>
    </w:p>
    <w:p w14:paraId="4CAF07B3">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 xml:space="preserve">【项目编号：（采购编号）】响应。 </w:t>
      </w:r>
    </w:p>
    <w:p w14:paraId="07AEE541">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37E93689">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F840674">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4DCE6EE6">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27EA572">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F5A9C17">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863CA24">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1AA76765">
      <w:pPr>
        <w:snapToGrid w:val="0"/>
        <w:spacing w:line="336"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74" w:name="_Hlk101131882"/>
      <w:r>
        <w:rPr>
          <w:rFonts w:hint="eastAsia" w:ascii="仿宋" w:hAnsi="仿宋" w:eastAsia="仿宋" w:cs="仿宋"/>
          <w:color w:val="auto"/>
          <w:kern w:val="0"/>
          <w:sz w:val="24"/>
          <w:highlight w:val="none"/>
          <w:u w:val="single"/>
        </w:rPr>
        <w:t>联合体成员X,……</w:t>
      </w:r>
      <w:bookmarkEnd w:id="7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7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75"/>
      <w:r>
        <w:rPr>
          <w:rFonts w:hint="eastAsia" w:ascii="仿宋" w:hAnsi="仿宋" w:eastAsia="仿宋" w:cs="仿宋"/>
          <w:b/>
          <w:color w:val="auto"/>
          <w:kern w:val="0"/>
          <w:sz w:val="24"/>
          <w:highlight w:val="none"/>
          <w:lang w:val="zh-CN"/>
        </w:rPr>
        <w:t>）</w:t>
      </w:r>
    </w:p>
    <w:p w14:paraId="5CE07764">
      <w:pPr>
        <w:spacing w:line="336"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7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76"/>
    </w:p>
    <w:p w14:paraId="2EE8FD23">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1538398">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741FEF2B">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A7D5317">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AF753B8">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09BABD6">
      <w:pPr>
        <w:snapToGrid w:val="0"/>
        <w:spacing w:line="336"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142CB9">
      <w:pPr>
        <w:snapToGrid w:val="0"/>
        <w:spacing w:line="336" w:lineRule="auto"/>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6609A1">
      <w:pPr>
        <w:snapToGrid w:val="0"/>
        <w:spacing w:line="336"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33E3120">
      <w:pPr>
        <w:snapToGrid w:val="0"/>
        <w:spacing w:line="336"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259026">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C21DD1">
      <w:pPr>
        <w:widowControl/>
        <w:adjustRightInd/>
        <w:spacing w:line="336" w:lineRule="auto"/>
        <w:jc w:val="lef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D491BF4">
      <w:pPr>
        <w:snapToGrid w:val="0"/>
        <w:spacing w:line="336"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rPr>
        <w:t>分包意向协议</w:t>
      </w:r>
    </w:p>
    <w:p w14:paraId="3E848F51">
      <w:pPr>
        <w:widowControl/>
        <w:spacing w:line="336"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0D04540">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CC10E66">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9ABB40D">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7C2F0CD">
      <w:pPr>
        <w:pStyle w:val="5"/>
        <w:spacing w:line="336" w:lineRule="auto"/>
        <w:ind w:left="0"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219A281">
      <w:pPr>
        <w:spacing w:line="336" w:lineRule="auto"/>
        <w:ind w:firstLine="305"/>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2EE9B35B">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1AE582F2">
      <w:pPr>
        <w:snapToGrid w:val="0"/>
        <w:spacing w:line="336"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913E3EB">
      <w:pPr>
        <w:spacing w:line="336"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ADAC7EC">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259AF37">
      <w:pPr>
        <w:snapToGrid w:val="0"/>
        <w:spacing w:line="336"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727F3D6">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1432ACC">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8DEE650">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3FA9125">
      <w:pPr>
        <w:snapToGrid w:val="0"/>
        <w:spacing w:line="336" w:lineRule="auto"/>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2C4E38C">
      <w:pPr>
        <w:snapToGrid w:val="0"/>
        <w:spacing w:line="336"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20ABE82">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07F3A0A">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6FDACB6">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D0F772">
      <w:pPr>
        <w:snapToGrid w:val="0"/>
        <w:spacing w:line="336"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F9DBCAA">
      <w:pPr>
        <w:snapToGrid w:val="0"/>
        <w:spacing w:line="336" w:lineRule="auto"/>
        <w:ind w:left="5039" w:leftChars="228" w:hanging="4560" w:hangingChars="19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46F241D1">
      <w:pPr>
        <w:snapToGrid w:val="0"/>
        <w:spacing w:line="336"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E16D912">
      <w:pPr>
        <w:snapToGrid w:val="0"/>
        <w:spacing w:line="336"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682C688">
      <w:pPr>
        <w:spacing w:line="336"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2A97F7B">
      <w:pPr>
        <w:widowControl/>
        <w:adjustRightInd/>
        <w:spacing w:line="336" w:lineRule="auto"/>
        <w:jc w:val="left"/>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AB9960C">
      <w:pPr>
        <w:spacing w:line="336"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附件6：残疾人福利性单位声明函</w:t>
      </w:r>
    </w:p>
    <w:p w14:paraId="32506090">
      <w:pPr>
        <w:spacing w:line="336" w:lineRule="auto"/>
        <w:rPr>
          <w:rFonts w:ascii="仿宋" w:hAnsi="仿宋" w:eastAsia="仿宋" w:cs="仿宋"/>
          <w:b/>
          <w:color w:val="auto"/>
          <w:spacing w:val="6"/>
          <w:sz w:val="30"/>
          <w:szCs w:val="30"/>
          <w:highlight w:val="none"/>
        </w:rPr>
      </w:pPr>
    </w:p>
    <w:p w14:paraId="72FD4929">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92C388">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49AAA47">
      <w:pPr>
        <w:spacing w:line="336" w:lineRule="auto"/>
        <w:ind w:firstLine="480" w:firstLineChars="200"/>
        <w:rPr>
          <w:rFonts w:ascii="仿宋" w:hAnsi="仿宋" w:eastAsia="仿宋" w:cs="仿宋"/>
          <w:color w:val="auto"/>
          <w:sz w:val="24"/>
          <w:highlight w:val="none"/>
        </w:rPr>
      </w:pPr>
    </w:p>
    <w:p w14:paraId="736720F7">
      <w:pPr>
        <w:spacing w:line="336" w:lineRule="auto"/>
        <w:ind w:firstLine="480" w:firstLineChars="200"/>
        <w:rPr>
          <w:rFonts w:ascii="仿宋" w:hAnsi="仿宋" w:eastAsia="仿宋" w:cs="仿宋"/>
          <w:color w:val="auto"/>
          <w:sz w:val="24"/>
          <w:highlight w:val="none"/>
        </w:rPr>
      </w:pPr>
    </w:p>
    <w:p w14:paraId="44ED1E95">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供应商名称（电子签名）：</w:t>
      </w:r>
    </w:p>
    <w:p w14:paraId="0D97F917">
      <w:pPr>
        <w:spacing w:line="336" w:lineRule="auto"/>
        <w:ind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756B37F6">
      <w:pPr>
        <w:tabs>
          <w:tab w:val="left" w:pos="4860"/>
        </w:tabs>
        <w:spacing w:line="336" w:lineRule="auto"/>
        <w:ind w:firstLine="480" w:firstLineChars="200"/>
        <w:jc w:val="center"/>
        <w:rPr>
          <w:rFonts w:ascii="仿宋" w:hAnsi="仿宋" w:eastAsia="仿宋" w:cs="仿宋"/>
          <w:color w:val="auto"/>
          <w:sz w:val="24"/>
          <w:highlight w:val="none"/>
        </w:rPr>
      </w:pPr>
    </w:p>
    <w:p w14:paraId="29ED6810">
      <w:pPr>
        <w:pStyle w:val="71"/>
        <w:rPr>
          <w:rFonts w:ascii="仿宋" w:hAnsi="仿宋" w:eastAsia="仿宋" w:cs="仿宋"/>
          <w:color w:val="auto"/>
          <w:sz w:val="24"/>
          <w:highlight w:val="none"/>
        </w:rPr>
      </w:pPr>
    </w:p>
    <w:p w14:paraId="6B8AA525">
      <w:pPr>
        <w:pStyle w:val="72"/>
        <w:rPr>
          <w:rFonts w:ascii="仿宋" w:hAnsi="仿宋" w:eastAsia="仿宋" w:cs="仿宋"/>
          <w:color w:val="auto"/>
          <w:sz w:val="24"/>
          <w:highlight w:val="none"/>
        </w:rPr>
      </w:pPr>
    </w:p>
    <w:p w14:paraId="64E6B81A">
      <w:pPr>
        <w:rPr>
          <w:rFonts w:ascii="仿宋" w:hAnsi="仿宋" w:eastAsia="仿宋" w:cs="仿宋"/>
          <w:color w:val="auto"/>
          <w:sz w:val="24"/>
          <w:highlight w:val="none"/>
        </w:rPr>
      </w:pPr>
    </w:p>
    <w:p w14:paraId="108681ED">
      <w:pPr>
        <w:pStyle w:val="71"/>
        <w:rPr>
          <w:rFonts w:ascii="仿宋" w:hAnsi="仿宋" w:eastAsia="仿宋" w:cs="仿宋"/>
          <w:color w:val="auto"/>
          <w:sz w:val="24"/>
          <w:highlight w:val="none"/>
        </w:rPr>
      </w:pPr>
    </w:p>
    <w:p w14:paraId="369F05F1">
      <w:pPr>
        <w:pStyle w:val="72"/>
        <w:rPr>
          <w:rFonts w:ascii="仿宋" w:hAnsi="仿宋" w:eastAsia="仿宋" w:cs="仿宋"/>
          <w:color w:val="auto"/>
          <w:sz w:val="24"/>
          <w:highlight w:val="none"/>
        </w:rPr>
      </w:pPr>
    </w:p>
    <w:p w14:paraId="2945DF57">
      <w:pPr>
        <w:rPr>
          <w:rFonts w:ascii="仿宋" w:hAnsi="仿宋" w:eastAsia="仿宋" w:cs="仿宋"/>
          <w:color w:val="auto"/>
          <w:sz w:val="24"/>
          <w:highlight w:val="none"/>
        </w:rPr>
      </w:pPr>
    </w:p>
    <w:p w14:paraId="353CE3C1">
      <w:pPr>
        <w:pStyle w:val="71"/>
        <w:rPr>
          <w:rFonts w:ascii="仿宋" w:hAnsi="仿宋" w:eastAsia="仿宋" w:cs="仿宋"/>
          <w:color w:val="auto"/>
          <w:sz w:val="24"/>
          <w:highlight w:val="none"/>
        </w:rPr>
      </w:pPr>
    </w:p>
    <w:p w14:paraId="7E318A2F">
      <w:pPr>
        <w:pStyle w:val="72"/>
        <w:rPr>
          <w:rFonts w:ascii="仿宋" w:hAnsi="仿宋" w:eastAsia="仿宋" w:cs="仿宋"/>
          <w:color w:val="auto"/>
          <w:sz w:val="24"/>
          <w:highlight w:val="none"/>
        </w:rPr>
      </w:pPr>
    </w:p>
    <w:p w14:paraId="20C87AA9">
      <w:pPr>
        <w:rPr>
          <w:rFonts w:ascii="仿宋" w:hAnsi="仿宋" w:eastAsia="仿宋" w:cs="仿宋"/>
          <w:color w:val="auto"/>
          <w:sz w:val="24"/>
          <w:highlight w:val="none"/>
        </w:rPr>
      </w:pPr>
    </w:p>
    <w:p w14:paraId="2DE46B58">
      <w:pPr>
        <w:pStyle w:val="71"/>
        <w:rPr>
          <w:rFonts w:ascii="仿宋" w:hAnsi="仿宋" w:eastAsia="仿宋" w:cs="仿宋"/>
          <w:color w:val="auto"/>
          <w:sz w:val="24"/>
          <w:highlight w:val="none"/>
        </w:rPr>
      </w:pPr>
    </w:p>
    <w:p w14:paraId="35B9E35A">
      <w:pPr>
        <w:pStyle w:val="72"/>
        <w:rPr>
          <w:rFonts w:ascii="仿宋" w:hAnsi="仿宋" w:eastAsia="仿宋" w:cs="仿宋"/>
          <w:color w:val="auto"/>
          <w:sz w:val="24"/>
          <w:highlight w:val="none"/>
        </w:rPr>
      </w:pPr>
    </w:p>
    <w:p w14:paraId="78804B30">
      <w:pPr>
        <w:rPr>
          <w:rFonts w:ascii="仿宋" w:hAnsi="仿宋" w:eastAsia="仿宋" w:cs="仿宋"/>
          <w:color w:val="auto"/>
          <w:sz w:val="24"/>
          <w:highlight w:val="none"/>
        </w:rPr>
      </w:pPr>
    </w:p>
    <w:p w14:paraId="5E316D26">
      <w:pPr>
        <w:pStyle w:val="71"/>
        <w:rPr>
          <w:rFonts w:ascii="仿宋" w:hAnsi="仿宋" w:eastAsia="仿宋" w:cs="仿宋"/>
          <w:color w:val="auto"/>
          <w:sz w:val="24"/>
          <w:highlight w:val="none"/>
        </w:rPr>
      </w:pPr>
    </w:p>
    <w:p w14:paraId="4E4CF29A">
      <w:pPr>
        <w:pStyle w:val="72"/>
        <w:rPr>
          <w:rFonts w:ascii="仿宋" w:hAnsi="仿宋" w:eastAsia="仿宋" w:cs="仿宋"/>
          <w:color w:val="auto"/>
          <w:sz w:val="24"/>
          <w:highlight w:val="none"/>
        </w:rPr>
      </w:pPr>
    </w:p>
    <w:p w14:paraId="0BC15175">
      <w:pPr>
        <w:rPr>
          <w:rFonts w:ascii="仿宋" w:hAnsi="仿宋" w:eastAsia="仿宋" w:cs="仿宋"/>
          <w:color w:val="auto"/>
          <w:sz w:val="24"/>
          <w:highlight w:val="none"/>
        </w:rPr>
      </w:pPr>
    </w:p>
    <w:p w14:paraId="3B45EF7E">
      <w:pPr>
        <w:pStyle w:val="71"/>
        <w:rPr>
          <w:rFonts w:ascii="仿宋" w:hAnsi="仿宋" w:eastAsia="仿宋" w:cs="仿宋"/>
          <w:color w:val="auto"/>
          <w:sz w:val="24"/>
          <w:highlight w:val="none"/>
        </w:rPr>
      </w:pPr>
    </w:p>
    <w:p w14:paraId="25EC9392">
      <w:pPr>
        <w:pStyle w:val="72"/>
        <w:rPr>
          <w:rFonts w:ascii="仿宋" w:hAnsi="仿宋" w:eastAsia="仿宋" w:cs="仿宋"/>
          <w:color w:val="auto"/>
          <w:sz w:val="24"/>
          <w:highlight w:val="none"/>
        </w:rPr>
      </w:pPr>
    </w:p>
    <w:p w14:paraId="57011BF2">
      <w:pPr>
        <w:rPr>
          <w:rFonts w:ascii="仿宋" w:hAnsi="仿宋" w:eastAsia="仿宋" w:cs="仿宋"/>
          <w:color w:val="auto"/>
          <w:sz w:val="24"/>
          <w:highlight w:val="none"/>
        </w:rPr>
      </w:pPr>
    </w:p>
    <w:p w14:paraId="7C7CF90D">
      <w:pPr>
        <w:pStyle w:val="71"/>
        <w:rPr>
          <w:color w:val="auto"/>
          <w:highlight w:val="none"/>
        </w:rPr>
      </w:pPr>
    </w:p>
    <w:p w14:paraId="3AA56FEE">
      <w:pPr>
        <w:snapToGrid w:val="0"/>
        <w:spacing w:line="336" w:lineRule="auto"/>
        <w:jc w:val="both"/>
        <w:rPr>
          <w:rFonts w:hint="eastAsia" w:ascii="仿宋" w:hAnsi="仿宋" w:eastAsia="仿宋" w:cs="仿宋"/>
          <w:b/>
          <w:color w:val="auto"/>
          <w:kern w:val="0"/>
          <w:sz w:val="32"/>
          <w:szCs w:val="32"/>
          <w:highlight w:val="none"/>
        </w:rPr>
      </w:pPr>
    </w:p>
    <w:p w14:paraId="4BDADFA6">
      <w:pPr>
        <w:snapToGrid w:val="0"/>
        <w:spacing w:line="336" w:lineRule="auto"/>
        <w:jc w:val="both"/>
        <w:rPr>
          <w:rFonts w:hint="eastAsia" w:ascii="仿宋" w:hAnsi="仿宋" w:eastAsia="仿宋" w:cs="仿宋"/>
          <w:b/>
          <w:color w:val="auto"/>
          <w:kern w:val="0"/>
          <w:sz w:val="32"/>
          <w:szCs w:val="32"/>
          <w:highlight w:val="none"/>
        </w:rPr>
      </w:pPr>
    </w:p>
    <w:p w14:paraId="628AA7CA">
      <w:pPr>
        <w:snapToGrid w:val="0"/>
        <w:spacing w:line="336" w:lineRule="auto"/>
        <w:jc w:val="both"/>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624EF8B3">
      <w:pPr>
        <w:autoSpaceDE w:val="0"/>
        <w:autoSpaceDN w:val="0"/>
        <w:spacing w:line="336" w:lineRule="auto"/>
        <w:jc w:val="left"/>
        <w:rPr>
          <w:rFonts w:ascii="仿宋" w:hAnsi="仿宋" w:eastAsia="仿宋" w:cs="仿宋"/>
          <w:b/>
          <w:color w:val="auto"/>
          <w:sz w:val="32"/>
          <w:szCs w:val="32"/>
          <w:highlight w:val="none"/>
        </w:rPr>
      </w:pPr>
    </w:p>
    <w:p w14:paraId="658F53F5">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w:t>
      </w:r>
      <w:r>
        <w:rPr>
          <w:rFonts w:hint="eastAsia" w:ascii="仿宋" w:hAnsi="仿宋" w:eastAsia="仿宋" w:cs="仿宋"/>
          <w:b/>
          <w:color w:val="auto"/>
          <w:sz w:val="36"/>
          <w:szCs w:val="36"/>
          <w:highlight w:val="none"/>
          <w:lang w:val="en-US" w:eastAsia="zh-CN"/>
        </w:rPr>
        <w:t>工程、</w:t>
      </w:r>
      <w:r>
        <w:rPr>
          <w:rFonts w:hint="eastAsia" w:ascii="仿宋" w:hAnsi="仿宋" w:eastAsia="仿宋" w:cs="仿宋"/>
          <w:b/>
          <w:color w:val="auto"/>
          <w:sz w:val="36"/>
          <w:szCs w:val="36"/>
          <w:highlight w:val="none"/>
        </w:rPr>
        <w:t>服务）</w:t>
      </w:r>
    </w:p>
    <w:p w14:paraId="6AC797CB">
      <w:pPr>
        <w:spacing w:line="336" w:lineRule="auto"/>
        <w:jc w:val="center"/>
        <w:rPr>
          <w:rFonts w:ascii="仿宋" w:hAnsi="仿宋" w:eastAsia="仿宋" w:cs="仿宋"/>
          <w:b/>
          <w:color w:val="auto"/>
          <w:sz w:val="32"/>
          <w:szCs w:val="32"/>
          <w:highlight w:val="none"/>
        </w:rPr>
      </w:pPr>
    </w:p>
    <w:p w14:paraId="1AD3E8FE">
      <w:pPr>
        <w:spacing w:line="336"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46362271">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BB728FA">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9D88C39">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790169D">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CFA7970">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A711D7">
      <w:pPr>
        <w:spacing w:line="336"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4C27FF88">
      <w:pPr>
        <w:spacing w:line="336" w:lineRule="auto"/>
        <w:ind w:firstLine="6120" w:firstLineChars="25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63387EBB">
      <w:pPr>
        <w:spacing w:line="336"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487E3AD">
      <w:pPr>
        <w:spacing w:line="336" w:lineRule="auto"/>
        <w:rPr>
          <w:rFonts w:ascii="仿宋" w:hAnsi="仿宋" w:eastAsia="仿宋" w:cs="仿宋"/>
          <w:color w:val="auto"/>
          <w:sz w:val="24"/>
          <w:highlight w:val="none"/>
        </w:rPr>
      </w:pPr>
    </w:p>
    <w:p w14:paraId="244C83FB">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E12B20B">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4B36A3">
      <w:pPr>
        <w:spacing w:line="336"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99CEE98">
      <w:pPr>
        <w:spacing w:line="336" w:lineRule="auto"/>
        <w:rPr>
          <w:rFonts w:ascii="仿宋" w:hAnsi="仿宋" w:eastAsia="仿宋" w:cs="仿宋"/>
          <w:b/>
          <w:color w:val="auto"/>
          <w:sz w:val="24"/>
          <w:highlight w:val="none"/>
        </w:rPr>
      </w:pPr>
    </w:p>
    <w:p w14:paraId="4724B5C0">
      <w:pPr>
        <w:pageBreakBefore/>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50A57C7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51D0E12E">
      <w:pPr>
        <w:widowControl/>
        <w:shd w:val="clear" w:color="auto" w:fill="FFFFFF"/>
        <w:spacing w:line="336" w:lineRule="auto"/>
        <w:ind w:firstLine="420" w:firstLineChars="200"/>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82DDD1F">
      <w:pPr>
        <w:widowControl/>
        <w:spacing w:line="336"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7F6446C2">
      <w:pPr>
        <w:widowControl/>
        <w:shd w:val="clear" w:color="auto" w:fill="FFFFFF"/>
        <w:spacing w:line="336" w:lineRule="auto"/>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30FEEDAF">
      <w:pPr>
        <w:widowControl/>
        <w:shd w:val="clear" w:color="auto" w:fill="FFFFFF"/>
        <w:spacing w:line="336" w:lineRule="auto"/>
        <w:jc w:val="righ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6897F0B0">
      <w:pPr>
        <w:pStyle w:val="24"/>
        <w:spacing w:line="336" w:lineRule="auto"/>
        <w:rPr>
          <w:rFonts w:ascii="仿宋" w:hAnsi="仿宋" w:eastAsia="仿宋" w:cs="仿宋"/>
          <w:color w:val="auto"/>
          <w:highlight w:val="none"/>
          <w:lang w:val="en-US"/>
        </w:rPr>
      </w:pPr>
    </w:p>
    <w:p w14:paraId="6E6B0CCF">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4262E208">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47FA06F2">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6AA4A7F0">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C01689A">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50C2A46E">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10A787B">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2B9B066B">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55B34D7C">
      <w:pPr>
        <w:widowControl/>
        <w:spacing w:line="336" w:lineRule="auto"/>
        <w:jc w:val="left"/>
        <w:rPr>
          <w:rFonts w:ascii="仿宋" w:hAnsi="仿宋" w:eastAsia="仿宋" w:cs="仿宋"/>
          <w:color w:val="auto"/>
          <w:kern w:val="0"/>
          <w:sz w:val="24"/>
          <w:highlight w:val="none"/>
        </w:rPr>
      </w:pPr>
    </w:p>
    <w:p w14:paraId="3CA1BAA4">
      <w:pPr>
        <w:widowControl/>
        <w:spacing w:line="336" w:lineRule="auto"/>
        <w:jc w:val="left"/>
        <w:rPr>
          <w:rFonts w:ascii="仿宋" w:hAnsi="仿宋" w:eastAsia="仿宋" w:cs="仿宋"/>
          <w:color w:val="auto"/>
          <w:kern w:val="0"/>
          <w:sz w:val="24"/>
          <w:highlight w:val="none"/>
        </w:rPr>
      </w:pPr>
    </w:p>
    <w:p w14:paraId="4EF8AE2A">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FF3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F82BDCA">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2EB2F185">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63A72A4A">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6A0AF249">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1260C7EB">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47ED8BC3">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1621C20E">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00D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B43E47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0168ECE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DD4BF5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4A6E6E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347757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33FE178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1F935F2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DB7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A96C1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8DBB14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71AF02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24A1C2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04BB62F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89FB6D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177B198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C3F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26F91">
            <w:pPr>
              <w:widowControl/>
              <w:spacing w:line="336" w:lineRule="auto"/>
              <w:jc w:val="left"/>
              <w:rPr>
                <w:rFonts w:ascii="仿宋" w:hAnsi="仿宋" w:eastAsia="仿宋" w:cs="仿宋"/>
                <w:color w:val="auto"/>
                <w:kern w:val="0"/>
                <w:sz w:val="24"/>
                <w:highlight w:val="none"/>
              </w:rPr>
            </w:pPr>
          </w:p>
        </w:tc>
        <w:tc>
          <w:tcPr>
            <w:tcW w:w="1560" w:type="dxa"/>
            <w:vAlign w:val="center"/>
          </w:tcPr>
          <w:p w14:paraId="23B1C16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D0BA91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6FEB4D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4F9F8B7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5075E69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7E978B6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708B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B3D404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33A89FF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FC9CF2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6B50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5D0BE05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65F97CD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75F034F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42C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0A3EF3">
            <w:pPr>
              <w:widowControl/>
              <w:spacing w:line="336" w:lineRule="auto"/>
              <w:jc w:val="left"/>
              <w:rPr>
                <w:rFonts w:ascii="仿宋" w:hAnsi="仿宋" w:eastAsia="仿宋" w:cs="仿宋"/>
                <w:color w:val="auto"/>
                <w:kern w:val="0"/>
                <w:sz w:val="24"/>
                <w:highlight w:val="none"/>
              </w:rPr>
            </w:pPr>
          </w:p>
        </w:tc>
        <w:tc>
          <w:tcPr>
            <w:tcW w:w="1560" w:type="dxa"/>
            <w:vAlign w:val="center"/>
          </w:tcPr>
          <w:p w14:paraId="6418790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345294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B7717B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6C11846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0A458AC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7199445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5E1C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BF1C7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56E8FA0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F2D18F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2A944D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72BACC6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4959882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3A1345F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236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11E8B2">
            <w:pPr>
              <w:widowControl/>
              <w:spacing w:line="336" w:lineRule="auto"/>
              <w:jc w:val="left"/>
              <w:rPr>
                <w:rFonts w:ascii="仿宋" w:hAnsi="仿宋" w:eastAsia="仿宋" w:cs="仿宋"/>
                <w:color w:val="auto"/>
                <w:kern w:val="0"/>
                <w:sz w:val="24"/>
                <w:highlight w:val="none"/>
              </w:rPr>
            </w:pPr>
          </w:p>
        </w:tc>
        <w:tc>
          <w:tcPr>
            <w:tcW w:w="1560" w:type="dxa"/>
            <w:vAlign w:val="center"/>
          </w:tcPr>
          <w:p w14:paraId="61453C1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98EFDA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521F80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415494A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64444E4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4DFA817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6664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BE066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2D1C519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9FC8AF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C3397F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FE9374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1165ECF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3CB1661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F04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9EE625">
            <w:pPr>
              <w:widowControl/>
              <w:spacing w:line="336" w:lineRule="auto"/>
              <w:jc w:val="left"/>
              <w:rPr>
                <w:rFonts w:ascii="仿宋" w:hAnsi="仿宋" w:eastAsia="仿宋" w:cs="仿宋"/>
                <w:color w:val="auto"/>
                <w:kern w:val="0"/>
                <w:sz w:val="24"/>
                <w:highlight w:val="none"/>
              </w:rPr>
            </w:pPr>
          </w:p>
        </w:tc>
        <w:tc>
          <w:tcPr>
            <w:tcW w:w="1560" w:type="dxa"/>
            <w:vAlign w:val="center"/>
          </w:tcPr>
          <w:p w14:paraId="53F1BB5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813B0A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A5C99D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B3E97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1C9071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4628384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766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F24DD3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1D9E45C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5EED43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65726F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CE0EFC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511510A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549FFD1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706B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60EE1">
            <w:pPr>
              <w:widowControl/>
              <w:spacing w:line="336" w:lineRule="auto"/>
              <w:jc w:val="left"/>
              <w:rPr>
                <w:rFonts w:ascii="仿宋" w:hAnsi="仿宋" w:eastAsia="仿宋" w:cs="仿宋"/>
                <w:color w:val="auto"/>
                <w:kern w:val="0"/>
                <w:sz w:val="24"/>
                <w:highlight w:val="none"/>
              </w:rPr>
            </w:pPr>
          </w:p>
        </w:tc>
        <w:tc>
          <w:tcPr>
            <w:tcW w:w="1560" w:type="dxa"/>
            <w:vAlign w:val="center"/>
          </w:tcPr>
          <w:p w14:paraId="219A13B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1A70F7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2A5ADA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627CF7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4AA735D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4B6B3F7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7B7C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75E8F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6CBB832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269CB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4A900C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1CE67E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59AD913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4B41F55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3976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06205E">
            <w:pPr>
              <w:widowControl/>
              <w:spacing w:line="336" w:lineRule="auto"/>
              <w:jc w:val="left"/>
              <w:rPr>
                <w:rFonts w:ascii="仿宋" w:hAnsi="仿宋" w:eastAsia="仿宋" w:cs="仿宋"/>
                <w:color w:val="auto"/>
                <w:kern w:val="0"/>
                <w:sz w:val="24"/>
                <w:highlight w:val="none"/>
              </w:rPr>
            </w:pPr>
          </w:p>
        </w:tc>
        <w:tc>
          <w:tcPr>
            <w:tcW w:w="1560" w:type="dxa"/>
            <w:vAlign w:val="center"/>
          </w:tcPr>
          <w:p w14:paraId="78F4132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6DEF72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195327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B1CFE6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1A4240E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73CA62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51F4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0E5C7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140CD55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F6E4F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7677CB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303FB3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9D956E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6120964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BC4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B67923">
            <w:pPr>
              <w:widowControl/>
              <w:spacing w:line="336" w:lineRule="auto"/>
              <w:jc w:val="left"/>
              <w:rPr>
                <w:rFonts w:ascii="仿宋" w:hAnsi="仿宋" w:eastAsia="仿宋" w:cs="仿宋"/>
                <w:color w:val="auto"/>
                <w:kern w:val="0"/>
                <w:sz w:val="24"/>
                <w:highlight w:val="none"/>
              </w:rPr>
            </w:pPr>
          </w:p>
        </w:tc>
        <w:tc>
          <w:tcPr>
            <w:tcW w:w="1560" w:type="dxa"/>
            <w:vAlign w:val="center"/>
          </w:tcPr>
          <w:p w14:paraId="7CBE98E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4529E5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0414A5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5C1AD2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4BE3741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434B33F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B36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92074F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19069DD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4D9952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24AB5C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77091C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07E768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F9F764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6F8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5729B8">
            <w:pPr>
              <w:widowControl/>
              <w:spacing w:line="336" w:lineRule="auto"/>
              <w:jc w:val="left"/>
              <w:rPr>
                <w:rFonts w:ascii="仿宋" w:hAnsi="仿宋" w:eastAsia="仿宋" w:cs="仿宋"/>
                <w:color w:val="auto"/>
                <w:kern w:val="0"/>
                <w:sz w:val="24"/>
                <w:highlight w:val="none"/>
              </w:rPr>
            </w:pPr>
          </w:p>
        </w:tc>
        <w:tc>
          <w:tcPr>
            <w:tcW w:w="1560" w:type="dxa"/>
            <w:vAlign w:val="center"/>
          </w:tcPr>
          <w:p w14:paraId="2222F01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753B29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773242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2F1823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13CB8CA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0D09855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5C7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9D8524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1464CC1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6A11B2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391DD9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F472A6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AA2118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1120EE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B8C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822F0AB">
            <w:pPr>
              <w:widowControl/>
              <w:spacing w:line="336" w:lineRule="auto"/>
              <w:jc w:val="left"/>
              <w:rPr>
                <w:rFonts w:ascii="仿宋" w:hAnsi="仿宋" w:eastAsia="仿宋" w:cs="仿宋"/>
                <w:color w:val="auto"/>
                <w:kern w:val="0"/>
                <w:sz w:val="24"/>
                <w:highlight w:val="none"/>
              </w:rPr>
            </w:pPr>
          </w:p>
        </w:tc>
        <w:tc>
          <w:tcPr>
            <w:tcW w:w="1560" w:type="dxa"/>
            <w:vAlign w:val="center"/>
          </w:tcPr>
          <w:p w14:paraId="1B5E29B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1CD40C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E9C02A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CBAAE4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3F8E640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09A942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C56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B3120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3DE9D17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167AAA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4EF093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378C510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3D4F501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8FC93F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FE91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8C7911">
            <w:pPr>
              <w:widowControl/>
              <w:spacing w:line="336" w:lineRule="auto"/>
              <w:jc w:val="left"/>
              <w:rPr>
                <w:rFonts w:ascii="仿宋" w:hAnsi="仿宋" w:eastAsia="仿宋" w:cs="仿宋"/>
                <w:color w:val="auto"/>
                <w:kern w:val="0"/>
                <w:sz w:val="24"/>
                <w:highlight w:val="none"/>
              </w:rPr>
            </w:pPr>
          </w:p>
        </w:tc>
        <w:tc>
          <w:tcPr>
            <w:tcW w:w="1560" w:type="dxa"/>
            <w:vAlign w:val="center"/>
          </w:tcPr>
          <w:p w14:paraId="3CB3F2F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2F9DAB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0F1203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51178C6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397A129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432BA7C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65A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BB714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4DA882A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0F0DE9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9EDA13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FF4CFB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AC6708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4B915D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775F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35CE50">
            <w:pPr>
              <w:widowControl/>
              <w:spacing w:line="336" w:lineRule="auto"/>
              <w:jc w:val="left"/>
              <w:rPr>
                <w:rFonts w:ascii="仿宋" w:hAnsi="仿宋" w:eastAsia="仿宋" w:cs="仿宋"/>
                <w:color w:val="auto"/>
                <w:kern w:val="0"/>
                <w:sz w:val="24"/>
                <w:highlight w:val="none"/>
              </w:rPr>
            </w:pPr>
          </w:p>
        </w:tc>
        <w:tc>
          <w:tcPr>
            <w:tcW w:w="1560" w:type="dxa"/>
            <w:vAlign w:val="center"/>
          </w:tcPr>
          <w:p w14:paraId="47AEB0B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350089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989003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F6504A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246277B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37BA787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0FE6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B3CFE5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004028A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2CF80F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37E856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6384170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7FDB110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7B2050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303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D07D629">
            <w:pPr>
              <w:widowControl/>
              <w:spacing w:line="336" w:lineRule="auto"/>
              <w:jc w:val="left"/>
              <w:rPr>
                <w:rFonts w:ascii="仿宋" w:hAnsi="仿宋" w:eastAsia="仿宋" w:cs="仿宋"/>
                <w:color w:val="auto"/>
                <w:kern w:val="0"/>
                <w:sz w:val="24"/>
                <w:highlight w:val="none"/>
              </w:rPr>
            </w:pPr>
          </w:p>
        </w:tc>
        <w:tc>
          <w:tcPr>
            <w:tcW w:w="1560" w:type="dxa"/>
            <w:vAlign w:val="center"/>
          </w:tcPr>
          <w:p w14:paraId="4979DF3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3C8CFBB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995FD5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01023B5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38DA1DC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62086A5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3301E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E3E8EE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42EB71E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989F4D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A1EE7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4F3F46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68D538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2DE551E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74B0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8523A6">
            <w:pPr>
              <w:widowControl/>
              <w:spacing w:line="336" w:lineRule="auto"/>
              <w:jc w:val="left"/>
              <w:rPr>
                <w:rFonts w:ascii="仿宋" w:hAnsi="仿宋" w:eastAsia="仿宋" w:cs="仿宋"/>
                <w:color w:val="auto"/>
                <w:kern w:val="0"/>
                <w:sz w:val="24"/>
                <w:highlight w:val="none"/>
              </w:rPr>
            </w:pPr>
          </w:p>
        </w:tc>
        <w:tc>
          <w:tcPr>
            <w:tcW w:w="1560" w:type="dxa"/>
            <w:vAlign w:val="center"/>
          </w:tcPr>
          <w:p w14:paraId="2F198A6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80DC4E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84A5B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36A96AF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3BC3552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70B2F2D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067B1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906DE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34FA47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844FE3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F5948A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F89110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F28173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3C7DA3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01C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077C5F">
            <w:pPr>
              <w:widowControl/>
              <w:spacing w:line="336" w:lineRule="auto"/>
              <w:jc w:val="left"/>
              <w:rPr>
                <w:rFonts w:ascii="仿宋" w:hAnsi="仿宋" w:eastAsia="仿宋" w:cs="仿宋"/>
                <w:color w:val="auto"/>
                <w:kern w:val="0"/>
                <w:sz w:val="24"/>
                <w:highlight w:val="none"/>
              </w:rPr>
            </w:pPr>
          </w:p>
        </w:tc>
        <w:tc>
          <w:tcPr>
            <w:tcW w:w="1560" w:type="dxa"/>
            <w:vAlign w:val="center"/>
          </w:tcPr>
          <w:p w14:paraId="75E0E1E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403C4F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586FE0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5FA927B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0D5F94A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737E616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0CE0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B10BD8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3043640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A38641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52AF4A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842507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02411F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A24235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3131FB01">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66AD0527">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4432616F">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71A5CE1">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640ABD42">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A4AD9D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E0AF5E8">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73203FFC">
      <w:pPr>
        <w:widowControl/>
        <w:spacing w:line="336" w:lineRule="auto"/>
        <w:jc w:val="left"/>
        <w:rPr>
          <w:rFonts w:ascii="仿宋" w:hAnsi="仿宋" w:eastAsia="仿宋" w:cs="仿宋"/>
          <w:color w:val="auto"/>
          <w:kern w:val="0"/>
          <w:sz w:val="24"/>
          <w:highlight w:val="none"/>
        </w:rPr>
      </w:pPr>
    </w:p>
    <w:p w14:paraId="50BF2F7C">
      <w:pPr>
        <w:widowControl/>
        <w:spacing w:line="336" w:lineRule="auto"/>
        <w:jc w:val="left"/>
        <w:rPr>
          <w:rFonts w:ascii="仿宋" w:hAnsi="仿宋" w:eastAsia="仿宋" w:cs="仿宋"/>
          <w:color w:val="auto"/>
          <w:kern w:val="0"/>
          <w:sz w:val="24"/>
          <w:highlight w:val="none"/>
        </w:rPr>
      </w:pPr>
    </w:p>
    <w:p w14:paraId="639E0F6C">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331DE83C">
      <w:pPr>
        <w:widowControl/>
        <w:shd w:val="clear" w:color="auto" w:fill="FFFFFF"/>
        <w:spacing w:line="336" w:lineRule="auto"/>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433A7E55">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8D5F5C5">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AD5851">
      <w:pPr>
        <w:widowControl/>
        <w:shd w:val="clear" w:color="auto" w:fill="FFFFFF"/>
        <w:spacing w:line="336" w:lineRule="auto"/>
        <w:jc w:val="left"/>
        <w:textAlignment w:val="baseline"/>
        <w:rPr>
          <w:rFonts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36CCA905">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91FF8FF">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5945E33">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58277133">
      <w:pPr>
        <w:widowControl/>
        <w:spacing w:line="336" w:lineRule="auto"/>
        <w:jc w:val="left"/>
        <w:rPr>
          <w:rFonts w:ascii="仿宋" w:hAnsi="仿宋" w:eastAsia="仿宋" w:cs="仿宋"/>
          <w:color w:val="auto"/>
          <w:kern w:val="0"/>
          <w:sz w:val="18"/>
          <w:szCs w:val="18"/>
          <w:highlight w:val="none"/>
        </w:rPr>
      </w:pPr>
    </w:p>
    <w:p w14:paraId="3B75DC85">
      <w:pPr>
        <w:widowControl/>
        <w:spacing w:line="336" w:lineRule="auto"/>
        <w:jc w:val="left"/>
        <w:rPr>
          <w:rFonts w:ascii="仿宋" w:hAnsi="仿宋" w:eastAsia="仿宋" w:cs="仿宋"/>
          <w:color w:val="auto"/>
          <w:kern w:val="0"/>
          <w:sz w:val="18"/>
          <w:szCs w:val="18"/>
          <w:highlight w:val="none"/>
        </w:rPr>
      </w:pPr>
    </w:p>
    <w:p w14:paraId="68396B7D">
      <w:pPr>
        <w:widowControl/>
        <w:spacing w:line="336" w:lineRule="auto"/>
        <w:jc w:val="left"/>
        <w:rPr>
          <w:rFonts w:ascii="仿宋" w:hAnsi="仿宋" w:eastAsia="仿宋" w:cs="仿宋"/>
          <w:color w:val="auto"/>
          <w:kern w:val="0"/>
          <w:sz w:val="18"/>
          <w:szCs w:val="18"/>
          <w:highlight w:val="none"/>
        </w:rPr>
      </w:pPr>
    </w:p>
    <w:p w14:paraId="227B40C8">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239657A5">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5BEE267E">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6AAB6355">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3033D23">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D3A48B8">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2ECA0063">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1C3DCB41">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37D77C6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AD48333">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8C05577">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67DE305D">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380F3614">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8F6A617">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0012F971">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190CC3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4CB6CA6D">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1C171DCC">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1D4D5BAC">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7B133EA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898FE26">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27B550D">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08C730BF">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75572CDA">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7353109">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4BB4F8D4">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3E1F8263">
      <w:pPr>
        <w:widowControl/>
        <w:shd w:val="clear" w:color="auto" w:fill="FFFFFF"/>
        <w:spacing w:line="336" w:lineRule="auto"/>
        <w:jc w:val="left"/>
        <w:textAlignment w:val="baselin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1E2BEEFB">
      <w:pPr>
        <w:widowControl/>
        <w:shd w:val="clear" w:color="auto" w:fill="FFFFFF"/>
        <w:spacing w:line="336" w:lineRule="auto"/>
        <w:jc w:val="center"/>
        <w:textAlignment w:val="baseline"/>
        <w:rPr>
          <w:rFonts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5E40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92BE940">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20931059">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7A265885">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321C7FF8">
            <w:pPr>
              <w:widowControl/>
              <w:spacing w:line="336"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A26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77C1C2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0018116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020C8B1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0005932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196955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5BF6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1FC129">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4BEC5B8B">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5398007E">
            <w:pPr>
              <w:widowControl/>
              <w:spacing w:line="336" w:lineRule="auto"/>
              <w:jc w:val="left"/>
              <w:rPr>
                <w:rFonts w:ascii="仿宋" w:hAnsi="仿宋" w:eastAsia="仿宋" w:cs="仿宋"/>
                <w:color w:val="auto"/>
                <w:kern w:val="0"/>
                <w:sz w:val="24"/>
                <w:highlight w:val="none"/>
              </w:rPr>
            </w:pPr>
          </w:p>
        </w:tc>
        <w:tc>
          <w:tcPr>
            <w:tcW w:w="606" w:type="dxa"/>
            <w:vAlign w:val="center"/>
          </w:tcPr>
          <w:p w14:paraId="206E641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59D4A9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9534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9012B4">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0AF0086">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4F11542A">
            <w:pPr>
              <w:widowControl/>
              <w:spacing w:line="336" w:lineRule="auto"/>
              <w:jc w:val="left"/>
              <w:rPr>
                <w:rFonts w:ascii="仿宋" w:hAnsi="仿宋" w:eastAsia="仿宋" w:cs="仿宋"/>
                <w:color w:val="auto"/>
                <w:kern w:val="0"/>
                <w:sz w:val="24"/>
                <w:highlight w:val="none"/>
              </w:rPr>
            </w:pPr>
          </w:p>
        </w:tc>
        <w:tc>
          <w:tcPr>
            <w:tcW w:w="606" w:type="dxa"/>
            <w:vAlign w:val="center"/>
          </w:tcPr>
          <w:p w14:paraId="1DC69F6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B0C95D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6FD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278B9D">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3475B4A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37E9B7B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5719009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C50E2E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2CE67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D637D3">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5B8ACC40">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6C84A401">
            <w:pPr>
              <w:widowControl/>
              <w:spacing w:line="336" w:lineRule="auto"/>
              <w:jc w:val="left"/>
              <w:rPr>
                <w:rFonts w:ascii="仿宋" w:hAnsi="仿宋" w:eastAsia="仿宋" w:cs="仿宋"/>
                <w:color w:val="auto"/>
                <w:kern w:val="0"/>
                <w:sz w:val="24"/>
                <w:highlight w:val="none"/>
              </w:rPr>
            </w:pPr>
          </w:p>
        </w:tc>
        <w:tc>
          <w:tcPr>
            <w:tcW w:w="606" w:type="dxa"/>
            <w:vAlign w:val="center"/>
          </w:tcPr>
          <w:p w14:paraId="75F79CE2">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CE27CA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778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F0EDB29">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19FE35B">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0A5B2E2C">
            <w:pPr>
              <w:widowControl/>
              <w:spacing w:line="336" w:lineRule="auto"/>
              <w:jc w:val="left"/>
              <w:rPr>
                <w:rFonts w:ascii="仿宋" w:hAnsi="仿宋" w:eastAsia="仿宋" w:cs="仿宋"/>
                <w:color w:val="auto"/>
                <w:kern w:val="0"/>
                <w:sz w:val="24"/>
                <w:highlight w:val="none"/>
              </w:rPr>
            </w:pPr>
          </w:p>
        </w:tc>
        <w:tc>
          <w:tcPr>
            <w:tcW w:w="606" w:type="dxa"/>
            <w:vAlign w:val="center"/>
          </w:tcPr>
          <w:p w14:paraId="140D581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245E4D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51BC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4204835">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41F6111">
            <w:pPr>
              <w:widowControl/>
              <w:spacing w:line="336" w:lineRule="auto"/>
              <w:jc w:val="left"/>
              <w:rPr>
                <w:rFonts w:ascii="仿宋" w:hAnsi="仿宋" w:eastAsia="仿宋" w:cs="仿宋"/>
                <w:color w:val="auto"/>
                <w:kern w:val="0"/>
                <w:sz w:val="24"/>
                <w:highlight w:val="none"/>
              </w:rPr>
            </w:pPr>
          </w:p>
        </w:tc>
        <w:tc>
          <w:tcPr>
            <w:tcW w:w="2836" w:type="dxa"/>
            <w:vMerge w:val="restart"/>
            <w:vAlign w:val="center"/>
          </w:tcPr>
          <w:p w14:paraId="7DCA6F7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7E32BEE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4E19CA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A21D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A7696C">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56DD13A">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5EE1D198">
            <w:pPr>
              <w:widowControl/>
              <w:spacing w:line="336" w:lineRule="auto"/>
              <w:jc w:val="left"/>
              <w:rPr>
                <w:rFonts w:ascii="仿宋" w:hAnsi="仿宋" w:eastAsia="仿宋" w:cs="仿宋"/>
                <w:color w:val="auto"/>
                <w:kern w:val="0"/>
                <w:sz w:val="24"/>
                <w:highlight w:val="none"/>
              </w:rPr>
            </w:pPr>
          </w:p>
        </w:tc>
        <w:tc>
          <w:tcPr>
            <w:tcW w:w="606" w:type="dxa"/>
            <w:vAlign w:val="center"/>
          </w:tcPr>
          <w:p w14:paraId="12FBFB1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91A76B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726A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6FB6277">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310D9FB">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1DA91074">
            <w:pPr>
              <w:widowControl/>
              <w:spacing w:line="336" w:lineRule="auto"/>
              <w:jc w:val="left"/>
              <w:rPr>
                <w:rFonts w:ascii="仿宋" w:hAnsi="仿宋" w:eastAsia="仿宋" w:cs="仿宋"/>
                <w:color w:val="auto"/>
                <w:kern w:val="0"/>
                <w:sz w:val="24"/>
                <w:highlight w:val="none"/>
              </w:rPr>
            </w:pPr>
          </w:p>
        </w:tc>
        <w:tc>
          <w:tcPr>
            <w:tcW w:w="606" w:type="dxa"/>
            <w:vAlign w:val="center"/>
          </w:tcPr>
          <w:p w14:paraId="7E0D50B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D0DDE2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9D2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57FE22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6F0BC5E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0CC3122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0847F1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1F64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4EE960C">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5A24D04B">
            <w:pPr>
              <w:widowControl/>
              <w:spacing w:line="336" w:lineRule="auto"/>
              <w:jc w:val="left"/>
              <w:rPr>
                <w:rFonts w:ascii="仿宋" w:hAnsi="仿宋" w:eastAsia="仿宋" w:cs="仿宋"/>
                <w:color w:val="auto"/>
                <w:kern w:val="0"/>
                <w:sz w:val="24"/>
                <w:highlight w:val="none"/>
              </w:rPr>
            </w:pPr>
          </w:p>
        </w:tc>
        <w:tc>
          <w:tcPr>
            <w:tcW w:w="606" w:type="dxa"/>
            <w:vAlign w:val="center"/>
          </w:tcPr>
          <w:p w14:paraId="65D3942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64B0F6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1544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E3CCDFD">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257A486D">
            <w:pPr>
              <w:widowControl/>
              <w:spacing w:line="336" w:lineRule="auto"/>
              <w:jc w:val="left"/>
              <w:rPr>
                <w:rFonts w:ascii="仿宋" w:hAnsi="仿宋" w:eastAsia="仿宋" w:cs="仿宋"/>
                <w:color w:val="auto"/>
                <w:kern w:val="0"/>
                <w:sz w:val="24"/>
                <w:highlight w:val="none"/>
              </w:rPr>
            </w:pPr>
          </w:p>
        </w:tc>
        <w:tc>
          <w:tcPr>
            <w:tcW w:w="606" w:type="dxa"/>
            <w:vAlign w:val="center"/>
          </w:tcPr>
          <w:p w14:paraId="0D6142B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75E75E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6A8B6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8409BC3">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6D36F92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7FCACCD8">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92AA2AF">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7045E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71AE6D2">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5CD44D2E">
            <w:pPr>
              <w:widowControl/>
              <w:spacing w:line="336" w:lineRule="auto"/>
              <w:jc w:val="left"/>
              <w:rPr>
                <w:rFonts w:ascii="仿宋" w:hAnsi="仿宋" w:eastAsia="仿宋" w:cs="仿宋"/>
                <w:color w:val="auto"/>
                <w:kern w:val="0"/>
                <w:sz w:val="24"/>
                <w:highlight w:val="none"/>
              </w:rPr>
            </w:pPr>
          </w:p>
        </w:tc>
        <w:tc>
          <w:tcPr>
            <w:tcW w:w="606" w:type="dxa"/>
            <w:vAlign w:val="center"/>
          </w:tcPr>
          <w:p w14:paraId="7C70330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B439594">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615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B8C34B4">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34D9DAB6">
            <w:pPr>
              <w:widowControl/>
              <w:spacing w:line="336" w:lineRule="auto"/>
              <w:jc w:val="left"/>
              <w:rPr>
                <w:rFonts w:ascii="仿宋" w:hAnsi="仿宋" w:eastAsia="仿宋" w:cs="仿宋"/>
                <w:color w:val="auto"/>
                <w:kern w:val="0"/>
                <w:sz w:val="24"/>
                <w:highlight w:val="none"/>
              </w:rPr>
            </w:pPr>
          </w:p>
        </w:tc>
        <w:tc>
          <w:tcPr>
            <w:tcW w:w="606" w:type="dxa"/>
            <w:vAlign w:val="center"/>
          </w:tcPr>
          <w:p w14:paraId="00AEA9F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9EE56B1">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5856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F039756">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16FEBE2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6D81D37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2058D7D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043EF9D">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0745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A05D33">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453C29E">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20EBC382">
            <w:pPr>
              <w:widowControl/>
              <w:spacing w:line="336" w:lineRule="auto"/>
              <w:jc w:val="left"/>
              <w:rPr>
                <w:rFonts w:ascii="仿宋" w:hAnsi="仿宋" w:eastAsia="仿宋" w:cs="仿宋"/>
                <w:color w:val="auto"/>
                <w:kern w:val="0"/>
                <w:sz w:val="24"/>
                <w:highlight w:val="none"/>
              </w:rPr>
            </w:pPr>
          </w:p>
        </w:tc>
        <w:tc>
          <w:tcPr>
            <w:tcW w:w="606" w:type="dxa"/>
            <w:vAlign w:val="center"/>
          </w:tcPr>
          <w:p w14:paraId="2139F73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64D61C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9C5A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73FA9B">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6D4FD640">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1763DDEC">
            <w:pPr>
              <w:widowControl/>
              <w:spacing w:line="336" w:lineRule="auto"/>
              <w:jc w:val="left"/>
              <w:rPr>
                <w:rFonts w:ascii="仿宋" w:hAnsi="仿宋" w:eastAsia="仿宋" w:cs="仿宋"/>
                <w:color w:val="auto"/>
                <w:kern w:val="0"/>
                <w:sz w:val="24"/>
                <w:highlight w:val="none"/>
              </w:rPr>
            </w:pPr>
          </w:p>
        </w:tc>
        <w:tc>
          <w:tcPr>
            <w:tcW w:w="606" w:type="dxa"/>
            <w:vAlign w:val="center"/>
          </w:tcPr>
          <w:p w14:paraId="2D478680">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8DD44FB">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DD8F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7A5A47">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0645428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0669741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5C31748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385CDD5">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5E21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149833">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07C554C7">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407048F5">
            <w:pPr>
              <w:widowControl/>
              <w:spacing w:line="336" w:lineRule="auto"/>
              <w:jc w:val="left"/>
              <w:rPr>
                <w:rFonts w:ascii="仿宋" w:hAnsi="仿宋" w:eastAsia="仿宋" w:cs="仿宋"/>
                <w:color w:val="auto"/>
                <w:kern w:val="0"/>
                <w:sz w:val="24"/>
                <w:highlight w:val="none"/>
              </w:rPr>
            </w:pPr>
          </w:p>
        </w:tc>
        <w:tc>
          <w:tcPr>
            <w:tcW w:w="606" w:type="dxa"/>
            <w:vAlign w:val="center"/>
          </w:tcPr>
          <w:p w14:paraId="2F11BD8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C5D3F3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7E77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266B650">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5767A4D8">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7A832E1B">
            <w:pPr>
              <w:widowControl/>
              <w:spacing w:line="336" w:lineRule="auto"/>
              <w:jc w:val="left"/>
              <w:rPr>
                <w:rFonts w:ascii="仿宋" w:hAnsi="仿宋" w:eastAsia="仿宋" w:cs="仿宋"/>
                <w:color w:val="auto"/>
                <w:kern w:val="0"/>
                <w:sz w:val="24"/>
                <w:highlight w:val="none"/>
              </w:rPr>
            </w:pPr>
          </w:p>
        </w:tc>
        <w:tc>
          <w:tcPr>
            <w:tcW w:w="606" w:type="dxa"/>
            <w:vAlign w:val="center"/>
          </w:tcPr>
          <w:p w14:paraId="19F2BE37">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41E3E2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409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511A78">
            <w:pPr>
              <w:widowControl/>
              <w:spacing w:line="336" w:lineRule="auto"/>
              <w:jc w:val="left"/>
              <w:rPr>
                <w:rFonts w:ascii="仿宋" w:hAnsi="仿宋" w:eastAsia="仿宋" w:cs="仿宋"/>
                <w:color w:val="auto"/>
                <w:kern w:val="0"/>
                <w:sz w:val="24"/>
                <w:highlight w:val="none"/>
              </w:rPr>
            </w:pPr>
          </w:p>
        </w:tc>
        <w:tc>
          <w:tcPr>
            <w:tcW w:w="1025" w:type="dxa"/>
            <w:vMerge w:val="restart"/>
            <w:vAlign w:val="center"/>
          </w:tcPr>
          <w:p w14:paraId="5109854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60DFF3F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4C21EFEA">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C8B786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D441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7F1EAF">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74EB6AFB">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3AEFAB28">
            <w:pPr>
              <w:widowControl/>
              <w:spacing w:line="336" w:lineRule="auto"/>
              <w:jc w:val="left"/>
              <w:rPr>
                <w:rFonts w:ascii="仿宋" w:hAnsi="仿宋" w:eastAsia="仿宋" w:cs="仿宋"/>
                <w:color w:val="auto"/>
                <w:kern w:val="0"/>
                <w:sz w:val="24"/>
                <w:highlight w:val="none"/>
              </w:rPr>
            </w:pPr>
          </w:p>
        </w:tc>
        <w:tc>
          <w:tcPr>
            <w:tcW w:w="606" w:type="dxa"/>
            <w:vAlign w:val="center"/>
          </w:tcPr>
          <w:p w14:paraId="75431289">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D4E576C">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CB7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C66967">
            <w:pPr>
              <w:widowControl/>
              <w:spacing w:line="336" w:lineRule="auto"/>
              <w:jc w:val="left"/>
              <w:rPr>
                <w:rFonts w:ascii="仿宋" w:hAnsi="仿宋" w:eastAsia="仿宋" w:cs="仿宋"/>
                <w:color w:val="auto"/>
                <w:kern w:val="0"/>
                <w:sz w:val="24"/>
                <w:highlight w:val="none"/>
              </w:rPr>
            </w:pPr>
          </w:p>
        </w:tc>
        <w:tc>
          <w:tcPr>
            <w:tcW w:w="1025" w:type="dxa"/>
            <w:vMerge w:val="continue"/>
            <w:vAlign w:val="center"/>
          </w:tcPr>
          <w:p w14:paraId="0DD035B5">
            <w:pPr>
              <w:widowControl/>
              <w:spacing w:line="336" w:lineRule="auto"/>
              <w:jc w:val="left"/>
              <w:rPr>
                <w:rFonts w:ascii="仿宋" w:hAnsi="仿宋" w:eastAsia="仿宋" w:cs="仿宋"/>
                <w:color w:val="auto"/>
                <w:kern w:val="0"/>
                <w:sz w:val="24"/>
                <w:highlight w:val="none"/>
              </w:rPr>
            </w:pPr>
          </w:p>
        </w:tc>
        <w:tc>
          <w:tcPr>
            <w:tcW w:w="2836" w:type="dxa"/>
            <w:vMerge w:val="continue"/>
            <w:vAlign w:val="center"/>
          </w:tcPr>
          <w:p w14:paraId="4D4971A2">
            <w:pPr>
              <w:widowControl/>
              <w:spacing w:line="336" w:lineRule="auto"/>
              <w:jc w:val="left"/>
              <w:rPr>
                <w:rFonts w:ascii="仿宋" w:hAnsi="仿宋" w:eastAsia="仿宋" w:cs="仿宋"/>
                <w:color w:val="auto"/>
                <w:kern w:val="0"/>
                <w:sz w:val="24"/>
                <w:highlight w:val="none"/>
              </w:rPr>
            </w:pPr>
          </w:p>
        </w:tc>
        <w:tc>
          <w:tcPr>
            <w:tcW w:w="606" w:type="dxa"/>
            <w:vAlign w:val="center"/>
          </w:tcPr>
          <w:p w14:paraId="349E8D7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162C50E">
            <w:pPr>
              <w:widowControl/>
              <w:spacing w:line="336"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37377F05">
      <w:pPr>
        <w:spacing w:line="336" w:lineRule="auto"/>
        <w:rPr>
          <w:rFonts w:ascii="仿宋" w:hAnsi="仿宋" w:eastAsia="仿宋" w:cs="仿宋"/>
          <w:color w:val="auto"/>
          <w:sz w:val="24"/>
          <w:highlight w:val="none"/>
        </w:rPr>
      </w:pPr>
    </w:p>
    <w:p w14:paraId="460AAC09">
      <w:pPr>
        <w:spacing w:line="336" w:lineRule="auto"/>
        <w:ind w:firstLine="420" w:firstLineChars="200"/>
        <w:rPr>
          <w:rFonts w:ascii="仿宋" w:hAnsi="仿宋" w:eastAsia="仿宋" w:cs="仿宋"/>
          <w:color w:val="auto"/>
          <w:highlight w:val="none"/>
        </w:rPr>
      </w:pPr>
    </w:p>
    <w:p w14:paraId="2B880AC3">
      <w:pPr>
        <w:spacing w:line="336" w:lineRule="auto"/>
        <w:rPr>
          <w:rFonts w:ascii="仿宋" w:hAnsi="仿宋" w:eastAsia="仿宋" w:cs="仿宋"/>
          <w:color w:val="auto"/>
          <w:highlight w:val="none"/>
        </w:rPr>
      </w:pPr>
    </w:p>
    <w:p w14:paraId="77C5A3B0">
      <w:pPr>
        <w:spacing w:line="360" w:lineRule="auto"/>
        <w:ind w:firstLine="482" w:firstLineChars="200"/>
        <w:rPr>
          <w:rFonts w:ascii="宋体" w:hAnsi="宋体" w:eastAsia="宋体" w:cs="仿宋_GB2312"/>
          <w:b/>
          <w:color w:val="auto"/>
          <w:sz w:val="24"/>
          <w:highlight w:val="none"/>
        </w:rPr>
      </w:pP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方正公文黑体">
    <w:altName w:val="黑体"/>
    <w:panose1 w:val="020005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B2C9">
    <w:pPr>
      <w:pStyle w:val="40"/>
      <w:framePr w:wrap="around" w:vAnchor="text" w:hAnchor="margin" w:xAlign="right" w:y="1"/>
      <w:rPr>
        <w:rStyle w:val="64"/>
      </w:rPr>
    </w:pPr>
    <w:r>
      <w:fldChar w:fldCharType="begin"/>
    </w:r>
    <w:r>
      <w:rPr>
        <w:rStyle w:val="64"/>
      </w:rPr>
      <w:instrText xml:space="preserve">PAGE  </w:instrText>
    </w:r>
    <w:r>
      <w:fldChar w:fldCharType="end"/>
    </w:r>
  </w:p>
  <w:p w14:paraId="2267FBE7">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FB5B">
    <w:pPr>
      <w:pStyle w:val="40"/>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5B7F">
    <w:pPr>
      <w:pStyle w:val="40"/>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68</w:t>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06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1C7FFB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C2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AF3F6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7DE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lang w:val="en-US" w:eastAsia="zh-CN"/>
      </w:rPr>
      <w:t>68</w:t>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730D">
    <w:pPr>
      <w:pStyle w:val="40"/>
      <w:framePr w:wrap="around" w:vAnchor="text" w:hAnchor="margin" w:xAlign="right" w:y="1"/>
      <w:rPr>
        <w:rStyle w:val="64"/>
      </w:rPr>
    </w:pPr>
    <w:r>
      <w:fldChar w:fldCharType="begin"/>
    </w:r>
    <w:r>
      <w:rPr>
        <w:rStyle w:val="64"/>
      </w:rPr>
      <w:instrText xml:space="preserve">PAGE  </w:instrText>
    </w:r>
    <w:r>
      <w:fldChar w:fldCharType="end"/>
    </w:r>
  </w:p>
  <w:p w14:paraId="21771BBC">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E15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77" w:name="_Toc131845147"/>
    <w:bookmarkStart w:id="78" w:name="_Toc36110187"/>
    <w:bookmarkStart w:id="79" w:name="_Toc164085800"/>
    <w:bookmarkStart w:id="80" w:name="_Toc91899912"/>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2048">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1E57">
    <w:pPr>
      <w:pStyle w:val="41"/>
      <w:pBdr>
        <w:bottom w:val="none" w:color="auto" w:sz="0" w:space="0"/>
      </w:pBdr>
      <w:tabs>
        <w:tab w:val="left" w:pos="1935"/>
        <w:tab w:val="clear" w:pos="4153"/>
        <w:tab w:val="clear" w:pos="8306"/>
      </w:tabs>
      <w:jc w:val="both"/>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38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6C45">
    <w:pPr>
      <w:pStyle w:val="41"/>
      <w:tabs>
        <w:tab w:val="center" w:pos="0"/>
      </w:tabs>
      <w:jc w:val="left"/>
      <w:rPr>
        <w:rFonts w:eastAsia="仿宋_GB2312"/>
      </w:rPr>
    </w:pPr>
    <w:r>
      <w:rPr>
        <w:rFonts w:hint="eastAsia" w:ascii="仿宋" w:hAnsi="仿宋" w:eastAsia="仿宋" w:cs="仿宋"/>
        <w:lang w:val="en-US" w:eastAsia="zh-CN"/>
      </w:rPr>
      <w:t>浙江华夏工程管理有限公司</w:t>
    </w:r>
    <w:r>
      <w:rPr>
        <w:rFonts w:hint="eastAsia" w:ascii="仿宋" w:hAnsi="仿宋" w:eastAsia="仿宋" w:cs="仿宋"/>
      </w:rPr>
      <w:t xml:space="preserve">                                       磋商文件编号: </w:t>
    </w:r>
    <w:r>
      <w:rPr>
        <w:rFonts w:hint="eastAsia" w:ascii="仿宋" w:hAnsi="仿宋" w:eastAsia="仿宋" w:cs="仿宋"/>
        <w:lang w:eastAsia="zh-CN"/>
      </w:rPr>
      <w:t>ZJHX-2025-05-08-1</w:t>
    </w:r>
    <w:r>
      <w:rPr>
        <w:rFonts w:hint="eastAsia" w:ascii="仿宋" w:hAnsi="仿宋" w:eastAsia="仿宋" w:cs="仿宋"/>
      </w:rPr>
      <w:t xml:space="preserve">  </w:t>
    </w:r>
  </w:p>
  <w:p w14:paraId="152F840D">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A16B">
    <w:pPr>
      <w:pStyle w:val="41"/>
      <w:tabs>
        <w:tab w:val="cente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C896">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2E7F"/>
    <w:multiLevelType w:val="singleLevel"/>
    <w:tmpl w:val="A3722E7F"/>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suff w:val="nothing"/>
      <w:lvlText w:val="（%1）"/>
      <w:lvlJc w:val="left"/>
    </w:lvl>
    <w:lvl w:ilvl="1" w:tentative="0">
      <w:start w:val="1"/>
      <w:numFmt w:val="lowerLetter"/>
      <w:lvlText w:val="%2)"/>
      <w:lvlJc w:val="left"/>
      <w:pPr>
        <w:tabs>
          <w:tab w:val="left" w:pos="3000"/>
        </w:tabs>
        <w:ind w:left="3000" w:hanging="420"/>
      </w:pPr>
    </w:lvl>
    <w:lvl w:ilvl="2" w:tentative="0">
      <w:start w:val="1"/>
      <w:numFmt w:val="lowerRoman"/>
      <w:lvlText w:val="%3."/>
      <w:lvlJc w:val="right"/>
      <w:pPr>
        <w:tabs>
          <w:tab w:val="left" w:pos="3420"/>
        </w:tabs>
        <w:ind w:left="3420" w:hanging="420"/>
      </w:pPr>
    </w:lvl>
    <w:lvl w:ilvl="3" w:tentative="0">
      <w:start w:val="1"/>
      <w:numFmt w:val="decimal"/>
      <w:lvlText w:val="%4."/>
      <w:lvlJc w:val="left"/>
      <w:pPr>
        <w:tabs>
          <w:tab w:val="left" w:pos="3840"/>
        </w:tabs>
        <w:ind w:left="3840" w:hanging="420"/>
      </w:pPr>
    </w:lvl>
    <w:lvl w:ilvl="4" w:tentative="0">
      <w:start w:val="1"/>
      <w:numFmt w:val="lowerLetter"/>
      <w:lvlText w:val="%5)"/>
      <w:lvlJc w:val="left"/>
      <w:pPr>
        <w:tabs>
          <w:tab w:val="left" w:pos="4260"/>
        </w:tabs>
        <w:ind w:left="4260" w:hanging="420"/>
      </w:pPr>
    </w:lvl>
    <w:lvl w:ilvl="5" w:tentative="0">
      <w:start w:val="1"/>
      <w:numFmt w:val="lowerRoman"/>
      <w:lvlText w:val="%6."/>
      <w:lvlJc w:val="right"/>
      <w:pPr>
        <w:tabs>
          <w:tab w:val="left" w:pos="4680"/>
        </w:tabs>
        <w:ind w:left="4680" w:hanging="420"/>
      </w:pPr>
    </w:lvl>
    <w:lvl w:ilvl="6" w:tentative="0">
      <w:start w:val="1"/>
      <w:numFmt w:val="decimal"/>
      <w:lvlText w:val="%7."/>
      <w:lvlJc w:val="left"/>
      <w:pPr>
        <w:tabs>
          <w:tab w:val="left" w:pos="5100"/>
        </w:tabs>
        <w:ind w:left="5100" w:hanging="420"/>
      </w:pPr>
    </w:lvl>
    <w:lvl w:ilvl="7" w:tentative="0">
      <w:start w:val="1"/>
      <w:numFmt w:val="lowerLetter"/>
      <w:lvlText w:val="%8)"/>
      <w:lvlJc w:val="left"/>
      <w:pPr>
        <w:tabs>
          <w:tab w:val="left" w:pos="5520"/>
        </w:tabs>
        <w:ind w:left="5520" w:hanging="420"/>
      </w:pPr>
    </w:lvl>
    <w:lvl w:ilvl="8" w:tentative="0">
      <w:start w:val="1"/>
      <w:numFmt w:val="lowerRoman"/>
      <w:lvlText w:val="%9."/>
      <w:lvlJc w:val="right"/>
      <w:pPr>
        <w:tabs>
          <w:tab w:val="left" w:pos="5940"/>
        </w:tabs>
        <w:ind w:left="5940" w:hanging="420"/>
      </w:p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67F487C5"/>
    <w:multiLevelType w:val="singleLevel"/>
    <w:tmpl w:val="67F487C5"/>
    <w:lvl w:ilvl="0" w:tentative="0">
      <w:start w:val="2"/>
      <w:numFmt w:val="decimal"/>
      <w:suff w:val="nothing"/>
      <w:lvlText w:val="%1、"/>
      <w:lvlJc w:val="left"/>
    </w:lvl>
  </w:abstractNum>
  <w:abstractNum w:abstractNumId="10">
    <w:nsid w:val="68582FFB"/>
    <w:multiLevelType w:val="singleLevel"/>
    <w:tmpl w:val="68582FFB"/>
    <w:lvl w:ilvl="0" w:tentative="0">
      <w:start w:val="1"/>
      <w:numFmt w:val="chineseCounting"/>
      <w:suff w:val="nothing"/>
      <w:lvlText w:val="%1、"/>
      <w:lvlJc w:val="left"/>
      <w:rPr>
        <w:rFonts w:hint="eastAsia"/>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9"/>
  </w:num>
  <w:num w:numId="8">
    <w:abstractNumId w:val="1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Dg4YWU1MGU5MWE4YTRkYTAyNDlhZDRkYmIxMzYifQ=="/>
  </w:docVars>
  <w:rsids>
    <w:rsidRoot w:val="00000000"/>
    <w:rsid w:val="00824930"/>
    <w:rsid w:val="028D6AB2"/>
    <w:rsid w:val="04372FD3"/>
    <w:rsid w:val="05422526"/>
    <w:rsid w:val="05CE33DA"/>
    <w:rsid w:val="0742223E"/>
    <w:rsid w:val="079E4577"/>
    <w:rsid w:val="08B275D1"/>
    <w:rsid w:val="09A60DC8"/>
    <w:rsid w:val="0A014426"/>
    <w:rsid w:val="0AD93A31"/>
    <w:rsid w:val="0AE62C7F"/>
    <w:rsid w:val="0E2B3F92"/>
    <w:rsid w:val="0E4A09D7"/>
    <w:rsid w:val="0ED662BA"/>
    <w:rsid w:val="1032022B"/>
    <w:rsid w:val="104E1E14"/>
    <w:rsid w:val="117405F7"/>
    <w:rsid w:val="117479FE"/>
    <w:rsid w:val="12506B92"/>
    <w:rsid w:val="132C0590"/>
    <w:rsid w:val="13703DEB"/>
    <w:rsid w:val="17986D87"/>
    <w:rsid w:val="190B4AAB"/>
    <w:rsid w:val="1B1B5878"/>
    <w:rsid w:val="1C106A83"/>
    <w:rsid w:val="1CC02E05"/>
    <w:rsid w:val="1E2524C8"/>
    <w:rsid w:val="1F1C10F7"/>
    <w:rsid w:val="1F2E6424"/>
    <w:rsid w:val="215E5C93"/>
    <w:rsid w:val="21E85F83"/>
    <w:rsid w:val="22466730"/>
    <w:rsid w:val="24A26904"/>
    <w:rsid w:val="25577F9B"/>
    <w:rsid w:val="28A4296A"/>
    <w:rsid w:val="28C31655"/>
    <w:rsid w:val="29114058"/>
    <w:rsid w:val="29533E07"/>
    <w:rsid w:val="29653C42"/>
    <w:rsid w:val="2983364D"/>
    <w:rsid w:val="2CF55A3F"/>
    <w:rsid w:val="2D023258"/>
    <w:rsid w:val="2D450775"/>
    <w:rsid w:val="2D744E63"/>
    <w:rsid w:val="30CA6919"/>
    <w:rsid w:val="315B5C55"/>
    <w:rsid w:val="316D2048"/>
    <w:rsid w:val="321E15E4"/>
    <w:rsid w:val="32F37074"/>
    <w:rsid w:val="33004414"/>
    <w:rsid w:val="34AA2C62"/>
    <w:rsid w:val="34F8114C"/>
    <w:rsid w:val="363B3204"/>
    <w:rsid w:val="37B908A3"/>
    <w:rsid w:val="37C31EC4"/>
    <w:rsid w:val="37CD3F9D"/>
    <w:rsid w:val="38433B03"/>
    <w:rsid w:val="38AF07FC"/>
    <w:rsid w:val="392B413E"/>
    <w:rsid w:val="39841613"/>
    <w:rsid w:val="3BD12312"/>
    <w:rsid w:val="3C3D33E3"/>
    <w:rsid w:val="3CEE7D9A"/>
    <w:rsid w:val="3D8A5D30"/>
    <w:rsid w:val="3DEC2546"/>
    <w:rsid w:val="3F9935D0"/>
    <w:rsid w:val="40AA07AA"/>
    <w:rsid w:val="410B5554"/>
    <w:rsid w:val="41207887"/>
    <w:rsid w:val="425C3B7A"/>
    <w:rsid w:val="46380A1F"/>
    <w:rsid w:val="466D0D8F"/>
    <w:rsid w:val="468035DD"/>
    <w:rsid w:val="46842723"/>
    <w:rsid w:val="477634DD"/>
    <w:rsid w:val="48050DD4"/>
    <w:rsid w:val="48CC2884"/>
    <w:rsid w:val="4AC0755D"/>
    <w:rsid w:val="4B3774F7"/>
    <w:rsid w:val="4C6C4E68"/>
    <w:rsid w:val="4E18105F"/>
    <w:rsid w:val="4F223630"/>
    <w:rsid w:val="4F787875"/>
    <w:rsid w:val="5132184A"/>
    <w:rsid w:val="518B174F"/>
    <w:rsid w:val="548F658E"/>
    <w:rsid w:val="555A4967"/>
    <w:rsid w:val="57A27B4F"/>
    <w:rsid w:val="586E4A19"/>
    <w:rsid w:val="5A400ABE"/>
    <w:rsid w:val="5B717643"/>
    <w:rsid w:val="5B8E23CE"/>
    <w:rsid w:val="5BEA1365"/>
    <w:rsid w:val="5C58293D"/>
    <w:rsid w:val="5DD54F93"/>
    <w:rsid w:val="5E7B760A"/>
    <w:rsid w:val="5EAF6B07"/>
    <w:rsid w:val="5F1D070A"/>
    <w:rsid w:val="5F78134D"/>
    <w:rsid w:val="60065DB9"/>
    <w:rsid w:val="604718AF"/>
    <w:rsid w:val="611F40E2"/>
    <w:rsid w:val="61361315"/>
    <w:rsid w:val="63DA03FE"/>
    <w:rsid w:val="66605C7A"/>
    <w:rsid w:val="669A5E50"/>
    <w:rsid w:val="66DF46EA"/>
    <w:rsid w:val="66EA7B14"/>
    <w:rsid w:val="681713E4"/>
    <w:rsid w:val="68F93DF1"/>
    <w:rsid w:val="697E527C"/>
    <w:rsid w:val="6B4013E0"/>
    <w:rsid w:val="6BFD4436"/>
    <w:rsid w:val="6C5C7AEF"/>
    <w:rsid w:val="6D114BBC"/>
    <w:rsid w:val="6D571C7F"/>
    <w:rsid w:val="6E4D4087"/>
    <w:rsid w:val="6EB802EE"/>
    <w:rsid w:val="70CC4BC0"/>
    <w:rsid w:val="718C1A9B"/>
    <w:rsid w:val="72EC250B"/>
    <w:rsid w:val="73252393"/>
    <w:rsid w:val="744570A4"/>
    <w:rsid w:val="749D316E"/>
    <w:rsid w:val="75FF0723"/>
    <w:rsid w:val="784F7772"/>
    <w:rsid w:val="79031B5E"/>
    <w:rsid w:val="797719D7"/>
    <w:rsid w:val="798A6F87"/>
    <w:rsid w:val="7B496095"/>
    <w:rsid w:val="7B9A1258"/>
    <w:rsid w:val="7CAF728F"/>
    <w:rsid w:val="7CE02C9B"/>
    <w:rsid w:val="7CE43E67"/>
    <w:rsid w:val="7D050953"/>
    <w:rsid w:val="7E014A78"/>
    <w:rsid w:val="7E2C6AF9"/>
    <w:rsid w:val="7EB136C9"/>
    <w:rsid w:val="7F7A69E6"/>
    <w:rsid w:val="7F956D5C"/>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qFormat/>
    <w:uiPriority w:val="1"/>
  </w:style>
  <w:style w:type="table" w:default="1" w:styleId="60">
    <w:name w:val="Normal Table"/>
    <w:autoRedefine/>
    <w:qFormat/>
    <w:uiPriority w:val="99"/>
    <w:tblPr>
      <w:tblCellMar>
        <w:top w:w="0" w:type="dxa"/>
        <w:left w:w="108" w:type="dxa"/>
        <w:bottom w:w="0" w:type="dxa"/>
        <w:right w:w="108" w:type="dxa"/>
      </w:tblCellMar>
    </w:tblPr>
  </w:style>
  <w:style w:type="paragraph" w:styleId="2">
    <w:name w:val="Body Text First Indent 2"/>
    <w:basedOn w:val="3"/>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autoRedefine/>
    <w:qFormat/>
    <w:uiPriority w:val="0"/>
    <w:pPr>
      <w:ind w:firstLine="420"/>
    </w:pPr>
    <w:rPr>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597"/>
    <w:autoRedefine/>
    <w:qFormat/>
    <w:uiPriority w:val="0"/>
    <w:pPr>
      <w:ind w:left="100" w:leftChars="2500"/>
    </w:pPr>
    <w:rPr>
      <w:rFonts w:ascii="宋体"/>
      <w:sz w:val="24"/>
      <w:szCs w:val="21"/>
      <w:lang w:val="zh-CN"/>
    </w:rPr>
  </w:style>
  <w:style w:type="paragraph" w:styleId="38">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9">
    <w:name w:val="Balloon Text"/>
    <w:basedOn w:val="1"/>
    <w:link w:val="614"/>
    <w:autoRedefine/>
    <w:qFormat/>
    <w:uiPriority w:val="0"/>
    <w:rPr>
      <w:sz w:val="18"/>
      <w:szCs w:val="18"/>
    </w:rPr>
  </w:style>
  <w:style w:type="paragraph" w:styleId="40">
    <w:name w:val="footer"/>
    <w:basedOn w:val="1"/>
    <w:autoRedefine/>
    <w:qFormat/>
    <w:uiPriority w:val="0"/>
    <w:pPr>
      <w:tabs>
        <w:tab w:val="center" w:pos="4153"/>
        <w:tab w:val="right" w:pos="8306"/>
      </w:tabs>
      <w:snapToGrid w:val="0"/>
      <w:jc w:val="left"/>
    </w:pPr>
    <w:rPr>
      <w:sz w:val="18"/>
      <w:szCs w:val="18"/>
    </w:rPr>
  </w:style>
  <w:style w:type="paragraph" w:styleId="4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qFormat/>
    <w:uiPriority w:val="0"/>
    <w:rPr>
      <w:b/>
      <w:bCs/>
    </w:rPr>
  </w:style>
  <w:style w:type="table" w:styleId="61">
    <w:name w:val="Table Grid"/>
    <w:basedOn w:val="6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Default"/>
    <w:next w:val="72"/>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1"/>
    <w:next w:val="71"/>
    <w:autoRedefine/>
    <w:qFormat/>
    <w:uiPriority w:val="0"/>
    <w:pPr>
      <w:spacing w:after="68"/>
    </w:pPr>
    <w:rPr>
      <w:rFonts w:ascii="FHLHE E+ Futura Bk" w:eastAsia="FHLHE E+ Futura Bk" w:cs="Times New Roman"/>
      <w:color w:val="auto"/>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clear" w:pos="1260"/>
      </w:tabs>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6"/>
    <w:autoRedefine/>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ilvl w:val="0"/>
        <w:numId w:val="5"/>
      </w:numPr>
      <w:tabs>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8"/>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customStyle="1"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ilvl w:val="0"/>
        <w:numId w:val="0"/>
      </w:numPr>
      <w:tabs>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ilvl w:val="0"/>
        <w:numId w:val="4"/>
      </w:numPr>
      <w:tabs>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Id w:val="0"/>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ilvl w:val="0"/>
        <w:numId w:val="5"/>
      </w:numPr>
      <w:tabs>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6"/>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ilvl w:val="0"/>
        <w:numId w:val="5"/>
      </w:numPr>
      <w:tabs>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ilvl w:val="0"/>
        <w:numId w:val="0"/>
      </w:numPr>
      <w:tabs>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2"/>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qFormat/>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qFormat/>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50"/>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autoRedefine/>
    <w:qFormat/>
    <w:uiPriority w:val="0"/>
    <w:rPr>
      <w:b/>
      <w:bCs/>
      <w:kern w:val="2"/>
      <w:sz w:val="24"/>
      <w:szCs w:val="24"/>
    </w:rPr>
  </w:style>
  <w:style w:type="character" w:customStyle="1" w:styleId="481">
    <w:name w:val="称呼 Char"/>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7"/>
    <w:autoRedefine/>
    <w:qFormat/>
    <w:uiPriority w:val="0"/>
    <w:rPr>
      <w:rFonts w:ascii="Arial" w:hAnsi="Arial" w:eastAsia="隶书"/>
      <w:b/>
      <w:bCs/>
      <w:kern w:val="28"/>
      <w:sz w:val="44"/>
      <w:szCs w:val="32"/>
      <w:lang w:val="en-US" w:eastAsia="zh-CN" w:bidi="ar-SA"/>
    </w:rPr>
  </w:style>
  <w:style w:type="character" w:customStyle="1" w:styleId="48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_7802c35d-a7d5-483c-ad67-f53103fdfb58"/>
    <w:autoRedefine/>
    <w:qFormat/>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2"/>
    <w:autoRedefine/>
    <w:qFormat/>
    <w:uiPriority w:val="0"/>
    <w:rPr>
      <w:rFonts w:ascii="宋体" w:hAnsi="宋体"/>
      <w:kern w:val="2"/>
      <w:sz w:val="21"/>
      <w:szCs w:val="24"/>
    </w:rPr>
  </w:style>
  <w:style w:type="character" w:customStyle="1" w:styleId="502">
    <w:name w:val="正文文本缩进 2 Char"/>
    <w:link w:val="38"/>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6"/>
    <w:autoRedefine/>
    <w:qFormat/>
    <w:uiPriority w:val="0"/>
    <w:rPr>
      <w:rFonts w:ascii="黑体" w:hAnsi="Courier New" w:eastAsia="黑体"/>
    </w:rPr>
  </w:style>
  <w:style w:type="character" w:customStyle="1" w:styleId="543">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4">
    <w:name w:val="正文首行缩进 Char"/>
    <w:link w:val="25"/>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uiPriority w:val="0"/>
    <w:rPr>
      <w:rFonts w:ascii="宋体" w:hAnsi="宋体" w:eastAsia="宋体"/>
      <w:b/>
      <w:kern w:val="2"/>
      <w:sz w:val="24"/>
      <w:szCs w:val="24"/>
      <w:lang w:val="en-US" w:eastAsia="zh-CN" w:bidi="ar-SA"/>
    </w:rPr>
  </w:style>
  <w:style w:type="character" w:customStyle="1" w:styleId="561">
    <w:name w:val="Document Map Char"/>
    <w:autoRedefine/>
    <w:qFormat/>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31"/>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7"/>
    <w:autoRedefine/>
    <w:qFormat/>
    <w:uiPriority w:val="0"/>
    <w:rPr>
      <w:rFonts w:ascii="宋体"/>
      <w:kern w:val="2"/>
      <w:sz w:val="24"/>
      <w:szCs w:val="21"/>
      <w:lang w:val="zh-CN"/>
    </w:rPr>
  </w:style>
  <w:style w:type="character" w:customStyle="1" w:styleId="598">
    <w:name w:val="标题 4 Char"/>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qFormat/>
    <w:uiPriority w:val="0"/>
    <w:rPr>
      <w:rFonts w:ascii="Times New Roman" w:hAnsi="Times New Roman" w:eastAsia="宋体" w:cs="Times New Roman"/>
      <w:sz w:val="20"/>
      <w:szCs w:val="20"/>
    </w:rPr>
  </w:style>
  <w:style w:type="character" w:customStyle="1" w:styleId="603">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9"/>
    <w:autoRedefine/>
    <w:qFormat/>
    <w:uiPriority w:val="0"/>
    <w:rPr>
      <w:rFonts w:ascii="Arial" w:hAnsi="Arial" w:eastAsia="黑体"/>
      <w:b/>
      <w:bCs/>
      <w:kern w:val="2"/>
      <w:sz w:val="24"/>
      <w:szCs w:val="24"/>
    </w:rPr>
  </w:style>
  <w:style w:type="character" w:customStyle="1" w:styleId="61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1"/>
    <w:autoRedefine/>
    <w:qFormat/>
    <w:uiPriority w:val="99"/>
    <w:rPr>
      <w:kern w:val="2"/>
      <w:sz w:val="21"/>
      <w:szCs w:val="24"/>
    </w:rPr>
  </w:style>
  <w:style w:type="character" w:customStyle="1" w:styleId="614">
    <w:name w:val="批注框文本 Char"/>
    <w:link w:val="39"/>
    <w:autoRedefine/>
    <w:qFormat/>
    <w:uiPriority w:val="0"/>
    <w:rPr>
      <w:kern w:val="2"/>
      <w:sz w:val="18"/>
      <w:szCs w:val="18"/>
    </w:rPr>
  </w:style>
  <w:style w:type="character" w:customStyle="1" w:styleId="615">
    <w:name w:val="Footer Char_297ca3bb-e6f6-4cc1-9b27-66816fa3cad9"/>
    <w:autoRedefine/>
    <w:qFormat/>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32">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633">
    <w:name w:val="样式 正文文本"/>
    <w:basedOn w:val="1"/>
    <w:autoRedefine/>
    <w:qFormat/>
    <w:uiPriority w:val="0"/>
    <w:pPr>
      <w:adjustRightInd w:val="0"/>
      <w:snapToGrid w:val="0"/>
      <w:spacing w:line="400" w:lineRule="exact"/>
      <w:ind w:firstLine="200" w:firstLineChars="200"/>
    </w:pPr>
    <w:rPr>
      <w:rFonts w:ascii="Arial" w:hAnsi="Arial"/>
      <w:color w:val="000000"/>
      <w:szCs w:val="20"/>
    </w:rPr>
  </w:style>
  <w:style w:type="table" w:customStyle="1" w:styleId="63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21400</Words>
  <Characters>22865</Characters>
  <Paragraphs>1856</Paragraphs>
  <TotalTime>57</TotalTime>
  <ScaleCrop>false</ScaleCrop>
  <LinksUpToDate>false</LinksUpToDate>
  <CharactersWithSpaces>23598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Administrator</dc:creator>
  <cp:lastModifiedBy>灰太狼的Angel</cp:lastModifiedBy>
  <cp:lastPrinted>2025-06-06T06:33:00Z</cp:lastPrinted>
  <dcterms:modified xsi:type="dcterms:W3CDTF">2025-07-01T06:52:06Z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B85D1F9F093145DFBD6B7B5DE95D676E_13</vt:lpwstr>
  </property>
  <property fmtid="{D5CDD505-2E9C-101B-9397-08002B2CF9AE}" pid="4" name="KSOTemplateDocerSaveRecord">
    <vt:lpwstr>eyJoZGlkIjoiYTU0ZDdlMmEyZjhlMTE3M2JiOTFiYjJmYjQ0MDE4YjgiLCJ1c2VySWQiOiI2OTYxNjA2NDIifQ==</vt:lpwstr>
  </property>
</Properties>
</file>