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bCs/>
          <w:color w:val="auto"/>
          <w:sz w:val="52"/>
          <w:szCs w:val="52"/>
        </w:rPr>
      </w:pPr>
      <w:bookmarkStart w:id="134" w:name="_GoBack"/>
      <w:r>
        <w:rPr>
          <w:rFonts w:hint="eastAsia" w:ascii="仿宋" w:hAnsi="仿宋" w:eastAsia="仿宋" w:cs="仿宋"/>
          <w:b/>
          <w:bCs/>
          <w:color w:val="auto"/>
          <w:sz w:val="52"/>
          <w:szCs w:val="52"/>
        </w:rPr>
        <w:t>越城区交通运输局监控中心项目</w:t>
      </w:r>
    </w:p>
    <w:p>
      <w:pPr>
        <w:rPr>
          <w:rFonts w:ascii="仿宋" w:hAnsi="仿宋" w:eastAsia="仿宋" w:cs="仿宋"/>
          <w:color w:val="auto"/>
          <w:sz w:val="36"/>
          <w:szCs w:val="36"/>
        </w:rPr>
      </w:pPr>
    </w:p>
    <w:p>
      <w:pPr>
        <w:rPr>
          <w:rFonts w:ascii="仿宋" w:hAnsi="仿宋" w:eastAsia="仿宋" w:cs="仿宋"/>
          <w:color w:val="auto"/>
          <w:sz w:val="36"/>
          <w:szCs w:val="36"/>
        </w:rPr>
      </w:pPr>
    </w:p>
    <w:p>
      <w:pPr>
        <w:jc w:val="center"/>
        <w:rPr>
          <w:rFonts w:ascii="仿宋" w:hAnsi="仿宋" w:eastAsia="仿宋" w:cs="仿宋"/>
          <w:b/>
          <w:bCs/>
          <w:color w:val="auto"/>
          <w:sz w:val="72"/>
          <w:szCs w:val="72"/>
        </w:rPr>
      </w:pPr>
      <w:r>
        <w:rPr>
          <w:rFonts w:hint="eastAsia" w:ascii="仿宋" w:hAnsi="仿宋" w:eastAsia="仿宋" w:cs="仿宋"/>
          <w:b/>
          <w:bCs/>
          <w:color w:val="auto"/>
          <w:sz w:val="72"/>
          <w:szCs w:val="72"/>
        </w:rPr>
        <w:t>采</w:t>
      </w:r>
    </w:p>
    <w:p>
      <w:pPr>
        <w:jc w:val="center"/>
        <w:rPr>
          <w:rFonts w:ascii="仿宋" w:hAnsi="仿宋" w:eastAsia="仿宋" w:cs="仿宋"/>
          <w:b/>
          <w:bCs/>
          <w:color w:val="auto"/>
          <w:sz w:val="72"/>
          <w:szCs w:val="72"/>
        </w:rPr>
      </w:pPr>
      <w:r>
        <w:rPr>
          <w:rFonts w:hint="eastAsia" w:ascii="仿宋" w:hAnsi="仿宋" w:eastAsia="仿宋" w:cs="仿宋"/>
          <w:b/>
          <w:bCs/>
          <w:color w:val="auto"/>
          <w:sz w:val="72"/>
          <w:szCs w:val="72"/>
        </w:rPr>
        <w:t>购</w:t>
      </w:r>
    </w:p>
    <w:p>
      <w:pPr>
        <w:jc w:val="center"/>
        <w:rPr>
          <w:rFonts w:ascii="仿宋" w:hAnsi="仿宋" w:eastAsia="仿宋" w:cs="仿宋"/>
          <w:b/>
          <w:bCs/>
          <w:color w:val="auto"/>
          <w:sz w:val="72"/>
          <w:szCs w:val="72"/>
        </w:rPr>
      </w:pPr>
      <w:r>
        <w:rPr>
          <w:rFonts w:hint="eastAsia" w:ascii="仿宋" w:hAnsi="仿宋" w:eastAsia="仿宋" w:cs="仿宋"/>
          <w:b/>
          <w:bCs/>
          <w:color w:val="auto"/>
          <w:sz w:val="72"/>
          <w:szCs w:val="72"/>
        </w:rPr>
        <w:t>文</w:t>
      </w:r>
    </w:p>
    <w:p>
      <w:pPr>
        <w:jc w:val="center"/>
        <w:rPr>
          <w:rFonts w:ascii="仿宋" w:hAnsi="仿宋" w:eastAsia="仿宋" w:cs="仿宋"/>
          <w:b/>
          <w:bCs/>
          <w:color w:val="auto"/>
          <w:sz w:val="72"/>
          <w:szCs w:val="72"/>
        </w:rPr>
      </w:pPr>
      <w:r>
        <w:rPr>
          <w:rFonts w:hint="eastAsia" w:ascii="仿宋" w:hAnsi="仿宋" w:eastAsia="仿宋" w:cs="仿宋"/>
          <w:b/>
          <w:bCs/>
          <w:color w:val="auto"/>
          <w:sz w:val="72"/>
          <w:szCs w:val="72"/>
        </w:rPr>
        <w:t>件</w:t>
      </w:r>
    </w:p>
    <w:p>
      <w:pPr>
        <w:rPr>
          <w:rFonts w:ascii="仿宋" w:hAnsi="仿宋" w:eastAsia="仿宋" w:cs="仿宋"/>
          <w:b/>
          <w:bCs/>
          <w:color w:val="auto"/>
          <w:sz w:val="36"/>
          <w:szCs w:val="36"/>
        </w:rPr>
      </w:pPr>
    </w:p>
    <w:p>
      <w:pPr>
        <w:rPr>
          <w:rFonts w:ascii="仿宋" w:hAnsi="仿宋" w:eastAsia="仿宋" w:cs="仿宋"/>
          <w:color w:val="auto"/>
          <w:sz w:val="36"/>
          <w:szCs w:val="36"/>
        </w:rPr>
      </w:pPr>
    </w:p>
    <w:p>
      <w:pPr>
        <w:rPr>
          <w:rFonts w:ascii="仿宋" w:hAnsi="仿宋" w:eastAsia="仿宋" w:cs="仿宋"/>
          <w:color w:val="auto"/>
          <w:sz w:val="36"/>
          <w:szCs w:val="36"/>
        </w:rPr>
      </w:pPr>
    </w:p>
    <w:tbl>
      <w:tblPr>
        <w:tblStyle w:val="26"/>
        <w:tblW w:w="7507" w:type="dxa"/>
        <w:jc w:val="center"/>
        <w:tblLayout w:type="fixed"/>
        <w:tblCellMar>
          <w:top w:w="0" w:type="dxa"/>
          <w:left w:w="108" w:type="dxa"/>
          <w:bottom w:w="0" w:type="dxa"/>
          <w:right w:w="108" w:type="dxa"/>
        </w:tblCellMar>
      </w:tblPr>
      <w:tblGrid>
        <w:gridCol w:w="2136"/>
        <w:gridCol w:w="5371"/>
      </w:tblGrid>
      <w:tr>
        <w:tblPrEx>
          <w:tblCellMar>
            <w:top w:w="0" w:type="dxa"/>
            <w:left w:w="108" w:type="dxa"/>
            <w:bottom w:w="0" w:type="dxa"/>
            <w:right w:w="108" w:type="dxa"/>
          </w:tblCellMar>
        </w:tblPrEx>
        <w:trPr>
          <w:trHeight w:val="453" w:hRule="exact"/>
          <w:jc w:val="center"/>
        </w:trPr>
        <w:tc>
          <w:tcPr>
            <w:tcW w:w="2136" w:type="dxa"/>
            <w:tcBorders>
              <w:top w:val="nil"/>
              <w:left w:val="nil"/>
              <w:bottom w:val="nil"/>
              <w:right w:val="nil"/>
            </w:tcBorders>
            <w:noWrap/>
            <w:vAlign w:val="center"/>
          </w:tcPr>
          <w:p>
            <w:pPr>
              <w:rPr>
                <w:rFonts w:ascii="仿宋" w:hAnsi="仿宋" w:eastAsia="仿宋" w:cs="仿宋"/>
                <w:color w:val="auto"/>
                <w:sz w:val="28"/>
              </w:rPr>
            </w:pPr>
            <w:r>
              <w:rPr>
                <w:rFonts w:hint="eastAsia" w:ascii="仿宋" w:hAnsi="仿宋" w:eastAsia="仿宋" w:cs="仿宋"/>
                <w:color w:val="auto"/>
                <w:sz w:val="28"/>
              </w:rPr>
              <w:t>项目编号：</w:t>
            </w:r>
          </w:p>
        </w:tc>
        <w:tc>
          <w:tcPr>
            <w:tcW w:w="5371" w:type="dxa"/>
            <w:tcBorders>
              <w:top w:val="nil"/>
              <w:left w:val="nil"/>
              <w:bottom w:val="nil"/>
              <w:right w:val="nil"/>
            </w:tcBorders>
            <w:noWrap/>
            <w:vAlign w:val="center"/>
          </w:tcPr>
          <w:p>
            <w:pPr>
              <w:rPr>
                <w:rFonts w:ascii="仿宋" w:hAnsi="仿宋" w:eastAsia="仿宋" w:cs="仿宋"/>
                <w:color w:val="auto"/>
                <w:sz w:val="28"/>
                <w:u w:val="single"/>
              </w:rPr>
            </w:pPr>
            <w:r>
              <w:rPr>
                <w:rFonts w:hint="eastAsia" w:ascii="仿宋" w:hAnsi="仿宋" w:eastAsia="仿宋" w:cs="仿宋"/>
                <w:b/>
                <w:bCs/>
                <w:color w:val="auto"/>
                <w:sz w:val="28"/>
                <w:u w:val="single"/>
              </w:rPr>
              <w:t>TX2023-0</w:t>
            </w:r>
            <w:r>
              <w:rPr>
                <w:rFonts w:ascii="仿宋" w:hAnsi="仿宋" w:eastAsia="仿宋" w:cs="仿宋"/>
                <w:b/>
                <w:bCs/>
                <w:color w:val="auto"/>
                <w:sz w:val="28"/>
                <w:u w:val="single"/>
              </w:rPr>
              <w:t>6</w:t>
            </w:r>
            <w:r>
              <w:rPr>
                <w:rFonts w:hint="eastAsia" w:ascii="仿宋" w:hAnsi="仿宋" w:eastAsia="仿宋" w:cs="仿宋"/>
                <w:b/>
                <w:bCs/>
                <w:color w:val="auto"/>
                <w:sz w:val="28"/>
                <w:u w:val="single"/>
              </w:rPr>
              <w:t>-</w:t>
            </w:r>
            <w:r>
              <w:rPr>
                <w:rFonts w:ascii="仿宋" w:hAnsi="仿宋" w:eastAsia="仿宋" w:cs="仿宋"/>
                <w:b/>
                <w:bCs/>
                <w:color w:val="auto"/>
                <w:sz w:val="28"/>
                <w:u w:val="single"/>
              </w:rPr>
              <w:t>27</w:t>
            </w:r>
          </w:p>
        </w:tc>
      </w:tr>
      <w:tr>
        <w:tblPrEx>
          <w:tblCellMar>
            <w:top w:w="0" w:type="dxa"/>
            <w:left w:w="108" w:type="dxa"/>
            <w:bottom w:w="0" w:type="dxa"/>
            <w:right w:w="108" w:type="dxa"/>
          </w:tblCellMar>
        </w:tblPrEx>
        <w:trPr>
          <w:trHeight w:val="453" w:hRule="exact"/>
          <w:jc w:val="center"/>
        </w:trPr>
        <w:tc>
          <w:tcPr>
            <w:tcW w:w="2136" w:type="dxa"/>
            <w:tcBorders>
              <w:top w:val="nil"/>
              <w:left w:val="nil"/>
              <w:bottom w:val="nil"/>
              <w:right w:val="nil"/>
            </w:tcBorders>
            <w:noWrap/>
            <w:vAlign w:val="center"/>
          </w:tcPr>
          <w:p>
            <w:pPr>
              <w:rPr>
                <w:rFonts w:ascii="仿宋" w:hAnsi="仿宋" w:eastAsia="仿宋" w:cs="仿宋"/>
                <w:color w:val="auto"/>
                <w:sz w:val="28"/>
              </w:rPr>
            </w:pPr>
            <w:r>
              <w:rPr>
                <w:rFonts w:hint="eastAsia" w:ascii="仿宋" w:hAnsi="仿宋" w:eastAsia="仿宋" w:cs="仿宋"/>
                <w:color w:val="auto"/>
                <w:sz w:val="28"/>
              </w:rPr>
              <w:t>采购单位：</w:t>
            </w:r>
          </w:p>
        </w:tc>
        <w:tc>
          <w:tcPr>
            <w:tcW w:w="5371" w:type="dxa"/>
            <w:tcBorders>
              <w:top w:val="nil"/>
              <w:left w:val="nil"/>
              <w:bottom w:val="nil"/>
              <w:right w:val="nil"/>
            </w:tcBorders>
            <w:noWrap/>
            <w:vAlign w:val="center"/>
          </w:tcPr>
          <w:p>
            <w:pPr>
              <w:rPr>
                <w:rFonts w:ascii="仿宋" w:hAnsi="仿宋" w:eastAsia="仿宋" w:cs="仿宋"/>
                <w:color w:val="auto"/>
                <w:sz w:val="28"/>
              </w:rPr>
            </w:pPr>
            <w:r>
              <w:rPr>
                <w:rFonts w:hint="eastAsia" w:ascii="仿宋" w:hAnsi="仿宋" w:eastAsia="仿宋" w:cs="仿宋"/>
                <w:b/>
                <w:bCs/>
                <w:color w:val="auto"/>
                <w:sz w:val="28"/>
              </w:rPr>
              <w:t>绍兴市越城区交通运输局</w:t>
            </w:r>
          </w:p>
        </w:tc>
      </w:tr>
      <w:tr>
        <w:tblPrEx>
          <w:tblCellMar>
            <w:top w:w="0" w:type="dxa"/>
            <w:left w:w="108" w:type="dxa"/>
            <w:bottom w:w="0" w:type="dxa"/>
            <w:right w:w="108" w:type="dxa"/>
          </w:tblCellMar>
        </w:tblPrEx>
        <w:trPr>
          <w:trHeight w:val="453" w:hRule="exact"/>
          <w:jc w:val="center"/>
        </w:trPr>
        <w:tc>
          <w:tcPr>
            <w:tcW w:w="2136" w:type="dxa"/>
            <w:tcBorders>
              <w:top w:val="nil"/>
              <w:left w:val="nil"/>
              <w:bottom w:val="nil"/>
              <w:right w:val="nil"/>
            </w:tcBorders>
            <w:noWrap/>
            <w:vAlign w:val="center"/>
          </w:tcPr>
          <w:p>
            <w:pPr>
              <w:rPr>
                <w:rFonts w:ascii="仿宋" w:hAnsi="仿宋" w:eastAsia="仿宋" w:cs="仿宋"/>
                <w:color w:val="auto"/>
                <w:sz w:val="28"/>
              </w:rPr>
            </w:pPr>
            <w:r>
              <w:rPr>
                <w:rFonts w:hint="eastAsia" w:ascii="仿宋" w:hAnsi="仿宋" w:eastAsia="仿宋" w:cs="仿宋"/>
                <w:color w:val="auto"/>
                <w:sz w:val="28"/>
              </w:rPr>
              <w:t>采购代理机构：</w:t>
            </w:r>
          </w:p>
        </w:tc>
        <w:tc>
          <w:tcPr>
            <w:tcW w:w="5371" w:type="dxa"/>
            <w:tcBorders>
              <w:top w:val="nil"/>
              <w:left w:val="nil"/>
              <w:bottom w:val="nil"/>
              <w:right w:val="nil"/>
            </w:tcBorders>
            <w:noWrap/>
            <w:vAlign w:val="center"/>
          </w:tcPr>
          <w:p>
            <w:pPr>
              <w:rPr>
                <w:rFonts w:ascii="仿宋" w:hAnsi="仿宋" w:eastAsia="仿宋" w:cs="仿宋"/>
                <w:color w:val="auto"/>
                <w:sz w:val="28"/>
              </w:rPr>
            </w:pPr>
            <w:r>
              <w:rPr>
                <w:rFonts w:hint="eastAsia" w:ascii="仿宋" w:hAnsi="仿宋" w:eastAsia="仿宋" w:cs="仿宋"/>
                <w:b/>
                <w:bCs/>
                <w:color w:val="auto"/>
                <w:sz w:val="28"/>
              </w:rPr>
              <w:t>浙江同欣工程管理有限公司</w:t>
            </w:r>
          </w:p>
        </w:tc>
      </w:tr>
      <w:tr>
        <w:tblPrEx>
          <w:tblCellMar>
            <w:top w:w="0" w:type="dxa"/>
            <w:left w:w="108" w:type="dxa"/>
            <w:bottom w:w="0" w:type="dxa"/>
            <w:right w:w="108" w:type="dxa"/>
          </w:tblCellMar>
        </w:tblPrEx>
        <w:trPr>
          <w:trHeight w:val="536" w:hRule="exact"/>
          <w:jc w:val="center"/>
        </w:trPr>
        <w:tc>
          <w:tcPr>
            <w:tcW w:w="2136" w:type="dxa"/>
            <w:tcBorders>
              <w:top w:val="nil"/>
              <w:left w:val="nil"/>
              <w:bottom w:val="nil"/>
              <w:right w:val="nil"/>
            </w:tcBorders>
            <w:noWrap/>
            <w:vAlign w:val="center"/>
          </w:tcPr>
          <w:p>
            <w:pPr>
              <w:rPr>
                <w:rFonts w:ascii="仿宋" w:hAnsi="仿宋" w:eastAsia="仿宋" w:cs="仿宋"/>
                <w:color w:val="auto"/>
                <w:sz w:val="28"/>
              </w:rPr>
            </w:pPr>
            <w:r>
              <w:rPr>
                <w:rFonts w:hint="eastAsia" w:ascii="仿宋" w:hAnsi="仿宋" w:eastAsia="仿宋" w:cs="仿宋"/>
                <w:color w:val="auto"/>
                <w:sz w:val="28"/>
              </w:rPr>
              <w:t>监督单位：</w:t>
            </w:r>
          </w:p>
        </w:tc>
        <w:tc>
          <w:tcPr>
            <w:tcW w:w="5371" w:type="dxa"/>
            <w:tcBorders>
              <w:top w:val="nil"/>
              <w:left w:val="nil"/>
              <w:bottom w:val="nil"/>
              <w:right w:val="nil"/>
            </w:tcBorders>
            <w:noWrap/>
          </w:tcPr>
          <w:p>
            <w:pPr>
              <w:jc w:val="left"/>
              <w:rPr>
                <w:rFonts w:ascii="仿宋" w:hAnsi="仿宋" w:eastAsia="仿宋" w:cs="仿宋"/>
                <w:b/>
                <w:bCs/>
                <w:color w:val="auto"/>
                <w:sz w:val="28"/>
              </w:rPr>
            </w:pPr>
            <w:r>
              <w:rPr>
                <w:rFonts w:hint="eastAsia" w:ascii="仿宋" w:hAnsi="仿宋" w:eastAsia="仿宋" w:cs="仿宋"/>
                <w:b/>
                <w:bCs/>
                <w:color w:val="auto"/>
                <w:sz w:val="28"/>
              </w:rPr>
              <w:t>绍兴市越城区财政局</w:t>
            </w:r>
          </w:p>
        </w:tc>
      </w:tr>
    </w:tbl>
    <w:p>
      <w:pPr>
        <w:jc w:val="center"/>
        <w:rPr>
          <w:rFonts w:ascii="仿宋" w:hAnsi="仿宋" w:eastAsia="仿宋" w:cs="仿宋"/>
          <w:color w:val="auto"/>
          <w:sz w:val="28"/>
        </w:rPr>
      </w:pPr>
    </w:p>
    <w:p>
      <w:pPr>
        <w:jc w:val="center"/>
        <w:rPr>
          <w:rFonts w:ascii="仿宋" w:hAnsi="仿宋" w:eastAsia="仿宋" w:cs="仿宋"/>
          <w:color w:val="auto"/>
          <w:sz w:val="28"/>
        </w:rPr>
      </w:pPr>
      <w:r>
        <w:rPr>
          <w:rFonts w:hint="eastAsia" w:ascii="仿宋" w:hAnsi="仿宋" w:eastAsia="仿宋" w:cs="仿宋"/>
          <w:color w:val="auto"/>
          <w:sz w:val="28"/>
        </w:rPr>
        <w:t>二零二三年六月</w:t>
      </w:r>
    </w:p>
    <w:p>
      <w:pPr>
        <w:rPr>
          <w:rFonts w:ascii="仿宋" w:hAnsi="仿宋" w:eastAsia="仿宋" w:cs="仿宋"/>
          <w:color w:val="auto"/>
          <w:sz w:val="28"/>
        </w:rPr>
      </w:pPr>
    </w:p>
    <w:p>
      <w:pPr>
        <w:jc w:val="center"/>
        <w:rPr>
          <w:rFonts w:ascii="仿宋" w:hAnsi="仿宋" w:eastAsia="仿宋" w:cs="仿宋"/>
          <w:b/>
          <w:color w:val="auto"/>
          <w:sz w:val="44"/>
          <w:szCs w:val="44"/>
        </w:rPr>
        <w:sectPr>
          <w:footerReference r:id="rId3" w:type="even"/>
          <w:pgSz w:w="11907" w:h="16840"/>
          <w:pgMar w:top="1440" w:right="1463" w:bottom="1440" w:left="1803" w:header="851" w:footer="992" w:gutter="0"/>
          <w:cols w:space="720" w:num="1"/>
          <w:docGrid w:type="lines" w:linePitch="312" w:charSpace="0"/>
        </w:sectPr>
      </w:pPr>
    </w:p>
    <w:p>
      <w:pPr>
        <w:jc w:val="center"/>
        <w:rPr>
          <w:rFonts w:ascii="仿宋" w:hAnsi="仿宋" w:eastAsia="仿宋" w:cs="仿宋"/>
          <w:color w:val="auto"/>
          <w:sz w:val="28"/>
        </w:rPr>
      </w:pPr>
      <w:r>
        <w:rPr>
          <w:rFonts w:hint="eastAsia" w:ascii="仿宋" w:hAnsi="仿宋" w:eastAsia="仿宋" w:cs="仿宋"/>
          <w:b/>
          <w:color w:val="auto"/>
          <w:sz w:val="44"/>
          <w:szCs w:val="44"/>
        </w:rPr>
        <w:t>目录</w:t>
      </w:r>
    </w:p>
    <w:p>
      <w:pPr>
        <w:jc w:val="center"/>
        <w:rPr>
          <w:rFonts w:ascii="仿宋" w:hAnsi="仿宋" w:eastAsia="仿宋" w:cs="仿宋"/>
          <w:b/>
          <w:color w:val="auto"/>
          <w:sz w:val="44"/>
          <w:szCs w:val="44"/>
        </w:rPr>
      </w:pPr>
    </w:p>
    <w:p>
      <w:pPr>
        <w:pStyle w:val="21"/>
        <w:tabs>
          <w:tab w:val="right" w:leader="dot" w:pos="8641"/>
        </w:tabs>
        <w:rPr>
          <w:rFonts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TOC \o "1-2" \h \u </w:instrText>
      </w:r>
      <w:r>
        <w:rPr>
          <w:rFonts w:hint="eastAsia" w:ascii="仿宋" w:hAnsi="仿宋" w:eastAsia="仿宋" w:cs="仿宋"/>
          <w:color w:val="auto"/>
          <w:sz w:val="28"/>
          <w:szCs w:val="28"/>
        </w:rPr>
        <w:fldChar w:fldCharType="separate"/>
      </w:r>
      <w:r>
        <w:rPr>
          <w:color w:val="auto"/>
        </w:rPr>
        <w:fldChar w:fldCharType="begin"/>
      </w:r>
      <w:r>
        <w:rPr>
          <w:color w:val="auto"/>
        </w:rPr>
        <w:instrText xml:space="preserve"> HYPERLINK \l "_Toc27216" </w:instrText>
      </w:r>
      <w:r>
        <w:rPr>
          <w:color w:val="auto"/>
        </w:rPr>
        <w:fldChar w:fldCharType="separate"/>
      </w:r>
      <w:r>
        <w:rPr>
          <w:rFonts w:hint="eastAsia" w:ascii="仿宋" w:hAnsi="仿宋" w:eastAsia="仿宋" w:cs="仿宋"/>
          <w:color w:val="auto"/>
          <w:sz w:val="28"/>
          <w:szCs w:val="28"/>
        </w:rPr>
        <w:t>第一章  采购公告</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_Toc27216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2</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1"/>
        <w:tabs>
          <w:tab w:val="right" w:leader="dot" w:pos="8641"/>
        </w:tabs>
        <w:rPr>
          <w:rFonts w:ascii="仿宋" w:hAnsi="仿宋" w:eastAsia="仿宋" w:cs="仿宋"/>
          <w:color w:val="auto"/>
          <w:sz w:val="28"/>
          <w:szCs w:val="28"/>
        </w:rPr>
      </w:pPr>
      <w:r>
        <w:rPr>
          <w:color w:val="auto"/>
        </w:rPr>
        <w:fldChar w:fldCharType="begin"/>
      </w:r>
      <w:r>
        <w:rPr>
          <w:color w:val="auto"/>
        </w:rPr>
        <w:instrText xml:space="preserve"> HYPERLINK \l "_Toc1678" </w:instrText>
      </w:r>
      <w:r>
        <w:rPr>
          <w:color w:val="auto"/>
        </w:rPr>
        <w:fldChar w:fldCharType="separate"/>
      </w:r>
      <w:r>
        <w:rPr>
          <w:rFonts w:hint="eastAsia" w:ascii="仿宋" w:hAnsi="仿宋" w:eastAsia="仿宋" w:cs="仿宋"/>
          <w:color w:val="auto"/>
          <w:sz w:val="28"/>
          <w:szCs w:val="28"/>
        </w:rPr>
        <w:t>第二章  投标人须知</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_Toc1678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7</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3"/>
        <w:tabs>
          <w:tab w:val="right" w:leader="dot" w:pos="8641"/>
        </w:tabs>
        <w:rPr>
          <w:rFonts w:ascii="仿宋" w:hAnsi="仿宋" w:eastAsia="仿宋" w:cs="仿宋"/>
          <w:color w:val="auto"/>
          <w:sz w:val="28"/>
          <w:szCs w:val="28"/>
        </w:rPr>
      </w:pPr>
      <w:r>
        <w:rPr>
          <w:color w:val="auto"/>
        </w:rPr>
        <w:fldChar w:fldCharType="begin"/>
      </w:r>
      <w:r>
        <w:rPr>
          <w:color w:val="auto"/>
        </w:rPr>
        <w:instrText xml:space="preserve"> HYPERLINK \l "_Toc4885" </w:instrText>
      </w:r>
      <w:r>
        <w:rPr>
          <w:color w:val="auto"/>
        </w:rPr>
        <w:fldChar w:fldCharType="separate"/>
      </w:r>
      <w:r>
        <w:rPr>
          <w:rFonts w:hint="eastAsia" w:ascii="仿宋" w:hAnsi="仿宋" w:eastAsia="仿宋" w:cs="仿宋"/>
          <w:color w:val="auto"/>
          <w:sz w:val="28"/>
          <w:szCs w:val="28"/>
        </w:rPr>
        <w:t>一、前附表</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_Toc4885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7</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3"/>
        <w:tabs>
          <w:tab w:val="right" w:leader="dot" w:pos="8641"/>
        </w:tabs>
        <w:rPr>
          <w:rFonts w:ascii="仿宋" w:hAnsi="仿宋" w:eastAsia="仿宋" w:cs="仿宋"/>
          <w:color w:val="auto"/>
          <w:sz w:val="28"/>
          <w:szCs w:val="28"/>
        </w:rPr>
      </w:pPr>
      <w:r>
        <w:rPr>
          <w:color w:val="auto"/>
        </w:rPr>
        <w:fldChar w:fldCharType="begin"/>
      </w:r>
      <w:r>
        <w:rPr>
          <w:color w:val="auto"/>
        </w:rPr>
        <w:instrText xml:space="preserve"> HYPERLINK \l "_Toc4902" </w:instrText>
      </w:r>
      <w:r>
        <w:rPr>
          <w:color w:val="auto"/>
        </w:rPr>
        <w:fldChar w:fldCharType="separate"/>
      </w:r>
      <w:r>
        <w:rPr>
          <w:rFonts w:hint="eastAsia" w:ascii="仿宋" w:hAnsi="仿宋" w:eastAsia="仿宋" w:cs="仿宋"/>
          <w:color w:val="auto"/>
          <w:sz w:val="28"/>
          <w:szCs w:val="28"/>
        </w:rPr>
        <w:t>二、采购文件</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_Toc4902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8</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3"/>
        <w:tabs>
          <w:tab w:val="right" w:leader="dot" w:pos="8641"/>
        </w:tabs>
        <w:rPr>
          <w:rFonts w:ascii="仿宋" w:hAnsi="仿宋" w:eastAsia="仿宋" w:cs="仿宋"/>
          <w:color w:val="auto"/>
          <w:sz w:val="28"/>
          <w:szCs w:val="28"/>
        </w:rPr>
      </w:pPr>
      <w:r>
        <w:rPr>
          <w:color w:val="auto"/>
        </w:rPr>
        <w:fldChar w:fldCharType="begin"/>
      </w:r>
      <w:r>
        <w:rPr>
          <w:color w:val="auto"/>
        </w:rPr>
        <w:instrText xml:space="preserve"> HYPERLINK \l "_Toc1461" </w:instrText>
      </w:r>
      <w:r>
        <w:rPr>
          <w:color w:val="auto"/>
        </w:rPr>
        <w:fldChar w:fldCharType="separate"/>
      </w:r>
      <w:r>
        <w:rPr>
          <w:rFonts w:hint="eastAsia" w:ascii="仿宋" w:hAnsi="仿宋" w:eastAsia="仿宋" w:cs="仿宋"/>
          <w:color w:val="auto"/>
          <w:sz w:val="28"/>
          <w:szCs w:val="28"/>
        </w:rPr>
        <w:t>三、投标文件</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_Toc1461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10</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3"/>
        <w:tabs>
          <w:tab w:val="right" w:leader="dot" w:pos="8641"/>
        </w:tabs>
        <w:rPr>
          <w:rFonts w:ascii="仿宋" w:hAnsi="仿宋" w:eastAsia="仿宋" w:cs="仿宋"/>
          <w:color w:val="auto"/>
          <w:sz w:val="28"/>
          <w:szCs w:val="28"/>
        </w:rPr>
      </w:pPr>
      <w:r>
        <w:rPr>
          <w:color w:val="auto"/>
        </w:rPr>
        <w:fldChar w:fldCharType="begin"/>
      </w:r>
      <w:r>
        <w:rPr>
          <w:color w:val="auto"/>
        </w:rPr>
        <w:instrText xml:space="preserve"> HYPERLINK \l "_Toc27317" </w:instrText>
      </w:r>
      <w:r>
        <w:rPr>
          <w:color w:val="auto"/>
        </w:rPr>
        <w:fldChar w:fldCharType="separate"/>
      </w:r>
      <w:r>
        <w:rPr>
          <w:rFonts w:hint="eastAsia" w:ascii="仿宋" w:hAnsi="仿宋" w:eastAsia="仿宋" w:cs="仿宋"/>
          <w:color w:val="auto"/>
          <w:sz w:val="28"/>
          <w:szCs w:val="28"/>
        </w:rPr>
        <w:t>四、开标评标</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_Toc27317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13</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3"/>
        <w:tabs>
          <w:tab w:val="right" w:leader="dot" w:pos="8641"/>
        </w:tabs>
        <w:rPr>
          <w:rFonts w:ascii="仿宋" w:hAnsi="仿宋" w:eastAsia="仿宋" w:cs="仿宋"/>
          <w:color w:val="auto"/>
          <w:sz w:val="28"/>
          <w:szCs w:val="28"/>
        </w:rPr>
      </w:pPr>
      <w:r>
        <w:rPr>
          <w:color w:val="auto"/>
        </w:rPr>
        <w:fldChar w:fldCharType="begin"/>
      </w:r>
      <w:r>
        <w:rPr>
          <w:color w:val="auto"/>
        </w:rPr>
        <w:instrText xml:space="preserve"> HYPERLINK \l "_Toc1753" </w:instrText>
      </w:r>
      <w:r>
        <w:rPr>
          <w:color w:val="auto"/>
        </w:rPr>
        <w:fldChar w:fldCharType="separate"/>
      </w:r>
      <w:r>
        <w:rPr>
          <w:rFonts w:hint="eastAsia" w:ascii="仿宋" w:hAnsi="仿宋" w:eastAsia="仿宋" w:cs="仿宋"/>
          <w:color w:val="auto"/>
          <w:sz w:val="28"/>
          <w:szCs w:val="28"/>
        </w:rPr>
        <w:t>五、合同签订及履约</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_Toc1753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18</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1"/>
        <w:tabs>
          <w:tab w:val="right" w:leader="dot" w:pos="8641"/>
        </w:tabs>
        <w:rPr>
          <w:rFonts w:ascii="仿宋" w:hAnsi="仿宋" w:eastAsia="仿宋" w:cs="仿宋"/>
          <w:color w:val="auto"/>
          <w:sz w:val="28"/>
          <w:szCs w:val="28"/>
        </w:rPr>
      </w:pPr>
      <w:r>
        <w:rPr>
          <w:color w:val="auto"/>
        </w:rPr>
        <w:fldChar w:fldCharType="begin"/>
      </w:r>
      <w:r>
        <w:rPr>
          <w:color w:val="auto"/>
        </w:rPr>
        <w:instrText xml:space="preserve"> HYPERLINK \l "_Toc3442" </w:instrText>
      </w:r>
      <w:r>
        <w:rPr>
          <w:color w:val="auto"/>
        </w:rPr>
        <w:fldChar w:fldCharType="separate"/>
      </w:r>
      <w:r>
        <w:rPr>
          <w:rFonts w:hint="eastAsia" w:ascii="仿宋" w:hAnsi="仿宋" w:eastAsia="仿宋" w:cs="仿宋"/>
          <w:color w:val="auto"/>
          <w:sz w:val="28"/>
          <w:szCs w:val="28"/>
        </w:rPr>
        <w:t>第三章  采购需求</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_Toc3442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19</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3"/>
        <w:tabs>
          <w:tab w:val="right" w:leader="dot" w:pos="8641"/>
        </w:tabs>
        <w:rPr>
          <w:rFonts w:ascii="仿宋" w:hAnsi="仿宋" w:eastAsia="仿宋" w:cs="仿宋"/>
          <w:color w:val="auto"/>
          <w:sz w:val="28"/>
          <w:szCs w:val="28"/>
        </w:rPr>
      </w:pPr>
      <w:r>
        <w:rPr>
          <w:color w:val="auto"/>
        </w:rPr>
        <w:fldChar w:fldCharType="begin"/>
      </w:r>
      <w:r>
        <w:rPr>
          <w:color w:val="auto"/>
        </w:rPr>
        <w:instrText xml:space="preserve"> HYPERLINK \l "_Toc29517" </w:instrText>
      </w:r>
      <w:r>
        <w:rPr>
          <w:color w:val="auto"/>
        </w:rPr>
        <w:fldChar w:fldCharType="separate"/>
      </w:r>
      <w:r>
        <w:rPr>
          <w:rFonts w:hint="eastAsia" w:ascii="仿宋" w:hAnsi="仿宋" w:eastAsia="仿宋" w:cs="仿宋"/>
          <w:color w:val="auto"/>
          <w:sz w:val="28"/>
          <w:szCs w:val="28"/>
        </w:rPr>
        <w:t>一、服务清单及要求</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_Toc29517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19</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3"/>
        <w:tabs>
          <w:tab w:val="right" w:leader="dot" w:pos="8641"/>
        </w:tabs>
        <w:rPr>
          <w:rFonts w:ascii="仿宋" w:hAnsi="仿宋" w:eastAsia="仿宋" w:cs="仿宋"/>
          <w:color w:val="auto"/>
          <w:sz w:val="28"/>
          <w:szCs w:val="28"/>
        </w:rPr>
      </w:pPr>
      <w:r>
        <w:rPr>
          <w:color w:val="auto"/>
        </w:rPr>
        <w:fldChar w:fldCharType="begin"/>
      </w:r>
      <w:r>
        <w:rPr>
          <w:color w:val="auto"/>
        </w:rPr>
        <w:instrText xml:space="preserve"> HYPERLINK \l "_Toc29878" </w:instrText>
      </w:r>
      <w:r>
        <w:rPr>
          <w:color w:val="auto"/>
        </w:rPr>
        <w:fldChar w:fldCharType="separate"/>
      </w:r>
      <w:r>
        <w:rPr>
          <w:rFonts w:hint="eastAsia" w:ascii="仿宋" w:hAnsi="仿宋" w:eastAsia="仿宋" w:cs="仿宋"/>
          <w:color w:val="auto"/>
          <w:sz w:val="28"/>
          <w:szCs w:val="28"/>
        </w:rPr>
        <w:t>二、商务要求</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_Toc29878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19</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1"/>
        <w:tabs>
          <w:tab w:val="right" w:leader="dot" w:pos="8641"/>
        </w:tabs>
        <w:rPr>
          <w:rFonts w:ascii="仿宋" w:hAnsi="仿宋" w:eastAsia="仿宋" w:cs="仿宋"/>
          <w:color w:val="auto"/>
          <w:sz w:val="28"/>
          <w:szCs w:val="28"/>
        </w:rPr>
      </w:pPr>
      <w:r>
        <w:rPr>
          <w:color w:val="auto"/>
        </w:rPr>
        <w:fldChar w:fldCharType="begin"/>
      </w:r>
      <w:r>
        <w:rPr>
          <w:color w:val="auto"/>
        </w:rPr>
        <w:instrText xml:space="preserve"> HYPERLINK \l "_Toc14268" </w:instrText>
      </w:r>
      <w:r>
        <w:rPr>
          <w:color w:val="auto"/>
        </w:rPr>
        <w:fldChar w:fldCharType="separate"/>
      </w:r>
      <w:r>
        <w:rPr>
          <w:rFonts w:hint="eastAsia" w:ascii="仿宋" w:hAnsi="仿宋" w:eastAsia="仿宋" w:cs="仿宋"/>
          <w:color w:val="auto"/>
          <w:sz w:val="28"/>
          <w:szCs w:val="28"/>
        </w:rPr>
        <w:t>第四章  拟签订合同的主要条款</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_Toc14268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26</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1"/>
        <w:tabs>
          <w:tab w:val="right" w:leader="dot" w:pos="8641"/>
        </w:tabs>
        <w:rPr>
          <w:rFonts w:ascii="仿宋" w:hAnsi="仿宋" w:eastAsia="仿宋" w:cs="仿宋"/>
          <w:color w:val="auto"/>
          <w:sz w:val="28"/>
          <w:szCs w:val="28"/>
        </w:rPr>
      </w:pPr>
      <w:r>
        <w:rPr>
          <w:color w:val="auto"/>
        </w:rPr>
        <w:fldChar w:fldCharType="begin"/>
      </w:r>
      <w:r>
        <w:rPr>
          <w:color w:val="auto"/>
        </w:rPr>
        <w:instrText xml:space="preserve"> HYPERLINK \l "_Toc14424" </w:instrText>
      </w:r>
      <w:r>
        <w:rPr>
          <w:color w:val="auto"/>
        </w:rPr>
        <w:fldChar w:fldCharType="separate"/>
      </w:r>
      <w:r>
        <w:rPr>
          <w:rFonts w:hint="eastAsia" w:ascii="仿宋" w:hAnsi="仿宋" w:eastAsia="仿宋" w:cs="仿宋"/>
          <w:color w:val="auto"/>
          <w:sz w:val="28"/>
          <w:szCs w:val="28"/>
        </w:rPr>
        <w:t>第五章  评标办法及标准</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_Toc14424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29</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1"/>
        <w:tabs>
          <w:tab w:val="right" w:leader="dot" w:pos="8641"/>
        </w:tabs>
        <w:rPr>
          <w:rFonts w:ascii="仿宋" w:hAnsi="仿宋" w:eastAsia="仿宋" w:cs="仿宋"/>
          <w:color w:val="auto"/>
          <w:sz w:val="28"/>
          <w:szCs w:val="28"/>
        </w:rPr>
      </w:pPr>
      <w:r>
        <w:rPr>
          <w:color w:val="auto"/>
        </w:rPr>
        <w:fldChar w:fldCharType="begin"/>
      </w:r>
      <w:r>
        <w:rPr>
          <w:color w:val="auto"/>
        </w:rPr>
        <w:instrText xml:space="preserve"> HYPERLINK \l "_Toc15148" </w:instrText>
      </w:r>
      <w:r>
        <w:rPr>
          <w:color w:val="auto"/>
        </w:rPr>
        <w:fldChar w:fldCharType="separate"/>
      </w:r>
      <w:r>
        <w:rPr>
          <w:rFonts w:hint="eastAsia" w:ascii="仿宋" w:hAnsi="仿宋" w:eastAsia="仿宋" w:cs="仿宋"/>
          <w:color w:val="auto"/>
          <w:sz w:val="28"/>
          <w:szCs w:val="28"/>
        </w:rPr>
        <w:t>第六章  投标文件格式附件</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_Toc15148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32</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1"/>
        <w:tabs>
          <w:tab w:val="right" w:leader="dot" w:pos="8641"/>
        </w:tabs>
        <w:rPr>
          <w:rFonts w:ascii="仿宋" w:hAnsi="仿宋" w:eastAsia="仿宋" w:cs="仿宋"/>
          <w:color w:val="auto"/>
          <w:sz w:val="28"/>
          <w:szCs w:val="28"/>
        </w:rPr>
      </w:pPr>
      <w:r>
        <w:rPr>
          <w:color w:val="auto"/>
        </w:rPr>
        <w:fldChar w:fldCharType="begin"/>
      </w:r>
      <w:r>
        <w:rPr>
          <w:color w:val="auto"/>
        </w:rPr>
        <w:instrText xml:space="preserve"> HYPERLINK \l "_Toc16291" </w:instrText>
      </w:r>
      <w:r>
        <w:rPr>
          <w:color w:val="auto"/>
        </w:rPr>
        <w:fldChar w:fldCharType="separate"/>
      </w:r>
      <w:r>
        <w:rPr>
          <w:rFonts w:hint="eastAsia" w:ascii="仿宋" w:hAnsi="仿宋" w:eastAsia="仿宋" w:cs="仿宋"/>
          <w:color w:val="auto"/>
          <w:sz w:val="28"/>
          <w:szCs w:val="28"/>
        </w:rPr>
        <w:t>第七章  询问、质疑及投诉</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_Toc16291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52</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3"/>
        <w:tabs>
          <w:tab w:val="right" w:leader="dot" w:pos="8641"/>
        </w:tabs>
        <w:rPr>
          <w:rFonts w:ascii="仿宋" w:hAnsi="仿宋" w:eastAsia="仿宋" w:cs="仿宋"/>
          <w:color w:val="auto"/>
          <w:sz w:val="28"/>
          <w:szCs w:val="28"/>
        </w:rPr>
      </w:pPr>
      <w:r>
        <w:rPr>
          <w:color w:val="auto"/>
        </w:rPr>
        <w:fldChar w:fldCharType="begin"/>
      </w:r>
      <w:r>
        <w:rPr>
          <w:color w:val="auto"/>
        </w:rPr>
        <w:instrText xml:space="preserve"> HYPERLINK \l "_Toc31383" </w:instrText>
      </w:r>
      <w:r>
        <w:rPr>
          <w:color w:val="auto"/>
        </w:rPr>
        <w:fldChar w:fldCharType="separate"/>
      </w:r>
      <w:r>
        <w:rPr>
          <w:rFonts w:hint="eastAsia" w:ascii="仿宋" w:hAnsi="仿宋" w:eastAsia="仿宋" w:cs="仿宋"/>
          <w:color w:val="auto"/>
          <w:sz w:val="28"/>
          <w:szCs w:val="28"/>
        </w:rPr>
        <w:t>一、供应商询问</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_Toc31383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52</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3"/>
        <w:tabs>
          <w:tab w:val="right" w:leader="dot" w:pos="8641"/>
        </w:tabs>
        <w:rPr>
          <w:rFonts w:ascii="仿宋" w:hAnsi="仿宋" w:eastAsia="仿宋" w:cs="仿宋"/>
          <w:color w:val="auto"/>
          <w:sz w:val="28"/>
          <w:szCs w:val="28"/>
        </w:rPr>
      </w:pPr>
      <w:r>
        <w:rPr>
          <w:color w:val="auto"/>
        </w:rPr>
        <w:fldChar w:fldCharType="begin"/>
      </w:r>
      <w:r>
        <w:rPr>
          <w:color w:val="auto"/>
        </w:rPr>
        <w:instrText xml:space="preserve"> HYPERLINK \l "_Toc25373" </w:instrText>
      </w:r>
      <w:r>
        <w:rPr>
          <w:color w:val="auto"/>
        </w:rPr>
        <w:fldChar w:fldCharType="separate"/>
      </w:r>
      <w:r>
        <w:rPr>
          <w:rFonts w:hint="eastAsia" w:ascii="仿宋" w:hAnsi="仿宋" w:eastAsia="仿宋" w:cs="仿宋"/>
          <w:color w:val="auto"/>
          <w:sz w:val="28"/>
          <w:szCs w:val="28"/>
        </w:rPr>
        <w:t>二、供应商质疑</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_Toc25373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52</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3"/>
        <w:tabs>
          <w:tab w:val="right" w:leader="dot" w:pos="8641"/>
        </w:tabs>
        <w:rPr>
          <w:rFonts w:ascii="仿宋" w:hAnsi="仿宋" w:eastAsia="仿宋" w:cs="仿宋"/>
          <w:color w:val="auto"/>
          <w:sz w:val="28"/>
          <w:szCs w:val="28"/>
        </w:rPr>
      </w:pPr>
      <w:r>
        <w:rPr>
          <w:color w:val="auto"/>
        </w:rPr>
        <w:fldChar w:fldCharType="begin"/>
      </w:r>
      <w:r>
        <w:rPr>
          <w:color w:val="auto"/>
        </w:rPr>
        <w:instrText xml:space="preserve"> HYPERLINK \l "_Toc17941" </w:instrText>
      </w:r>
      <w:r>
        <w:rPr>
          <w:color w:val="auto"/>
        </w:rPr>
        <w:fldChar w:fldCharType="separate"/>
      </w:r>
      <w:r>
        <w:rPr>
          <w:rFonts w:hint="eastAsia" w:ascii="仿宋" w:hAnsi="仿宋" w:eastAsia="仿宋" w:cs="仿宋"/>
          <w:color w:val="auto"/>
          <w:sz w:val="28"/>
          <w:szCs w:val="28"/>
        </w:rPr>
        <w:t>三、供应商投诉</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_Toc17941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53</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3"/>
        <w:tabs>
          <w:tab w:val="right" w:leader="dot" w:pos="8641"/>
        </w:tabs>
        <w:rPr>
          <w:rFonts w:ascii="仿宋" w:hAnsi="仿宋" w:eastAsia="仿宋" w:cs="仿宋"/>
          <w:color w:val="auto"/>
          <w:sz w:val="28"/>
          <w:szCs w:val="28"/>
        </w:rPr>
      </w:pPr>
      <w:r>
        <w:rPr>
          <w:rFonts w:hint="eastAsia" w:ascii="仿宋" w:hAnsi="仿宋" w:eastAsia="仿宋" w:cs="仿宋"/>
          <w:color w:val="auto"/>
          <w:sz w:val="28"/>
          <w:szCs w:val="28"/>
        </w:rPr>
        <w:fldChar w:fldCharType="end"/>
      </w:r>
    </w:p>
    <w:p>
      <w:pPr>
        <w:rPr>
          <w:rFonts w:ascii="仿宋" w:hAnsi="仿宋" w:eastAsia="仿宋" w:cs="仿宋"/>
          <w:color w:val="auto"/>
          <w:sz w:val="28"/>
          <w:szCs w:val="28"/>
        </w:rPr>
      </w:pPr>
    </w:p>
    <w:p>
      <w:pPr>
        <w:pStyle w:val="4"/>
        <w:rPr>
          <w:rFonts w:ascii="仿宋" w:hAnsi="仿宋" w:cs="仿宋"/>
          <w:color w:val="auto"/>
          <w:sz w:val="28"/>
          <w:szCs w:val="28"/>
        </w:rPr>
        <w:sectPr>
          <w:footerReference r:id="rId4" w:type="default"/>
          <w:pgSz w:w="11907" w:h="16840"/>
          <w:pgMar w:top="1440" w:right="1463" w:bottom="1440" w:left="1803" w:header="851" w:footer="992" w:gutter="0"/>
          <w:pgNumType w:start="1"/>
          <w:cols w:space="720" w:num="1"/>
          <w:docGrid w:type="lines" w:linePitch="312" w:charSpace="0"/>
        </w:sectPr>
      </w:pPr>
    </w:p>
    <w:p>
      <w:pPr>
        <w:pStyle w:val="4"/>
        <w:rPr>
          <w:rFonts w:ascii="仿宋" w:hAnsi="仿宋" w:cs="仿宋"/>
          <w:color w:val="auto"/>
        </w:rPr>
      </w:pPr>
      <w:bookmarkStart w:id="0" w:name="_Toc27216"/>
      <w:r>
        <w:rPr>
          <w:rFonts w:hint="eastAsia" w:ascii="仿宋" w:hAnsi="仿宋" w:cs="仿宋"/>
          <w:color w:val="auto"/>
        </w:rPr>
        <w:t>第一章  采购公告</w:t>
      </w:r>
      <w:bookmarkEnd w:id="0"/>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u w:val="single"/>
        </w:rPr>
        <w:t xml:space="preserve"> 越城区交通运输局监控中心项目</w:t>
      </w:r>
      <w:r>
        <w:rPr>
          <w:rFonts w:hint="eastAsia" w:ascii="仿宋" w:hAnsi="仿宋" w:eastAsia="仿宋" w:cs="仿宋"/>
          <w:color w:val="auto"/>
          <w:sz w:val="24"/>
          <w:szCs w:val="24"/>
        </w:rPr>
        <w:t xml:space="preserve"> 招标项目的潜在投标人应在</w:t>
      </w:r>
      <w:r>
        <w:rPr>
          <w:rFonts w:hint="eastAsia" w:ascii="仿宋" w:hAnsi="仿宋" w:eastAsia="仿宋" w:cs="仿宋"/>
          <w:bCs/>
          <w:color w:val="auto"/>
          <w:sz w:val="24"/>
          <w:szCs w:val="24"/>
        </w:rPr>
        <w:t>政采云平台</w:t>
      </w:r>
      <w:r>
        <w:rPr>
          <w:color w:val="auto"/>
        </w:rPr>
        <w:fldChar w:fldCharType="begin"/>
      </w:r>
      <w:r>
        <w:rPr>
          <w:color w:val="auto"/>
        </w:rPr>
        <w:instrText xml:space="preserve"> HYPERLINK "http://zcy.gov.cn/" </w:instrText>
      </w:r>
      <w:r>
        <w:rPr>
          <w:color w:val="auto"/>
        </w:rPr>
        <w:fldChar w:fldCharType="separate"/>
      </w:r>
      <w:r>
        <w:rPr>
          <w:rFonts w:hint="eastAsia" w:ascii="仿宋" w:hAnsi="仿宋" w:eastAsia="仿宋" w:cs="仿宋"/>
          <w:bCs/>
          <w:color w:val="auto"/>
          <w:sz w:val="24"/>
          <w:szCs w:val="24"/>
          <w:u w:val="single"/>
        </w:rPr>
        <w:t>http://www.zcygov.cn/</w:t>
      </w:r>
      <w:r>
        <w:rPr>
          <w:rFonts w:hint="eastAsia" w:ascii="仿宋" w:hAnsi="仿宋" w:eastAsia="仿宋" w:cs="仿宋"/>
          <w:bCs/>
          <w:color w:val="auto"/>
          <w:sz w:val="24"/>
          <w:szCs w:val="24"/>
          <w:u w:val="single"/>
        </w:rPr>
        <w:fldChar w:fldCharType="end"/>
      </w:r>
      <w:r>
        <w:rPr>
          <w:rFonts w:hint="eastAsia" w:ascii="仿宋" w:hAnsi="仿宋" w:eastAsia="仿宋" w:cs="仿宋"/>
          <w:color w:val="auto"/>
          <w:sz w:val="24"/>
          <w:szCs w:val="24"/>
        </w:rPr>
        <w:t>获取（下载）招标文件，并于</w:t>
      </w:r>
      <w:r>
        <w:rPr>
          <w:rFonts w:hint="eastAsia" w:ascii="仿宋" w:hAnsi="仿宋" w:eastAsia="仿宋" w:cs="仿宋"/>
          <w:color w:val="auto"/>
          <w:sz w:val="24"/>
          <w:szCs w:val="24"/>
          <w:u w:val="single"/>
        </w:rPr>
        <w:t xml:space="preserve"> 2023</w:t>
      </w:r>
      <w:r>
        <w:rPr>
          <w:rFonts w:hint="eastAsia" w:ascii="仿宋" w:hAnsi="仿宋" w:eastAsia="仿宋" w:cs="仿宋"/>
          <w:bCs/>
          <w:color w:val="auto"/>
          <w:sz w:val="24"/>
          <w:szCs w:val="24"/>
          <w:u w:val="single"/>
        </w:rPr>
        <w:t>年</w:t>
      </w:r>
      <w:r>
        <w:rPr>
          <w:rFonts w:hint="eastAsia" w:ascii="仿宋" w:hAnsi="仿宋" w:eastAsia="仿宋" w:cs="仿宋"/>
          <w:bCs/>
          <w:color w:val="auto"/>
          <w:sz w:val="24"/>
          <w:szCs w:val="24"/>
          <w:u w:val="single"/>
          <w:lang w:val="en-US" w:eastAsia="zh-CN"/>
        </w:rPr>
        <w:t>7</w:t>
      </w:r>
      <w:r>
        <w:rPr>
          <w:rFonts w:hint="eastAsia" w:ascii="仿宋" w:hAnsi="仿宋" w:eastAsia="仿宋" w:cs="仿宋"/>
          <w:bCs/>
          <w:color w:val="auto"/>
          <w:sz w:val="24"/>
          <w:szCs w:val="24"/>
          <w:u w:val="single"/>
        </w:rPr>
        <w:t xml:space="preserve"> 月</w:t>
      </w:r>
      <w:r>
        <w:rPr>
          <w:rFonts w:hint="eastAsia" w:ascii="仿宋" w:hAnsi="仿宋" w:eastAsia="仿宋" w:cs="仿宋"/>
          <w:bCs/>
          <w:color w:val="auto"/>
          <w:sz w:val="24"/>
          <w:szCs w:val="24"/>
          <w:u w:val="single"/>
          <w:lang w:val="en-US" w:eastAsia="zh-CN"/>
        </w:rPr>
        <w:t>20</w:t>
      </w:r>
      <w:r>
        <w:rPr>
          <w:rFonts w:hint="eastAsia" w:ascii="仿宋" w:hAnsi="仿宋" w:eastAsia="仿宋" w:cs="仿宋"/>
          <w:bCs/>
          <w:color w:val="auto"/>
          <w:sz w:val="24"/>
          <w:szCs w:val="24"/>
          <w:u w:val="single"/>
        </w:rPr>
        <w:t xml:space="preserve">日 9 ：00 </w:t>
      </w:r>
      <w:r>
        <w:rPr>
          <w:rFonts w:hint="eastAsia" w:ascii="仿宋" w:hAnsi="仿宋" w:eastAsia="仿宋" w:cs="仿宋"/>
          <w:bCs/>
          <w:color w:val="auto"/>
          <w:sz w:val="24"/>
          <w:szCs w:val="24"/>
          <w:u w:val="single"/>
        </w:rPr>
        <w:t>（</w:t>
      </w:r>
      <w:r>
        <w:rPr>
          <w:rFonts w:hint="eastAsia" w:ascii="仿宋" w:hAnsi="仿宋" w:eastAsia="仿宋" w:cs="仿宋"/>
          <w:bCs/>
          <w:color w:val="auto"/>
          <w:sz w:val="24"/>
          <w:szCs w:val="24"/>
        </w:rPr>
        <w:t>北京时间）前递交（上传）投标文件</w:t>
      </w:r>
      <w:r>
        <w:rPr>
          <w:rFonts w:hint="eastAsia" w:ascii="仿宋" w:hAnsi="仿宋" w:eastAsia="仿宋" w:cs="仿宋"/>
          <w:color w:val="auto"/>
          <w:sz w:val="24"/>
          <w:szCs w:val="24"/>
        </w:rPr>
        <w:t>。</w:t>
      </w:r>
    </w:p>
    <w:p>
      <w:pPr>
        <w:rPr>
          <w:rFonts w:ascii="仿宋" w:hAnsi="仿宋" w:eastAsia="仿宋" w:cs="仿宋"/>
          <w:color w:val="auto"/>
          <w:sz w:val="24"/>
          <w:szCs w:val="24"/>
        </w:rPr>
      </w:pPr>
    </w:p>
    <w:p>
      <w:pPr>
        <w:spacing w:before="312" w:beforeLines="100" w:after="312" w:afterLines="100"/>
        <w:rPr>
          <w:rFonts w:ascii="仿宋" w:hAnsi="仿宋" w:eastAsia="仿宋" w:cs="仿宋"/>
          <w:b/>
          <w:bCs/>
          <w:color w:val="auto"/>
          <w:sz w:val="24"/>
          <w:szCs w:val="24"/>
        </w:rPr>
      </w:pPr>
      <w:bookmarkStart w:id="1" w:name="_Toc28359002"/>
      <w:bookmarkStart w:id="2" w:name="_Toc28359079"/>
      <w:bookmarkStart w:id="3" w:name="_Toc35393621"/>
      <w:bookmarkStart w:id="4" w:name="_Toc35393790"/>
      <w:bookmarkStart w:id="5" w:name="_Hlk24379207"/>
      <w:r>
        <w:rPr>
          <w:rFonts w:hint="eastAsia" w:ascii="仿宋" w:hAnsi="仿宋" w:eastAsia="仿宋" w:cs="仿宋"/>
          <w:b/>
          <w:bCs/>
          <w:color w:val="auto"/>
          <w:sz w:val="24"/>
          <w:szCs w:val="24"/>
        </w:rPr>
        <w:t>一、项目基本情况</w:t>
      </w:r>
      <w:bookmarkEnd w:id="1"/>
      <w:bookmarkEnd w:id="2"/>
      <w:bookmarkEnd w:id="3"/>
      <w:bookmarkEnd w:id="4"/>
    </w:p>
    <w:p>
      <w:pPr>
        <w:spacing w:line="360" w:lineRule="auto"/>
        <w:ind w:firstLine="540"/>
        <w:rPr>
          <w:rFonts w:ascii="仿宋" w:hAnsi="仿宋" w:eastAsia="仿宋" w:cs="仿宋"/>
          <w:bCs/>
          <w:color w:val="auto"/>
          <w:sz w:val="24"/>
          <w:szCs w:val="24"/>
          <w:highlight w:val="none"/>
        </w:rPr>
      </w:pPr>
      <w:r>
        <w:rPr>
          <w:rFonts w:hint="eastAsia" w:ascii="仿宋" w:hAnsi="仿宋" w:eastAsia="仿宋" w:cs="仿宋"/>
          <w:bCs/>
          <w:color w:val="auto"/>
          <w:sz w:val="24"/>
          <w:szCs w:val="24"/>
        </w:rPr>
        <w:t>项目编号</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u w:val="single"/>
        </w:rPr>
        <w:t xml:space="preserve"> TX2023-06-27 </w:t>
      </w:r>
    </w:p>
    <w:p>
      <w:pPr>
        <w:spacing w:line="360" w:lineRule="auto"/>
        <w:ind w:firstLine="54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项目名称：</w:t>
      </w:r>
      <w:r>
        <w:rPr>
          <w:rFonts w:hint="eastAsia" w:ascii="仿宋" w:hAnsi="仿宋" w:eastAsia="仿宋" w:cs="仿宋"/>
          <w:bCs/>
          <w:color w:val="auto"/>
          <w:sz w:val="24"/>
          <w:szCs w:val="24"/>
          <w:highlight w:val="none"/>
          <w:u w:val="single"/>
        </w:rPr>
        <w:t xml:space="preserve"> 越城区交通运输局监控中心项目 </w:t>
      </w:r>
    </w:p>
    <w:bookmarkEnd w:id="5"/>
    <w:p>
      <w:pPr>
        <w:spacing w:line="360" w:lineRule="auto"/>
        <w:ind w:firstLine="54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预算金额（元）：</w:t>
      </w:r>
      <w:r>
        <w:rPr>
          <w:rFonts w:hint="eastAsia" w:ascii="仿宋" w:hAnsi="仿宋" w:eastAsia="仿宋" w:cs="仿宋"/>
          <w:bCs/>
          <w:color w:val="auto"/>
          <w:sz w:val="24"/>
          <w:szCs w:val="24"/>
          <w:highlight w:val="none"/>
          <w:u w:val="single"/>
        </w:rPr>
        <w:t xml:space="preserve"> </w:t>
      </w:r>
      <w:r>
        <w:rPr>
          <w:rFonts w:ascii="仿宋" w:hAnsi="仿宋" w:eastAsia="仿宋" w:cs="仿宋"/>
          <w:bCs/>
          <w:color w:val="auto"/>
          <w:sz w:val="24"/>
          <w:szCs w:val="24"/>
          <w:highlight w:val="none"/>
          <w:u w:val="single"/>
        </w:rPr>
        <w:t>1</w:t>
      </w:r>
      <w:r>
        <w:rPr>
          <w:rFonts w:hint="eastAsia" w:ascii="仿宋" w:hAnsi="仿宋" w:eastAsia="仿宋" w:cs="仿宋"/>
          <w:bCs/>
          <w:color w:val="auto"/>
          <w:sz w:val="24"/>
          <w:szCs w:val="24"/>
          <w:highlight w:val="none"/>
          <w:u w:val="single"/>
        </w:rPr>
        <w:t>664</w:t>
      </w:r>
      <w:r>
        <w:rPr>
          <w:rFonts w:hint="eastAsia" w:ascii="仿宋" w:hAnsi="仿宋" w:eastAsia="仿宋" w:cs="仿宋"/>
          <w:bCs/>
          <w:color w:val="auto"/>
          <w:sz w:val="24"/>
          <w:szCs w:val="24"/>
          <w:highlight w:val="none"/>
          <w:u w:val="single"/>
          <w:lang w:val="en-US" w:eastAsia="zh-CN"/>
        </w:rPr>
        <w:t>800</w:t>
      </w:r>
      <w:r>
        <w:rPr>
          <w:rFonts w:hint="eastAsia" w:ascii="仿宋" w:hAnsi="仿宋" w:eastAsia="仿宋" w:cs="仿宋"/>
          <w:bCs/>
          <w:color w:val="auto"/>
          <w:sz w:val="24"/>
          <w:szCs w:val="24"/>
          <w:highlight w:val="none"/>
          <w:u w:val="single"/>
        </w:rPr>
        <w:t xml:space="preserve"> </w:t>
      </w:r>
    </w:p>
    <w:p>
      <w:pPr>
        <w:spacing w:line="360" w:lineRule="auto"/>
        <w:ind w:firstLine="54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最高限价（元）：</w:t>
      </w:r>
      <w:r>
        <w:rPr>
          <w:rFonts w:hint="eastAsia" w:ascii="仿宋" w:hAnsi="仿宋" w:eastAsia="仿宋" w:cs="仿宋"/>
          <w:bCs/>
          <w:color w:val="auto"/>
          <w:sz w:val="24"/>
          <w:szCs w:val="24"/>
          <w:highlight w:val="none"/>
          <w:u w:val="single"/>
        </w:rPr>
        <w:t xml:space="preserve"> 1664</w:t>
      </w:r>
      <w:r>
        <w:rPr>
          <w:rFonts w:hint="eastAsia" w:ascii="仿宋" w:hAnsi="仿宋" w:eastAsia="仿宋" w:cs="仿宋"/>
          <w:bCs/>
          <w:color w:val="auto"/>
          <w:sz w:val="24"/>
          <w:szCs w:val="24"/>
          <w:highlight w:val="none"/>
          <w:u w:val="single"/>
          <w:lang w:val="en-US" w:eastAsia="zh-CN"/>
        </w:rPr>
        <w:t>80</w:t>
      </w:r>
      <w:r>
        <w:rPr>
          <w:rFonts w:hint="eastAsia" w:ascii="仿宋" w:hAnsi="仿宋" w:eastAsia="仿宋" w:cs="仿宋"/>
          <w:bCs/>
          <w:color w:val="auto"/>
          <w:sz w:val="24"/>
          <w:szCs w:val="24"/>
          <w:highlight w:val="none"/>
          <w:u w:val="single"/>
        </w:rPr>
        <w:t xml:space="preserve">0 </w:t>
      </w:r>
    </w:p>
    <w:p>
      <w:pPr>
        <w:spacing w:line="360" w:lineRule="auto"/>
        <w:ind w:firstLine="54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采购需求：</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标项一：</w:t>
      </w:r>
    </w:p>
    <w:p>
      <w:pPr>
        <w:spacing w:line="360" w:lineRule="auto"/>
        <w:ind w:firstLine="54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  标项名称：</w:t>
      </w:r>
      <w:r>
        <w:rPr>
          <w:rFonts w:hint="eastAsia" w:ascii="仿宋" w:hAnsi="仿宋" w:eastAsia="仿宋" w:cs="仿宋"/>
          <w:bCs/>
          <w:color w:val="auto"/>
          <w:sz w:val="24"/>
          <w:szCs w:val="24"/>
          <w:highlight w:val="none"/>
          <w:u w:val="single"/>
        </w:rPr>
        <w:t xml:space="preserve"> 越城区交通运输局监控中心项目 </w:t>
      </w:r>
    </w:p>
    <w:p>
      <w:pPr>
        <w:spacing w:line="360" w:lineRule="auto"/>
        <w:ind w:firstLine="54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  数量：</w:t>
      </w:r>
      <w:r>
        <w:rPr>
          <w:rFonts w:hint="eastAsia" w:ascii="仿宋" w:hAnsi="仿宋" w:eastAsia="仿宋" w:cs="仿宋"/>
          <w:bCs/>
          <w:color w:val="auto"/>
          <w:sz w:val="24"/>
          <w:szCs w:val="24"/>
          <w:highlight w:val="none"/>
          <w:u w:val="single"/>
        </w:rPr>
        <w:t xml:space="preserve">   1    </w:t>
      </w:r>
    </w:p>
    <w:p>
      <w:pPr>
        <w:spacing w:line="360" w:lineRule="auto"/>
        <w:ind w:firstLine="54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  预算金额（元）：</w:t>
      </w:r>
      <w:r>
        <w:rPr>
          <w:rFonts w:hint="eastAsia" w:ascii="仿宋" w:hAnsi="仿宋" w:eastAsia="仿宋" w:cs="仿宋"/>
          <w:bCs/>
          <w:color w:val="auto"/>
          <w:sz w:val="24"/>
          <w:szCs w:val="24"/>
          <w:highlight w:val="none"/>
          <w:u w:val="single"/>
        </w:rPr>
        <w:t xml:space="preserve"> 1664</w:t>
      </w:r>
      <w:r>
        <w:rPr>
          <w:rFonts w:hint="eastAsia" w:ascii="仿宋" w:hAnsi="仿宋" w:eastAsia="仿宋" w:cs="仿宋"/>
          <w:bCs/>
          <w:color w:val="auto"/>
          <w:sz w:val="24"/>
          <w:szCs w:val="24"/>
          <w:highlight w:val="none"/>
          <w:u w:val="single"/>
          <w:lang w:val="en-US" w:eastAsia="zh-CN"/>
        </w:rPr>
        <w:t>80</w:t>
      </w:r>
      <w:r>
        <w:rPr>
          <w:rFonts w:hint="eastAsia" w:ascii="仿宋" w:hAnsi="仿宋" w:eastAsia="仿宋" w:cs="仿宋"/>
          <w:bCs/>
          <w:color w:val="auto"/>
          <w:sz w:val="24"/>
          <w:szCs w:val="24"/>
          <w:highlight w:val="none"/>
          <w:u w:val="single"/>
        </w:rPr>
        <w:t xml:space="preserve">0 </w:t>
      </w:r>
    </w:p>
    <w:p>
      <w:pPr>
        <w:spacing w:line="360" w:lineRule="auto"/>
        <w:ind w:firstLine="540"/>
        <w:rPr>
          <w:rFonts w:ascii="仿宋" w:hAnsi="仿宋" w:eastAsia="仿宋" w:cs="仿宋"/>
          <w:bCs/>
          <w:color w:val="auto"/>
          <w:sz w:val="24"/>
        </w:rPr>
      </w:pPr>
      <w:r>
        <w:rPr>
          <w:rFonts w:hint="eastAsia" w:ascii="仿宋" w:hAnsi="仿宋" w:eastAsia="仿宋" w:cs="仿宋"/>
          <w:bCs/>
          <w:color w:val="auto"/>
          <w:sz w:val="24"/>
          <w:highlight w:val="none"/>
        </w:rPr>
        <w:t xml:space="preserve">  简要规格描述或项目基本概况介绍</w:t>
      </w:r>
      <w:r>
        <w:rPr>
          <w:rFonts w:hint="eastAsia" w:ascii="仿宋" w:hAnsi="仿宋" w:eastAsia="仿宋" w:cs="仿宋"/>
          <w:bCs/>
          <w:color w:val="auto"/>
          <w:sz w:val="24"/>
        </w:rPr>
        <w:t>、用途：</w:t>
      </w:r>
      <w:r>
        <w:rPr>
          <w:rFonts w:hint="eastAsia" w:ascii="仿宋" w:hAnsi="仿宋" w:eastAsia="仿宋" w:cs="仿宋"/>
          <w:bCs/>
          <w:color w:val="auto"/>
          <w:sz w:val="24"/>
          <w:u w:val="single"/>
        </w:rPr>
        <w:t>详见采购文件。</w:t>
      </w:r>
    </w:p>
    <w:p>
      <w:pPr>
        <w:spacing w:line="360" w:lineRule="auto"/>
        <w:ind w:firstLine="540"/>
        <w:rPr>
          <w:rFonts w:ascii="仿宋" w:hAnsi="仿宋" w:eastAsia="仿宋" w:cs="仿宋"/>
          <w:bCs/>
          <w:color w:val="auto"/>
          <w:sz w:val="24"/>
          <w:u w:val="single"/>
        </w:rPr>
      </w:pPr>
      <w:r>
        <w:rPr>
          <w:rFonts w:hint="eastAsia" w:ascii="仿宋" w:hAnsi="仿宋" w:eastAsia="仿宋" w:cs="仿宋"/>
          <w:bCs/>
          <w:color w:val="auto"/>
          <w:sz w:val="24"/>
        </w:rPr>
        <w:t xml:space="preserve">  备注：</w:t>
      </w:r>
      <w:r>
        <w:rPr>
          <w:rFonts w:hint="eastAsia" w:ascii="仿宋" w:hAnsi="仿宋" w:eastAsia="仿宋" w:cs="仿宋"/>
          <w:bCs/>
          <w:color w:val="auto"/>
          <w:sz w:val="24"/>
          <w:u w:val="single"/>
        </w:rPr>
        <w:t xml:space="preserve"> / </w:t>
      </w:r>
    </w:p>
    <w:p>
      <w:pPr>
        <w:spacing w:line="360" w:lineRule="auto"/>
        <w:ind w:firstLine="540"/>
        <w:rPr>
          <w:rFonts w:ascii="仿宋" w:hAnsi="仿宋" w:eastAsia="仿宋" w:cs="仿宋"/>
          <w:bCs/>
          <w:color w:val="auto"/>
          <w:sz w:val="24"/>
          <w:szCs w:val="24"/>
        </w:rPr>
      </w:pPr>
      <w:r>
        <w:rPr>
          <w:rFonts w:hint="eastAsia" w:ascii="仿宋" w:hAnsi="仿宋" w:eastAsia="仿宋" w:cs="仿宋"/>
          <w:bCs/>
          <w:color w:val="auto"/>
          <w:sz w:val="24"/>
          <w:szCs w:val="24"/>
        </w:rPr>
        <w:t>合同履行期限：</w:t>
      </w:r>
      <w:r>
        <w:rPr>
          <w:rFonts w:hint="eastAsia" w:ascii="仿宋" w:hAnsi="仿宋" w:eastAsia="仿宋" w:cs="仿宋"/>
          <w:bCs/>
          <w:color w:val="auto"/>
          <w:sz w:val="24"/>
          <w:szCs w:val="24"/>
          <w:u w:val="single"/>
        </w:rPr>
        <w:t xml:space="preserve"> 按双方合同约定条款执行。 </w:t>
      </w:r>
    </w:p>
    <w:p>
      <w:pPr>
        <w:spacing w:line="360" w:lineRule="auto"/>
        <w:ind w:firstLine="540"/>
        <w:rPr>
          <w:rFonts w:ascii="仿宋" w:hAnsi="仿宋" w:eastAsia="仿宋" w:cs="仿宋"/>
          <w:bCs/>
          <w:color w:val="auto"/>
          <w:sz w:val="24"/>
          <w:szCs w:val="24"/>
        </w:rPr>
      </w:pPr>
      <w:r>
        <w:rPr>
          <w:rFonts w:hint="eastAsia" w:ascii="仿宋" w:hAnsi="仿宋" w:eastAsia="仿宋" w:cs="仿宋"/>
          <w:bCs/>
          <w:color w:val="auto"/>
          <w:sz w:val="24"/>
          <w:szCs w:val="24"/>
        </w:rPr>
        <w:t>本项目（</w:t>
      </w:r>
      <w:r>
        <w:rPr>
          <w:rFonts w:hint="eastAsia" w:ascii="仿宋" w:hAnsi="仿宋" w:eastAsia="仿宋" w:cs="仿宋"/>
          <w:bCs/>
          <w:color w:val="auto"/>
          <w:sz w:val="24"/>
          <w:szCs w:val="24"/>
          <w:u w:val="single"/>
        </w:rPr>
        <w:t>是</w:t>
      </w:r>
      <w:r>
        <w:rPr>
          <w:rFonts w:hint="eastAsia" w:ascii="仿宋" w:hAnsi="仿宋" w:eastAsia="仿宋" w:cs="仿宋"/>
          <w:bCs/>
          <w:color w:val="auto"/>
          <w:sz w:val="24"/>
          <w:szCs w:val="24"/>
        </w:rPr>
        <w:t>）接受联合体投标。</w:t>
      </w:r>
    </w:p>
    <w:p>
      <w:pPr>
        <w:spacing w:before="312" w:beforeLines="100" w:after="312" w:afterLines="100"/>
        <w:rPr>
          <w:rFonts w:ascii="仿宋" w:hAnsi="仿宋" w:eastAsia="仿宋" w:cs="仿宋"/>
          <w:b/>
          <w:bCs/>
          <w:color w:val="auto"/>
          <w:sz w:val="24"/>
          <w:szCs w:val="24"/>
        </w:rPr>
      </w:pPr>
      <w:bookmarkStart w:id="6" w:name="_Toc35393791"/>
      <w:bookmarkStart w:id="7" w:name="_Toc28359003"/>
      <w:bookmarkStart w:id="8" w:name="_Toc35393622"/>
      <w:bookmarkStart w:id="9" w:name="_Toc28359080"/>
      <w:r>
        <w:rPr>
          <w:rFonts w:hint="eastAsia" w:ascii="仿宋" w:hAnsi="仿宋" w:eastAsia="仿宋" w:cs="仿宋"/>
          <w:b/>
          <w:bCs/>
          <w:color w:val="auto"/>
          <w:sz w:val="24"/>
          <w:szCs w:val="24"/>
        </w:rPr>
        <w:t>二、申请人的资格要求：</w:t>
      </w:r>
      <w:bookmarkEnd w:id="6"/>
      <w:bookmarkEnd w:id="7"/>
      <w:bookmarkEnd w:id="8"/>
      <w:bookmarkEnd w:id="9"/>
    </w:p>
    <w:p>
      <w:pPr>
        <w:spacing w:line="360" w:lineRule="auto"/>
        <w:ind w:firstLine="540"/>
        <w:rPr>
          <w:rFonts w:ascii="仿宋" w:hAnsi="仿宋" w:eastAsia="仿宋" w:cs="仿宋"/>
          <w:bCs/>
          <w:color w:val="auto"/>
          <w:sz w:val="24"/>
          <w:szCs w:val="24"/>
        </w:rPr>
      </w:pPr>
      <w:r>
        <w:rPr>
          <w:rFonts w:hint="eastAsia" w:ascii="仿宋" w:hAnsi="仿宋" w:eastAsia="仿宋" w:cs="仿宋"/>
          <w:bCs/>
          <w:color w:val="auto"/>
          <w:sz w:val="24"/>
          <w:szCs w:val="24"/>
        </w:rPr>
        <w:t>1.满足《中华人民共和国政府采购法》第二十二条规定；未被“</w:t>
      </w:r>
    </w:p>
    <w:p>
      <w:pPr>
        <w:spacing w:line="360" w:lineRule="auto"/>
        <w:ind w:firstLine="540"/>
        <w:rPr>
          <w:rFonts w:ascii="仿宋" w:hAnsi="仿宋" w:eastAsia="仿宋" w:cs="仿宋"/>
          <w:bCs/>
          <w:color w:val="auto"/>
          <w:sz w:val="24"/>
          <w:szCs w:val="24"/>
        </w:rPr>
      </w:pPr>
      <w:r>
        <w:rPr>
          <w:rFonts w:hint="eastAsia" w:ascii="仿宋" w:hAnsi="仿宋" w:eastAsia="仿宋" w:cs="仿宋"/>
          <w:bCs/>
          <w:color w:val="auto"/>
          <w:sz w:val="24"/>
          <w:szCs w:val="24"/>
        </w:rPr>
        <w:t>信用中国”（www.creditchina.gov.cn)、中国政府采购网（www.ccgp.gov.cn）列入失信被执行人、重大税收违法案件当事人名单、政府采购严重违法失信行为记录名单。</w:t>
      </w:r>
    </w:p>
    <w:p>
      <w:pPr>
        <w:spacing w:line="360" w:lineRule="auto"/>
        <w:ind w:firstLine="540"/>
        <w:rPr>
          <w:rFonts w:ascii="仿宋" w:hAnsi="仿宋" w:eastAsia="仿宋" w:cs="仿宋"/>
          <w:bCs/>
          <w:color w:val="auto"/>
          <w:sz w:val="24"/>
          <w:szCs w:val="24"/>
        </w:rPr>
      </w:pPr>
      <w:bookmarkStart w:id="10" w:name="_Toc28359004"/>
      <w:bookmarkStart w:id="11" w:name="_Toc28359081"/>
      <w:r>
        <w:rPr>
          <w:rFonts w:hint="eastAsia" w:ascii="仿宋" w:hAnsi="仿宋" w:eastAsia="仿宋" w:cs="仿宋"/>
          <w:bCs/>
          <w:color w:val="auto"/>
          <w:sz w:val="24"/>
          <w:szCs w:val="24"/>
        </w:rPr>
        <w:t xml:space="preserve">2.落实政府采购政策需满足的资格要求： </w:t>
      </w:r>
      <w:r>
        <w:rPr>
          <w:rFonts w:hint="eastAsia" w:ascii="仿宋" w:hAnsi="仿宋" w:eastAsia="仿宋" w:cs="仿宋"/>
          <w:bCs/>
          <w:color w:val="auto"/>
          <w:sz w:val="24"/>
          <w:szCs w:val="24"/>
          <w:u w:val="single"/>
        </w:rPr>
        <w:t xml:space="preserve"> 供应商为中小企业  </w:t>
      </w:r>
    </w:p>
    <w:p>
      <w:pPr>
        <w:spacing w:line="360" w:lineRule="auto"/>
        <w:ind w:firstLine="540"/>
        <w:rPr>
          <w:rFonts w:ascii="仿宋" w:hAnsi="仿宋" w:eastAsia="仿宋" w:cs="仿宋"/>
          <w:bCs/>
          <w:iCs/>
          <w:color w:val="auto"/>
          <w:sz w:val="24"/>
          <w:szCs w:val="24"/>
        </w:rPr>
      </w:pPr>
      <w:r>
        <w:rPr>
          <w:rFonts w:hint="eastAsia" w:ascii="仿宋" w:hAnsi="仿宋" w:eastAsia="仿宋" w:cs="仿宋"/>
          <w:bCs/>
          <w:color w:val="auto"/>
          <w:sz w:val="24"/>
          <w:szCs w:val="24"/>
        </w:rPr>
        <w:t>3.本项目的特定资格要求：</w:t>
      </w:r>
      <w:r>
        <w:rPr>
          <w:rFonts w:hint="eastAsia" w:ascii="仿宋" w:hAnsi="仿宋" w:eastAsia="仿宋" w:cs="仿宋"/>
          <w:bCs/>
          <w:color w:val="auto"/>
          <w:sz w:val="24"/>
          <w:szCs w:val="24"/>
          <w:u w:val="single"/>
        </w:rPr>
        <w:t xml:space="preserve">   /   </w:t>
      </w:r>
    </w:p>
    <w:p>
      <w:pPr>
        <w:spacing w:before="312" w:beforeLines="100" w:after="312" w:afterLines="100"/>
        <w:rPr>
          <w:rFonts w:ascii="仿宋" w:hAnsi="仿宋" w:eastAsia="仿宋" w:cs="仿宋"/>
          <w:b/>
          <w:bCs/>
          <w:color w:val="auto"/>
          <w:sz w:val="24"/>
          <w:szCs w:val="24"/>
        </w:rPr>
      </w:pPr>
      <w:bookmarkStart w:id="12" w:name="_Toc35393623"/>
      <w:bookmarkStart w:id="13" w:name="_Toc35393792"/>
      <w:r>
        <w:rPr>
          <w:rFonts w:hint="eastAsia" w:ascii="仿宋" w:hAnsi="仿宋" w:eastAsia="仿宋" w:cs="仿宋"/>
          <w:b/>
          <w:bCs/>
          <w:color w:val="auto"/>
          <w:sz w:val="24"/>
          <w:szCs w:val="24"/>
        </w:rPr>
        <w:t>三、获取招标文件</w:t>
      </w:r>
      <w:bookmarkEnd w:id="10"/>
      <w:bookmarkEnd w:id="11"/>
      <w:bookmarkEnd w:id="12"/>
      <w:bookmarkEnd w:id="13"/>
    </w:p>
    <w:p>
      <w:pPr>
        <w:spacing w:line="360" w:lineRule="auto"/>
        <w:ind w:firstLine="540"/>
        <w:rPr>
          <w:rFonts w:ascii="仿宋" w:hAnsi="仿宋" w:eastAsia="仿宋" w:cs="仿宋"/>
          <w:color w:val="auto"/>
          <w:sz w:val="24"/>
          <w:szCs w:val="24"/>
        </w:rPr>
      </w:pPr>
      <w:r>
        <w:rPr>
          <w:rFonts w:hint="eastAsia" w:ascii="仿宋" w:hAnsi="仿宋" w:eastAsia="仿宋" w:cs="仿宋"/>
          <w:color w:val="auto"/>
          <w:sz w:val="24"/>
          <w:szCs w:val="24"/>
        </w:rPr>
        <w:t>时间：</w:t>
      </w:r>
      <w:r>
        <w:rPr>
          <w:rFonts w:hint="eastAsia" w:ascii="仿宋" w:hAnsi="仿宋" w:eastAsia="仿宋" w:cs="仿宋"/>
          <w:color w:val="auto"/>
          <w:sz w:val="24"/>
          <w:szCs w:val="24"/>
          <w:u w:val="single"/>
        </w:rPr>
        <w:t>/至2023年</w:t>
      </w:r>
      <w:r>
        <w:rPr>
          <w:rFonts w:hint="eastAsia" w:ascii="仿宋" w:hAnsi="仿宋" w:eastAsia="仿宋" w:cs="仿宋"/>
          <w:color w:val="auto"/>
          <w:sz w:val="24"/>
          <w:szCs w:val="24"/>
          <w:u w:val="single"/>
          <w:lang w:val="en-US" w:eastAsia="zh-CN"/>
        </w:rPr>
        <w:t>7</w:t>
      </w:r>
      <w:r>
        <w:rPr>
          <w:rFonts w:hint="eastAsia" w:ascii="仿宋" w:hAnsi="仿宋" w:eastAsia="仿宋" w:cs="仿宋"/>
          <w:color w:val="auto"/>
          <w:sz w:val="24"/>
          <w:szCs w:val="24"/>
          <w:u w:val="single"/>
        </w:rPr>
        <w:t>月</w:t>
      </w:r>
      <w:r>
        <w:rPr>
          <w:rFonts w:hint="eastAsia" w:ascii="仿宋" w:hAnsi="仿宋" w:eastAsia="仿宋" w:cs="仿宋"/>
          <w:color w:val="auto"/>
          <w:sz w:val="24"/>
          <w:szCs w:val="24"/>
          <w:u w:val="single"/>
          <w:lang w:val="en-US" w:eastAsia="zh-CN"/>
        </w:rPr>
        <w:t>20</w:t>
      </w:r>
      <w:r>
        <w:rPr>
          <w:rFonts w:hint="eastAsia" w:ascii="仿宋" w:hAnsi="仿宋" w:eastAsia="仿宋" w:cs="仿宋"/>
          <w:color w:val="auto"/>
          <w:sz w:val="24"/>
          <w:szCs w:val="24"/>
          <w:u w:val="single"/>
        </w:rPr>
        <w:t>日</w:t>
      </w:r>
      <w:r>
        <w:rPr>
          <w:rFonts w:hint="eastAsia" w:ascii="仿宋" w:hAnsi="仿宋" w:eastAsia="仿宋" w:cs="仿宋"/>
          <w:color w:val="auto"/>
          <w:sz w:val="24"/>
          <w:szCs w:val="24"/>
        </w:rPr>
        <w:t xml:space="preserve"> ，每天上午00:00至12:00 ，下午12:00至23:59（北京时间，线上获取法定节假日均可，线下获取文件法定节假日除外）。</w:t>
      </w:r>
    </w:p>
    <w:p>
      <w:pPr>
        <w:spacing w:line="360" w:lineRule="auto"/>
        <w:ind w:firstLine="540"/>
        <w:rPr>
          <w:rFonts w:ascii="仿宋" w:hAnsi="仿宋" w:eastAsia="仿宋" w:cs="仿宋"/>
          <w:color w:val="auto"/>
          <w:sz w:val="24"/>
          <w:szCs w:val="24"/>
          <w:u w:val="single"/>
        </w:rPr>
      </w:pPr>
      <w:r>
        <w:rPr>
          <w:rFonts w:hint="eastAsia" w:ascii="仿宋" w:hAnsi="仿宋" w:eastAsia="仿宋" w:cs="仿宋"/>
          <w:color w:val="auto"/>
          <w:sz w:val="24"/>
          <w:szCs w:val="24"/>
        </w:rPr>
        <w:t>地点（网址）：</w:t>
      </w:r>
      <w:r>
        <w:rPr>
          <w:rFonts w:hint="eastAsia" w:ascii="仿宋" w:hAnsi="仿宋" w:eastAsia="仿宋" w:cs="仿宋"/>
          <w:bCs/>
          <w:color w:val="auto"/>
          <w:sz w:val="24"/>
          <w:szCs w:val="24"/>
        </w:rPr>
        <w:t>政采云平台</w:t>
      </w:r>
      <w:r>
        <w:rPr>
          <w:color w:val="auto"/>
        </w:rPr>
        <w:fldChar w:fldCharType="begin"/>
      </w:r>
      <w:r>
        <w:rPr>
          <w:color w:val="auto"/>
        </w:rPr>
        <w:instrText xml:space="preserve"> HYPERLINK "http://zcy.gov.cn/" </w:instrText>
      </w:r>
      <w:r>
        <w:rPr>
          <w:color w:val="auto"/>
        </w:rPr>
        <w:fldChar w:fldCharType="separate"/>
      </w:r>
      <w:r>
        <w:rPr>
          <w:rFonts w:hint="eastAsia" w:ascii="仿宋" w:hAnsi="仿宋" w:eastAsia="仿宋" w:cs="仿宋"/>
          <w:bCs/>
          <w:color w:val="auto"/>
          <w:sz w:val="24"/>
          <w:szCs w:val="24"/>
          <w:u w:val="single"/>
        </w:rPr>
        <w:t>http://www.zcygov.cn/</w:t>
      </w:r>
      <w:r>
        <w:rPr>
          <w:rFonts w:hint="eastAsia" w:ascii="仿宋" w:hAnsi="仿宋" w:eastAsia="仿宋" w:cs="仿宋"/>
          <w:bCs/>
          <w:color w:val="auto"/>
          <w:sz w:val="24"/>
          <w:szCs w:val="24"/>
          <w:u w:val="single"/>
        </w:rPr>
        <w:fldChar w:fldCharType="end"/>
      </w:r>
    </w:p>
    <w:p>
      <w:pPr>
        <w:spacing w:line="360" w:lineRule="auto"/>
        <w:ind w:firstLine="540"/>
        <w:rPr>
          <w:rFonts w:ascii="仿宋" w:hAnsi="仿宋" w:eastAsia="仿宋" w:cs="仿宋"/>
          <w:color w:val="auto"/>
          <w:sz w:val="24"/>
          <w:szCs w:val="24"/>
          <w:u w:val="single"/>
        </w:rPr>
      </w:pPr>
      <w:r>
        <w:rPr>
          <w:rFonts w:hint="eastAsia" w:ascii="仿宋" w:hAnsi="仿宋" w:eastAsia="仿宋" w:cs="仿宋"/>
          <w:bCs/>
          <w:color w:val="auto"/>
          <w:sz w:val="24"/>
          <w:szCs w:val="24"/>
        </w:rPr>
        <w:t>方式：供应商登陆政采云平台https://www.zcygov.cn/在线申请获取采购文件（进入“项目采购”应用，在获取采购文件菜单中选择项目，申请获取采购文件） （如以联合体形式参加政府采购活动的，联合体牵头人须获取采购文件）</w:t>
      </w:r>
    </w:p>
    <w:p>
      <w:pPr>
        <w:spacing w:line="360" w:lineRule="auto"/>
        <w:ind w:firstLine="540"/>
        <w:rPr>
          <w:rFonts w:ascii="仿宋" w:hAnsi="仿宋" w:eastAsia="仿宋" w:cs="仿宋"/>
          <w:color w:val="auto"/>
          <w:sz w:val="24"/>
          <w:szCs w:val="24"/>
        </w:rPr>
      </w:pPr>
      <w:r>
        <w:rPr>
          <w:rFonts w:hint="eastAsia" w:ascii="仿宋" w:hAnsi="仿宋" w:eastAsia="仿宋" w:cs="仿宋"/>
          <w:color w:val="auto"/>
          <w:sz w:val="24"/>
          <w:szCs w:val="24"/>
        </w:rPr>
        <w:t>售价（元）：0</w:t>
      </w:r>
    </w:p>
    <w:p>
      <w:pPr>
        <w:spacing w:before="312" w:beforeLines="100" w:after="312" w:afterLines="100"/>
        <w:rPr>
          <w:rFonts w:ascii="仿宋" w:hAnsi="仿宋" w:eastAsia="仿宋" w:cs="仿宋"/>
          <w:b/>
          <w:bCs/>
          <w:color w:val="auto"/>
          <w:sz w:val="24"/>
          <w:szCs w:val="24"/>
        </w:rPr>
      </w:pPr>
      <w:bookmarkStart w:id="14" w:name="_Toc28359082"/>
      <w:bookmarkStart w:id="15" w:name="_Toc28359005"/>
      <w:bookmarkStart w:id="16" w:name="_Toc35393793"/>
      <w:bookmarkStart w:id="17" w:name="_Toc35393624"/>
      <w:r>
        <w:rPr>
          <w:rFonts w:hint="eastAsia" w:ascii="仿宋" w:hAnsi="仿宋" w:eastAsia="仿宋" w:cs="仿宋"/>
          <w:b/>
          <w:bCs/>
          <w:color w:val="auto"/>
          <w:sz w:val="24"/>
          <w:szCs w:val="24"/>
        </w:rPr>
        <w:t>四、提交投标文件</w:t>
      </w:r>
      <w:bookmarkEnd w:id="14"/>
      <w:bookmarkEnd w:id="15"/>
      <w:r>
        <w:rPr>
          <w:rFonts w:hint="eastAsia" w:ascii="仿宋" w:hAnsi="仿宋" w:eastAsia="仿宋" w:cs="仿宋"/>
          <w:b/>
          <w:bCs/>
          <w:color w:val="auto"/>
          <w:sz w:val="24"/>
          <w:szCs w:val="24"/>
        </w:rPr>
        <w:t>截止</w:t>
      </w:r>
      <w:r>
        <w:rPr>
          <w:rFonts w:hint="eastAsia" w:ascii="仿宋" w:hAnsi="仿宋" w:eastAsia="仿宋" w:cs="仿宋"/>
          <w:b/>
          <w:bCs/>
          <w:color w:val="auto"/>
          <w:sz w:val="24"/>
          <w:szCs w:val="24"/>
        </w:rPr>
        <w:t>时间、开标时间和地点</w:t>
      </w:r>
      <w:bookmarkEnd w:id="16"/>
      <w:bookmarkEnd w:id="17"/>
    </w:p>
    <w:p>
      <w:pPr>
        <w:spacing w:line="360" w:lineRule="auto"/>
        <w:ind w:firstLine="480" w:firstLineChars="200"/>
        <w:rPr>
          <w:rFonts w:ascii="仿宋" w:hAnsi="仿宋" w:eastAsia="仿宋" w:cs="仿宋"/>
          <w:bCs/>
          <w:color w:val="auto"/>
          <w:sz w:val="24"/>
          <w:szCs w:val="24"/>
          <w:u w:val="single"/>
        </w:rPr>
      </w:pPr>
      <w:r>
        <w:rPr>
          <w:rFonts w:hint="eastAsia" w:ascii="仿宋" w:hAnsi="仿宋" w:eastAsia="仿宋" w:cs="仿宋"/>
          <w:bCs/>
          <w:color w:val="auto"/>
          <w:sz w:val="24"/>
          <w:szCs w:val="24"/>
        </w:rPr>
        <w:t>提交投标文件截止时间：</w:t>
      </w:r>
      <w:r>
        <w:rPr>
          <w:rFonts w:hint="eastAsia" w:ascii="仿宋" w:hAnsi="仿宋" w:eastAsia="仿宋" w:cs="仿宋"/>
          <w:bCs/>
          <w:color w:val="auto"/>
          <w:sz w:val="24"/>
          <w:szCs w:val="24"/>
          <w:u w:val="single"/>
        </w:rPr>
        <w:t>2023年</w:t>
      </w:r>
      <w:r>
        <w:rPr>
          <w:rFonts w:hint="eastAsia" w:ascii="仿宋" w:hAnsi="仿宋" w:eastAsia="仿宋" w:cs="仿宋"/>
          <w:bCs/>
          <w:color w:val="auto"/>
          <w:sz w:val="24"/>
          <w:szCs w:val="24"/>
          <w:u w:val="single"/>
          <w:lang w:val="en-US" w:eastAsia="zh-CN"/>
        </w:rPr>
        <w:t>7</w:t>
      </w:r>
      <w:r>
        <w:rPr>
          <w:rFonts w:hint="eastAsia" w:ascii="仿宋" w:hAnsi="仿宋" w:eastAsia="仿宋" w:cs="仿宋"/>
          <w:bCs/>
          <w:color w:val="auto"/>
          <w:sz w:val="24"/>
          <w:szCs w:val="24"/>
          <w:u w:val="single"/>
        </w:rPr>
        <w:t>月</w:t>
      </w:r>
      <w:r>
        <w:rPr>
          <w:rFonts w:hint="eastAsia" w:ascii="仿宋" w:hAnsi="仿宋" w:eastAsia="仿宋" w:cs="仿宋"/>
          <w:bCs/>
          <w:color w:val="auto"/>
          <w:sz w:val="24"/>
          <w:szCs w:val="24"/>
          <w:u w:val="single"/>
          <w:lang w:val="en-US" w:eastAsia="zh-CN"/>
        </w:rPr>
        <w:t>20</w:t>
      </w:r>
      <w:r>
        <w:rPr>
          <w:rFonts w:hint="eastAsia" w:ascii="仿宋" w:hAnsi="仿宋" w:eastAsia="仿宋" w:cs="仿宋"/>
          <w:bCs/>
          <w:color w:val="auto"/>
          <w:sz w:val="24"/>
          <w:szCs w:val="24"/>
          <w:u w:val="single"/>
        </w:rPr>
        <w:t xml:space="preserve">日9：00  </w:t>
      </w:r>
      <w:r>
        <w:rPr>
          <w:rFonts w:hint="eastAsia" w:ascii="仿宋" w:hAnsi="仿宋" w:eastAsia="仿宋" w:cs="仿宋"/>
          <w:bCs/>
          <w:color w:val="auto"/>
          <w:sz w:val="24"/>
          <w:szCs w:val="24"/>
        </w:rPr>
        <w:t>（北京时间）</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投标地点（网址）：政采云平台http://www.zcygov.cn/在线递交，不接收纸质投标文件。</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开标时间：</w:t>
      </w:r>
      <w:r>
        <w:rPr>
          <w:rFonts w:hint="eastAsia" w:ascii="仿宋" w:hAnsi="仿宋" w:eastAsia="仿宋" w:cs="仿宋"/>
          <w:bCs/>
          <w:color w:val="auto"/>
          <w:sz w:val="24"/>
          <w:szCs w:val="24"/>
          <w:u w:val="single"/>
        </w:rPr>
        <w:t xml:space="preserve"> 2023年</w:t>
      </w:r>
      <w:r>
        <w:rPr>
          <w:rFonts w:hint="eastAsia" w:ascii="仿宋" w:hAnsi="仿宋" w:eastAsia="仿宋" w:cs="仿宋"/>
          <w:bCs/>
          <w:color w:val="auto"/>
          <w:sz w:val="24"/>
          <w:szCs w:val="24"/>
          <w:u w:val="single"/>
          <w:lang w:val="en-US" w:eastAsia="zh-CN"/>
        </w:rPr>
        <w:t>7</w:t>
      </w:r>
      <w:r>
        <w:rPr>
          <w:rFonts w:hint="eastAsia" w:ascii="仿宋" w:hAnsi="仿宋" w:eastAsia="仿宋" w:cs="仿宋"/>
          <w:bCs/>
          <w:color w:val="auto"/>
          <w:sz w:val="24"/>
          <w:szCs w:val="24"/>
          <w:u w:val="single"/>
        </w:rPr>
        <w:t xml:space="preserve"> 月</w:t>
      </w:r>
      <w:r>
        <w:rPr>
          <w:rFonts w:hint="eastAsia" w:ascii="仿宋" w:hAnsi="仿宋" w:eastAsia="仿宋" w:cs="仿宋"/>
          <w:bCs/>
          <w:color w:val="auto"/>
          <w:sz w:val="24"/>
          <w:szCs w:val="24"/>
          <w:u w:val="single"/>
          <w:lang w:val="en-US" w:eastAsia="zh-CN"/>
        </w:rPr>
        <w:t>20</w:t>
      </w:r>
      <w:r>
        <w:rPr>
          <w:rFonts w:hint="eastAsia" w:ascii="仿宋" w:hAnsi="仿宋" w:eastAsia="仿宋" w:cs="仿宋"/>
          <w:bCs/>
          <w:color w:val="auto"/>
          <w:sz w:val="24"/>
          <w:szCs w:val="24"/>
          <w:u w:val="single"/>
        </w:rPr>
        <w:t xml:space="preserve">日9 ：00 </w:t>
      </w:r>
    </w:p>
    <w:p>
      <w:pPr>
        <w:spacing w:line="360" w:lineRule="auto"/>
        <w:ind w:firstLine="480" w:firstLineChars="200"/>
        <w:rPr>
          <w:rFonts w:ascii="仿宋" w:hAnsi="仿宋" w:eastAsia="仿宋" w:cs="仿宋"/>
          <w:bCs/>
          <w:color w:val="auto"/>
          <w:sz w:val="24"/>
          <w:szCs w:val="24"/>
          <w:u w:val="single"/>
        </w:rPr>
      </w:pPr>
      <w:r>
        <w:rPr>
          <w:rFonts w:hint="eastAsia" w:ascii="仿宋" w:hAnsi="仿宋" w:eastAsia="仿宋" w:cs="仿宋"/>
          <w:color w:val="auto"/>
          <w:sz w:val="24"/>
          <w:szCs w:val="24"/>
        </w:rPr>
        <w:t>开标地点（网址）：政采云平台http://www.zcygov.cn/；现场开标地点：浙江同欣工程管理有限公司（绍兴市越城区罗东公寓22幢2楼20</w:t>
      </w:r>
      <w:r>
        <w:rPr>
          <w:rFonts w:hint="eastAsia" w:ascii="仿宋" w:hAnsi="仿宋" w:eastAsia="仿宋" w:cs="仿宋"/>
          <w:color w:val="auto"/>
          <w:sz w:val="24"/>
          <w:szCs w:val="24"/>
        </w:rPr>
        <w:t>4室）会议室。</w:t>
      </w:r>
    </w:p>
    <w:p>
      <w:pPr>
        <w:spacing w:before="312" w:beforeLines="100" w:after="312" w:afterLines="100"/>
        <w:rPr>
          <w:rFonts w:ascii="仿宋" w:hAnsi="仿宋" w:eastAsia="仿宋" w:cs="仿宋"/>
          <w:b/>
          <w:bCs/>
          <w:color w:val="auto"/>
          <w:sz w:val="24"/>
          <w:szCs w:val="24"/>
        </w:rPr>
      </w:pPr>
      <w:bookmarkStart w:id="18" w:name="_Toc28359007"/>
      <w:bookmarkStart w:id="19" w:name="_Toc35393794"/>
      <w:bookmarkStart w:id="20" w:name="_Toc28359084"/>
      <w:bookmarkStart w:id="21" w:name="_Toc35393625"/>
      <w:r>
        <w:rPr>
          <w:rFonts w:hint="eastAsia" w:ascii="仿宋" w:hAnsi="仿宋" w:eastAsia="仿宋" w:cs="仿宋"/>
          <w:b/>
          <w:bCs/>
          <w:color w:val="auto"/>
          <w:sz w:val="24"/>
          <w:szCs w:val="24"/>
        </w:rPr>
        <w:t>五、公告期限</w:t>
      </w:r>
      <w:bookmarkEnd w:id="18"/>
      <w:bookmarkEnd w:id="19"/>
      <w:bookmarkEnd w:id="20"/>
      <w:bookmarkEnd w:id="21"/>
    </w:p>
    <w:p>
      <w:pPr>
        <w:ind w:firstLine="480" w:firstLineChars="200"/>
        <w:rPr>
          <w:rFonts w:ascii="仿宋" w:hAnsi="仿宋" w:eastAsia="仿宋" w:cs="仿宋"/>
          <w:color w:val="auto"/>
          <w:kern w:val="0"/>
          <w:sz w:val="24"/>
          <w:szCs w:val="24"/>
        </w:rPr>
      </w:pPr>
      <w:r>
        <w:rPr>
          <w:rFonts w:hint="eastAsia" w:ascii="仿宋" w:hAnsi="仿宋" w:eastAsia="仿宋" w:cs="仿宋"/>
          <w:color w:val="auto"/>
          <w:kern w:val="0"/>
          <w:sz w:val="24"/>
          <w:szCs w:val="24"/>
        </w:rPr>
        <w:t>自本公告发布之日起5个工作日。</w:t>
      </w:r>
    </w:p>
    <w:p>
      <w:pPr>
        <w:spacing w:before="312" w:beforeLines="100" w:after="312" w:afterLines="100"/>
        <w:rPr>
          <w:rFonts w:ascii="仿宋" w:hAnsi="仿宋" w:eastAsia="仿宋" w:cs="仿宋"/>
          <w:b/>
          <w:bCs/>
          <w:color w:val="auto"/>
          <w:sz w:val="24"/>
          <w:szCs w:val="24"/>
        </w:rPr>
      </w:pPr>
      <w:bookmarkStart w:id="22" w:name="_Toc35393626"/>
      <w:bookmarkStart w:id="23" w:name="_Toc35393795"/>
      <w:r>
        <w:rPr>
          <w:rFonts w:hint="eastAsia" w:ascii="仿宋" w:hAnsi="仿宋" w:eastAsia="仿宋" w:cs="仿宋"/>
          <w:b/>
          <w:bCs/>
          <w:color w:val="auto"/>
          <w:sz w:val="24"/>
          <w:szCs w:val="24"/>
        </w:rPr>
        <w:t>六、其他补充事宜</w:t>
      </w:r>
      <w:bookmarkEnd w:id="22"/>
      <w:bookmarkEnd w:id="23"/>
    </w:p>
    <w:p>
      <w:pPr>
        <w:ind w:firstLine="480" w:firstLineChars="200"/>
        <w:rPr>
          <w:rFonts w:ascii="仿宋" w:hAnsi="仿宋" w:eastAsia="仿宋" w:cs="仿宋"/>
          <w:color w:val="auto"/>
          <w:kern w:val="0"/>
          <w:sz w:val="24"/>
          <w:szCs w:val="24"/>
        </w:rPr>
      </w:pPr>
      <w:r>
        <w:rPr>
          <w:rFonts w:hint="eastAsia" w:ascii="仿宋" w:hAnsi="仿宋" w:eastAsia="仿宋" w:cs="仿宋"/>
          <w:color w:val="auto"/>
          <w:kern w:val="0"/>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pPr>
        <w:ind w:firstLine="480" w:firstLineChars="200"/>
        <w:rPr>
          <w:rFonts w:ascii="仿宋" w:hAnsi="仿宋" w:eastAsia="仿宋" w:cs="仿宋"/>
          <w:color w:val="auto"/>
          <w:kern w:val="0"/>
          <w:sz w:val="24"/>
          <w:szCs w:val="24"/>
        </w:rPr>
      </w:pPr>
      <w:r>
        <w:rPr>
          <w:rFonts w:hint="eastAsia" w:ascii="仿宋" w:hAnsi="仿宋" w:eastAsia="仿宋" w:cs="仿宋"/>
          <w:color w:val="auto"/>
          <w:kern w:val="0"/>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hAnsi="仿宋" w:eastAsia="仿宋" w:cs="仿宋"/>
          <w:b/>
          <w:bCs/>
          <w:color w:val="auto"/>
          <w:sz w:val="24"/>
        </w:rPr>
        <w:t>详见采购文件第七章。</w:t>
      </w:r>
    </w:p>
    <w:p>
      <w:pPr>
        <w:ind w:firstLine="480" w:firstLineChars="200"/>
        <w:rPr>
          <w:rFonts w:ascii="仿宋" w:hAnsi="仿宋" w:eastAsia="仿宋" w:cs="仿宋"/>
          <w:color w:val="auto"/>
          <w:kern w:val="0"/>
          <w:sz w:val="24"/>
          <w:szCs w:val="24"/>
        </w:rPr>
      </w:pPr>
      <w:r>
        <w:rPr>
          <w:rFonts w:hint="eastAsia" w:ascii="仿宋" w:hAnsi="仿宋" w:eastAsia="仿宋" w:cs="仿宋"/>
          <w:color w:val="auto"/>
          <w:kern w:val="0"/>
          <w:sz w:val="24"/>
          <w:szCs w:val="24"/>
        </w:rPr>
        <w:t>3.其他事项：</w:t>
      </w:r>
      <w:r>
        <w:rPr>
          <w:rFonts w:hint="eastAsia" w:ascii="仿宋" w:hAnsi="仿宋" w:eastAsia="仿宋" w:cs="仿宋"/>
          <w:color w:val="auto"/>
          <w:kern w:val="0"/>
          <w:sz w:val="24"/>
          <w:szCs w:val="24"/>
          <w:u w:val="wave"/>
        </w:rPr>
        <w:t>详见采购文件“采购公告补充事项”。（重要）</w:t>
      </w:r>
    </w:p>
    <w:p>
      <w:pPr>
        <w:spacing w:before="312" w:beforeLines="100" w:after="312" w:afterLines="100"/>
        <w:rPr>
          <w:rFonts w:ascii="仿宋" w:hAnsi="仿宋" w:eastAsia="仿宋" w:cs="仿宋"/>
          <w:b/>
          <w:bCs/>
          <w:color w:val="auto"/>
          <w:sz w:val="24"/>
          <w:szCs w:val="24"/>
        </w:rPr>
      </w:pPr>
      <w:bookmarkStart w:id="24" w:name="_Toc35393627"/>
      <w:bookmarkStart w:id="25" w:name="_Toc28359085"/>
      <w:bookmarkStart w:id="26" w:name="_Toc28359008"/>
      <w:bookmarkStart w:id="27" w:name="_Toc35393796"/>
      <w:r>
        <w:rPr>
          <w:rFonts w:hint="eastAsia" w:ascii="仿宋" w:hAnsi="仿宋" w:eastAsia="仿宋" w:cs="仿宋"/>
          <w:b/>
          <w:bCs/>
          <w:color w:val="auto"/>
          <w:sz w:val="24"/>
          <w:szCs w:val="24"/>
        </w:rPr>
        <w:t>七、对本次招标提出询问、质疑、投诉，请按以下方式联系</w:t>
      </w:r>
      <w:bookmarkEnd w:id="24"/>
      <w:bookmarkEnd w:id="25"/>
      <w:bookmarkEnd w:id="26"/>
      <w:bookmarkEnd w:id="27"/>
    </w:p>
    <w:p>
      <w:pPr>
        <w:spacing w:line="360" w:lineRule="auto"/>
        <w:ind w:firstLine="720" w:firstLineChars="300"/>
        <w:rPr>
          <w:rFonts w:ascii="仿宋" w:hAnsi="仿宋" w:eastAsia="仿宋" w:cs="仿宋"/>
          <w:color w:val="auto"/>
          <w:sz w:val="24"/>
          <w:szCs w:val="24"/>
        </w:rPr>
      </w:pPr>
      <w:bookmarkStart w:id="28" w:name="_Toc28359087"/>
      <w:bookmarkStart w:id="29" w:name="_Toc28359010"/>
      <w:r>
        <w:rPr>
          <w:rFonts w:hint="eastAsia" w:ascii="仿宋" w:hAnsi="仿宋" w:eastAsia="仿宋" w:cs="仿宋"/>
          <w:color w:val="auto"/>
          <w:sz w:val="24"/>
          <w:szCs w:val="24"/>
        </w:rPr>
        <w:t>1.采购人信息</w:t>
      </w:r>
    </w:p>
    <w:p>
      <w:pPr>
        <w:spacing w:line="360" w:lineRule="auto"/>
        <w:ind w:firstLine="720" w:firstLineChars="300"/>
        <w:rPr>
          <w:rFonts w:ascii="仿宋" w:hAnsi="仿宋" w:eastAsia="仿宋" w:cs="仿宋"/>
          <w:color w:val="auto"/>
          <w:sz w:val="24"/>
          <w:szCs w:val="24"/>
          <w:u w:val="single"/>
        </w:rPr>
      </w:pPr>
      <w:r>
        <w:rPr>
          <w:rFonts w:hint="eastAsia" w:ascii="仿宋" w:hAnsi="仿宋" w:eastAsia="仿宋" w:cs="仿宋"/>
          <w:color w:val="auto"/>
          <w:sz w:val="24"/>
          <w:szCs w:val="24"/>
        </w:rPr>
        <w:t>名称：</w:t>
      </w:r>
      <w:r>
        <w:rPr>
          <w:rFonts w:hint="eastAsia" w:ascii="仿宋" w:hAnsi="仿宋" w:eastAsia="仿宋" w:cs="仿宋"/>
          <w:color w:val="auto"/>
          <w:sz w:val="24"/>
          <w:szCs w:val="24"/>
          <w:u w:val="single"/>
        </w:rPr>
        <w:t>　越城区交通运输局　</w:t>
      </w:r>
    </w:p>
    <w:p>
      <w:pPr>
        <w:spacing w:line="360" w:lineRule="auto"/>
        <w:ind w:firstLine="720" w:firstLineChars="300"/>
        <w:rPr>
          <w:rFonts w:ascii="仿宋" w:hAnsi="仿宋" w:eastAsia="仿宋" w:cs="仿宋"/>
          <w:color w:val="auto"/>
          <w:sz w:val="24"/>
          <w:szCs w:val="24"/>
          <w:u w:val="single"/>
        </w:rPr>
      </w:pPr>
      <w:r>
        <w:rPr>
          <w:rFonts w:hint="eastAsia" w:ascii="仿宋" w:hAnsi="仿宋" w:eastAsia="仿宋" w:cs="仿宋"/>
          <w:color w:val="auto"/>
          <w:sz w:val="24"/>
          <w:szCs w:val="24"/>
        </w:rPr>
        <w:t>地址：</w:t>
      </w:r>
      <w:r>
        <w:rPr>
          <w:rFonts w:hint="eastAsia" w:ascii="仿宋" w:hAnsi="仿宋" w:eastAsia="仿宋" w:cs="仿宋"/>
          <w:color w:val="auto"/>
          <w:sz w:val="24"/>
          <w:szCs w:val="24"/>
          <w:u w:val="single"/>
        </w:rPr>
        <w:t>　绍兴市越城区育贤路78号</w:t>
      </w:r>
    </w:p>
    <w:p>
      <w:pPr>
        <w:spacing w:line="360" w:lineRule="auto"/>
        <w:ind w:firstLine="720" w:firstLineChars="300"/>
        <w:rPr>
          <w:rFonts w:ascii="仿宋" w:hAnsi="仿宋" w:eastAsia="仿宋" w:cs="仿宋"/>
          <w:color w:val="auto"/>
          <w:sz w:val="24"/>
          <w:szCs w:val="24"/>
          <w:u w:val="single"/>
        </w:rPr>
      </w:pPr>
      <w:r>
        <w:rPr>
          <w:rFonts w:hint="eastAsia" w:ascii="仿宋" w:hAnsi="仿宋" w:eastAsia="仿宋" w:cs="仿宋"/>
          <w:color w:val="auto"/>
          <w:sz w:val="24"/>
          <w:szCs w:val="24"/>
        </w:rPr>
        <w:t>传真：</w:t>
      </w:r>
      <w:r>
        <w:rPr>
          <w:rFonts w:hint="eastAsia" w:ascii="仿宋" w:hAnsi="仿宋" w:eastAsia="仿宋" w:cs="仿宋"/>
          <w:color w:val="auto"/>
          <w:sz w:val="24"/>
          <w:szCs w:val="24"/>
          <w:u w:val="single"/>
        </w:rPr>
        <w:t>　　/　　</w:t>
      </w:r>
      <w:bookmarkStart w:id="30" w:name="_Toc28359009"/>
      <w:bookmarkStart w:id="31" w:name="_Toc28359086"/>
    </w:p>
    <w:p>
      <w:pPr>
        <w:spacing w:line="360" w:lineRule="auto"/>
        <w:ind w:firstLine="720" w:firstLineChars="300"/>
        <w:rPr>
          <w:rFonts w:ascii="仿宋" w:hAnsi="仿宋" w:eastAsia="仿宋" w:cs="仿宋"/>
          <w:color w:val="auto"/>
          <w:sz w:val="24"/>
          <w:szCs w:val="24"/>
          <w:u w:val="single"/>
        </w:rPr>
      </w:pPr>
      <w:r>
        <w:rPr>
          <w:rFonts w:hint="eastAsia" w:ascii="仿宋" w:hAnsi="仿宋" w:eastAsia="仿宋" w:cs="仿宋"/>
          <w:color w:val="auto"/>
          <w:sz w:val="24"/>
          <w:szCs w:val="24"/>
        </w:rPr>
        <w:t>项目</w:t>
      </w:r>
      <w:r>
        <w:rPr>
          <w:rFonts w:hint="eastAsia" w:ascii="仿宋" w:hAnsi="仿宋" w:eastAsia="仿宋" w:cs="仿宋"/>
          <w:color w:val="auto"/>
          <w:sz w:val="24"/>
          <w:szCs w:val="24"/>
        </w:rPr>
        <w:t>联系人（询问）：</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eastAsia="zh-CN"/>
        </w:rPr>
        <w:t>高峰</w:t>
      </w:r>
      <w:r>
        <w:rPr>
          <w:rFonts w:hint="eastAsia" w:ascii="仿宋" w:hAnsi="仿宋" w:eastAsia="仿宋" w:cs="仿宋"/>
          <w:color w:val="auto"/>
          <w:sz w:val="24"/>
          <w:szCs w:val="24"/>
          <w:u w:val="single"/>
        </w:rPr>
        <w:t xml:space="preserve"> </w:t>
      </w:r>
      <w:r>
        <w:rPr>
          <w:rFonts w:ascii="仿宋" w:hAnsi="仿宋" w:eastAsia="仿宋" w:cs="仿宋"/>
          <w:color w:val="auto"/>
          <w:sz w:val="24"/>
          <w:szCs w:val="24"/>
          <w:u w:val="single"/>
        </w:rPr>
        <w:t xml:space="preserve">  </w:t>
      </w:r>
    </w:p>
    <w:p>
      <w:pPr>
        <w:spacing w:line="360" w:lineRule="auto"/>
        <w:ind w:firstLine="720" w:firstLineChars="300"/>
        <w:rPr>
          <w:rFonts w:ascii="仿宋" w:hAnsi="仿宋" w:eastAsia="仿宋" w:cs="仿宋"/>
          <w:color w:val="auto"/>
          <w:sz w:val="24"/>
          <w:szCs w:val="24"/>
          <w:u w:val="single"/>
        </w:rPr>
      </w:pPr>
      <w:r>
        <w:rPr>
          <w:rFonts w:hint="eastAsia" w:ascii="仿宋" w:hAnsi="仿宋" w:eastAsia="仿宋" w:cs="仿宋"/>
          <w:color w:val="auto"/>
          <w:sz w:val="24"/>
          <w:szCs w:val="24"/>
        </w:rPr>
        <w:t>项目联系方式（询问）：</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13757585314</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　</w:t>
      </w:r>
    </w:p>
    <w:p>
      <w:pPr>
        <w:spacing w:line="360" w:lineRule="auto"/>
        <w:ind w:firstLine="720" w:firstLineChars="300"/>
        <w:rPr>
          <w:rFonts w:ascii="仿宋" w:hAnsi="仿宋" w:eastAsia="仿宋" w:cs="仿宋"/>
          <w:color w:val="auto"/>
          <w:sz w:val="24"/>
          <w:szCs w:val="24"/>
          <w:u w:val="single"/>
        </w:rPr>
      </w:pPr>
      <w:r>
        <w:rPr>
          <w:rFonts w:hint="eastAsia" w:ascii="仿宋" w:hAnsi="仿宋" w:eastAsia="仿宋" w:cs="仿宋"/>
          <w:color w:val="auto"/>
          <w:sz w:val="24"/>
          <w:szCs w:val="24"/>
        </w:rPr>
        <w:t>质疑联系人：</w:t>
      </w:r>
      <w:r>
        <w:rPr>
          <w:rFonts w:hint="eastAsia" w:ascii="仿宋" w:hAnsi="仿宋" w:eastAsia="仿宋" w:cs="仿宋"/>
          <w:color w:val="auto"/>
          <w:sz w:val="24"/>
          <w:szCs w:val="24"/>
          <w:u w:val="single"/>
        </w:rPr>
        <w:t xml:space="preserve"> 万建祥 </w:t>
      </w:r>
    </w:p>
    <w:p>
      <w:pPr>
        <w:spacing w:line="360" w:lineRule="auto"/>
        <w:ind w:firstLine="720" w:firstLineChars="300"/>
        <w:rPr>
          <w:rFonts w:ascii="仿宋" w:hAnsi="仿宋" w:eastAsia="仿宋" w:cs="仿宋"/>
          <w:color w:val="auto"/>
          <w:sz w:val="24"/>
          <w:szCs w:val="24"/>
          <w:u w:val="single"/>
        </w:rPr>
      </w:pPr>
      <w:r>
        <w:rPr>
          <w:rFonts w:hint="eastAsia" w:ascii="仿宋" w:hAnsi="仿宋" w:eastAsia="仿宋" w:cs="仿宋"/>
          <w:color w:val="auto"/>
          <w:sz w:val="24"/>
          <w:szCs w:val="24"/>
        </w:rPr>
        <w:t>质疑联系方式：</w:t>
      </w:r>
      <w:r>
        <w:rPr>
          <w:rFonts w:hint="eastAsia" w:ascii="仿宋" w:hAnsi="仿宋" w:eastAsia="仿宋" w:cs="仿宋"/>
          <w:color w:val="auto"/>
          <w:sz w:val="24"/>
          <w:szCs w:val="24"/>
          <w:u w:val="single"/>
        </w:rPr>
        <w:t xml:space="preserve">　0575-88261661　 </w:t>
      </w:r>
    </w:p>
    <w:p>
      <w:pPr>
        <w:spacing w:line="360" w:lineRule="auto"/>
        <w:ind w:firstLine="720" w:firstLineChars="300"/>
        <w:rPr>
          <w:rFonts w:ascii="仿宋" w:hAnsi="仿宋" w:eastAsia="仿宋" w:cs="仿宋"/>
          <w:color w:val="auto"/>
          <w:sz w:val="24"/>
          <w:szCs w:val="24"/>
        </w:rPr>
      </w:pPr>
      <w:r>
        <w:rPr>
          <w:rFonts w:hint="eastAsia" w:ascii="仿宋" w:hAnsi="仿宋" w:eastAsia="仿宋" w:cs="仿宋"/>
          <w:color w:val="auto"/>
          <w:sz w:val="24"/>
          <w:szCs w:val="24"/>
        </w:rPr>
        <w:t>2.采购代理机构信息</w:t>
      </w:r>
      <w:bookmarkEnd w:id="30"/>
      <w:bookmarkEnd w:id="31"/>
    </w:p>
    <w:p>
      <w:pPr>
        <w:spacing w:line="360" w:lineRule="auto"/>
        <w:ind w:firstLine="720" w:firstLineChars="300"/>
        <w:rPr>
          <w:rFonts w:ascii="仿宋" w:hAnsi="仿宋" w:eastAsia="仿宋" w:cs="仿宋"/>
          <w:color w:val="auto"/>
          <w:sz w:val="24"/>
          <w:szCs w:val="24"/>
          <w:u w:val="single"/>
        </w:rPr>
      </w:pPr>
      <w:r>
        <w:rPr>
          <w:rFonts w:hint="eastAsia" w:ascii="仿宋" w:hAnsi="仿宋" w:eastAsia="仿宋" w:cs="仿宋"/>
          <w:color w:val="auto"/>
          <w:sz w:val="24"/>
          <w:szCs w:val="24"/>
        </w:rPr>
        <w:t>名称：</w:t>
      </w:r>
      <w:r>
        <w:rPr>
          <w:rFonts w:hint="eastAsia" w:ascii="仿宋" w:hAnsi="仿宋" w:eastAsia="仿宋" w:cs="仿宋"/>
          <w:color w:val="auto"/>
          <w:sz w:val="24"/>
          <w:szCs w:val="24"/>
          <w:u w:val="single"/>
        </w:rPr>
        <w:t>　浙江同欣工程管理有限公司　</w:t>
      </w:r>
    </w:p>
    <w:p>
      <w:pPr>
        <w:spacing w:line="360" w:lineRule="auto"/>
        <w:ind w:firstLine="720" w:firstLineChars="300"/>
        <w:rPr>
          <w:rFonts w:ascii="仿宋" w:hAnsi="仿宋" w:eastAsia="仿宋" w:cs="仿宋"/>
          <w:color w:val="auto"/>
          <w:sz w:val="24"/>
          <w:szCs w:val="24"/>
          <w:u w:val="single"/>
        </w:rPr>
      </w:pPr>
      <w:r>
        <w:rPr>
          <w:rFonts w:hint="eastAsia" w:ascii="仿宋" w:hAnsi="仿宋" w:eastAsia="仿宋" w:cs="仿宋"/>
          <w:color w:val="auto"/>
          <w:sz w:val="24"/>
          <w:szCs w:val="24"/>
        </w:rPr>
        <w:t>地址：</w:t>
      </w:r>
      <w:r>
        <w:rPr>
          <w:rFonts w:hint="eastAsia" w:ascii="仿宋" w:hAnsi="仿宋" w:eastAsia="仿宋" w:cs="仿宋"/>
          <w:color w:val="auto"/>
          <w:sz w:val="24"/>
          <w:szCs w:val="24"/>
          <w:u w:val="single"/>
        </w:rPr>
        <w:t>　绍兴市罗东公寓22幢2楼204室　</w:t>
      </w:r>
    </w:p>
    <w:p>
      <w:pPr>
        <w:spacing w:line="360" w:lineRule="auto"/>
        <w:ind w:firstLine="720" w:firstLineChars="300"/>
        <w:rPr>
          <w:rFonts w:ascii="仿宋" w:hAnsi="仿宋" w:eastAsia="仿宋" w:cs="仿宋"/>
          <w:color w:val="auto"/>
          <w:sz w:val="24"/>
          <w:szCs w:val="24"/>
          <w:u w:val="single"/>
        </w:rPr>
      </w:pPr>
      <w:r>
        <w:rPr>
          <w:rFonts w:hint="eastAsia" w:ascii="仿宋" w:hAnsi="仿宋" w:eastAsia="仿宋" w:cs="仿宋"/>
          <w:color w:val="auto"/>
          <w:sz w:val="24"/>
          <w:szCs w:val="24"/>
        </w:rPr>
        <w:t>传真：</w:t>
      </w:r>
      <w:r>
        <w:rPr>
          <w:rFonts w:hint="eastAsia" w:ascii="仿宋" w:hAnsi="仿宋" w:eastAsia="仿宋" w:cs="仿宋"/>
          <w:color w:val="auto"/>
          <w:sz w:val="24"/>
          <w:szCs w:val="24"/>
          <w:u w:val="single"/>
        </w:rPr>
        <w:t xml:space="preserve">　　/　　 </w:t>
      </w:r>
    </w:p>
    <w:p>
      <w:pPr>
        <w:spacing w:line="360" w:lineRule="auto"/>
        <w:ind w:firstLine="720" w:firstLineChars="300"/>
        <w:rPr>
          <w:rFonts w:ascii="仿宋" w:hAnsi="仿宋" w:eastAsia="仿宋" w:cs="仿宋"/>
          <w:color w:val="auto"/>
          <w:sz w:val="24"/>
          <w:szCs w:val="24"/>
          <w:u w:val="single"/>
        </w:rPr>
      </w:pPr>
      <w:r>
        <w:rPr>
          <w:rFonts w:hint="eastAsia" w:ascii="仿宋" w:hAnsi="仿宋" w:eastAsia="仿宋" w:cs="仿宋"/>
          <w:color w:val="auto"/>
          <w:sz w:val="24"/>
          <w:szCs w:val="24"/>
        </w:rPr>
        <w:t>项目联系人（询问）：</w:t>
      </w:r>
      <w:r>
        <w:rPr>
          <w:rFonts w:hint="eastAsia" w:ascii="仿宋" w:hAnsi="仿宋" w:eastAsia="仿宋" w:cs="仿宋"/>
          <w:color w:val="auto"/>
          <w:sz w:val="24"/>
          <w:szCs w:val="24"/>
          <w:u w:val="single"/>
        </w:rPr>
        <w:t xml:space="preserve">　　王樑浩　 </w:t>
      </w:r>
    </w:p>
    <w:p>
      <w:pPr>
        <w:spacing w:line="360" w:lineRule="auto"/>
        <w:ind w:firstLine="720" w:firstLineChars="300"/>
        <w:rPr>
          <w:rFonts w:ascii="仿宋" w:hAnsi="仿宋" w:eastAsia="仿宋" w:cs="仿宋"/>
          <w:color w:val="auto"/>
          <w:sz w:val="24"/>
          <w:szCs w:val="24"/>
          <w:u w:val="single"/>
        </w:rPr>
      </w:pPr>
      <w:r>
        <w:rPr>
          <w:rFonts w:hint="eastAsia" w:ascii="仿宋" w:hAnsi="仿宋" w:eastAsia="仿宋" w:cs="仿宋"/>
          <w:color w:val="auto"/>
          <w:sz w:val="24"/>
          <w:szCs w:val="24"/>
        </w:rPr>
        <w:t>项目联系方式（询问）：</w:t>
      </w:r>
      <w:r>
        <w:rPr>
          <w:rFonts w:hint="eastAsia" w:ascii="仿宋" w:hAnsi="仿宋" w:eastAsia="仿宋" w:cs="仿宋"/>
          <w:color w:val="auto"/>
          <w:sz w:val="24"/>
          <w:szCs w:val="24"/>
          <w:u w:val="single"/>
        </w:rPr>
        <w:t xml:space="preserve">　15267598817 </w:t>
      </w:r>
    </w:p>
    <w:p>
      <w:pPr>
        <w:spacing w:line="360" w:lineRule="auto"/>
        <w:ind w:firstLine="720" w:firstLineChars="300"/>
        <w:rPr>
          <w:rFonts w:ascii="仿宋" w:hAnsi="仿宋" w:eastAsia="仿宋" w:cs="仿宋"/>
          <w:color w:val="auto"/>
          <w:sz w:val="24"/>
          <w:szCs w:val="24"/>
          <w:u w:val="single"/>
        </w:rPr>
      </w:pPr>
      <w:r>
        <w:rPr>
          <w:rFonts w:hint="eastAsia" w:ascii="仿宋" w:hAnsi="仿宋" w:eastAsia="仿宋" w:cs="仿宋"/>
          <w:color w:val="auto"/>
          <w:sz w:val="24"/>
          <w:szCs w:val="24"/>
        </w:rPr>
        <w:t>质疑联系人：</w:t>
      </w:r>
      <w:r>
        <w:rPr>
          <w:rFonts w:hint="eastAsia" w:ascii="仿宋" w:hAnsi="仿宋" w:eastAsia="仿宋" w:cs="仿宋"/>
          <w:color w:val="auto"/>
          <w:sz w:val="24"/>
          <w:szCs w:val="24"/>
          <w:u w:val="single"/>
        </w:rPr>
        <w:t>　　罗湘远　　</w:t>
      </w:r>
    </w:p>
    <w:p>
      <w:pPr>
        <w:spacing w:line="360" w:lineRule="auto"/>
        <w:ind w:firstLine="720" w:firstLineChars="300"/>
        <w:rPr>
          <w:rFonts w:ascii="仿宋" w:hAnsi="仿宋" w:eastAsia="仿宋" w:cs="仿宋"/>
          <w:color w:val="auto"/>
          <w:sz w:val="24"/>
          <w:szCs w:val="24"/>
        </w:rPr>
      </w:pPr>
      <w:r>
        <w:rPr>
          <w:rFonts w:hint="eastAsia" w:ascii="仿宋" w:hAnsi="仿宋" w:eastAsia="仿宋" w:cs="仿宋"/>
          <w:color w:val="auto"/>
          <w:sz w:val="24"/>
          <w:szCs w:val="24"/>
        </w:rPr>
        <w:t>质疑联系方式：</w:t>
      </w:r>
      <w:r>
        <w:rPr>
          <w:rFonts w:hint="eastAsia" w:ascii="仿宋" w:hAnsi="仿宋" w:eastAsia="仿宋" w:cs="仿宋"/>
          <w:color w:val="auto"/>
          <w:sz w:val="24"/>
          <w:szCs w:val="24"/>
          <w:u w:val="single"/>
        </w:rPr>
        <w:t>　13735205277　</w:t>
      </w:r>
      <w:r>
        <w:rPr>
          <w:rFonts w:hint="eastAsia" w:ascii="仿宋" w:hAnsi="仿宋" w:eastAsia="仿宋" w:cs="仿宋"/>
          <w:color w:val="auto"/>
          <w:sz w:val="24"/>
          <w:szCs w:val="24"/>
        </w:rPr>
        <w:t xml:space="preserve">　 </w:t>
      </w:r>
    </w:p>
    <w:p>
      <w:pPr>
        <w:spacing w:line="360" w:lineRule="auto"/>
        <w:ind w:firstLine="720" w:firstLineChars="300"/>
        <w:rPr>
          <w:rFonts w:ascii="仿宋" w:hAnsi="仿宋" w:eastAsia="仿宋" w:cs="仿宋"/>
          <w:color w:val="auto"/>
          <w:sz w:val="24"/>
          <w:szCs w:val="24"/>
          <w:u w:val="single"/>
        </w:rPr>
      </w:pPr>
      <w:r>
        <w:rPr>
          <w:rFonts w:hint="eastAsia" w:ascii="仿宋" w:hAnsi="仿宋" w:eastAsia="仿宋" w:cs="仿宋"/>
          <w:color w:val="auto"/>
          <w:sz w:val="24"/>
          <w:szCs w:val="24"/>
        </w:rPr>
        <w:t>3.</w:t>
      </w:r>
      <w:bookmarkEnd w:id="28"/>
      <w:bookmarkEnd w:id="29"/>
      <w:r>
        <w:rPr>
          <w:rFonts w:hint="eastAsia" w:ascii="仿宋" w:hAnsi="仿宋" w:eastAsia="仿宋" w:cs="仿宋"/>
          <w:color w:val="auto"/>
          <w:sz w:val="24"/>
          <w:szCs w:val="24"/>
        </w:rPr>
        <w:t>同级政府采购监督管理部门</w:t>
      </w:r>
    </w:p>
    <w:p>
      <w:pPr>
        <w:spacing w:line="360" w:lineRule="auto"/>
        <w:ind w:left="1079" w:leftChars="371" w:hanging="300" w:hangingChars="125"/>
        <w:jc w:val="left"/>
        <w:rPr>
          <w:rFonts w:ascii="仿宋" w:hAnsi="仿宋" w:eastAsia="仿宋" w:cs="仿宋"/>
          <w:color w:val="auto"/>
          <w:sz w:val="24"/>
          <w:szCs w:val="24"/>
        </w:rPr>
      </w:pPr>
      <w:r>
        <w:rPr>
          <w:rFonts w:hint="eastAsia" w:ascii="仿宋" w:hAnsi="仿宋" w:eastAsia="仿宋" w:cs="仿宋"/>
          <w:color w:val="auto"/>
          <w:sz w:val="24"/>
          <w:szCs w:val="24"/>
        </w:rPr>
        <w:t>名称：</w:t>
      </w:r>
      <w:r>
        <w:rPr>
          <w:rFonts w:hint="eastAsia" w:ascii="仿宋" w:hAnsi="仿宋" w:eastAsia="仿宋" w:cs="仿宋"/>
          <w:color w:val="auto"/>
          <w:sz w:val="24"/>
          <w:szCs w:val="24"/>
          <w:u w:val="single"/>
        </w:rPr>
        <w:t>　绍兴市越城区财政局　　　　</w:t>
      </w:r>
    </w:p>
    <w:p>
      <w:pPr>
        <w:spacing w:line="360" w:lineRule="auto"/>
        <w:ind w:left="1079" w:leftChars="371" w:hanging="300" w:hangingChars="125"/>
        <w:jc w:val="left"/>
        <w:rPr>
          <w:rFonts w:ascii="仿宋" w:hAnsi="仿宋" w:eastAsia="仿宋" w:cs="仿宋"/>
          <w:color w:val="auto"/>
          <w:sz w:val="24"/>
          <w:szCs w:val="24"/>
        </w:rPr>
      </w:pPr>
      <w:r>
        <w:rPr>
          <w:rFonts w:hint="eastAsia" w:ascii="仿宋" w:hAnsi="仿宋" w:eastAsia="仿宋" w:cs="仿宋"/>
          <w:color w:val="auto"/>
          <w:sz w:val="24"/>
          <w:szCs w:val="24"/>
        </w:rPr>
        <w:t>地址：</w:t>
      </w:r>
      <w:r>
        <w:rPr>
          <w:rFonts w:hint="eastAsia" w:ascii="仿宋" w:hAnsi="仿宋" w:eastAsia="仿宋" w:cs="仿宋"/>
          <w:color w:val="auto"/>
          <w:sz w:val="24"/>
          <w:szCs w:val="24"/>
          <w:u w:val="single"/>
        </w:rPr>
        <w:t xml:space="preserve">　浙江省绍兴市人民东路1187号 </w:t>
      </w:r>
    </w:p>
    <w:p>
      <w:pPr>
        <w:spacing w:line="360" w:lineRule="auto"/>
        <w:ind w:left="1079" w:leftChars="371" w:hanging="300" w:hangingChars="125"/>
        <w:jc w:val="left"/>
        <w:rPr>
          <w:rFonts w:ascii="仿宋" w:hAnsi="仿宋" w:eastAsia="仿宋" w:cs="仿宋"/>
          <w:color w:val="auto"/>
          <w:sz w:val="24"/>
          <w:szCs w:val="24"/>
          <w:u w:val="single"/>
        </w:rPr>
      </w:pPr>
      <w:r>
        <w:rPr>
          <w:rFonts w:hint="eastAsia" w:ascii="仿宋" w:hAnsi="仿宋" w:eastAsia="仿宋" w:cs="仿宋"/>
          <w:color w:val="auto"/>
          <w:sz w:val="24"/>
          <w:szCs w:val="24"/>
        </w:rPr>
        <w:t>传真：</w:t>
      </w:r>
      <w:r>
        <w:rPr>
          <w:rFonts w:hint="eastAsia" w:ascii="仿宋" w:hAnsi="仿宋" w:eastAsia="仿宋" w:cs="仿宋"/>
          <w:color w:val="auto"/>
          <w:sz w:val="24"/>
          <w:szCs w:val="24"/>
          <w:u w:val="single"/>
        </w:rPr>
        <w:t xml:space="preserve">　　　　　　/　　　　　 </w:t>
      </w:r>
    </w:p>
    <w:p>
      <w:pPr>
        <w:pStyle w:val="17"/>
        <w:spacing w:line="360" w:lineRule="auto"/>
        <w:ind w:firstLine="720" w:firstLineChars="300"/>
        <w:rPr>
          <w:rFonts w:ascii="仿宋" w:hAnsi="仿宋" w:eastAsia="仿宋" w:cs="仿宋"/>
          <w:color w:val="auto"/>
          <w:sz w:val="24"/>
          <w:szCs w:val="24"/>
        </w:rPr>
      </w:pPr>
      <w:r>
        <w:rPr>
          <w:rFonts w:hint="eastAsia" w:ascii="仿宋" w:hAnsi="仿宋" w:eastAsia="仿宋" w:cs="仿宋"/>
          <w:color w:val="auto"/>
          <w:sz w:val="24"/>
          <w:szCs w:val="24"/>
        </w:rPr>
        <w:t>联系人：</w:t>
      </w:r>
      <w:r>
        <w:rPr>
          <w:rFonts w:hint="eastAsia" w:ascii="仿宋" w:hAnsi="仿宋" w:eastAsia="仿宋" w:cs="仿宋"/>
          <w:color w:val="auto"/>
          <w:sz w:val="24"/>
          <w:szCs w:val="24"/>
          <w:u w:val="single"/>
        </w:rPr>
        <w:t>季扬</w:t>
      </w:r>
    </w:p>
    <w:p>
      <w:pPr>
        <w:spacing w:line="360" w:lineRule="auto"/>
        <w:ind w:firstLine="720" w:firstLineChars="300"/>
        <w:rPr>
          <w:rFonts w:ascii="仿宋" w:hAnsi="仿宋" w:eastAsia="仿宋" w:cs="仿宋"/>
          <w:color w:val="auto"/>
          <w:sz w:val="24"/>
          <w:szCs w:val="24"/>
          <w:u w:val="single"/>
        </w:rPr>
      </w:pPr>
      <w:r>
        <w:rPr>
          <w:rFonts w:hint="eastAsia" w:ascii="仿宋" w:hAnsi="仿宋" w:eastAsia="仿宋" w:cs="仿宋"/>
          <w:color w:val="auto"/>
          <w:sz w:val="24"/>
          <w:szCs w:val="24"/>
        </w:rPr>
        <w:t>监督投诉电话：</w:t>
      </w:r>
      <w:r>
        <w:rPr>
          <w:rFonts w:hint="eastAsia" w:ascii="仿宋" w:hAnsi="仿宋" w:eastAsia="仿宋" w:cs="仿宋"/>
          <w:color w:val="auto"/>
          <w:sz w:val="24"/>
          <w:szCs w:val="24"/>
          <w:u w:val="single"/>
        </w:rPr>
        <w:t>　0575-85221643　　　</w:t>
      </w:r>
    </w:p>
    <w:p>
      <w:pPr>
        <w:widowControl/>
        <w:ind w:firstLine="420" w:firstLineChars="200"/>
        <w:jc w:val="left"/>
        <w:rPr>
          <w:rFonts w:ascii="仿宋" w:hAnsi="仿宋" w:eastAsia="仿宋" w:cs="仿宋"/>
          <w:color w:val="auto"/>
          <w:szCs w:val="21"/>
        </w:rPr>
      </w:pPr>
      <w:r>
        <w:rPr>
          <w:rFonts w:hint="eastAsia" w:ascii="仿宋" w:hAnsi="仿宋" w:eastAsia="仿宋" w:cs="仿宋"/>
          <w:color w:val="auto"/>
          <w:szCs w:val="21"/>
        </w:rPr>
        <w:t>若对项目采购电子交易系统操作有疑问，可登录政采云（https://www.zcygov.cn/），点击右侧咨询小采，获取采小蜜智能服务管家帮助，或拨打政采云服务热线400-881-7190获取热线服务帮助。</w:t>
      </w:r>
    </w:p>
    <w:p>
      <w:pPr>
        <w:widowControl/>
        <w:ind w:firstLine="420" w:firstLineChars="200"/>
        <w:jc w:val="left"/>
        <w:rPr>
          <w:rFonts w:ascii="仿宋" w:hAnsi="仿宋" w:eastAsia="仿宋" w:cs="仿宋"/>
          <w:color w:val="auto"/>
          <w:szCs w:val="21"/>
        </w:rPr>
      </w:pPr>
      <w:r>
        <w:rPr>
          <w:rFonts w:hint="eastAsia" w:ascii="仿宋" w:hAnsi="仿宋" w:eastAsia="仿宋" w:cs="仿宋"/>
          <w:color w:val="auto"/>
          <w:szCs w:val="21"/>
        </w:rPr>
        <w:t>CA问题联系电话（人工）：汇信CA 400-888-4636；天谷CA 400-087-8198。</w:t>
      </w:r>
    </w:p>
    <w:p>
      <w:pPr>
        <w:widowControl/>
        <w:jc w:val="center"/>
        <w:rPr>
          <w:rFonts w:ascii="仿宋" w:hAnsi="仿宋" w:eastAsia="仿宋" w:cs="仿宋"/>
          <w:b/>
          <w:bCs/>
          <w:color w:val="auto"/>
          <w:sz w:val="44"/>
          <w:szCs w:val="44"/>
        </w:rPr>
      </w:pPr>
      <w:r>
        <w:rPr>
          <w:rFonts w:hint="eastAsia" w:ascii="仿宋" w:hAnsi="仿宋" w:eastAsia="仿宋" w:cs="仿宋"/>
          <w:color w:val="auto"/>
          <w:sz w:val="28"/>
          <w:szCs w:val="28"/>
        </w:rPr>
        <w:br w:type="page"/>
      </w:r>
      <w:r>
        <w:rPr>
          <w:rFonts w:hint="eastAsia" w:ascii="仿宋" w:hAnsi="仿宋" w:eastAsia="仿宋" w:cs="仿宋"/>
          <w:b/>
          <w:bCs/>
          <w:color w:val="auto"/>
          <w:sz w:val="44"/>
          <w:szCs w:val="44"/>
        </w:rPr>
        <w:t>采购公告补充事项</w:t>
      </w:r>
    </w:p>
    <w:p>
      <w:pPr>
        <w:numPr>
          <w:ilvl w:val="0"/>
          <w:numId w:val="3"/>
        </w:numPr>
        <w:spacing w:line="360" w:lineRule="auto"/>
        <w:rPr>
          <w:rFonts w:ascii="仿宋" w:hAnsi="仿宋" w:eastAsia="仿宋" w:cs="仿宋"/>
          <w:bCs/>
          <w:color w:val="auto"/>
          <w:sz w:val="24"/>
        </w:rPr>
      </w:pPr>
      <w:r>
        <w:rPr>
          <w:rFonts w:hint="eastAsia" w:ascii="仿宋" w:hAnsi="仿宋" w:eastAsia="仿宋" w:cs="仿宋"/>
          <w:b/>
          <w:bCs/>
          <w:color w:val="auto"/>
          <w:sz w:val="24"/>
        </w:rPr>
        <w:t>采购组织类型：</w:t>
      </w:r>
      <w:r>
        <w:rPr>
          <w:rFonts w:hint="eastAsia" w:ascii="仿宋" w:hAnsi="仿宋" w:eastAsia="仿宋" w:cs="仿宋"/>
          <w:bCs/>
          <w:color w:val="auto"/>
          <w:sz w:val="24"/>
          <w:u w:val="single"/>
        </w:rPr>
        <w:t xml:space="preserve"> </w:t>
      </w:r>
      <w:r>
        <w:rPr>
          <w:rFonts w:hint="eastAsia" w:ascii="仿宋" w:hAnsi="仿宋" w:eastAsia="仿宋" w:cs="仿宋"/>
          <w:b/>
          <w:color w:val="auto"/>
          <w:sz w:val="24"/>
          <w:u w:val="single"/>
        </w:rPr>
        <w:t>分散采购委托代理</w:t>
      </w:r>
      <w:r>
        <w:rPr>
          <w:rFonts w:hint="eastAsia" w:ascii="仿宋" w:hAnsi="仿宋" w:eastAsia="仿宋" w:cs="仿宋"/>
          <w:bCs/>
          <w:color w:val="auto"/>
          <w:sz w:val="24"/>
          <w:u w:val="single"/>
        </w:rPr>
        <w:t xml:space="preserve"> </w:t>
      </w:r>
    </w:p>
    <w:p>
      <w:pPr>
        <w:numPr>
          <w:ilvl w:val="0"/>
          <w:numId w:val="3"/>
        </w:numPr>
        <w:spacing w:line="360" w:lineRule="auto"/>
        <w:rPr>
          <w:rFonts w:ascii="仿宋" w:hAnsi="仿宋" w:eastAsia="仿宋" w:cs="仿宋"/>
          <w:bCs/>
          <w:color w:val="auto"/>
          <w:sz w:val="24"/>
        </w:rPr>
      </w:pPr>
      <w:r>
        <w:rPr>
          <w:rFonts w:hint="eastAsia" w:ascii="仿宋" w:hAnsi="仿宋" w:eastAsia="仿宋" w:cs="仿宋"/>
          <w:b/>
          <w:bCs/>
          <w:color w:val="auto"/>
          <w:sz w:val="24"/>
        </w:rPr>
        <w:t>采购类别：</w:t>
      </w:r>
      <w:r>
        <w:rPr>
          <w:rFonts w:hint="eastAsia" w:ascii="仿宋" w:hAnsi="仿宋" w:eastAsia="仿宋" w:cs="仿宋"/>
          <w:b/>
          <w:bCs/>
          <w:color w:val="auto"/>
          <w:sz w:val="24"/>
          <w:u w:val="single"/>
        </w:rPr>
        <w:t xml:space="preserve">   服务   </w:t>
      </w:r>
    </w:p>
    <w:p>
      <w:pPr>
        <w:numPr>
          <w:ilvl w:val="0"/>
          <w:numId w:val="3"/>
        </w:numPr>
        <w:spacing w:line="360" w:lineRule="auto"/>
        <w:rPr>
          <w:rFonts w:ascii="仿宋" w:hAnsi="仿宋" w:eastAsia="仿宋" w:cs="仿宋"/>
          <w:b/>
          <w:bCs/>
          <w:color w:val="auto"/>
          <w:sz w:val="24"/>
        </w:rPr>
      </w:pPr>
      <w:r>
        <w:rPr>
          <w:rFonts w:hint="eastAsia" w:ascii="仿宋" w:hAnsi="仿宋" w:eastAsia="仿宋" w:cs="仿宋"/>
          <w:b/>
          <w:bCs/>
          <w:color w:val="auto"/>
          <w:sz w:val="24"/>
        </w:rPr>
        <w:t>采购方式：</w:t>
      </w:r>
      <w:r>
        <w:rPr>
          <w:rFonts w:hint="eastAsia" w:ascii="仿宋" w:hAnsi="仿宋" w:eastAsia="仿宋" w:cs="仿宋"/>
          <w:bCs/>
          <w:color w:val="auto"/>
          <w:sz w:val="24"/>
          <w:u w:val="single"/>
        </w:rPr>
        <w:t xml:space="preserve">     </w:t>
      </w:r>
      <w:r>
        <w:rPr>
          <w:rFonts w:hint="eastAsia" w:ascii="仿宋" w:hAnsi="仿宋" w:eastAsia="仿宋" w:cs="仿宋"/>
          <w:b/>
          <w:bCs/>
          <w:color w:val="auto"/>
          <w:sz w:val="24"/>
          <w:u w:val="single"/>
        </w:rPr>
        <w:t>公开招标</w:t>
      </w:r>
      <w:r>
        <w:rPr>
          <w:rFonts w:hint="eastAsia" w:ascii="仿宋" w:hAnsi="仿宋" w:eastAsia="仿宋" w:cs="仿宋"/>
          <w:bCs/>
          <w:color w:val="auto"/>
          <w:sz w:val="24"/>
          <w:u w:val="single"/>
        </w:rPr>
        <w:t xml:space="preserve">     </w:t>
      </w:r>
    </w:p>
    <w:p>
      <w:pPr>
        <w:numPr>
          <w:ilvl w:val="0"/>
          <w:numId w:val="3"/>
        </w:numPr>
        <w:spacing w:line="360" w:lineRule="auto"/>
        <w:rPr>
          <w:rFonts w:ascii="仿宋" w:hAnsi="仿宋" w:eastAsia="仿宋" w:cs="仿宋"/>
          <w:b/>
          <w:bCs/>
          <w:color w:val="auto"/>
          <w:sz w:val="24"/>
        </w:rPr>
      </w:pPr>
      <w:r>
        <w:rPr>
          <w:rFonts w:hint="eastAsia" w:ascii="仿宋" w:hAnsi="仿宋" w:eastAsia="仿宋" w:cs="仿宋"/>
          <w:b/>
          <w:bCs/>
          <w:color w:val="auto"/>
          <w:sz w:val="24"/>
        </w:rPr>
        <w:t>资格审查方式：资格后审。</w:t>
      </w:r>
    </w:p>
    <w:p>
      <w:pPr>
        <w:numPr>
          <w:ilvl w:val="0"/>
          <w:numId w:val="3"/>
        </w:numPr>
        <w:spacing w:line="360" w:lineRule="auto"/>
        <w:rPr>
          <w:rFonts w:ascii="仿宋" w:hAnsi="仿宋" w:eastAsia="仿宋" w:cs="仿宋"/>
          <w:b/>
          <w:bCs/>
          <w:color w:val="auto"/>
          <w:sz w:val="24"/>
        </w:rPr>
      </w:pPr>
      <w:r>
        <w:rPr>
          <w:rFonts w:hint="eastAsia" w:ascii="仿宋" w:hAnsi="仿宋" w:eastAsia="仿宋" w:cs="仿宋"/>
          <w:b/>
          <w:bCs/>
          <w:color w:val="auto"/>
          <w:sz w:val="24"/>
        </w:rPr>
        <w:t>注意事项：</w:t>
      </w:r>
    </w:p>
    <w:p>
      <w:pPr>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1、单位负责人为同一人或者存在直接控股、管理关系的不同供应商，不得同时参加同一标项的投标。</w:t>
      </w:r>
    </w:p>
    <w:p>
      <w:pPr>
        <w:spacing w:line="36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2、为项目提供整体设计、规范编制或者项目管理、监理、检测等服务的供应商，不得再参加该采购项目的其他采购活动。</w:t>
      </w:r>
    </w:p>
    <w:p>
      <w:pPr>
        <w:spacing w:line="440" w:lineRule="exact"/>
        <w:ind w:firstLine="464" w:firstLineChars="200"/>
        <w:rPr>
          <w:rFonts w:ascii="仿宋" w:hAnsi="仿宋" w:eastAsia="仿宋" w:cs="仿宋"/>
          <w:color w:val="auto"/>
          <w:spacing w:val="-4"/>
          <w:sz w:val="24"/>
        </w:rPr>
      </w:pPr>
      <w:r>
        <w:rPr>
          <w:rFonts w:hint="eastAsia" w:ascii="仿宋" w:hAnsi="仿宋" w:eastAsia="仿宋" w:cs="仿宋"/>
          <w:color w:val="auto"/>
          <w:spacing w:val="-4"/>
          <w:sz w:val="24"/>
        </w:rPr>
        <w:t>3、请投标供应商务必认真学习网上相关培训课程。电子化交易准备工作详见</w:t>
      </w:r>
      <w:r>
        <w:rPr>
          <w:color w:val="auto"/>
        </w:rPr>
        <w:fldChar w:fldCharType="begin"/>
      </w:r>
      <w:r>
        <w:rPr>
          <w:color w:val="auto"/>
        </w:rPr>
        <w:instrText xml:space="preserve"> HYPERLINK "http://www.sxyc.gov.cn/art/2019/9/11/art_1559761_38044415.html" </w:instrText>
      </w:r>
      <w:r>
        <w:rPr>
          <w:color w:val="auto"/>
        </w:rPr>
        <w:fldChar w:fldCharType="separate"/>
      </w:r>
      <w:r>
        <w:rPr>
          <w:rStyle w:val="32"/>
          <w:rFonts w:hint="eastAsia" w:ascii="仿宋" w:hAnsi="仿宋" w:eastAsia="仿宋" w:cs="仿宋"/>
          <w:color w:val="auto"/>
          <w:spacing w:val="-4"/>
          <w:sz w:val="24"/>
        </w:rPr>
        <w:t>http://www.sxyc.gov.cn/art/2019/9/11/art_1559761_38044415.html</w:t>
      </w:r>
      <w:r>
        <w:rPr>
          <w:rStyle w:val="32"/>
          <w:rFonts w:hint="eastAsia" w:ascii="仿宋" w:hAnsi="仿宋" w:eastAsia="仿宋" w:cs="仿宋"/>
          <w:color w:val="auto"/>
          <w:spacing w:val="-4"/>
          <w:sz w:val="24"/>
        </w:rPr>
        <w:fldChar w:fldCharType="end"/>
      </w:r>
      <w:r>
        <w:rPr>
          <w:rFonts w:hint="eastAsia" w:ascii="仿宋" w:hAnsi="仿宋" w:eastAsia="仿宋" w:cs="仿宋"/>
          <w:color w:val="auto"/>
          <w:spacing w:val="-4"/>
          <w:sz w:val="24"/>
        </w:rPr>
        <w:t xml:space="preserve">  《关于做好政府采购项目电子化交易准备工作的通知》。</w:t>
      </w:r>
    </w:p>
    <w:p>
      <w:pPr>
        <w:spacing w:line="440" w:lineRule="exact"/>
        <w:ind w:firstLine="464" w:firstLineChars="200"/>
        <w:rPr>
          <w:rFonts w:ascii="仿宋" w:hAnsi="仿宋" w:eastAsia="仿宋" w:cs="仿宋"/>
          <w:color w:val="auto"/>
          <w:sz w:val="24"/>
        </w:rPr>
      </w:pPr>
      <w:r>
        <w:rPr>
          <w:rFonts w:hint="eastAsia" w:ascii="仿宋" w:hAnsi="仿宋" w:eastAsia="仿宋" w:cs="仿宋"/>
          <w:color w:val="auto"/>
          <w:spacing w:val="-4"/>
          <w:sz w:val="24"/>
        </w:rPr>
        <w:t>4、</w:t>
      </w:r>
      <w:r>
        <w:rPr>
          <w:rFonts w:hint="eastAsia" w:ascii="仿宋" w:hAnsi="仿宋" w:eastAsia="仿宋" w:cs="仿宋"/>
          <w:color w:val="auto"/>
          <w:sz w:val="24"/>
        </w:rPr>
        <w:t>供应商-政府采购项目电子交易操作指南：</w:t>
      </w:r>
      <w:r>
        <w:rPr>
          <w:rStyle w:val="32"/>
          <w:rFonts w:hint="eastAsia" w:ascii="仿宋" w:hAnsi="仿宋" w:eastAsia="仿宋" w:cs="仿宋"/>
          <w:color w:val="auto"/>
          <w:sz w:val="24"/>
          <w:szCs w:val="24"/>
        </w:rPr>
        <w:t>https://service.zcygov.cn/#/knowledges/CW1EtGwBFdiHxlNd6I3m/6IMVAG0BFdiHxlNdQ8Na</w:t>
      </w:r>
      <w:r>
        <w:rPr>
          <w:rFonts w:hint="eastAsia" w:ascii="仿宋" w:hAnsi="仿宋" w:eastAsia="仿宋" w:cs="仿宋"/>
          <w:color w:val="auto"/>
          <w:sz w:val="24"/>
        </w:rPr>
        <w:t>。</w:t>
      </w:r>
    </w:p>
    <w:p>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5、CA申领需要时间，请各潜在投标供应商及时办理和绑定。</w:t>
      </w:r>
    </w:p>
    <w:p>
      <w:pPr>
        <w:spacing w:line="3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6、获取采购文件后不参加投标的供应商，须向采购代理机构提供书面说明。</w:t>
      </w:r>
    </w:p>
    <w:p>
      <w:pPr>
        <w:spacing w:line="360" w:lineRule="exact"/>
        <w:ind w:firstLine="480" w:firstLineChars="200"/>
        <w:rPr>
          <w:rFonts w:ascii="仿宋" w:hAnsi="仿宋" w:eastAsia="仿宋" w:cs="仿宋"/>
          <w:color w:val="auto"/>
          <w:sz w:val="24"/>
        </w:rPr>
      </w:pPr>
      <w:r>
        <w:rPr>
          <w:rFonts w:hint="eastAsia" w:ascii="仿宋" w:hAnsi="仿宋" w:eastAsia="仿宋" w:cs="仿宋"/>
          <w:b/>
          <w:bCs/>
          <w:color w:val="auto"/>
          <w:sz w:val="24"/>
        </w:rPr>
        <w:t>7、需登陆政采云平台后在交易系统内获取采购文件，只网站下载不视为获取。</w:t>
      </w:r>
    </w:p>
    <w:p>
      <w:pPr>
        <w:spacing w:line="360" w:lineRule="exact"/>
        <w:ind w:firstLine="480" w:firstLineChars="200"/>
        <w:rPr>
          <w:rFonts w:ascii="仿宋" w:hAnsi="仿宋" w:eastAsia="仿宋" w:cs="仿宋"/>
          <w:color w:val="auto"/>
          <w:sz w:val="24"/>
        </w:rPr>
      </w:pPr>
      <w:r>
        <w:rPr>
          <w:rFonts w:hint="eastAsia" w:ascii="仿宋" w:hAnsi="仿宋" w:eastAsia="仿宋" w:cs="仿宋"/>
          <w:b/>
          <w:bCs/>
          <w:color w:val="auto"/>
          <w:sz w:val="24"/>
        </w:rPr>
        <w:t>8、预留充足时间上传加密电子投标文件（建议提前一天，供应商解密电子投标文件前处于加密状态）。</w:t>
      </w:r>
    </w:p>
    <w:p>
      <w:pPr>
        <w:spacing w:line="360" w:lineRule="auto"/>
        <w:ind w:firstLine="348" w:firstLineChars="150"/>
        <w:rPr>
          <w:rFonts w:ascii="仿宋" w:hAnsi="仿宋" w:eastAsia="仿宋" w:cs="仿宋"/>
          <w:bCs/>
          <w:color w:val="auto"/>
          <w:sz w:val="24"/>
        </w:rPr>
      </w:pPr>
      <w:r>
        <w:rPr>
          <w:rFonts w:hint="eastAsia" w:ascii="仿宋" w:hAnsi="仿宋" w:eastAsia="仿宋" w:cs="仿宋"/>
          <w:b/>
          <w:bCs/>
          <w:color w:val="auto"/>
          <w:spacing w:val="-4"/>
          <w:sz w:val="24"/>
        </w:rPr>
        <w:t>六、</w:t>
      </w:r>
      <w:r>
        <w:rPr>
          <w:rFonts w:hint="eastAsia" w:ascii="仿宋" w:hAnsi="仿宋" w:eastAsia="仿宋" w:cs="仿宋"/>
          <w:b/>
          <w:color w:val="auto"/>
          <w:spacing w:val="-4"/>
          <w:sz w:val="24"/>
        </w:rPr>
        <w:t>采购公告及更正公告发布网址：</w:t>
      </w:r>
      <w:bookmarkStart w:id="32" w:name="_Hlt10553106"/>
      <w:bookmarkEnd w:id="32"/>
      <w:bookmarkStart w:id="33" w:name="_Hlt10553107"/>
      <w:bookmarkEnd w:id="33"/>
      <w:r>
        <w:rPr>
          <w:rFonts w:hint="eastAsia" w:ascii="仿宋" w:hAnsi="仿宋" w:eastAsia="仿宋" w:cs="仿宋"/>
          <w:color w:val="auto"/>
          <w:spacing w:val="-4"/>
          <w:sz w:val="24"/>
        </w:rPr>
        <w:t>http://zfcg.czt.zj.gov.cn/</w:t>
      </w:r>
      <w:r>
        <w:rPr>
          <w:rFonts w:hint="eastAsia" w:ascii="仿宋" w:hAnsi="仿宋" w:eastAsia="仿宋" w:cs="仿宋"/>
          <w:color w:val="auto"/>
          <w:spacing w:val="-4"/>
          <w:sz w:val="24"/>
        </w:rPr>
        <w:t>和http://www.sxyc.gov.cn/公共资源交易板块。更正公告</w:t>
      </w:r>
      <w:r>
        <w:rPr>
          <w:rFonts w:hint="eastAsia" w:ascii="仿宋" w:hAnsi="仿宋" w:eastAsia="仿宋" w:cs="仿宋"/>
          <w:bCs/>
          <w:color w:val="auto"/>
          <w:sz w:val="24"/>
        </w:rPr>
        <w:t>请自行登录政采云平台或在浙江政府采购网更正公告页面或越城区人民政府门户网站采购公告页面中下载。</w:t>
      </w:r>
    </w:p>
    <w:p>
      <w:pPr>
        <w:spacing w:line="380" w:lineRule="exact"/>
        <w:rPr>
          <w:rFonts w:ascii="仿宋" w:hAnsi="仿宋" w:eastAsia="仿宋" w:cs="仿宋"/>
          <w:b/>
          <w:color w:val="auto"/>
          <w:sz w:val="24"/>
        </w:rPr>
      </w:pPr>
      <w:r>
        <w:rPr>
          <w:rFonts w:hint="eastAsia" w:ascii="仿宋" w:hAnsi="仿宋" w:eastAsia="仿宋" w:cs="仿宋"/>
          <w:b/>
          <w:color w:val="auto"/>
          <w:sz w:val="24"/>
        </w:rPr>
        <w:t>七、供应商入驻</w:t>
      </w:r>
      <w:r>
        <w:rPr>
          <w:rFonts w:hint="eastAsia" w:ascii="仿宋" w:hAnsi="仿宋" w:eastAsia="仿宋" w:cs="仿宋"/>
          <w:color w:val="auto"/>
          <w:sz w:val="24"/>
        </w:rPr>
        <w:t>（无需提交纸质资料现场审核）：</w:t>
      </w:r>
    </w:p>
    <w:p>
      <w:pPr>
        <w:spacing w:line="360" w:lineRule="exact"/>
        <w:ind w:firstLine="480" w:firstLineChars="200"/>
        <w:rPr>
          <w:rFonts w:ascii="仿宋" w:hAnsi="仿宋" w:eastAsia="仿宋" w:cs="仿宋"/>
          <w:color w:val="auto"/>
          <w:sz w:val="24"/>
        </w:rPr>
      </w:pPr>
      <w:r>
        <w:rPr>
          <w:rFonts w:hint="eastAsia" w:ascii="仿宋" w:hAnsi="仿宋" w:eastAsia="仿宋" w:cs="仿宋"/>
          <w:color w:val="auto"/>
          <w:sz w:val="24"/>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hAnsi="仿宋" w:eastAsia="仿宋" w:cs="仿宋"/>
          <w:b/>
          <w:bCs/>
          <w:color w:val="auto"/>
          <w:sz w:val="24"/>
        </w:rPr>
        <w:t>越城区内企业入驻咨询电话：0575-89116928；非越城区内企业入驻详询当地集中采购机构；浙江省外企业入驻咨询电话：400-881-7190</w:t>
      </w:r>
    </w:p>
    <w:p>
      <w:pPr>
        <w:spacing w:line="360" w:lineRule="exact"/>
        <w:ind w:firstLine="480" w:firstLineChars="200"/>
        <w:rPr>
          <w:rFonts w:ascii="仿宋" w:hAnsi="仿宋" w:eastAsia="仿宋" w:cs="仿宋"/>
          <w:color w:val="auto"/>
          <w:sz w:val="24"/>
        </w:rPr>
      </w:pPr>
      <w:r>
        <w:rPr>
          <w:rFonts w:hint="eastAsia" w:ascii="仿宋" w:hAnsi="仿宋" w:eastAsia="仿宋" w:cs="仿宋"/>
          <w:b/>
          <w:bCs/>
          <w:color w:val="auto"/>
          <w:sz w:val="24"/>
        </w:rPr>
        <w:t>供应商入驻操作指南：</w:t>
      </w:r>
    </w:p>
    <w:p>
      <w:pPr>
        <w:spacing w:line="380" w:lineRule="exact"/>
        <w:rPr>
          <w:rFonts w:ascii="仿宋" w:hAnsi="仿宋" w:eastAsia="仿宋" w:cs="仿宋"/>
          <w:color w:val="auto"/>
        </w:rPr>
      </w:pPr>
      <w:r>
        <w:rPr>
          <w:rFonts w:hint="eastAsia" w:ascii="仿宋" w:hAnsi="仿宋" w:eastAsia="仿宋" w:cs="仿宋"/>
          <w:color w:val="auto"/>
        </w:rPr>
        <w:t>https://service.zcygov.cn/#/knowledges/cm2eqWwBFdiHxlNd_otq/w3Cd3GwBFdiHxlNd-BRD</w:t>
      </w:r>
    </w:p>
    <w:p>
      <w:pPr>
        <w:pStyle w:val="4"/>
        <w:rPr>
          <w:rFonts w:ascii="仿宋" w:hAnsi="仿宋" w:cs="仿宋"/>
          <w:color w:val="auto"/>
        </w:rPr>
      </w:pPr>
      <w:bookmarkStart w:id="34" w:name="_Toc1678"/>
      <w:r>
        <w:rPr>
          <w:rFonts w:hint="eastAsia" w:ascii="仿宋" w:hAnsi="仿宋" w:cs="仿宋"/>
          <w:color w:val="auto"/>
        </w:rPr>
        <w:t>第二章  投标人须知</w:t>
      </w:r>
      <w:bookmarkEnd w:id="34"/>
    </w:p>
    <w:p>
      <w:pPr>
        <w:pStyle w:val="5"/>
        <w:rPr>
          <w:rFonts w:ascii="仿宋" w:hAnsi="仿宋" w:cs="仿宋"/>
          <w:color w:val="auto"/>
        </w:rPr>
      </w:pPr>
      <w:bookmarkStart w:id="35" w:name="_Toc4885"/>
      <w:r>
        <w:rPr>
          <w:rFonts w:hint="eastAsia" w:ascii="仿宋" w:hAnsi="仿宋" w:cs="仿宋"/>
          <w:color w:val="auto"/>
        </w:rPr>
        <w:t>一、前附表</w:t>
      </w:r>
      <w:bookmarkEnd w:id="35"/>
    </w:p>
    <w:tbl>
      <w:tblPr>
        <w:tblStyle w:val="26"/>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3" w:afterLines="30" w:line="300" w:lineRule="exact"/>
              <w:jc w:val="center"/>
              <w:rPr>
                <w:rFonts w:ascii="仿宋" w:hAnsi="仿宋" w:eastAsia="仿宋" w:cs="仿宋"/>
                <w:color w:val="auto"/>
                <w:sz w:val="24"/>
              </w:rPr>
            </w:pPr>
            <w:r>
              <w:rPr>
                <w:rFonts w:hint="eastAsia" w:ascii="仿宋" w:hAnsi="仿宋" w:eastAsia="仿宋" w:cs="仿宋"/>
                <w:color w:val="auto"/>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3" w:afterLines="30" w:line="300" w:lineRule="exact"/>
              <w:jc w:val="center"/>
              <w:rPr>
                <w:rFonts w:ascii="仿宋" w:hAnsi="仿宋" w:eastAsia="仿宋" w:cs="仿宋"/>
                <w:color w:val="auto"/>
                <w:sz w:val="24"/>
              </w:rPr>
            </w:pPr>
            <w:r>
              <w:rPr>
                <w:rFonts w:hint="eastAsia" w:ascii="仿宋" w:hAnsi="仿宋" w:eastAsia="仿宋" w:cs="仿宋"/>
                <w:color w:val="auto"/>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auto"/>
                <w:sz w:val="24"/>
              </w:rPr>
            </w:pPr>
            <w:r>
              <w:rPr>
                <w:rFonts w:hint="eastAsia" w:ascii="仿宋" w:hAnsi="仿宋" w:eastAsia="仿宋" w:cs="仿宋"/>
                <w:color w:val="auto"/>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ascii="仿宋" w:hAnsi="仿宋" w:eastAsia="仿宋" w:cs="仿宋"/>
                <w:color w:val="auto"/>
                <w:sz w:val="24"/>
              </w:rPr>
            </w:pPr>
            <w:r>
              <w:rPr>
                <w:rFonts w:hint="eastAsia" w:ascii="仿宋" w:hAnsi="仿宋" w:eastAsia="仿宋" w:cs="仿宋"/>
                <w:b/>
                <w:color w:val="auto"/>
                <w:sz w:val="24"/>
              </w:rPr>
              <w:t>项目名称</w:t>
            </w:r>
            <w:r>
              <w:rPr>
                <w:rFonts w:hint="eastAsia" w:ascii="仿宋" w:hAnsi="仿宋" w:eastAsia="仿宋" w:cs="仿宋"/>
                <w:color w:val="auto"/>
                <w:sz w:val="24"/>
              </w:rPr>
              <w:t>：</w:t>
            </w:r>
            <w:r>
              <w:rPr>
                <w:rFonts w:hint="eastAsia" w:ascii="仿宋" w:hAnsi="仿宋" w:eastAsia="仿宋" w:cs="仿宋"/>
                <w:color w:val="auto"/>
                <w:sz w:val="24"/>
                <w:u w:val="single"/>
              </w:rPr>
              <w:t xml:space="preserve"> 越城区交通运输局监控中心项目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auto"/>
                <w:sz w:val="24"/>
              </w:rPr>
            </w:pPr>
            <w:r>
              <w:rPr>
                <w:rFonts w:hint="eastAsia" w:ascii="仿宋" w:hAnsi="仿宋" w:eastAsia="仿宋" w:cs="仿宋"/>
                <w:color w:val="auto"/>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hAnsi="仿宋" w:eastAsia="仿宋" w:cs="仿宋"/>
                <w:color w:val="auto"/>
                <w:sz w:val="24"/>
              </w:rPr>
            </w:pPr>
            <w:r>
              <w:rPr>
                <w:rFonts w:hint="eastAsia" w:ascii="仿宋" w:hAnsi="仿宋" w:eastAsia="仿宋" w:cs="仿宋"/>
                <w:b/>
                <w:color w:val="auto"/>
                <w:sz w:val="24"/>
              </w:rPr>
              <w:t>投标有效期：</w:t>
            </w:r>
            <w:r>
              <w:rPr>
                <w:rFonts w:hint="eastAsia" w:ascii="仿宋" w:hAnsi="仿宋" w:eastAsia="仿宋" w:cs="仿宋"/>
                <w:color w:val="auto"/>
                <w:sz w:val="24"/>
              </w:rPr>
              <w:t>自投标截止日起60天。如采购人认为必要，可延长至总计最长不超过90天。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auto"/>
                <w:sz w:val="24"/>
              </w:rPr>
            </w:pPr>
            <w:r>
              <w:rPr>
                <w:rFonts w:hint="eastAsia" w:ascii="仿宋" w:hAnsi="仿宋" w:eastAsia="仿宋" w:cs="仿宋"/>
                <w:color w:val="auto"/>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hAnsi="仿宋" w:eastAsia="仿宋" w:cs="仿宋"/>
                <w:b/>
                <w:color w:val="auto"/>
                <w:sz w:val="24"/>
              </w:rPr>
            </w:pPr>
            <w:r>
              <w:rPr>
                <w:rFonts w:hint="eastAsia" w:ascii="仿宋" w:hAnsi="仿宋" w:eastAsia="仿宋" w:cs="仿宋"/>
                <w:b/>
                <w:color w:val="auto"/>
                <w:sz w:val="24"/>
              </w:rPr>
              <w:t>是否提供样品：</w:t>
            </w:r>
            <w:r>
              <w:rPr>
                <w:rFonts w:hint="eastAsia" w:ascii="仿宋" w:hAnsi="仿宋" w:eastAsia="仿宋" w:cs="仿宋"/>
                <w:color w:val="auto"/>
                <w:sz w:val="24"/>
                <w:u w:val="single"/>
              </w:rPr>
              <w:t xml:space="preserve">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auto"/>
                <w:sz w:val="24"/>
              </w:rPr>
            </w:pPr>
            <w:r>
              <w:rPr>
                <w:rFonts w:hint="eastAsia" w:ascii="仿宋" w:hAnsi="仿宋" w:eastAsia="仿宋" w:cs="仿宋"/>
                <w:color w:val="auto"/>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color w:val="auto"/>
                <w:sz w:val="24"/>
                <w:u w:val="single"/>
              </w:rPr>
            </w:pPr>
            <w:r>
              <w:rPr>
                <w:rFonts w:hint="eastAsia" w:ascii="仿宋" w:hAnsi="仿宋" w:eastAsia="仿宋" w:cs="仿宋"/>
                <w:b/>
                <w:color w:val="auto"/>
                <w:sz w:val="24"/>
              </w:rPr>
              <w:t>是否演示：</w:t>
            </w:r>
            <w:r>
              <w:rPr>
                <w:rFonts w:hint="eastAsia" w:ascii="仿宋" w:hAnsi="仿宋" w:eastAsia="仿宋" w:cs="仿宋"/>
                <w:color w:val="auto"/>
                <w:sz w:val="24"/>
                <w:u w:val="single"/>
              </w:rPr>
              <w:t xml:space="preserve">    （是）</w:t>
            </w:r>
          </w:p>
          <w:p>
            <w:pPr>
              <w:autoSpaceDE w:val="0"/>
              <w:autoSpaceDN w:val="0"/>
              <w:spacing w:line="500" w:lineRule="exact"/>
              <w:textAlignment w:val="bottom"/>
              <w:rPr>
                <w:rFonts w:hint="eastAsia" w:ascii="仿宋" w:hAnsi="仿宋" w:eastAsia="仿宋" w:cs="仿宋"/>
                <w:color w:val="auto"/>
                <w:sz w:val="24"/>
                <w:u w:val="single"/>
                <w:lang w:eastAsia="zh-CN"/>
              </w:rPr>
            </w:pP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1）</w:t>
            </w:r>
            <w:r>
              <w:rPr>
                <w:rFonts w:hint="eastAsia" w:ascii="仿宋" w:hAnsi="仿宋" w:eastAsia="仿宋" w:cs="仿宋"/>
                <w:color w:val="auto"/>
                <w:sz w:val="24"/>
                <w:u w:val="single"/>
                <w:lang w:eastAsia="zh-CN"/>
              </w:rPr>
              <w:t>演示内容拷贝到U盘上，并注明单位名称、所投项目，U盘先密封至独立的信封，且在信封上标明“XXXXXX项目XX标项演示”字样，密封口应加盖投标人公章。</w:t>
            </w:r>
          </w:p>
          <w:p>
            <w:pPr>
              <w:autoSpaceDE w:val="0"/>
              <w:autoSpaceDN w:val="0"/>
              <w:spacing w:line="500" w:lineRule="exact"/>
              <w:textAlignment w:val="bottom"/>
              <w:rPr>
                <w:rFonts w:hint="eastAsia" w:ascii="仿宋" w:hAnsi="仿宋" w:eastAsia="仿宋" w:cs="仿宋"/>
                <w:color w:val="auto"/>
                <w:sz w:val="24"/>
                <w:u w:val="single"/>
                <w:lang w:eastAsia="zh-CN"/>
              </w:rPr>
            </w:pPr>
            <w:r>
              <w:rPr>
                <w:rFonts w:hint="eastAsia" w:ascii="仿宋" w:hAnsi="仿宋" w:eastAsia="仿宋" w:cs="仿宋"/>
                <w:color w:val="auto"/>
                <w:sz w:val="24"/>
                <w:u w:val="single"/>
                <w:lang w:eastAsia="zh-CN"/>
              </w:rPr>
              <w:t>（2）递交方式:把密封的U盘邮寄至代理公司,需在投标截止时间前一天寄达(建议采用 EMS、顺丰快递)。邮寄地址:浙江同欣工程管理有限公司（绍兴市越城区罗东公寓22幢2楼20</w:t>
            </w:r>
            <w:r>
              <w:rPr>
                <w:rFonts w:hint="eastAsia" w:ascii="仿宋" w:hAnsi="仿宋" w:eastAsia="仿宋" w:cs="仿宋"/>
                <w:color w:val="auto"/>
                <w:sz w:val="24"/>
                <w:u w:val="single"/>
                <w:lang w:val="en-US" w:eastAsia="zh-CN"/>
              </w:rPr>
              <w:t>4</w:t>
            </w:r>
            <w:r>
              <w:rPr>
                <w:rFonts w:hint="eastAsia" w:ascii="仿宋" w:hAnsi="仿宋" w:eastAsia="仿宋" w:cs="仿宋"/>
                <w:color w:val="auto"/>
                <w:sz w:val="24"/>
                <w:u w:val="single"/>
                <w:lang w:eastAsia="zh-CN"/>
              </w:rPr>
              <w:t>）、王樑浩、手机:1</w:t>
            </w:r>
            <w:r>
              <w:rPr>
                <w:rFonts w:hint="eastAsia" w:ascii="仿宋" w:hAnsi="仿宋" w:eastAsia="仿宋" w:cs="仿宋"/>
                <w:color w:val="auto"/>
                <w:sz w:val="24"/>
                <w:u w:val="single"/>
                <w:lang w:val="en-US" w:eastAsia="zh-CN"/>
              </w:rPr>
              <w:t>5267598817</w:t>
            </w:r>
            <w:r>
              <w:rPr>
                <w:rFonts w:hint="eastAsia" w:ascii="仿宋" w:hAnsi="仿宋" w:eastAsia="仿宋" w:cs="仿宋"/>
                <w:color w:val="auto"/>
                <w:sz w:val="24"/>
                <w:u w:val="single"/>
                <w:lang w:eastAsia="zh-CN"/>
              </w:rPr>
              <w:t>，快递寄出后，请将快递底单照片发送邮件至 3265625753@qq.com 并电话通知代理机构。同时请充分考虑快递时间，逾期送达或未按照招标文件要求密封将予以拒收。递交的时间以接收时间为准。</w:t>
            </w:r>
          </w:p>
          <w:p>
            <w:pPr>
              <w:autoSpaceDE w:val="0"/>
              <w:autoSpaceDN w:val="0"/>
              <w:spacing w:line="500" w:lineRule="exact"/>
              <w:textAlignment w:val="bottom"/>
              <w:rPr>
                <w:rFonts w:hint="eastAsia" w:ascii="仿宋" w:hAnsi="仿宋" w:eastAsia="仿宋" w:cs="仿宋"/>
                <w:color w:val="auto"/>
                <w:sz w:val="24"/>
                <w:u w:val="single"/>
                <w:lang w:eastAsia="zh-CN"/>
              </w:rPr>
            </w:pPr>
            <w:r>
              <w:rPr>
                <w:rFonts w:hint="eastAsia" w:ascii="仿宋" w:hAnsi="仿宋" w:eastAsia="仿宋" w:cs="仿宋"/>
                <w:color w:val="auto"/>
                <w:sz w:val="24"/>
                <w:u w:val="single"/>
                <w:lang w:eastAsia="zh-CN"/>
              </w:rPr>
              <w:t>（3）演示时间:演示时间不超过 15 分钟，如U盘未能打开作0分处理。</w:t>
            </w:r>
          </w:p>
          <w:p>
            <w:pPr>
              <w:autoSpaceDE w:val="0"/>
              <w:autoSpaceDN w:val="0"/>
              <w:spacing w:line="500" w:lineRule="exact"/>
              <w:textAlignment w:val="bottom"/>
              <w:rPr>
                <w:rFonts w:hint="eastAsia" w:ascii="仿宋" w:hAnsi="仿宋" w:eastAsia="仿宋" w:cs="仿宋"/>
                <w:color w:val="auto"/>
                <w:sz w:val="24"/>
                <w:u w:val="single"/>
                <w:lang w:eastAsia="zh-CN"/>
              </w:rPr>
            </w:pPr>
            <w:r>
              <w:rPr>
                <w:rFonts w:hint="eastAsia" w:ascii="仿宋" w:hAnsi="仿宋" w:eastAsia="仿宋" w:cs="仿宋"/>
                <w:color w:val="auto"/>
                <w:sz w:val="24"/>
                <w:u w:val="single"/>
                <w:lang w:eastAsia="zh-CN"/>
              </w:rPr>
              <w:t>演示方式:U盘演示，演示内容放置到U盘中。</w:t>
            </w:r>
          </w:p>
          <w:p>
            <w:pPr>
              <w:autoSpaceDE w:val="0"/>
              <w:autoSpaceDN w:val="0"/>
              <w:spacing w:line="500" w:lineRule="exact"/>
              <w:textAlignment w:val="bottom"/>
              <w:rPr>
                <w:rFonts w:ascii="仿宋" w:hAnsi="仿宋" w:eastAsia="仿宋" w:cs="仿宋"/>
                <w:b/>
                <w:color w:val="auto"/>
                <w:sz w:val="24"/>
                <w:u w:val="single"/>
              </w:rPr>
            </w:pPr>
            <w:r>
              <w:rPr>
                <w:rFonts w:hint="eastAsia" w:ascii="仿宋" w:hAnsi="仿宋" w:eastAsia="仿宋" w:cs="仿宋"/>
                <w:color w:val="auto"/>
                <w:sz w:val="24"/>
                <w:u w:val="single"/>
                <w:lang w:eastAsia="zh-CN"/>
              </w:rPr>
              <w:t>（4）未提供演示的本项不得分。</w:t>
            </w:r>
            <w:r>
              <w:rPr>
                <w:rFonts w:hint="eastAsia" w:ascii="仿宋" w:hAnsi="仿宋" w:eastAsia="仿宋" w:cs="仿宋"/>
                <w:color w:val="auto"/>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auto"/>
                <w:sz w:val="24"/>
              </w:rPr>
            </w:pPr>
            <w:r>
              <w:rPr>
                <w:rFonts w:hint="eastAsia" w:ascii="仿宋" w:hAnsi="仿宋" w:eastAsia="仿宋" w:cs="仿宋"/>
                <w:color w:val="auto"/>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hAnsi="仿宋" w:eastAsia="仿宋" w:cs="仿宋"/>
                <w:b/>
                <w:color w:val="auto"/>
                <w:sz w:val="24"/>
              </w:rPr>
            </w:pPr>
            <w:r>
              <w:rPr>
                <w:rFonts w:hint="eastAsia" w:ascii="仿宋" w:hAnsi="仿宋" w:eastAsia="仿宋" w:cs="仿宋"/>
                <w:b/>
                <w:color w:val="auto"/>
                <w:sz w:val="24"/>
              </w:rPr>
              <w:t>是否组织现场踏勘：</w:t>
            </w:r>
            <w:r>
              <w:rPr>
                <w:rFonts w:hint="eastAsia" w:ascii="仿宋" w:hAnsi="仿宋" w:eastAsia="仿宋" w:cs="仿宋"/>
                <w:color w:val="auto"/>
                <w:sz w:val="24"/>
                <w:u w:val="single"/>
              </w:rPr>
              <w:t xml:space="preserve">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auto"/>
                <w:sz w:val="24"/>
              </w:rPr>
            </w:pPr>
            <w:r>
              <w:rPr>
                <w:rFonts w:hint="eastAsia" w:ascii="仿宋" w:hAnsi="仿宋" w:eastAsia="仿宋" w:cs="仿宋"/>
                <w:color w:val="auto"/>
                <w:sz w:val="24"/>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ascii="仿宋" w:hAnsi="仿宋" w:eastAsia="仿宋" w:cs="仿宋"/>
                <w:color w:val="auto"/>
                <w:sz w:val="24"/>
              </w:rPr>
            </w:pPr>
            <w:r>
              <w:rPr>
                <w:rFonts w:hint="eastAsia" w:ascii="仿宋" w:hAnsi="仿宋" w:eastAsia="仿宋" w:cs="仿宋"/>
                <w:b/>
                <w:color w:val="auto"/>
                <w:sz w:val="24"/>
              </w:rPr>
              <w:t>投标文件份数：上传加密电子投标文件一份，准备备份加密电子投标文件一份</w:t>
            </w:r>
            <w:r>
              <w:rPr>
                <w:rFonts w:hint="eastAsia" w:ascii="仿宋" w:hAnsi="仿宋" w:eastAsia="仿宋" w:cs="仿宋"/>
                <w:color w:val="auto"/>
                <w:sz w:val="24"/>
              </w:rPr>
              <w:t>。</w:t>
            </w:r>
          </w:p>
          <w:p>
            <w:pPr>
              <w:spacing w:line="500" w:lineRule="exact"/>
              <w:rPr>
                <w:rFonts w:ascii="仿宋" w:hAnsi="仿宋" w:eastAsia="仿宋" w:cs="仿宋"/>
                <w:color w:val="auto"/>
                <w:sz w:val="24"/>
              </w:rPr>
            </w:pPr>
            <w:r>
              <w:rPr>
                <w:rFonts w:hint="eastAsia" w:ascii="仿宋" w:hAnsi="仿宋" w:eastAsia="仿宋" w:cs="仿宋"/>
                <w:b/>
                <w:bCs/>
                <w:color w:val="auto"/>
                <w:sz w:val="24"/>
                <w:em w:val="dot"/>
              </w:rPr>
              <w:t>鉴于本次采购为电子交易，本采购文件中要求供应商提供的证明材料原件、复印件等均只需提供相应扫描件或图片，不作纸质资料核验，如有前后不一致，以此为准。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auto"/>
                <w:sz w:val="24"/>
              </w:rPr>
            </w:pPr>
            <w:r>
              <w:rPr>
                <w:rFonts w:hint="eastAsia" w:ascii="仿宋" w:hAnsi="仿宋" w:eastAsia="仿宋" w:cs="仿宋"/>
                <w:color w:val="auto"/>
                <w:sz w:val="24"/>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hAnsi="仿宋" w:eastAsia="仿宋" w:cs="仿宋"/>
                <w:b/>
                <w:color w:val="auto"/>
                <w:sz w:val="24"/>
              </w:rPr>
            </w:pPr>
            <w:r>
              <w:rPr>
                <w:rFonts w:hint="eastAsia" w:ascii="仿宋" w:hAnsi="仿宋" w:eastAsia="仿宋" w:cs="仿宋"/>
                <w:b/>
                <w:color w:val="auto"/>
                <w:sz w:val="24"/>
              </w:rPr>
              <w:t>履约保证金及缴退时间：</w:t>
            </w:r>
            <w:r>
              <w:rPr>
                <w:rFonts w:hint="eastAsia" w:ascii="仿宋" w:hAnsi="仿宋" w:eastAsia="仿宋" w:cs="仿宋"/>
                <w:color w:val="auto"/>
                <w:sz w:val="24"/>
                <w:u w:val="single"/>
              </w:rPr>
              <w:t xml:space="preserve">  中标合同金额的1％。验收合格后7个工作日内退还，履约保证金不计息。 </w:t>
            </w:r>
            <w:r>
              <w:rPr>
                <w:rFonts w:hint="eastAsia" w:ascii="仿宋" w:hAnsi="仿宋" w:eastAsia="仿宋" w:cs="仿宋"/>
                <w:b/>
                <w:color w:val="auto"/>
                <w:sz w:val="24"/>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auto"/>
                <w:sz w:val="24"/>
              </w:rPr>
            </w:pPr>
            <w:r>
              <w:rPr>
                <w:rFonts w:hint="eastAsia" w:ascii="仿宋" w:hAnsi="仿宋" w:eastAsia="仿宋" w:cs="仿宋"/>
                <w:color w:val="auto"/>
                <w:sz w:val="24"/>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ascii="仿宋" w:hAnsi="仿宋" w:eastAsia="仿宋" w:cs="仿宋"/>
                <w:color w:val="auto"/>
                <w:sz w:val="24"/>
              </w:rPr>
            </w:pPr>
            <w:r>
              <w:rPr>
                <w:rFonts w:hint="eastAsia" w:ascii="仿宋" w:hAnsi="仿宋" w:eastAsia="仿宋" w:cs="仿宋"/>
                <w:b/>
                <w:bCs/>
                <w:color w:val="auto"/>
                <w:sz w:val="24"/>
              </w:rPr>
              <w:t>分包与转包</w:t>
            </w:r>
            <w:r>
              <w:rPr>
                <w:rFonts w:hint="eastAsia" w:ascii="仿宋" w:hAnsi="仿宋" w:eastAsia="仿宋" w:cs="仿宋"/>
                <w:color w:val="auto"/>
                <w:sz w:val="24"/>
              </w:rPr>
              <w:t>：本项目</w:t>
            </w:r>
            <w:r>
              <w:rPr>
                <w:rFonts w:hint="eastAsia" w:ascii="仿宋" w:hAnsi="仿宋" w:eastAsia="仿宋" w:cs="仿宋"/>
                <w:color w:val="auto"/>
                <w:sz w:val="24"/>
                <w:u w:val="single"/>
              </w:rPr>
              <w:t xml:space="preserve"> 不允许 </w:t>
            </w:r>
            <w:r>
              <w:rPr>
                <w:rFonts w:hint="eastAsia" w:ascii="仿宋" w:hAnsi="仿宋" w:eastAsia="仿宋" w:cs="仿宋"/>
                <w:color w:val="auto"/>
                <w:sz w:val="24"/>
              </w:rPr>
              <w:t>分包，</w:t>
            </w:r>
            <w:r>
              <w:rPr>
                <w:rFonts w:hint="eastAsia" w:ascii="仿宋" w:hAnsi="仿宋" w:eastAsia="仿宋" w:cs="仿宋"/>
                <w:color w:val="auto"/>
                <w:sz w:val="24"/>
                <w:u w:val="single"/>
              </w:rPr>
              <w:t xml:space="preserve"> 不允许 </w:t>
            </w:r>
            <w:r>
              <w:rPr>
                <w:rFonts w:hint="eastAsia" w:ascii="仿宋" w:hAnsi="仿宋" w:eastAsia="仿宋" w:cs="仿宋"/>
                <w:color w:val="auto"/>
                <w:sz w:val="24"/>
              </w:rPr>
              <w:t>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auto"/>
                <w:sz w:val="24"/>
              </w:rPr>
            </w:pPr>
            <w:r>
              <w:rPr>
                <w:rFonts w:hint="eastAsia" w:ascii="仿宋" w:hAnsi="仿宋" w:eastAsia="仿宋" w:cs="仿宋"/>
                <w:color w:val="auto"/>
                <w:sz w:val="24"/>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ascii="仿宋" w:hAnsi="仿宋" w:eastAsia="仿宋" w:cs="仿宋"/>
                <w:b/>
                <w:bCs/>
                <w:color w:val="auto"/>
                <w:sz w:val="24"/>
              </w:rPr>
            </w:pPr>
            <w:r>
              <w:rPr>
                <w:rFonts w:hint="eastAsia" w:ascii="仿宋" w:hAnsi="仿宋" w:eastAsia="仿宋" w:cs="仿宋"/>
                <w:b/>
                <w:bCs/>
                <w:color w:val="auto"/>
                <w:sz w:val="24"/>
              </w:rPr>
              <w:t>本项目采购标的（服务部分）所属行业：</w:t>
            </w:r>
          </w:p>
          <w:tbl>
            <w:tblPr>
              <w:tblStyle w:val="27"/>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pPr>
                    <w:snapToGrid w:val="0"/>
                    <w:jc w:val="center"/>
                    <w:rPr>
                      <w:rFonts w:ascii="仿宋" w:hAnsi="仿宋" w:eastAsia="仿宋" w:cs="仿宋"/>
                      <w:b/>
                      <w:bCs/>
                      <w:color w:val="auto"/>
                      <w:sz w:val="24"/>
                    </w:rPr>
                  </w:pPr>
                  <w:r>
                    <w:rPr>
                      <w:rFonts w:hint="eastAsia" w:ascii="仿宋" w:hAnsi="仿宋" w:eastAsia="仿宋" w:cs="仿宋"/>
                      <w:b/>
                      <w:bCs/>
                      <w:color w:val="auto"/>
                      <w:sz w:val="24"/>
                    </w:rPr>
                    <w:t>采购标的名称</w:t>
                  </w:r>
                </w:p>
              </w:tc>
              <w:tc>
                <w:tcPr>
                  <w:tcW w:w="4078" w:type="dxa"/>
                  <w:vAlign w:val="center"/>
                </w:tcPr>
                <w:p>
                  <w:pPr>
                    <w:snapToGrid w:val="0"/>
                    <w:jc w:val="center"/>
                    <w:rPr>
                      <w:rFonts w:ascii="仿宋" w:hAnsi="仿宋" w:eastAsia="仿宋" w:cs="仿宋"/>
                      <w:b/>
                      <w:bCs/>
                      <w:color w:val="auto"/>
                      <w:sz w:val="24"/>
                    </w:rPr>
                  </w:pPr>
                  <w:r>
                    <w:rPr>
                      <w:rFonts w:hint="eastAsia" w:ascii="仿宋" w:hAnsi="仿宋" w:eastAsia="仿宋" w:cs="仿宋"/>
                      <w:b/>
                      <w:bCs/>
                      <w:color w:val="auto"/>
                      <w:sz w:val="24"/>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pPr>
                    <w:snapToGrid w:val="0"/>
                    <w:jc w:val="center"/>
                    <w:rPr>
                      <w:rFonts w:ascii="仿宋" w:hAnsi="仿宋" w:eastAsia="仿宋" w:cs="仿宋"/>
                      <w:b/>
                      <w:bCs/>
                      <w:color w:val="auto"/>
                      <w:sz w:val="24"/>
                    </w:rPr>
                  </w:pPr>
                  <w:r>
                    <w:rPr>
                      <w:rFonts w:hint="eastAsia" w:ascii="仿宋" w:hAnsi="仿宋" w:eastAsia="仿宋" w:cs="仿宋"/>
                      <w:b/>
                      <w:bCs/>
                      <w:color w:val="auto"/>
                      <w:sz w:val="24"/>
                    </w:rPr>
                    <w:t>越城区交通运输局监控中心项目</w:t>
                  </w:r>
                </w:p>
              </w:tc>
              <w:tc>
                <w:tcPr>
                  <w:tcW w:w="4078" w:type="dxa"/>
                  <w:vAlign w:val="center"/>
                </w:tcPr>
                <w:p>
                  <w:pPr>
                    <w:snapToGrid w:val="0"/>
                    <w:jc w:val="center"/>
                    <w:rPr>
                      <w:rFonts w:ascii="仿宋" w:hAnsi="仿宋" w:eastAsia="仿宋" w:cs="仿宋"/>
                      <w:b/>
                      <w:bCs/>
                      <w:color w:val="auto"/>
                      <w:sz w:val="24"/>
                    </w:rPr>
                  </w:pPr>
                  <w:r>
                    <w:rPr>
                      <w:rFonts w:hint="eastAsia" w:ascii="仿宋" w:hAnsi="仿宋" w:eastAsia="仿宋" w:cs="仿宋"/>
                      <w:color w:val="auto"/>
                      <w:sz w:val="24"/>
                      <w:u w:val="single"/>
                    </w:rPr>
                    <w:t>工业</w:t>
                  </w:r>
                </w:p>
              </w:tc>
            </w:tr>
          </w:tbl>
          <w:p>
            <w:pPr>
              <w:snapToGrid w:val="0"/>
              <w:jc w:val="left"/>
              <w:rPr>
                <w:rFonts w:ascii="仿宋" w:hAnsi="仿宋" w:eastAsia="仿宋" w:cs="仿宋"/>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auto"/>
                <w:sz w:val="24"/>
              </w:rPr>
            </w:pPr>
            <w:r>
              <w:rPr>
                <w:rFonts w:hint="eastAsia" w:ascii="仿宋" w:hAnsi="仿宋" w:eastAsia="仿宋" w:cs="仿宋"/>
                <w:color w:val="auto"/>
                <w:sz w:val="24"/>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auto"/>
              <w:jc w:val="left"/>
              <w:rPr>
                <w:rFonts w:ascii="仿宋" w:hAnsi="仿宋" w:eastAsia="仿宋" w:cs="仿宋"/>
                <w:b/>
                <w:bCs/>
                <w:color w:val="auto"/>
                <w:sz w:val="24"/>
              </w:rPr>
            </w:pPr>
            <w:r>
              <w:rPr>
                <w:rFonts w:hint="eastAsia" w:ascii="仿宋" w:hAnsi="仿宋" w:eastAsia="仿宋" w:cs="仿宋"/>
                <w:b/>
                <w:bCs/>
                <w:color w:val="auto"/>
                <w:sz w:val="24"/>
              </w:rPr>
              <w:t>采购代理服务费：</w:t>
            </w:r>
          </w:p>
          <w:p>
            <w:pPr>
              <w:spacing w:line="360" w:lineRule="auto"/>
              <w:jc w:val="left"/>
              <w:rPr>
                <w:rFonts w:ascii="仿宋" w:hAnsi="仿宋" w:eastAsia="仿宋" w:cs="仿宋"/>
                <w:b/>
                <w:bCs/>
                <w:color w:val="auto"/>
                <w:sz w:val="24"/>
                <w:u w:val="single"/>
              </w:rPr>
            </w:pPr>
            <w:r>
              <w:rPr>
                <w:rFonts w:hint="eastAsia" w:ascii="仿宋" w:hAnsi="仿宋" w:eastAsia="仿宋" w:cs="仿宋"/>
                <w:b/>
                <w:bCs/>
                <w:color w:val="auto"/>
                <w:sz w:val="24"/>
                <w:u w:val="single"/>
              </w:rPr>
              <w:t>中标人须向采购代理机构按如下标准和规定交纳采购代理服务费：</w:t>
            </w:r>
          </w:p>
          <w:p>
            <w:pPr>
              <w:numPr>
                <w:ilvl w:val="0"/>
                <w:numId w:val="4"/>
              </w:numPr>
              <w:spacing w:line="360" w:lineRule="auto"/>
              <w:jc w:val="left"/>
              <w:rPr>
                <w:rFonts w:ascii="仿宋" w:hAnsi="仿宋" w:eastAsia="仿宋" w:cs="仿宋"/>
                <w:b/>
                <w:bCs/>
                <w:color w:val="auto"/>
                <w:sz w:val="24"/>
                <w:u w:val="single"/>
              </w:rPr>
            </w:pPr>
            <w:r>
              <w:rPr>
                <w:rFonts w:hint="eastAsia" w:ascii="仿宋" w:hAnsi="仿宋" w:eastAsia="仿宋" w:cs="仿宋"/>
                <w:b/>
                <w:bCs/>
                <w:color w:val="auto"/>
                <w:sz w:val="24"/>
                <w:u w:val="single"/>
              </w:rPr>
              <w:t>按《国家计委关于印发&lt;招标代理服务费管理暂行办法&gt;的通知》（计价格[2002]1980号）文件规定的标准收费的84.5%为基准。</w:t>
            </w:r>
          </w:p>
          <w:p>
            <w:pPr>
              <w:pStyle w:val="3"/>
              <w:rPr>
                <w:rFonts w:ascii="仿宋" w:hAnsi="仿宋" w:eastAsia="仿宋" w:cs="仿宋"/>
                <w:b/>
                <w:bCs/>
                <w:color w:val="auto"/>
                <w:sz w:val="24"/>
                <w:u w:val="single"/>
              </w:rPr>
            </w:pPr>
            <w:r>
              <w:rPr>
                <w:rFonts w:hint="eastAsia" w:ascii="仿宋" w:hAnsi="仿宋" w:eastAsia="仿宋" w:cs="仿宋"/>
                <w:b/>
                <w:bCs/>
                <w:color w:val="auto"/>
                <w:sz w:val="24"/>
                <w:u w:val="single"/>
              </w:rPr>
              <w:t>（2）代理费结算价不足5000按5000计算。</w:t>
            </w:r>
          </w:p>
          <w:p>
            <w:pPr>
              <w:spacing w:line="360" w:lineRule="auto"/>
              <w:jc w:val="left"/>
              <w:rPr>
                <w:rFonts w:ascii="仿宋" w:hAnsi="仿宋" w:eastAsia="仿宋" w:cs="仿宋"/>
                <w:color w:val="auto"/>
                <w:sz w:val="24"/>
              </w:rPr>
            </w:pPr>
            <w:r>
              <w:rPr>
                <w:rFonts w:hint="eastAsia" w:ascii="仿宋" w:hAnsi="仿宋" w:eastAsia="仿宋" w:cs="仿宋"/>
                <w:b/>
                <w:bCs/>
                <w:color w:val="auto"/>
                <w:sz w:val="24"/>
                <w:u w:val="single"/>
              </w:rPr>
              <w:t xml:space="preserve">（3）采购代理服务费的交纳方式：中标单位在领取中标通知书前交纳。 </w:t>
            </w:r>
          </w:p>
        </w:tc>
      </w:tr>
    </w:tbl>
    <w:p>
      <w:pPr>
        <w:ind w:left="238"/>
        <w:jc w:val="center"/>
        <w:rPr>
          <w:rFonts w:ascii="仿宋" w:hAnsi="仿宋" w:eastAsia="仿宋" w:cs="仿宋"/>
          <w:color w:val="auto"/>
          <w:sz w:val="24"/>
        </w:rPr>
      </w:pPr>
    </w:p>
    <w:p>
      <w:pPr>
        <w:ind w:left="238"/>
        <w:jc w:val="center"/>
        <w:rPr>
          <w:rFonts w:ascii="仿宋" w:hAnsi="仿宋" w:eastAsia="仿宋" w:cs="仿宋"/>
          <w:color w:val="auto"/>
          <w:sz w:val="24"/>
        </w:rPr>
      </w:pPr>
    </w:p>
    <w:p>
      <w:pPr>
        <w:ind w:left="238"/>
        <w:jc w:val="center"/>
        <w:rPr>
          <w:rFonts w:ascii="仿宋" w:hAnsi="仿宋" w:eastAsia="仿宋" w:cs="仿宋"/>
          <w:color w:val="auto"/>
          <w:sz w:val="24"/>
        </w:rPr>
      </w:pPr>
    </w:p>
    <w:p>
      <w:pPr>
        <w:pStyle w:val="5"/>
        <w:rPr>
          <w:rFonts w:ascii="仿宋" w:hAnsi="仿宋" w:cs="仿宋"/>
          <w:color w:val="auto"/>
        </w:rPr>
      </w:pPr>
      <w:bookmarkStart w:id="36" w:name="_Toc4902"/>
      <w:r>
        <w:rPr>
          <w:rFonts w:hint="eastAsia" w:ascii="仿宋" w:hAnsi="仿宋" w:cs="仿宋"/>
          <w:color w:val="auto"/>
        </w:rPr>
        <w:t>二、采购文件</w:t>
      </w:r>
      <w:bookmarkEnd w:id="36"/>
    </w:p>
    <w:p>
      <w:pPr>
        <w:snapToGrid w:val="0"/>
        <w:spacing w:line="440" w:lineRule="exact"/>
        <w:jc w:val="left"/>
        <w:rPr>
          <w:rFonts w:ascii="仿宋" w:hAnsi="仿宋" w:eastAsia="仿宋" w:cs="仿宋"/>
          <w:b/>
          <w:color w:val="auto"/>
          <w:sz w:val="24"/>
        </w:rPr>
      </w:pPr>
      <w:r>
        <w:rPr>
          <w:rFonts w:hint="eastAsia" w:ascii="仿宋" w:hAnsi="仿宋" w:eastAsia="仿宋" w:cs="仿宋"/>
          <w:b/>
          <w:color w:val="auto"/>
          <w:sz w:val="24"/>
        </w:rPr>
        <w:t>1. 采购文件效力</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1.1本采购文件适用于本次所述项目的招标、投标、评标、定标、验收、合同签订及履约、付款等全过程（法律法规另有规定的从其规定）。</w:t>
      </w:r>
    </w:p>
    <w:p>
      <w:pPr>
        <w:snapToGrid w:val="0"/>
        <w:spacing w:line="440" w:lineRule="exact"/>
        <w:jc w:val="left"/>
        <w:rPr>
          <w:rFonts w:ascii="仿宋" w:hAnsi="仿宋" w:eastAsia="仿宋" w:cs="仿宋"/>
          <w:b/>
          <w:bCs/>
          <w:color w:val="auto"/>
          <w:sz w:val="24"/>
        </w:rPr>
      </w:pPr>
      <w:r>
        <w:rPr>
          <w:rFonts w:hint="eastAsia" w:ascii="仿宋" w:hAnsi="仿宋" w:eastAsia="仿宋" w:cs="仿宋"/>
          <w:color w:val="auto"/>
          <w:sz w:val="24"/>
        </w:rPr>
        <w:t>1.2</w:t>
      </w:r>
      <w:r>
        <w:rPr>
          <w:rFonts w:hint="eastAsia" w:ascii="仿宋" w:hAnsi="仿宋" w:eastAsia="仿宋" w:cs="仿宋"/>
          <w:b/>
          <w:bCs/>
          <w:color w:val="auto"/>
          <w:sz w:val="24"/>
        </w:rPr>
        <w:t>投标人对本采购文件如有异议，均应在法定时间内提出质疑或投诉，否则即被视为认可采购文件的全部内容。</w:t>
      </w:r>
    </w:p>
    <w:p>
      <w:pPr>
        <w:snapToGrid w:val="0"/>
        <w:spacing w:line="440" w:lineRule="exact"/>
        <w:jc w:val="left"/>
        <w:rPr>
          <w:rFonts w:ascii="仿宋" w:hAnsi="仿宋" w:eastAsia="仿宋" w:cs="仿宋"/>
          <w:b/>
          <w:bCs/>
          <w:color w:val="auto"/>
          <w:sz w:val="24"/>
        </w:rPr>
      </w:pPr>
      <w:r>
        <w:rPr>
          <w:rFonts w:hint="eastAsia" w:ascii="仿宋" w:hAnsi="仿宋" w:eastAsia="仿宋" w:cs="仿宋"/>
          <w:b/>
          <w:bCs/>
          <w:color w:val="auto"/>
          <w:sz w:val="24"/>
        </w:rPr>
        <w:t>2、名词定义</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b/>
          <w:bCs/>
          <w:color w:val="auto"/>
          <w:sz w:val="24"/>
        </w:rPr>
        <w:t>采购代理机构</w:t>
      </w:r>
      <w:r>
        <w:rPr>
          <w:rFonts w:hint="eastAsia" w:ascii="仿宋" w:hAnsi="仿宋" w:eastAsia="仿宋" w:cs="仿宋"/>
          <w:color w:val="auto"/>
          <w:sz w:val="24"/>
        </w:rPr>
        <w:t>”：集中采购项目的采购代理机构为绍兴市公共资源交易中心越城区分中心，分散采购项目的采购代理机构为社会中介代理机构。采购代理机构按照与采购人的采购代理合同约定行使采购活动组织等事宜。</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b/>
          <w:bCs/>
          <w:color w:val="auto"/>
          <w:sz w:val="24"/>
        </w:rPr>
        <w:t>采购机构</w:t>
      </w:r>
      <w:r>
        <w:rPr>
          <w:rFonts w:hint="eastAsia" w:ascii="仿宋" w:hAnsi="仿宋" w:eastAsia="仿宋" w:cs="仿宋"/>
          <w:color w:val="auto"/>
          <w:sz w:val="24"/>
        </w:rPr>
        <w:t>”：采购人及其采购代理机构。</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2.3 “</w:t>
      </w:r>
      <w:r>
        <w:rPr>
          <w:rFonts w:hint="eastAsia" w:ascii="仿宋" w:hAnsi="仿宋" w:eastAsia="仿宋" w:cs="仿宋"/>
          <w:b/>
          <w:bCs/>
          <w:color w:val="auto"/>
          <w:sz w:val="24"/>
        </w:rPr>
        <w:t>产品</w:t>
      </w:r>
      <w:r>
        <w:rPr>
          <w:rFonts w:hint="eastAsia" w:ascii="仿宋" w:hAnsi="仿宋" w:eastAsia="仿宋" w:cs="仿宋"/>
          <w:color w:val="auto"/>
          <w:sz w:val="24"/>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2.4 “</w:t>
      </w:r>
      <w:r>
        <w:rPr>
          <w:rFonts w:hint="eastAsia" w:ascii="仿宋" w:hAnsi="仿宋" w:eastAsia="仿宋" w:cs="仿宋"/>
          <w:b/>
          <w:bCs/>
          <w:color w:val="auto"/>
          <w:sz w:val="24"/>
        </w:rPr>
        <w:t>服务</w:t>
      </w:r>
      <w:r>
        <w:rPr>
          <w:rFonts w:hint="eastAsia" w:ascii="仿宋" w:hAnsi="仿宋" w:eastAsia="仿宋" w:cs="仿宋"/>
          <w:color w:val="auto"/>
          <w:sz w:val="24"/>
        </w:rPr>
        <w:t>”系指采购文件规定投标人须承担的安装、调试、技术协助、校准、培训、技术指导以及其他类似的义务。</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2.5 “</w:t>
      </w:r>
      <w:r>
        <w:rPr>
          <w:rFonts w:hint="eastAsia" w:ascii="仿宋" w:hAnsi="仿宋" w:eastAsia="仿宋" w:cs="仿宋"/>
          <w:b/>
          <w:bCs/>
          <w:color w:val="auto"/>
          <w:sz w:val="24"/>
        </w:rPr>
        <w:t>投标人</w:t>
      </w:r>
      <w:r>
        <w:rPr>
          <w:rFonts w:hint="eastAsia" w:ascii="仿宋" w:hAnsi="仿宋" w:eastAsia="仿宋" w:cs="仿宋"/>
          <w:color w:val="auto"/>
          <w:sz w:val="24"/>
        </w:rPr>
        <w:t>”指已经按采购公告要求获取采购文件的投标供应商。“</w:t>
      </w:r>
      <w:r>
        <w:rPr>
          <w:rFonts w:hint="eastAsia" w:ascii="仿宋" w:hAnsi="仿宋" w:eastAsia="仿宋" w:cs="仿宋"/>
          <w:b/>
          <w:bCs/>
          <w:color w:val="auto"/>
          <w:sz w:val="24"/>
        </w:rPr>
        <w:t>潜在投标人</w:t>
      </w:r>
      <w:r>
        <w:rPr>
          <w:rFonts w:hint="eastAsia" w:ascii="仿宋" w:hAnsi="仿宋" w:eastAsia="仿宋" w:cs="仿宋"/>
          <w:color w:val="auto"/>
          <w:sz w:val="24"/>
        </w:rPr>
        <w:t>”指未按采购公告要求获取采购文件的供应商。</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2.6 “</w:t>
      </w:r>
      <w:r>
        <w:rPr>
          <w:rFonts w:hint="eastAsia" w:ascii="仿宋" w:hAnsi="仿宋" w:eastAsia="仿宋" w:cs="仿宋"/>
          <w:b/>
          <w:bCs/>
          <w:color w:val="auto"/>
          <w:sz w:val="24"/>
        </w:rPr>
        <w:t>授权代表</w:t>
      </w:r>
      <w:r>
        <w:rPr>
          <w:rFonts w:hint="eastAsia" w:ascii="仿宋" w:hAnsi="仿宋" w:eastAsia="仿宋" w:cs="仿宋"/>
          <w:color w:val="auto"/>
          <w:sz w:val="24"/>
        </w:rPr>
        <w:t>”即“</w:t>
      </w:r>
      <w:r>
        <w:rPr>
          <w:rFonts w:hint="eastAsia" w:ascii="仿宋" w:hAnsi="仿宋" w:eastAsia="仿宋" w:cs="仿宋"/>
          <w:b/>
          <w:bCs/>
          <w:color w:val="auto"/>
          <w:sz w:val="24"/>
        </w:rPr>
        <w:t>投标人代表</w:t>
      </w:r>
      <w:r>
        <w:rPr>
          <w:rFonts w:hint="eastAsia" w:ascii="仿宋" w:hAnsi="仿宋" w:eastAsia="仿宋" w:cs="仿宋"/>
          <w:color w:val="auto"/>
          <w:sz w:val="24"/>
        </w:rPr>
        <w:t>”，指受投标供应商的法定代表人委托，办理本项目投标、质疑投诉、合同签订等整个采购活动的被授权委托人</w:t>
      </w:r>
      <w:r>
        <w:rPr>
          <w:rFonts w:hint="eastAsia" w:ascii="仿宋" w:hAnsi="仿宋" w:eastAsia="仿宋" w:cs="仿宋"/>
          <w:bCs/>
          <w:color w:val="auto"/>
          <w:sz w:val="24"/>
        </w:rPr>
        <w:t>。</w:t>
      </w:r>
      <w:r>
        <w:rPr>
          <w:rFonts w:hint="eastAsia" w:ascii="仿宋" w:hAnsi="仿宋" w:eastAsia="仿宋" w:cs="仿宋"/>
          <w:color w:val="auto"/>
          <w:sz w:val="24"/>
        </w:rPr>
        <w:t>个体工商户参与投标的，经营者等同于法定代表人。</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2.7“</w:t>
      </w:r>
      <w:r>
        <w:rPr>
          <w:rFonts w:hint="eastAsia" w:ascii="仿宋" w:hAnsi="仿宋" w:eastAsia="仿宋" w:cs="仿宋"/>
          <w:b/>
          <w:bCs/>
          <w:color w:val="auto"/>
          <w:sz w:val="24"/>
        </w:rPr>
        <w:t>实质性响应条款</w:t>
      </w:r>
      <w:r>
        <w:rPr>
          <w:rFonts w:hint="eastAsia" w:ascii="仿宋" w:hAnsi="仿宋" w:eastAsia="仿宋" w:cs="仿宋"/>
          <w:color w:val="auto"/>
          <w:sz w:val="24"/>
        </w:rPr>
        <w:t>”：投标人必须响应的条款，未响应的作无效投标处理。在本采购文件中，实质性响应条款前标注“★”符号。</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2.8“</w:t>
      </w:r>
      <w:r>
        <w:rPr>
          <w:rFonts w:hint="eastAsia" w:ascii="仿宋" w:hAnsi="仿宋" w:eastAsia="仿宋" w:cs="仿宋"/>
          <w:b/>
          <w:bCs/>
          <w:color w:val="auto"/>
          <w:sz w:val="24"/>
        </w:rPr>
        <w:t>投标人公章</w:t>
      </w:r>
      <w:r>
        <w:rPr>
          <w:rFonts w:hint="eastAsia" w:ascii="仿宋" w:hAnsi="仿宋" w:eastAsia="仿宋" w:cs="仿宋"/>
          <w:color w:val="auto"/>
          <w:sz w:val="24"/>
        </w:rPr>
        <w:t>”指投标人法定名称章（或其电子签章）。</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2.9“</w:t>
      </w:r>
      <w:r>
        <w:rPr>
          <w:rFonts w:hint="eastAsia" w:ascii="仿宋" w:hAnsi="仿宋" w:eastAsia="仿宋" w:cs="仿宋"/>
          <w:b/>
          <w:bCs/>
          <w:color w:val="auto"/>
          <w:sz w:val="24"/>
        </w:rPr>
        <w:t>投标有效期</w:t>
      </w:r>
      <w:r>
        <w:rPr>
          <w:rFonts w:hint="eastAsia" w:ascii="仿宋" w:hAnsi="仿宋" w:eastAsia="仿宋" w:cs="仿宋"/>
          <w:color w:val="auto"/>
          <w:sz w:val="24"/>
        </w:rPr>
        <w:t>”指采购文件中规定的一个适当时间，投标有效期内需完成开评标以及与中标人签订合同的事宜。</w:t>
      </w:r>
    </w:p>
    <w:p>
      <w:pPr>
        <w:snapToGrid w:val="0"/>
        <w:spacing w:line="440" w:lineRule="exact"/>
        <w:jc w:val="left"/>
        <w:rPr>
          <w:rFonts w:ascii="仿宋" w:hAnsi="仿宋" w:eastAsia="仿宋" w:cs="仿宋"/>
          <w:b/>
          <w:bCs/>
          <w:color w:val="auto"/>
          <w:sz w:val="24"/>
        </w:rPr>
      </w:pPr>
      <w:r>
        <w:rPr>
          <w:rFonts w:hint="eastAsia" w:ascii="仿宋" w:hAnsi="仿宋" w:eastAsia="仿宋" w:cs="仿宋"/>
          <w:b/>
          <w:bCs/>
          <w:color w:val="auto"/>
          <w:sz w:val="24"/>
        </w:rPr>
        <w:t>3、政府采购政策性规定</w:t>
      </w:r>
    </w:p>
    <w:p>
      <w:pPr>
        <w:snapToGrid w:val="0"/>
        <w:spacing w:line="440" w:lineRule="exact"/>
        <w:jc w:val="left"/>
        <w:rPr>
          <w:rFonts w:ascii="仿宋" w:hAnsi="仿宋" w:eastAsia="仿宋" w:cs="仿宋"/>
          <w:color w:val="auto"/>
          <w:sz w:val="24"/>
        </w:rPr>
      </w:pPr>
      <w:r>
        <w:rPr>
          <w:rFonts w:hint="eastAsia" w:ascii="仿宋" w:hAnsi="仿宋" w:eastAsia="仿宋" w:cs="仿宋"/>
          <w:b/>
          <w:bCs/>
          <w:color w:val="auto"/>
          <w:sz w:val="24"/>
        </w:rPr>
        <w:t>3.1采购国产</w:t>
      </w:r>
    </w:p>
    <w:p>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b/>
          <w:bCs/>
          <w:color w:val="auto"/>
          <w:sz w:val="24"/>
        </w:rPr>
        <w:t>除采购文件明确允许采购进口产品外，集中采购目录内或分散采购限额标准以上的产品应当提供本国生产的产品，否则作无效投标处理。</w:t>
      </w:r>
      <w:r>
        <w:rPr>
          <w:rFonts w:hint="eastAsia" w:ascii="仿宋" w:hAnsi="仿宋" w:eastAsia="仿宋" w:cs="仿宋"/>
          <w:color w:val="auto"/>
          <w:sz w:val="24"/>
        </w:rPr>
        <w:t>采购进口产品的，不得限制潜在国产的同类产品参与投标。</w:t>
      </w:r>
    </w:p>
    <w:p>
      <w:pPr>
        <w:snapToGrid w:val="0"/>
        <w:spacing w:line="440" w:lineRule="exact"/>
        <w:jc w:val="left"/>
        <w:rPr>
          <w:rFonts w:ascii="仿宋" w:hAnsi="仿宋" w:eastAsia="仿宋" w:cs="仿宋"/>
          <w:color w:val="auto"/>
          <w:sz w:val="24"/>
        </w:rPr>
      </w:pPr>
      <w:r>
        <w:rPr>
          <w:rFonts w:hint="eastAsia" w:ascii="仿宋" w:hAnsi="仿宋" w:eastAsia="仿宋" w:cs="仿宋"/>
          <w:b/>
          <w:bCs/>
          <w:color w:val="auto"/>
          <w:sz w:val="24"/>
        </w:rPr>
        <w:t>3.2扶持中小微企业</w:t>
      </w:r>
    </w:p>
    <w:p>
      <w:pPr>
        <w:snapToGrid w:val="0"/>
        <w:spacing w:line="420" w:lineRule="exact"/>
        <w:ind w:firstLine="360" w:firstLineChars="150"/>
        <w:rPr>
          <w:rFonts w:ascii="仿宋" w:hAnsi="仿宋" w:eastAsia="仿宋" w:cs="仿宋"/>
          <w:color w:val="auto"/>
          <w:sz w:val="24"/>
        </w:rPr>
      </w:pPr>
      <w:r>
        <w:rPr>
          <w:rFonts w:hint="eastAsia" w:ascii="仿宋" w:hAnsi="仿宋" w:eastAsia="仿宋" w:cs="仿宋"/>
          <w:color w:val="auto"/>
          <w:sz w:val="24"/>
        </w:rPr>
        <w:t>本项目为专门面向中小企业政府采购项目，投标供应商提供的服务部分（详见前附表）必须为中小企业承接；以分包方式参与的，投标供应商和分包供应商提供的服务部分均需为中小企业承接。</w:t>
      </w:r>
    </w:p>
    <w:p>
      <w:pPr>
        <w:snapToGrid w:val="0"/>
        <w:spacing w:line="420" w:lineRule="exact"/>
        <w:ind w:firstLine="360" w:firstLineChars="150"/>
        <w:rPr>
          <w:rFonts w:ascii="仿宋" w:hAnsi="仿宋" w:eastAsia="仿宋" w:cs="仿宋"/>
          <w:b/>
          <w:bCs/>
          <w:color w:val="auto"/>
          <w:sz w:val="24"/>
        </w:rPr>
      </w:pPr>
      <w:r>
        <w:rPr>
          <w:rFonts w:hint="eastAsia" w:ascii="仿宋" w:hAnsi="仿宋" w:eastAsia="仿宋" w:cs="仿宋"/>
          <w:color w:val="auto"/>
          <w:sz w:val="24"/>
        </w:rPr>
        <w:t>符合中小企业划分标准的个体工商户，视同中小企业；以联合体方式参与的，联合体各方所提供服务部分均为中小企业承接，则联合体视同中小企业。</w:t>
      </w:r>
    </w:p>
    <w:p>
      <w:pPr>
        <w:snapToGrid w:val="0"/>
        <w:spacing w:line="420" w:lineRule="exact"/>
        <w:ind w:firstLine="360" w:firstLineChars="150"/>
        <w:rPr>
          <w:rFonts w:ascii="仿宋" w:hAnsi="仿宋" w:eastAsia="仿宋" w:cs="仿宋"/>
          <w:color w:val="auto"/>
          <w:sz w:val="24"/>
        </w:rPr>
      </w:pPr>
      <w:r>
        <w:rPr>
          <w:rFonts w:hint="eastAsia" w:ascii="仿宋" w:hAnsi="仿宋" w:eastAsia="仿宋" w:cs="仿宋"/>
          <w:color w:val="auto"/>
          <w:sz w:val="24"/>
        </w:rPr>
        <w:t>符合《关于促进残疾人就业政府采购政策的通知》（财库〔2017〕141号）规定的条件并按照采购文件的格式要求提供《残疾人福利性单位声明函》的残疾人福利性单位视同小型、微型企业。供应商提供由省级以上监狱管理局、戒毒管理局（含新疆生产建设兵团）出具的属于监狱企业的证明文件（格式自拟），视同为小型和微型企业。</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中小企业包括中小微企业。</w:t>
      </w:r>
    </w:p>
    <w:p>
      <w:pPr>
        <w:snapToGrid w:val="0"/>
        <w:spacing w:line="440" w:lineRule="exact"/>
        <w:jc w:val="left"/>
        <w:rPr>
          <w:rFonts w:ascii="仿宋" w:hAnsi="仿宋" w:eastAsia="仿宋" w:cs="仿宋"/>
          <w:b/>
          <w:bCs/>
          <w:color w:val="auto"/>
          <w:sz w:val="24"/>
        </w:rPr>
      </w:pPr>
      <w:r>
        <w:rPr>
          <w:rFonts w:hint="eastAsia" w:ascii="仿宋" w:hAnsi="仿宋" w:eastAsia="仿宋" w:cs="仿宋"/>
          <w:b/>
          <w:bCs/>
          <w:color w:val="auto"/>
          <w:sz w:val="24"/>
        </w:rPr>
        <w:t>3.3节能环保政策</w:t>
      </w:r>
    </w:p>
    <w:p>
      <w:pPr>
        <w:snapToGrid w:val="0"/>
        <w:spacing w:line="420" w:lineRule="exact"/>
        <w:ind w:firstLine="360" w:firstLineChars="150"/>
        <w:rPr>
          <w:rFonts w:ascii="仿宋" w:hAnsi="仿宋" w:eastAsia="仿宋" w:cs="仿宋"/>
          <w:color w:val="auto"/>
          <w:sz w:val="24"/>
        </w:rPr>
      </w:pPr>
      <w:r>
        <w:rPr>
          <w:rFonts w:hint="eastAsia" w:ascii="仿宋" w:hAnsi="仿宋" w:eastAsia="仿宋" w:cs="仿宋"/>
          <w:color w:val="auto"/>
          <w:sz w:val="24"/>
        </w:rPr>
        <w:t>投标产品若属于节能（环境标志）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snapToGrid w:val="0"/>
        <w:spacing w:line="440" w:lineRule="exact"/>
        <w:ind w:firstLine="480" w:firstLineChars="200"/>
        <w:jc w:val="left"/>
        <w:rPr>
          <w:rFonts w:ascii="仿宋" w:hAnsi="仿宋" w:eastAsia="仿宋" w:cs="仿宋"/>
          <w:b/>
          <w:bCs/>
          <w:color w:val="auto"/>
          <w:sz w:val="24"/>
        </w:rPr>
      </w:pPr>
      <w:r>
        <w:rPr>
          <w:rFonts w:hint="eastAsia" w:ascii="仿宋" w:hAnsi="仿宋" w:eastAsia="仿宋" w:cs="仿宋"/>
          <w:b/>
          <w:bCs/>
          <w:color w:val="auto"/>
          <w:sz w:val="24"/>
        </w:rPr>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pPr>
        <w:snapToGrid w:val="0"/>
        <w:spacing w:line="440" w:lineRule="exact"/>
        <w:jc w:val="left"/>
        <w:rPr>
          <w:rFonts w:ascii="仿宋" w:hAnsi="仿宋" w:eastAsia="仿宋" w:cs="仿宋"/>
          <w:b/>
          <w:bCs/>
          <w:color w:val="auto"/>
          <w:sz w:val="24"/>
        </w:rPr>
      </w:pPr>
      <w:r>
        <w:rPr>
          <w:rFonts w:hint="eastAsia" w:ascii="仿宋" w:hAnsi="仿宋" w:eastAsia="仿宋" w:cs="仿宋"/>
          <w:b/>
          <w:bCs/>
          <w:color w:val="auto"/>
          <w:sz w:val="24"/>
        </w:rPr>
        <w:t>3.4优先采购创新产品</w:t>
      </w:r>
    </w:p>
    <w:p>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供应商所投核心产品中有被省级及省级以上主管部门认定为“首台套产品”或“制造精品”的，自认定之日起3年内视同已具备相应销售业绩，参加政府采购活动时该供应商的业绩分为满分。</w:t>
      </w:r>
    </w:p>
    <w:p>
      <w:pPr>
        <w:snapToGrid w:val="0"/>
        <w:spacing w:line="440" w:lineRule="exact"/>
        <w:jc w:val="left"/>
        <w:rPr>
          <w:rFonts w:ascii="仿宋" w:hAnsi="仿宋" w:eastAsia="仿宋" w:cs="仿宋"/>
          <w:b/>
          <w:bCs/>
          <w:color w:val="auto"/>
          <w:sz w:val="24"/>
        </w:rPr>
      </w:pPr>
      <w:r>
        <w:rPr>
          <w:rFonts w:hint="eastAsia" w:ascii="仿宋" w:hAnsi="仿宋" w:eastAsia="仿宋" w:cs="仿宋"/>
          <w:b/>
          <w:bCs/>
          <w:color w:val="auto"/>
          <w:sz w:val="24"/>
        </w:rPr>
        <w:t>4.采购文件的澄清与修改</w:t>
      </w:r>
    </w:p>
    <w:p>
      <w:pPr>
        <w:pStyle w:val="9"/>
        <w:widowControl w:val="0"/>
        <w:numPr>
          <w:ilvl w:val="0"/>
          <w:numId w:val="0"/>
        </w:numPr>
        <w:spacing w:after="0" w:afterLines="0" w:line="440" w:lineRule="exact"/>
        <w:rPr>
          <w:rFonts w:ascii="仿宋" w:hAnsi="仿宋" w:eastAsia="仿宋" w:cs="仿宋"/>
          <w:color w:val="auto"/>
        </w:rPr>
      </w:pPr>
      <w:r>
        <w:rPr>
          <w:rFonts w:hint="eastAsia" w:ascii="仿宋" w:hAnsi="仿宋" w:eastAsia="仿宋" w:cs="仿宋"/>
          <w:color w:val="auto"/>
        </w:rPr>
        <w:t>4.1采购人如对</w:t>
      </w:r>
      <w:r>
        <w:rPr>
          <w:rFonts w:hint="eastAsia" w:ascii="仿宋" w:hAnsi="仿宋" w:eastAsia="仿宋" w:cs="仿宋"/>
          <w:color w:val="auto"/>
        </w:rPr>
        <w:t>采购文件进行澄清、补充、变更的，或者在投标截止时间前规定时间内，招标人需要对采购文件进行补充或修改的，采购人将会通过浙江省政府采购网（</w:t>
      </w:r>
      <w:r>
        <w:rPr>
          <w:rFonts w:hint="eastAsia" w:ascii="仿宋" w:hAnsi="仿宋" w:eastAsia="仿宋" w:cs="仿宋"/>
          <w:color w:val="auto"/>
          <w:spacing w:val="-4"/>
        </w:rPr>
        <w:t>http://zfcg.czt.zj.gov.cn/</w:t>
      </w:r>
      <w:r>
        <w:rPr>
          <w:rFonts w:hint="eastAsia" w:ascii="仿宋" w:hAnsi="仿宋" w:eastAsia="仿宋" w:cs="仿宋"/>
          <w:color w:val="auto"/>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4.2为使投标人有足够的时间按更正公告要求修改投标文件，招标人可酌情推迟投标截止时间和开标时间，并将此变更以更正公告的形式通过上述途径通知投标人。</w:t>
      </w:r>
    </w:p>
    <w:p>
      <w:pPr>
        <w:snapToGrid w:val="0"/>
        <w:spacing w:line="440" w:lineRule="exact"/>
        <w:jc w:val="left"/>
        <w:rPr>
          <w:rFonts w:ascii="仿宋" w:hAnsi="仿宋" w:eastAsia="仿宋" w:cs="仿宋"/>
          <w:b/>
          <w:bCs/>
          <w:color w:val="auto"/>
          <w:sz w:val="24"/>
        </w:rPr>
      </w:pPr>
      <w:r>
        <w:rPr>
          <w:rFonts w:hint="eastAsia" w:ascii="仿宋" w:hAnsi="仿宋" w:eastAsia="仿宋" w:cs="仿宋"/>
          <w:b/>
          <w:bCs/>
          <w:color w:val="auto"/>
          <w:sz w:val="24"/>
        </w:rPr>
        <w:t>5、参考品牌</w:t>
      </w:r>
    </w:p>
    <w:p>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pPr>
        <w:pStyle w:val="5"/>
        <w:rPr>
          <w:rFonts w:ascii="仿宋" w:hAnsi="仿宋" w:cs="仿宋"/>
          <w:color w:val="auto"/>
        </w:rPr>
      </w:pPr>
      <w:bookmarkStart w:id="37" w:name="_Toc1461"/>
      <w:r>
        <w:rPr>
          <w:rFonts w:hint="eastAsia" w:ascii="仿宋" w:hAnsi="仿宋" w:cs="仿宋"/>
          <w:color w:val="auto"/>
        </w:rPr>
        <w:t>三、投标文件</w:t>
      </w:r>
      <w:bookmarkEnd w:id="37"/>
    </w:p>
    <w:p>
      <w:pPr>
        <w:numPr>
          <w:ilvl w:val="0"/>
          <w:numId w:val="5"/>
        </w:numPr>
        <w:snapToGrid w:val="0"/>
        <w:spacing w:line="440" w:lineRule="exact"/>
        <w:jc w:val="left"/>
        <w:rPr>
          <w:rFonts w:ascii="仿宋" w:hAnsi="仿宋" w:eastAsia="仿宋" w:cs="仿宋"/>
          <w:b/>
          <w:color w:val="auto"/>
          <w:sz w:val="24"/>
        </w:rPr>
      </w:pPr>
      <w:r>
        <w:rPr>
          <w:rFonts w:hint="eastAsia" w:ascii="仿宋" w:hAnsi="仿宋" w:eastAsia="仿宋" w:cs="仿宋"/>
          <w:b/>
          <w:color w:val="auto"/>
          <w:sz w:val="24"/>
        </w:rPr>
        <w:t>投标文件的语言及货币单位</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1.1投标文件以及有关投标事宜的所有来往函电均应以中文书写，专业术语和外文证明材料除外。</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1.2投标文件以人民币元报价或以下浮率（优惠率）报价，具体详见《开标一览表》。</w:t>
      </w:r>
    </w:p>
    <w:p>
      <w:pPr>
        <w:numPr>
          <w:ilvl w:val="0"/>
          <w:numId w:val="5"/>
        </w:numPr>
        <w:snapToGrid w:val="0"/>
        <w:spacing w:line="440" w:lineRule="exact"/>
        <w:jc w:val="left"/>
        <w:rPr>
          <w:rFonts w:ascii="仿宋" w:hAnsi="仿宋" w:eastAsia="仿宋" w:cs="仿宋"/>
          <w:b/>
          <w:color w:val="auto"/>
          <w:sz w:val="24"/>
        </w:rPr>
      </w:pPr>
      <w:r>
        <w:rPr>
          <w:rFonts w:hint="eastAsia" w:ascii="仿宋" w:hAnsi="仿宋" w:eastAsia="仿宋" w:cs="仿宋"/>
          <w:b/>
          <w:color w:val="auto"/>
          <w:sz w:val="24"/>
        </w:rPr>
        <w:t>投标文件的组成</w:t>
      </w:r>
      <w:r>
        <w:rPr>
          <w:rFonts w:hint="eastAsia" w:ascii="仿宋" w:hAnsi="仿宋" w:eastAsia="仿宋" w:cs="仿宋"/>
          <w:bCs/>
          <w:color w:val="auto"/>
          <w:sz w:val="24"/>
        </w:rPr>
        <w:t>（</w:t>
      </w:r>
      <w:r>
        <w:rPr>
          <w:rFonts w:hint="eastAsia" w:ascii="仿宋" w:hAnsi="仿宋" w:eastAsia="仿宋" w:cs="仿宋"/>
          <w:b/>
          <w:bCs/>
          <w:color w:val="auto"/>
          <w:sz w:val="24"/>
        </w:rPr>
        <w:t>格式详见第六章附件</w:t>
      </w:r>
      <w:r>
        <w:rPr>
          <w:rFonts w:hint="eastAsia" w:ascii="仿宋" w:hAnsi="仿宋" w:eastAsia="仿宋" w:cs="仿宋"/>
          <w:bCs/>
          <w:color w:val="auto"/>
          <w:sz w:val="24"/>
        </w:rPr>
        <w:t>）</w:t>
      </w:r>
    </w:p>
    <w:p>
      <w:pPr>
        <w:snapToGrid w:val="0"/>
        <w:spacing w:line="440" w:lineRule="exact"/>
        <w:ind w:firstLine="479"/>
        <w:jc w:val="left"/>
        <w:rPr>
          <w:rFonts w:ascii="仿宋" w:hAnsi="仿宋" w:eastAsia="仿宋" w:cs="仿宋"/>
          <w:color w:val="auto"/>
          <w:sz w:val="24"/>
        </w:rPr>
      </w:pPr>
      <w:r>
        <w:rPr>
          <w:rFonts w:hint="eastAsia" w:ascii="仿宋" w:hAnsi="仿宋" w:eastAsia="仿宋" w:cs="仿宋"/>
          <w:color w:val="auto"/>
          <w:sz w:val="24"/>
        </w:rPr>
        <w:t>本项目投标文件由“资格文件”、“商务和技术文件”、“报价文件”三部分组成：</w:t>
      </w:r>
    </w:p>
    <w:p>
      <w:pPr>
        <w:snapToGrid w:val="0"/>
        <w:spacing w:line="440" w:lineRule="exact"/>
        <w:jc w:val="left"/>
        <w:rPr>
          <w:rFonts w:ascii="仿宋" w:hAnsi="仿宋" w:eastAsia="仿宋" w:cs="仿宋"/>
          <w:b/>
          <w:bCs/>
          <w:color w:val="auto"/>
          <w:sz w:val="24"/>
        </w:rPr>
      </w:pPr>
      <w:r>
        <w:rPr>
          <w:rFonts w:hint="eastAsia" w:ascii="仿宋" w:hAnsi="仿宋" w:eastAsia="仿宋" w:cs="仿宋"/>
          <w:b/>
          <w:bCs/>
          <w:color w:val="auto"/>
          <w:sz w:val="24"/>
        </w:rPr>
        <w:t>2.1“资格文件”包括以下内容：</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2.1.1投标声明函；</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2.1.2联合体协议书（如有）；</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2.1.3法定代表人授权委托书（个体工商户需经营者参与投标，不得授权）</w:t>
      </w:r>
      <w:r>
        <w:rPr>
          <w:rFonts w:hint="eastAsia" w:ascii="仿宋" w:hAnsi="仿宋" w:eastAsia="仿宋" w:cs="仿宋"/>
          <w:bCs/>
          <w:color w:val="auto"/>
          <w:sz w:val="24"/>
        </w:rPr>
        <w:t>；</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2.1.4法定代表人及其授权代表的身份证；</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2.1.5 资格条件证明材料：</w:t>
      </w:r>
    </w:p>
    <w:p>
      <w:pPr>
        <w:snapToGrid w:val="0"/>
        <w:spacing w:line="440" w:lineRule="exact"/>
        <w:ind w:firstLine="600" w:firstLineChars="250"/>
        <w:jc w:val="left"/>
        <w:rPr>
          <w:rFonts w:ascii="仿宋" w:hAnsi="仿宋" w:eastAsia="仿宋" w:cs="仿宋"/>
          <w:color w:val="auto"/>
          <w:sz w:val="24"/>
        </w:rPr>
      </w:pPr>
      <w:r>
        <w:rPr>
          <w:rFonts w:hint="eastAsia" w:ascii="仿宋" w:hAnsi="仿宋" w:eastAsia="仿宋" w:cs="仿宋"/>
          <w:color w:val="auto"/>
          <w:sz w:val="24"/>
        </w:rPr>
        <w:t>2.1.5.1营业执照或事业单位法人登记证书；</w:t>
      </w:r>
    </w:p>
    <w:p>
      <w:pPr>
        <w:snapToGrid w:val="0"/>
        <w:spacing w:line="440" w:lineRule="exact"/>
        <w:ind w:firstLine="600" w:firstLineChars="250"/>
        <w:jc w:val="left"/>
        <w:rPr>
          <w:rFonts w:ascii="仿宋" w:hAnsi="仿宋" w:eastAsia="仿宋" w:cs="仿宋"/>
          <w:color w:val="auto"/>
          <w:sz w:val="24"/>
        </w:rPr>
      </w:pPr>
      <w:r>
        <w:rPr>
          <w:rFonts w:hint="eastAsia" w:ascii="仿宋" w:hAnsi="仿宋" w:eastAsia="仿宋" w:cs="仿宋"/>
          <w:color w:val="auto"/>
          <w:sz w:val="24"/>
        </w:rPr>
        <w:t>2.1.5.2特定资格条件证明材料（如有）。</w:t>
      </w:r>
    </w:p>
    <w:p>
      <w:pPr>
        <w:widowControl/>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2.1.6中小企业声明函（如有）；</w:t>
      </w:r>
    </w:p>
    <w:p>
      <w:pPr>
        <w:widowControl/>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2.1.7残疾人福利性单位声明函（如有）；</w:t>
      </w:r>
    </w:p>
    <w:p>
      <w:pPr>
        <w:snapToGrid w:val="0"/>
        <w:spacing w:line="440" w:lineRule="exact"/>
        <w:jc w:val="left"/>
        <w:rPr>
          <w:rFonts w:ascii="仿宋" w:hAnsi="仿宋" w:eastAsia="仿宋" w:cs="仿宋"/>
          <w:b/>
          <w:bCs/>
          <w:color w:val="auto"/>
          <w:sz w:val="32"/>
          <w:szCs w:val="32"/>
          <w:u w:val="single"/>
        </w:rPr>
      </w:pPr>
      <w:r>
        <w:rPr>
          <w:rFonts w:hint="eastAsia" w:ascii="仿宋" w:hAnsi="仿宋" w:eastAsia="仿宋" w:cs="仿宋"/>
          <w:b/>
          <w:bCs/>
          <w:color w:val="auto"/>
          <w:sz w:val="32"/>
          <w:szCs w:val="32"/>
          <w:u w:val="single"/>
        </w:rPr>
        <w:t>注：“资格文件”需按采购文件的要求制作，2.1.4-2.1.5均为原件扫描件或彩色图片，未按采购文件要求签字、盖CA章或内容有实质性偏离的，资格审查不通过。无需提供纸质资格审查资料。</w:t>
      </w:r>
    </w:p>
    <w:p>
      <w:pPr>
        <w:snapToGrid w:val="0"/>
        <w:spacing w:line="440" w:lineRule="exact"/>
        <w:jc w:val="left"/>
        <w:rPr>
          <w:rFonts w:ascii="仿宋" w:hAnsi="仿宋" w:eastAsia="仿宋" w:cs="仿宋"/>
          <w:b/>
          <w:bCs/>
          <w:color w:val="auto"/>
          <w:sz w:val="24"/>
        </w:rPr>
      </w:pPr>
      <w:r>
        <w:rPr>
          <w:rFonts w:hint="eastAsia" w:ascii="仿宋" w:hAnsi="仿宋" w:eastAsia="仿宋" w:cs="仿宋"/>
          <w:b/>
          <w:bCs/>
          <w:color w:val="auto"/>
          <w:sz w:val="24"/>
        </w:rPr>
        <w:t>2.2“商务和技术文件”包括以下内容：</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2.2.1项目明细清单；</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2.2.2技术响应表（</w:t>
      </w:r>
      <w:r>
        <w:rPr>
          <w:rFonts w:hint="eastAsia" w:ascii="仿宋" w:hAnsi="仿宋" w:eastAsia="仿宋" w:cs="仿宋"/>
          <w:color w:val="auto"/>
          <w:sz w:val="24"/>
        </w:rPr>
        <w:t>投标人在技术响应表中，</w:t>
      </w:r>
      <w:r>
        <w:rPr>
          <w:rFonts w:hint="eastAsia" w:ascii="仿宋" w:hAnsi="仿宋" w:eastAsia="仿宋" w:cs="仿宋"/>
          <w:color w:val="auto"/>
          <w:kern w:val="0"/>
          <w:sz w:val="24"/>
          <w:lang w:val="zh-CN"/>
        </w:rPr>
        <w:t>应对</w:t>
      </w:r>
      <w:r>
        <w:rPr>
          <w:rFonts w:hint="eastAsia" w:ascii="仿宋" w:hAnsi="仿宋" w:eastAsia="仿宋" w:cs="仿宋"/>
          <w:color w:val="auto"/>
          <w:sz w:val="24"/>
        </w:rPr>
        <w:t>采购需求中的各项技术规范</w:t>
      </w:r>
      <w:r>
        <w:rPr>
          <w:rFonts w:hint="eastAsia" w:ascii="仿宋" w:hAnsi="仿宋" w:eastAsia="仿宋" w:cs="仿宋"/>
          <w:color w:val="auto"/>
          <w:kern w:val="0"/>
          <w:sz w:val="24"/>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hAnsi="仿宋" w:eastAsia="仿宋" w:cs="仿宋"/>
          <w:color w:val="auto"/>
          <w:sz w:val="24"/>
        </w:rPr>
        <w:t>）；</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2.2.3商务响应表（需对采购文件中付款方式、服务期限等商务要求进行逐一答复、说明和解释，</w:t>
      </w:r>
      <w:r>
        <w:rPr>
          <w:rFonts w:hint="eastAsia" w:ascii="仿宋" w:hAnsi="仿宋" w:eastAsia="仿宋" w:cs="仿宋"/>
          <w:color w:val="auto"/>
          <w:kern w:val="0"/>
          <w:sz w:val="24"/>
          <w:lang w:val="zh-CN"/>
        </w:rPr>
        <w:t>正偏离的需详细说明）；</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2.2.4项目实施方案；</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2.2.5项目实施人员清单；</w:t>
      </w:r>
    </w:p>
    <w:p>
      <w:pPr>
        <w:pStyle w:val="38"/>
        <w:spacing w:line="360" w:lineRule="auto"/>
        <w:ind w:firstLine="0" w:firstLineChars="0"/>
        <w:jc w:val="left"/>
        <w:rPr>
          <w:rFonts w:ascii="仿宋" w:hAnsi="仿宋" w:eastAsia="仿宋" w:cs="仿宋"/>
          <w:color w:val="auto"/>
          <w:szCs w:val="20"/>
        </w:rPr>
      </w:pPr>
      <w:r>
        <w:rPr>
          <w:rFonts w:hint="eastAsia" w:ascii="仿宋" w:hAnsi="仿宋" w:eastAsia="仿宋" w:cs="仿宋"/>
          <w:color w:val="auto"/>
          <w:szCs w:val="20"/>
        </w:rPr>
        <w:t>2.2.6类似业绩一览表（附业绩证明材料）（如有）；</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2.2.7享受政府采购政策性规定情况表（如有）（</w:t>
      </w:r>
      <w:r>
        <w:rPr>
          <w:rFonts w:hint="eastAsia" w:ascii="仿宋" w:hAnsi="仿宋" w:eastAsia="仿宋" w:cs="仿宋"/>
          <w:color w:val="auto"/>
          <w:sz w:val="24"/>
          <w:szCs w:val="24"/>
        </w:rPr>
        <w:t>采购清单中有国家强制采购的节能产品的，必须填写相关对应内容，否则视为未提供节能产品）（附证明材料）。</w:t>
      </w:r>
    </w:p>
    <w:p>
      <w:pPr>
        <w:pStyle w:val="38"/>
        <w:spacing w:line="360" w:lineRule="auto"/>
        <w:ind w:firstLine="0" w:firstLineChars="0"/>
        <w:jc w:val="left"/>
        <w:rPr>
          <w:rFonts w:ascii="仿宋" w:hAnsi="仿宋" w:eastAsia="仿宋" w:cs="仿宋"/>
          <w:color w:val="auto"/>
          <w:szCs w:val="20"/>
        </w:rPr>
      </w:pPr>
      <w:r>
        <w:rPr>
          <w:rFonts w:hint="eastAsia" w:ascii="仿宋" w:hAnsi="仿宋" w:eastAsia="仿宋" w:cs="仿宋"/>
          <w:color w:val="auto"/>
          <w:szCs w:val="20"/>
          <w:lang w:val="zh-CN"/>
        </w:rPr>
        <w:t>2.2.8优惠条件及其他额外承诺；</w:t>
      </w:r>
    </w:p>
    <w:p>
      <w:pPr>
        <w:snapToGrid w:val="0"/>
        <w:spacing w:line="440" w:lineRule="exact"/>
        <w:jc w:val="left"/>
        <w:rPr>
          <w:rFonts w:ascii="仿宋" w:hAnsi="仿宋" w:eastAsia="仿宋" w:cs="仿宋"/>
          <w:b/>
          <w:bCs/>
          <w:color w:val="auto"/>
          <w:kern w:val="0"/>
          <w:sz w:val="24"/>
          <w:lang w:val="zh-CN"/>
        </w:rPr>
      </w:pPr>
      <w:r>
        <w:rPr>
          <w:rFonts w:hint="eastAsia" w:ascii="仿宋" w:hAnsi="仿宋" w:eastAsia="仿宋" w:cs="仿宋"/>
          <w:b/>
          <w:bCs/>
          <w:color w:val="auto"/>
          <w:kern w:val="0"/>
          <w:sz w:val="24"/>
          <w:lang w:val="zh-CN"/>
        </w:rPr>
        <w:t>2.2.9按评分细则中要求提供的其他资料（重要）；</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2.2.10其他投标人认为需要提供的材料，如投标人简介等，格式自拟。</w:t>
      </w:r>
    </w:p>
    <w:p>
      <w:pPr>
        <w:snapToGrid w:val="0"/>
        <w:spacing w:line="440" w:lineRule="exact"/>
        <w:jc w:val="left"/>
        <w:rPr>
          <w:rFonts w:ascii="仿宋" w:hAnsi="仿宋" w:eastAsia="仿宋" w:cs="仿宋"/>
          <w:color w:val="auto"/>
          <w:sz w:val="24"/>
        </w:rPr>
      </w:pPr>
      <w:r>
        <w:rPr>
          <w:rFonts w:hint="eastAsia" w:ascii="仿宋" w:hAnsi="仿宋" w:eastAsia="仿宋" w:cs="仿宋"/>
          <w:b/>
          <w:bCs/>
          <w:color w:val="auto"/>
          <w:sz w:val="32"/>
          <w:szCs w:val="32"/>
          <w:u w:val="single"/>
        </w:rPr>
        <w:t>注：“商务和技术文件”可在采购文件格式的基础上适当调整，以使内容更加完备。供应商自有的各类证书、业绩等证明材料均为原件彩色扫描件或图片（标项内另有规定的除外），加盖供应商CA签章。无需提供纸质证明材料核验。</w:t>
      </w:r>
    </w:p>
    <w:p>
      <w:pPr>
        <w:snapToGrid w:val="0"/>
        <w:spacing w:line="440" w:lineRule="exact"/>
        <w:jc w:val="left"/>
        <w:rPr>
          <w:rFonts w:ascii="仿宋" w:hAnsi="仿宋" w:eastAsia="仿宋" w:cs="仿宋"/>
          <w:b/>
          <w:bCs/>
          <w:color w:val="auto"/>
          <w:sz w:val="24"/>
        </w:rPr>
      </w:pPr>
      <w:r>
        <w:rPr>
          <w:rFonts w:hint="eastAsia" w:ascii="仿宋" w:hAnsi="仿宋" w:eastAsia="仿宋" w:cs="仿宋"/>
          <w:b/>
          <w:bCs/>
          <w:color w:val="auto"/>
          <w:sz w:val="24"/>
        </w:rPr>
        <w:t>2.3“报价文件”包括以下内容：</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2.3.1开标一览表；</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2.3.2关于报价的其他说明（如有，格式自拟）。</w:t>
      </w:r>
    </w:p>
    <w:p>
      <w:pPr>
        <w:snapToGrid w:val="0"/>
        <w:spacing w:line="440" w:lineRule="exact"/>
        <w:jc w:val="left"/>
        <w:rPr>
          <w:rFonts w:ascii="仿宋" w:hAnsi="仿宋" w:eastAsia="仿宋" w:cs="仿宋"/>
          <w:b/>
          <w:bCs/>
          <w:color w:val="auto"/>
          <w:sz w:val="32"/>
          <w:szCs w:val="32"/>
          <w:u w:val="single"/>
        </w:rPr>
      </w:pPr>
      <w:r>
        <w:rPr>
          <w:rFonts w:hint="eastAsia" w:ascii="仿宋" w:hAnsi="仿宋" w:eastAsia="仿宋" w:cs="仿宋"/>
          <w:b/>
          <w:bCs/>
          <w:color w:val="auto"/>
          <w:sz w:val="32"/>
          <w:szCs w:val="32"/>
          <w:u w:val="single"/>
        </w:rPr>
        <w:t>注：“报价文件”需按采购文件第六章附件的要求制作，未按采购文件要求签字、盖CA章或内容有实质性偏离的，作无效投标处理。</w:t>
      </w:r>
    </w:p>
    <w:p>
      <w:pPr>
        <w:snapToGrid w:val="0"/>
        <w:spacing w:line="440" w:lineRule="exact"/>
        <w:jc w:val="left"/>
        <w:rPr>
          <w:rFonts w:ascii="仿宋" w:hAnsi="仿宋" w:eastAsia="仿宋" w:cs="仿宋"/>
          <w:b/>
          <w:bCs/>
          <w:color w:val="auto"/>
          <w:sz w:val="32"/>
          <w:szCs w:val="32"/>
          <w:u w:val="single"/>
        </w:rPr>
      </w:pPr>
      <w:r>
        <w:rPr>
          <w:rFonts w:hint="eastAsia" w:ascii="仿宋" w:hAnsi="仿宋" w:eastAsia="仿宋" w:cs="仿宋"/>
          <w:b/>
          <w:bCs/>
          <w:color w:val="auto"/>
          <w:sz w:val="32"/>
          <w:szCs w:val="32"/>
          <w:u w:val="single"/>
        </w:rPr>
        <w:t>注：如联合体投标的，“资格文件”、“商务技术文件”、“报价文件”中除联合体协议外，所有盖章、签字部分仅需联合体牵头人盖章和签字。</w:t>
      </w:r>
    </w:p>
    <w:p>
      <w:pPr>
        <w:numPr>
          <w:ilvl w:val="0"/>
          <w:numId w:val="5"/>
        </w:numPr>
        <w:snapToGrid w:val="0"/>
        <w:spacing w:line="440" w:lineRule="exact"/>
        <w:jc w:val="left"/>
        <w:rPr>
          <w:rFonts w:ascii="仿宋" w:hAnsi="仿宋" w:eastAsia="仿宋" w:cs="仿宋"/>
          <w:b/>
          <w:color w:val="auto"/>
          <w:sz w:val="24"/>
        </w:rPr>
      </w:pPr>
      <w:r>
        <w:rPr>
          <w:rFonts w:hint="eastAsia" w:ascii="仿宋" w:hAnsi="仿宋" w:eastAsia="仿宋" w:cs="仿宋"/>
          <w:b/>
          <w:color w:val="auto"/>
          <w:sz w:val="24"/>
        </w:rPr>
        <w:t>投标文件的制作要求</w:t>
      </w:r>
    </w:p>
    <w:p>
      <w:pPr>
        <w:snapToGrid w:val="0"/>
        <w:spacing w:line="440" w:lineRule="exact"/>
        <w:jc w:val="left"/>
        <w:rPr>
          <w:rFonts w:ascii="仿宋" w:hAnsi="仿宋" w:eastAsia="仿宋" w:cs="仿宋"/>
          <w:b/>
          <w:color w:val="auto"/>
          <w:sz w:val="24"/>
        </w:rPr>
      </w:pPr>
      <w:r>
        <w:rPr>
          <w:rFonts w:hint="eastAsia" w:ascii="仿宋" w:hAnsi="仿宋" w:eastAsia="仿宋" w:cs="仿宋"/>
          <w:b/>
          <w:color w:val="auto"/>
          <w:sz w:val="24"/>
        </w:rPr>
        <w:t>3.1电子投标文件，按“供应商-政府采购项目电子交易操作指南”（https://help.zcygov.cn/web/site_2/2018/12-28/2573.html?utm=a0017.1b5152f3.cl12.1.6a74a560d9dd11e9943b71555d71591e）及本采购文件要求制作、加密并上传，</w:t>
      </w:r>
      <w:r>
        <w:rPr>
          <w:rFonts w:hint="eastAsia" w:ascii="仿宋" w:hAnsi="仿宋" w:eastAsia="仿宋" w:cs="仿宋"/>
          <w:b/>
          <w:bCs/>
          <w:color w:val="auto"/>
          <w:spacing w:val="-4"/>
          <w:sz w:val="24"/>
        </w:rPr>
        <w:t>未按“政采云”平台电子投标工具（政府采购电子交易客户端）制作将无法上传和解密</w:t>
      </w:r>
      <w:r>
        <w:rPr>
          <w:rFonts w:hint="eastAsia" w:ascii="仿宋" w:hAnsi="仿宋" w:eastAsia="仿宋" w:cs="仿宋"/>
          <w:b/>
          <w:color w:val="auto"/>
          <w:sz w:val="24"/>
        </w:rPr>
        <w:t>。</w:t>
      </w:r>
    </w:p>
    <w:p>
      <w:pPr>
        <w:snapToGrid w:val="0"/>
        <w:spacing w:line="440" w:lineRule="exact"/>
        <w:jc w:val="left"/>
        <w:rPr>
          <w:rFonts w:ascii="仿宋" w:hAnsi="仿宋" w:eastAsia="仿宋" w:cs="仿宋"/>
          <w:b/>
          <w:color w:val="auto"/>
          <w:sz w:val="24"/>
        </w:rPr>
      </w:pPr>
      <w:r>
        <w:rPr>
          <w:rFonts w:hint="eastAsia" w:ascii="仿宋" w:hAnsi="仿宋" w:eastAsia="仿宋" w:cs="仿宋"/>
          <w:b/>
          <w:color w:val="auto"/>
          <w:sz w:val="24"/>
        </w:rPr>
        <w:t>3.2投标文件须为PDF格式文档。</w:t>
      </w:r>
    </w:p>
    <w:p>
      <w:pPr>
        <w:snapToGrid w:val="0"/>
        <w:spacing w:line="440" w:lineRule="exact"/>
        <w:jc w:val="left"/>
        <w:rPr>
          <w:rFonts w:ascii="仿宋" w:hAnsi="仿宋" w:eastAsia="仿宋" w:cs="仿宋"/>
          <w:b/>
          <w:color w:val="auto"/>
          <w:sz w:val="24"/>
        </w:rPr>
      </w:pPr>
      <w:r>
        <w:rPr>
          <w:rFonts w:hint="eastAsia" w:ascii="仿宋" w:hAnsi="仿宋" w:eastAsia="仿宋" w:cs="仿宋"/>
          <w:b/>
          <w:color w:val="auto"/>
          <w:sz w:val="24"/>
        </w:rPr>
        <w:t>3.3投标文件需做好“标书关联”（即设置关联点），未设置关联点而导致失分或作无效投标处理的风险由投标人承担。</w:t>
      </w:r>
    </w:p>
    <w:p>
      <w:pPr>
        <w:snapToGrid w:val="0"/>
        <w:spacing w:line="440" w:lineRule="exact"/>
        <w:jc w:val="left"/>
        <w:rPr>
          <w:rFonts w:ascii="仿宋" w:hAnsi="仿宋" w:eastAsia="仿宋" w:cs="仿宋"/>
          <w:b/>
          <w:bCs/>
          <w:color w:val="auto"/>
          <w:spacing w:val="-4"/>
          <w:sz w:val="24"/>
        </w:rPr>
      </w:pPr>
      <w:r>
        <w:rPr>
          <w:rFonts w:hint="eastAsia" w:ascii="仿宋" w:hAnsi="仿宋" w:eastAsia="仿宋" w:cs="仿宋"/>
          <w:b/>
          <w:bCs/>
          <w:color w:val="auto"/>
          <w:spacing w:val="-4"/>
          <w:sz w:val="24"/>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pPr>
        <w:snapToGrid w:val="0"/>
        <w:spacing w:line="440" w:lineRule="exact"/>
        <w:jc w:val="left"/>
        <w:rPr>
          <w:rFonts w:ascii="仿宋" w:hAnsi="仿宋" w:eastAsia="仿宋" w:cs="仿宋"/>
          <w:b/>
          <w:bCs/>
          <w:color w:val="auto"/>
          <w:spacing w:val="-4"/>
          <w:sz w:val="24"/>
        </w:rPr>
      </w:pPr>
      <w:r>
        <w:rPr>
          <w:rFonts w:hint="eastAsia" w:ascii="仿宋" w:hAnsi="仿宋" w:eastAsia="仿宋" w:cs="仿宋"/>
          <w:b/>
          <w:bCs/>
          <w:color w:val="auto"/>
          <w:spacing w:val="-4"/>
          <w:sz w:val="24"/>
        </w:rPr>
        <w:t>3.5个体工商户参与投标的，法定代表人签字（盖章）处由个体工商户经营者签署（盖章）。</w:t>
      </w:r>
    </w:p>
    <w:p>
      <w:pPr>
        <w:snapToGrid w:val="0"/>
        <w:spacing w:line="440" w:lineRule="exact"/>
        <w:jc w:val="left"/>
        <w:rPr>
          <w:rFonts w:ascii="仿宋" w:hAnsi="仿宋" w:eastAsia="仿宋" w:cs="仿宋"/>
          <w:color w:val="auto"/>
          <w:sz w:val="24"/>
          <w:u w:val="single"/>
        </w:rPr>
      </w:pPr>
      <w:r>
        <w:rPr>
          <w:rFonts w:hint="eastAsia" w:ascii="仿宋" w:hAnsi="仿宋" w:eastAsia="仿宋" w:cs="仿宋"/>
          <w:b/>
          <w:bCs/>
          <w:color w:val="auto"/>
          <w:spacing w:val="-4"/>
          <w:sz w:val="24"/>
          <w:u w:val="single"/>
        </w:rPr>
        <w:t>友情提醒：在生成加密电子标书过程中，花费时间较长，预计需要10-20分钟时间，请供应商耐心等待，不要关闭电子交易客户端。</w:t>
      </w:r>
    </w:p>
    <w:p>
      <w:pPr>
        <w:widowControl/>
        <w:snapToGrid w:val="0"/>
        <w:spacing w:line="440" w:lineRule="exact"/>
        <w:rPr>
          <w:rFonts w:ascii="仿宋" w:hAnsi="仿宋" w:eastAsia="仿宋" w:cs="仿宋"/>
          <w:b/>
          <w:color w:val="auto"/>
          <w:kern w:val="0"/>
          <w:sz w:val="24"/>
        </w:rPr>
      </w:pPr>
      <w:r>
        <w:rPr>
          <w:rFonts w:hint="eastAsia" w:ascii="仿宋" w:hAnsi="仿宋" w:eastAsia="仿宋" w:cs="仿宋"/>
          <w:b/>
          <w:color w:val="auto"/>
          <w:sz w:val="24"/>
        </w:rPr>
        <w:t>4．</w:t>
      </w:r>
      <w:r>
        <w:rPr>
          <w:rFonts w:hint="eastAsia" w:ascii="仿宋" w:hAnsi="仿宋" w:eastAsia="仿宋" w:cs="仿宋"/>
          <w:b/>
          <w:color w:val="auto"/>
          <w:kern w:val="0"/>
          <w:sz w:val="24"/>
        </w:rPr>
        <w:t>投标文件的补充和修改</w:t>
      </w:r>
    </w:p>
    <w:p>
      <w:pPr>
        <w:widowControl/>
        <w:snapToGrid w:val="0"/>
        <w:spacing w:line="44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投标截止时间前，投标人可以通过替换加密电子投标文件的形式以对投标文件进行补充和修改，补充和修改将以投标截止时间后的最终加密电子投标文件为准，</w:t>
      </w:r>
      <w:r>
        <w:rPr>
          <w:rFonts w:hint="eastAsia" w:ascii="仿宋" w:hAnsi="仿宋" w:eastAsia="仿宋" w:cs="仿宋"/>
          <w:color w:val="auto"/>
          <w:kern w:val="0"/>
          <w:sz w:val="24"/>
        </w:rPr>
        <w:t>投标截止时间前未完成上传的，视为投标文件撤回。不接受其他途径的补充和修改。</w:t>
      </w:r>
    </w:p>
    <w:p>
      <w:pPr>
        <w:pStyle w:val="9"/>
        <w:numPr>
          <w:ilvl w:val="0"/>
          <w:numId w:val="0"/>
        </w:numPr>
        <w:spacing w:after="0" w:afterLines="0" w:line="440" w:lineRule="atLeast"/>
        <w:rPr>
          <w:rFonts w:ascii="仿宋" w:hAnsi="仿宋" w:eastAsia="仿宋" w:cs="仿宋"/>
          <w:b/>
          <w:color w:val="auto"/>
          <w:szCs w:val="24"/>
        </w:rPr>
      </w:pPr>
      <w:r>
        <w:rPr>
          <w:rFonts w:hint="eastAsia" w:ascii="仿宋" w:hAnsi="仿宋" w:eastAsia="仿宋" w:cs="仿宋"/>
          <w:b/>
          <w:color w:val="auto"/>
          <w:szCs w:val="24"/>
        </w:rPr>
        <w:t>5.投标文件的有效期</w:t>
      </w:r>
    </w:p>
    <w:p>
      <w:pPr>
        <w:pStyle w:val="9"/>
        <w:numPr>
          <w:ilvl w:val="0"/>
          <w:numId w:val="0"/>
        </w:numPr>
        <w:spacing w:after="0" w:afterLines="0" w:line="440" w:lineRule="atLeast"/>
        <w:rPr>
          <w:rFonts w:ascii="仿宋" w:hAnsi="仿宋" w:eastAsia="仿宋" w:cs="仿宋"/>
          <w:color w:val="auto"/>
          <w:szCs w:val="24"/>
        </w:rPr>
      </w:pPr>
      <w:r>
        <w:rPr>
          <w:rFonts w:hint="eastAsia" w:ascii="仿宋" w:hAnsi="仿宋" w:eastAsia="仿宋" w:cs="仿宋"/>
          <w:color w:val="auto"/>
          <w:szCs w:val="24"/>
        </w:rPr>
        <w:t>5.1</w:t>
      </w:r>
      <w:r>
        <w:rPr>
          <w:rFonts w:hint="eastAsia" w:ascii="仿宋" w:hAnsi="仿宋" w:eastAsia="仿宋" w:cs="仿宋"/>
          <w:color w:val="auto"/>
        </w:rPr>
        <w:t>投标文件有效期详见前附表。投标有效期内，投标人不得撤销或更换投标文件。</w:t>
      </w:r>
    </w:p>
    <w:p>
      <w:pPr>
        <w:pStyle w:val="9"/>
        <w:numPr>
          <w:ilvl w:val="0"/>
          <w:numId w:val="0"/>
        </w:numPr>
        <w:spacing w:after="0" w:afterLines="0" w:line="440" w:lineRule="atLeast"/>
        <w:rPr>
          <w:rFonts w:ascii="仿宋" w:hAnsi="仿宋" w:eastAsia="仿宋" w:cs="仿宋"/>
          <w:color w:val="auto"/>
          <w:szCs w:val="24"/>
        </w:rPr>
      </w:pPr>
      <w:r>
        <w:rPr>
          <w:rFonts w:hint="eastAsia" w:ascii="仿宋" w:hAnsi="仿宋" w:eastAsia="仿宋" w:cs="仿宋"/>
          <w:color w:val="auto"/>
          <w:szCs w:val="24"/>
        </w:rPr>
        <w:t>5.2投标有效期内未完成开评标及与中标人签订合同的，采购人需与投标人书面协商延长投标书的有效期。</w:t>
      </w:r>
    </w:p>
    <w:p>
      <w:pPr>
        <w:pStyle w:val="9"/>
        <w:numPr>
          <w:ilvl w:val="0"/>
          <w:numId w:val="0"/>
        </w:numPr>
        <w:spacing w:after="0" w:afterLines="0" w:line="440" w:lineRule="atLeast"/>
        <w:rPr>
          <w:rFonts w:ascii="仿宋" w:hAnsi="仿宋" w:eastAsia="仿宋" w:cs="仿宋"/>
          <w:color w:val="auto"/>
          <w:szCs w:val="24"/>
        </w:rPr>
      </w:pPr>
      <w:r>
        <w:rPr>
          <w:rFonts w:hint="eastAsia" w:ascii="仿宋" w:hAnsi="仿宋" w:eastAsia="仿宋" w:cs="仿宋"/>
          <w:color w:val="auto"/>
          <w:szCs w:val="24"/>
        </w:rPr>
        <w:t>5.3投标人可拒绝接受延期要求。同意延长有效期的投标人不能修改投标文件。</w:t>
      </w:r>
    </w:p>
    <w:p>
      <w:pPr>
        <w:pStyle w:val="9"/>
        <w:numPr>
          <w:ilvl w:val="0"/>
          <w:numId w:val="0"/>
        </w:numPr>
        <w:spacing w:after="0" w:afterLines="0" w:line="440" w:lineRule="atLeast"/>
        <w:rPr>
          <w:rFonts w:ascii="仿宋" w:hAnsi="仿宋" w:eastAsia="仿宋" w:cs="仿宋"/>
          <w:color w:val="auto"/>
          <w:szCs w:val="24"/>
        </w:rPr>
      </w:pPr>
      <w:r>
        <w:rPr>
          <w:rFonts w:hint="eastAsia" w:ascii="仿宋" w:hAnsi="仿宋" w:eastAsia="仿宋" w:cs="仿宋"/>
          <w:color w:val="auto"/>
          <w:szCs w:val="24"/>
        </w:rPr>
        <w:t>5.4投标文件不予退还。</w:t>
      </w:r>
    </w:p>
    <w:p>
      <w:pPr>
        <w:pStyle w:val="9"/>
        <w:numPr>
          <w:ilvl w:val="0"/>
          <w:numId w:val="0"/>
        </w:numPr>
        <w:spacing w:after="0" w:afterLines="0" w:line="440" w:lineRule="atLeast"/>
        <w:rPr>
          <w:rFonts w:ascii="仿宋" w:hAnsi="仿宋" w:eastAsia="仿宋" w:cs="仿宋"/>
          <w:b/>
          <w:bCs/>
          <w:color w:val="auto"/>
          <w:szCs w:val="24"/>
        </w:rPr>
      </w:pPr>
      <w:r>
        <w:rPr>
          <w:rFonts w:hint="eastAsia" w:ascii="仿宋" w:hAnsi="仿宋" w:eastAsia="仿宋" w:cs="仿宋"/>
          <w:b/>
          <w:bCs/>
          <w:color w:val="auto"/>
          <w:szCs w:val="24"/>
        </w:rPr>
        <w:t>6.投标文件的保密</w:t>
      </w:r>
    </w:p>
    <w:p>
      <w:pPr>
        <w:jc w:val="left"/>
        <w:rPr>
          <w:rFonts w:ascii="仿宋" w:hAnsi="仿宋" w:eastAsia="仿宋" w:cs="仿宋"/>
          <w:color w:val="auto"/>
          <w:sz w:val="24"/>
        </w:rPr>
      </w:pPr>
      <w:r>
        <w:rPr>
          <w:rFonts w:hint="eastAsia" w:ascii="仿宋" w:hAnsi="仿宋" w:eastAsia="仿宋" w:cs="仿宋"/>
          <w:color w:val="auto"/>
          <w:sz w:val="24"/>
        </w:rPr>
        <w:t>6.1备份电子投标文件在解密前处于保密状态。</w:t>
      </w:r>
    </w:p>
    <w:p>
      <w:pPr>
        <w:jc w:val="left"/>
        <w:rPr>
          <w:rFonts w:ascii="仿宋" w:hAnsi="仿宋" w:eastAsia="仿宋" w:cs="仿宋"/>
          <w:color w:val="auto"/>
          <w:sz w:val="24"/>
        </w:rPr>
      </w:pPr>
      <w:r>
        <w:rPr>
          <w:rFonts w:hint="eastAsia" w:ascii="仿宋" w:hAnsi="仿宋" w:eastAsia="仿宋" w:cs="仿宋"/>
          <w:color w:val="auto"/>
          <w:sz w:val="24"/>
        </w:rPr>
        <w:t>6.2解密成功后，“资格文件”、“商务和技术文件”、“报价文件”各自处于数据隔离状态，各部分信息只有在相关环节评审时可见，不受解密影响。</w:t>
      </w:r>
    </w:p>
    <w:p>
      <w:pPr>
        <w:pStyle w:val="5"/>
        <w:rPr>
          <w:rFonts w:ascii="仿宋" w:hAnsi="仿宋" w:cs="仿宋"/>
          <w:color w:val="auto"/>
        </w:rPr>
      </w:pPr>
      <w:bookmarkStart w:id="38" w:name="_Toc27317"/>
      <w:r>
        <w:rPr>
          <w:rFonts w:hint="eastAsia" w:ascii="仿宋" w:hAnsi="仿宋" w:cs="仿宋"/>
          <w:color w:val="auto"/>
        </w:rPr>
        <w:t>四、开标评标</w:t>
      </w:r>
      <w:bookmarkEnd w:id="38"/>
    </w:p>
    <w:p>
      <w:pPr>
        <w:snapToGrid w:val="0"/>
        <w:spacing w:line="440" w:lineRule="exact"/>
        <w:jc w:val="left"/>
        <w:rPr>
          <w:rFonts w:ascii="仿宋" w:hAnsi="仿宋" w:eastAsia="仿宋" w:cs="仿宋"/>
          <w:b/>
          <w:bCs/>
          <w:color w:val="auto"/>
          <w:sz w:val="24"/>
        </w:rPr>
      </w:pPr>
      <w:r>
        <w:rPr>
          <w:rFonts w:hint="eastAsia" w:ascii="仿宋" w:hAnsi="仿宋" w:eastAsia="仿宋" w:cs="仿宋"/>
          <w:b/>
          <w:bCs/>
          <w:color w:val="auto"/>
          <w:sz w:val="24"/>
        </w:rPr>
        <w:t>1．开标出席</w:t>
      </w:r>
    </w:p>
    <w:p>
      <w:pPr>
        <w:snapToGrid w:val="0"/>
        <w:spacing w:line="480" w:lineRule="exact"/>
        <w:jc w:val="left"/>
        <w:rPr>
          <w:rFonts w:ascii="仿宋" w:hAnsi="仿宋" w:eastAsia="仿宋" w:cs="仿宋"/>
          <w:b/>
          <w:bCs/>
          <w:color w:val="auto"/>
          <w:sz w:val="24"/>
        </w:rPr>
      </w:pPr>
      <w:r>
        <w:rPr>
          <w:rFonts w:hint="eastAsia" w:ascii="仿宋" w:hAnsi="仿宋" w:eastAsia="仿宋" w:cs="仿宋"/>
          <w:b/>
          <w:bCs/>
          <w:color w:val="auto"/>
          <w:sz w:val="24"/>
        </w:rPr>
        <w:t>1.1 投标供应商法定代表人或其授权代表或个体工商户经营者需准时通过“政采云平台”在线参加开标，否则将导致投标文件无法按时解密、无法在线询标等。</w:t>
      </w:r>
    </w:p>
    <w:p>
      <w:pPr>
        <w:snapToGrid w:val="0"/>
        <w:spacing w:line="480" w:lineRule="exact"/>
        <w:jc w:val="left"/>
        <w:rPr>
          <w:rFonts w:ascii="仿宋" w:hAnsi="仿宋" w:eastAsia="仿宋" w:cs="仿宋"/>
          <w:b/>
          <w:bCs/>
          <w:color w:val="auto"/>
          <w:sz w:val="24"/>
        </w:rPr>
      </w:pPr>
      <w:r>
        <w:rPr>
          <w:rFonts w:hint="eastAsia" w:ascii="仿宋" w:hAnsi="仿宋" w:eastAsia="仿宋" w:cs="仿宋"/>
          <w:b/>
          <w:bCs/>
          <w:color w:val="auto"/>
          <w:sz w:val="24"/>
        </w:rPr>
        <w:t>1.2投标供应商自主选择是否出席现场开标会议，但除电子交易技术指导外，现场不接受任何与投标有关的资料。</w:t>
      </w:r>
    </w:p>
    <w:p>
      <w:pPr>
        <w:snapToGrid w:val="0"/>
        <w:spacing w:line="440" w:lineRule="exact"/>
        <w:jc w:val="left"/>
        <w:rPr>
          <w:rFonts w:ascii="仿宋" w:hAnsi="仿宋" w:eastAsia="仿宋" w:cs="仿宋"/>
          <w:b/>
          <w:color w:val="auto"/>
          <w:sz w:val="24"/>
        </w:rPr>
      </w:pPr>
      <w:r>
        <w:rPr>
          <w:rFonts w:hint="eastAsia" w:ascii="仿宋" w:hAnsi="仿宋" w:eastAsia="仿宋" w:cs="仿宋"/>
          <w:b/>
          <w:color w:val="auto"/>
          <w:sz w:val="24"/>
        </w:rPr>
        <w:t>2．开标大会程序</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开标大会由采购代理机构主持：</w:t>
      </w:r>
    </w:p>
    <w:p>
      <w:pPr>
        <w:snapToGrid w:val="0"/>
        <w:spacing w:line="480" w:lineRule="exact"/>
        <w:jc w:val="left"/>
        <w:rPr>
          <w:rFonts w:ascii="仿宋" w:hAnsi="仿宋" w:eastAsia="仿宋" w:cs="仿宋"/>
          <w:color w:val="auto"/>
          <w:sz w:val="24"/>
        </w:rPr>
      </w:pPr>
      <w:r>
        <w:rPr>
          <w:rFonts w:hint="eastAsia" w:ascii="仿宋" w:hAnsi="仿宋" w:eastAsia="仿宋" w:cs="仿宋"/>
          <w:color w:val="auto"/>
          <w:sz w:val="24"/>
        </w:rPr>
        <w:t>2.1主持人宣布开标会开始，介绍到会单位和人员。</w:t>
      </w:r>
    </w:p>
    <w:p>
      <w:pPr>
        <w:snapToGrid w:val="0"/>
        <w:spacing w:line="480" w:lineRule="exact"/>
        <w:jc w:val="left"/>
        <w:rPr>
          <w:rFonts w:ascii="仿宋" w:hAnsi="仿宋" w:eastAsia="仿宋" w:cs="仿宋"/>
          <w:color w:val="auto"/>
          <w:sz w:val="24"/>
        </w:rPr>
      </w:pPr>
      <w:r>
        <w:rPr>
          <w:rFonts w:hint="eastAsia" w:ascii="仿宋" w:hAnsi="仿宋" w:eastAsia="仿宋" w:cs="仿宋"/>
          <w:color w:val="auto"/>
          <w:sz w:val="24"/>
        </w:rPr>
        <w:t>2.2宣读完成加密电子投标文件上传的供应商名单。</w:t>
      </w:r>
    </w:p>
    <w:p>
      <w:pPr>
        <w:snapToGrid w:val="0"/>
        <w:spacing w:line="480" w:lineRule="exact"/>
        <w:jc w:val="left"/>
        <w:rPr>
          <w:rFonts w:ascii="仿宋" w:hAnsi="仿宋" w:eastAsia="仿宋" w:cs="仿宋"/>
          <w:color w:val="auto"/>
          <w:sz w:val="24"/>
        </w:rPr>
      </w:pPr>
      <w:r>
        <w:rPr>
          <w:rFonts w:hint="eastAsia" w:ascii="仿宋" w:hAnsi="仿宋" w:eastAsia="仿宋" w:cs="仿宋"/>
          <w:color w:val="auto"/>
          <w:sz w:val="24"/>
        </w:rPr>
        <w:t>2.3组织各投标人法定代表人或其授权代表签署《政府采购活动现场确认声明书》（视情）。</w:t>
      </w:r>
    </w:p>
    <w:p>
      <w:pPr>
        <w:snapToGrid w:val="0"/>
        <w:spacing w:line="480" w:lineRule="exact"/>
        <w:jc w:val="left"/>
        <w:rPr>
          <w:rFonts w:ascii="仿宋" w:hAnsi="仿宋" w:eastAsia="仿宋" w:cs="仿宋"/>
          <w:color w:val="auto"/>
          <w:sz w:val="24"/>
        </w:rPr>
      </w:pPr>
      <w:r>
        <w:rPr>
          <w:rFonts w:hint="eastAsia" w:ascii="仿宋" w:hAnsi="仿宋" w:eastAsia="仿宋" w:cs="仿宋"/>
          <w:color w:val="auto"/>
          <w:sz w:val="24"/>
        </w:rPr>
        <w:t>2.4采购代理机构通过政采云平台和上传电子投标文件时登记的手机号发出解密指令，投标人对加密电子投标文件进行在线解密。在系统规定时间内解密电子投标文件，解密成功的，备份加密电子投标文件自动失效。若在规定时间内无法解密或解密失败，上传备份电子加密投标文件并解密。</w:t>
      </w:r>
    </w:p>
    <w:p>
      <w:pPr>
        <w:snapToGrid w:val="0"/>
        <w:spacing w:line="480" w:lineRule="exact"/>
        <w:jc w:val="left"/>
        <w:rPr>
          <w:rFonts w:ascii="仿宋" w:hAnsi="仿宋" w:eastAsia="仿宋" w:cs="仿宋"/>
          <w:b/>
          <w:bCs/>
          <w:color w:val="auto"/>
          <w:sz w:val="24"/>
          <w:u w:val="single"/>
        </w:rPr>
      </w:pPr>
      <w:r>
        <w:rPr>
          <w:rFonts w:hint="eastAsia" w:ascii="仿宋" w:hAnsi="仿宋" w:eastAsia="仿宋" w:cs="仿宋"/>
          <w:b/>
          <w:bCs/>
          <w:color w:val="auto"/>
          <w:sz w:val="24"/>
          <w:u w:val="single"/>
        </w:rPr>
        <w:t>注：</w:t>
      </w:r>
      <w:r>
        <w:rPr>
          <w:rFonts w:hint="eastAsia" w:ascii="仿宋" w:hAnsi="仿宋" w:eastAsia="仿宋" w:cs="仿宋"/>
          <w:b/>
          <w:bCs/>
          <w:color w:val="auto"/>
          <w:spacing w:val="-4"/>
          <w:sz w:val="24"/>
          <w:u w:val="single"/>
        </w:rPr>
        <w:t>制作电子投标文件和解密投标文件的需为同一把CA。解密时间截止后仍未解密成功的，视为撤回投标文件，放弃投标。</w:t>
      </w:r>
    </w:p>
    <w:p>
      <w:pPr>
        <w:snapToGrid w:val="0"/>
        <w:spacing w:line="480" w:lineRule="exact"/>
        <w:jc w:val="left"/>
        <w:rPr>
          <w:rFonts w:ascii="仿宋" w:hAnsi="仿宋" w:eastAsia="仿宋" w:cs="仿宋"/>
          <w:color w:val="auto"/>
          <w:sz w:val="24"/>
        </w:rPr>
      </w:pPr>
      <w:r>
        <w:rPr>
          <w:rFonts w:hint="eastAsia" w:ascii="仿宋" w:hAnsi="仿宋" w:eastAsia="仿宋" w:cs="仿宋"/>
          <w:color w:val="auto"/>
          <w:sz w:val="24"/>
        </w:rPr>
        <w:t>2.5采购机构</w:t>
      </w:r>
      <w:r>
        <w:rPr>
          <w:rFonts w:hint="eastAsia" w:ascii="仿宋" w:hAnsi="仿宋" w:eastAsia="仿宋" w:cs="仿宋"/>
          <w:color w:val="auto"/>
          <w:sz w:val="24"/>
        </w:rPr>
        <w:t>对“资格文件”进行审查，发布资格审查结果。</w:t>
      </w:r>
    </w:p>
    <w:p>
      <w:pPr>
        <w:snapToGrid w:val="0"/>
        <w:spacing w:line="480" w:lineRule="exact"/>
        <w:jc w:val="left"/>
        <w:rPr>
          <w:rFonts w:ascii="仿宋" w:hAnsi="仿宋" w:eastAsia="仿宋" w:cs="仿宋"/>
          <w:color w:val="auto"/>
          <w:sz w:val="24"/>
        </w:rPr>
      </w:pPr>
      <w:r>
        <w:rPr>
          <w:rFonts w:hint="eastAsia" w:ascii="仿宋" w:hAnsi="仿宋" w:eastAsia="仿宋" w:cs="仿宋"/>
          <w:color w:val="auto"/>
          <w:sz w:val="24"/>
        </w:rPr>
        <w:t>2.6评审委员会对“商务和技术文件”进行评审，发布评审结果。</w:t>
      </w:r>
    </w:p>
    <w:p>
      <w:pPr>
        <w:snapToGrid w:val="0"/>
        <w:spacing w:line="480" w:lineRule="exact"/>
        <w:jc w:val="left"/>
        <w:rPr>
          <w:rFonts w:ascii="仿宋" w:hAnsi="仿宋" w:eastAsia="仿宋" w:cs="仿宋"/>
          <w:color w:val="auto"/>
          <w:sz w:val="24"/>
        </w:rPr>
      </w:pPr>
      <w:r>
        <w:rPr>
          <w:rFonts w:hint="eastAsia" w:ascii="仿宋" w:hAnsi="仿宋" w:eastAsia="仿宋" w:cs="仿宋"/>
          <w:color w:val="auto"/>
          <w:sz w:val="24"/>
        </w:rPr>
        <w:t>注：评审期间的询标、澄清都将在政采云平台上进行。</w:t>
      </w:r>
    </w:p>
    <w:p>
      <w:pPr>
        <w:snapToGrid w:val="0"/>
        <w:spacing w:line="480" w:lineRule="exact"/>
        <w:jc w:val="left"/>
        <w:rPr>
          <w:rFonts w:ascii="仿宋" w:hAnsi="仿宋" w:eastAsia="仿宋" w:cs="仿宋"/>
          <w:color w:val="auto"/>
          <w:sz w:val="24"/>
        </w:rPr>
      </w:pPr>
      <w:r>
        <w:rPr>
          <w:rFonts w:hint="eastAsia" w:ascii="仿宋" w:hAnsi="仿宋" w:eastAsia="仿宋" w:cs="仿宋"/>
          <w:color w:val="auto"/>
          <w:sz w:val="24"/>
        </w:rPr>
        <w:t>2.7</w:t>
      </w:r>
      <w:r>
        <w:rPr>
          <w:rFonts w:hint="eastAsia" w:ascii="仿宋" w:hAnsi="仿宋" w:eastAsia="仿宋" w:cs="仿宋"/>
          <w:color w:val="auto"/>
          <w:sz w:val="24"/>
        </w:rPr>
        <w:t>评审委员会对报价文件进行评审，计算价格分。</w:t>
      </w:r>
    </w:p>
    <w:p>
      <w:pPr>
        <w:snapToGrid w:val="0"/>
        <w:spacing w:line="480" w:lineRule="exact"/>
        <w:jc w:val="left"/>
        <w:rPr>
          <w:rFonts w:ascii="仿宋" w:hAnsi="仿宋" w:eastAsia="仿宋" w:cs="仿宋"/>
          <w:color w:val="auto"/>
          <w:sz w:val="24"/>
        </w:rPr>
      </w:pPr>
      <w:r>
        <w:rPr>
          <w:rFonts w:hint="eastAsia" w:ascii="仿宋" w:hAnsi="仿宋" w:eastAsia="仿宋" w:cs="仿宋"/>
          <w:color w:val="auto"/>
          <w:sz w:val="24"/>
        </w:rPr>
        <w:t>2.8</w:t>
      </w:r>
      <w:r>
        <w:rPr>
          <w:rFonts w:hint="eastAsia" w:ascii="仿宋" w:hAnsi="仿宋" w:eastAsia="仿宋" w:cs="仿宋"/>
          <w:color w:val="auto"/>
          <w:sz w:val="24"/>
        </w:rPr>
        <w:t>汇总技术商务分、价格分，根据总得分排序确定中标候选人，</w:t>
      </w:r>
      <w:r>
        <w:rPr>
          <w:rFonts w:hint="eastAsia" w:ascii="仿宋" w:hAnsi="仿宋" w:eastAsia="仿宋" w:cs="仿宋"/>
          <w:color w:val="auto"/>
          <w:sz w:val="24"/>
        </w:rPr>
        <w:t>公布评审结果。</w:t>
      </w:r>
    </w:p>
    <w:p>
      <w:pPr>
        <w:spacing w:line="480" w:lineRule="exact"/>
        <w:jc w:val="left"/>
        <w:rPr>
          <w:rFonts w:ascii="仿宋" w:hAnsi="仿宋" w:eastAsia="仿宋" w:cs="仿宋"/>
          <w:b/>
          <w:bCs/>
          <w:color w:val="auto"/>
          <w:sz w:val="24"/>
        </w:rPr>
      </w:pPr>
      <w:r>
        <w:rPr>
          <w:rFonts w:hint="eastAsia" w:ascii="仿宋" w:hAnsi="仿宋" w:eastAsia="仿宋" w:cs="仿宋"/>
          <w:b/>
          <w:bCs/>
          <w:color w:val="auto"/>
          <w:sz w:val="24"/>
        </w:rPr>
        <w:t>3.评审委员会的组成</w:t>
      </w:r>
    </w:p>
    <w:p>
      <w:pPr>
        <w:spacing w:line="480" w:lineRule="exact"/>
        <w:jc w:val="left"/>
        <w:rPr>
          <w:rFonts w:ascii="仿宋" w:hAnsi="仿宋" w:eastAsia="仿宋" w:cs="仿宋"/>
          <w:color w:val="auto"/>
          <w:sz w:val="24"/>
        </w:rPr>
      </w:pPr>
      <w:r>
        <w:rPr>
          <w:rFonts w:hint="eastAsia" w:ascii="仿宋" w:hAnsi="仿宋" w:eastAsia="仿宋" w:cs="仿宋"/>
          <w:color w:val="auto"/>
          <w:sz w:val="24"/>
        </w:rPr>
        <w:t>3.1评审委员会由采购单位依法组建，负责评标活动及协助处理质疑投诉。</w:t>
      </w:r>
      <w:r>
        <w:rPr>
          <w:rFonts w:hint="eastAsia" w:ascii="仿宋" w:hAnsi="仿宋" w:eastAsia="仿宋" w:cs="仿宋"/>
          <w:color w:val="auto"/>
          <w:sz w:val="24"/>
        </w:rPr>
        <w:t>参与本项目进口论证的专家不得作为采购评审专家参与同一项目的采购评审工作。</w:t>
      </w:r>
    </w:p>
    <w:p>
      <w:pPr>
        <w:spacing w:line="480" w:lineRule="exact"/>
        <w:jc w:val="left"/>
        <w:rPr>
          <w:rFonts w:ascii="仿宋" w:hAnsi="仿宋" w:eastAsia="仿宋" w:cs="仿宋"/>
          <w:color w:val="auto"/>
          <w:sz w:val="24"/>
        </w:rPr>
      </w:pPr>
      <w:r>
        <w:rPr>
          <w:rFonts w:hint="eastAsia" w:ascii="仿宋" w:hAnsi="仿宋" w:eastAsia="仿宋" w:cs="仿宋"/>
          <w:color w:val="auto"/>
          <w:sz w:val="24"/>
        </w:rPr>
        <w:t>3.2评审委员会由采购人代表和有关方面的专家组成，成员人数为五人及以上单数。预算金额在1000万及以上的，成员人数为七人及以上单数。</w:t>
      </w:r>
    </w:p>
    <w:p>
      <w:pPr>
        <w:spacing w:line="480" w:lineRule="exact"/>
        <w:jc w:val="left"/>
        <w:rPr>
          <w:rFonts w:ascii="仿宋" w:hAnsi="仿宋" w:eastAsia="仿宋" w:cs="仿宋"/>
          <w:color w:val="auto"/>
          <w:sz w:val="24"/>
        </w:rPr>
      </w:pPr>
      <w:r>
        <w:rPr>
          <w:rFonts w:hint="eastAsia" w:ascii="仿宋" w:hAnsi="仿宋" w:eastAsia="仿宋" w:cs="仿宋"/>
          <w:color w:val="auto"/>
          <w:sz w:val="24"/>
        </w:rPr>
        <w:t>3.3采购人代表不担任评审组长。</w:t>
      </w:r>
    </w:p>
    <w:p>
      <w:pPr>
        <w:spacing w:line="480" w:lineRule="exact"/>
        <w:jc w:val="left"/>
        <w:rPr>
          <w:rFonts w:ascii="仿宋" w:hAnsi="仿宋" w:eastAsia="仿宋" w:cs="仿宋"/>
          <w:color w:val="auto"/>
          <w:sz w:val="24"/>
        </w:rPr>
      </w:pPr>
      <w:r>
        <w:rPr>
          <w:rFonts w:hint="eastAsia" w:ascii="仿宋" w:hAnsi="仿宋" w:eastAsia="仿宋" w:cs="仿宋"/>
          <w:color w:val="auto"/>
          <w:sz w:val="24"/>
        </w:rPr>
        <w:t>3.4经采购监督部门同意，由于专家库无相应专业专家或技术复杂等原因允许采购人自行组建或推荐抽取评审专家，相关操作规则需符合法律规定。</w:t>
      </w:r>
    </w:p>
    <w:p>
      <w:pPr>
        <w:spacing w:line="480" w:lineRule="exact"/>
        <w:jc w:val="left"/>
        <w:rPr>
          <w:rFonts w:ascii="仿宋" w:hAnsi="仿宋" w:eastAsia="仿宋" w:cs="仿宋"/>
          <w:b/>
          <w:bCs/>
          <w:color w:val="auto"/>
          <w:sz w:val="24"/>
        </w:rPr>
      </w:pPr>
      <w:r>
        <w:rPr>
          <w:rFonts w:hint="eastAsia" w:ascii="仿宋" w:hAnsi="仿宋" w:eastAsia="仿宋" w:cs="仿宋"/>
          <w:b/>
          <w:bCs/>
          <w:color w:val="auto"/>
          <w:sz w:val="24"/>
        </w:rPr>
        <w:t>4.评审</w:t>
      </w:r>
    </w:p>
    <w:p>
      <w:pPr>
        <w:spacing w:line="480" w:lineRule="exact"/>
        <w:jc w:val="left"/>
        <w:rPr>
          <w:rFonts w:ascii="仿宋" w:hAnsi="仿宋" w:eastAsia="仿宋" w:cs="仿宋"/>
          <w:color w:val="auto"/>
          <w:sz w:val="24"/>
        </w:rPr>
      </w:pPr>
      <w:r>
        <w:rPr>
          <w:rFonts w:hint="eastAsia" w:ascii="仿宋" w:hAnsi="仿宋" w:eastAsia="仿宋" w:cs="仿宋"/>
          <w:color w:val="auto"/>
          <w:sz w:val="24"/>
        </w:rPr>
        <w:t>4.1评审程序：</w:t>
      </w:r>
    </w:p>
    <w:p>
      <w:pPr>
        <w:spacing w:line="48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4.1.1资格审查：采购人或采购代理机构依据法律、法规和采购文件规定，对投标文件中“资格文件”等进行审查，以确定投标人是否具备投标资格。</w:t>
      </w:r>
      <w:r>
        <w:rPr>
          <w:rFonts w:hint="eastAsia" w:ascii="仿宋" w:hAnsi="仿宋" w:eastAsia="仿宋" w:cs="仿宋"/>
          <w:b/>
          <w:bCs/>
          <w:color w:val="auto"/>
          <w:sz w:val="24"/>
        </w:rPr>
        <w:t>中小企业资格认定详见“二、采购文件”中“3、政府采购政策性规定”。</w:t>
      </w:r>
    </w:p>
    <w:p>
      <w:pPr>
        <w:spacing w:line="48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4.1.2“商务和技术文件”的符合性审查：评定每份投标文件是否在实质上响应了采购文件要求，审查范围包括实质性响应条款、采购文件规定的无效投标条款、违反法律法规的行为以及评审委员会认为的对采购文件构成重大偏差的内容。</w:t>
      </w:r>
    </w:p>
    <w:p>
      <w:pPr>
        <w:spacing w:line="48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4.1.3商务技术评分：对“商务和技术文件”中的响应情况进行评分。</w:t>
      </w:r>
    </w:p>
    <w:p>
      <w:pPr>
        <w:spacing w:line="48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4.1.4</w:t>
      </w:r>
      <w:r>
        <w:rPr>
          <w:rFonts w:hint="eastAsia" w:ascii="仿宋" w:hAnsi="仿宋" w:eastAsia="仿宋" w:cs="仿宋"/>
          <w:color w:val="auto"/>
          <w:sz w:val="24"/>
        </w:rPr>
        <w:t>“报价文件”的符合性审查：审查范围包括报价有效性、准确性等。</w:t>
      </w:r>
    </w:p>
    <w:p>
      <w:pPr>
        <w:spacing w:line="48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4.1.5报价评分：根据评审价格和价格分计算公式计算各投标人价格分。</w:t>
      </w:r>
    </w:p>
    <w:p>
      <w:pPr>
        <w:spacing w:line="480" w:lineRule="exact"/>
        <w:jc w:val="left"/>
        <w:rPr>
          <w:rFonts w:ascii="仿宋" w:hAnsi="仿宋" w:eastAsia="仿宋" w:cs="仿宋"/>
          <w:color w:val="auto"/>
          <w:sz w:val="24"/>
        </w:rPr>
      </w:pPr>
      <w:r>
        <w:rPr>
          <w:rFonts w:hint="eastAsia" w:ascii="仿宋" w:hAnsi="仿宋" w:eastAsia="仿宋" w:cs="仿宋"/>
          <w:color w:val="auto"/>
          <w:sz w:val="24"/>
        </w:rPr>
        <w:t>4.2评审委员会不负责解释投标人的得分高低和失分情况。</w:t>
      </w:r>
    </w:p>
    <w:p>
      <w:pPr>
        <w:spacing w:line="480" w:lineRule="exact"/>
        <w:jc w:val="left"/>
        <w:rPr>
          <w:rFonts w:ascii="仿宋" w:hAnsi="仿宋" w:eastAsia="仿宋" w:cs="仿宋"/>
          <w:color w:val="auto"/>
          <w:sz w:val="24"/>
        </w:rPr>
      </w:pPr>
      <w:r>
        <w:rPr>
          <w:rFonts w:hint="eastAsia" w:ascii="仿宋" w:hAnsi="仿宋" w:eastAsia="仿宋" w:cs="仿宋"/>
          <w:color w:val="auto"/>
          <w:sz w:val="24"/>
        </w:rPr>
        <w:t>4.3评审委员会不得依据投标文件（包括样品、演示）以外的资料评分。</w:t>
      </w:r>
    </w:p>
    <w:p>
      <w:pPr>
        <w:spacing w:line="480" w:lineRule="exact"/>
        <w:jc w:val="left"/>
        <w:rPr>
          <w:rFonts w:ascii="仿宋" w:hAnsi="仿宋" w:eastAsia="仿宋" w:cs="仿宋"/>
          <w:b/>
          <w:bCs/>
          <w:color w:val="auto"/>
          <w:sz w:val="24"/>
        </w:rPr>
      </w:pPr>
      <w:r>
        <w:rPr>
          <w:rFonts w:hint="eastAsia" w:ascii="仿宋" w:hAnsi="仿宋" w:eastAsia="仿宋" w:cs="仿宋"/>
          <w:color w:val="auto"/>
          <w:sz w:val="24"/>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hAnsi="仿宋" w:eastAsia="仿宋" w:cs="仿宋"/>
          <w:b/>
          <w:bCs/>
          <w:color w:val="auto"/>
          <w:sz w:val="24"/>
        </w:rPr>
        <w:t>不接受投标人提出的主动澄清。</w:t>
      </w:r>
    </w:p>
    <w:p>
      <w:pPr>
        <w:widowControl/>
        <w:snapToGrid w:val="0"/>
        <w:spacing w:line="480" w:lineRule="exact"/>
        <w:rPr>
          <w:rFonts w:ascii="仿宋" w:hAnsi="仿宋" w:eastAsia="仿宋" w:cs="仿宋"/>
          <w:color w:val="auto"/>
          <w:sz w:val="24"/>
        </w:rPr>
      </w:pPr>
      <w:r>
        <w:rPr>
          <w:rFonts w:hint="eastAsia" w:ascii="仿宋" w:hAnsi="仿宋" w:eastAsia="仿宋" w:cs="仿宋"/>
          <w:color w:val="auto"/>
          <w:sz w:val="24"/>
        </w:rPr>
        <w:t>4.5评审委员会不向落标方解释落标的原因，不退还投标文件。</w:t>
      </w:r>
    </w:p>
    <w:p>
      <w:pPr>
        <w:spacing w:line="440" w:lineRule="exact"/>
        <w:jc w:val="left"/>
        <w:rPr>
          <w:rFonts w:ascii="仿宋" w:hAnsi="仿宋" w:eastAsia="仿宋" w:cs="仿宋"/>
          <w:b/>
          <w:bCs/>
          <w:color w:val="auto"/>
          <w:sz w:val="24"/>
        </w:rPr>
      </w:pPr>
      <w:r>
        <w:rPr>
          <w:rFonts w:hint="eastAsia" w:ascii="仿宋" w:hAnsi="仿宋" w:eastAsia="仿宋" w:cs="仿宋"/>
          <w:b/>
          <w:bCs/>
          <w:color w:val="auto"/>
          <w:sz w:val="24"/>
        </w:rPr>
        <w:t>5.报价修正规则</w:t>
      </w:r>
    </w:p>
    <w:p>
      <w:pPr>
        <w:spacing w:line="440" w:lineRule="exact"/>
        <w:jc w:val="left"/>
        <w:rPr>
          <w:rFonts w:ascii="仿宋" w:hAnsi="仿宋" w:eastAsia="仿宋" w:cs="仿宋"/>
          <w:color w:val="auto"/>
          <w:sz w:val="24"/>
        </w:rPr>
      </w:pPr>
      <w:r>
        <w:rPr>
          <w:rFonts w:hint="eastAsia" w:ascii="仿宋" w:hAnsi="仿宋" w:eastAsia="仿宋" w:cs="仿宋"/>
          <w:color w:val="auto"/>
          <w:sz w:val="24"/>
        </w:rPr>
        <w:t>5.1投标文件中开标一览表（报价表）内容与投标文件中相应内容不一致的，以开标一览表（报价表）为准；</w:t>
      </w:r>
    </w:p>
    <w:p>
      <w:pPr>
        <w:spacing w:line="440" w:lineRule="exact"/>
        <w:jc w:val="left"/>
        <w:rPr>
          <w:rFonts w:ascii="仿宋" w:hAnsi="仿宋" w:eastAsia="仿宋" w:cs="仿宋"/>
          <w:color w:val="auto"/>
          <w:sz w:val="24"/>
        </w:rPr>
      </w:pPr>
      <w:r>
        <w:rPr>
          <w:rFonts w:hint="eastAsia" w:ascii="仿宋" w:hAnsi="仿宋" w:eastAsia="仿宋" w:cs="仿宋"/>
          <w:color w:val="auto"/>
          <w:sz w:val="24"/>
        </w:rPr>
        <w:t>5.2大写金额和小写金额不一致的，以大写金额为准；</w:t>
      </w:r>
    </w:p>
    <w:p>
      <w:pPr>
        <w:spacing w:line="440" w:lineRule="exact"/>
        <w:jc w:val="left"/>
        <w:rPr>
          <w:rFonts w:ascii="仿宋" w:hAnsi="仿宋" w:eastAsia="仿宋" w:cs="仿宋"/>
          <w:color w:val="auto"/>
          <w:sz w:val="24"/>
        </w:rPr>
      </w:pPr>
      <w:r>
        <w:rPr>
          <w:rFonts w:hint="eastAsia" w:ascii="仿宋" w:hAnsi="仿宋" w:eastAsia="仿宋" w:cs="仿宋"/>
          <w:color w:val="auto"/>
          <w:sz w:val="24"/>
        </w:rPr>
        <w:t>5.3单价金额小数点或者百分比有明显错位的，以开标一览表的总价为准，并修改单价；</w:t>
      </w:r>
    </w:p>
    <w:p>
      <w:pPr>
        <w:spacing w:line="440" w:lineRule="exact"/>
        <w:jc w:val="left"/>
        <w:rPr>
          <w:rFonts w:ascii="仿宋" w:hAnsi="仿宋" w:eastAsia="仿宋" w:cs="仿宋"/>
          <w:color w:val="auto"/>
          <w:sz w:val="24"/>
        </w:rPr>
      </w:pPr>
      <w:r>
        <w:rPr>
          <w:rFonts w:hint="eastAsia" w:ascii="仿宋" w:hAnsi="仿宋" w:eastAsia="仿宋" w:cs="仿宋"/>
          <w:color w:val="auto"/>
          <w:sz w:val="24"/>
        </w:rPr>
        <w:t>5.4总价金额与按单价汇总金额不一致的，以单价金额计算结果为准。</w:t>
      </w:r>
    </w:p>
    <w:p>
      <w:pPr>
        <w:widowControl/>
        <w:snapToGrid w:val="0"/>
        <w:spacing w:line="480" w:lineRule="exact"/>
        <w:ind w:firstLine="480" w:firstLineChars="200"/>
        <w:rPr>
          <w:rFonts w:ascii="仿宋" w:hAnsi="仿宋" w:eastAsia="仿宋" w:cs="仿宋"/>
          <w:color w:val="auto"/>
          <w:kern w:val="0"/>
          <w:sz w:val="24"/>
        </w:rPr>
      </w:pPr>
      <w:r>
        <w:rPr>
          <w:rFonts w:hint="eastAsia" w:ascii="仿宋" w:hAnsi="仿宋" w:eastAsia="仿宋" w:cs="仿宋"/>
          <w:color w:val="auto"/>
          <w:sz w:val="24"/>
        </w:rPr>
        <w:t>同时出现两种以上不一致的，按照前款规定的顺序修正。</w:t>
      </w:r>
      <w:r>
        <w:rPr>
          <w:rFonts w:hint="eastAsia" w:ascii="仿宋" w:hAnsi="仿宋" w:eastAsia="仿宋" w:cs="仿宋"/>
          <w:bCs/>
          <w:color w:val="auto"/>
          <w:sz w:val="24"/>
        </w:rPr>
        <w:t>修正后的报价按照财政部公布第87号令 《政府采购货物和服务招标投标管理办法》</w:t>
      </w:r>
      <w:r>
        <w:rPr>
          <w:rFonts w:hint="eastAsia" w:ascii="仿宋" w:hAnsi="仿宋" w:eastAsia="仿宋" w:cs="仿宋"/>
          <w:color w:val="auto"/>
          <w:sz w:val="24"/>
        </w:rPr>
        <w:t>第五十一条第二款的规定经投标人确认后产生约束力，投标人不确认的，其投标无效。</w:t>
      </w:r>
    </w:p>
    <w:p>
      <w:pPr>
        <w:pStyle w:val="17"/>
        <w:snapToGrid w:val="0"/>
        <w:spacing w:line="440" w:lineRule="exact"/>
        <w:jc w:val="left"/>
        <w:rPr>
          <w:rFonts w:ascii="仿宋" w:hAnsi="仿宋" w:eastAsia="仿宋" w:cs="仿宋"/>
          <w:b/>
          <w:color w:val="auto"/>
          <w:sz w:val="24"/>
          <w:szCs w:val="24"/>
        </w:rPr>
      </w:pPr>
      <w:r>
        <w:rPr>
          <w:rFonts w:hint="eastAsia" w:ascii="仿宋" w:hAnsi="仿宋" w:eastAsia="仿宋" w:cs="仿宋"/>
          <w:b/>
          <w:color w:val="auto"/>
          <w:sz w:val="24"/>
          <w:szCs w:val="24"/>
        </w:rPr>
        <w:t>6．无效投标的情形</w:t>
      </w:r>
    </w:p>
    <w:p>
      <w:pPr>
        <w:tabs>
          <w:tab w:val="left" w:pos="4085"/>
        </w:tabs>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投标响应文件有下列情形之一的作无效投标处理：</w:t>
      </w:r>
    </w:p>
    <w:p>
      <w:pPr>
        <w:snapToGrid w:val="0"/>
        <w:spacing w:line="440" w:lineRule="exact"/>
        <w:jc w:val="left"/>
        <w:rPr>
          <w:rFonts w:ascii="仿宋" w:hAnsi="仿宋" w:eastAsia="仿宋" w:cs="仿宋"/>
          <w:b/>
          <w:color w:val="auto"/>
          <w:sz w:val="24"/>
        </w:rPr>
      </w:pPr>
      <w:r>
        <w:rPr>
          <w:rFonts w:hint="eastAsia" w:ascii="仿宋" w:hAnsi="仿宋" w:eastAsia="仿宋" w:cs="仿宋"/>
          <w:b/>
          <w:color w:val="auto"/>
          <w:sz w:val="24"/>
        </w:rPr>
        <w:t>6.1单位负责人为同一人或者存在直接控股、管理关系的不同供应商参加同一合同项（标项）下的政府采购活动的（双方均作无效投标处理）；</w:t>
      </w:r>
    </w:p>
    <w:p>
      <w:pPr>
        <w:snapToGrid w:val="0"/>
        <w:spacing w:line="440" w:lineRule="exact"/>
        <w:jc w:val="left"/>
        <w:rPr>
          <w:rFonts w:ascii="仿宋" w:hAnsi="仿宋" w:eastAsia="仿宋" w:cs="仿宋"/>
          <w:b/>
          <w:color w:val="auto"/>
          <w:sz w:val="24"/>
        </w:rPr>
      </w:pPr>
      <w:r>
        <w:rPr>
          <w:rFonts w:hint="eastAsia" w:ascii="仿宋" w:hAnsi="仿宋" w:eastAsia="仿宋" w:cs="仿宋"/>
          <w:b/>
          <w:color w:val="auto"/>
          <w:sz w:val="24"/>
        </w:rPr>
        <w:t xml:space="preserve">6.2为采购项目提供整体设计、规范编制或者项目管理、监理、检测等服务的供应商再参加该采购项目的其他采购活动的（单一来源采购除外）； </w:t>
      </w:r>
    </w:p>
    <w:p>
      <w:pPr>
        <w:snapToGrid w:val="0"/>
        <w:spacing w:line="440" w:lineRule="exact"/>
        <w:jc w:val="left"/>
        <w:rPr>
          <w:rFonts w:ascii="仿宋" w:hAnsi="仿宋" w:eastAsia="仿宋" w:cs="仿宋"/>
          <w:b/>
          <w:color w:val="auto"/>
          <w:sz w:val="24"/>
        </w:rPr>
      </w:pPr>
      <w:r>
        <w:rPr>
          <w:rFonts w:hint="eastAsia" w:ascii="仿宋" w:hAnsi="仿宋" w:eastAsia="仿宋" w:cs="仿宋"/>
          <w:b/>
          <w:color w:val="auto"/>
          <w:sz w:val="24"/>
        </w:rPr>
        <w:t>6.3投标人不具备采购文件中规定的资格要求的（投标人未按采购文件要求提供资格文件的，视为投标人不具备采购文件中规定的资格要求）；</w:t>
      </w:r>
    </w:p>
    <w:p>
      <w:pPr>
        <w:snapToGrid w:val="0"/>
        <w:spacing w:line="440" w:lineRule="exact"/>
        <w:jc w:val="left"/>
        <w:rPr>
          <w:rFonts w:ascii="仿宋" w:hAnsi="仿宋" w:eastAsia="仿宋" w:cs="仿宋"/>
          <w:b/>
          <w:color w:val="auto"/>
          <w:kern w:val="0"/>
          <w:sz w:val="24"/>
        </w:rPr>
      </w:pPr>
      <w:r>
        <w:rPr>
          <w:rFonts w:hint="eastAsia" w:ascii="仿宋" w:hAnsi="仿宋" w:eastAsia="仿宋" w:cs="仿宋"/>
          <w:b/>
          <w:color w:val="auto"/>
          <w:kern w:val="0"/>
          <w:sz w:val="24"/>
        </w:rPr>
        <w:t>6.4</w:t>
      </w:r>
      <w:r>
        <w:rPr>
          <w:rFonts w:hint="eastAsia" w:ascii="仿宋" w:hAnsi="仿宋" w:eastAsia="仿宋" w:cs="仿宋"/>
          <w:b/>
          <w:color w:val="auto"/>
          <w:kern w:val="0"/>
          <w:sz w:val="24"/>
          <w:szCs w:val="24"/>
        </w:rPr>
        <w:t>《中小企业声明函》、《残疾人福利性单位声明函》提供不实信息的</w:t>
      </w:r>
      <w:r>
        <w:rPr>
          <w:rFonts w:hint="eastAsia" w:ascii="仿宋" w:hAnsi="仿宋" w:eastAsia="仿宋" w:cs="仿宋"/>
          <w:b/>
          <w:color w:val="auto"/>
          <w:kern w:val="0"/>
          <w:sz w:val="24"/>
        </w:rPr>
        <w:t>；</w:t>
      </w:r>
    </w:p>
    <w:p>
      <w:pPr>
        <w:snapToGrid w:val="0"/>
        <w:spacing w:line="440" w:lineRule="exact"/>
        <w:jc w:val="left"/>
        <w:rPr>
          <w:rFonts w:ascii="仿宋" w:hAnsi="仿宋" w:eastAsia="仿宋" w:cs="仿宋"/>
          <w:b/>
          <w:color w:val="auto"/>
          <w:kern w:val="0"/>
          <w:sz w:val="24"/>
        </w:rPr>
      </w:pPr>
      <w:r>
        <w:rPr>
          <w:rFonts w:hint="eastAsia" w:ascii="仿宋" w:hAnsi="仿宋" w:eastAsia="仿宋" w:cs="仿宋"/>
          <w:b/>
          <w:color w:val="auto"/>
          <w:kern w:val="0"/>
          <w:sz w:val="24"/>
        </w:rPr>
        <w:t>6.5投标文件制作出现如下情况：</w:t>
      </w:r>
    </w:p>
    <w:p>
      <w:pPr>
        <w:snapToGrid w:val="0"/>
        <w:spacing w:line="440" w:lineRule="exact"/>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6.5.1未按采购文件要求制作“资格文件”的；</w:t>
      </w:r>
    </w:p>
    <w:p>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6.5.2报价一经涂改，未在涂改处加盖投标单位公章或者未经法定代表人或其授权代表签字或盖章的；</w:t>
      </w:r>
    </w:p>
    <w:p>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6.5.3“资格文件”或“商务和技术文件”部分中出现用于价格分评审的投标报价的（采购文件另有规定的参与“商务和技术文件”评审的报价除外）；</w:t>
      </w:r>
    </w:p>
    <w:p>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6.5.4对招标服务或技术或产品等要求未详细应答或应答内容不全、有缺失的,经评审委员会认定为无法评审的；</w:t>
      </w:r>
    </w:p>
    <w:p>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6.5.5关键信息填写不完整或字迹不能辨认或有漏项的，经评审委员会认定属于重大偏差的；</w:t>
      </w:r>
    </w:p>
    <w:p>
      <w:pPr>
        <w:snapToGrid w:val="0"/>
        <w:spacing w:line="440" w:lineRule="exact"/>
        <w:ind w:firstLine="480" w:firstLineChars="200"/>
        <w:jc w:val="left"/>
        <w:rPr>
          <w:rFonts w:ascii="仿宋" w:hAnsi="仿宋" w:eastAsia="仿宋" w:cs="仿宋"/>
          <w:color w:val="auto"/>
          <w:kern w:val="0"/>
          <w:sz w:val="24"/>
        </w:rPr>
      </w:pPr>
      <w:r>
        <w:rPr>
          <w:rFonts w:hint="eastAsia" w:ascii="仿宋" w:hAnsi="仿宋" w:eastAsia="仿宋" w:cs="仿宋"/>
          <w:color w:val="auto"/>
          <w:sz w:val="24"/>
        </w:rPr>
        <w:t>6.5.6未按采购文件规定要求签署盖章的。</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kern w:val="0"/>
          <w:sz w:val="24"/>
        </w:rPr>
        <w:t>6.6</w:t>
      </w:r>
      <w:r>
        <w:rPr>
          <w:rFonts w:hint="eastAsia" w:ascii="仿宋" w:hAnsi="仿宋" w:eastAsia="仿宋" w:cs="仿宋"/>
          <w:color w:val="auto"/>
          <w:sz w:val="24"/>
        </w:rPr>
        <w:t>投标人递交的投标文件与项目不符或内容严重不全的；</w:t>
      </w:r>
    </w:p>
    <w:p>
      <w:pPr>
        <w:pStyle w:val="17"/>
        <w:snapToGrid w:val="0"/>
        <w:spacing w:line="440" w:lineRule="exact"/>
        <w:jc w:val="left"/>
        <w:rPr>
          <w:rFonts w:ascii="仿宋" w:hAnsi="仿宋" w:eastAsia="仿宋" w:cs="仿宋"/>
          <w:color w:val="auto"/>
          <w:sz w:val="24"/>
          <w:szCs w:val="24"/>
        </w:rPr>
      </w:pPr>
      <w:r>
        <w:rPr>
          <w:rFonts w:hint="eastAsia" w:ascii="仿宋" w:hAnsi="仿宋" w:eastAsia="仿宋" w:cs="仿宋"/>
          <w:color w:val="auto"/>
          <w:sz w:val="24"/>
          <w:szCs w:val="24"/>
        </w:rPr>
        <w:t>6.7重要信息前后不一致，经评审委员会询标后仍然无法评审的；</w:t>
      </w:r>
    </w:p>
    <w:p>
      <w:pPr>
        <w:tabs>
          <w:tab w:val="left" w:pos="3870"/>
          <w:tab w:val="left" w:pos="4085"/>
        </w:tabs>
        <w:snapToGrid w:val="0"/>
        <w:spacing w:line="440" w:lineRule="exact"/>
        <w:jc w:val="left"/>
        <w:rPr>
          <w:rFonts w:ascii="仿宋" w:hAnsi="仿宋" w:eastAsia="仿宋" w:cs="仿宋"/>
          <w:color w:val="auto"/>
          <w:kern w:val="0"/>
          <w:sz w:val="24"/>
        </w:rPr>
      </w:pPr>
      <w:r>
        <w:rPr>
          <w:rFonts w:hint="eastAsia" w:ascii="仿宋" w:hAnsi="仿宋" w:eastAsia="仿宋" w:cs="仿宋"/>
          <w:color w:val="auto"/>
          <w:sz w:val="24"/>
        </w:rPr>
        <w:t>6.8</w:t>
      </w:r>
      <w:r>
        <w:rPr>
          <w:rFonts w:hint="eastAsia" w:ascii="仿宋" w:hAnsi="仿宋" w:eastAsia="仿宋" w:cs="仿宋"/>
          <w:color w:val="auto"/>
          <w:kern w:val="0"/>
          <w:sz w:val="24"/>
        </w:rPr>
        <w:t>投标响应文件含有采购人不能接受的附加条件；</w:t>
      </w:r>
    </w:p>
    <w:p>
      <w:pPr>
        <w:tabs>
          <w:tab w:val="left" w:pos="3870"/>
          <w:tab w:val="left" w:pos="4085"/>
        </w:tabs>
        <w:snapToGrid w:val="0"/>
        <w:spacing w:line="440" w:lineRule="exact"/>
        <w:jc w:val="left"/>
        <w:rPr>
          <w:rFonts w:ascii="仿宋" w:hAnsi="仿宋" w:eastAsia="仿宋" w:cs="仿宋"/>
          <w:color w:val="auto"/>
          <w:kern w:val="0"/>
          <w:sz w:val="24"/>
        </w:rPr>
      </w:pPr>
      <w:r>
        <w:rPr>
          <w:rFonts w:hint="eastAsia" w:ascii="仿宋" w:hAnsi="仿宋" w:eastAsia="仿宋" w:cs="仿宋"/>
          <w:color w:val="auto"/>
          <w:kern w:val="0"/>
          <w:sz w:val="24"/>
        </w:rPr>
        <w:t>6.9</w:t>
      </w:r>
      <w:r>
        <w:rPr>
          <w:rFonts w:hint="eastAsia" w:ascii="仿宋" w:hAnsi="仿宋" w:eastAsia="仿宋" w:cs="仿宋"/>
          <w:color w:val="auto"/>
          <w:sz w:val="24"/>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6.10报价超过采购文件中规定的预算金额或最高限价（包括单价限价等采购文件规定的各类限价）的；</w:t>
      </w:r>
    </w:p>
    <w:p>
      <w:pPr>
        <w:tabs>
          <w:tab w:val="left" w:pos="3870"/>
          <w:tab w:val="left" w:pos="4085"/>
        </w:tabs>
        <w:snapToGrid w:val="0"/>
        <w:spacing w:line="440" w:lineRule="exact"/>
        <w:jc w:val="left"/>
        <w:rPr>
          <w:rFonts w:ascii="仿宋" w:hAnsi="仿宋" w:eastAsia="仿宋" w:cs="仿宋"/>
          <w:color w:val="auto"/>
          <w:sz w:val="24"/>
          <w:szCs w:val="21"/>
        </w:rPr>
      </w:pPr>
      <w:r>
        <w:rPr>
          <w:rFonts w:hint="eastAsia" w:ascii="仿宋" w:hAnsi="仿宋" w:eastAsia="仿宋" w:cs="仿宋"/>
          <w:color w:val="auto"/>
          <w:sz w:val="24"/>
          <w:szCs w:val="21"/>
        </w:rPr>
        <w:t>6.11采购人拟采购的产品属于政府强制采购的节能产品品目清单范围的，投标人未按采购文件要求提供国家确定的认证机构出具的、处于有效期之内的节能产品认证证书的；</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szCs w:val="21"/>
        </w:rPr>
        <w:t>6.12</w:t>
      </w:r>
      <w:r>
        <w:rPr>
          <w:rFonts w:hint="eastAsia" w:ascii="仿宋" w:hAnsi="仿宋" w:eastAsia="仿宋" w:cs="仿宋"/>
          <w:color w:val="auto"/>
          <w:sz w:val="24"/>
        </w:rPr>
        <w:t>评审委员会认定有重大偏差或实质性不响应采购文件要求的；</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6.13投标人对根据修正原则修正后的报价不确认的；</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6.14投标人提供虚假材料投标的（包括但不限于以下情节）：</w:t>
      </w:r>
    </w:p>
    <w:p>
      <w:pPr>
        <w:tabs>
          <w:tab w:val="left" w:pos="3870"/>
          <w:tab w:val="left" w:pos="4085"/>
        </w:tabs>
        <w:snapToGrid w:val="0"/>
        <w:spacing w:line="440" w:lineRule="exact"/>
        <w:ind w:firstLine="470" w:firstLineChars="196"/>
        <w:jc w:val="left"/>
        <w:rPr>
          <w:rFonts w:ascii="仿宋" w:hAnsi="仿宋" w:eastAsia="仿宋" w:cs="仿宋"/>
          <w:color w:val="auto"/>
          <w:sz w:val="24"/>
        </w:rPr>
      </w:pPr>
      <w:r>
        <w:rPr>
          <w:rFonts w:hint="eastAsia" w:ascii="仿宋" w:hAnsi="仿宋" w:eastAsia="仿宋" w:cs="仿宋"/>
          <w:color w:val="auto"/>
          <w:sz w:val="24"/>
        </w:rPr>
        <w:t>6.14.1使用伪造、变造的许可证件、资质证书；</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 xml:space="preserve">    6.14.2提供虚假的财务状况或者业绩；</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 xml:space="preserve">    6.14.3提供虚假的项目负责人或者主要项目实施人员简历、劳动关系证明；</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 xml:space="preserve">    6.14.4提供虚假的信用状况；</w:t>
      </w:r>
    </w:p>
    <w:p>
      <w:pPr>
        <w:tabs>
          <w:tab w:val="left" w:pos="3870"/>
          <w:tab w:val="left" w:pos="4085"/>
        </w:tabs>
        <w:snapToGrid w:val="0"/>
        <w:spacing w:line="440" w:lineRule="exact"/>
        <w:ind w:firstLine="480"/>
        <w:jc w:val="left"/>
        <w:rPr>
          <w:rFonts w:ascii="仿宋" w:hAnsi="仿宋" w:eastAsia="仿宋" w:cs="仿宋"/>
          <w:color w:val="auto"/>
          <w:sz w:val="24"/>
        </w:rPr>
      </w:pPr>
      <w:r>
        <w:rPr>
          <w:rFonts w:hint="eastAsia" w:ascii="仿宋" w:hAnsi="仿宋" w:eastAsia="仿宋" w:cs="仿宋"/>
          <w:color w:val="auto"/>
          <w:sz w:val="24"/>
        </w:rPr>
        <w:t>6.14.5其他弄虚作假的行为。</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6.15投标人串通投标的。</w:t>
      </w:r>
    </w:p>
    <w:p>
      <w:pPr>
        <w:tabs>
          <w:tab w:val="left" w:pos="3870"/>
          <w:tab w:val="left" w:pos="4085"/>
        </w:tabs>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有下列情形之一的，视为投标人串通投标，其投标无效：</w:t>
      </w:r>
    </w:p>
    <w:p>
      <w:pPr>
        <w:tabs>
          <w:tab w:val="left" w:pos="3870"/>
          <w:tab w:val="left" w:pos="4085"/>
        </w:tabs>
        <w:snapToGrid w:val="0"/>
        <w:spacing w:line="440" w:lineRule="exact"/>
        <w:ind w:firstLine="422" w:firstLineChars="176"/>
        <w:jc w:val="left"/>
        <w:rPr>
          <w:rFonts w:ascii="仿宋" w:hAnsi="仿宋" w:eastAsia="仿宋" w:cs="仿宋"/>
          <w:color w:val="auto"/>
          <w:sz w:val="24"/>
        </w:rPr>
      </w:pPr>
      <w:r>
        <w:rPr>
          <w:rFonts w:hint="eastAsia" w:ascii="仿宋" w:hAnsi="仿宋" w:eastAsia="仿宋" w:cs="仿宋"/>
          <w:color w:val="auto"/>
          <w:sz w:val="24"/>
        </w:rPr>
        <w:t>6.15.1不同投标人的投标文件由同一单位或者个人编制；</w:t>
      </w:r>
    </w:p>
    <w:p>
      <w:pPr>
        <w:tabs>
          <w:tab w:val="left" w:pos="3870"/>
          <w:tab w:val="left" w:pos="4085"/>
        </w:tabs>
        <w:snapToGrid w:val="0"/>
        <w:spacing w:line="440" w:lineRule="exact"/>
        <w:ind w:firstLine="422" w:firstLineChars="176"/>
        <w:jc w:val="left"/>
        <w:rPr>
          <w:rFonts w:ascii="仿宋" w:hAnsi="仿宋" w:eastAsia="仿宋" w:cs="仿宋"/>
          <w:color w:val="auto"/>
          <w:sz w:val="24"/>
        </w:rPr>
      </w:pPr>
      <w:r>
        <w:rPr>
          <w:rFonts w:hint="eastAsia" w:ascii="仿宋" w:hAnsi="仿宋" w:eastAsia="仿宋" w:cs="仿宋"/>
          <w:color w:val="auto"/>
          <w:sz w:val="24"/>
        </w:rPr>
        <w:t>6.15.2不同投标人委托同一单位或者个人办理投标事宜；</w:t>
      </w:r>
    </w:p>
    <w:p>
      <w:pPr>
        <w:tabs>
          <w:tab w:val="left" w:pos="3870"/>
          <w:tab w:val="left" w:pos="4085"/>
        </w:tabs>
        <w:snapToGrid w:val="0"/>
        <w:spacing w:line="440" w:lineRule="exact"/>
        <w:ind w:firstLine="422" w:firstLineChars="176"/>
        <w:jc w:val="left"/>
        <w:rPr>
          <w:rFonts w:ascii="仿宋" w:hAnsi="仿宋" w:eastAsia="仿宋" w:cs="仿宋"/>
          <w:color w:val="auto"/>
          <w:sz w:val="24"/>
        </w:rPr>
      </w:pPr>
      <w:r>
        <w:rPr>
          <w:rFonts w:hint="eastAsia" w:ascii="仿宋" w:hAnsi="仿宋" w:eastAsia="仿宋" w:cs="仿宋"/>
          <w:color w:val="auto"/>
          <w:sz w:val="24"/>
        </w:rPr>
        <w:t>6.15.3不同投标人的投标文件载明的项目管理成员或者联系人员为同一人；</w:t>
      </w:r>
    </w:p>
    <w:p>
      <w:pPr>
        <w:tabs>
          <w:tab w:val="left" w:pos="3870"/>
          <w:tab w:val="left" w:pos="4085"/>
        </w:tabs>
        <w:snapToGrid w:val="0"/>
        <w:spacing w:line="440" w:lineRule="exact"/>
        <w:ind w:firstLine="422" w:firstLineChars="176"/>
        <w:jc w:val="left"/>
        <w:rPr>
          <w:rFonts w:ascii="仿宋" w:hAnsi="仿宋" w:eastAsia="仿宋" w:cs="仿宋"/>
          <w:color w:val="auto"/>
          <w:sz w:val="24"/>
        </w:rPr>
      </w:pPr>
      <w:r>
        <w:rPr>
          <w:rFonts w:hint="eastAsia" w:ascii="仿宋" w:hAnsi="仿宋" w:eastAsia="仿宋" w:cs="仿宋"/>
          <w:color w:val="auto"/>
          <w:sz w:val="24"/>
        </w:rPr>
        <w:t>6.15.4不同投标人的投标文件异常一致或者投标报价呈规律性差异；</w:t>
      </w:r>
    </w:p>
    <w:p>
      <w:pPr>
        <w:tabs>
          <w:tab w:val="left" w:pos="3870"/>
          <w:tab w:val="left" w:pos="4085"/>
        </w:tabs>
        <w:snapToGrid w:val="0"/>
        <w:spacing w:line="440" w:lineRule="exact"/>
        <w:ind w:firstLine="422" w:firstLineChars="176"/>
        <w:jc w:val="left"/>
        <w:rPr>
          <w:rFonts w:ascii="仿宋" w:hAnsi="仿宋" w:eastAsia="仿宋" w:cs="仿宋"/>
          <w:color w:val="auto"/>
          <w:sz w:val="24"/>
        </w:rPr>
      </w:pPr>
      <w:r>
        <w:rPr>
          <w:rFonts w:hint="eastAsia" w:ascii="仿宋" w:hAnsi="仿宋" w:eastAsia="仿宋" w:cs="仿宋"/>
          <w:color w:val="auto"/>
          <w:sz w:val="24"/>
        </w:rPr>
        <w:t>6.15.5不同投标人的投标文件相互混装；</w:t>
      </w:r>
    </w:p>
    <w:p>
      <w:pPr>
        <w:tabs>
          <w:tab w:val="left" w:pos="3870"/>
          <w:tab w:val="left" w:pos="4085"/>
        </w:tabs>
        <w:snapToGrid w:val="0"/>
        <w:spacing w:line="440" w:lineRule="exact"/>
        <w:ind w:firstLine="422" w:firstLineChars="176"/>
        <w:jc w:val="left"/>
        <w:rPr>
          <w:rFonts w:ascii="仿宋" w:hAnsi="仿宋" w:eastAsia="仿宋" w:cs="仿宋"/>
          <w:color w:val="auto"/>
          <w:sz w:val="24"/>
        </w:rPr>
      </w:pPr>
      <w:r>
        <w:rPr>
          <w:rFonts w:hint="eastAsia" w:ascii="仿宋" w:hAnsi="仿宋" w:eastAsia="仿宋" w:cs="仿宋"/>
          <w:color w:val="auto"/>
          <w:sz w:val="24"/>
        </w:rPr>
        <w:t>6.15.6法律规定的其他串通投标情形。</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6.16属于《中华人民共和国政府采购法实施条例》第七十四条规定的恶意串通情形的，其投标无效；</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6.17联合体投标的，联合体各方在同一招标项目中以自己名义单独投标或者参加其他联合体投标的，相关投标均无效；</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6.18供应商违反政府采购政策性规定；</w:t>
      </w:r>
    </w:p>
    <w:p>
      <w:pPr>
        <w:snapToGrid w:val="0"/>
        <w:spacing w:line="440" w:lineRule="exact"/>
        <w:rPr>
          <w:rFonts w:ascii="仿宋" w:hAnsi="仿宋" w:eastAsia="仿宋" w:cs="仿宋"/>
          <w:color w:val="auto"/>
          <w:sz w:val="24"/>
        </w:rPr>
      </w:pPr>
      <w:r>
        <w:rPr>
          <w:rFonts w:hint="eastAsia" w:ascii="仿宋" w:hAnsi="仿宋" w:eastAsia="仿宋" w:cs="仿宋"/>
          <w:color w:val="auto"/>
          <w:sz w:val="24"/>
        </w:rPr>
        <w:t>6.19违反法律、法规及本采购文件规定的其他无效投标情形。</w:t>
      </w:r>
    </w:p>
    <w:p>
      <w:pPr>
        <w:spacing w:line="480" w:lineRule="exact"/>
        <w:jc w:val="left"/>
        <w:rPr>
          <w:rFonts w:ascii="仿宋" w:hAnsi="仿宋" w:eastAsia="仿宋" w:cs="仿宋"/>
          <w:b/>
          <w:bCs/>
          <w:color w:val="auto"/>
          <w:sz w:val="24"/>
        </w:rPr>
      </w:pPr>
      <w:r>
        <w:rPr>
          <w:rFonts w:hint="eastAsia" w:ascii="仿宋" w:hAnsi="仿宋" w:eastAsia="仿宋" w:cs="仿宋"/>
          <w:b/>
          <w:bCs/>
          <w:color w:val="auto"/>
          <w:sz w:val="24"/>
        </w:rPr>
        <w:t>7.定标</w:t>
      </w:r>
    </w:p>
    <w:p>
      <w:pPr>
        <w:widowControl/>
        <w:snapToGrid w:val="0"/>
        <w:spacing w:line="480" w:lineRule="exact"/>
        <w:rPr>
          <w:rFonts w:ascii="仿宋" w:hAnsi="仿宋" w:eastAsia="仿宋" w:cs="仿宋"/>
          <w:color w:val="auto"/>
          <w:sz w:val="24"/>
        </w:rPr>
      </w:pPr>
      <w:r>
        <w:rPr>
          <w:rFonts w:hint="eastAsia" w:ascii="仿宋" w:hAnsi="仿宋" w:eastAsia="仿宋" w:cs="仿宋"/>
          <w:color w:val="auto"/>
          <w:sz w:val="24"/>
        </w:rPr>
        <w:t>7.1采购人在收到评标报告之日起5个工作日内在评审报告推荐的中标或成交候选人中按顺序确定中标或成交供应商。</w:t>
      </w:r>
    </w:p>
    <w:p>
      <w:pPr>
        <w:widowControl/>
        <w:snapToGrid w:val="0"/>
        <w:spacing w:line="480" w:lineRule="exact"/>
        <w:rPr>
          <w:rFonts w:ascii="仿宋" w:hAnsi="仿宋" w:eastAsia="仿宋" w:cs="仿宋"/>
          <w:color w:val="auto"/>
          <w:kern w:val="0"/>
          <w:sz w:val="24"/>
        </w:rPr>
      </w:pPr>
      <w:r>
        <w:rPr>
          <w:rFonts w:hint="eastAsia" w:ascii="仿宋" w:hAnsi="仿宋" w:eastAsia="仿宋" w:cs="仿宋"/>
          <w:color w:val="auto"/>
          <w:sz w:val="24"/>
        </w:rPr>
        <w:t>7.2采购代理机构在采购人确认中标或成交供应商后2个工作日内发布中标公告。中标公告与采购公告发布网址一致。中标公告期限为一个工作日。</w:t>
      </w:r>
    </w:p>
    <w:p>
      <w:pPr>
        <w:spacing w:line="480" w:lineRule="exact"/>
        <w:jc w:val="left"/>
        <w:rPr>
          <w:rFonts w:ascii="仿宋" w:hAnsi="仿宋" w:eastAsia="仿宋" w:cs="仿宋"/>
          <w:b/>
          <w:bCs/>
          <w:color w:val="auto"/>
          <w:sz w:val="24"/>
        </w:rPr>
      </w:pPr>
      <w:r>
        <w:rPr>
          <w:rFonts w:hint="eastAsia" w:ascii="仿宋" w:hAnsi="仿宋" w:eastAsia="仿宋" w:cs="仿宋"/>
          <w:b/>
          <w:bCs/>
          <w:color w:val="auto"/>
          <w:sz w:val="24"/>
        </w:rPr>
        <w:t>8.中标通知书的申领</w:t>
      </w:r>
    </w:p>
    <w:p>
      <w:pPr>
        <w:widowControl/>
        <w:snapToGrid w:val="0"/>
        <w:spacing w:line="480" w:lineRule="exact"/>
        <w:rPr>
          <w:rFonts w:ascii="仿宋" w:hAnsi="仿宋" w:eastAsia="仿宋" w:cs="仿宋"/>
          <w:color w:val="auto"/>
          <w:kern w:val="0"/>
          <w:sz w:val="24"/>
        </w:rPr>
      </w:pPr>
      <w:r>
        <w:rPr>
          <w:rFonts w:hint="eastAsia" w:ascii="仿宋" w:hAnsi="仿宋" w:eastAsia="仿宋" w:cs="仿宋"/>
          <w:color w:val="auto"/>
          <w:kern w:val="0"/>
          <w:sz w:val="24"/>
        </w:rPr>
        <w:t>8.1本项目采用的</w:t>
      </w:r>
      <w:r>
        <w:rPr>
          <w:rFonts w:hint="eastAsia" w:ascii="仿宋" w:hAnsi="仿宋" w:eastAsia="仿宋" w:cs="仿宋"/>
          <w:b/>
          <w:bCs/>
          <w:color w:val="auto"/>
          <w:kern w:val="0"/>
          <w:sz w:val="24"/>
        </w:rPr>
        <w:t>电子版中标通知书</w:t>
      </w:r>
      <w:r>
        <w:rPr>
          <w:rFonts w:hint="eastAsia" w:ascii="仿宋" w:hAnsi="仿宋" w:eastAsia="仿宋" w:cs="仿宋"/>
          <w:color w:val="auto"/>
          <w:kern w:val="0"/>
          <w:sz w:val="24"/>
        </w:rPr>
        <w:t>，中标供应商在政采云平台中登陆后领取（社会中介代理机构组织的政府采购项目另行规定）。</w:t>
      </w:r>
    </w:p>
    <w:p>
      <w:pPr>
        <w:widowControl/>
        <w:snapToGrid w:val="0"/>
        <w:spacing w:line="480" w:lineRule="exact"/>
        <w:rPr>
          <w:rFonts w:ascii="仿宋" w:hAnsi="仿宋" w:eastAsia="仿宋" w:cs="仿宋"/>
          <w:color w:val="auto"/>
          <w:kern w:val="0"/>
          <w:sz w:val="24"/>
        </w:rPr>
      </w:pPr>
      <w:r>
        <w:rPr>
          <w:rFonts w:hint="eastAsia" w:ascii="仿宋" w:hAnsi="仿宋" w:eastAsia="仿宋" w:cs="仿宋"/>
          <w:color w:val="auto"/>
          <w:kern w:val="0"/>
          <w:sz w:val="24"/>
        </w:rPr>
        <w:t>8.2中标通知书在中标公告发布的同时发出。</w:t>
      </w:r>
    </w:p>
    <w:p>
      <w:pPr>
        <w:widowControl/>
        <w:snapToGrid w:val="0"/>
        <w:spacing w:line="480" w:lineRule="exact"/>
        <w:rPr>
          <w:rFonts w:ascii="仿宋" w:hAnsi="仿宋" w:eastAsia="仿宋" w:cs="仿宋"/>
          <w:color w:val="auto"/>
          <w:kern w:val="0"/>
          <w:sz w:val="24"/>
        </w:rPr>
      </w:pPr>
      <w:r>
        <w:rPr>
          <w:rFonts w:hint="eastAsia" w:ascii="仿宋" w:hAnsi="仿宋" w:eastAsia="仿宋" w:cs="仿宋"/>
          <w:color w:val="auto"/>
          <w:kern w:val="0"/>
          <w:sz w:val="24"/>
        </w:rPr>
        <w:t>8.3中标通知书发出后，采购人不得违法改变中标结果，中标人无正当理由不得放弃中标。</w:t>
      </w:r>
    </w:p>
    <w:p>
      <w:pPr>
        <w:widowControl/>
        <w:snapToGrid w:val="0"/>
        <w:spacing w:line="480" w:lineRule="exact"/>
        <w:rPr>
          <w:rFonts w:ascii="仿宋" w:hAnsi="仿宋" w:eastAsia="仿宋" w:cs="仿宋"/>
          <w:b/>
          <w:bCs/>
          <w:color w:val="auto"/>
          <w:kern w:val="0"/>
          <w:sz w:val="24"/>
        </w:rPr>
      </w:pPr>
      <w:r>
        <w:rPr>
          <w:rFonts w:hint="eastAsia" w:ascii="仿宋" w:hAnsi="仿宋" w:eastAsia="仿宋" w:cs="仿宋"/>
          <w:b/>
          <w:bCs/>
          <w:color w:val="auto"/>
          <w:kern w:val="0"/>
          <w:sz w:val="24"/>
        </w:rPr>
        <w:t>8.4中标通知书的领取不妨碍相关质疑投诉的提出和处置，中标结果在法定情形内允许改变。在处理完针对中标结果的质疑或投诉前，原则上不签订采购合同。</w:t>
      </w:r>
    </w:p>
    <w:p>
      <w:pPr>
        <w:snapToGrid w:val="0"/>
        <w:spacing w:line="480" w:lineRule="exact"/>
        <w:jc w:val="left"/>
        <w:rPr>
          <w:rFonts w:ascii="仿宋" w:hAnsi="仿宋" w:eastAsia="仿宋" w:cs="仿宋"/>
          <w:b/>
          <w:color w:val="auto"/>
          <w:sz w:val="24"/>
        </w:rPr>
      </w:pPr>
      <w:r>
        <w:rPr>
          <w:rFonts w:hint="eastAsia" w:ascii="仿宋" w:hAnsi="仿宋" w:eastAsia="仿宋" w:cs="仿宋"/>
          <w:b/>
          <w:color w:val="auto"/>
          <w:sz w:val="24"/>
        </w:rPr>
        <w:t>9、中止电子交易的情形</w:t>
      </w:r>
    </w:p>
    <w:p>
      <w:pPr>
        <w:snapToGrid w:val="0"/>
        <w:spacing w:line="48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采购过程中出现以下情形，导致电子交易平台无法正常运行，或者无法保证电子交易的公开、公平、公正和安全时，采购机构可经采购监督部门同意后中止电子交易活动：</w:t>
      </w:r>
    </w:p>
    <w:p>
      <w:pPr>
        <w:snapToGrid w:val="0"/>
        <w:spacing w:line="480" w:lineRule="exact"/>
        <w:jc w:val="left"/>
        <w:rPr>
          <w:rFonts w:ascii="仿宋" w:hAnsi="仿宋" w:eastAsia="仿宋" w:cs="仿宋"/>
          <w:color w:val="auto"/>
          <w:sz w:val="24"/>
        </w:rPr>
      </w:pPr>
      <w:r>
        <w:rPr>
          <w:rFonts w:hint="eastAsia" w:ascii="仿宋" w:hAnsi="仿宋" w:eastAsia="仿宋" w:cs="仿宋"/>
          <w:color w:val="auto"/>
          <w:sz w:val="24"/>
        </w:rPr>
        <w:t xml:space="preserve">9.1电子交易平台发生故障而无法完成采购活动的； </w:t>
      </w:r>
    </w:p>
    <w:p>
      <w:pPr>
        <w:snapToGrid w:val="0"/>
        <w:spacing w:line="480" w:lineRule="exact"/>
        <w:jc w:val="left"/>
        <w:rPr>
          <w:rFonts w:ascii="仿宋" w:hAnsi="仿宋" w:eastAsia="仿宋" w:cs="仿宋"/>
          <w:color w:val="auto"/>
          <w:sz w:val="24"/>
        </w:rPr>
      </w:pPr>
      <w:r>
        <w:rPr>
          <w:rFonts w:hint="eastAsia" w:ascii="仿宋" w:hAnsi="仿宋" w:eastAsia="仿宋" w:cs="仿宋"/>
          <w:color w:val="auto"/>
          <w:sz w:val="24"/>
        </w:rPr>
        <w:t>9.2电子交易平台应用或数据库出现错误，不能进行正常操作的；</w:t>
      </w:r>
    </w:p>
    <w:p>
      <w:pPr>
        <w:snapToGrid w:val="0"/>
        <w:spacing w:line="480" w:lineRule="exact"/>
        <w:jc w:val="left"/>
        <w:rPr>
          <w:rFonts w:ascii="仿宋" w:hAnsi="仿宋" w:eastAsia="仿宋" w:cs="仿宋"/>
          <w:color w:val="auto"/>
          <w:sz w:val="24"/>
        </w:rPr>
      </w:pPr>
      <w:r>
        <w:rPr>
          <w:rFonts w:hint="eastAsia" w:ascii="仿宋" w:hAnsi="仿宋" w:eastAsia="仿宋" w:cs="仿宋"/>
          <w:color w:val="auto"/>
          <w:sz w:val="24"/>
        </w:rPr>
        <w:t>9.3电子交易平台发现严重安全漏洞，有潜在泄密危险的；</w:t>
      </w:r>
    </w:p>
    <w:p>
      <w:pPr>
        <w:snapToGrid w:val="0"/>
        <w:spacing w:line="480" w:lineRule="exact"/>
        <w:jc w:val="left"/>
        <w:rPr>
          <w:rFonts w:ascii="仿宋" w:hAnsi="仿宋" w:eastAsia="仿宋" w:cs="仿宋"/>
          <w:color w:val="auto"/>
          <w:sz w:val="24"/>
        </w:rPr>
      </w:pPr>
      <w:r>
        <w:rPr>
          <w:rFonts w:hint="eastAsia" w:ascii="仿宋" w:hAnsi="仿宋" w:eastAsia="仿宋" w:cs="仿宋"/>
          <w:color w:val="auto"/>
          <w:sz w:val="24"/>
        </w:rPr>
        <w:t xml:space="preserve">9.4病毒发作导致不能进行正常操作的； </w:t>
      </w:r>
    </w:p>
    <w:p>
      <w:pPr>
        <w:snapToGrid w:val="0"/>
        <w:spacing w:line="480" w:lineRule="exact"/>
        <w:jc w:val="left"/>
        <w:rPr>
          <w:rFonts w:ascii="仿宋" w:hAnsi="仿宋" w:eastAsia="仿宋" w:cs="仿宋"/>
          <w:color w:val="auto"/>
          <w:sz w:val="24"/>
        </w:rPr>
      </w:pPr>
      <w:r>
        <w:rPr>
          <w:rFonts w:hint="eastAsia" w:ascii="仿宋" w:hAnsi="仿宋" w:eastAsia="仿宋" w:cs="仿宋"/>
          <w:color w:val="auto"/>
          <w:sz w:val="24"/>
        </w:rPr>
        <w:t>9.5其他无法保证电子交易的公平、公正和安全的情况。</w:t>
      </w:r>
    </w:p>
    <w:p>
      <w:pPr>
        <w:widowControl/>
        <w:snapToGrid w:val="0"/>
        <w:spacing w:line="480" w:lineRule="exact"/>
        <w:ind w:firstLine="488"/>
        <w:rPr>
          <w:rFonts w:ascii="仿宋" w:hAnsi="仿宋" w:eastAsia="仿宋" w:cs="仿宋"/>
          <w:color w:val="auto"/>
          <w:sz w:val="24"/>
        </w:rPr>
      </w:pPr>
      <w:r>
        <w:rPr>
          <w:rFonts w:hint="eastAsia" w:ascii="仿宋" w:hAnsi="仿宋" w:eastAsia="仿宋" w:cs="仿宋"/>
          <w:color w:val="auto"/>
          <w:sz w:val="24"/>
        </w:rPr>
        <w:t>出现上述情形的，采购组织机构可以待上述情形消除后继续组织电子交易活动，也可以决定某些环节以纸质形式进行；影响或可能影响采购的公开、公平、公正的，应当重新采购。</w:t>
      </w:r>
    </w:p>
    <w:p>
      <w:pPr>
        <w:widowControl/>
        <w:snapToGrid w:val="0"/>
        <w:spacing w:line="480" w:lineRule="exact"/>
        <w:ind w:firstLine="488"/>
        <w:rPr>
          <w:rFonts w:ascii="仿宋" w:hAnsi="仿宋" w:eastAsia="仿宋" w:cs="仿宋"/>
          <w:color w:val="auto"/>
          <w:kern w:val="0"/>
          <w:sz w:val="24"/>
        </w:rPr>
      </w:pPr>
    </w:p>
    <w:p>
      <w:pPr>
        <w:pStyle w:val="3"/>
        <w:rPr>
          <w:color w:val="auto"/>
        </w:rPr>
      </w:pPr>
    </w:p>
    <w:p>
      <w:pPr>
        <w:pStyle w:val="5"/>
        <w:rPr>
          <w:rFonts w:ascii="仿宋" w:hAnsi="仿宋" w:cs="仿宋"/>
          <w:color w:val="auto"/>
        </w:rPr>
      </w:pPr>
      <w:bookmarkStart w:id="39" w:name="_Toc1753"/>
      <w:r>
        <w:rPr>
          <w:rFonts w:hint="eastAsia" w:ascii="仿宋" w:hAnsi="仿宋" w:cs="仿宋"/>
          <w:color w:val="auto"/>
        </w:rPr>
        <w:t>五、合同签订及履约</w:t>
      </w:r>
      <w:bookmarkEnd w:id="39"/>
    </w:p>
    <w:p>
      <w:pPr>
        <w:spacing w:line="480" w:lineRule="exact"/>
        <w:jc w:val="left"/>
        <w:rPr>
          <w:rFonts w:ascii="仿宋" w:hAnsi="仿宋" w:eastAsia="仿宋" w:cs="仿宋"/>
          <w:b/>
          <w:bCs/>
          <w:color w:val="auto"/>
          <w:sz w:val="24"/>
        </w:rPr>
      </w:pPr>
      <w:r>
        <w:rPr>
          <w:rFonts w:hint="eastAsia" w:ascii="仿宋" w:hAnsi="仿宋" w:eastAsia="仿宋" w:cs="仿宋"/>
          <w:b/>
          <w:bCs/>
          <w:color w:val="auto"/>
          <w:sz w:val="24"/>
        </w:rPr>
        <w:t>1.合同签订</w:t>
      </w:r>
    </w:p>
    <w:p>
      <w:pPr>
        <w:widowControl/>
        <w:snapToGrid w:val="0"/>
        <w:spacing w:line="480" w:lineRule="exact"/>
        <w:rPr>
          <w:rFonts w:ascii="仿宋" w:hAnsi="仿宋" w:eastAsia="仿宋" w:cs="仿宋"/>
          <w:color w:val="auto"/>
          <w:kern w:val="0"/>
          <w:sz w:val="24"/>
        </w:rPr>
      </w:pPr>
      <w:r>
        <w:rPr>
          <w:rFonts w:hint="eastAsia" w:ascii="仿宋" w:hAnsi="仿宋" w:eastAsia="仿宋" w:cs="仿宋"/>
          <w:color w:val="auto"/>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line="480" w:lineRule="exact"/>
        <w:rPr>
          <w:rFonts w:ascii="仿宋" w:hAnsi="仿宋" w:eastAsia="仿宋" w:cs="仿宋"/>
          <w:color w:val="auto"/>
          <w:kern w:val="0"/>
          <w:sz w:val="24"/>
        </w:rPr>
      </w:pPr>
      <w:r>
        <w:rPr>
          <w:rFonts w:hint="eastAsia" w:ascii="仿宋" w:hAnsi="仿宋" w:eastAsia="仿宋" w:cs="仿宋"/>
          <w:color w:val="auto"/>
          <w:kern w:val="0"/>
          <w:sz w:val="24"/>
        </w:rPr>
        <w:t>1.2采购人和中标人不得向对方提出任何不合理的要求作为签订合同的条件。</w:t>
      </w:r>
    </w:p>
    <w:p>
      <w:pPr>
        <w:widowControl/>
        <w:snapToGrid w:val="0"/>
        <w:spacing w:line="480" w:lineRule="exact"/>
        <w:rPr>
          <w:rFonts w:ascii="仿宋" w:hAnsi="仿宋" w:eastAsia="仿宋" w:cs="仿宋"/>
          <w:color w:val="auto"/>
          <w:kern w:val="0"/>
          <w:sz w:val="24"/>
        </w:rPr>
      </w:pPr>
      <w:r>
        <w:rPr>
          <w:rFonts w:hint="eastAsia" w:ascii="仿宋" w:hAnsi="仿宋" w:eastAsia="仿宋" w:cs="仿宋"/>
          <w:color w:val="auto"/>
          <w:kern w:val="0"/>
          <w:sz w:val="24"/>
        </w:rPr>
        <w:t>1.3采购人和中标人需在投标有效期内签订采购合同。投标有效期允许延长，但需征得中标人同意。</w:t>
      </w:r>
    </w:p>
    <w:p>
      <w:pPr>
        <w:spacing w:line="440" w:lineRule="exact"/>
        <w:jc w:val="left"/>
        <w:rPr>
          <w:rFonts w:ascii="仿宋" w:hAnsi="仿宋" w:eastAsia="仿宋" w:cs="仿宋"/>
          <w:b/>
          <w:color w:val="auto"/>
          <w:sz w:val="24"/>
        </w:rPr>
      </w:pPr>
      <w:r>
        <w:rPr>
          <w:rFonts w:hint="eastAsia" w:ascii="仿宋" w:hAnsi="仿宋" w:eastAsia="仿宋" w:cs="仿宋"/>
          <w:b/>
          <w:color w:val="auto"/>
          <w:sz w:val="24"/>
        </w:rPr>
        <w:t>2．履约保证金</w:t>
      </w:r>
    </w:p>
    <w:p>
      <w:pPr>
        <w:spacing w:line="440" w:lineRule="exact"/>
        <w:jc w:val="left"/>
        <w:rPr>
          <w:rFonts w:ascii="仿宋" w:hAnsi="仿宋" w:eastAsia="仿宋" w:cs="仿宋"/>
          <w:color w:val="auto"/>
          <w:sz w:val="24"/>
        </w:rPr>
      </w:pPr>
      <w:r>
        <w:rPr>
          <w:rFonts w:hint="eastAsia" w:ascii="仿宋" w:hAnsi="仿宋" w:eastAsia="仿宋" w:cs="仿宋"/>
          <w:color w:val="auto"/>
          <w:sz w:val="24"/>
        </w:rPr>
        <w:t>2.1采购合同签订的同时，中标人应当以支票、汇票、本票或者金融机构、担保机构出具的保函等非现金形式交纳履约保证金。</w:t>
      </w:r>
    </w:p>
    <w:p>
      <w:pPr>
        <w:spacing w:line="440" w:lineRule="exact"/>
        <w:jc w:val="left"/>
        <w:rPr>
          <w:rFonts w:ascii="仿宋" w:hAnsi="仿宋" w:eastAsia="仿宋" w:cs="仿宋"/>
          <w:color w:val="auto"/>
          <w:sz w:val="24"/>
        </w:rPr>
      </w:pPr>
      <w:r>
        <w:rPr>
          <w:rFonts w:hint="eastAsia" w:ascii="仿宋" w:hAnsi="仿宋" w:eastAsia="仿宋" w:cs="仿宋"/>
          <w:color w:val="auto"/>
          <w:sz w:val="24"/>
        </w:rPr>
        <w:t>2.2供应商在履行完合同约定事项后，采购人应及时退还履约保证金。采购人验收不合格的，不予退还履约保证金。</w:t>
      </w:r>
    </w:p>
    <w:p>
      <w:pPr>
        <w:spacing w:line="440" w:lineRule="exact"/>
        <w:jc w:val="left"/>
        <w:rPr>
          <w:rFonts w:ascii="仿宋" w:hAnsi="仿宋" w:eastAsia="仿宋" w:cs="仿宋"/>
          <w:color w:val="auto"/>
          <w:sz w:val="24"/>
        </w:rPr>
      </w:pPr>
      <w:r>
        <w:rPr>
          <w:rFonts w:hint="eastAsia" w:ascii="仿宋" w:hAnsi="仿宋" w:eastAsia="仿宋" w:cs="仿宋"/>
          <w:color w:val="auto"/>
          <w:sz w:val="24"/>
        </w:rPr>
        <w:t>2.3供应商以银行、保险公司出具保函形式提交履约保证金的，采购人不得拒收。</w:t>
      </w:r>
    </w:p>
    <w:p>
      <w:pPr>
        <w:spacing w:line="440" w:lineRule="exact"/>
        <w:jc w:val="left"/>
        <w:rPr>
          <w:rFonts w:ascii="仿宋" w:hAnsi="仿宋" w:eastAsia="仿宋" w:cs="仿宋"/>
          <w:b/>
          <w:color w:val="auto"/>
          <w:sz w:val="24"/>
        </w:rPr>
      </w:pPr>
      <w:r>
        <w:rPr>
          <w:rFonts w:hint="eastAsia" w:ascii="仿宋" w:hAnsi="仿宋" w:eastAsia="仿宋" w:cs="仿宋"/>
          <w:b/>
          <w:color w:val="auto"/>
          <w:sz w:val="24"/>
        </w:rPr>
        <w:t>3．合同备案</w:t>
      </w:r>
    </w:p>
    <w:p>
      <w:pPr>
        <w:spacing w:line="440" w:lineRule="exact"/>
        <w:jc w:val="left"/>
        <w:rPr>
          <w:rFonts w:ascii="仿宋" w:hAnsi="仿宋" w:eastAsia="仿宋" w:cs="仿宋"/>
          <w:b/>
          <w:bCs/>
          <w:color w:val="auto"/>
          <w:sz w:val="24"/>
        </w:rPr>
      </w:pPr>
      <w:r>
        <w:rPr>
          <w:rFonts w:hint="eastAsia" w:ascii="仿宋" w:hAnsi="仿宋" w:eastAsia="仿宋" w:cs="仿宋"/>
          <w:b/>
          <w:bCs/>
          <w:color w:val="auto"/>
          <w:sz w:val="24"/>
        </w:rPr>
        <w:t>3.1中标人应当自采购合同签订之日起3个工作日内，将采购合同原件报采购代理机构备案存档。</w:t>
      </w:r>
    </w:p>
    <w:p>
      <w:pPr>
        <w:spacing w:line="440" w:lineRule="exact"/>
        <w:jc w:val="left"/>
        <w:rPr>
          <w:rFonts w:ascii="仿宋" w:hAnsi="仿宋" w:eastAsia="仿宋" w:cs="仿宋"/>
          <w:b/>
          <w:color w:val="auto"/>
          <w:sz w:val="24"/>
        </w:rPr>
      </w:pPr>
      <w:r>
        <w:rPr>
          <w:rFonts w:hint="eastAsia" w:ascii="仿宋" w:hAnsi="仿宋" w:eastAsia="仿宋" w:cs="仿宋"/>
          <w:b/>
          <w:color w:val="auto"/>
          <w:sz w:val="24"/>
        </w:rPr>
        <w:t>4.履约验收</w:t>
      </w:r>
    </w:p>
    <w:p>
      <w:pPr>
        <w:spacing w:line="440" w:lineRule="exact"/>
        <w:jc w:val="left"/>
        <w:rPr>
          <w:rFonts w:ascii="仿宋" w:hAnsi="仿宋" w:eastAsia="仿宋" w:cs="仿宋"/>
          <w:color w:val="auto"/>
          <w:sz w:val="24"/>
        </w:rPr>
      </w:pPr>
      <w:r>
        <w:rPr>
          <w:rFonts w:hint="eastAsia" w:ascii="仿宋" w:hAnsi="仿宋" w:eastAsia="仿宋" w:cs="仿宋"/>
          <w:color w:val="auto"/>
          <w:sz w:val="24"/>
        </w:rPr>
        <w:t>4.1采购人自行组织或委托采购代理机构对供应商进行履约验收，出具验收书，存档备查。如果发现与合同中要求不符，供应商须承担由此发生的一切损失和费用，并承担相应的法律责任。</w:t>
      </w:r>
    </w:p>
    <w:p>
      <w:pPr>
        <w:spacing w:line="440" w:lineRule="exact"/>
        <w:jc w:val="left"/>
        <w:rPr>
          <w:rFonts w:ascii="仿宋" w:hAnsi="仿宋" w:eastAsia="仿宋" w:cs="仿宋"/>
          <w:color w:val="auto"/>
          <w:sz w:val="24"/>
        </w:rPr>
      </w:pPr>
      <w:r>
        <w:rPr>
          <w:rFonts w:hint="eastAsia" w:ascii="仿宋" w:hAnsi="仿宋" w:eastAsia="仿宋" w:cs="仿宋"/>
          <w:color w:val="auto"/>
          <w:sz w:val="24"/>
        </w:rPr>
        <w:t>4.2服务类项目，可以根据项目特点对服务期内的服务实施情况进行分期考核，结合考核情况和服务效果进行验收。工程类项目应当按照行业管理部门规定的标准、方法和内容进行验收。</w:t>
      </w:r>
    </w:p>
    <w:p>
      <w:pPr>
        <w:spacing w:line="440" w:lineRule="exact"/>
        <w:jc w:val="left"/>
        <w:rPr>
          <w:rFonts w:ascii="仿宋" w:hAnsi="仿宋" w:eastAsia="仿宋" w:cs="仿宋"/>
          <w:color w:val="auto"/>
          <w:sz w:val="24"/>
        </w:rPr>
      </w:pPr>
      <w:r>
        <w:rPr>
          <w:rFonts w:hint="eastAsia" w:ascii="仿宋" w:hAnsi="仿宋" w:eastAsia="仿宋" w:cs="仿宋"/>
          <w:color w:val="auto"/>
          <w:sz w:val="24"/>
        </w:rPr>
        <w:t>4.3采购人可以邀请参加本项目的其他投标人或者第三方机构参与验收。参与验收的投标人或者第三方机构的意见作为验收书的参考资料一并存档。</w:t>
      </w:r>
    </w:p>
    <w:p>
      <w:pPr>
        <w:spacing w:line="440" w:lineRule="exact"/>
        <w:jc w:val="left"/>
        <w:rPr>
          <w:rFonts w:ascii="仿宋" w:hAnsi="仿宋" w:eastAsia="仿宋" w:cs="仿宋"/>
          <w:color w:val="auto"/>
          <w:sz w:val="24"/>
        </w:rPr>
      </w:pPr>
      <w:r>
        <w:rPr>
          <w:rFonts w:hint="eastAsia" w:ascii="仿宋" w:hAnsi="仿宋" w:eastAsia="仿宋" w:cs="仿宋"/>
          <w:color w:val="auto"/>
          <w:sz w:val="24"/>
        </w:rPr>
        <w:t>4.4政府向社会公众提供的公共服务项目验收时应当邀请服务对象参与并出具意见，验收结果应当向社会公告。</w:t>
      </w:r>
    </w:p>
    <w:p>
      <w:pPr>
        <w:spacing w:line="440" w:lineRule="exact"/>
        <w:jc w:val="left"/>
        <w:rPr>
          <w:rFonts w:ascii="仿宋" w:hAnsi="仿宋" w:eastAsia="仿宋" w:cs="仿宋"/>
          <w:color w:val="auto"/>
          <w:sz w:val="24"/>
        </w:rPr>
      </w:pPr>
      <w:r>
        <w:rPr>
          <w:rFonts w:hint="eastAsia" w:ascii="仿宋" w:hAnsi="仿宋" w:eastAsia="仿宋" w:cs="仿宋"/>
          <w:color w:val="auto"/>
          <w:sz w:val="24"/>
        </w:rPr>
        <w:t>4.5 采购合同的履行、违约责任和解决争议的方式等适用《中华人民共和国民法典》。</w:t>
      </w:r>
    </w:p>
    <w:p>
      <w:pPr>
        <w:spacing w:line="440" w:lineRule="exact"/>
        <w:jc w:val="left"/>
        <w:rPr>
          <w:rFonts w:ascii="仿宋" w:hAnsi="仿宋" w:eastAsia="仿宋" w:cs="仿宋"/>
          <w:color w:val="auto"/>
          <w:sz w:val="24"/>
        </w:rPr>
      </w:pPr>
      <w:r>
        <w:rPr>
          <w:rFonts w:hint="eastAsia" w:ascii="仿宋" w:hAnsi="仿宋" w:eastAsia="仿宋" w:cs="仿宋"/>
          <w:color w:val="auto"/>
          <w:sz w:val="24"/>
        </w:rPr>
        <w:t>4.6供应商在履约过程中有政府采购法律法规规定的违法违规情形的，采购人应当及时报告本级财政部门。</w:t>
      </w:r>
    </w:p>
    <w:p>
      <w:pPr>
        <w:snapToGrid w:val="0"/>
        <w:spacing w:line="440" w:lineRule="exact"/>
        <w:jc w:val="left"/>
        <w:rPr>
          <w:rFonts w:ascii="仿宋" w:hAnsi="仿宋" w:eastAsia="仿宋" w:cs="仿宋"/>
          <w:b/>
          <w:color w:val="auto"/>
          <w:sz w:val="24"/>
        </w:rPr>
      </w:pPr>
      <w:r>
        <w:rPr>
          <w:rFonts w:hint="eastAsia" w:ascii="仿宋" w:hAnsi="仿宋" w:eastAsia="仿宋" w:cs="仿宋"/>
          <w:b/>
          <w:color w:val="auto"/>
          <w:sz w:val="24"/>
        </w:rPr>
        <w:t>5.履约检查</w:t>
      </w:r>
    </w:p>
    <w:p>
      <w:pPr>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采购机构将联合政府采购监管部门不定期对合同的履约情况进行检查，发现未按合同规定进行履约的，有弄虚作假，偷工减料，以次充好、服务不达标等情形，达不到国家、行业有关标准和采购文件规定或有违采购合同的，一经查实，由政府采购监督管理部门给予相应处罚。</w:t>
      </w:r>
    </w:p>
    <w:p>
      <w:pPr>
        <w:widowControl/>
        <w:snapToGrid w:val="0"/>
        <w:spacing w:line="480" w:lineRule="exact"/>
        <w:rPr>
          <w:rFonts w:ascii="仿宋" w:hAnsi="仿宋" w:eastAsia="仿宋" w:cs="仿宋"/>
          <w:color w:val="auto"/>
          <w:kern w:val="0"/>
          <w:sz w:val="24"/>
        </w:rPr>
      </w:pPr>
    </w:p>
    <w:p>
      <w:pPr>
        <w:pStyle w:val="4"/>
        <w:rPr>
          <w:rFonts w:ascii="仿宋" w:hAnsi="仿宋" w:cs="仿宋"/>
          <w:color w:val="auto"/>
        </w:rPr>
      </w:pPr>
      <w:bookmarkStart w:id="40" w:name="_Toc3442"/>
      <w:r>
        <w:rPr>
          <w:rFonts w:hint="eastAsia" w:ascii="仿宋" w:hAnsi="仿宋" w:cs="仿宋"/>
          <w:color w:val="auto"/>
        </w:rPr>
        <w:t>第三章  采购需求</w:t>
      </w:r>
      <w:bookmarkEnd w:id="40"/>
    </w:p>
    <w:p>
      <w:pPr>
        <w:pStyle w:val="5"/>
        <w:rPr>
          <w:rFonts w:ascii="仿宋" w:hAnsi="仿宋" w:cs="仿宋"/>
          <w:color w:val="auto"/>
        </w:rPr>
      </w:pPr>
      <w:bookmarkStart w:id="41" w:name="_Toc29517"/>
      <w:r>
        <w:rPr>
          <w:rFonts w:hint="eastAsia" w:ascii="仿宋" w:hAnsi="仿宋" w:cs="仿宋"/>
          <w:color w:val="auto"/>
        </w:rPr>
        <w:t>一、服务清单及要求</w:t>
      </w:r>
      <w:bookmarkEnd w:id="41"/>
    </w:p>
    <w:p>
      <w:pPr>
        <w:spacing w:line="360" w:lineRule="auto"/>
        <w:ind w:firstLine="480" w:firstLineChars="200"/>
        <w:rPr>
          <w:rFonts w:ascii="仿宋" w:hAnsi="仿宋" w:eastAsia="仿宋" w:cs="仿宋"/>
          <w:color w:val="auto"/>
          <w:sz w:val="24"/>
        </w:rPr>
      </w:pPr>
      <w:bookmarkStart w:id="42" w:name="_Toc29878"/>
      <w:r>
        <w:rPr>
          <w:rFonts w:hint="eastAsia" w:ascii="仿宋" w:hAnsi="仿宋" w:eastAsia="仿宋" w:cs="仿宋"/>
          <w:b/>
          <w:color w:val="auto"/>
          <w:sz w:val="24"/>
        </w:rPr>
        <w:t>（一）项目内容</w:t>
      </w:r>
    </w:p>
    <w:p>
      <w:pPr>
        <w:pStyle w:val="2"/>
        <w:ind w:firstLine="240"/>
        <w:rPr>
          <w:rFonts w:ascii="仿宋" w:hAnsi="仿宋" w:eastAsia="仿宋"/>
          <w:color w:val="auto"/>
          <w:sz w:val="24"/>
          <w:szCs w:val="24"/>
        </w:rPr>
      </w:pPr>
      <w:r>
        <w:rPr>
          <w:rFonts w:hint="eastAsia" w:ascii="仿宋" w:hAnsi="仿宋" w:eastAsia="仿宋"/>
          <w:color w:val="auto"/>
          <w:sz w:val="24"/>
          <w:szCs w:val="24"/>
        </w:rPr>
        <w:t>1、具体包括监控中心会议系统、监控中心大屏显示系统、监控中心视频级联平台、监控中心数据底座建设等，建设内容清单如下：</w:t>
      </w:r>
    </w:p>
    <w:tbl>
      <w:tblPr>
        <w:tblStyle w:val="26"/>
        <w:tblpPr w:leftFromText="180" w:rightFromText="180" w:vertAnchor="text" w:horzAnchor="page" w:tblpX="1580" w:tblpY="470"/>
        <w:tblOverlap w:val="never"/>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556"/>
        <w:gridCol w:w="396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88" w:type="dxa"/>
            <w:noWrap/>
            <w:vAlign w:val="center"/>
          </w:tcPr>
          <w:p>
            <w:pPr>
              <w:keepNext/>
              <w:jc w:val="center"/>
              <w:rPr>
                <w:rFonts w:ascii="仿宋" w:hAnsi="仿宋" w:eastAsia="仿宋" w:cs="宋体"/>
                <w:b/>
                <w:color w:val="auto"/>
                <w:sz w:val="24"/>
                <w:szCs w:val="24"/>
              </w:rPr>
            </w:pPr>
            <w:r>
              <w:rPr>
                <w:rFonts w:hint="eastAsia" w:ascii="仿宋" w:hAnsi="仿宋" w:eastAsia="仿宋" w:cs="宋体"/>
                <w:b/>
                <w:color w:val="auto"/>
                <w:sz w:val="24"/>
                <w:szCs w:val="24"/>
              </w:rPr>
              <w:t>序号</w:t>
            </w:r>
          </w:p>
        </w:tc>
        <w:tc>
          <w:tcPr>
            <w:tcW w:w="6520" w:type="dxa"/>
            <w:gridSpan w:val="2"/>
            <w:noWrap/>
            <w:vAlign w:val="center"/>
          </w:tcPr>
          <w:p>
            <w:pPr>
              <w:keepNext/>
              <w:jc w:val="center"/>
              <w:rPr>
                <w:rFonts w:ascii="仿宋" w:hAnsi="仿宋" w:eastAsia="仿宋" w:cs="宋体"/>
                <w:b/>
                <w:color w:val="auto"/>
                <w:sz w:val="24"/>
                <w:szCs w:val="24"/>
              </w:rPr>
            </w:pPr>
            <w:r>
              <w:rPr>
                <w:rFonts w:hint="eastAsia" w:ascii="仿宋" w:hAnsi="仿宋" w:eastAsia="仿宋" w:cs="宋体"/>
                <w:b/>
                <w:color w:val="auto"/>
                <w:sz w:val="24"/>
                <w:szCs w:val="24"/>
              </w:rPr>
              <w:t>内容</w:t>
            </w:r>
          </w:p>
        </w:tc>
        <w:tc>
          <w:tcPr>
            <w:tcW w:w="1276" w:type="dxa"/>
            <w:noWrap/>
            <w:vAlign w:val="center"/>
          </w:tcPr>
          <w:p>
            <w:pPr>
              <w:keepNext/>
              <w:jc w:val="center"/>
              <w:rPr>
                <w:rFonts w:ascii="仿宋" w:hAnsi="仿宋" w:eastAsia="仿宋" w:cs="宋体"/>
                <w:b/>
                <w:color w:val="auto"/>
                <w:sz w:val="24"/>
                <w:szCs w:val="24"/>
              </w:rPr>
            </w:pPr>
            <w:r>
              <w:rPr>
                <w:rFonts w:hint="eastAsia" w:ascii="仿宋" w:hAnsi="仿宋" w:eastAsia="仿宋" w:cs="宋体"/>
                <w:b/>
                <w:color w:val="auto"/>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88" w:type="dxa"/>
            <w:noWrap/>
            <w:vAlign w:val="center"/>
          </w:tcPr>
          <w:p>
            <w:pPr>
              <w:keepNext/>
              <w:jc w:val="center"/>
              <w:rPr>
                <w:rFonts w:ascii="仿宋" w:hAnsi="仿宋" w:eastAsia="仿宋" w:cs="宋体"/>
                <w:color w:val="auto"/>
                <w:sz w:val="24"/>
                <w:szCs w:val="24"/>
              </w:rPr>
            </w:pPr>
            <w:r>
              <w:rPr>
                <w:rFonts w:hint="eastAsia" w:ascii="仿宋" w:hAnsi="仿宋" w:eastAsia="仿宋" w:cs="宋体"/>
                <w:color w:val="auto"/>
                <w:sz w:val="24"/>
                <w:szCs w:val="24"/>
              </w:rPr>
              <w:t>1</w:t>
            </w:r>
          </w:p>
        </w:tc>
        <w:tc>
          <w:tcPr>
            <w:tcW w:w="2556" w:type="dxa"/>
            <w:vMerge w:val="restart"/>
            <w:noWrap/>
            <w:vAlign w:val="center"/>
          </w:tcPr>
          <w:p>
            <w:pPr>
              <w:keepNext/>
              <w:rPr>
                <w:rFonts w:ascii="仿宋" w:hAnsi="仿宋" w:eastAsia="仿宋" w:cs="宋体"/>
                <w:color w:val="auto"/>
                <w:sz w:val="24"/>
                <w:szCs w:val="24"/>
              </w:rPr>
            </w:pPr>
            <w:r>
              <w:rPr>
                <w:rFonts w:hint="eastAsia" w:ascii="仿宋" w:hAnsi="仿宋" w:eastAsia="仿宋" w:cs="宋体"/>
                <w:color w:val="auto"/>
                <w:sz w:val="24"/>
                <w:szCs w:val="24"/>
              </w:rPr>
              <w:t>监控中心会议系统</w:t>
            </w:r>
          </w:p>
        </w:tc>
        <w:tc>
          <w:tcPr>
            <w:tcW w:w="3964" w:type="dxa"/>
            <w:noWrap/>
            <w:vAlign w:val="center"/>
          </w:tcPr>
          <w:p>
            <w:pPr>
              <w:keepNext/>
              <w:rPr>
                <w:rFonts w:ascii="仿宋" w:hAnsi="仿宋" w:eastAsia="仿宋"/>
                <w:color w:val="auto"/>
                <w:sz w:val="24"/>
                <w:szCs w:val="24"/>
              </w:rPr>
            </w:pPr>
            <w:r>
              <w:rPr>
                <w:rFonts w:hint="eastAsia" w:ascii="仿宋" w:hAnsi="仿宋" w:eastAsia="仿宋" w:cs="宋体"/>
                <w:color w:val="auto"/>
                <w:sz w:val="24"/>
                <w:szCs w:val="24"/>
              </w:rPr>
              <w:t>监控大厅-扩声系统</w:t>
            </w:r>
          </w:p>
        </w:tc>
        <w:tc>
          <w:tcPr>
            <w:tcW w:w="1276" w:type="dxa"/>
            <w:noWrap/>
            <w:vAlign w:val="center"/>
          </w:tcPr>
          <w:p>
            <w:pPr>
              <w:keepNext/>
              <w:jc w:val="left"/>
              <w:rPr>
                <w:rFonts w:ascii="仿宋" w:hAnsi="仿宋" w:eastAsia="仿宋" w:cs="宋体"/>
                <w:color w:val="auto"/>
                <w:sz w:val="24"/>
                <w:szCs w:val="24"/>
              </w:rPr>
            </w:pPr>
            <w:r>
              <w:rPr>
                <w:rFonts w:hint="eastAsia" w:ascii="仿宋" w:hAnsi="仿宋" w:eastAsia="仿宋" w:cs="宋体"/>
                <w:color w:val="auto"/>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88" w:type="dxa"/>
            <w:noWrap/>
            <w:vAlign w:val="center"/>
          </w:tcPr>
          <w:p>
            <w:pPr>
              <w:keepNext/>
              <w:jc w:val="center"/>
              <w:rPr>
                <w:rFonts w:ascii="仿宋" w:hAnsi="仿宋" w:eastAsia="仿宋" w:cs="宋体"/>
                <w:color w:val="auto"/>
                <w:sz w:val="24"/>
                <w:szCs w:val="24"/>
              </w:rPr>
            </w:pPr>
            <w:r>
              <w:rPr>
                <w:rFonts w:hint="eastAsia" w:ascii="仿宋" w:hAnsi="仿宋" w:eastAsia="仿宋" w:cs="宋体"/>
                <w:color w:val="auto"/>
                <w:sz w:val="24"/>
                <w:szCs w:val="24"/>
              </w:rPr>
              <w:t>2</w:t>
            </w:r>
          </w:p>
        </w:tc>
        <w:tc>
          <w:tcPr>
            <w:tcW w:w="2556" w:type="dxa"/>
            <w:vMerge w:val="continue"/>
            <w:vAlign w:val="center"/>
          </w:tcPr>
          <w:p>
            <w:pPr>
              <w:keepNext/>
              <w:rPr>
                <w:rFonts w:ascii="仿宋" w:hAnsi="仿宋" w:eastAsia="仿宋" w:cs="宋体"/>
                <w:color w:val="auto"/>
                <w:sz w:val="24"/>
                <w:szCs w:val="24"/>
              </w:rPr>
            </w:pPr>
          </w:p>
        </w:tc>
        <w:tc>
          <w:tcPr>
            <w:tcW w:w="3964" w:type="dxa"/>
            <w:noWrap/>
            <w:vAlign w:val="center"/>
          </w:tcPr>
          <w:p>
            <w:pPr>
              <w:keepNext/>
              <w:rPr>
                <w:rFonts w:ascii="仿宋" w:hAnsi="仿宋" w:eastAsia="仿宋" w:cs="宋体"/>
                <w:color w:val="auto"/>
                <w:sz w:val="24"/>
                <w:szCs w:val="24"/>
              </w:rPr>
            </w:pPr>
            <w:r>
              <w:rPr>
                <w:rFonts w:hint="eastAsia" w:ascii="仿宋" w:hAnsi="仿宋" w:eastAsia="仿宋" w:cs="宋体"/>
                <w:color w:val="auto"/>
                <w:sz w:val="24"/>
                <w:szCs w:val="24"/>
              </w:rPr>
              <w:t>监控大厅-指挥终端</w:t>
            </w:r>
          </w:p>
        </w:tc>
        <w:tc>
          <w:tcPr>
            <w:tcW w:w="1276" w:type="dxa"/>
            <w:noWrap/>
            <w:vAlign w:val="center"/>
          </w:tcPr>
          <w:p>
            <w:pPr>
              <w:keepNext/>
              <w:jc w:val="left"/>
              <w:rPr>
                <w:rFonts w:ascii="仿宋" w:hAnsi="仿宋" w:eastAsia="仿宋" w:cs="宋体"/>
                <w:color w:val="auto"/>
                <w:sz w:val="24"/>
                <w:szCs w:val="24"/>
              </w:rPr>
            </w:pPr>
            <w:r>
              <w:rPr>
                <w:rFonts w:hint="eastAsia" w:ascii="仿宋" w:hAnsi="仿宋" w:eastAsia="仿宋" w:cs="宋体"/>
                <w:color w:val="auto"/>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988" w:type="dxa"/>
            <w:noWrap/>
            <w:vAlign w:val="center"/>
          </w:tcPr>
          <w:p>
            <w:pPr>
              <w:keepNext/>
              <w:jc w:val="center"/>
              <w:rPr>
                <w:rFonts w:ascii="仿宋" w:hAnsi="仿宋" w:eastAsia="仿宋" w:cs="宋体"/>
                <w:color w:val="auto"/>
                <w:sz w:val="24"/>
                <w:szCs w:val="24"/>
              </w:rPr>
            </w:pPr>
            <w:r>
              <w:rPr>
                <w:rFonts w:hint="eastAsia" w:ascii="仿宋" w:hAnsi="仿宋" w:eastAsia="仿宋" w:cs="宋体"/>
                <w:color w:val="auto"/>
                <w:sz w:val="24"/>
                <w:szCs w:val="24"/>
              </w:rPr>
              <w:t>3</w:t>
            </w:r>
          </w:p>
        </w:tc>
        <w:tc>
          <w:tcPr>
            <w:tcW w:w="2556" w:type="dxa"/>
            <w:vMerge w:val="continue"/>
            <w:vAlign w:val="center"/>
          </w:tcPr>
          <w:p>
            <w:pPr>
              <w:keepNext/>
              <w:rPr>
                <w:rFonts w:ascii="仿宋" w:hAnsi="仿宋" w:eastAsia="仿宋" w:cs="宋体"/>
                <w:color w:val="auto"/>
                <w:sz w:val="24"/>
                <w:szCs w:val="24"/>
              </w:rPr>
            </w:pPr>
          </w:p>
        </w:tc>
        <w:tc>
          <w:tcPr>
            <w:tcW w:w="3964" w:type="dxa"/>
            <w:noWrap/>
            <w:vAlign w:val="center"/>
          </w:tcPr>
          <w:p>
            <w:pPr>
              <w:keepNext/>
              <w:rPr>
                <w:rFonts w:ascii="仿宋" w:hAnsi="仿宋" w:eastAsia="仿宋" w:cs="宋体"/>
                <w:color w:val="auto"/>
                <w:sz w:val="24"/>
                <w:szCs w:val="24"/>
              </w:rPr>
            </w:pPr>
            <w:r>
              <w:rPr>
                <w:rFonts w:hint="eastAsia" w:ascii="仿宋" w:hAnsi="仿宋" w:eastAsia="仿宋" w:cs="宋体"/>
                <w:color w:val="auto"/>
                <w:sz w:val="24"/>
                <w:szCs w:val="24"/>
              </w:rPr>
              <w:t>监控大厅-操作台及桌椅</w:t>
            </w:r>
          </w:p>
        </w:tc>
        <w:tc>
          <w:tcPr>
            <w:tcW w:w="1276" w:type="dxa"/>
            <w:noWrap/>
            <w:vAlign w:val="center"/>
          </w:tcPr>
          <w:p>
            <w:pPr>
              <w:keepNext/>
              <w:jc w:val="left"/>
              <w:rPr>
                <w:rFonts w:ascii="仿宋" w:hAnsi="仿宋" w:eastAsia="仿宋" w:cs="宋体"/>
                <w:color w:val="auto"/>
                <w:sz w:val="24"/>
                <w:szCs w:val="24"/>
              </w:rPr>
            </w:pPr>
            <w:r>
              <w:rPr>
                <w:rFonts w:hint="eastAsia" w:ascii="仿宋" w:hAnsi="仿宋" w:eastAsia="仿宋" w:cs="宋体"/>
                <w:color w:val="auto"/>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88" w:type="dxa"/>
            <w:noWrap/>
            <w:vAlign w:val="center"/>
          </w:tcPr>
          <w:p>
            <w:pPr>
              <w:keepNext/>
              <w:jc w:val="center"/>
              <w:rPr>
                <w:rFonts w:ascii="仿宋" w:hAnsi="仿宋" w:eastAsia="仿宋" w:cs="宋体"/>
                <w:color w:val="auto"/>
                <w:sz w:val="24"/>
                <w:szCs w:val="24"/>
              </w:rPr>
            </w:pPr>
            <w:r>
              <w:rPr>
                <w:rFonts w:hint="eastAsia" w:ascii="仿宋" w:hAnsi="仿宋" w:eastAsia="仿宋" w:cs="宋体"/>
                <w:color w:val="auto"/>
                <w:sz w:val="24"/>
                <w:szCs w:val="24"/>
              </w:rPr>
              <w:t>4</w:t>
            </w:r>
          </w:p>
        </w:tc>
        <w:tc>
          <w:tcPr>
            <w:tcW w:w="2556" w:type="dxa"/>
            <w:vMerge w:val="continue"/>
            <w:vAlign w:val="center"/>
          </w:tcPr>
          <w:p>
            <w:pPr>
              <w:keepNext/>
              <w:rPr>
                <w:rFonts w:ascii="仿宋" w:hAnsi="仿宋" w:eastAsia="仿宋" w:cs="宋体"/>
                <w:color w:val="auto"/>
                <w:sz w:val="24"/>
                <w:szCs w:val="24"/>
              </w:rPr>
            </w:pPr>
          </w:p>
        </w:tc>
        <w:tc>
          <w:tcPr>
            <w:tcW w:w="3964" w:type="dxa"/>
            <w:noWrap/>
            <w:vAlign w:val="center"/>
          </w:tcPr>
          <w:p>
            <w:pPr>
              <w:keepNext/>
              <w:rPr>
                <w:rFonts w:ascii="仿宋" w:hAnsi="仿宋" w:eastAsia="仿宋" w:cs="宋体"/>
                <w:color w:val="auto"/>
                <w:sz w:val="24"/>
                <w:szCs w:val="24"/>
              </w:rPr>
            </w:pPr>
            <w:r>
              <w:rPr>
                <w:rFonts w:hint="eastAsia" w:ascii="仿宋" w:hAnsi="仿宋" w:eastAsia="仿宋" w:cs="宋体"/>
                <w:color w:val="auto"/>
                <w:sz w:val="24"/>
                <w:szCs w:val="24"/>
              </w:rPr>
              <w:t>会议室-扩声系统</w:t>
            </w:r>
          </w:p>
        </w:tc>
        <w:tc>
          <w:tcPr>
            <w:tcW w:w="1276" w:type="dxa"/>
            <w:noWrap/>
            <w:vAlign w:val="center"/>
          </w:tcPr>
          <w:p>
            <w:pPr>
              <w:keepNext/>
              <w:jc w:val="left"/>
              <w:rPr>
                <w:rFonts w:ascii="仿宋" w:hAnsi="仿宋" w:eastAsia="仿宋" w:cs="宋体"/>
                <w:color w:val="auto"/>
                <w:sz w:val="24"/>
                <w:szCs w:val="24"/>
              </w:rPr>
            </w:pPr>
            <w:r>
              <w:rPr>
                <w:rFonts w:hint="eastAsia" w:ascii="仿宋" w:hAnsi="仿宋" w:eastAsia="仿宋" w:cs="宋体"/>
                <w:color w:val="auto"/>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988" w:type="dxa"/>
            <w:noWrap/>
            <w:vAlign w:val="center"/>
          </w:tcPr>
          <w:p>
            <w:pPr>
              <w:keepNext/>
              <w:jc w:val="center"/>
              <w:rPr>
                <w:rFonts w:ascii="仿宋" w:hAnsi="仿宋" w:eastAsia="仿宋" w:cs="宋体"/>
                <w:color w:val="auto"/>
                <w:sz w:val="24"/>
                <w:szCs w:val="24"/>
              </w:rPr>
            </w:pPr>
            <w:r>
              <w:rPr>
                <w:rFonts w:hint="eastAsia" w:ascii="仿宋" w:hAnsi="仿宋" w:eastAsia="仿宋" w:cs="宋体"/>
                <w:color w:val="auto"/>
                <w:sz w:val="24"/>
                <w:szCs w:val="24"/>
              </w:rPr>
              <w:t>5</w:t>
            </w:r>
          </w:p>
        </w:tc>
        <w:tc>
          <w:tcPr>
            <w:tcW w:w="2556" w:type="dxa"/>
            <w:vMerge w:val="continue"/>
            <w:vAlign w:val="center"/>
          </w:tcPr>
          <w:p>
            <w:pPr>
              <w:keepNext/>
              <w:rPr>
                <w:rFonts w:ascii="仿宋" w:hAnsi="仿宋" w:eastAsia="仿宋" w:cs="宋体"/>
                <w:color w:val="auto"/>
                <w:sz w:val="24"/>
                <w:szCs w:val="24"/>
              </w:rPr>
            </w:pPr>
          </w:p>
        </w:tc>
        <w:tc>
          <w:tcPr>
            <w:tcW w:w="3964" w:type="dxa"/>
            <w:noWrap/>
            <w:vAlign w:val="center"/>
          </w:tcPr>
          <w:p>
            <w:pPr>
              <w:keepNext/>
              <w:rPr>
                <w:rFonts w:ascii="仿宋" w:hAnsi="仿宋" w:eastAsia="仿宋" w:cs="宋体"/>
                <w:color w:val="auto"/>
                <w:sz w:val="24"/>
                <w:szCs w:val="24"/>
              </w:rPr>
            </w:pPr>
            <w:r>
              <w:rPr>
                <w:rFonts w:hint="eastAsia" w:ascii="仿宋" w:hAnsi="仿宋" w:eastAsia="仿宋" w:cs="宋体"/>
                <w:color w:val="auto"/>
                <w:sz w:val="24"/>
                <w:szCs w:val="24"/>
              </w:rPr>
              <w:t>会议室-数字会议系统</w:t>
            </w:r>
          </w:p>
        </w:tc>
        <w:tc>
          <w:tcPr>
            <w:tcW w:w="1276" w:type="dxa"/>
            <w:noWrap/>
            <w:vAlign w:val="center"/>
          </w:tcPr>
          <w:p>
            <w:pPr>
              <w:keepNext/>
              <w:jc w:val="left"/>
              <w:rPr>
                <w:rFonts w:ascii="仿宋" w:hAnsi="仿宋" w:eastAsia="仿宋" w:cs="宋体"/>
                <w:color w:val="auto"/>
                <w:sz w:val="24"/>
                <w:szCs w:val="24"/>
              </w:rPr>
            </w:pPr>
            <w:r>
              <w:rPr>
                <w:rFonts w:hint="eastAsia" w:ascii="仿宋" w:hAnsi="仿宋" w:eastAsia="仿宋" w:cs="宋体"/>
                <w:color w:val="auto"/>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988" w:type="dxa"/>
            <w:noWrap/>
            <w:vAlign w:val="center"/>
          </w:tcPr>
          <w:p>
            <w:pPr>
              <w:keepNext/>
              <w:jc w:val="center"/>
              <w:rPr>
                <w:rFonts w:ascii="仿宋" w:hAnsi="仿宋" w:eastAsia="仿宋" w:cs="宋体"/>
                <w:color w:val="auto"/>
                <w:sz w:val="24"/>
                <w:szCs w:val="24"/>
              </w:rPr>
            </w:pPr>
            <w:r>
              <w:rPr>
                <w:rFonts w:hint="eastAsia" w:ascii="仿宋" w:hAnsi="仿宋" w:eastAsia="仿宋" w:cs="宋体"/>
                <w:color w:val="auto"/>
                <w:sz w:val="24"/>
                <w:szCs w:val="24"/>
              </w:rPr>
              <w:t>6</w:t>
            </w:r>
          </w:p>
        </w:tc>
        <w:tc>
          <w:tcPr>
            <w:tcW w:w="2556" w:type="dxa"/>
            <w:vMerge w:val="continue"/>
            <w:vAlign w:val="center"/>
          </w:tcPr>
          <w:p>
            <w:pPr>
              <w:keepNext/>
              <w:rPr>
                <w:rFonts w:ascii="仿宋" w:hAnsi="仿宋" w:eastAsia="仿宋" w:cs="宋体"/>
                <w:color w:val="auto"/>
                <w:sz w:val="24"/>
                <w:szCs w:val="24"/>
              </w:rPr>
            </w:pPr>
          </w:p>
        </w:tc>
        <w:tc>
          <w:tcPr>
            <w:tcW w:w="3964" w:type="dxa"/>
            <w:noWrap/>
            <w:vAlign w:val="center"/>
          </w:tcPr>
          <w:p>
            <w:pPr>
              <w:keepNext/>
              <w:rPr>
                <w:rFonts w:ascii="仿宋" w:hAnsi="仿宋" w:eastAsia="仿宋" w:cs="宋体"/>
                <w:color w:val="auto"/>
                <w:sz w:val="24"/>
                <w:szCs w:val="24"/>
              </w:rPr>
            </w:pPr>
            <w:r>
              <w:rPr>
                <w:rFonts w:hint="eastAsia" w:ascii="仿宋" w:hAnsi="仿宋" w:eastAsia="仿宋" w:cs="宋体"/>
                <w:color w:val="auto"/>
                <w:sz w:val="24"/>
                <w:szCs w:val="24"/>
              </w:rPr>
              <w:t>会议室-98寸电视机</w:t>
            </w:r>
          </w:p>
        </w:tc>
        <w:tc>
          <w:tcPr>
            <w:tcW w:w="1276" w:type="dxa"/>
            <w:noWrap/>
            <w:vAlign w:val="center"/>
          </w:tcPr>
          <w:p>
            <w:pPr>
              <w:keepNext/>
              <w:jc w:val="left"/>
              <w:rPr>
                <w:rFonts w:ascii="仿宋" w:hAnsi="仿宋" w:eastAsia="仿宋" w:cs="宋体"/>
                <w:color w:val="auto"/>
                <w:sz w:val="24"/>
                <w:szCs w:val="24"/>
              </w:rPr>
            </w:pPr>
            <w:r>
              <w:rPr>
                <w:rFonts w:hint="eastAsia" w:ascii="仿宋" w:hAnsi="仿宋" w:eastAsia="仿宋" w:cs="宋体"/>
                <w:color w:val="auto"/>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8" w:type="dxa"/>
            <w:noWrap/>
            <w:vAlign w:val="center"/>
          </w:tcPr>
          <w:p>
            <w:pPr>
              <w:keepNext/>
              <w:jc w:val="center"/>
              <w:rPr>
                <w:rFonts w:ascii="仿宋" w:hAnsi="仿宋" w:eastAsia="仿宋" w:cs="宋体"/>
                <w:color w:val="auto"/>
                <w:sz w:val="24"/>
                <w:szCs w:val="24"/>
              </w:rPr>
            </w:pPr>
            <w:r>
              <w:rPr>
                <w:rFonts w:hint="eastAsia" w:ascii="仿宋" w:hAnsi="仿宋" w:eastAsia="仿宋" w:cs="宋体"/>
                <w:color w:val="auto"/>
                <w:sz w:val="24"/>
                <w:szCs w:val="24"/>
              </w:rPr>
              <w:t>7</w:t>
            </w:r>
          </w:p>
        </w:tc>
        <w:tc>
          <w:tcPr>
            <w:tcW w:w="2556" w:type="dxa"/>
            <w:vMerge w:val="continue"/>
            <w:vAlign w:val="center"/>
          </w:tcPr>
          <w:p>
            <w:pPr>
              <w:keepNext/>
              <w:rPr>
                <w:rFonts w:ascii="仿宋" w:hAnsi="仿宋" w:eastAsia="仿宋" w:cs="宋体"/>
                <w:color w:val="auto"/>
                <w:sz w:val="24"/>
                <w:szCs w:val="24"/>
              </w:rPr>
            </w:pPr>
          </w:p>
        </w:tc>
        <w:tc>
          <w:tcPr>
            <w:tcW w:w="3964" w:type="dxa"/>
            <w:noWrap/>
          </w:tcPr>
          <w:p>
            <w:pPr>
              <w:keepNext/>
              <w:rPr>
                <w:rFonts w:ascii="仿宋" w:hAnsi="仿宋" w:eastAsia="仿宋" w:cs="宋体"/>
                <w:color w:val="auto"/>
                <w:sz w:val="24"/>
                <w:szCs w:val="24"/>
              </w:rPr>
            </w:pPr>
            <w:r>
              <w:rPr>
                <w:rFonts w:hint="eastAsia" w:ascii="仿宋" w:hAnsi="仿宋" w:eastAsia="仿宋"/>
                <w:color w:val="auto"/>
                <w:sz w:val="24"/>
                <w:szCs w:val="24"/>
              </w:rPr>
              <w:t>后台系统-多媒体管控系统</w:t>
            </w:r>
          </w:p>
        </w:tc>
        <w:tc>
          <w:tcPr>
            <w:tcW w:w="1276" w:type="dxa"/>
            <w:noWrap/>
            <w:vAlign w:val="center"/>
          </w:tcPr>
          <w:p>
            <w:pPr>
              <w:keepNext/>
              <w:jc w:val="left"/>
              <w:rPr>
                <w:rFonts w:ascii="仿宋" w:hAnsi="仿宋" w:eastAsia="仿宋" w:cs="宋体"/>
                <w:color w:val="auto"/>
                <w:sz w:val="24"/>
                <w:szCs w:val="24"/>
              </w:rPr>
            </w:pPr>
            <w:r>
              <w:rPr>
                <w:rFonts w:hint="eastAsia" w:ascii="仿宋" w:hAnsi="仿宋" w:eastAsia="仿宋" w:cs="宋体"/>
                <w:color w:val="auto"/>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88" w:type="dxa"/>
            <w:noWrap/>
            <w:vAlign w:val="center"/>
          </w:tcPr>
          <w:p>
            <w:pPr>
              <w:keepNext/>
              <w:jc w:val="center"/>
              <w:rPr>
                <w:rFonts w:ascii="仿宋" w:hAnsi="仿宋" w:eastAsia="仿宋" w:cs="宋体"/>
                <w:color w:val="auto"/>
                <w:sz w:val="24"/>
                <w:szCs w:val="24"/>
              </w:rPr>
            </w:pPr>
            <w:r>
              <w:rPr>
                <w:rFonts w:hint="eastAsia" w:ascii="仿宋" w:hAnsi="仿宋" w:eastAsia="仿宋" w:cs="宋体"/>
                <w:color w:val="auto"/>
                <w:sz w:val="24"/>
                <w:szCs w:val="24"/>
              </w:rPr>
              <w:t>1</w:t>
            </w:r>
          </w:p>
        </w:tc>
        <w:tc>
          <w:tcPr>
            <w:tcW w:w="2556" w:type="dxa"/>
            <w:vMerge w:val="restart"/>
            <w:vAlign w:val="center"/>
          </w:tcPr>
          <w:p>
            <w:pPr>
              <w:keepNext/>
              <w:rPr>
                <w:rFonts w:ascii="仿宋" w:hAnsi="仿宋" w:eastAsia="仿宋" w:cs="宋体"/>
                <w:color w:val="auto"/>
                <w:sz w:val="24"/>
                <w:szCs w:val="24"/>
              </w:rPr>
            </w:pPr>
            <w:r>
              <w:rPr>
                <w:rFonts w:hint="eastAsia" w:ascii="仿宋" w:hAnsi="仿宋" w:eastAsia="仿宋" w:cs="宋体"/>
                <w:color w:val="auto"/>
                <w:sz w:val="24"/>
                <w:szCs w:val="24"/>
              </w:rPr>
              <w:t>监控中心大屏显示系统</w:t>
            </w:r>
          </w:p>
        </w:tc>
        <w:tc>
          <w:tcPr>
            <w:tcW w:w="3964" w:type="dxa"/>
            <w:noWrap/>
            <w:vAlign w:val="center"/>
          </w:tcPr>
          <w:p>
            <w:pPr>
              <w:keepNext/>
              <w:widowControl/>
              <w:textAlignment w:val="center"/>
              <w:rPr>
                <w:rFonts w:ascii="仿宋" w:hAnsi="仿宋" w:eastAsia="仿宋" w:cs="宋体"/>
                <w:color w:val="auto"/>
                <w:sz w:val="24"/>
                <w:szCs w:val="24"/>
              </w:rPr>
            </w:pPr>
            <w:r>
              <w:rPr>
                <w:rFonts w:hint="eastAsia" w:ascii="仿宋" w:hAnsi="仿宋" w:eastAsia="仿宋" w:cs="宋体"/>
                <w:color w:val="auto"/>
                <w:kern w:val="0"/>
                <w:sz w:val="24"/>
                <w:szCs w:val="24"/>
                <w:lang w:bidi="ar"/>
              </w:rPr>
              <w:t>LED显示屏</w:t>
            </w:r>
          </w:p>
        </w:tc>
        <w:tc>
          <w:tcPr>
            <w:tcW w:w="1276" w:type="dxa"/>
            <w:noWrap/>
            <w:vAlign w:val="center"/>
          </w:tcPr>
          <w:p>
            <w:pPr>
              <w:keepNext/>
              <w:jc w:val="left"/>
              <w:rPr>
                <w:rFonts w:ascii="仿宋" w:hAnsi="仿宋" w:eastAsia="仿宋" w:cs="宋体"/>
                <w:color w:val="auto"/>
                <w:sz w:val="24"/>
                <w:szCs w:val="24"/>
              </w:rPr>
            </w:pPr>
            <w:r>
              <w:rPr>
                <w:rFonts w:hint="eastAsia" w:ascii="仿宋" w:hAnsi="仿宋" w:eastAsia="仿宋" w:cs="宋体"/>
                <w:color w:val="auto"/>
                <w:sz w:val="24"/>
                <w:szCs w:val="24"/>
              </w:rPr>
              <w:t>12.96㎡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8" w:type="dxa"/>
            <w:noWrap/>
            <w:vAlign w:val="center"/>
          </w:tcPr>
          <w:p>
            <w:pPr>
              <w:keepNext/>
              <w:jc w:val="center"/>
              <w:rPr>
                <w:rFonts w:ascii="仿宋" w:hAnsi="仿宋" w:eastAsia="仿宋" w:cs="宋体"/>
                <w:color w:val="auto"/>
                <w:sz w:val="24"/>
                <w:szCs w:val="24"/>
              </w:rPr>
            </w:pPr>
            <w:r>
              <w:rPr>
                <w:rFonts w:hint="eastAsia" w:ascii="仿宋" w:hAnsi="仿宋" w:eastAsia="仿宋" w:cs="宋体"/>
                <w:color w:val="auto"/>
                <w:sz w:val="24"/>
                <w:szCs w:val="24"/>
              </w:rPr>
              <w:t>2</w:t>
            </w:r>
          </w:p>
        </w:tc>
        <w:tc>
          <w:tcPr>
            <w:tcW w:w="2556" w:type="dxa"/>
            <w:vMerge w:val="continue"/>
            <w:vAlign w:val="center"/>
          </w:tcPr>
          <w:p>
            <w:pPr>
              <w:keepNext/>
              <w:rPr>
                <w:rFonts w:ascii="仿宋" w:hAnsi="仿宋" w:eastAsia="仿宋" w:cs="宋体"/>
                <w:color w:val="auto"/>
                <w:sz w:val="24"/>
                <w:szCs w:val="24"/>
              </w:rPr>
            </w:pPr>
          </w:p>
        </w:tc>
        <w:tc>
          <w:tcPr>
            <w:tcW w:w="3964" w:type="dxa"/>
            <w:noWrap/>
            <w:vAlign w:val="center"/>
          </w:tcPr>
          <w:p>
            <w:pPr>
              <w:keepNext/>
              <w:widowControl/>
              <w:textAlignment w:val="center"/>
              <w:rPr>
                <w:rFonts w:ascii="仿宋" w:hAnsi="仿宋" w:eastAsia="仿宋" w:cs="宋体"/>
                <w:color w:val="auto"/>
                <w:sz w:val="24"/>
                <w:szCs w:val="24"/>
              </w:rPr>
            </w:pPr>
            <w:r>
              <w:rPr>
                <w:rFonts w:hint="eastAsia" w:ascii="仿宋" w:hAnsi="仿宋" w:eastAsia="仿宋" w:cs="宋体"/>
                <w:color w:val="auto"/>
                <w:kern w:val="0"/>
                <w:sz w:val="24"/>
                <w:szCs w:val="24"/>
                <w:lang w:bidi="ar"/>
              </w:rPr>
              <w:t>LED发送卡</w:t>
            </w:r>
          </w:p>
        </w:tc>
        <w:tc>
          <w:tcPr>
            <w:tcW w:w="1276" w:type="dxa"/>
            <w:noWrap/>
            <w:vAlign w:val="center"/>
          </w:tcPr>
          <w:p>
            <w:pPr>
              <w:keepNext/>
              <w:jc w:val="left"/>
              <w:rPr>
                <w:rFonts w:ascii="仿宋" w:hAnsi="仿宋" w:eastAsia="仿宋" w:cs="宋体"/>
                <w:color w:val="auto"/>
                <w:sz w:val="24"/>
                <w:szCs w:val="24"/>
              </w:rPr>
            </w:pPr>
            <w:r>
              <w:rPr>
                <w:rFonts w:hint="eastAsia" w:ascii="仿宋" w:hAnsi="仿宋" w:eastAsia="仿宋" w:cs="宋体"/>
                <w:color w:val="auto"/>
                <w:sz w:val="24"/>
                <w:szCs w:val="24"/>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88" w:type="dxa"/>
            <w:noWrap/>
            <w:vAlign w:val="center"/>
          </w:tcPr>
          <w:p>
            <w:pPr>
              <w:keepNext/>
              <w:jc w:val="center"/>
              <w:rPr>
                <w:rFonts w:ascii="仿宋" w:hAnsi="仿宋" w:eastAsia="仿宋" w:cs="宋体"/>
                <w:color w:val="auto"/>
                <w:sz w:val="24"/>
                <w:szCs w:val="24"/>
              </w:rPr>
            </w:pPr>
            <w:r>
              <w:rPr>
                <w:rFonts w:hint="eastAsia" w:ascii="仿宋" w:hAnsi="仿宋" w:eastAsia="仿宋" w:cs="宋体"/>
                <w:color w:val="auto"/>
                <w:sz w:val="24"/>
                <w:szCs w:val="24"/>
              </w:rPr>
              <w:t>3</w:t>
            </w:r>
          </w:p>
        </w:tc>
        <w:tc>
          <w:tcPr>
            <w:tcW w:w="2556" w:type="dxa"/>
            <w:vMerge w:val="continue"/>
            <w:vAlign w:val="center"/>
          </w:tcPr>
          <w:p>
            <w:pPr>
              <w:keepNext/>
              <w:rPr>
                <w:rFonts w:ascii="仿宋" w:hAnsi="仿宋" w:eastAsia="仿宋" w:cs="宋体"/>
                <w:color w:val="auto"/>
                <w:sz w:val="24"/>
                <w:szCs w:val="24"/>
              </w:rPr>
            </w:pPr>
          </w:p>
        </w:tc>
        <w:tc>
          <w:tcPr>
            <w:tcW w:w="3964" w:type="dxa"/>
            <w:noWrap/>
            <w:vAlign w:val="center"/>
          </w:tcPr>
          <w:p>
            <w:pPr>
              <w:keepNext/>
              <w:widowControl/>
              <w:textAlignment w:val="center"/>
              <w:rPr>
                <w:rFonts w:ascii="仿宋" w:hAnsi="仿宋" w:eastAsia="仿宋" w:cs="宋体"/>
                <w:color w:val="auto"/>
                <w:sz w:val="24"/>
                <w:szCs w:val="24"/>
              </w:rPr>
            </w:pPr>
            <w:r>
              <w:rPr>
                <w:rFonts w:hint="eastAsia" w:ascii="仿宋" w:hAnsi="仿宋" w:eastAsia="仿宋" w:cs="宋体"/>
                <w:color w:val="auto"/>
                <w:kern w:val="0"/>
                <w:sz w:val="24"/>
                <w:szCs w:val="24"/>
                <w:lang w:bidi="ar"/>
              </w:rPr>
              <w:t>落地支架</w:t>
            </w:r>
          </w:p>
        </w:tc>
        <w:tc>
          <w:tcPr>
            <w:tcW w:w="1276" w:type="dxa"/>
            <w:noWrap/>
            <w:vAlign w:val="center"/>
          </w:tcPr>
          <w:p>
            <w:pPr>
              <w:keepNext/>
              <w:jc w:val="left"/>
              <w:rPr>
                <w:rFonts w:ascii="仿宋" w:hAnsi="仿宋" w:eastAsia="仿宋" w:cs="宋体"/>
                <w:color w:val="auto"/>
                <w:sz w:val="24"/>
                <w:szCs w:val="24"/>
              </w:rPr>
            </w:pPr>
            <w:r>
              <w:rPr>
                <w:rFonts w:hint="eastAsia" w:ascii="仿宋" w:hAnsi="仿宋" w:eastAsia="仿宋" w:cs="宋体"/>
                <w:color w:val="auto"/>
                <w:sz w:val="24"/>
                <w:szCs w:val="24"/>
              </w:rPr>
              <w:t>12.96㎡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8" w:type="dxa"/>
            <w:noWrap/>
            <w:vAlign w:val="center"/>
          </w:tcPr>
          <w:p>
            <w:pPr>
              <w:keepNext/>
              <w:jc w:val="center"/>
              <w:rPr>
                <w:rFonts w:ascii="仿宋" w:hAnsi="仿宋" w:eastAsia="仿宋" w:cs="宋体"/>
                <w:color w:val="auto"/>
                <w:sz w:val="24"/>
                <w:szCs w:val="24"/>
              </w:rPr>
            </w:pPr>
            <w:r>
              <w:rPr>
                <w:rFonts w:hint="eastAsia" w:ascii="仿宋" w:hAnsi="仿宋" w:eastAsia="仿宋" w:cs="宋体"/>
                <w:color w:val="auto"/>
                <w:sz w:val="24"/>
                <w:szCs w:val="24"/>
              </w:rPr>
              <w:t>4</w:t>
            </w:r>
          </w:p>
        </w:tc>
        <w:tc>
          <w:tcPr>
            <w:tcW w:w="2556" w:type="dxa"/>
            <w:vMerge w:val="continue"/>
            <w:vAlign w:val="center"/>
          </w:tcPr>
          <w:p>
            <w:pPr>
              <w:keepNext/>
              <w:rPr>
                <w:rFonts w:ascii="仿宋" w:hAnsi="仿宋" w:eastAsia="仿宋" w:cs="宋体"/>
                <w:color w:val="auto"/>
                <w:sz w:val="24"/>
                <w:szCs w:val="24"/>
              </w:rPr>
            </w:pPr>
          </w:p>
        </w:tc>
        <w:tc>
          <w:tcPr>
            <w:tcW w:w="3964" w:type="dxa"/>
            <w:noWrap/>
            <w:vAlign w:val="center"/>
          </w:tcPr>
          <w:p>
            <w:pPr>
              <w:keepNext/>
              <w:widowControl/>
              <w:textAlignment w:val="center"/>
              <w:rPr>
                <w:rFonts w:ascii="仿宋" w:hAnsi="仿宋" w:eastAsia="仿宋" w:cs="宋体"/>
                <w:color w:val="auto"/>
                <w:sz w:val="24"/>
                <w:szCs w:val="24"/>
              </w:rPr>
            </w:pPr>
            <w:r>
              <w:rPr>
                <w:rFonts w:hint="eastAsia" w:ascii="仿宋" w:hAnsi="仿宋" w:eastAsia="仿宋" w:cs="宋体"/>
                <w:color w:val="auto"/>
                <w:kern w:val="0"/>
                <w:sz w:val="24"/>
                <w:szCs w:val="24"/>
                <w:lang w:bidi="ar"/>
              </w:rPr>
              <w:t>视频综合平台</w:t>
            </w:r>
          </w:p>
        </w:tc>
        <w:tc>
          <w:tcPr>
            <w:tcW w:w="1276" w:type="dxa"/>
            <w:noWrap/>
            <w:vAlign w:val="center"/>
          </w:tcPr>
          <w:p>
            <w:pPr>
              <w:keepNext/>
              <w:jc w:val="left"/>
              <w:rPr>
                <w:rFonts w:ascii="仿宋" w:hAnsi="仿宋" w:eastAsia="仿宋" w:cs="宋体"/>
                <w:color w:val="auto"/>
                <w:sz w:val="24"/>
                <w:szCs w:val="24"/>
              </w:rPr>
            </w:pPr>
            <w:r>
              <w:rPr>
                <w:rFonts w:hint="eastAsia" w:ascii="仿宋" w:hAnsi="仿宋" w:eastAsia="仿宋" w:cs="宋体"/>
                <w:color w:val="auto"/>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88" w:type="dxa"/>
            <w:noWrap/>
            <w:vAlign w:val="center"/>
          </w:tcPr>
          <w:p>
            <w:pPr>
              <w:keepNext/>
              <w:jc w:val="center"/>
              <w:rPr>
                <w:rFonts w:ascii="仿宋" w:hAnsi="仿宋" w:eastAsia="仿宋" w:cs="宋体"/>
                <w:color w:val="auto"/>
                <w:sz w:val="24"/>
                <w:szCs w:val="24"/>
              </w:rPr>
            </w:pPr>
            <w:r>
              <w:rPr>
                <w:rFonts w:hint="eastAsia" w:ascii="仿宋" w:hAnsi="仿宋" w:eastAsia="仿宋" w:cs="宋体"/>
                <w:color w:val="auto"/>
                <w:sz w:val="24"/>
                <w:szCs w:val="24"/>
              </w:rPr>
              <w:t>5</w:t>
            </w:r>
          </w:p>
        </w:tc>
        <w:tc>
          <w:tcPr>
            <w:tcW w:w="2556" w:type="dxa"/>
            <w:vMerge w:val="continue"/>
            <w:vAlign w:val="center"/>
          </w:tcPr>
          <w:p>
            <w:pPr>
              <w:keepNext/>
              <w:rPr>
                <w:rFonts w:ascii="仿宋" w:hAnsi="仿宋" w:eastAsia="仿宋" w:cs="宋体"/>
                <w:color w:val="auto"/>
                <w:sz w:val="24"/>
                <w:szCs w:val="24"/>
              </w:rPr>
            </w:pPr>
          </w:p>
        </w:tc>
        <w:tc>
          <w:tcPr>
            <w:tcW w:w="3964" w:type="dxa"/>
            <w:noWrap/>
            <w:vAlign w:val="center"/>
          </w:tcPr>
          <w:p>
            <w:pPr>
              <w:keepNext/>
              <w:widowControl/>
              <w:textAlignment w:val="center"/>
              <w:rPr>
                <w:rFonts w:ascii="仿宋" w:hAnsi="仿宋" w:eastAsia="仿宋" w:cs="宋体"/>
                <w:color w:val="auto"/>
                <w:kern w:val="0"/>
                <w:sz w:val="24"/>
                <w:szCs w:val="24"/>
                <w:lang w:bidi="ar"/>
              </w:rPr>
            </w:pPr>
            <w:r>
              <w:rPr>
                <w:rFonts w:hint="eastAsia" w:ascii="仿宋" w:hAnsi="仿宋" w:eastAsia="仿宋" w:cs="宋体"/>
                <w:color w:val="auto"/>
                <w:kern w:val="0"/>
                <w:sz w:val="24"/>
                <w:szCs w:val="24"/>
                <w:lang w:bidi="ar"/>
              </w:rPr>
              <w:t>LED配电柜</w:t>
            </w:r>
          </w:p>
        </w:tc>
        <w:tc>
          <w:tcPr>
            <w:tcW w:w="1276" w:type="dxa"/>
            <w:noWrap/>
            <w:vAlign w:val="center"/>
          </w:tcPr>
          <w:p>
            <w:pPr>
              <w:keepNext/>
              <w:jc w:val="left"/>
              <w:rPr>
                <w:rFonts w:ascii="仿宋" w:hAnsi="仿宋" w:eastAsia="仿宋" w:cs="宋体"/>
                <w:color w:val="auto"/>
                <w:sz w:val="24"/>
                <w:szCs w:val="24"/>
              </w:rPr>
            </w:pPr>
            <w:r>
              <w:rPr>
                <w:rFonts w:hint="eastAsia" w:ascii="仿宋" w:hAnsi="仿宋" w:eastAsia="仿宋" w:cs="宋体"/>
                <w:color w:val="auto"/>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88" w:type="dxa"/>
            <w:noWrap/>
            <w:vAlign w:val="center"/>
          </w:tcPr>
          <w:p>
            <w:pPr>
              <w:keepNext/>
              <w:jc w:val="center"/>
              <w:rPr>
                <w:rFonts w:ascii="仿宋" w:hAnsi="仿宋" w:eastAsia="仿宋" w:cs="宋体"/>
                <w:color w:val="auto"/>
                <w:sz w:val="24"/>
                <w:szCs w:val="24"/>
              </w:rPr>
            </w:pPr>
            <w:r>
              <w:rPr>
                <w:rFonts w:hint="eastAsia" w:ascii="仿宋" w:hAnsi="仿宋" w:eastAsia="仿宋" w:cs="宋体"/>
                <w:color w:val="auto"/>
                <w:sz w:val="24"/>
                <w:szCs w:val="24"/>
              </w:rPr>
              <w:t>1</w:t>
            </w:r>
          </w:p>
        </w:tc>
        <w:tc>
          <w:tcPr>
            <w:tcW w:w="2556" w:type="dxa"/>
            <w:vMerge w:val="restart"/>
            <w:noWrap/>
            <w:vAlign w:val="center"/>
          </w:tcPr>
          <w:p>
            <w:pPr>
              <w:keepNext/>
              <w:rPr>
                <w:rFonts w:ascii="仿宋" w:hAnsi="仿宋" w:eastAsia="仿宋" w:cs="宋体"/>
                <w:color w:val="auto"/>
                <w:sz w:val="24"/>
                <w:szCs w:val="24"/>
              </w:rPr>
            </w:pPr>
            <w:r>
              <w:rPr>
                <w:rFonts w:hint="eastAsia" w:ascii="仿宋" w:hAnsi="仿宋" w:eastAsia="仿宋" w:cs="宋体"/>
                <w:color w:val="auto"/>
                <w:sz w:val="24"/>
                <w:szCs w:val="24"/>
              </w:rPr>
              <w:t>监控中心视频级联平台</w:t>
            </w:r>
          </w:p>
        </w:tc>
        <w:tc>
          <w:tcPr>
            <w:tcW w:w="3964" w:type="dxa"/>
            <w:noWrap/>
            <w:vAlign w:val="center"/>
          </w:tcPr>
          <w:p>
            <w:pPr>
              <w:keepNext/>
              <w:widowControl/>
              <w:textAlignment w:val="center"/>
              <w:rPr>
                <w:rFonts w:ascii="仿宋" w:hAnsi="仿宋" w:eastAsia="仿宋" w:cs="宋体"/>
                <w:color w:val="auto"/>
                <w:kern w:val="0"/>
                <w:sz w:val="24"/>
                <w:szCs w:val="24"/>
                <w:lang w:bidi="ar"/>
              </w:rPr>
            </w:pPr>
            <w:r>
              <w:rPr>
                <w:rFonts w:hint="eastAsia" w:ascii="仿宋" w:hAnsi="仿宋" w:eastAsia="仿宋" w:cs="宋体"/>
                <w:color w:val="auto"/>
                <w:kern w:val="0"/>
                <w:sz w:val="24"/>
                <w:szCs w:val="24"/>
                <w:lang w:bidi="ar"/>
              </w:rPr>
              <w:t>信创目录服务器</w:t>
            </w:r>
          </w:p>
        </w:tc>
        <w:tc>
          <w:tcPr>
            <w:tcW w:w="1276" w:type="dxa"/>
            <w:noWrap/>
            <w:vAlign w:val="center"/>
          </w:tcPr>
          <w:p>
            <w:pPr>
              <w:keepNext/>
              <w:jc w:val="left"/>
              <w:rPr>
                <w:rFonts w:ascii="仿宋" w:hAnsi="仿宋" w:eastAsia="仿宋" w:cs="宋体"/>
                <w:color w:val="auto"/>
                <w:sz w:val="24"/>
                <w:szCs w:val="24"/>
              </w:rPr>
            </w:pPr>
            <w:r>
              <w:rPr>
                <w:rFonts w:hint="eastAsia" w:ascii="仿宋" w:hAnsi="仿宋" w:eastAsia="仿宋" w:cs="宋体"/>
                <w:color w:val="auto"/>
                <w:sz w:val="24"/>
                <w:szCs w:val="24"/>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88" w:type="dxa"/>
            <w:noWrap/>
            <w:vAlign w:val="center"/>
          </w:tcPr>
          <w:p>
            <w:pPr>
              <w:keepNext/>
              <w:jc w:val="center"/>
              <w:rPr>
                <w:rFonts w:ascii="仿宋" w:hAnsi="仿宋" w:eastAsia="仿宋" w:cs="宋体"/>
                <w:color w:val="auto"/>
                <w:sz w:val="24"/>
                <w:szCs w:val="24"/>
              </w:rPr>
            </w:pPr>
            <w:r>
              <w:rPr>
                <w:rFonts w:hint="eastAsia" w:ascii="仿宋" w:hAnsi="仿宋" w:eastAsia="仿宋" w:cs="宋体"/>
                <w:color w:val="auto"/>
                <w:sz w:val="24"/>
                <w:szCs w:val="24"/>
              </w:rPr>
              <w:t>2</w:t>
            </w:r>
          </w:p>
        </w:tc>
        <w:tc>
          <w:tcPr>
            <w:tcW w:w="2556" w:type="dxa"/>
            <w:vMerge w:val="continue"/>
            <w:noWrap/>
            <w:vAlign w:val="center"/>
          </w:tcPr>
          <w:p>
            <w:pPr>
              <w:keepNext/>
              <w:rPr>
                <w:rFonts w:ascii="仿宋" w:hAnsi="仿宋" w:eastAsia="仿宋" w:cs="宋体"/>
                <w:color w:val="auto"/>
                <w:sz w:val="24"/>
                <w:szCs w:val="24"/>
              </w:rPr>
            </w:pPr>
          </w:p>
        </w:tc>
        <w:tc>
          <w:tcPr>
            <w:tcW w:w="3964" w:type="dxa"/>
            <w:noWrap/>
            <w:vAlign w:val="center"/>
          </w:tcPr>
          <w:p>
            <w:pPr>
              <w:keepNext/>
              <w:widowControl/>
              <w:textAlignment w:val="center"/>
              <w:rPr>
                <w:rFonts w:ascii="仿宋" w:hAnsi="仿宋" w:eastAsia="仿宋" w:cs="宋体"/>
                <w:color w:val="auto"/>
                <w:kern w:val="0"/>
                <w:sz w:val="24"/>
                <w:szCs w:val="24"/>
                <w:lang w:bidi="ar"/>
              </w:rPr>
            </w:pPr>
            <w:r>
              <w:rPr>
                <w:rFonts w:hint="eastAsia" w:ascii="仿宋" w:hAnsi="仿宋" w:eastAsia="仿宋" w:cs="宋体"/>
                <w:color w:val="auto"/>
                <w:kern w:val="0"/>
                <w:sz w:val="24"/>
                <w:szCs w:val="24"/>
                <w:lang w:bidi="ar"/>
              </w:rPr>
              <w:t>内存条</w:t>
            </w:r>
          </w:p>
        </w:tc>
        <w:tc>
          <w:tcPr>
            <w:tcW w:w="1276" w:type="dxa"/>
            <w:noWrap/>
            <w:vAlign w:val="center"/>
          </w:tcPr>
          <w:p>
            <w:pPr>
              <w:keepNext/>
              <w:jc w:val="left"/>
              <w:rPr>
                <w:rFonts w:ascii="仿宋" w:hAnsi="仿宋" w:eastAsia="仿宋" w:cs="宋体"/>
                <w:color w:val="auto"/>
                <w:sz w:val="24"/>
                <w:szCs w:val="24"/>
              </w:rPr>
            </w:pPr>
            <w:r>
              <w:rPr>
                <w:rFonts w:hint="eastAsia" w:ascii="仿宋" w:hAnsi="仿宋" w:eastAsia="仿宋" w:cs="宋体"/>
                <w:color w:val="auto"/>
                <w:sz w:val="24"/>
                <w:szCs w:val="24"/>
              </w:rPr>
              <w:t>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988" w:type="dxa"/>
            <w:noWrap/>
            <w:vAlign w:val="center"/>
          </w:tcPr>
          <w:p>
            <w:pPr>
              <w:keepNext/>
              <w:jc w:val="center"/>
              <w:rPr>
                <w:rFonts w:ascii="仿宋" w:hAnsi="仿宋" w:eastAsia="仿宋" w:cs="宋体"/>
                <w:color w:val="auto"/>
                <w:sz w:val="24"/>
                <w:szCs w:val="24"/>
              </w:rPr>
            </w:pPr>
            <w:r>
              <w:rPr>
                <w:rFonts w:hint="eastAsia" w:ascii="仿宋" w:hAnsi="仿宋" w:eastAsia="仿宋" w:cs="宋体"/>
                <w:color w:val="auto"/>
                <w:sz w:val="24"/>
                <w:szCs w:val="24"/>
              </w:rPr>
              <w:t>3</w:t>
            </w:r>
          </w:p>
        </w:tc>
        <w:tc>
          <w:tcPr>
            <w:tcW w:w="2556" w:type="dxa"/>
            <w:vMerge w:val="continue"/>
            <w:vAlign w:val="center"/>
          </w:tcPr>
          <w:p>
            <w:pPr>
              <w:keepNext/>
              <w:rPr>
                <w:rFonts w:ascii="仿宋" w:hAnsi="仿宋" w:eastAsia="仿宋" w:cs="宋体"/>
                <w:color w:val="auto"/>
                <w:sz w:val="24"/>
                <w:szCs w:val="24"/>
              </w:rPr>
            </w:pPr>
          </w:p>
        </w:tc>
        <w:tc>
          <w:tcPr>
            <w:tcW w:w="3964" w:type="dxa"/>
            <w:noWrap/>
            <w:vAlign w:val="center"/>
          </w:tcPr>
          <w:p>
            <w:pPr>
              <w:keepNext/>
              <w:widowControl/>
              <w:textAlignment w:val="center"/>
              <w:rPr>
                <w:rFonts w:ascii="仿宋" w:hAnsi="仿宋" w:eastAsia="仿宋" w:cs="宋体"/>
                <w:color w:val="auto"/>
                <w:kern w:val="0"/>
                <w:sz w:val="24"/>
                <w:szCs w:val="24"/>
                <w:lang w:bidi="ar"/>
              </w:rPr>
            </w:pPr>
            <w:r>
              <w:rPr>
                <w:rFonts w:hint="eastAsia" w:ascii="仿宋" w:hAnsi="仿宋" w:eastAsia="仿宋" w:cs="宋体"/>
                <w:color w:val="auto"/>
                <w:kern w:val="0"/>
                <w:sz w:val="24"/>
                <w:szCs w:val="24"/>
                <w:lang w:bidi="ar"/>
              </w:rPr>
              <w:t>硬盘</w:t>
            </w:r>
          </w:p>
        </w:tc>
        <w:tc>
          <w:tcPr>
            <w:tcW w:w="1276" w:type="dxa"/>
            <w:noWrap/>
            <w:vAlign w:val="center"/>
          </w:tcPr>
          <w:p>
            <w:pPr>
              <w:keepNext/>
              <w:jc w:val="left"/>
              <w:rPr>
                <w:rFonts w:ascii="仿宋" w:hAnsi="仿宋" w:eastAsia="仿宋" w:cs="宋体"/>
                <w:color w:val="auto"/>
                <w:sz w:val="24"/>
                <w:szCs w:val="24"/>
              </w:rPr>
            </w:pPr>
            <w:r>
              <w:rPr>
                <w:rFonts w:hint="eastAsia" w:ascii="仿宋" w:hAnsi="仿宋" w:eastAsia="仿宋" w:cs="宋体"/>
                <w:color w:val="auto"/>
                <w:sz w:val="24"/>
                <w:szCs w:val="24"/>
              </w:rPr>
              <w:t>6块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88" w:type="dxa"/>
            <w:noWrap/>
            <w:vAlign w:val="center"/>
          </w:tcPr>
          <w:p>
            <w:pPr>
              <w:keepNext/>
              <w:jc w:val="center"/>
              <w:rPr>
                <w:rFonts w:ascii="仿宋" w:hAnsi="仿宋" w:eastAsia="仿宋" w:cs="宋体"/>
                <w:color w:val="auto"/>
                <w:sz w:val="24"/>
                <w:szCs w:val="24"/>
              </w:rPr>
            </w:pPr>
            <w:r>
              <w:rPr>
                <w:rFonts w:hint="eastAsia" w:ascii="仿宋" w:hAnsi="仿宋" w:eastAsia="仿宋" w:cs="宋体"/>
                <w:color w:val="auto"/>
                <w:sz w:val="24"/>
                <w:szCs w:val="24"/>
              </w:rPr>
              <w:t>4</w:t>
            </w:r>
          </w:p>
        </w:tc>
        <w:tc>
          <w:tcPr>
            <w:tcW w:w="2556" w:type="dxa"/>
            <w:vMerge w:val="continue"/>
            <w:vAlign w:val="center"/>
          </w:tcPr>
          <w:p>
            <w:pPr>
              <w:keepNext/>
              <w:rPr>
                <w:rFonts w:ascii="仿宋" w:hAnsi="仿宋" w:eastAsia="仿宋" w:cs="宋体"/>
                <w:color w:val="auto"/>
                <w:sz w:val="24"/>
                <w:szCs w:val="24"/>
              </w:rPr>
            </w:pPr>
          </w:p>
        </w:tc>
        <w:tc>
          <w:tcPr>
            <w:tcW w:w="3964" w:type="dxa"/>
            <w:noWrap/>
            <w:vAlign w:val="center"/>
          </w:tcPr>
          <w:p>
            <w:pPr>
              <w:keepNext/>
              <w:widowControl/>
              <w:textAlignment w:val="center"/>
              <w:rPr>
                <w:rFonts w:ascii="仿宋" w:hAnsi="仿宋" w:eastAsia="仿宋" w:cs="宋体"/>
                <w:color w:val="auto"/>
                <w:kern w:val="0"/>
                <w:sz w:val="24"/>
                <w:szCs w:val="24"/>
                <w:lang w:bidi="ar"/>
              </w:rPr>
            </w:pPr>
            <w:r>
              <w:rPr>
                <w:rFonts w:hint="eastAsia" w:ascii="仿宋" w:hAnsi="仿宋" w:eastAsia="仿宋" w:cs="宋体"/>
                <w:color w:val="auto"/>
                <w:kern w:val="0"/>
                <w:sz w:val="24"/>
                <w:szCs w:val="24"/>
                <w:lang w:bidi="ar"/>
              </w:rPr>
              <w:t>操作系统</w:t>
            </w:r>
          </w:p>
        </w:tc>
        <w:tc>
          <w:tcPr>
            <w:tcW w:w="1276" w:type="dxa"/>
            <w:noWrap/>
            <w:vAlign w:val="center"/>
          </w:tcPr>
          <w:p>
            <w:pPr>
              <w:keepNext/>
              <w:jc w:val="left"/>
              <w:rPr>
                <w:rFonts w:ascii="仿宋" w:hAnsi="仿宋" w:eastAsia="仿宋" w:cs="宋体"/>
                <w:color w:val="auto"/>
                <w:sz w:val="24"/>
                <w:szCs w:val="24"/>
              </w:rPr>
            </w:pPr>
            <w:r>
              <w:rPr>
                <w:rFonts w:hint="eastAsia" w:ascii="仿宋" w:hAnsi="仿宋" w:eastAsia="仿宋" w:cs="宋体"/>
                <w:color w:val="auto"/>
                <w:sz w:val="24"/>
                <w:szCs w:val="24"/>
              </w:rPr>
              <w:t>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88" w:type="dxa"/>
            <w:noWrap/>
            <w:vAlign w:val="center"/>
          </w:tcPr>
          <w:p>
            <w:pPr>
              <w:keepNext/>
              <w:jc w:val="center"/>
              <w:rPr>
                <w:rFonts w:ascii="仿宋" w:hAnsi="仿宋" w:eastAsia="仿宋" w:cs="宋体"/>
                <w:color w:val="auto"/>
                <w:sz w:val="24"/>
                <w:szCs w:val="24"/>
              </w:rPr>
            </w:pPr>
            <w:r>
              <w:rPr>
                <w:rFonts w:hint="eastAsia" w:ascii="仿宋" w:hAnsi="仿宋" w:eastAsia="仿宋" w:cs="宋体"/>
                <w:color w:val="auto"/>
                <w:sz w:val="24"/>
                <w:szCs w:val="24"/>
              </w:rPr>
              <w:t>5</w:t>
            </w:r>
          </w:p>
        </w:tc>
        <w:tc>
          <w:tcPr>
            <w:tcW w:w="2556" w:type="dxa"/>
            <w:vMerge w:val="continue"/>
            <w:vAlign w:val="center"/>
          </w:tcPr>
          <w:p>
            <w:pPr>
              <w:keepNext/>
              <w:rPr>
                <w:rFonts w:ascii="仿宋" w:hAnsi="仿宋" w:eastAsia="仿宋" w:cs="宋体"/>
                <w:color w:val="auto"/>
                <w:sz w:val="24"/>
                <w:szCs w:val="24"/>
              </w:rPr>
            </w:pPr>
          </w:p>
        </w:tc>
        <w:tc>
          <w:tcPr>
            <w:tcW w:w="3964" w:type="dxa"/>
            <w:noWrap/>
            <w:vAlign w:val="center"/>
          </w:tcPr>
          <w:p>
            <w:pPr>
              <w:keepNext/>
              <w:widowControl/>
              <w:textAlignment w:val="center"/>
              <w:rPr>
                <w:rFonts w:ascii="仿宋" w:hAnsi="仿宋" w:eastAsia="仿宋" w:cs="宋体"/>
                <w:color w:val="auto"/>
                <w:kern w:val="0"/>
                <w:sz w:val="24"/>
                <w:szCs w:val="24"/>
                <w:lang w:bidi="ar"/>
              </w:rPr>
            </w:pPr>
            <w:r>
              <w:rPr>
                <w:rFonts w:hint="eastAsia" w:ascii="仿宋" w:hAnsi="仿宋" w:eastAsia="仿宋" w:cs="宋体"/>
                <w:color w:val="auto"/>
                <w:kern w:val="0"/>
                <w:sz w:val="24"/>
                <w:szCs w:val="24"/>
                <w:lang w:bidi="ar"/>
              </w:rPr>
              <w:t>交通行政综合执法平台基础视频应用</w:t>
            </w:r>
          </w:p>
        </w:tc>
        <w:tc>
          <w:tcPr>
            <w:tcW w:w="1276" w:type="dxa"/>
            <w:noWrap/>
            <w:vAlign w:val="center"/>
          </w:tcPr>
          <w:p>
            <w:pPr>
              <w:keepNext/>
              <w:jc w:val="left"/>
              <w:rPr>
                <w:rFonts w:ascii="仿宋" w:hAnsi="仿宋" w:eastAsia="仿宋" w:cs="宋体"/>
                <w:color w:val="auto"/>
                <w:sz w:val="24"/>
                <w:szCs w:val="24"/>
              </w:rPr>
            </w:pPr>
            <w:r>
              <w:rPr>
                <w:rFonts w:hint="eastAsia" w:ascii="仿宋" w:hAnsi="仿宋" w:eastAsia="仿宋" w:cs="宋体"/>
                <w:color w:val="auto"/>
                <w:sz w:val="24"/>
                <w:szCs w:val="24"/>
              </w:rPr>
              <w:t>1000路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88" w:type="dxa"/>
            <w:noWrap/>
            <w:vAlign w:val="center"/>
          </w:tcPr>
          <w:p>
            <w:pPr>
              <w:keepNext/>
              <w:jc w:val="center"/>
              <w:rPr>
                <w:rFonts w:ascii="仿宋" w:hAnsi="仿宋" w:eastAsia="仿宋" w:cs="宋体"/>
                <w:color w:val="auto"/>
                <w:sz w:val="24"/>
                <w:szCs w:val="24"/>
              </w:rPr>
            </w:pPr>
            <w:r>
              <w:rPr>
                <w:rFonts w:hint="eastAsia" w:ascii="仿宋" w:hAnsi="仿宋" w:eastAsia="仿宋" w:cs="宋体"/>
                <w:color w:val="auto"/>
                <w:sz w:val="24"/>
                <w:szCs w:val="24"/>
              </w:rPr>
              <w:t>6</w:t>
            </w:r>
          </w:p>
        </w:tc>
        <w:tc>
          <w:tcPr>
            <w:tcW w:w="2556" w:type="dxa"/>
            <w:vMerge w:val="continue"/>
            <w:noWrap/>
            <w:vAlign w:val="center"/>
          </w:tcPr>
          <w:p>
            <w:pPr>
              <w:keepNext/>
              <w:rPr>
                <w:rFonts w:ascii="仿宋" w:hAnsi="仿宋" w:eastAsia="仿宋" w:cs="宋体"/>
                <w:color w:val="auto"/>
                <w:sz w:val="24"/>
                <w:szCs w:val="24"/>
              </w:rPr>
            </w:pPr>
          </w:p>
        </w:tc>
        <w:tc>
          <w:tcPr>
            <w:tcW w:w="3964" w:type="dxa"/>
            <w:noWrap/>
            <w:vAlign w:val="center"/>
          </w:tcPr>
          <w:p>
            <w:pPr>
              <w:keepNext/>
              <w:widowControl/>
              <w:textAlignment w:val="center"/>
              <w:rPr>
                <w:rFonts w:ascii="仿宋" w:hAnsi="仿宋" w:eastAsia="仿宋" w:cs="宋体"/>
                <w:color w:val="auto"/>
                <w:kern w:val="0"/>
                <w:sz w:val="24"/>
                <w:szCs w:val="24"/>
                <w:lang w:bidi="ar"/>
              </w:rPr>
            </w:pPr>
            <w:r>
              <w:rPr>
                <w:rFonts w:hint="eastAsia" w:ascii="仿宋" w:hAnsi="仿宋" w:eastAsia="仿宋" w:cs="宋体"/>
                <w:color w:val="auto"/>
                <w:kern w:val="0"/>
                <w:sz w:val="24"/>
                <w:szCs w:val="24"/>
                <w:lang w:bidi="ar"/>
              </w:rPr>
              <w:t>交通行政综合执法平台本级视频通道数</w:t>
            </w:r>
          </w:p>
        </w:tc>
        <w:tc>
          <w:tcPr>
            <w:tcW w:w="1276" w:type="dxa"/>
            <w:noWrap/>
            <w:vAlign w:val="center"/>
          </w:tcPr>
          <w:p>
            <w:pPr>
              <w:keepNext/>
              <w:jc w:val="left"/>
              <w:rPr>
                <w:rFonts w:ascii="仿宋" w:hAnsi="仿宋" w:eastAsia="仿宋" w:cs="宋体"/>
                <w:color w:val="auto"/>
                <w:sz w:val="24"/>
                <w:szCs w:val="24"/>
              </w:rPr>
            </w:pPr>
            <w:r>
              <w:rPr>
                <w:rFonts w:hint="eastAsia" w:ascii="仿宋" w:hAnsi="仿宋" w:eastAsia="仿宋" w:cs="宋体"/>
                <w:color w:val="auto"/>
                <w:sz w:val="24"/>
                <w:szCs w:val="24"/>
              </w:rPr>
              <w:t>1000台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988" w:type="dxa"/>
            <w:noWrap/>
            <w:vAlign w:val="center"/>
          </w:tcPr>
          <w:p>
            <w:pPr>
              <w:keepNext/>
              <w:jc w:val="center"/>
              <w:rPr>
                <w:rFonts w:ascii="仿宋" w:hAnsi="仿宋" w:eastAsia="仿宋" w:cs="宋体"/>
                <w:color w:val="auto"/>
                <w:sz w:val="24"/>
                <w:szCs w:val="24"/>
              </w:rPr>
            </w:pPr>
            <w:r>
              <w:rPr>
                <w:rFonts w:hint="eastAsia" w:ascii="仿宋" w:hAnsi="仿宋" w:eastAsia="仿宋" w:cs="宋体"/>
                <w:color w:val="auto"/>
                <w:sz w:val="24"/>
                <w:szCs w:val="24"/>
              </w:rPr>
              <w:t>7</w:t>
            </w:r>
          </w:p>
        </w:tc>
        <w:tc>
          <w:tcPr>
            <w:tcW w:w="2556" w:type="dxa"/>
            <w:vMerge w:val="continue"/>
            <w:vAlign w:val="center"/>
          </w:tcPr>
          <w:p>
            <w:pPr>
              <w:keepNext/>
              <w:rPr>
                <w:rFonts w:ascii="仿宋" w:hAnsi="仿宋" w:eastAsia="仿宋" w:cs="宋体"/>
                <w:color w:val="auto"/>
                <w:sz w:val="24"/>
                <w:szCs w:val="24"/>
              </w:rPr>
            </w:pPr>
          </w:p>
        </w:tc>
        <w:tc>
          <w:tcPr>
            <w:tcW w:w="3964" w:type="dxa"/>
            <w:noWrap/>
            <w:vAlign w:val="center"/>
          </w:tcPr>
          <w:p>
            <w:pPr>
              <w:keepNext/>
              <w:widowControl/>
              <w:textAlignment w:val="center"/>
              <w:rPr>
                <w:rFonts w:ascii="仿宋" w:hAnsi="仿宋" w:eastAsia="仿宋" w:cs="宋体"/>
                <w:color w:val="auto"/>
                <w:kern w:val="0"/>
                <w:sz w:val="24"/>
                <w:szCs w:val="24"/>
                <w:lang w:bidi="ar"/>
              </w:rPr>
            </w:pPr>
            <w:r>
              <w:rPr>
                <w:rFonts w:hint="eastAsia" w:ascii="仿宋" w:hAnsi="仿宋" w:eastAsia="仿宋" w:cs="宋体"/>
                <w:color w:val="auto"/>
                <w:kern w:val="0"/>
                <w:sz w:val="24"/>
                <w:szCs w:val="24"/>
                <w:lang w:bidi="ar"/>
              </w:rPr>
              <w:t>交通行政综合执法平台级联视频通道数</w:t>
            </w:r>
          </w:p>
        </w:tc>
        <w:tc>
          <w:tcPr>
            <w:tcW w:w="1276" w:type="dxa"/>
            <w:noWrap/>
            <w:vAlign w:val="center"/>
          </w:tcPr>
          <w:p>
            <w:pPr>
              <w:keepNext/>
              <w:jc w:val="left"/>
              <w:rPr>
                <w:rFonts w:ascii="仿宋" w:hAnsi="仿宋" w:eastAsia="仿宋" w:cs="宋体"/>
                <w:color w:val="auto"/>
                <w:sz w:val="24"/>
                <w:szCs w:val="24"/>
              </w:rPr>
            </w:pPr>
            <w:r>
              <w:rPr>
                <w:rFonts w:hint="eastAsia" w:ascii="仿宋" w:hAnsi="仿宋" w:eastAsia="仿宋" w:cs="宋体"/>
                <w:color w:val="auto"/>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988" w:type="dxa"/>
            <w:noWrap/>
            <w:vAlign w:val="center"/>
          </w:tcPr>
          <w:p>
            <w:pPr>
              <w:keepNext/>
              <w:jc w:val="center"/>
              <w:rPr>
                <w:rFonts w:ascii="仿宋" w:hAnsi="仿宋" w:eastAsia="仿宋" w:cs="宋体"/>
                <w:color w:val="auto"/>
                <w:sz w:val="24"/>
                <w:szCs w:val="24"/>
              </w:rPr>
            </w:pPr>
            <w:r>
              <w:rPr>
                <w:rFonts w:hint="eastAsia" w:ascii="仿宋" w:hAnsi="仿宋" w:eastAsia="仿宋" w:cs="宋体"/>
                <w:color w:val="auto"/>
                <w:sz w:val="24"/>
                <w:szCs w:val="24"/>
              </w:rPr>
              <w:t>8</w:t>
            </w:r>
          </w:p>
        </w:tc>
        <w:tc>
          <w:tcPr>
            <w:tcW w:w="2556" w:type="dxa"/>
            <w:vMerge w:val="continue"/>
            <w:vAlign w:val="center"/>
          </w:tcPr>
          <w:p>
            <w:pPr>
              <w:keepNext/>
              <w:rPr>
                <w:rFonts w:ascii="仿宋" w:hAnsi="仿宋" w:eastAsia="仿宋" w:cs="宋体"/>
                <w:color w:val="auto"/>
                <w:sz w:val="24"/>
                <w:szCs w:val="24"/>
              </w:rPr>
            </w:pPr>
          </w:p>
        </w:tc>
        <w:tc>
          <w:tcPr>
            <w:tcW w:w="3964" w:type="dxa"/>
            <w:noWrap/>
            <w:vAlign w:val="center"/>
          </w:tcPr>
          <w:p>
            <w:pPr>
              <w:keepNext/>
              <w:widowControl/>
              <w:textAlignment w:val="center"/>
              <w:rPr>
                <w:rFonts w:ascii="仿宋" w:hAnsi="仿宋" w:eastAsia="仿宋" w:cs="宋体"/>
                <w:color w:val="auto"/>
                <w:kern w:val="0"/>
                <w:sz w:val="24"/>
                <w:szCs w:val="24"/>
                <w:lang w:bidi="ar"/>
              </w:rPr>
            </w:pPr>
            <w:r>
              <w:rPr>
                <w:rFonts w:hint="eastAsia" w:ascii="仿宋" w:hAnsi="仿宋" w:eastAsia="仿宋" w:cs="宋体"/>
                <w:color w:val="auto"/>
                <w:kern w:val="0"/>
                <w:sz w:val="24"/>
                <w:szCs w:val="24"/>
                <w:lang w:bidi="ar"/>
              </w:rPr>
              <w:t>交通行政综合执法平台移动端视频应用</w:t>
            </w:r>
          </w:p>
        </w:tc>
        <w:tc>
          <w:tcPr>
            <w:tcW w:w="1276" w:type="dxa"/>
            <w:noWrap/>
            <w:vAlign w:val="center"/>
          </w:tcPr>
          <w:p>
            <w:pPr>
              <w:keepNext/>
              <w:jc w:val="left"/>
              <w:rPr>
                <w:rFonts w:ascii="仿宋" w:hAnsi="仿宋" w:eastAsia="仿宋" w:cs="宋体"/>
                <w:color w:val="auto"/>
                <w:sz w:val="24"/>
                <w:szCs w:val="24"/>
              </w:rPr>
            </w:pPr>
            <w:r>
              <w:rPr>
                <w:rFonts w:hint="eastAsia" w:ascii="仿宋" w:hAnsi="仿宋" w:eastAsia="仿宋" w:cs="宋体"/>
                <w:color w:val="auto"/>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88" w:type="dxa"/>
            <w:noWrap/>
            <w:vAlign w:val="center"/>
          </w:tcPr>
          <w:p>
            <w:pPr>
              <w:keepNext/>
              <w:jc w:val="center"/>
              <w:rPr>
                <w:rFonts w:ascii="仿宋" w:hAnsi="仿宋" w:eastAsia="仿宋" w:cs="宋体"/>
                <w:color w:val="auto"/>
                <w:sz w:val="24"/>
                <w:szCs w:val="24"/>
              </w:rPr>
            </w:pPr>
            <w:r>
              <w:rPr>
                <w:rFonts w:hint="eastAsia" w:ascii="仿宋" w:hAnsi="仿宋" w:eastAsia="仿宋" w:cs="宋体"/>
                <w:color w:val="auto"/>
                <w:sz w:val="24"/>
                <w:szCs w:val="24"/>
              </w:rPr>
              <w:t>9</w:t>
            </w:r>
          </w:p>
        </w:tc>
        <w:tc>
          <w:tcPr>
            <w:tcW w:w="2556" w:type="dxa"/>
            <w:vMerge w:val="continue"/>
            <w:vAlign w:val="center"/>
          </w:tcPr>
          <w:p>
            <w:pPr>
              <w:keepNext/>
              <w:rPr>
                <w:rFonts w:ascii="仿宋" w:hAnsi="仿宋" w:eastAsia="仿宋" w:cs="宋体"/>
                <w:color w:val="auto"/>
                <w:sz w:val="24"/>
                <w:szCs w:val="24"/>
              </w:rPr>
            </w:pPr>
          </w:p>
        </w:tc>
        <w:tc>
          <w:tcPr>
            <w:tcW w:w="3964" w:type="dxa"/>
            <w:noWrap/>
          </w:tcPr>
          <w:p>
            <w:pPr>
              <w:keepNext/>
              <w:rPr>
                <w:rFonts w:ascii="仿宋" w:hAnsi="仿宋" w:eastAsia="仿宋"/>
                <w:color w:val="auto"/>
                <w:sz w:val="24"/>
                <w:szCs w:val="24"/>
              </w:rPr>
            </w:pPr>
            <w:r>
              <w:rPr>
                <w:rFonts w:hint="eastAsia" w:ascii="仿宋" w:hAnsi="仿宋" w:eastAsia="仿宋"/>
                <w:color w:val="auto"/>
                <w:sz w:val="24"/>
                <w:szCs w:val="24"/>
              </w:rPr>
              <w:t>视频接入交换机</w:t>
            </w:r>
          </w:p>
        </w:tc>
        <w:tc>
          <w:tcPr>
            <w:tcW w:w="1276" w:type="dxa"/>
            <w:noWrap/>
            <w:vAlign w:val="center"/>
          </w:tcPr>
          <w:p>
            <w:pPr>
              <w:keepNext/>
              <w:jc w:val="left"/>
              <w:rPr>
                <w:rFonts w:ascii="仿宋" w:hAnsi="仿宋" w:eastAsia="仿宋" w:cs="宋体"/>
                <w:color w:val="auto"/>
                <w:sz w:val="24"/>
                <w:szCs w:val="24"/>
              </w:rPr>
            </w:pPr>
            <w:r>
              <w:rPr>
                <w:rFonts w:hint="eastAsia" w:ascii="仿宋" w:hAnsi="仿宋" w:eastAsia="仿宋" w:cs="宋体"/>
                <w:color w:val="auto"/>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88" w:type="dxa"/>
            <w:noWrap/>
            <w:vAlign w:val="center"/>
          </w:tcPr>
          <w:p>
            <w:pPr>
              <w:keepNext/>
              <w:jc w:val="center"/>
              <w:rPr>
                <w:rFonts w:ascii="仿宋" w:hAnsi="仿宋" w:eastAsia="仿宋" w:cs="宋体"/>
                <w:color w:val="auto"/>
                <w:sz w:val="24"/>
                <w:szCs w:val="24"/>
              </w:rPr>
            </w:pPr>
            <w:r>
              <w:rPr>
                <w:rFonts w:hint="eastAsia" w:ascii="仿宋" w:hAnsi="仿宋" w:eastAsia="仿宋" w:cs="宋体"/>
                <w:color w:val="auto"/>
                <w:sz w:val="24"/>
                <w:szCs w:val="24"/>
              </w:rPr>
              <w:t>1</w:t>
            </w:r>
          </w:p>
        </w:tc>
        <w:tc>
          <w:tcPr>
            <w:tcW w:w="2556" w:type="dxa"/>
            <w:vMerge w:val="restart"/>
            <w:noWrap/>
            <w:vAlign w:val="center"/>
          </w:tcPr>
          <w:p>
            <w:pPr>
              <w:keepNext/>
              <w:rPr>
                <w:rFonts w:ascii="仿宋" w:hAnsi="仿宋" w:eastAsia="仿宋" w:cs="宋体"/>
                <w:color w:val="auto"/>
                <w:sz w:val="24"/>
                <w:szCs w:val="24"/>
              </w:rPr>
            </w:pPr>
            <w:r>
              <w:rPr>
                <w:rFonts w:hint="eastAsia" w:ascii="仿宋" w:hAnsi="仿宋" w:eastAsia="仿宋" w:cs="宋体"/>
                <w:color w:val="auto"/>
                <w:sz w:val="24"/>
                <w:szCs w:val="24"/>
              </w:rPr>
              <w:t>监控中心数据底座</w:t>
            </w:r>
          </w:p>
        </w:tc>
        <w:tc>
          <w:tcPr>
            <w:tcW w:w="3964" w:type="dxa"/>
            <w:noWrap/>
          </w:tcPr>
          <w:p>
            <w:pPr>
              <w:keepNext/>
              <w:rPr>
                <w:rFonts w:ascii="仿宋" w:hAnsi="仿宋" w:eastAsia="仿宋"/>
                <w:color w:val="auto"/>
                <w:sz w:val="24"/>
                <w:szCs w:val="24"/>
              </w:rPr>
            </w:pPr>
            <w:r>
              <w:rPr>
                <w:rFonts w:hint="eastAsia" w:ascii="仿宋" w:hAnsi="仿宋" w:eastAsia="仿宋" w:cs="宋体"/>
                <w:color w:val="auto"/>
                <w:sz w:val="24"/>
                <w:szCs w:val="24"/>
              </w:rPr>
              <w:t>数据底座实施</w:t>
            </w:r>
          </w:p>
        </w:tc>
        <w:tc>
          <w:tcPr>
            <w:tcW w:w="1276" w:type="dxa"/>
            <w:noWrap/>
            <w:vAlign w:val="center"/>
          </w:tcPr>
          <w:p>
            <w:pPr>
              <w:keepNext/>
              <w:jc w:val="left"/>
              <w:rPr>
                <w:rFonts w:ascii="仿宋" w:hAnsi="仿宋" w:eastAsia="仿宋" w:cs="宋体"/>
                <w:color w:val="auto"/>
                <w:sz w:val="24"/>
                <w:szCs w:val="24"/>
              </w:rPr>
            </w:pPr>
            <w:r>
              <w:rPr>
                <w:rFonts w:hint="eastAsia" w:ascii="仿宋" w:hAnsi="仿宋" w:eastAsia="仿宋" w:cs="宋体"/>
                <w:color w:val="auto"/>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988" w:type="dxa"/>
            <w:noWrap/>
            <w:vAlign w:val="center"/>
          </w:tcPr>
          <w:p>
            <w:pPr>
              <w:keepNext/>
              <w:jc w:val="center"/>
              <w:rPr>
                <w:rFonts w:ascii="仿宋" w:hAnsi="仿宋" w:eastAsia="仿宋" w:cs="宋体"/>
                <w:color w:val="auto"/>
                <w:sz w:val="24"/>
                <w:szCs w:val="24"/>
              </w:rPr>
            </w:pPr>
            <w:r>
              <w:rPr>
                <w:rFonts w:hint="eastAsia" w:ascii="仿宋" w:hAnsi="仿宋" w:eastAsia="仿宋" w:cs="宋体"/>
                <w:color w:val="auto"/>
                <w:sz w:val="24"/>
                <w:szCs w:val="24"/>
              </w:rPr>
              <w:t>2</w:t>
            </w:r>
          </w:p>
        </w:tc>
        <w:tc>
          <w:tcPr>
            <w:tcW w:w="2556" w:type="dxa"/>
            <w:vMerge w:val="continue"/>
            <w:vAlign w:val="center"/>
          </w:tcPr>
          <w:p>
            <w:pPr>
              <w:keepNext/>
              <w:jc w:val="left"/>
              <w:rPr>
                <w:rFonts w:ascii="仿宋" w:hAnsi="仿宋" w:eastAsia="仿宋" w:cs="宋体"/>
                <w:color w:val="auto"/>
                <w:sz w:val="24"/>
                <w:szCs w:val="24"/>
              </w:rPr>
            </w:pPr>
          </w:p>
        </w:tc>
        <w:tc>
          <w:tcPr>
            <w:tcW w:w="3964" w:type="dxa"/>
            <w:noWrap/>
          </w:tcPr>
          <w:p>
            <w:pPr>
              <w:keepNext/>
              <w:rPr>
                <w:rFonts w:ascii="仿宋" w:hAnsi="仿宋" w:eastAsia="仿宋"/>
                <w:color w:val="auto"/>
                <w:sz w:val="24"/>
                <w:szCs w:val="24"/>
              </w:rPr>
            </w:pPr>
            <w:r>
              <w:rPr>
                <w:rFonts w:hint="eastAsia" w:ascii="仿宋" w:hAnsi="仿宋" w:eastAsia="仿宋"/>
                <w:color w:val="auto"/>
                <w:sz w:val="24"/>
                <w:szCs w:val="24"/>
              </w:rPr>
              <w:t>数据治理工具软件</w:t>
            </w:r>
          </w:p>
        </w:tc>
        <w:tc>
          <w:tcPr>
            <w:tcW w:w="1276" w:type="dxa"/>
            <w:noWrap/>
            <w:vAlign w:val="center"/>
          </w:tcPr>
          <w:p>
            <w:pPr>
              <w:keepNext/>
              <w:jc w:val="left"/>
              <w:rPr>
                <w:rFonts w:ascii="仿宋" w:hAnsi="仿宋" w:eastAsia="仿宋" w:cs="宋体"/>
                <w:color w:val="auto"/>
                <w:sz w:val="24"/>
                <w:szCs w:val="24"/>
              </w:rPr>
            </w:pPr>
            <w:r>
              <w:rPr>
                <w:rFonts w:hint="eastAsia" w:ascii="仿宋" w:hAnsi="仿宋" w:eastAsia="仿宋" w:cs="宋体"/>
                <w:color w:val="auto"/>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8" w:type="dxa"/>
            <w:noWrap/>
            <w:vAlign w:val="center"/>
          </w:tcPr>
          <w:p>
            <w:pPr>
              <w:keepNext/>
              <w:jc w:val="center"/>
              <w:rPr>
                <w:rFonts w:ascii="仿宋" w:hAnsi="仿宋" w:eastAsia="仿宋" w:cs="宋体"/>
                <w:color w:val="auto"/>
                <w:sz w:val="24"/>
                <w:szCs w:val="24"/>
              </w:rPr>
            </w:pPr>
            <w:r>
              <w:rPr>
                <w:rFonts w:hint="eastAsia" w:ascii="仿宋" w:hAnsi="仿宋" w:eastAsia="仿宋" w:cs="宋体"/>
                <w:color w:val="auto"/>
                <w:sz w:val="24"/>
                <w:szCs w:val="24"/>
              </w:rPr>
              <w:t>3</w:t>
            </w:r>
          </w:p>
        </w:tc>
        <w:tc>
          <w:tcPr>
            <w:tcW w:w="2556" w:type="dxa"/>
            <w:vMerge w:val="continue"/>
            <w:vAlign w:val="center"/>
          </w:tcPr>
          <w:p>
            <w:pPr>
              <w:keepNext/>
              <w:jc w:val="left"/>
              <w:rPr>
                <w:rFonts w:ascii="仿宋" w:hAnsi="仿宋" w:eastAsia="仿宋" w:cs="宋体"/>
                <w:color w:val="auto"/>
                <w:sz w:val="24"/>
                <w:szCs w:val="24"/>
              </w:rPr>
            </w:pPr>
          </w:p>
        </w:tc>
        <w:tc>
          <w:tcPr>
            <w:tcW w:w="3964" w:type="dxa"/>
            <w:noWrap/>
          </w:tcPr>
          <w:p>
            <w:pPr>
              <w:keepNext/>
              <w:rPr>
                <w:rFonts w:ascii="仿宋" w:hAnsi="仿宋" w:eastAsia="仿宋"/>
                <w:color w:val="auto"/>
                <w:sz w:val="24"/>
                <w:szCs w:val="24"/>
              </w:rPr>
            </w:pPr>
            <w:r>
              <w:rPr>
                <w:rFonts w:hint="eastAsia" w:ascii="仿宋" w:hAnsi="仿宋" w:eastAsia="仿宋"/>
                <w:color w:val="auto"/>
                <w:sz w:val="24"/>
                <w:szCs w:val="24"/>
              </w:rPr>
              <w:t>数据开放平台软件</w:t>
            </w:r>
          </w:p>
        </w:tc>
        <w:tc>
          <w:tcPr>
            <w:tcW w:w="1276" w:type="dxa"/>
            <w:noWrap/>
            <w:vAlign w:val="center"/>
          </w:tcPr>
          <w:p>
            <w:pPr>
              <w:keepNext/>
              <w:jc w:val="left"/>
              <w:rPr>
                <w:rFonts w:ascii="仿宋" w:hAnsi="仿宋" w:eastAsia="仿宋" w:cs="宋体"/>
                <w:color w:val="auto"/>
                <w:sz w:val="24"/>
                <w:szCs w:val="24"/>
              </w:rPr>
            </w:pPr>
            <w:r>
              <w:rPr>
                <w:rFonts w:hint="eastAsia" w:ascii="仿宋" w:hAnsi="仿宋" w:eastAsia="仿宋" w:cs="宋体"/>
                <w:color w:val="auto"/>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88" w:type="dxa"/>
            <w:noWrap/>
            <w:vAlign w:val="center"/>
          </w:tcPr>
          <w:p>
            <w:pPr>
              <w:keepNext/>
              <w:jc w:val="center"/>
              <w:rPr>
                <w:rFonts w:ascii="仿宋" w:hAnsi="仿宋" w:eastAsia="仿宋" w:cs="宋体"/>
                <w:color w:val="auto"/>
                <w:sz w:val="24"/>
                <w:szCs w:val="24"/>
              </w:rPr>
            </w:pPr>
            <w:r>
              <w:rPr>
                <w:rFonts w:hint="eastAsia" w:ascii="仿宋" w:hAnsi="仿宋" w:eastAsia="仿宋" w:cs="宋体"/>
                <w:color w:val="auto"/>
                <w:sz w:val="24"/>
                <w:szCs w:val="24"/>
              </w:rPr>
              <w:t>4</w:t>
            </w:r>
          </w:p>
        </w:tc>
        <w:tc>
          <w:tcPr>
            <w:tcW w:w="2556" w:type="dxa"/>
            <w:vMerge w:val="continue"/>
            <w:vAlign w:val="center"/>
          </w:tcPr>
          <w:p>
            <w:pPr>
              <w:keepNext/>
              <w:jc w:val="left"/>
              <w:rPr>
                <w:rFonts w:ascii="仿宋" w:hAnsi="仿宋" w:eastAsia="仿宋" w:cs="宋体"/>
                <w:color w:val="auto"/>
                <w:sz w:val="24"/>
                <w:szCs w:val="24"/>
              </w:rPr>
            </w:pPr>
          </w:p>
        </w:tc>
        <w:tc>
          <w:tcPr>
            <w:tcW w:w="3964" w:type="dxa"/>
            <w:noWrap/>
          </w:tcPr>
          <w:p>
            <w:pPr>
              <w:keepNext/>
              <w:rPr>
                <w:rFonts w:ascii="仿宋" w:hAnsi="仿宋" w:eastAsia="仿宋"/>
                <w:color w:val="auto"/>
                <w:sz w:val="24"/>
                <w:szCs w:val="24"/>
              </w:rPr>
            </w:pPr>
            <w:r>
              <w:rPr>
                <w:rFonts w:hint="eastAsia" w:ascii="仿宋" w:hAnsi="仿宋" w:eastAsia="仿宋"/>
                <w:color w:val="auto"/>
                <w:sz w:val="24"/>
                <w:szCs w:val="24"/>
              </w:rPr>
              <w:t>统一门户及数字驾驶舱</w:t>
            </w:r>
          </w:p>
        </w:tc>
        <w:tc>
          <w:tcPr>
            <w:tcW w:w="1276" w:type="dxa"/>
            <w:noWrap/>
            <w:vAlign w:val="center"/>
          </w:tcPr>
          <w:p>
            <w:pPr>
              <w:keepNext/>
              <w:jc w:val="left"/>
              <w:rPr>
                <w:rFonts w:ascii="仿宋" w:hAnsi="仿宋" w:eastAsia="仿宋" w:cs="宋体"/>
                <w:color w:val="auto"/>
                <w:sz w:val="24"/>
                <w:szCs w:val="24"/>
              </w:rPr>
            </w:pPr>
            <w:r>
              <w:rPr>
                <w:rFonts w:hint="eastAsia" w:ascii="仿宋" w:hAnsi="仿宋" w:eastAsia="仿宋" w:cs="宋体"/>
                <w:color w:val="auto"/>
                <w:sz w:val="24"/>
                <w:szCs w:val="24"/>
              </w:rPr>
              <w:t>1套</w:t>
            </w:r>
          </w:p>
        </w:tc>
      </w:tr>
    </w:tbl>
    <w:p>
      <w:pPr>
        <w:pStyle w:val="17"/>
        <w:rPr>
          <w:rFonts w:ascii="仿宋" w:hAnsi="仿宋" w:eastAsia="仿宋"/>
          <w:color w:val="auto"/>
          <w:sz w:val="24"/>
          <w:szCs w:val="24"/>
        </w:rPr>
      </w:pPr>
      <w:r>
        <w:rPr>
          <w:rFonts w:hint="eastAsia" w:ascii="仿宋" w:hAnsi="仿宋" w:eastAsia="仿宋"/>
          <w:color w:val="auto"/>
          <w:sz w:val="24"/>
          <w:szCs w:val="24"/>
        </w:rPr>
        <w:t>2、监控中心会议系统建设要求</w:t>
      </w:r>
    </w:p>
    <w:p>
      <w:pPr>
        <w:pStyle w:val="17"/>
        <w:rPr>
          <w:rFonts w:ascii="仿宋" w:hAnsi="仿宋" w:eastAsia="仿宋"/>
          <w:color w:val="auto"/>
          <w:sz w:val="24"/>
          <w:szCs w:val="24"/>
        </w:rPr>
      </w:pPr>
      <w:bookmarkStart w:id="43" w:name="_Toc418541522"/>
      <w:bookmarkStart w:id="44" w:name="_Toc6095"/>
      <w:bookmarkStart w:id="45" w:name="_Toc6233"/>
      <w:r>
        <w:rPr>
          <w:rFonts w:hint="eastAsia" w:ascii="仿宋" w:hAnsi="仿宋" w:eastAsia="仿宋"/>
          <w:color w:val="auto"/>
          <w:sz w:val="24"/>
          <w:szCs w:val="24"/>
        </w:rPr>
        <w:t>2.</w:t>
      </w:r>
      <w:r>
        <w:rPr>
          <w:rFonts w:ascii="仿宋" w:hAnsi="仿宋" w:eastAsia="仿宋"/>
          <w:color w:val="auto"/>
          <w:sz w:val="24"/>
          <w:szCs w:val="24"/>
        </w:rPr>
        <w:t>1</w:t>
      </w:r>
      <w:r>
        <w:rPr>
          <w:rFonts w:hint="eastAsia" w:ascii="仿宋" w:hAnsi="仿宋" w:eastAsia="仿宋"/>
          <w:color w:val="auto"/>
          <w:sz w:val="24"/>
          <w:szCs w:val="24"/>
        </w:rPr>
        <w:t>监控中心音视频系统</w:t>
      </w:r>
    </w:p>
    <w:p>
      <w:pPr>
        <w:spacing w:line="360" w:lineRule="auto"/>
        <w:ind w:firstLine="480" w:firstLineChars="200"/>
        <w:rPr>
          <w:rFonts w:ascii="仿宋" w:hAnsi="仿宋" w:eastAsia="仿宋"/>
          <w:color w:val="auto"/>
          <w:sz w:val="24"/>
          <w:szCs w:val="24"/>
        </w:rPr>
      </w:pPr>
      <w:bookmarkStart w:id="46" w:name="_Toc392601947"/>
      <w:r>
        <w:rPr>
          <w:rFonts w:hint="eastAsia" w:ascii="仿宋" w:hAnsi="仿宋" w:eastAsia="仿宋"/>
          <w:color w:val="auto"/>
          <w:sz w:val="24"/>
          <w:szCs w:val="24"/>
        </w:rPr>
        <w:t>监控中心音视频系统建设主要包括扩声系统、指挥终端、操作台及桌椅。</w:t>
      </w:r>
    </w:p>
    <w:p>
      <w:pPr>
        <w:spacing w:line="360" w:lineRule="auto"/>
        <w:rPr>
          <w:rFonts w:hint="eastAsia" w:ascii="仿宋" w:hAnsi="仿宋" w:eastAsia="仿宋" w:cs="仿宋"/>
          <w:color w:val="auto"/>
          <w:sz w:val="24"/>
          <w:szCs w:val="24"/>
        </w:rPr>
      </w:pPr>
      <w:r>
        <w:rPr>
          <w:rFonts w:hint="eastAsia" w:ascii="仿宋" w:hAnsi="仿宋" w:eastAsia="仿宋"/>
          <w:color w:val="auto"/>
          <w:sz w:val="24"/>
          <w:szCs w:val="24"/>
        </w:rPr>
        <w:t>其中扩声系统是整个监控（指挥）中心开展会议活动的主要播放系统。要求选用先进设备对各种音源进行编组立体声处理，完成对所有音频信息进行调整扩音、途择、切换、播放，另对重要会议可录音保存，随时为各类会议、培训、演练、演示提供播、扩音服务；指挥终端包括监控中心终端工作站和终端办公设备，终端工作站</w:t>
      </w:r>
      <w:r>
        <w:rPr>
          <w:rFonts w:hint="eastAsia" w:ascii="仿宋" w:hAnsi="仿宋" w:eastAsia="仿宋"/>
          <w:color w:val="auto"/>
          <w:sz w:val="24"/>
          <w:szCs w:val="24"/>
          <w:lang w:val="zh-CN"/>
        </w:rPr>
        <w:t>负责对公路、</w:t>
      </w:r>
      <w:r>
        <w:rPr>
          <w:rFonts w:hint="eastAsia" w:ascii="仿宋" w:hAnsi="仿宋" w:eastAsia="仿宋"/>
          <w:color w:val="auto"/>
          <w:sz w:val="24"/>
          <w:szCs w:val="24"/>
        </w:rPr>
        <w:t>港航</w:t>
      </w:r>
      <w:r>
        <w:rPr>
          <w:rFonts w:hint="eastAsia" w:ascii="仿宋" w:hAnsi="仿宋" w:eastAsia="仿宋"/>
          <w:color w:val="auto"/>
          <w:sz w:val="24"/>
          <w:szCs w:val="24"/>
          <w:lang w:val="zh-CN"/>
        </w:rPr>
        <w:t>、</w:t>
      </w:r>
      <w:r>
        <w:rPr>
          <w:rFonts w:hint="eastAsia" w:ascii="仿宋" w:hAnsi="仿宋" w:eastAsia="仿宋"/>
          <w:color w:val="auto"/>
          <w:sz w:val="24"/>
          <w:szCs w:val="24"/>
        </w:rPr>
        <w:t>道路运输</w:t>
      </w:r>
      <w:r>
        <w:rPr>
          <w:rFonts w:hint="eastAsia" w:ascii="仿宋" w:hAnsi="仿宋" w:eastAsia="仿宋"/>
          <w:color w:val="auto"/>
          <w:sz w:val="24"/>
          <w:szCs w:val="24"/>
          <w:lang w:val="zh-CN"/>
        </w:rPr>
        <w:t>等相关信息进行日常运行查看，并在大屏幕上实时显示，终端办公设备旨在处理日常普通</w:t>
      </w:r>
      <w:r>
        <w:rPr>
          <w:rFonts w:hint="eastAsia" w:ascii="仿宋" w:hAnsi="仿宋" w:eastAsia="仿宋" w:cs="仿宋"/>
          <w:color w:val="auto"/>
          <w:sz w:val="24"/>
          <w:szCs w:val="24"/>
          <w:lang w:val="zh-CN"/>
        </w:rPr>
        <w:t>工作；</w:t>
      </w:r>
      <w:r>
        <w:rPr>
          <w:rFonts w:hint="eastAsia" w:ascii="仿宋" w:hAnsi="仿宋" w:eastAsia="仿宋" w:cs="仿宋"/>
          <w:color w:val="auto"/>
          <w:sz w:val="24"/>
          <w:szCs w:val="24"/>
        </w:rPr>
        <w:t>操作台及桌椅包括指挥大厅操作台、指挥大厅桌椅以及会议室桌。</w:t>
      </w:r>
    </w:p>
    <w:p>
      <w:pPr>
        <w:pStyle w:val="17"/>
        <w:rPr>
          <w:rFonts w:hint="eastAsia" w:ascii="仿宋" w:hAnsi="仿宋" w:eastAsia="仿宋" w:cs="仿宋"/>
          <w:color w:val="auto"/>
          <w:sz w:val="24"/>
          <w:szCs w:val="24"/>
        </w:rPr>
      </w:pPr>
      <w:r>
        <w:rPr>
          <w:rFonts w:hint="eastAsia" w:ascii="仿宋" w:hAnsi="仿宋" w:eastAsia="仿宋" w:cs="仿宋"/>
          <w:color w:val="auto"/>
          <w:sz w:val="24"/>
          <w:szCs w:val="24"/>
        </w:rPr>
        <w:t>2.2监控中心会议室</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监控中心会议室建设主要包括扩声系统、数字会议系统以及显示系统。</w:t>
      </w:r>
    </w:p>
    <w:p>
      <w:pPr>
        <w:pStyle w:val="17"/>
        <w:rPr>
          <w:rFonts w:hint="eastAsia" w:ascii="仿宋" w:hAnsi="仿宋" w:eastAsia="仿宋" w:cs="仿宋"/>
          <w:color w:val="auto"/>
          <w:sz w:val="24"/>
          <w:szCs w:val="24"/>
        </w:rPr>
      </w:pPr>
      <w:r>
        <w:rPr>
          <w:rFonts w:hint="eastAsia" w:ascii="仿宋" w:hAnsi="仿宋" w:eastAsia="仿宋" w:cs="仿宋"/>
          <w:color w:val="auto"/>
          <w:sz w:val="24"/>
          <w:szCs w:val="24"/>
        </w:rPr>
        <w:t>2.3监控中心后台多媒体管控系统</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多媒体管控系统是数字会议系统的核心系统，可通过触摸式液晶显示控制屏对几乎所有的电气设备进行控制，通过多媒体多功能管控平台对输入的各视频信号进行统一的调配和编组处理。通过切换器的编组将各视频信号分别输出到大屏幕。而对于输入进来的音频信号则由切换器的任意一路输出给数字混音引擎。在指挥大厅可通过无线触摸屏来操控中控主机，从而对各路信号源进行切换，便捷地实现各种需求。</w:t>
      </w:r>
      <w:r>
        <w:rPr>
          <w:rFonts w:hint="eastAsia" w:ascii="仿宋" w:hAnsi="仿宋" w:eastAsia="仿宋"/>
          <w:b/>
          <w:bCs/>
          <w:color w:val="auto"/>
          <w:sz w:val="24"/>
          <w:szCs w:val="24"/>
        </w:rPr>
        <w:t>监控中心会议系统建设的详细参数要求见采购清单。</w:t>
      </w:r>
    </w:p>
    <w:p>
      <w:pPr>
        <w:pStyle w:val="17"/>
        <w:spacing w:line="360" w:lineRule="auto"/>
        <w:rPr>
          <w:rFonts w:ascii="仿宋" w:hAnsi="仿宋" w:eastAsia="仿宋"/>
          <w:color w:val="auto"/>
          <w:sz w:val="24"/>
          <w:szCs w:val="24"/>
        </w:rPr>
      </w:pPr>
      <w:r>
        <w:rPr>
          <w:rFonts w:ascii="仿宋" w:hAnsi="仿宋" w:eastAsia="仿宋"/>
          <w:color w:val="auto"/>
          <w:sz w:val="24"/>
          <w:szCs w:val="24"/>
        </w:rPr>
        <w:t>3</w:t>
      </w:r>
      <w:r>
        <w:rPr>
          <w:rFonts w:hint="eastAsia" w:ascii="仿宋" w:hAnsi="仿宋" w:eastAsia="仿宋"/>
          <w:color w:val="auto"/>
          <w:sz w:val="24"/>
          <w:szCs w:val="24"/>
        </w:rPr>
        <w:t>、监控中心视频级联平台建设要求</w:t>
      </w:r>
    </w:p>
    <w:p>
      <w:pPr>
        <w:pStyle w:val="17"/>
        <w:spacing w:line="360" w:lineRule="auto"/>
        <w:rPr>
          <w:rFonts w:ascii="仿宋" w:hAnsi="仿宋" w:eastAsia="仿宋"/>
          <w:color w:val="auto"/>
          <w:sz w:val="24"/>
          <w:szCs w:val="24"/>
        </w:rPr>
      </w:pPr>
      <w:bookmarkStart w:id="47" w:name="_Toc437506592"/>
      <w:bookmarkStart w:id="48" w:name="_Toc448140527"/>
      <w:bookmarkStart w:id="49" w:name="_Toc133593594"/>
      <w:bookmarkStart w:id="50" w:name="_Toc114133401"/>
      <w:bookmarkStart w:id="51" w:name="_Toc426606039"/>
      <w:bookmarkStart w:id="52" w:name="_Toc425251902"/>
      <w:bookmarkStart w:id="53" w:name="_Toc454386151"/>
      <w:r>
        <w:rPr>
          <w:rFonts w:ascii="仿宋" w:hAnsi="仿宋" w:eastAsia="仿宋"/>
          <w:color w:val="auto"/>
          <w:sz w:val="24"/>
          <w:szCs w:val="24"/>
        </w:rPr>
        <w:t>3</w:t>
      </w:r>
      <w:r>
        <w:rPr>
          <w:rFonts w:hint="eastAsia" w:ascii="仿宋" w:hAnsi="仿宋" w:eastAsia="仿宋"/>
          <w:color w:val="auto"/>
          <w:sz w:val="24"/>
          <w:szCs w:val="24"/>
        </w:rPr>
        <w:t>.</w:t>
      </w:r>
      <w:r>
        <w:rPr>
          <w:rFonts w:ascii="仿宋" w:hAnsi="仿宋" w:eastAsia="仿宋"/>
          <w:color w:val="auto"/>
          <w:sz w:val="24"/>
          <w:szCs w:val="24"/>
        </w:rPr>
        <w:t>1</w:t>
      </w:r>
      <w:r>
        <w:rPr>
          <w:rFonts w:hint="eastAsia" w:ascii="仿宋" w:hAnsi="仿宋" w:eastAsia="仿宋"/>
          <w:color w:val="auto"/>
          <w:sz w:val="24"/>
          <w:szCs w:val="24"/>
        </w:rPr>
        <w:t>前端设备接入</w:t>
      </w:r>
      <w:bookmarkEnd w:id="47"/>
      <w:bookmarkEnd w:id="48"/>
      <w:bookmarkEnd w:id="49"/>
      <w:bookmarkEnd w:id="50"/>
      <w:bookmarkEnd w:id="51"/>
      <w:bookmarkEnd w:id="52"/>
      <w:bookmarkEnd w:id="53"/>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越城区交通局视频平台应支持市场上符合标准协议的前端设备直接接入，同时考虑到了其它厂家及非标设备的兼容接入方案。实现了中心平台部署与前端设备建设的技术分隔，使得前端设备的部署和选型具有更大灵活性。</w:t>
      </w:r>
    </w:p>
    <w:p>
      <w:pPr>
        <w:pStyle w:val="17"/>
        <w:rPr>
          <w:rFonts w:ascii="仿宋" w:hAnsi="仿宋" w:eastAsia="仿宋"/>
          <w:color w:val="auto"/>
          <w:sz w:val="24"/>
          <w:szCs w:val="24"/>
        </w:rPr>
      </w:pPr>
      <w:bookmarkStart w:id="54" w:name="_Toc114133404"/>
      <w:bookmarkStart w:id="55" w:name="_Toc437506593"/>
      <w:bookmarkStart w:id="56" w:name="_Toc133593597"/>
      <w:bookmarkStart w:id="57" w:name="_Toc425251903"/>
      <w:bookmarkStart w:id="58" w:name="_Toc454386152"/>
      <w:bookmarkStart w:id="59" w:name="_Toc426606040"/>
      <w:bookmarkStart w:id="60" w:name="_Toc448140528"/>
      <w:r>
        <w:rPr>
          <w:rFonts w:hint="eastAsia" w:ascii="仿宋" w:hAnsi="仿宋" w:eastAsia="仿宋"/>
          <w:color w:val="auto"/>
          <w:sz w:val="24"/>
          <w:szCs w:val="24"/>
        </w:rPr>
        <w:t>3.</w:t>
      </w:r>
      <w:r>
        <w:rPr>
          <w:rFonts w:ascii="仿宋" w:hAnsi="仿宋" w:eastAsia="仿宋"/>
          <w:color w:val="auto"/>
          <w:sz w:val="24"/>
          <w:szCs w:val="24"/>
        </w:rPr>
        <w:t>2</w:t>
      </w:r>
      <w:r>
        <w:rPr>
          <w:rFonts w:hint="eastAsia" w:ascii="仿宋" w:hAnsi="仿宋" w:eastAsia="仿宋"/>
          <w:color w:val="auto"/>
          <w:sz w:val="24"/>
          <w:szCs w:val="24"/>
        </w:rPr>
        <w:t>下级平台接入</w:t>
      </w:r>
      <w:bookmarkEnd w:id="54"/>
      <w:bookmarkEnd w:id="55"/>
      <w:bookmarkEnd w:id="56"/>
      <w:bookmarkEnd w:id="57"/>
      <w:bookmarkEnd w:id="58"/>
      <w:bookmarkEnd w:id="59"/>
      <w:bookmarkEnd w:id="60"/>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越城区交通局视频平台应支持下级标准平台及非标准平台的接入。</w:t>
      </w:r>
    </w:p>
    <w:p>
      <w:pPr>
        <w:pStyle w:val="17"/>
        <w:rPr>
          <w:rFonts w:ascii="仿宋" w:hAnsi="仿宋" w:eastAsia="仿宋"/>
          <w:color w:val="auto"/>
          <w:sz w:val="24"/>
          <w:szCs w:val="24"/>
        </w:rPr>
      </w:pPr>
      <w:bookmarkStart w:id="61" w:name="_Toc520814311"/>
      <w:bookmarkStart w:id="62" w:name="_Toc75254352"/>
      <w:bookmarkStart w:id="63" w:name="_Toc525745932"/>
      <w:bookmarkStart w:id="64" w:name="_Toc133593600"/>
      <w:bookmarkStart w:id="65" w:name="_Toc114133408"/>
      <w:r>
        <w:rPr>
          <w:rFonts w:hint="eastAsia" w:ascii="仿宋" w:hAnsi="仿宋" w:eastAsia="仿宋"/>
          <w:color w:val="auto"/>
          <w:sz w:val="24"/>
          <w:szCs w:val="24"/>
        </w:rPr>
        <w:t>3.</w:t>
      </w:r>
      <w:r>
        <w:rPr>
          <w:rFonts w:ascii="仿宋" w:hAnsi="仿宋" w:eastAsia="仿宋"/>
          <w:color w:val="auto"/>
          <w:sz w:val="24"/>
          <w:szCs w:val="24"/>
        </w:rPr>
        <w:t>3</w:t>
      </w:r>
      <w:r>
        <w:rPr>
          <w:rFonts w:hint="eastAsia" w:ascii="仿宋" w:hAnsi="仿宋" w:eastAsia="仿宋"/>
          <w:color w:val="auto"/>
          <w:sz w:val="24"/>
          <w:szCs w:val="24"/>
        </w:rPr>
        <w:t>视频监控</w:t>
      </w:r>
      <w:bookmarkEnd w:id="61"/>
      <w:r>
        <w:rPr>
          <w:rFonts w:hint="eastAsia" w:ascii="仿宋" w:hAnsi="仿宋" w:eastAsia="仿宋"/>
          <w:color w:val="auto"/>
          <w:sz w:val="24"/>
          <w:szCs w:val="24"/>
        </w:rPr>
        <w:t>应用</w:t>
      </w:r>
      <w:bookmarkEnd w:id="62"/>
      <w:bookmarkEnd w:id="63"/>
      <w:bookmarkEnd w:id="64"/>
      <w:bookmarkEnd w:id="65"/>
    </w:p>
    <w:p>
      <w:pPr>
        <w:spacing w:line="360" w:lineRule="auto"/>
        <w:ind w:firstLine="480" w:firstLineChars="200"/>
        <w:rPr>
          <w:rFonts w:ascii="仿宋" w:hAnsi="仿宋" w:eastAsia="仿宋"/>
          <w:color w:val="auto"/>
          <w:sz w:val="24"/>
          <w:szCs w:val="24"/>
        </w:rPr>
      </w:pPr>
      <w:bookmarkStart w:id="66" w:name="_Toc409770182"/>
      <w:r>
        <w:rPr>
          <w:rFonts w:hint="eastAsia" w:ascii="仿宋" w:hAnsi="仿宋" w:eastAsia="仿宋"/>
          <w:color w:val="auto"/>
          <w:sz w:val="24"/>
          <w:szCs w:val="24"/>
        </w:rPr>
        <w:t>视频监控应用包括实时预览和录像回放功能。其中视频实时预览支持对监控实时画面的预览，包括基础视频预览、视频参数控制、视图模式的预览，平台与监控点所在的摄像机对讲通道的实时对讲、批量广播以及对具备云台能力的监控点的实时云台控制</w:t>
      </w:r>
      <w:bookmarkStart w:id="67" w:name="_Toc480461937"/>
      <w:bookmarkEnd w:id="67"/>
      <w:bookmarkStart w:id="68" w:name="_Toc480466480"/>
      <w:bookmarkEnd w:id="68"/>
      <w:bookmarkStart w:id="69" w:name="_Toc480546584"/>
      <w:bookmarkEnd w:id="69"/>
      <w:bookmarkStart w:id="70" w:name="_Toc480531729"/>
      <w:bookmarkEnd w:id="70"/>
      <w:bookmarkStart w:id="71" w:name="_Toc480463349"/>
      <w:bookmarkEnd w:id="71"/>
      <w:bookmarkStart w:id="72" w:name="_Toc480462143"/>
      <w:bookmarkEnd w:id="72"/>
      <w:bookmarkStart w:id="73" w:name="_Toc480461666"/>
      <w:bookmarkEnd w:id="73"/>
      <w:bookmarkStart w:id="74" w:name="_Toc480537511"/>
      <w:bookmarkEnd w:id="74"/>
      <w:bookmarkStart w:id="75" w:name="_Toc480462349"/>
      <w:bookmarkEnd w:id="75"/>
      <w:r>
        <w:rPr>
          <w:rFonts w:hint="eastAsia" w:ascii="仿宋" w:hAnsi="仿宋" w:eastAsia="仿宋"/>
          <w:color w:val="auto"/>
          <w:sz w:val="24"/>
          <w:szCs w:val="24"/>
        </w:rPr>
        <w:t>；录像回放支持历史视频录像的查询、播放、画面流控、片段下载等应用。</w:t>
      </w:r>
    </w:p>
    <w:bookmarkEnd w:id="66"/>
    <w:p>
      <w:pPr>
        <w:pStyle w:val="17"/>
        <w:rPr>
          <w:rFonts w:ascii="仿宋" w:hAnsi="仿宋" w:eastAsia="仿宋"/>
          <w:color w:val="auto"/>
          <w:sz w:val="24"/>
          <w:szCs w:val="24"/>
        </w:rPr>
      </w:pPr>
      <w:bookmarkStart w:id="76" w:name="_Toc480466482"/>
      <w:bookmarkEnd w:id="76"/>
      <w:bookmarkStart w:id="77" w:name="_Toc480461939"/>
      <w:bookmarkEnd w:id="77"/>
      <w:bookmarkStart w:id="78" w:name="_Toc480531731"/>
      <w:bookmarkEnd w:id="78"/>
      <w:bookmarkStart w:id="79" w:name="_Toc480461668"/>
      <w:bookmarkEnd w:id="79"/>
      <w:bookmarkStart w:id="80" w:name="_Toc480546586"/>
      <w:bookmarkEnd w:id="80"/>
      <w:bookmarkStart w:id="81" w:name="_Toc480462145"/>
      <w:bookmarkEnd w:id="81"/>
      <w:bookmarkStart w:id="82" w:name="_Toc480463351"/>
      <w:bookmarkEnd w:id="82"/>
      <w:bookmarkStart w:id="83" w:name="_Toc480537513"/>
      <w:bookmarkEnd w:id="83"/>
      <w:bookmarkStart w:id="84" w:name="_Toc480462351"/>
      <w:bookmarkEnd w:id="84"/>
      <w:bookmarkStart w:id="85" w:name="_Toc425251943"/>
      <w:bookmarkStart w:id="86" w:name="_Toc426606080"/>
      <w:bookmarkStart w:id="87" w:name="_Toc454386189"/>
      <w:bookmarkStart w:id="88" w:name="_Toc133593603"/>
      <w:bookmarkStart w:id="89" w:name="_Toc114133411"/>
      <w:bookmarkStart w:id="90" w:name="_Toc437506629"/>
      <w:bookmarkStart w:id="91" w:name="_Toc448140564"/>
      <w:r>
        <w:rPr>
          <w:rFonts w:hint="eastAsia" w:ascii="仿宋" w:hAnsi="仿宋" w:eastAsia="仿宋"/>
          <w:color w:val="auto"/>
          <w:sz w:val="24"/>
          <w:szCs w:val="24"/>
        </w:rPr>
        <w:t>3.</w:t>
      </w:r>
      <w:r>
        <w:rPr>
          <w:rFonts w:ascii="仿宋" w:hAnsi="仿宋" w:eastAsia="仿宋"/>
          <w:color w:val="auto"/>
          <w:sz w:val="24"/>
          <w:szCs w:val="24"/>
        </w:rPr>
        <w:t>4</w:t>
      </w:r>
      <w:r>
        <w:rPr>
          <w:rFonts w:hint="eastAsia" w:ascii="仿宋" w:hAnsi="仿宋" w:eastAsia="仿宋"/>
          <w:color w:val="auto"/>
          <w:sz w:val="24"/>
          <w:szCs w:val="24"/>
        </w:rPr>
        <w:t>级联</w:t>
      </w:r>
      <w:r>
        <w:rPr>
          <w:rFonts w:ascii="仿宋" w:hAnsi="仿宋" w:eastAsia="仿宋"/>
          <w:color w:val="auto"/>
          <w:sz w:val="24"/>
          <w:szCs w:val="24"/>
        </w:rPr>
        <w:t>/</w:t>
      </w:r>
      <w:r>
        <w:rPr>
          <w:rFonts w:hint="eastAsia" w:ascii="仿宋" w:hAnsi="仿宋" w:eastAsia="仿宋"/>
          <w:color w:val="auto"/>
          <w:sz w:val="24"/>
          <w:szCs w:val="24"/>
        </w:rPr>
        <w:t>互联</w:t>
      </w:r>
      <w:bookmarkEnd w:id="85"/>
      <w:bookmarkEnd w:id="86"/>
      <w:r>
        <w:rPr>
          <w:rFonts w:hint="eastAsia" w:ascii="仿宋" w:hAnsi="仿宋" w:eastAsia="仿宋"/>
          <w:color w:val="auto"/>
          <w:sz w:val="24"/>
          <w:szCs w:val="24"/>
        </w:rPr>
        <w:t>功能</w:t>
      </w:r>
      <w:bookmarkEnd w:id="87"/>
      <w:bookmarkEnd w:id="88"/>
      <w:bookmarkEnd w:id="89"/>
      <w:bookmarkEnd w:id="90"/>
      <w:bookmarkEnd w:id="91"/>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平台之间级联/互联依据GB/T28181-2011设计，提供注册发现、心跳检测、云台控制、实时监控、时钟同步、字符叠加等联网基本功能。在对国标深入理解的基础上，提炼、细化、创新出来了更多丰富的扩展联网功能，如目录主动推送、资源实时同步、资源选择性共享、媒体保活、权限控制等。监控中心视频级联平台建设的详细参数要求见采购清单。</w:t>
      </w:r>
    </w:p>
    <w:p>
      <w:pPr>
        <w:pStyle w:val="17"/>
        <w:spacing w:line="360" w:lineRule="auto"/>
        <w:rPr>
          <w:rFonts w:ascii="仿宋" w:hAnsi="仿宋" w:eastAsia="仿宋"/>
          <w:color w:val="auto"/>
          <w:sz w:val="24"/>
          <w:szCs w:val="24"/>
        </w:rPr>
      </w:pPr>
      <w:r>
        <w:rPr>
          <w:rFonts w:hint="eastAsia" w:ascii="仿宋" w:hAnsi="仿宋" w:eastAsia="仿宋"/>
          <w:color w:val="auto"/>
          <w:sz w:val="24"/>
          <w:szCs w:val="24"/>
        </w:rPr>
        <w:t>4、监控中心数据底座建设要求</w:t>
      </w:r>
    </w:p>
    <w:p>
      <w:pPr>
        <w:pStyle w:val="17"/>
        <w:spacing w:line="360" w:lineRule="auto"/>
        <w:rPr>
          <w:rFonts w:ascii="仿宋" w:hAnsi="仿宋" w:eastAsia="仿宋"/>
          <w:color w:val="auto"/>
          <w:sz w:val="24"/>
          <w:szCs w:val="24"/>
        </w:rPr>
      </w:pPr>
      <w:r>
        <w:rPr>
          <w:rFonts w:hint="eastAsia" w:ascii="仿宋" w:hAnsi="仿宋" w:eastAsia="仿宋"/>
          <w:color w:val="auto"/>
          <w:sz w:val="24"/>
          <w:szCs w:val="24"/>
        </w:rPr>
        <w:t>4.</w:t>
      </w:r>
      <w:r>
        <w:rPr>
          <w:rFonts w:ascii="仿宋" w:hAnsi="仿宋" w:eastAsia="仿宋"/>
          <w:color w:val="auto"/>
          <w:sz w:val="24"/>
          <w:szCs w:val="24"/>
        </w:rPr>
        <w:t>1</w:t>
      </w:r>
      <w:r>
        <w:rPr>
          <w:rFonts w:hint="eastAsia" w:ascii="仿宋" w:hAnsi="仿宋" w:eastAsia="仿宋"/>
          <w:color w:val="auto"/>
          <w:sz w:val="24"/>
          <w:szCs w:val="24"/>
        </w:rPr>
        <w:t>数据底座实施</w:t>
      </w:r>
    </w:p>
    <w:p>
      <w:pPr>
        <w:pStyle w:val="17"/>
        <w:spacing w:line="360" w:lineRule="auto"/>
        <w:rPr>
          <w:rFonts w:ascii="仿宋" w:hAnsi="仿宋" w:eastAsia="仿宋"/>
          <w:color w:val="auto"/>
          <w:sz w:val="24"/>
          <w:szCs w:val="24"/>
        </w:rPr>
      </w:pPr>
      <w:r>
        <w:rPr>
          <w:rFonts w:hint="eastAsia" w:ascii="仿宋" w:hAnsi="仿宋" w:eastAsia="仿宋"/>
          <w:color w:val="auto"/>
          <w:sz w:val="24"/>
          <w:szCs w:val="24"/>
        </w:rPr>
        <w:t>4.</w:t>
      </w:r>
      <w:r>
        <w:rPr>
          <w:rFonts w:ascii="仿宋" w:hAnsi="仿宋" w:eastAsia="仿宋"/>
          <w:color w:val="auto"/>
          <w:sz w:val="24"/>
          <w:szCs w:val="24"/>
        </w:rPr>
        <w:t>1</w:t>
      </w:r>
      <w:r>
        <w:rPr>
          <w:rFonts w:hint="eastAsia" w:ascii="仿宋" w:hAnsi="仿宋" w:eastAsia="仿宋"/>
          <w:color w:val="auto"/>
          <w:sz w:val="24"/>
          <w:szCs w:val="24"/>
        </w:rPr>
        <w:t>.</w:t>
      </w:r>
      <w:r>
        <w:rPr>
          <w:rFonts w:ascii="仿宋" w:hAnsi="仿宋" w:eastAsia="仿宋"/>
          <w:color w:val="auto"/>
          <w:sz w:val="24"/>
          <w:szCs w:val="24"/>
        </w:rPr>
        <w:t>1</w:t>
      </w:r>
      <w:r>
        <w:rPr>
          <w:rFonts w:hint="eastAsia" w:ascii="仿宋" w:hAnsi="仿宋" w:eastAsia="仿宋"/>
          <w:color w:val="auto"/>
          <w:sz w:val="24"/>
          <w:szCs w:val="24"/>
        </w:rPr>
        <w:t>基础标准建设</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建设越城区监控中心数据底座的基础标准，包括数据标准体系建设以及数据建模等工作。数据标准体系建立包括基础数据元以及共享交换的标准规范；数据建模实现数据概念模型设计、数据逻辑模型设计、数据分层模型建模。</w:t>
      </w:r>
    </w:p>
    <w:p>
      <w:pPr>
        <w:pStyle w:val="17"/>
        <w:spacing w:line="360" w:lineRule="auto"/>
        <w:rPr>
          <w:rFonts w:ascii="仿宋" w:hAnsi="仿宋" w:eastAsia="仿宋"/>
          <w:color w:val="auto"/>
          <w:sz w:val="24"/>
          <w:szCs w:val="24"/>
        </w:rPr>
      </w:pPr>
      <w:r>
        <w:rPr>
          <w:rFonts w:hint="eastAsia" w:ascii="仿宋" w:hAnsi="仿宋" w:eastAsia="仿宋"/>
          <w:color w:val="auto"/>
          <w:sz w:val="24"/>
          <w:szCs w:val="24"/>
        </w:rPr>
        <w:t>4.</w:t>
      </w:r>
      <w:r>
        <w:rPr>
          <w:rFonts w:ascii="仿宋" w:hAnsi="仿宋" w:eastAsia="仿宋"/>
          <w:color w:val="auto"/>
          <w:sz w:val="24"/>
          <w:szCs w:val="24"/>
        </w:rPr>
        <w:t>1</w:t>
      </w:r>
      <w:r>
        <w:rPr>
          <w:rFonts w:hint="eastAsia" w:ascii="仿宋" w:hAnsi="仿宋" w:eastAsia="仿宋"/>
          <w:color w:val="auto"/>
          <w:sz w:val="24"/>
          <w:szCs w:val="24"/>
        </w:rPr>
        <w:t>.</w:t>
      </w:r>
      <w:r>
        <w:rPr>
          <w:rFonts w:ascii="仿宋" w:hAnsi="仿宋" w:eastAsia="仿宋"/>
          <w:color w:val="auto"/>
          <w:sz w:val="24"/>
          <w:szCs w:val="24"/>
        </w:rPr>
        <w:t>2</w:t>
      </w:r>
      <w:r>
        <w:rPr>
          <w:rFonts w:hint="eastAsia" w:ascii="仿宋" w:hAnsi="仿宋" w:eastAsia="仿宋"/>
          <w:color w:val="auto"/>
          <w:sz w:val="24"/>
          <w:szCs w:val="24"/>
        </w:rPr>
        <w:t>数据接入汇聚</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数据接入汇聚要求实现市局数据回流、省厅数据回流以及横向部门的数据接入工作。</w:t>
      </w:r>
    </w:p>
    <w:p>
      <w:pPr>
        <w:pStyle w:val="17"/>
        <w:spacing w:line="360" w:lineRule="auto"/>
        <w:rPr>
          <w:color w:val="auto"/>
        </w:rPr>
      </w:pPr>
      <w:r>
        <w:rPr>
          <w:rFonts w:hint="eastAsia"/>
          <w:color w:val="auto"/>
        </w:rPr>
        <w:t>4.</w:t>
      </w:r>
      <w:r>
        <w:rPr>
          <w:color w:val="auto"/>
        </w:rPr>
        <w:t>1</w:t>
      </w:r>
      <w:r>
        <w:rPr>
          <w:rFonts w:hint="eastAsia"/>
          <w:color w:val="auto"/>
        </w:rPr>
        <w:t>.</w:t>
      </w:r>
      <w:r>
        <w:rPr>
          <w:color w:val="auto"/>
        </w:rPr>
        <w:t>3</w:t>
      </w:r>
      <w:r>
        <w:rPr>
          <w:rFonts w:hint="eastAsia"/>
          <w:color w:val="auto"/>
        </w:rPr>
        <w:t>数据建模</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基于数据编目与数据归集成果，开展主题库建设，包括从业人员、营运车辆、船舶、经营业户、桥梁、隧道、港口、码头等基础主题库，以及信用交通、清廉交通等业务主题库，支持业务系统高效使用和有效共享。</w:t>
      </w:r>
    </w:p>
    <w:p>
      <w:pPr>
        <w:spacing w:line="360" w:lineRule="auto"/>
        <w:rPr>
          <w:rFonts w:ascii="仿宋" w:hAnsi="仿宋" w:eastAsia="仿宋"/>
          <w:color w:val="auto"/>
          <w:sz w:val="24"/>
          <w:szCs w:val="24"/>
        </w:rPr>
      </w:pPr>
      <w:r>
        <w:rPr>
          <w:rFonts w:hint="eastAsia" w:ascii="仿宋" w:hAnsi="仿宋" w:eastAsia="仿宋"/>
          <w:color w:val="auto"/>
          <w:sz w:val="24"/>
          <w:szCs w:val="24"/>
        </w:rPr>
        <w:t>开展知识库建设。根据省厅知识库建设体系，深化对越城区本地法律法规、标准规范的知识梳理，建立分级分类的知识目录，结合当前重点工作，会同业务部门分阶段分步骤的充实知识库内容，建立知识获取更新的责任机制。</w:t>
      </w:r>
    </w:p>
    <w:p>
      <w:pPr>
        <w:pStyle w:val="17"/>
        <w:spacing w:line="360" w:lineRule="auto"/>
        <w:rPr>
          <w:rFonts w:ascii="仿宋" w:hAnsi="仿宋" w:eastAsia="仿宋"/>
          <w:color w:val="auto"/>
          <w:sz w:val="24"/>
          <w:szCs w:val="24"/>
        </w:rPr>
      </w:pPr>
      <w:r>
        <w:rPr>
          <w:rFonts w:hint="eastAsia" w:ascii="仿宋" w:hAnsi="仿宋" w:eastAsia="仿宋"/>
          <w:color w:val="auto"/>
          <w:sz w:val="24"/>
          <w:szCs w:val="24"/>
        </w:rPr>
        <w:t>4.</w:t>
      </w:r>
      <w:r>
        <w:rPr>
          <w:rFonts w:ascii="仿宋" w:hAnsi="仿宋" w:eastAsia="仿宋"/>
          <w:color w:val="auto"/>
          <w:sz w:val="24"/>
          <w:szCs w:val="24"/>
        </w:rPr>
        <w:t>1</w:t>
      </w:r>
      <w:r>
        <w:rPr>
          <w:rFonts w:hint="eastAsia" w:ascii="仿宋" w:hAnsi="仿宋" w:eastAsia="仿宋"/>
          <w:color w:val="auto"/>
          <w:sz w:val="24"/>
          <w:szCs w:val="24"/>
        </w:rPr>
        <w:t>.</w:t>
      </w:r>
      <w:r>
        <w:rPr>
          <w:rFonts w:ascii="仿宋" w:hAnsi="仿宋" w:eastAsia="仿宋"/>
          <w:color w:val="auto"/>
          <w:sz w:val="24"/>
          <w:szCs w:val="24"/>
        </w:rPr>
        <w:t>4</w:t>
      </w:r>
      <w:r>
        <w:rPr>
          <w:rFonts w:hint="eastAsia" w:ascii="仿宋" w:hAnsi="仿宋" w:eastAsia="仿宋"/>
          <w:color w:val="auto"/>
          <w:sz w:val="24"/>
          <w:szCs w:val="24"/>
        </w:rPr>
        <w:t>数据清洗与转换</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要求完成数据清洗与数据转换工作。其中数据清洗的任务是过滤那些不符合要求的数据，将过滤的结果交给数据管理部门，确认是否过滤掉还是由数据管理部门修正之后再进行抽取；数据转换将从源数据源获取的数据，按照业务需求和目的数据源要求，转换形式。</w:t>
      </w:r>
    </w:p>
    <w:p>
      <w:pPr>
        <w:pStyle w:val="17"/>
        <w:spacing w:line="360" w:lineRule="auto"/>
        <w:rPr>
          <w:rFonts w:ascii="仿宋" w:hAnsi="仿宋" w:eastAsia="仿宋"/>
          <w:color w:val="auto"/>
          <w:sz w:val="24"/>
          <w:szCs w:val="24"/>
        </w:rPr>
      </w:pPr>
      <w:r>
        <w:rPr>
          <w:rFonts w:hint="eastAsia" w:ascii="仿宋" w:hAnsi="仿宋" w:eastAsia="仿宋"/>
          <w:color w:val="auto"/>
          <w:sz w:val="24"/>
          <w:szCs w:val="24"/>
        </w:rPr>
        <w:t>4.</w:t>
      </w:r>
      <w:r>
        <w:rPr>
          <w:rFonts w:ascii="仿宋" w:hAnsi="仿宋" w:eastAsia="仿宋"/>
          <w:color w:val="auto"/>
          <w:sz w:val="24"/>
          <w:szCs w:val="24"/>
        </w:rPr>
        <w:t>2</w:t>
      </w:r>
      <w:r>
        <w:rPr>
          <w:rFonts w:hint="eastAsia" w:ascii="仿宋" w:hAnsi="仿宋" w:eastAsia="仿宋"/>
          <w:color w:val="auto"/>
          <w:sz w:val="24"/>
          <w:szCs w:val="24"/>
        </w:rPr>
        <w:t>统一门户及数字驾驶舱</w:t>
      </w:r>
    </w:p>
    <w:p>
      <w:pPr>
        <w:pStyle w:val="17"/>
        <w:spacing w:line="360" w:lineRule="auto"/>
        <w:rPr>
          <w:rFonts w:ascii="仿宋" w:hAnsi="仿宋" w:eastAsia="仿宋"/>
          <w:color w:val="auto"/>
          <w:sz w:val="24"/>
          <w:szCs w:val="24"/>
        </w:rPr>
      </w:pPr>
      <w:r>
        <w:rPr>
          <w:rFonts w:hint="eastAsia" w:ascii="仿宋" w:hAnsi="仿宋" w:eastAsia="仿宋"/>
          <w:color w:val="auto"/>
          <w:sz w:val="24"/>
          <w:szCs w:val="24"/>
        </w:rPr>
        <w:t>4.</w:t>
      </w:r>
      <w:r>
        <w:rPr>
          <w:rFonts w:ascii="仿宋" w:hAnsi="仿宋" w:eastAsia="仿宋"/>
          <w:color w:val="auto"/>
          <w:sz w:val="24"/>
          <w:szCs w:val="24"/>
        </w:rPr>
        <w:t>2</w:t>
      </w:r>
      <w:r>
        <w:rPr>
          <w:rFonts w:hint="eastAsia" w:ascii="仿宋" w:hAnsi="仿宋" w:eastAsia="仿宋"/>
          <w:color w:val="auto"/>
          <w:sz w:val="24"/>
          <w:szCs w:val="24"/>
        </w:rPr>
        <w:t>.</w:t>
      </w:r>
      <w:r>
        <w:rPr>
          <w:rFonts w:ascii="仿宋" w:hAnsi="仿宋" w:eastAsia="仿宋"/>
          <w:color w:val="auto"/>
          <w:sz w:val="24"/>
          <w:szCs w:val="24"/>
        </w:rPr>
        <w:t>1</w:t>
      </w:r>
      <w:r>
        <w:rPr>
          <w:rFonts w:hint="eastAsia" w:ascii="仿宋" w:hAnsi="仿宋" w:eastAsia="仿宋"/>
          <w:color w:val="auto"/>
          <w:sz w:val="24"/>
          <w:szCs w:val="24"/>
        </w:rPr>
        <w:t>统一门户</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集成浙政钉用户体系，进行用户绑定，实现浙政钉账号的用户认证。实现省厅各类省建应用、绍兴市局数字化改革各类应用和越城区本地个性化应用，展示在同一门户。</w:t>
      </w:r>
    </w:p>
    <w:p>
      <w:pPr>
        <w:pStyle w:val="17"/>
        <w:spacing w:line="360" w:lineRule="auto"/>
        <w:rPr>
          <w:rFonts w:ascii="仿宋" w:hAnsi="仿宋" w:eastAsia="仿宋"/>
          <w:color w:val="auto"/>
          <w:sz w:val="24"/>
          <w:szCs w:val="24"/>
        </w:rPr>
      </w:pPr>
      <w:r>
        <w:rPr>
          <w:rFonts w:hint="eastAsia" w:ascii="仿宋" w:hAnsi="仿宋" w:eastAsia="仿宋"/>
          <w:color w:val="auto"/>
          <w:sz w:val="24"/>
          <w:szCs w:val="24"/>
        </w:rPr>
        <w:t>4.</w:t>
      </w:r>
      <w:r>
        <w:rPr>
          <w:rFonts w:ascii="仿宋" w:hAnsi="仿宋" w:eastAsia="仿宋"/>
          <w:color w:val="auto"/>
          <w:sz w:val="24"/>
          <w:szCs w:val="24"/>
        </w:rPr>
        <w:t>2</w:t>
      </w:r>
      <w:r>
        <w:rPr>
          <w:rFonts w:hint="eastAsia" w:ascii="仿宋" w:hAnsi="仿宋" w:eastAsia="仿宋"/>
          <w:color w:val="auto"/>
          <w:sz w:val="24"/>
          <w:szCs w:val="24"/>
        </w:rPr>
        <w:t>.</w:t>
      </w:r>
      <w:r>
        <w:rPr>
          <w:rFonts w:ascii="仿宋" w:hAnsi="仿宋" w:eastAsia="仿宋"/>
          <w:color w:val="auto"/>
          <w:sz w:val="24"/>
          <w:szCs w:val="24"/>
        </w:rPr>
        <w:t>2</w:t>
      </w:r>
      <w:r>
        <w:rPr>
          <w:rFonts w:hint="eastAsia" w:ascii="仿宋" w:hAnsi="仿宋" w:eastAsia="仿宋"/>
          <w:color w:val="auto"/>
          <w:sz w:val="24"/>
          <w:szCs w:val="24"/>
        </w:rPr>
        <w:t>交通驾驶舱智慧公交专题</w:t>
      </w:r>
    </w:p>
    <w:p>
      <w:pPr>
        <w:spacing w:line="360" w:lineRule="auto"/>
        <w:rPr>
          <w:rFonts w:ascii="仿宋" w:hAnsi="仿宋" w:eastAsia="仿宋"/>
          <w:color w:val="auto"/>
          <w:sz w:val="24"/>
          <w:szCs w:val="24"/>
        </w:rPr>
      </w:pPr>
      <w:r>
        <w:rPr>
          <w:rFonts w:hint="eastAsia" w:ascii="仿宋" w:hAnsi="仿宋" w:eastAsia="仿宋"/>
          <w:color w:val="auto"/>
          <w:sz w:val="24"/>
          <w:szCs w:val="24"/>
        </w:rPr>
        <w:t>整合越城区交通运输公交行业内数据、横向部门数据、互联网数据，在数据底座基础上形成公交专题库。结合公交都市示范城市指标、省科技治堵公交考核指标、绍兴市区公交企业服务质量考核指标、建立符合越城区本地特色的指标体系，最终通过可视化技术形成基于GIS的公交一张图，直观反映越城公交的整体发展态势和服务水平。</w:t>
      </w:r>
    </w:p>
    <w:p>
      <w:pPr>
        <w:pStyle w:val="17"/>
        <w:spacing w:line="360" w:lineRule="auto"/>
        <w:rPr>
          <w:rFonts w:ascii="仿宋" w:hAnsi="仿宋" w:eastAsia="仿宋"/>
          <w:color w:val="auto"/>
          <w:sz w:val="24"/>
          <w:szCs w:val="24"/>
        </w:rPr>
      </w:pPr>
      <w:r>
        <w:rPr>
          <w:rFonts w:hint="eastAsia" w:ascii="仿宋" w:hAnsi="仿宋" w:eastAsia="仿宋"/>
          <w:color w:val="auto"/>
          <w:sz w:val="24"/>
          <w:szCs w:val="24"/>
        </w:rPr>
        <w:t>4.</w:t>
      </w:r>
      <w:r>
        <w:rPr>
          <w:rFonts w:ascii="仿宋" w:hAnsi="仿宋" w:eastAsia="仿宋"/>
          <w:color w:val="auto"/>
          <w:sz w:val="24"/>
          <w:szCs w:val="24"/>
        </w:rPr>
        <w:t>3</w:t>
      </w:r>
      <w:r>
        <w:rPr>
          <w:rFonts w:hint="eastAsia" w:ascii="仿宋" w:hAnsi="仿宋" w:eastAsia="仿宋"/>
          <w:color w:val="auto"/>
          <w:sz w:val="24"/>
          <w:szCs w:val="24"/>
        </w:rPr>
        <w:t>数据治理工具软件</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本项目数据治理工具软件需采购成熟的第三方国产软件，把不同来源、格式、特点性质的数据在逻辑上或物理上有机地集中，通过应用间的数据有效流通和流通的管理从而达到集成，主要解决数据的分布性、异构性、有效性和及时性的问题，提供数据采集、数据转换、任务监控等功能。本次项目充分考虑与越城区大数据管理中心的数据归集需求，预留相关接口实现与市局和横向部门的数据交换与共享。</w:t>
      </w:r>
    </w:p>
    <w:p>
      <w:pPr>
        <w:pStyle w:val="17"/>
        <w:spacing w:line="360" w:lineRule="auto"/>
        <w:rPr>
          <w:rFonts w:ascii="仿宋" w:hAnsi="仿宋" w:eastAsia="仿宋"/>
          <w:color w:val="auto"/>
          <w:sz w:val="24"/>
          <w:szCs w:val="24"/>
        </w:rPr>
      </w:pPr>
      <w:r>
        <w:rPr>
          <w:rFonts w:hint="eastAsia" w:ascii="仿宋" w:hAnsi="仿宋" w:eastAsia="仿宋"/>
          <w:color w:val="auto"/>
          <w:sz w:val="24"/>
          <w:szCs w:val="24"/>
        </w:rPr>
        <w:t>4.</w:t>
      </w:r>
      <w:r>
        <w:rPr>
          <w:rFonts w:ascii="仿宋" w:hAnsi="仿宋" w:eastAsia="仿宋"/>
          <w:color w:val="auto"/>
          <w:sz w:val="24"/>
          <w:szCs w:val="24"/>
        </w:rPr>
        <w:t>4</w:t>
      </w:r>
      <w:r>
        <w:rPr>
          <w:rFonts w:hint="eastAsia" w:ascii="仿宋" w:hAnsi="仿宋" w:eastAsia="仿宋"/>
          <w:color w:val="auto"/>
          <w:sz w:val="24"/>
          <w:szCs w:val="24"/>
        </w:rPr>
        <w:t>数据开放平台软件</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本项目数据开放平台软件需采购成熟的第三方国产软件，越城区交通部门将依托数据开放平台提供数据开放数据目录，通过平台的建设，对数据开放的流程进行规范化梳理，大量简化数据应用单位获取数据开放权限的时间。同时，数据应用单位在使用数据后，可以通过授权后，以API的接口调取形式获取到数据，提高数据开放和共享效率。监控中心数据底座建设的详细参数要求见采购清单。</w:t>
      </w:r>
    </w:p>
    <w:bookmarkEnd w:id="43"/>
    <w:bookmarkEnd w:id="44"/>
    <w:bookmarkEnd w:id="45"/>
    <w:bookmarkEnd w:id="46"/>
    <w:p>
      <w:pPr>
        <w:spacing w:line="360" w:lineRule="auto"/>
        <w:rPr>
          <w:rFonts w:ascii="仿宋" w:hAnsi="仿宋" w:eastAsia="仿宋"/>
          <w:color w:val="auto"/>
          <w:sz w:val="24"/>
          <w:szCs w:val="24"/>
        </w:rPr>
      </w:pPr>
      <w:r>
        <w:rPr>
          <w:rFonts w:hint="eastAsia" w:ascii="仿宋" w:hAnsi="仿宋" w:eastAsia="仿宋"/>
          <w:color w:val="auto"/>
          <w:sz w:val="24"/>
          <w:szCs w:val="24"/>
        </w:rPr>
        <w:t>5、具体参数要求</w:t>
      </w:r>
    </w:p>
    <w:p>
      <w:pPr>
        <w:pStyle w:val="17"/>
        <w:spacing w:line="360" w:lineRule="auto"/>
        <w:rPr>
          <w:rFonts w:ascii="仿宋" w:hAnsi="仿宋" w:eastAsia="仿宋"/>
          <w:color w:val="auto"/>
          <w:sz w:val="24"/>
          <w:szCs w:val="24"/>
        </w:rPr>
      </w:pPr>
      <w:r>
        <w:rPr>
          <w:rFonts w:ascii="仿宋" w:hAnsi="仿宋" w:eastAsia="仿宋"/>
          <w:color w:val="auto"/>
          <w:sz w:val="24"/>
          <w:szCs w:val="24"/>
        </w:rPr>
        <w:t>5</w:t>
      </w:r>
      <w:r>
        <w:rPr>
          <w:rFonts w:hint="eastAsia" w:ascii="仿宋" w:hAnsi="仿宋" w:eastAsia="仿宋"/>
          <w:color w:val="auto"/>
          <w:sz w:val="24"/>
          <w:szCs w:val="24"/>
        </w:rPr>
        <w:t>.</w:t>
      </w:r>
      <w:r>
        <w:rPr>
          <w:rFonts w:ascii="仿宋" w:hAnsi="仿宋" w:eastAsia="仿宋"/>
          <w:color w:val="auto"/>
          <w:sz w:val="24"/>
          <w:szCs w:val="24"/>
        </w:rPr>
        <w:t>1</w:t>
      </w:r>
      <w:r>
        <w:rPr>
          <w:rFonts w:hint="eastAsia" w:ascii="仿宋" w:hAnsi="仿宋" w:eastAsia="仿宋"/>
          <w:color w:val="auto"/>
          <w:sz w:val="24"/>
          <w:szCs w:val="24"/>
        </w:rPr>
        <w:t>监控中心大屏</w:t>
      </w:r>
    </w:p>
    <w:tbl>
      <w:tblPr>
        <w:tblStyle w:val="26"/>
        <w:tblW w:w="4973" w:type="pct"/>
        <w:jc w:val="center"/>
        <w:tblLayout w:type="autofit"/>
        <w:tblCellMar>
          <w:top w:w="0" w:type="dxa"/>
          <w:left w:w="108" w:type="dxa"/>
          <w:bottom w:w="0" w:type="dxa"/>
          <w:right w:w="108" w:type="dxa"/>
        </w:tblCellMar>
      </w:tblPr>
      <w:tblGrid>
        <w:gridCol w:w="575"/>
        <w:gridCol w:w="873"/>
        <w:gridCol w:w="6125"/>
        <w:gridCol w:w="437"/>
        <w:gridCol w:w="758"/>
        <w:gridCol w:w="808"/>
      </w:tblGrid>
      <w:tr>
        <w:tblPrEx>
          <w:tblCellMar>
            <w:top w:w="0" w:type="dxa"/>
            <w:left w:w="108" w:type="dxa"/>
            <w:bottom w:w="0" w:type="dxa"/>
            <w:right w:w="108" w:type="dxa"/>
          </w:tblCellMar>
        </w:tblPrEx>
        <w:trPr>
          <w:trHeight w:val="576" w:hRule="atLeast"/>
          <w:jc w:val="center"/>
        </w:trPr>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kern w:val="0"/>
                <w:szCs w:val="21"/>
              </w:rPr>
            </w:pPr>
            <w:r>
              <w:rPr>
                <w:rFonts w:hint="eastAsia" w:ascii="仿宋" w:hAnsi="仿宋" w:eastAsia="仿宋" w:cs="宋体"/>
                <w:b/>
                <w:bCs/>
                <w:color w:val="auto"/>
                <w:kern w:val="0"/>
                <w:szCs w:val="21"/>
              </w:rPr>
              <w:t>序号</w:t>
            </w:r>
          </w:p>
        </w:tc>
        <w:tc>
          <w:tcPr>
            <w:tcW w:w="45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kern w:val="0"/>
                <w:szCs w:val="21"/>
              </w:rPr>
            </w:pPr>
            <w:r>
              <w:rPr>
                <w:rFonts w:hint="eastAsia" w:ascii="仿宋" w:hAnsi="仿宋" w:eastAsia="仿宋" w:cs="宋体"/>
                <w:b/>
                <w:bCs/>
                <w:color w:val="auto"/>
                <w:kern w:val="0"/>
                <w:szCs w:val="21"/>
              </w:rPr>
              <w:t>名称</w:t>
            </w:r>
          </w:p>
        </w:tc>
        <w:tc>
          <w:tcPr>
            <w:tcW w:w="319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kern w:val="0"/>
                <w:szCs w:val="21"/>
              </w:rPr>
            </w:pPr>
            <w:r>
              <w:rPr>
                <w:rFonts w:hint="eastAsia" w:ascii="仿宋" w:hAnsi="仿宋" w:eastAsia="仿宋" w:cs="宋体"/>
                <w:b/>
                <w:bCs/>
                <w:color w:val="auto"/>
                <w:kern w:val="0"/>
                <w:szCs w:val="21"/>
              </w:rPr>
              <w:t>设计参数</w:t>
            </w:r>
          </w:p>
        </w:tc>
        <w:tc>
          <w:tcPr>
            <w:tcW w:w="22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kern w:val="0"/>
                <w:szCs w:val="21"/>
              </w:rPr>
            </w:pPr>
            <w:r>
              <w:rPr>
                <w:rFonts w:hint="eastAsia" w:ascii="仿宋" w:hAnsi="仿宋" w:eastAsia="仿宋" w:cs="宋体"/>
                <w:b/>
                <w:bCs/>
                <w:color w:val="auto"/>
                <w:kern w:val="0"/>
                <w:szCs w:val="21"/>
              </w:rPr>
              <w:t>单位</w:t>
            </w:r>
          </w:p>
        </w:tc>
        <w:tc>
          <w:tcPr>
            <w:tcW w:w="39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kern w:val="0"/>
                <w:szCs w:val="21"/>
              </w:rPr>
            </w:pPr>
            <w:r>
              <w:rPr>
                <w:rFonts w:hint="eastAsia" w:ascii="仿宋" w:hAnsi="仿宋" w:eastAsia="仿宋" w:cs="宋体"/>
                <w:b/>
                <w:bCs/>
                <w:color w:val="auto"/>
                <w:kern w:val="0"/>
                <w:szCs w:val="21"/>
              </w:rPr>
              <w:t>数量</w:t>
            </w:r>
          </w:p>
        </w:tc>
        <w:tc>
          <w:tcPr>
            <w:tcW w:w="42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kern w:val="0"/>
                <w:szCs w:val="21"/>
              </w:rPr>
            </w:pPr>
            <w:r>
              <w:rPr>
                <w:rFonts w:hint="eastAsia" w:ascii="仿宋" w:hAnsi="仿宋" w:eastAsia="仿宋" w:cs="宋体"/>
                <w:b/>
                <w:bCs/>
                <w:color w:val="auto"/>
                <w:kern w:val="0"/>
                <w:szCs w:val="21"/>
              </w:rPr>
              <w:t>推荐品牌</w:t>
            </w:r>
          </w:p>
        </w:tc>
      </w:tr>
      <w:tr>
        <w:tblPrEx>
          <w:tblCellMar>
            <w:top w:w="0" w:type="dxa"/>
            <w:left w:w="108" w:type="dxa"/>
            <w:bottom w:w="0" w:type="dxa"/>
            <w:right w:w="108" w:type="dxa"/>
          </w:tblCellMar>
        </w:tblPrEx>
        <w:trPr>
          <w:trHeight w:val="288" w:hRule="atLeast"/>
          <w:jc w:val="center"/>
        </w:trPr>
        <w:tc>
          <w:tcPr>
            <w:tcW w:w="300"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1</w:t>
            </w:r>
          </w:p>
        </w:tc>
        <w:tc>
          <w:tcPr>
            <w:tcW w:w="456"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LED显示屏</w:t>
            </w:r>
          </w:p>
        </w:tc>
        <w:tc>
          <w:tcPr>
            <w:tcW w:w="3198"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小间距LED全彩显示屏；</w:t>
            </w:r>
          </w:p>
        </w:tc>
        <w:tc>
          <w:tcPr>
            <w:tcW w:w="228"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w:t>
            </w:r>
          </w:p>
        </w:tc>
        <w:tc>
          <w:tcPr>
            <w:tcW w:w="396"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12.96</w:t>
            </w:r>
          </w:p>
        </w:tc>
        <w:tc>
          <w:tcPr>
            <w:tcW w:w="422" w:type="pct"/>
            <w:vMerge w:val="restart"/>
            <w:tcBorders>
              <w:top w:val="nil"/>
              <w:left w:val="single" w:color="auto" w:sz="4" w:space="0"/>
              <w:bottom w:val="single" w:color="auto" w:sz="4" w:space="0"/>
              <w:right w:val="single" w:color="auto" w:sz="4" w:space="0"/>
            </w:tcBorders>
            <w:shd w:val="clear" w:color="000000" w:fill="FFFFFF"/>
            <w:vAlign w:val="center"/>
          </w:tcPr>
          <w:p>
            <w:pPr>
              <w:widowControl/>
              <w:rPr>
                <w:rFonts w:ascii="仿宋" w:hAnsi="仿宋" w:eastAsia="仿宋" w:cs="宋体"/>
                <w:color w:val="auto"/>
                <w:kern w:val="0"/>
                <w:szCs w:val="21"/>
              </w:rPr>
            </w:pPr>
            <w:r>
              <w:rPr>
                <w:rFonts w:hint="eastAsia" w:ascii="仿宋" w:hAnsi="仿宋" w:eastAsia="仿宋" w:cs="宋体"/>
                <w:color w:val="auto"/>
                <w:kern w:val="0"/>
                <w:szCs w:val="21"/>
              </w:rPr>
              <w:t>海康威视、大华、宇视</w:t>
            </w:r>
          </w:p>
        </w:tc>
      </w:tr>
      <w:tr>
        <w:tblPrEx>
          <w:tblCellMar>
            <w:top w:w="0" w:type="dxa"/>
            <w:left w:w="108" w:type="dxa"/>
            <w:bottom w:w="0" w:type="dxa"/>
            <w:right w:w="108" w:type="dxa"/>
          </w:tblCellMar>
        </w:tblPrEx>
        <w:trPr>
          <w:trHeight w:val="288" w:hRule="atLeast"/>
          <w:jc w:val="center"/>
        </w:trPr>
        <w:tc>
          <w:tcPr>
            <w:tcW w:w="30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5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198"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像素间距：1.25mm；</w:t>
            </w:r>
          </w:p>
        </w:tc>
        <w:tc>
          <w:tcPr>
            <w:tcW w:w="22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9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2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r>
      <w:tr>
        <w:tblPrEx>
          <w:tblCellMar>
            <w:top w:w="0" w:type="dxa"/>
            <w:left w:w="108" w:type="dxa"/>
            <w:bottom w:w="0" w:type="dxa"/>
            <w:right w:w="108" w:type="dxa"/>
          </w:tblCellMar>
        </w:tblPrEx>
        <w:trPr>
          <w:trHeight w:val="588" w:hRule="atLeast"/>
          <w:jc w:val="center"/>
        </w:trPr>
        <w:tc>
          <w:tcPr>
            <w:tcW w:w="30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5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198"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箱体比例：16:9，全封闭压铸铝材质；</w:t>
            </w:r>
          </w:p>
        </w:tc>
        <w:tc>
          <w:tcPr>
            <w:tcW w:w="22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9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2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r>
      <w:tr>
        <w:tblPrEx>
          <w:tblCellMar>
            <w:top w:w="0" w:type="dxa"/>
            <w:left w:w="108" w:type="dxa"/>
            <w:bottom w:w="0" w:type="dxa"/>
            <w:right w:w="108" w:type="dxa"/>
          </w:tblCellMar>
        </w:tblPrEx>
        <w:trPr>
          <w:trHeight w:val="288" w:hRule="atLeast"/>
          <w:jc w:val="center"/>
        </w:trPr>
        <w:tc>
          <w:tcPr>
            <w:tcW w:w="30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5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198"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像素结构：LED表贴三合一；</w:t>
            </w:r>
          </w:p>
        </w:tc>
        <w:tc>
          <w:tcPr>
            <w:tcW w:w="22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9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2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r>
      <w:tr>
        <w:tblPrEx>
          <w:tblCellMar>
            <w:top w:w="0" w:type="dxa"/>
            <w:left w:w="108" w:type="dxa"/>
            <w:bottom w:w="0" w:type="dxa"/>
            <w:right w:w="108" w:type="dxa"/>
          </w:tblCellMar>
        </w:tblPrEx>
        <w:trPr>
          <w:trHeight w:val="576" w:hRule="atLeast"/>
          <w:jc w:val="center"/>
        </w:trPr>
        <w:tc>
          <w:tcPr>
            <w:tcW w:w="30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5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198"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箱体分辨率：480×270，箱体尺寸（mm）：600（W）×337.5（H）,2*2个灯板；</w:t>
            </w:r>
          </w:p>
        </w:tc>
        <w:tc>
          <w:tcPr>
            <w:tcW w:w="22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9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2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r>
      <w:tr>
        <w:tblPrEx>
          <w:tblCellMar>
            <w:top w:w="0" w:type="dxa"/>
            <w:left w:w="108" w:type="dxa"/>
            <w:bottom w:w="0" w:type="dxa"/>
            <w:right w:w="108" w:type="dxa"/>
          </w:tblCellMar>
        </w:tblPrEx>
        <w:trPr>
          <w:trHeight w:val="288" w:hRule="atLeast"/>
          <w:jc w:val="center"/>
        </w:trPr>
        <w:tc>
          <w:tcPr>
            <w:tcW w:w="30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5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198"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像素密度：640000点/㎡ ；</w:t>
            </w:r>
          </w:p>
        </w:tc>
        <w:tc>
          <w:tcPr>
            <w:tcW w:w="22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9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2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r>
      <w:tr>
        <w:tblPrEx>
          <w:tblCellMar>
            <w:top w:w="0" w:type="dxa"/>
            <w:left w:w="108" w:type="dxa"/>
            <w:bottom w:w="0" w:type="dxa"/>
            <w:right w:w="108" w:type="dxa"/>
          </w:tblCellMar>
        </w:tblPrEx>
        <w:trPr>
          <w:trHeight w:val="864" w:hRule="atLeast"/>
          <w:jc w:val="center"/>
        </w:trPr>
        <w:tc>
          <w:tcPr>
            <w:tcW w:w="30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5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198"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光学参数：显示屏亮度≥600cd/㎡，色温3000K—10000K可调，水平、垂直视角160°，亮度均匀性≥97%，色度均匀性±0.003Cx,Cy之内，最大对比度≥3000:1；刷新率：3840Hz</w:t>
            </w:r>
          </w:p>
        </w:tc>
        <w:tc>
          <w:tcPr>
            <w:tcW w:w="22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9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2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r>
      <w:tr>
        <w:tblPrEx>
          <w:tblCellMar>
            <w:top w:w="0" w:type="dxa"/>
            <w:left w:w="108" w:type="dxa"/>
            <w:bottom w:w="0" w:type="dxa"/>
            <w:right w:w="108" w:type="dxa"/>
          </w:tblCellMar>
        </w:tblPrEx>
        <w:trPr>
          <w:trHeight w:val="576" w:hRule="atLeast"/>
          <w:jc w:val="center"/>
        </w:trPr>
        <w:tc>
          <w:tcPr>
            <w:tcW w:w="30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5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198"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电气参数：峰值功耗850W/㎡，平均功耗＜280W/㎡，供电要求110~220VAC±15%；</w:t>
            </w:r>
          </w:p>
        </w:tc>
        <w:tc>
          <w:tcPr>
            <w:tcW w:w="22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9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2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r>
      <w:tr>
        <w:tblPrEx>
          <w:tblCellMar>
            <w:top w:w="0" w:type="dxa"/>
            <w:left w:w="108" w:type="dxa"/>
            <w:bottom w:w="0" w:type="dxa"/>
            <w:right w:w="108" w:type="dxa"/>
          </w:tblCellMar>
        </w:tblPrEx>
        <w:trPr>
          <w:trHeight w:val="576" w:hRule="atLeast"/>
          <w:jc w:val="center"/>
        </w:trPr>
        <w:tc>
          <w:tcPr>
            <w:tcW w:w="30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5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198"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工作温度范围0—40℃，存储温度范围-10—50℃，工作湿度范围（RH）无结露10-60%，存储湿度范围（RH）无结露10-70%；</w:t>
            </w:r>
          </w:p>
        </w:tc>
        <w:tc>
          <w:tcPr>
            <w:tcW w:w="22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9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2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r>
      <w:tr>
        <w:tblPrEx>
          <w:tblCellMar>
            <w:top w:w="0" w:type="dxa"/>
            <w:left w:w="108" w:type="dxa"/>
            <w:bottom w:w="0" w:type="dxa"/>
            <w:right w:w="108" w:type="dxa"/>
          </w:tblCellMar>
        </w:tblPrEx>
        <w:trPr>
          <w:trHeight w:val="864" w:hRule="atLeast"/>
          <w:jc w:val="center"/>
        </w:trPr>
        <w:tc>
          <w:tcPr>
            <w:tcW w:w="30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5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198"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▲LED制造商应具有较强的实验室检测能力，具备抗扰度GB/T 17618-2015 4.2.1和抗盐雾GB/T 2423.17-2008 6标准的测试能力（提供国家认可的中心实验室认证证书复印件及体现检测范围内容项）</w:t>
            </w:r>
          </w:p>
        </w:tc>
        <w:tc>
          <w:tcPr>
            <w:tcW w:w="22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9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2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r>
      <w:tr>
        <w:tblPrEx>
          <w:tblCellMar>
            <w:top w:w="0" w:type="dxa"/>
            <w:left w:w="108" w:type="dxa"/>
            <w:bottom w:w="0" w:type="dxa"/>
            <w:right w:w="108" w:type="dxa"/>
          </w:tblCellMar>
        </w:tblPrEx>
        <w:trPr>
          <w:trHeight w:val="864" w:hRule="atLeast"/>
          <w:jc w:val="center"/>
        </w:trPr>
        <w:tc>
          <w:tcPr>
            <w:tcW w:w="30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5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198"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▲支持网线掉线检测，信号连线过载检测，支持接入外部信源，自动搜索有效信号源并切换到该通道显示（提供首页具有CNAS及CMA标识的第三方检测报告复印件）</w:t>
            </w:r>
          </w:p>
        </w:tc>
        <w:tc>
          <w:tcPr>
            <w:tcW w:w="22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9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2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r>
      <w:tr>
        <w:tblPrEx>
          <w:tblCellMar>
            <w:top w:w="0" w:type="dxa"/>
            <w:left w:w="108" w:type="dxa"/>
            <w:bottom w:w="0" w:type="dxa"/>
            <w:right w:w="108" w:type="dxa"/>
          </w:tblCellMar>
        </w:tblPrEx>
        <w:trPr>
          <w:trHeight w:val="576" w:hRule="atLeast"/>
          <w:jc w:val="center"/>
        </w:trPr>
        <w:tc>
          <w:tcPr>
            <w:tcW w:w="300"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2</w:t>
            </w:r>
          </w:p>
        </w:tc>
        <w:tc>
          <w:tcPr>
            <w:tcW w:w="456"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LED发送卡</w:t>
            </w:r>
          </w:p>
        </w:tc>
        <w:tc>
          <w:tcPr>
            <w:tcW w:w="3198"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4个千兆网口输出，4个电口/光口自适应输出口，可任意连线带载1080P分辨率</w:t>
            </w:r>
          </w:p>
        </w:tc>
        <w:tc>
          <w:tcPr>
            <w:tcW w:w="228"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台</w:t>
            </w:r>
          </w:p>
        </w:tc>
        <w:tc>
          <w:tcPr>
            <w:tcW w:w="396"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4</w:t>
            </w:r>
          </w:p>
        </w:tc>
        <w:tc>
          <w:tcPr>
            <w:tcW w:w="42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r>
      <w:tr>
        <w:tblPrEx>
          <w:tblCellMar>
            <w:top w:w="0" w:type="dxa"/>
            <w:left w:w="108" w:type="dxa"/>
            <w:bottom w:w="0" w:type="dxa"/>
            <w:right w:w="108" w:type="dxa"/>
          </w:tblCellMar>
        </w:tblPrEx>
        <w:trPr>
          <w:trHeight w:val="288" w:hRule="atLeast"/>
          <w:jc w:val="center"/>
        </w:trPr>
        <w:tc>
          <w:tcPr>
            <w:tcW w:w="30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5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198"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多控制器拼接级联显示，支持组播控制，实现完美同步</w:t>
            </w:r>
          </w:p>
        </w:tc>
        <w:tc>
          <w:tcPr>
            <w:tcW w:w="22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9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2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r>
      <w:tr>
        <w:tblPrEx>
          <w:tblCellMar>
            <w:top w:w="0" w:type="dxa"/>
            <w:left w:w="108" w:type="dxa"/>
            <w:bottom w:w="0" w:type="dxa"/>
            <w:right w:w="108" w:type="dxa"/>
          </w:tblCellMar>
        </w:tblPrEx>
        <w:trPr>
          <w:trHeight w:val="288" w:hRule="atLeast"/>
          <w:jc w:val="center"/>
        </w:trPr>
        <w:tc>
          <w:tcPr>
            <w:tcW w:w="30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5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198"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支持超长条屏字幕显示，支持字幕左/右对齐、居中或滚动显示</w:t>
            </w:r>
          </w:p>
        </w:tc>
        <w:tc>
          <w:tcPr>
            <w:tcW w:w="22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9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2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r>
      <w:tr>
        <w:tblPrEx>
          <w:tblCellMar>
            <w:top w:w="0" w:type="dxa"/>
            <w:left w:w="108" w:type="dxa"/>
            <w:bottom w:w="0" w:type="dxa"/>
            <w:right w:w="108" w:type="dxa"/>
          </w:tblCellMar>
        </w:tblPrEx>
        <w:trPr>
          <w:trHeight w:val="576" w:hRule="atLeast"/>
          <w:jc w:val="center"/>
        </w:trPr>
        <w:tc>
          <w:tcPr>
            <w:tcW w:w="30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5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198"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自动除湿功能，有效保护受潮灯珠；四个湿度等级除湿模式，适用于不同湿度地区</w:t>
            </w:r>
          </w:p>
        </w:tc>
        <w:tc>
          <w:tcPr>
            <w:tcW w:w="22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9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2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r>
      <w:tr>
        <w:tblPrEx>
          <w:tblCellMar>
            <w:top w:w="0" w:type="dxa"/>
            <w:left w:w="108" w:type="dxa"/>
            <w:bottom w:w="0" w:type="dxa"/>
            <w:right w:w="108" w:type="dxa"/>
          </w:tblCellMar>
        </w:tblPrEx>
        <w:trPr>
          <w:trHeight w:val="288" w:hRule="atLeast"/>
          <w:jc w:val="center"/>
        </w:trPr>
        <w:tc>
          <w:tcPr>
            <w:tcW w:w="30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5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198"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远程客户端操作设备，快捷方便</w:t>
            </w:r>
          </w:p>
        </w:tc>
        <w:tc>
          <w:tcPr>
            <w:tcW w:w="22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9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2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r>
      <w:tr>
        <w:tblPrEx>
          <w:tblCellMar>
            <w:top w:w="0" w:type="dxa"/>
            <w:left w:w="108" w:type="dxa"/>
            <w:bottom w:w="0" w:type="dxa"/>
            <w:right w:w="108" w:type="dxa"/>
          </w:tblCellMar>
        </w:tblPrEx>
        <w:trPr>
          <w:trHeight w:val="288" w:hRule="atLeast"/>
          <w:jc w:val="center"/>
        </w:trPr>
        <w:tc>
          <w:tcPr>
            <w:tcW w:w="30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5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198"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支持遥控控制，屏幕显示遥控OSD 提示</w:t>
            </w:r>
          </w:p>
        </w:tc>
        <w:tc>
          <w:tcPr>
            <w:tcW w:w="22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9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2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r>
      <w:tr>
        <w:tblPrEx>
          <w:tblCellMar>
            <w:top w:w="0" w:type="dxa"/>
            <w:left w:w="108" w:type="dxa"/>
            <w:bottom w:w="0" w:type="dxa"/>
            <w:right w:w="108" w:type="dxa"/>
          </w:tblCellMar>
        </w:tblPrEx>
        <w:trPr>
          <w:trHeight w:val="288" w:hRule="atLeast"/>
          <w:jc w:val="center"/>
        </w:trPr>
        <w:tc>
          <w:tcPr>
            <w:tcW w:w="30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5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198"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任意网段内IP 自动获取，确保IP 无冲突，保证网络安全</w:t>
            </w:r>
          </w:p>
        </w:tc>
        <w:tc>
          <w:tcPr>
            <w:tcW w:w="22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9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2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r>
      <w:tr>
        <w:tblPrEx>
          <w:tblCellMar>
            <w:top w:w="0" w:type="dxa"/>
            <w:left w:w="108" w:type="dxa"/>
            <w:bottom w:w="0" w:type="dxa"/>
            <w:right w:w="108" w:type="dxa"/>
          </w:tblCellMar>
        </w:tblPrEx>
        <w:trPr>
          <w:trHeight w:val="288" w:hRule="atLeast"/>
          <w:jc w:val="center"/>
        </w:trPr>
        <w:tc>
          <w:tcPr>
            <w:tcW w:w="30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5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198"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控制接口：RJ45</w:t>
            </w:r>
          </w:p>
        </w:tc>
        <w:tc>
          <w:tcPr>
            <w:tcW w:w="22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9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2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r>
      <w:tr>
        <w:tblPrEx>
          <w:tblCellMar>
            <w:top w:w="0" w:type="dxa"/>
            <w:left w:w="108" w:type="dxa"/>
            <w:bottom w:w="0" w:type="dxa"/>
            <w:right w:w="108" w:type="dxa"/>
          </w:tblCellMar>
        </w:tblPrEx>
        <w:trPr>
          <w:trHeight w:val="288" w:hRule="atLeast"/>
          <w:jc w:val="center"/>
        </w:trPr>
        <w:tc>
          <w:tcPr>
            <w:tcW w:w="30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5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198"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信号输入接口：1路HDMI输入</w:t>
            </w:r>
          </w:p>
        </w:tc>
        <w:tc>
          <w:tcPr>
            <w:tcW w:w="22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9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2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r>
      <w:tr>
        <w:tblPrEx>
          <w:tblCellMar>
            <w:top w:w="0" w:type="dxa"/>
            <w:left w:w="108" w:type="dxa"/>
            <w:bottom w:w="0" w:type="dxa"/>
            <w:right w:w="108" w:type="dxa"/>
          </w:tblCellMar>
        </w:tblPrEx>
        <w:trPr>
          <w:trHeight w:val="576" w:hRule="atLeast"/>
          <w:jc w:val="center"/>
        </w:trPr>
        <w:tc>
          <w:tcPr>
            <w:tcW w:w="30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5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198"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信号输出接口：1路HDMI输出,4路千兆网口输出，单口网口最大带载65万像素</w:t>
            </w:r>
          </w:p>
        </w:tc>
        <w:tc>
          <w:tcPr>
            <w:tcW w:w="22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9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2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r>
      <w:tr>
        <w:tblPrEx>
          <w:tblCellMar>
            <w:top w:w="0" w:type="dxa"/>
            <w:left w:w="108" w:type="dxa"/>
            <w:bottom w:w="0" w:type="dxa"/>
            <w:right w:w="108" w:type="dxa"/>
          </w:tblCellMar>
        </w:tblPrEx>
        <w:trPr>
          <w:trHeight w:val="288" w:hRule="atLeast"/>
          <w:jc w:val="center"/>
        </w:trPr>
        <w:tc>
          <w:tcPr>
            <w:tcW w:w="30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5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198"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最大帯载能力：260万像素，2048×1152@60Hz或1920×1200@60Hz</w:t>
            </w:r>
          </w:p>
        </w:tc>
        <w:tc>
          <w:tcPr>
            <w:tcW w:w="22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9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2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r>
      <w:tr>
        <w:tblPrEx>
          <w:tblCellMar>
            <w:top w:w="0" w:type="dxa"/>
            <w:left w:w="108" w:type="dxa"/>
            <w:bottom w:w="0" w:type="dxa"/>
            <w:right w:w="108" w:type="dxa"/>
          </w:tblCellMar>
        </w:tblPrEx>
        <w:trPr>
          <w:trHeight w:val="288" w:hRule="atLeast"/>
          <w:jc w:val="center"/>
        </w:trPr>
        <w:tc>
          <w:tcPr>
            <w:tcW w:w="30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5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198"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亮度控制：1-100</w:t>
            </w:r>
          </w:p>
        </w:tc>
        <w:tc>
          <w:tcPr>
            <w:tcW w:w="22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9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2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r>
      <w:tr>
        <w:tblPrEx>
          <w:tblCellMar>
            <w:top w:w="0" w:type="dxa"/>
            <w:left w:w="108" w:type="dxa"/>
            <w:bottom w:w="0" w:type="dxa"/>
            <w:right w:w="108" w:type="dxa"/>
          </w:tblCellMar>
        </w:tblPrEx>
        <w:trPr>
          <w:trHeight w:val="288" w:hRule="atLeast"/>
          <w:jc w:val="center"/>
        </w:trPr>
        <w:tc>
          <w:tcPr>
            <w:tcW w:w="30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5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198"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换帧频率：60</w:t>
            </w:r>
          </w:p>
        </w:tc>
        <w:tc>
          <w:tcPr>
            <w:tcW w:w="22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9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2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r>
      <w:tr>
        <w:tblPrEx>
          <w:tblCellMar>
            <w:top w:w="0" w:type="dxa"/>
            <w:left w:w="108" w:type="dxa"/>
            <w:bottom w:w="0" w:type="dxa"/>
            <w:right w:w="108" w:type="dxa"/>
          </w:tblCellMar>
        </w:tblPrEx>
        <w:trPr>
          <w:trHeight w:val="288" w:hRule="atLeast"/>
          <w:jc w:val="center"/>
        </w:trPr>
        <w:tc>
          <w:tcPr>
            <w:tcW w:w="30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5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198"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灰度等级：65535</w:t>
            </w:r>
          </w:p>
        </w:tc>
        <w:tc>
          <w:tcPr>
            <w:tcW w:w="22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9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2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r>
      <w:tr>
        <w:tblPrEx>
          <w:tblCellMar>
            <w:top w:w="0" w:type="dxa"/>
            <w:left w:w="108" w:type="dxa"/>
            <w:bottom w:w="0" w:type="dxa"/>
            <w:right w:w="108" w:type="dxa"/>
          </w:tblCellMar>
        </w:tblPrEx>
        <w:trPr>
          <w:trHeight w:val="288" w:hRule="atLeast"/>
          <w:jc w:val="center"/>
        </w:trPr>
        <w:tc>
          <w:tcPr>
            <w:tcW w:w="30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5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198"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显示颜色：2^16 × 2^16 × 2^16</w:t>
            </w:r>
          </w:p>
        </w:tc>
        <w:tc>
          <w:tcPr>
            <w:tcW w:w="22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9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2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r>
      <w:tr>
        <w:tblPrEx>
          <w:tblCellMar>
            <w:top w:w="0" w:type="dxa"/>
            <w:left w:w="108" w:type="dxa"/>
            <w:bottom w:w="0" w:type="dxa"/>
            <w:right w:w="108" w:type="dxa"/>
          </w:tblCellMar>
        </w:tblPrEx>
        <w:trPr>
          <w:trHeight w:val="288" w:hRule="atLeast"/>
          <w:jc w:val="center"/>
        </w:trPr>
        <w:tc>
          <w:tcPr>
            <w:tcW w:w="30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5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198"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处理深度：8bit 10bit</w:t>
            </w:r>
          </w:p>
        </w:tc>
        <w:tc>
          <w:tcPr>
            <w:tcW w:w="22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9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2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r>
      <w:tr>
        <w:tblPrEx>
          <w:tblCellMar>
            <w:top w:w="0" w:type="dxa"/>
            <w:left w:w="108" w:type="dxa"/>
            <w:bottom w:w="0" w:type="dxa"/>
            <w:right w:w="108" w:type="dxa"/>
          </w:tblCellMar>
        </w:tblPrEx>
        <w:trPr>
          <w:trHeight w:val="288" w:hRule="atLeast"/>
          <w:jc w:val="center"/>
        </w:trPr>
        <w:tc>
          <w:tcPr>
            <w:tcW w:w="30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5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198"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峰值功耗：36W</w:t>
            </w:r>
          </w:p>
        </w:tc>
        <w:tc>
          <w:tcPr>
            <w:tcW w:w="22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9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2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r>
      <w:tr>
        <w:tblPrEx>
          <w:tblCellMar>
            <w:top w:w="0" w:type="dxa"/>
            <w:left w:w="108" w:type="dxa"/>
            <w:bottom w:w="0" w:type="dxa"/>
            <w:right w:w="108" w:type="dxa"/>
          </w:tblCellMar>
        </w:tblPrEx>
        <w:trPr>
          <w:trHeight w:val="288" w:hRule="atLeast"/>
          <w:jc w:val="center"/>
        </w:trPr>
        <w:tc>
          <w:tcPr>
            <w:tcW w:w="30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5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198"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平均功耗：26W</w:t>
            </w:r>
          </w:p>
        </w:tc>
        <w:tc>
          <w:tcPr>
            <w:tcW w:w="22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9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2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r>
      <w:tr>
        <w:tblPrEx>
          <w:tblCellMar>
            <w:top w:w="0" w:type="dxa"/>
            <w:left w:w="108" w:type="dxa"/>
            <w:bottom w:w="0" w:type="dxa"/>
            <w:right w:w="108" w:type="dxa"/>
          </w:tblCellMar>
        </w:tblPrEx>
        <w:trPr>
          <w:trHeight w:val="288" w:hRule="atLeast"/>
          <w:jc w:val="center"/>
        </w:trPr>
        <w:tc>
          <w:tcPr>
            <w:tcW w:w="30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5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198"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供电要求：AC 100~240V 50~60Hz</w:t>
            </w:r>
          </w:p>
        </w:tc>
        <w:tc>
          <w:tcPr>
            <w:tcW w:w="22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9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2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r>
      <w:tr>
        <w:tblPrEx>
          <w:tblCellMar>
            <w:top w:w="0" w:type="dxa"/>
            <w:left w:w="108" w:type="dxa"/>
            <w:bottom w:w="0" w:type="dxa"/>
            <w:right w:w="108" w:type="dxa"/>
          </w:tblCellMar>
        </w:tblPrEx>
        <w:trPr>
          <w:trHeight w:val="288" w:hRule="atLeast"/>
          <w:jc w:val="center"/>
        </w:trPr>
        <w:tc>
          <w:tcPr>
            <w:tcW w:w="300"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3</w:t>
            </w:r>
          </w:p>
        </w:tc>
        <w:tc>
          <w:tcPr>
            <w:tcW w:w="456" w:type="pct"/>
            <w:tcBorders>
              <w:top w:val="nil"/>
              <w:left w:val="nil"/>
              <w:bottom w:val="single" w:color="auto" w:sz="4" w:space="0"/>
              <w:right w:val="single" w:color="auto" w:sz="4" w:space="0"/>
            </w:tcBorders>
            <w:shd w:val="clear" w:color="000000" w:fill="FFFFFF"/>
            <w:vAlign w:val="center"/>
          </w:tcPr>
          <w:p>
            <w:pPr>
              <w:widowControl/>
              <w:rPr>
                <w:rFonts w:ascii="仿宋" w:hAnsi="仿宋" w:eastAsia="仿宋" w:cs="宋体"/>
                <w:color w:val="auto"/>
                <w:kern w:val="0"/>
                <w:szCs w:val="21"/>
              </w:rPr>
            </w:pPr>
            <w:r>
              <w:rPr>
                <w:rFonts w:hint="eastAsia" w:ascii="仿宋" w:hAnsi="仿宋" w:eastAsia="仿宋" w:cs="宋体"/>
                <w:color w:val="auto"/>
                <w:kern w:val="0"/>
                <w:szCs w:val="21"/>
              </w:rPr>
              <w:t>支架</w:t>
            </w:r>
          </w:p>
        </w:tc>
        <w:tc>
          <w:tcPr>
            <w:tcW w:w="3198"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一体化框架</w:t>
            </w:r>
          </w:p>
        </w:tc>
        <w:tc>
          <w:tcPr>
            <w:tcW w:w="228" w:type="pct"/>
            <w:tcBorders>
              <w:top w:val="nil"/>
              <w:left w:val="nil"/>
              <w:bottom w:val="single" w:color="auto" w:sz="4" w:space="0"/>
              <w:right w:val="single" w:color="auto" w:sz="4" w:space="0"/>
            </w:tcBorders>
            <w:shd w:val="clear" w:color="000000" w:fill="FFFFFF"/>
            <w:vAlign w:val="center"/>
          </w:tcPr>
          <w:p>
            <w:pPr>
              <w:widowControl/>
              <w:rPr>
                <w:rFonts w:ascii="仿宋" w:hAnsi="仿宋" w:eastAsia="仿宋" w:cs="宋体"/>
                <w:color w:val="auto"/>
                <w:kern w:val="0"/>
                <w:szCs w:val="21"/>
              </w:rPr>
            </w:pPr>
            <w:r>
              <w:rPr>
                <w:rFonts w:hint="eastAsia" w:ascii="仿宋" w:hAnsi="仿宋" w:eastAsia="仿宋" w:cs="宋体"/>
                <w:color w:val="auto"/>
                <w:kern w:val="0"/>
                <w:szCs w:val="21"/>
              </w:rPr>
              <w:t>㎡</w:t>
            </w:r>
          </w:p>
        </w:tc>
        <w:tc>
          <w:tcPr>
            <w:tcW w:w="396"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12.96</w:t>
            </w:r>
          </w:p>
        </w:tc>
        <w:tc>
          <w:tcPr>
            <w:tcW w:w="42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r>
      <w:tr>
        <w:tblPrEx>
          <w:tblCellMar>
            <w:top w:w="0" w:type="dxa"/>
            <w:left w:w="108" w:type="dxa"/>
            <w:bottom w:w="0" w:type="dxa"/>
            <w:right w:w="108" w:type="dxa"/>
          </w:tblCellMar>
        </w:tblPrEx>
        <w:trPr>
          <w:trHeight w:val="576" w:hRule="atLeast"/>
          <w:jc w:val="center"/>
        </w:trPr>
        <w:tc>
          <w:tcPr>
            <w:tcW w:w="300"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4</w:t>
            </w:r>
          </w:p>
        </w:tc>
        <w:tc>
          <w:tcPr>
            <w:tcW w:w="456" w:type="pct"/>
            <w:vMerge w:val="restart"/>
            <w:tcBorders>
              <w:top w:val="nil"/>
              <w:left w:val="single" w:color="auto" w:sz="4" w:space="0"/>
              <w:bottom w:val="single" w:color="auto" w:sz="4" w:space="0"/>
              <w:right w:val="single" w:color="auto" w:sz="4" w:space="0"/>
            </w:tcBorders>
            <w:shd w:val="clear" w:color="000000" w:fill="FFFFFF"/>
            <w:vAlign w:val="center"/>
          </w:tcPr>
          <w:p>
            <w:pPr>
              <w:widowControl/>
              <w:rPr>
                <w:rFonts w:ascii="仿宋" w:hAnsi="仿宋" w:eastAsia="仿宋" w:cs="宋体"/>
                <w:color w:val="auto"/>
                <w:kern w:val="0"/>
                <w:szCs w:val="21"/>
              </w:rPr>
            </w:pPr>
            <w:r>
              <w:rPr>
                <w:rFonts w:hint="eastAsia" w:ascii="仿宋" w:hAnsi="仿宋" w:eastAsia="仿宋" w:cs="宋体"/>
                <w:color w:val="auto"/>
                <w:kern w:val="0"/>
                <w:szCs w:val="21"/>
              </w:rPr>
              <w:t>视频综合平台</w:t>
            </w:r>
          </w:p>
        </w:tc>
        <w:tc>
          <w:tcPr>
            <w:tcW w:w="3198"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8路DVI进+8路HDMI出支持DVI/HDMI/DP/VGA/TVI/3G-SDI/HD-SDI/BNC视频信号接入编码</w:t>
            </w:r>
          </w:p>
        </w:tc>
        <w:tc>
          <w:tcPr>
            <w:tcW w:w="228"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套</w:t>
            </w:r>
          </w:p>
        </w:tc>
        <w:tc>
          <w:tcPr>
            <w:tcW w:w="396"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1</w:t>
            </w:r>
          </w:p>
        </w:tc>
        <w:tc>
          <w:tcPr>
            <w:tcW w:w="42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r>
      <w:tr>
        <w:tblPrEx>
          <w:tblCellMar>
            <w:top w:w="0" w:type="dxa"/>
            <w:left w:w="108" w:type="dxa"/>
            <w:bottom w:w="0" w:type="dxa"/>
            <w:right w:w="108" w:type="dxa"/>
          </w:tblCellMar>
        </w:tblPrEx>
        <w:trPr>
          <w:trHeight w:val="288" w:hRule="atLeast"/>
          <w:jc w:val="center"/>
        </w:trPr>
        <w:tc>
          <w:tcPr>
            <w:tcW w:w="30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5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198"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支持DVI、HDMI输出显示</w:t>
            </w:r>
          </w:p>
        </w:tc>
        <w:tc>
          <w:tcPr>
            <w:tcW w:w="22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9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2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r>
      <w:tr>
        <w:tblPrEx>
          <w:tblCellMar>
            <w:top w:w="0" w:type="dxa"/>
            <w:left w:w="108" w:type="dxa"/>
            <w:bottom w:w="0" w:type="dxa"/>
            <w:right w:w="108" w:type="dxa"/>
          </w:tblCellMar>
        </w:tblPrEx>
        <w:trPr>
          <w:trHeight w:val="288" w:hRule="atLeast"/>
          <w:jc w:val="center"/>
        </w:trPr>
        <w:tc>
          <w:tcPr>
            <w:tcW w:w="30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5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198"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单输出口支持1/4/6/8/9/16画面分割显示</w:t>
            </w:r>
          </w:p>
        </w:tc>
        <w:tc>
          <w:tcPr>
            <w:tcW w:w="22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9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2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r>
      <w:tr>
        <w:tblPrEx>
          <w:tblCellMar>
            <w:top w:w="0" w:type="dxa"/>
            <w:left w:w="108" w:type="dxa"/>
            <w:bottom w:w="0" w:type="dxa"/>
            <w:right w:w="108" w:type="dxa"/>
          </w:tblCellMar>
        </w:tblPrEx>
        <w:trPr>
          <w:trHeight w:val="288" w:hRule="atLeast"/>
          <w:jc w:val="center"/>
        </w:trPr>
        <w:tc>
          <w:tcPr>
            <w:tcW w:w="30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5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198"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支持H.265、H.264、MPEG4、MJPEG等主流的编码格式</w:t>
            </w:r>
          </w:p>
        </w:tc>
        <w:tc>
          <w:tcPr>
            <w:tcW w:w="22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9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2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r>
      <w:tr>
        <w:tblPrEx>
          <w:tblCellMar>
            <w:top w:w="0" w:type="dxa"/>
            <w:left w:w="108" w:type="dxa"/>
            <w:bottom w:w="0" w:type="dxa"/>
            <w:right w:w="108" w:type="dxa"/>
          </w:tblCellMar>
        </w:tblPrEx>
        <w:trPr>
          <w:trHeight w:val="288" w:hRule="atLeast"/>
          <w:jc w:val="center"/>
        </w:trPr>
        <w:tc>
          <w:tcPr>
            <w:tcW w:w="30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5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198"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支持PS、TS、ES、RTP、HIK等主流封装格式</w:t>
            </w:r>
          </w:p>
        </w:tc>
        <w:tc>
          <w:tcPr>
            <w:tcW w:w="22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9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2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r>
      <w:tr>
        <w:tblPrEx>
          <w:tblCellMar>
            <w:top w:w="0" w:type="dxa"/>
            <w:left w:w="108" w:type="dxa"/>
            <w:bottom w:w="0" w:type="dxa"/>
            <w:right w:w="108" w:type="dxa"/>
          </w:tblCellMar>
        </w:tblPrEx>
        <w:trPr>
          <w:trHeight w:val="288" w:hRule="atLeast"/>
          <w:jc w:val="center"/>
        </w:trPr>
        <w:tc>
          <w:tcPr>
            <w:tcW w:w="30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5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198"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支持ONVIF协议接入设备解码</w:t>
            </w:r>
          </w:p>
        </w:tc>
        <w:tc>
          <w:tcPr>
            <w:tcW w:w="22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9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2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r>
      <w:tr>
        <w:tblPrEx>
          <w:tblCellMar>
            <w:top w:w="0" w:type="dxa"/>
            <w:left w:w="108" w:type="dxa"/>
            <w:bottom w:w="0" w:type="dxa"/>
            <w:right w:w="108" w:type="dxa"/>
          </w:tblCellMar>
        </w:tblPrEx>
        <w:trPr>
          <w:trHeight w:val="288" w:hRule="atLeast"/>
          <w:jc w:val="center"/>
        </w:trPr>
        <w:tc>
          <w:tcPr>
            <w:tcW w:w="30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5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198"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支持开窗和漫游功能</w:t>
            </w:r>
          </w:p>
        </w:tc>
        <w:tc>
          <w:tcPr>
            <w:tcW w:w="22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9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2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r>
      <w:tr>
        <w:tblPrEx>
          <w:tblCellMar>
            <w:top w:w="0" w:type="dxa"/>
            <w:left w:w="108" w:type="dxa"/>
            <w:bottom w:w="0" w:type="dxa"/>
            <w:right w:w="108" w:type="dxa"/>
          </w:tblCellMar>
        </w:tblPrEx>
        <w:trPr>
          <w:trHeight w:val="288" w:hRule="atLeast"/>
          <w:jc w:val="center"/>
        </w:trPr>
        <w:tc>
          <w:tcPr>
            <w:tcW w:w="30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5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198"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窗口支持1/4/6/8/9/16画面分割</w:t>
            </w:r>
          </w:p>
        </w:tc>
        <w:tc>
          <w:tcPr>
            <w:tcW w:w="22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9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2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r>
      <w:tr>
        <w:tblPrEx>
          <w:tblCellMar>
            <w:top w:w="0" w:type="dxa"/>
            <w:left w:w="108" w:type="dxa"/>
            <w:bottom w:w="0" w:type="dxa"/>
            <w:right w:w="108" w:type="dxa"/>
          </w:tblCellMar>
        </w:tblPrEx>
        <w:trPr>
          <w:trHeight w:val="288" w:hRule="atLeast"/>
          <w:jc w:val="center"/>
        </w:trPr>
        <w:tc>
          <w:tcPr>
            <w:tcW w:w="30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5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198"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最大支持64个预设场景，用户可以自定义每个场景电视墙布局</w:t>
            </w:r>
          </w:p>
        </w:tc>
        <w:tc>
          <w:tcPr>
            <w:tcW w:w="22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9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2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r>
      <w:tr>
        <w:tblPrEx>
          <w:tblCellMar>
            <w:top w:w="0" w:type="dxa"/>
            <w:left w:w="108" w:type="dxa"/>
            <w:bottom w:w="0" w:type="dxa"/>
            <w:right w:w="108" w:type="dxa"/>
          </w:tblCellMar>
        </w:tblPrEx>
        <w:trPr>
          <w:trHeight w:val="864" w:hRule="atLeast"/>
          <w:jc w:val="center"/>
        </w:trPr>
        <w:tc>
          <w:tcPr>
            <w:tcW w:w="30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5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198"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▲产品支持虚拟云台控制功能，具备虚拟云台控制按键，可调整球机和云台的运行速度和方向，并且支持多用户云台抢占、云台控制锁定功能（提供公安部出具的封面具有CNAS标志的报告复印件加盖原厂商公章）</w:t>
            </w:r>
          </w:p>
        </w:tc>
        <w:tc>
          <w:tcPr>
            <w:tcW w:w="22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9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2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r>
      <w:tr>
        <w:tblPrEx>
          <w:tblCellMar>
            <w:top w:w="0" w:type="dxa"/>
            <w:left w:w="108" w:type="dxa"/>
            <w:bottom w:w="0" w:type="dxa"/>
            <w:right w:w="108" w:type="dxa"/>
          </w:tblCellMar>
        </w:tblPrEx>
        <w:trPr>
          <w:trHeight w:val="288" w:hRule="atLeast"/>
          <w:jc w:val="center"/>
        </w:trPr>
        <w:tc>
          <w:tcPr>
            <w:tcW w:w="30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5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198"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支持场景预案</w:t>
            </w:r>
          </w:p>
        </w:tc>
        <w:tc>
          <w:tcPr>
            <w:tcW w:w="22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9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2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r>
      <w:tr>
        <w:tblPrEx>
          <w:tblCellMar>
            <w:top w:w="0" w:type="dxa"/>
            <w:left w:w="108" w:type="dxa"/>
            <w:bottom w:w="0" w:type="dxa"/>
            <w:right w:w="108" w:type="dxa"/>
          </w:tblCellMar>
        </w:tblPrEx>
        <w:trPr>
          <w:trHeight w:val="288" w:hRule="atLeast"/>
          <w:jc w:val="center"/>
        </w:trPr>
        <w:tc>
          <w:tcPr>
            <w:tcW w:w="30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5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198"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总线类型：PCIE</w:t>
            </w:r>
          </w:p>
        </w:tc>
        <w:tc>
          <w:tcPr>
            <w:tcW w:w="22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9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2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r>
      <w:tr>
        <w:tblPrEx>
          <w:tblCellMar>
            <w:top w:w="0" w:type="dxa"/>
            <w:left w:w="108" w:type="dxa"/>
            <w:bottom w:w="0" w:type="dxa"/>
            <w:right w:w="108" w:type="dxa"/>
          </w:tblCellMar>
        </w:tblPrEx>
        <w:trPr>
          <w:trHeight w:val="288" w:hRule="atLeast"/>
          <w:jc w:val="center"/>
        </w:trPr>
        <w:tc>
          <w:tcPr>
            <w:tcW w:w="30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5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198"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信号采样质量：YUV420</w:t>
            </w:r>
          </w:p>
        </w:tc>
        <w:tc>
          <w:tcPr>
            <w:tcW w:w="22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9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2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r>
      <w:tr>
        <w:tblPrEx>
          <w:tblCellMar>
            <w:top w:w="0" w:type="dxa"/>
            <w:left w:w="108" w:type="dxa"/>
            <w:bottom w:w="0" w:type="dxa"/>
            <w:right w:w="108" w:type="dxa"/>
          </w:tblCellMar>
        </w:tblPrEx>
        <w:trPr>
          <w:trHeight w:val="288" w:hRule="atLeast"/>
          <w:jc w:val="center"/>
        </w:trPr>
        <w:tc>
          <w:tcPr>
            <w:tcW w:w="30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5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198"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配置主控板数量：1</w:t>
            </w:r>
          </w:p>
        </w:tc>
        <w:tc>
          <w:tcPr>
            <w:tcW w:w="22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9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2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r>
      <w:tr>
        <w:tblPrEx>
          <w:tblCellMar>
            <w:top w:w="0" w:type="dxa"/>
            <w:left w:w="108" w:type="dxa"/>
            <w:bottom w:w="0" w:type="dxa"/>
            <w:right w:w="108" w:type="dxa"/>
          </w:tblCellMar>
        </w:tblPrEx>
        <w:trPr>
          <w:trHeight w:val="288" w:hRule="atLeast"/>
          <w:jc w:val="center"/>
        </w:trPr>
        <w:tc>
          <w:tcPr>
            <w:tcW w:w="30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5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198"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配置电源数量：1</w:t>
            </w:r>
          </w:p>
        </w:tc>
        <w:tc>
          <w:tcPr>
            <w:tcW w:w="22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9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2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r>
      <w:tr>
        <w:tblPrEx>
          <w:tblCellMar>
            <w:top w:w="0" w:type="dxa"/>
            <w:left w:w="108" w:type="dxa"/>
            <w:bottom w:w="0" w:type="dxa"/>
            <w:right w:w="108" w:type="dxa"/>
          </w:tblCellMar>
        </w:tblPrEx>
        <w:trPr>
          <w:trHeight w:val="288" w:hRule="atLeast"/>
          <w:jc w:val="center"/>
        </w:trPr>
        <w:tc>
          <w:tcPr>
            <w:tcW w:w="30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5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198"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整机解码能力：64路1080P</w:t>
            </w:r>
          </w:p>
        </w:tc>
        <w:tc>
          <w:tcPr>
            <w:tcW w:w="22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9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2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r>
      <w:tr>
        <w:tblPrEx>
          <w:tblCellMar>
            <w:top w:w="0" w:type="dxa"/>
            <w:left w:w="108" w:type="dxa"/>
            <w:bottom w:w="0" w:type="dxa"/>
            <w:right w:w="108" w:type="dxa"/>
          </w:tblCellMar>
        </w:tblPrEx>
        <w:trPr>
          <w:trHeight w:val="288" w:hRule="atLeast"/>
          <w:jc w:val="center"/>
        </w:trPr>
        <w:tc>
          <w:tcPr>
            <w:tcW w:w="30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5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198"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整机编码能力：8路1080P</w:t>
            </w:r>
          </w:p>
        </w:tc>
        <w:tc>
          <w:tcPr>
            <w:tcW w:w="22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9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2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r>
      <w:tr>
        <w:tblPrEx>
          <w:tblCellMar>
            <w:top w:w="0" w:type="dxa"/>
            <w:left w:w="108" w:type="dxa"/>
            <w:bottom w:w="0" w:type="dxa"/>
            <w:right w:w="108" w:type="dxa"/>
          </w:tblCellMar>
        </w:tblPrEx>
        <w:trPr>
          <w:trHeight w:val="288" w:hRule="atLeast"/>
          <w:jc w:val="center"/>
        </w:trPr>
        <w:tc>
          <w:tcPr>
            <w:tcW w:w="30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5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198"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整机拼接能力：8</w:t>
            </w:r>
          </w:p>
        </w:tc>
        <w:tc>
          <w:tcPr>
            <w:tcW w:w="22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9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2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r>
      <w:tr>
        <w:tblPrEx>
          <w:tblCellMar>
            <w:top w:w="0" w:type="dxa"/>
            <w:left w:w="108" w:type="dxa"/>
            <w:bottom w:w="0" w:type="dxa"/>
            <w:right w:w="108" w:type="dxa"/>
          </w:tblCellMar>
        </w:tblPrEx>
        <w:trPr>
          <w:trHeight w:val="288" w:hRule="atLeast"/>
          <w:jc w:val="center"/>
        </w:trPr>
        <w:tc>
          <w:tcPr>
            <w:tcW w:w="30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5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198"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热插拔：支持</w:t>
            </w:r>
          </w:p>
        </w:tc>
        <w:tc>
          <w:tcPr>
            <w:tcW w:w="22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9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2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r>
      <w:tr>
        <w:tblPrEx>
          <w:tblCellMar>
            <w:top w:w="0" w:type="dxa"/>
            <w:left w:w="108" w:type="dxa"/>
            <w:bottom w:w="0" w:type="dxa"/>
            <w:right w:w="108" w:type="dxa"/>
          </w:tblCellMar>
        </w:tblPrEx>
        <w:trPr>
          <w:trHeight w:val="1152" w:hRule="atLeast"/>
          <w:jc w:val="center"/>
        </w:trPr>
        <w:tc>
          <w:tcPr>
            <w:tcW w:w="30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5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198"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产品应支持单路码流中多轨道解码后融合成一路完整图像显示功能，支持解码中断时保留最后一帧的功能，解码板不同输出口以及跨解码板的输出口之间输出色彩无色差（提供公安部出具的封面具有CNAS标志的报告复印件加盖原厂商公章）</w:t>
            </w:r>
          </w:p>
        </w:tc>
        <w:tc>
          <w:tcPr>
            <w:tcW w:w="22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9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2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r>
      <w:tr>
        <w:tblPrEx>
          <w:tblCellMar>
            <w:top w:w="0" w:type="dxa"/>
            <w:left w:w="108" w:type="dxa"/>
            <w:bottom w:w="0" w:type="dxa"/>
            <w:right w:w="108" w:type="dxa"/>
          </w:tblCellMar>
        </w:tblPrEx>
        <w:trPr>
          <w:trHeight w:val="288" w:hRule="atLeast"/>
          <w:jc w:val="center"/>
        </w:trPr>
        <w:tc>
          <w:tcPr>
            <w:tcW w:w="30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5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198"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整机功耗：＜800W</w:t>
            </w:r>
          </w:p>
        </w:tc>
        <w:tc>
          <w:tcPr>
            <w:tcW w:w="22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9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2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r>
      <w:tr>
        <w:tblPrEx>
          <w:tblCellMar>
            <w:top w:w="0" w:type="dxa"/>
            <w:left w:w="108" w:type="dxa"/>
            <w:bottom w:w="0" w:type="dxa"/>
            <w:right w:w="108" w:type="dxa"/>
          </w:tblCellMar>
        </w:tblPrEx>
        <w:trPr>
          <w:trHeight w:val="288" w:hRule="atLeast"/>
          <w:jc w:val="center"/>
        </w:trPr>
        <w:tc>
          <w:tcPr>
            <w:tcW w:w="30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5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198"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电视墙规模：4</w:t>
            </w:r>
          </w:p>
        </w:tc>
        <w:tc>
          <w:tcPr>
            <w:tcW w:w="22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9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2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r>
      <w:tr>
        <w:tblPrEx>
          <w:tblCellMar>
            <w:top w:w="0" w:type="dxa"/>
            <w:left w:w="108" w:type="dxa"/>
            <w:bottom w:w="0" w:type="dxa"/>
            <w:right w:w="108" w:type="dxa"/>
          </w:tblCellMar>
        </w:tblPrEx>
        <w:trPr>
          <w:trHeight w:val="288" w:hRule="atLeast"/>
          <w:jc w:val="center"/>
        </w:trPr>
        <w:tc>
          <w:tcPr>
            <w:tcW w:w="30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5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198"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虚拟分屏：支持</w:t>
            </w:r>
          </w:p>
        </w:tc>
        <w:tc>
          <w:tcPr>
            <w:tcW w:w="22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9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2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r>
      <w:tr>
        <w:tblPrEx>
          <w:tblCellMar>
            <w:top w:w="0" w:type="dxa"/>
            <w:left w:w="108" w:type="dxa"/>
            <w:bottom w:w="0" w:type="dxa"/>
            <w:right w:w="108" w:type="dxa"/>
          </w:tblCellMar>
        </w:tblPrEx>
        <w:trPr>
          <w:trHeight w:val="288" w:hRule="atLeast"/>
          <w:jc w:val="center"/>
        </w:trPr>
        <w:tc>
          <w:tcPr>
            <w:tcW w:w="30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5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198"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开窗数量：16</w:t>
            </w:r>
          </w:p>
        </w:tc>
        <w:tc>
          <w:tcPr>
            <w:tcW w:w="22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9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2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r>
      <w:tr>
        <w:tblPrEx>
          <w:tblCellMar>
            <w:top w:w="0" w:type="dxa"/>
            <w:left w:w="108" w:type="dxa"/>
            <w:bottom w:w="0" w:type="dxa"/>
            <w:right w:w="108" w:type="dxa"/>
          </w:tblCellMar>
        </w:tblPrEx>
        <w:trPr>
          <w:trHeight w:val="288" w:hRule="atLeast"/>
          <w:jc w:val="center"/>
        </w:trPr>
        <w:tc>
          <w:tcPr>
            <w:tcW w:w="30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5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198"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单口画面分割数：1/4/6/8/9/16/25/36/49/64</w:t>
            </w:r>
          </w:p>
        </w:tc>
        <w:tc>
          <w:tcPr>
            <w:tcW w:w="22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9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2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r>
      <w:tr>
        <w:tblPrEx>
          <w:tblCellMar>
            <w:top w:w="0" w:type="dxa"/>
            <w:left w:w="108" w:type="dxa"/>
            <w:bottom w:w="0" w:type="dxa"/>
            <w:right w:w="108" w:type="dxa"/>
          </w:tblCellMar>
        </w:tblPrEx>
        <w:trPr>
          <w:trHeight w:val="288" w:hRule="atLeast"/>
          <w:jc w:val="center"/>
        </w:trPr>
        <w:tc>
          <w:tcPr>
            <w:tcW w:w="30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5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198"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工作湿度：10％--90％</w:t>
            </w:r>
          </w:p>
        </w:tc>
        <w:tc>
          <w:tcPr>
            <w:tcW w:w="22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9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2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r>
      <w:tr>
        <w:tblPrEx>
          <w:tblCellMar>
            <w:top w:w="0" w:type="dxa"/>
            <w:left w:w="108" w:type="dxa"/>
            <w:bottom w:w="0" w:type="dxa"/>
            <w:right w:w="108" w:type="dxa"/>
          </w:tblCellMar>
        </w:tblPrEx>
        <w:trPr>
          <w:trHeight w:val="288" w:hRule="atLeast"/>
          <w:jc w:val="center"/>
        </w:trPr>
        <w:tc>
          <w:tcPr>
            <w:tcW w:w="30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5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198"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工作温度：0℃--＋50℃</w:t>
            </w:r>
          </w:p>
        </w:tc>
        <w:tc>
          <w:tcPr>
            <w:tcW w:w="22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9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2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r>
      <w:tr>
        <w:tblPrEx>
          <w:tblCellMar>
            <w:top w:w="0" w:type="dxa"/>
            <w:left w:w="108" w:type="dxa"/>
            <w:bottom w:w="0" w:type="dxa"/>
            <w:right w:w="108" w:type="dxa"/>
          </w:tblCellMar>
        </w:tblPrEx>
        <w:trPr>
          <w:trHeight w:val="288" w:hRule="atLeast"/>
          <w:jc w:val="center"/>
        </w:trPr>
        <w:tc>
          <w:tcPr>
            <w:tcW w:w="30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5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198"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音频解码格式：G711A、G711U、G722、AAC、G726、MPEG</w:t>
            </w:r>
          </w:p>
        </w:tc>
        <w:tc>
          <w:tcPr>
            <w:tcW w:w="22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9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2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r>
      <w:tr>
        <w:tblPrEx>
          <w:tblCellMar>
            <w:top w:w="0" w:type="dxa"/>
            <w:left w:w="108" w:type="dxa"/>
            <w:bottom w:w="0" w:type="dxa"/>
            <w:right w:w="108" w:type="dxa"/>
          </w:tblCellMar>
        </w:tblPrEx>
        <w:trPr>
          <w:trHeight w:val="288" w:hRule="atLeast"/>
          <w:jc w:val="center"/>
        </w:trPr>
        <w:tc>
          <w:tcPr>
            <w:tcW w:w="30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5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198"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音频解码通道数：64个</w:t>
            </w:r>
          </w:p>
        </w:tc>
        <w:tc>
          <w:tcPr>
            <w:tcW w:w="22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9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2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r>
      <w:tr>
        <w:tblPrEx>
          <w:tblCellMar>
            <w:top w:w="0" w:type="dxa"/>
            <w:left w:w="108" w:type="dxa"/>
            <w:bottom w:w="0" w:type="dxa"/>
            <w:right w:w="108" w:type="dxa"/>
          </w:tblCellMar>
        </w:tblPrEx>
        <w:trPr>
          <w:trHeight w:val="288" w:hRule="atLeast"/>
          <w:jc w:val="center"/>
        </w:trPr>
        <w:tc>
          <w:tcPr>
            <w:tcW w:w="300"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5</w:t>
            </w:r>
          </w:p>
        </w:tc>
        <w:tc>
          <w:tcPr>
            <w:tcW w:w="456" w:type="pct"/>
            <w:vMerge w:val="restart"/>
            <w:tcBorders>
              <w:top w:val="nil"/>
              <w:left w:val="single" w:color="auto" w:sz="4" w:space="0"/>
              <w:bottom w:val="single" w:color="auto" w:sz="4" w:space="0"/>
              <w:right w:val="single" w:color="auto" w:sz="4" w:space="0"/>
            </w:tcBorders>
            <w:shd w:val="clear" w:color="000000" w:fill="FFFFFF"/>
            <w:vAlign w:val="center"/>
          </w:tcPr>
          <w:p>
            <w:pPr>
              <w:widowControl/>
              <w:rPr>
                <w:rFonts w:ascii="仿宋" w:hAnsi="仿宋" w:eastAsia="仿宋" w:cs="宋体"/>
                <w:color w:val="auto"/>
                <w:kern w:val="0"/>
                <w:szCs w:val="21"/>
              </w:rPr>
            </w:pPr>
            <w:r>
              <w:rPr>
                <w:rFonts w:hint="eastAsia" w:ascii="仿宋" w:hAnsi="仿宋" w:eastAsia="仿宋" w:cs="宋体"/>
                <w:color w:val="auto"/>
                <w:kern w:val="0"/>
                <w:szCs w:val="21"/>
              </w:rPr>
              <w:t>LED配电柜</w:t>
            </w:r>
          </w:p>
        </w:tc>
        <w:tc>
          <w:tcPr>
            <w:tcW w:w="3198"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类型：20KW配电柜</w:t>
            </w:r>
          </w:p>
        </w:tc>
        <w:tc>
          <w:tcPr>
            <w:tcW w:w="228"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台</w:t>
            </w:r>
          </w:p>
        </w:tc>
        <w:tc>
          <w:tcPr>
            <w:tcW w:w="396"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1</w:t>
            </w:r>
          </w:p>
        </w:tc>
        <w:tc>
          <w:tcPr>
            <w:tcW w:w="42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r>
      <w:tr>
        <w:tblPrEx>
          <w:tblCellMar>
            <w:top w:w="0" w:type="dxa"/>
            <w:left w:w="108" w:type="dxa"/>
            <w:bottom w:w="0" w:type="dxa"/>
            <w:right w:w="108" w:type="dxa"/>
          </w:tblCellMar>
        </w:tblPrEx>
        <w:trPr>
          <w:trHeight w:val="288" w:hRule="atLeast"/>
          <w:jc w:val="center"/>
        </w:trPr>
        <w:tc>
          <w:tcPr>
            <w:tcW w:w="30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5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198"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控制：欧姆龙PLC控制器，网络远程控制</w:t>
            </w:r>
          </w:p>
        </w:tc>
        <w:tc>
          <w:tcPr>
            <w:tcW w:w="22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9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2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r>
      <w:tr>
        <w:tblPrEx>
          <w:tblCellMar>
            <w:top w:w="0" w:type="dxa"/>
            <w:left w:w="108" w:type="dxa"/>
            <w:bottom w:w="0" w:type="dxa"/>
            <w:right w:w="108" w:type="dxa"/>
          </w:tblCellMar>
        </w:tblPrEx>
        <w:trPr>
          <w:trHeight w:val="288" w:hRule="atLeast"/>
          <w:jc w:val="center"/>
        </w:trPr>
        <w:tc>
          <w:tcPr>
            <w:tcW w:w="30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5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198"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元器件：德力西断路器，施耐德接触器</w:t>
            </w:r>
          </w:p>
        </w:tc>
        <w:tc>
          <w:tcPr>
            <w:tcW w:w="22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9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2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r>
      <w:tr>
        <w:tblPrEx>
          <w:tblCellMar>
            <w:top w:w="0" w:type="dxa"/>
            <w:left w:w="108" w:type="dxa"/>
            <w:bottom w:w="0" w:type="dxa"/>
            <w:right w:w="108" w:type="dxa"/>
          </w:tblCellMar>
        </w:tblPrEx>
        <w:trPr>
          <w:trHeight w:val="288" w:hRule="atLeast"/>
          <w:jc w:val="center"/>
        </w:trPr>
        <w:tc>
          <w:tcPr>
            <w:tcW w:w="30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5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198"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输入电压：380V，三相五线</w:t>
            </w:r>
          </w:p>
        </w:tc>
        <w:tc>
          <w:tcPr>
            <w:tcW w:w="22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9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2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r>
      <w:tr>
        <w:tblPrEx>
          <w:tblCellMar>
            <w:top w:w="0" w:type="dxa"/>
            <w:left w:w="108" w:type="dxa"/>
            <w:bottom w:w="0" w:type="dxa"/>
            <w:right w:w="108" w:type="dxa"/>
          </w:tblCellMar>
        </w:tblPrEx>
        <w:trPr>
          <w:trHeight w:val="288" w:hRule="atLeast"/>
          <w:jc w:val="center"/>
        </w:trPr>
        <w:tc>
          <w:tcPr>
            <w:tcW w:w="30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5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198"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输出电压：220V</w:t>
            </w:r>
          </w:p>
        </w:tc>
        <w:tc>
          <w:tcPr>
            <w:tcW w:w="22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9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2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r>
      <w:tr>
        <w:tblPrEx>
          <w:tblCellMar>
            <w:top w:w="0" w:type="dxa"/>
            <w:left w:w="108" w:type="dxa"/>
            <w:bottom w:w="0" w:type="dxa"/>
            <w:right w:w="108" w:type="dxa"/>
          </w:tblCellMar>
        </w:tblPrEx>
        <w:trPr>
          <w:trHeight w:val="288" w:hRule="atLeast"/>
          <w:jc w:val="center"/>
        </w:trPr>
        <w:tc>
          <w:tcPr>
            <w:tcW w:w="30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5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198"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输出回路：6个单相回路</w:t>
            </w:r>
          </w:p>
        </w:tc>
        <w:tc>
          <w:tcPr>
            <w:tcW w:w="22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39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2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r>
    </w:tbl>
    <w:p>
      <w:pPr>
        <w:pStyle w:val="17"/>
        <w:rPr>
          <w:rFonts w:ascii="仿宋" w:hAnsi="仿宋" w:eastAsia="仿宋"/>
          <w:color w:val="auto"/>
          <w:sz w:val="24"/>
          <w:szCs w:val="24"/>
        </w:rPr>
      </w:pPr>
      <w:r>
        <w:rPr>
          <w:rFonts w:hint="eastAsia" w:ascii="仿宋" w:hAnsi="仿宋" w:eastAsia="仿宋"/>
          <w:color w:val="auto"/>
          <w:sz w:val="24"/>
          <w:szCs w:val="24"/>
        </w:rPr>
        <w:t>5.</w:t>
      </w:r>
      <w:r>
        <w:rPr>
          <w:rFonts w:ascii="仿宋" w:hAnsi="仿宋" w:eastAsia="仿宋"/>
          <w:color w:val="auto"/>
          <w:sz w:val="24"/>
          <w:szCs w:val="24"/>
        </w:rPr>
        <w:t>2</w:t>
      </w:r>
      <w:r>
        <w:rPr>
          <w:rFonts w:hint="eastAsia" w:ascii="仿宋" w:hAnsi="仿宋" w:eastAsia="仿宋"/>
          <w:color w:val="auto"/>
          <w:sz w:val="24"/>
          <w:szCs w:val="24"/>
        </w:rPr>
        <w:t>监控中心会议系统</w:t>
      </w:r>
    </w:p>
    <w:tbl>
      <w:tblPr>
        <w:tblStyle w:val="26"/>
        <w:tblW w:w="4942" w:type="pct"/>
        <w:jc w:val="center"/>
        <w:tblLayout w:type="fixed"/>
        <w:tblCellMar>
          <w:top w:w="0" w:type="dxa"/>
          <w:left w:w="108" w:type="dxa"/>
          <w:bottom w:w="0" w:type="dxa"/>
          <w:right w:w="108" w:type="dxa"/>
        </w:tblCellMar>
      </w:tblPr>
      <w:tblGrid>
        <w:gridCol w:w="574"/>
        <w:gridCol w:w="1308"/>
        <w:gridCol w:w="5348"/>
        <w:gridCol w:w="451"/>
        <w:gridCol w:w="733"/>
        <w:gridCol w:w="1102"/>
      </w:tblGrid>
      <w:tr>
        <w:tblPrEx>
          <w:tblCellMar>
            <w:top w:w="0" w:type="dxa"/>
            <w:left w:w="108" w:type="dxa"/>
            <w:bottom w:w="0" w:type="dxa"/>
            <w:right w:w="108" w:type="dxa"/>
          </w:tblCellMar>
        </w:tblPrEx>
        <w:trPr>
          <w:trHeight w:val="708" w:hRule="atLeast"/>
          <w:jc w:val="center"/>
        </w:trPr>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序号</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名称</w:t>
            </w:r>
          </w:p>
        </w:tc>
        <w:tc>
          <w:tcPr>
            <w:tcW w:w="28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设计参数</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单位</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数量</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推荐品牌</w:t>
            </w:r>
          </w:p>
        </w:tc>
      </w:tr>
      <w:tr>
        <w:tblPrEx>
          <w:tblCellMar>
            <w:top w:w="0" w:type="dxa"/>
            <w:left w:w="108" w:type="dxa"/>
            <w:bottom w:w="0" w:type="dxa"/>
            <w:right w:w="108" w:type="dxa"/>
          </w:tblCellMar>
        </w:tblPrEx>
        <w:trPr>
          <w:trHeight w:val="23"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监控大厅</w:t>
            </w:r>
          </w:p>
        </w:tc>
      </w:tr>
      <w:tr>
        <w:tblPrEx>
          <w:tblCellMar>
            <w:top w:w="0" w:type="dxa"/>
            <w:left w:w="108" w:type="dxa"/>
            <w:bottom w:w="0" w:type="dxa"/>
            <w:right w:w="108" w:type="dxa"/>
          </w:tblCellMar>
        </w:tblPrEx>
        <w:trPr>
          <w:trHeight w:val="23"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一、扩声系统</w:t>
            </w:r>
          </w:p>
        </w:tc>
      </w:tr>
      <w:tr>
        <w:tblPrEx>
          <w:tblCellMar>
            <w:top w:w="0" w:type="dxa"/>
            <w:left w:w="108" w:type="dxa"/>
            <w:bottom w:w="0" w:type="dxa"/>
            <w:right w:w="108" w:type="dxa"/>
          </w:tblCellMar>
        </w:tblPrEx>
        <w:trPr>
          <w:trHeight w:val="23" w:hRule="atLeast"/>
          <w:jc w:val="center"/>
        </w:trPr>
        <w:tc>
          <w:tcPr>
            <w:tcW w:w="30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1</w:t>
            </w:r>
          </w:p>
        </w:tc>
        <w:tc>
          <w:tcPr>
            <w:tcW w:w="68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高保真音柱音箱</w:t>
            </w: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建议功放功率  rms   650W</w:t>
            </w:r>
          </w:p>
        </w:tc>
        <w:tc>
          <w:tcPr>
            <w:tcW w:w="23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套</w:t>
            </w:r>
          </w:p>
        </w:tc>
        <w:tc>
          <w:tcPr>
            <w:tcW w:w="38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1</w:t>
            </w:r>
          </w:p>
        </w:tc>
        <w:tc>
          <w:tcPr>
            <w:tcW w:w="5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r>
              <w:rPr>
                <w:rFonts w:hint="eastAsia"/>
                <w:color w:val="auto"/>
              </w:rPr>
              <w:t>AGOaudio、QSN、塔克兰森</w:t>
            </w: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 xml:space="preserve">长时间功率    450W </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瞬时功率 IEC 268-5    500W</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阻抗   8欧姆</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频率响应@-6dB   100Hz - 20KHz</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 xml:space="preserve">全频单元英寸  9 x 4.5" - 1 音圈   </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灵敏度(@1W/1m) dB   98</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最大声压 连续/峰值 (Bi-Amp) dB   126 / 130</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扩散角度H x V   160° x 15°</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建议高通滤波   80Hz - 24dB倍频</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输入连接   4 x Euroblock</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体积(宽x高x深) mm   146x1150x150</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净重公斤   15.3Kg</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嵌入安装，尺寸：宽度小于150mm，深度小于150mm，高度小于1150mm</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r>
      <w:tr>
        <w:tblPrEx>
          <w:tblCellMar>
            <w:top w:w="0" w:type="dxa"/>
            <w:left w:w="108" w:type="dxa"/>
            <w:bottom w:w="0" w:type="dxa"/>
            <w:right w:w="108" w:type="dxa"/>
          </w:tblCellMar>
        </w:tblPrEx>
        <w:trPr>
          <w:trHeight w:val="23" w:hRule="atLeast"/>
          <w:jc w:val="center"/>
        </w:trPr>
        <w:tc>
          <w:tcPr>
            <w:tcW w:w="30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2</w:t>
            </w:r>
          </w:p>
        </w:tc>
        <w:tc>
          <w:tcPr>
            <w:tcW w:w="68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功率放大器</w:t>
            </w: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8Ω立体声功率           800WX2</w:t>
            </w:r>
          </w:p>
        </w:tc>
        <w:tc>
          <w:tcPr>
            <w:tcW w:w="23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套</w:t>
            </w:r>
          </w:p>
        </w:tc>
        <w:tc>
          <w:tcPr>
            <w:tcW w:w="38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1</w:t>
            </w:r>
          </w:p>
        </w:tc>
        <w:tc>
          <w:tcPr>
            <w:tcW w:w="5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r>
              <w:rPr>
                <w:rFonts w:hint="eastAsia"/>
                <w:color w:val="auto"/>
              </w:rPr>
              <w:t>AGOaudio、QSN、塔克兰森</w:t>
            </w: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4Ω立体声功率           1500WX2</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电压增益（8Ω时）       42.0dB</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功放拓扑类别            ClassH+</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频率响应                20Hz-20KHz(±0.3dB)</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总谐波失真              ≤0.1%</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信噪比                  ≥103dB</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阻尼系数                ≥650</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分离度                  ≥65dB</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转换速率                ≥25V/μs</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输入灵敏度              0.775V/1.0V/1.44V</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输入阻抗(不平衡/平衡)   20KΩ/10KΩ</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风路                    从后板吸风</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 xml:space="preserve">保护 </w:t>
            </w:r>
            <w:r>
              <w:rPr>
                <w:rFonts w:ascii="仿宋" w:hAnsi="仿宋" w:eastAsia="仿宋"/>
                <w:color w:val="auto"/>
              </w:rPr>
              <w:t xml:space="preserve"> </w:t>
            </w:r>
            <w:r>
              <w:rPr>
                <w:rFonts w:hint="eastAsia" w:ascii="仿宋" w:hAnsi="仿宋" w:eastAsia="仿宋"/>
                <w:color w:val="auto"/>
              </w:rPr>
              <w:t>软启动、直流、短路、过载、失真限幅、过热、VHF</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输入部分  平衡输入XLR母插座、平衡并接XLR公插座</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输出部分      两位红黑接线柱、NL4型SPEAKON插座</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r>
      <w:tr>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指示灯        面板指灯：电源、信号UV、削峰、保护</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前面板功能    电源启动开关、音量控制旋钮立体声</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后面板功能    输入灵敏度选择开关,接地开关、并接选择开关</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电源    可脱拔标准电源插头电源线</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AC220-240V/50Hz±10%</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产品外形尺寸            483x460x88</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外包装尺寸              560x510x165</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毛重                    19KG</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为保障系统的兼容性与声音的一致性以及售后便利性，须与音箱同一品牌；</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r>
      <w:tr>
        <w:trPr>
          <w:trHeight w:val="23" w:hRule="atLeast"/>
          <w:jc w:val="center"/>
        </w:trPr>
        <w:tc>
          <w:tcPr>
            <w:tcW w:w="30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3</w:t>
            </w:r>
          </w:p>
        </w:tc>
        <w:tc>
          <w:tcPr>
            <w:tcW w:w="68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无线鹅颈话筒</w:t>
            </w: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1. UHF频段传输信号，红外线对频，手动选频方便现场调试。</w:t>
            </w:r>
          </w:p>
        </w:tc>
        <w:tc>
          <w:tcPr>
            <w:tcW w:w="23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套</w:t>
            </w:r>
          </w:p>
        </w:tc>
        <w:tc>
          <w:tcPr>
            <w:tcW w:w="38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1</w:t>
            </w:r>
          </w:p>
        </w:tc>
        <w:tc>
          <w:tcPr>
            <w:tcW w:w="5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r>
              <w:rPr>
                <w:rFonts w:hint="eastAsia"/>
                <w:color w:val="auto"/>
              </w:rPr>
              <w:t>AGOaudio、QSN、塔克兰森</w:t>
            </w: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2. 采用稳定的PLL数位锁相环合成技术和智能数字线路，避免干扰频率;.</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3. 使用频率范围：UHF 640MHz~690MHz，更适合广泛范围使用。四通道最多200信道接收信号，手持腰包通用，抗干扰能力强；</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4. 各通道配备独有的ID号，增强抗干扰功能；（投标文件中提供原厂盖章产品彩页）</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5. 主机面板采用铝合金着色工艺，每个通道4个功能按键，实现多功能操作。</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6. 四联屏LCD显示屏，显示工作信道、工作频点、RF接收信号、AF音频信号、锁屏指示、会议座实时电量，实时反馈系统工作状态，</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7. 接收机配备4条橡胶接收天线，增强接收的信号，外观大方得体；</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8 背面设有4个平衡输出和1个混合非平衡输出，适合连接各种外置设备；</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9.具有开关杂音消除电路，避免在开启开关时产生巨大的冲击响声，确保后级功放系统及扬声器的安全</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10.具有一键自动搜空闲频点功能轻松选择干净频点。具有锁定按键功能，防止人为误操作。</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11.会议座 200个信道中互通互用，尽显人性化的高新技术设计；</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12.会议话筒内置可拆卸式高容量18650电池，底座自带TYPE-C充电接口，可直单独插电或边充电边使用，充满智能断电。设备配送4节18650电池及4个TYPE-C充电器。</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13.会议底座内置静音功能按键，轻触实时显示静音或发言图标，长按开关机，防止多话筒使用引起的不必要啸叫。</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14.方管：全金属腔体+方管体设计, 可多方位拾音（可选可拆卸式鹅颈长杆）。</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15.双向电量监测，会议座实时电量或欠压，主机直观显示。</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16.搭配专用电容咪芯+采用自创音频处理技术，有效提高拾音距离及话语清晰度。中高频丰富, 动态范围大。声音且有磁和混厚感,人声突出，有更好的会议体验</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发射话筒参数</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电源供应：DC 3.7（3.7V 18650）电池持续使用时间：10-15小时</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邻频干扰比：&gt;80dB</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话筒耗电量：120mA</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音频动态范围：≥106dB</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载波频率：UHF 640MHz-690 MHz</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类型：电容式</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频率稳定度：±0.001%</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极性模式：单一指向性</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频率响应：20Hz-16KHz</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信噪比：&gt;90dB</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话筒拾音灵敏度：-32±3dB@1KHz（长管）</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话筒拾音灵敏度：-35±3dB@1KHz（方管）</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r>
      <w:tr>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综合参数</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工作频率：：UHF 640MHz~690MHz,常用.（可根据不同国家地区使用定制频率）</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信道数值：共200信道</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调制方式：FM</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信道间隔：250KHz</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频率稳定度：±0.001%</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动态范围：≥100dB</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最 大频偏：±30KHz</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频率响应：40Hz～16KHz</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综合信噪比：&gt;60dB</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综合失真：&lt;0.5%@1KHz</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工作距离：约100m（开阔地没有干扰的情况下）</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工作环境温度：-10℃~50℃</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r>
      <w:tr>
        <w:tblPrEx>
          <w:tblCellMar>
            <w:top w:w="0" w:type="dxa"/>
            <w:left w:w="108" w:type="dxa"/>
            <w:bottom w:w="0" w:type="dxa"/>
            <w:right w:w="108" w:type="dxa"/>
          </w:tblCellMar>
        </w:tblPrEx>
        <w:trPr>
          <w:trHeight w:val="23" w:hRule="atLeast"/>
          <w:jc w:val="center"/>
        </w:trPr>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4</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无线话筒信号放大器</w:t>
            </w: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配套无线话筒频点，具有1分4信号分配功能。</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套</w:t>
            </w: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1</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r>
              <w:rPr>
                <w:rFonts w:hint="eastAsia"/>
                <w:color w:val="auto"/>
              </w:rPr>
              <w:t>AGOaudio、QSN、塔克兰森</w:t>
            </w:r>
          </w:p>
        </w:tc>
      </w:tr>
      <w:tr>
        <w:tblPrEx>
          <w:tblCellMar>
            <w:top w:w="0" w:type="dxa"/>
            <w:left w:w="108" w:type="dxa"/>
            <w:bottom w:w="0" w:type="dxa"/>
            <w:right w:w="108" w:type="dxa"/>
          </w:tblCellMar>
        </w:tblPrEx>
        <w:trPr>
          <w:trHeight w:val="23" w:hRule="atLeast"/>
          <w:jc w:val="center"/>
        </w:trPr>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5</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无线话筒外置天线</w:t>
            </w: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配套无线话筒频点</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套</w:t>
            </w: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1</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AGOaudio、QSN、塔克兰森</w:t>
            </w:r>
          </w:p>
        </w:tc>
      </w:tr>
      <w:tr>
        <w:tblPrEx>
          <w:tblCellMar>
            <w:top w:w="0" w:type="dxa"/>
            <w:left w:w="108" w:type="dxa"/>
            <w:bottom w:w="0" w:type="dxa"/>
            <w:right w:w="108" w:type="dxa"/>
          </w:tblCellMar>
        </w:tblPrEx>
        <w:trPr>
          <w:trHeight w:val="23" w:hRule="atLeast"/>
          <w:jc w:val="center"/>
        </w:trPr>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6</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专业会议信息盒</w:t>
            </w:r>
          </w:p>
        </w:tc>
        <w:tc>
          <w:tcPr>
            <w:tcW w:w="28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根据现场定制，模块内置高清、网路、音频等</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套</w:t>
            </w: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1</w:t>
            </w: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CHDIYI、RUIBO、ROYAL</w:t>
            </w:r>
          </w:p>
        </w:tc>
      </w:tr>
      <w:tr>
        <w:tblPrEx>
          <w:tblCellMar>
            <w:top w:w="0" w:type="dxa"/>
            <w:left w:w="108" w:type="dxa"/>
            <w:bottom w:w="0" w:type="dxa"/>
            <w:right w:w="108" w:type="dxa"/>
          </w:tblCellMar>
        </w:tblPrEx>
        <w:trPr>
          <w:trHeight w:val="23"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二、指挥终端</w:t>
            </w:r>
          </w:p>
        </w:tc>
      </w:tr>
      <w:tr>
        <w:tblPrEx>
          <w:tblCellMar>
            <w:top w:w="0" w:type="dxa"/>
            <w:left w:w="108" w:type="dxa"/>
            <w:bottom w:w="0" w:type="dxa"/>
            <w:right w:w="108" w:type="dxa"/>
          </w:tblCellMar>
        </w:tblPrEx>
        <w:trPr>
          <w:trHeight w:val="23" w:hRule="atLeast"/>
          <w:jc w:val="center"/>
        </w:trPr>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1</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指挥中心终端工作站</w:t>
            </w:r>
          </w:p>
        </w:tc>
        <w:tc>
          <w:tcPr>
            <w:tcW w:w="28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13代I7,16G内存，1TBSSD硬盘</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台</w:t>
            </w: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2</w:t>
            </w: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华硕、联想、惠普</w:t>
            </w:r>
          </w:p>
        </w:tc>
      </w:tr>
      <w:tr>
        <w:tblPrEx>
          <w:tblCellMar>
            <w:top w:w="0" w:type="dxa"/>
            <w:left w:w="108" w:type="dxa"/>
            <w:bottom w:w="0" w:type="dxa"/>
            <w:right w:w="108" w:type="dxa"/>
          </w:tblCellMar>
        </w:tblPrEx>
        <w:trPr>
          <w:trHeight w:val="23" w:hRule="atLeast"/>
          <w:jc w:val="center"/>
        </w:trPr>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2</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指挥中心终端办公设备</w:t>
            </w:r>
          </w:p>
        </w:tc>
        <w:tc>
          <w:tcPr>
            <w:tcW w:w="28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13代I5,16G内存，512GSSD硬盘</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台</w:t>
            </w: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4</w:t>
            </w: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华硕、联想、惠普</w:t>
            </w:r>
          </w:p>
        </w:tc>
      </w:tr>
      <w:tr>
        <w:trPr>
          <w:trHeight w:val="23"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三、操作台及桌椅</w:t>
            </w:r>
          </w:p>
        </w:tc>
      </w:tr>
      <w:tr>
        <w:tblPrEx>
          <w:tblCellMar>
            <w:top w:w="0" w:type="dxa"/>
            <w:left w:w="108" w:type="dxa"/>
            <w:bottom w:w="0" w:type="dxa"/>
            <w:right w:w="108" w:type="dxa"/>
          </w:tblCellMar>
        </w:tblPrEx>
        <w:trPr>
          <w:trHeight w:val="23" w:hRule="atLeast"/>
          <w:jc w:val="center"/>
        </w:trPr>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1</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指挥大厅操作台</w:t>
            </w:r>
          </w:p>
        </w:tc>
        <w:tc>
          <w:tcPr>
            <w:tcW w:w="28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定制</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张</w:t>
            </w: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1</w:t>
            </w: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定制</w:t>
            </w:r>
          </w:p>
        </w:tc>
      </w:tr>
      <w:tr>
        <w:tblPrEx>
          <w:tblCellMar>
            <w:top w:w="0" w:type="dxa"/>
            <w:left w:w="108" w:type="dxa"/>
            <w:bottom w:w="0" w:type="dxa"/>
            <w:right w:w="108" w:type="dxa"/>
          </w:tblCellMar>
        </w:tblPrEx>
        <w:trPr>
          <w:trHeight w:val="23" w:hRule="atLeast"/>
          <w:jc w:val="center"/>
        </w:trPr>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2</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指挥大厅座椅</w:t>
            </w:r>
          </w:p>
        </w:tc>
        <w:tc>
          <w:tcPr>
            <w:tcW w:w="28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定制</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把</w:t>
            </w: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6</w:t>
            </w: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定制</w:t>
            </w:r>
          </w:p>
        </w:tc>
      </w:tr>
      <w:tr>
        <w:tblPrEx>
          <w:tblCellMar>
            <w:top w:w="0" w:type="dxa"/>
            <w:left w:w="108" w:type="dxa"/>
            <w:bottom w:w="0" w:type="dxa"/>
            <w:right w:w="108" w:type="dxa"/>
          </w:tblCellMar>
        </w:tblPrEx>
        <w:trPr>
          <w:trHeight w:val="23" w:hRule="atLeast"/>
          <w:jc w:val="center"/>
        </w:trPr>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3</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会议室会议桌</w:t>
            </w:r>
          </w:p>
        </w:tc>
        <w:tc>
          <w:tcPr>
            <w:tcW w:w="28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定制</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张</w:t>
            </w: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1</w:t>
            </w: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定制</w:t>
            </w:r>
          </w:p>
        </w:tc>
      </w:tr>
      <w:tr>
        <w:tblPrEx>
          <w:tblCellMar>
            <w:top w:w="0" w:type="dxa"/>
            <w:left w:w="108" w:type="dxa"/>
            <w:bottom w:w="0" w:type="dxa"/>
            <w:right w:w="108" w:type="dxa"/>
          </w:tblCellMar>
        </w:tblPrEx>
        <w:trPr>
          <w:trHeight w:val="23"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会议室</w:t>
            </w:r>
          </w:p>
        </w:tc>
      </w:tr>
      <w:tr>
        <w:tblPrEx>
          <w:tblCellMar>
            <w:top w:w="0" w:type="dxa"/>
            <w:left w:w="108" w:type="dxa"/>
            <w:bottom w:w="0" w:type="dxa"/>
            <w:right w:w="108" w:type="dxa"/>
          </w:tblCellMar>
        </w:tblPrEx>
        <w:trPr>
          <w:trHeight w:val="23"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一、扩声系统</w:t>
            </w:r>
          </w:p>
        </w:tc>
      </w:tr>
      <w:tr>
        <w:tblPrEx>
          <w:tblCellMar>
            <w:top w:w="0" w:type="dxa"/>
            <w:left w:w="108" w:type="dxa"/>
            <w:bottom w:w="0" w:type="dxa"/>
            <w:right w:w="108" w:type="dxa"/>
          </w:tblCellMar>
        </w:tblPrEx>
        <w:trPr>
          <w:trHeight w:val="23" w:hRule="atLeast"/>
          <w:jc w:val="center"/>
        </w:trPr>
        <w:tc>
          <w:tcPr>
            <w:tcW w:w="30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1</w:t>
            </w:r>
          </w:p>
        </w:tc>
        <w:tc>
          <w:tcPr>
            <w:tcW w:w="68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8寸高保真吸顶同轴音箱</w:t>
            </w:r>
          </w:p>
        </w:tc>
        <w:tc>
          <w:tcPr>
            <w:tcW w:w="2810" w:type="pct"/>
            <w:tcBorders>
              <w:top w:val="single" w:color="000000" w:sz="4" w:space="0"/>
              <w:left w:val="single" w:color="000000" w:sz="4" w:space="0"/>
              <w:bottom w:val="single" w:color="000000" w:sz="4" w:space="0"/>
              <w:right w:val="single" w:color="000000" w:sz="4" w:space="0"/>
            </w:tcBorders>
            <w:shd w:val="clear" w:color="auto" w:fill="auto"/>
          </w:tcPr>
          <w:p>
            <w:pPr>
              <w:rPr>
                <w:rFonts w:ascii="仿宋" w:hAnsi="仿宋" w:eastAsia="仿宋"/>
                <w:color w:val="auto"/>
              </w:rPr>
            </w:pPr>
            <w:r>
              <w:rPr>
                <w:rFonts w:hint="eastAsia" w:ascii="仿宋" w:hAnsi="仿宋" w:eastAsia="仿宋"/>
                <w:color w:val="auto"/>
              </w:rPr>
              <w:t>类型：两分音全频同轴吸顶音箱</w:t>
            </w:r>
          </w:p>
        </w:tc>
        <w:tc>
          <w:tcPr>
            <w:tcW w:w="2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套</w:t>
            </w:r>
          </w:p>
        </w:tc>
        <w:tc>
          <w:tcPr>
            <w:tcW w:w="3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1</w:t>
            </w:r>
          </w:p>
        </w:tc>
        <w:tc>
          <w:tcPr>
            <w:tcW w:w="5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AGOaudio、QSN、塔克兰森</w:t>
            </w: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auto"/>
          </w:tcPr>
          <w:p>
            <w:pPr>
              <w:rPr>
                <w:rFonts w:ascii="仿宋" w:hAnsi="仿宋" w:eastAsia="仿宋"/>
                <w:color w:val="auto"/>
              </w:rPr>
            </w:pPr>
            <w:r>
              <w:rPr>
                <w:rFonts w:hint="eastAsia" w:ascii="仿宋" w:hAnsi="仿宋" w:eastAsia="仿宋"/>
                <w:color w:val="auto"/>
              </w:rPr>
              <w:t>输入电压：70/100V</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auto"/>
          </w:tcPr>
          <w:p>
            <w:pPr>
              <w:rPr>
                <w:rFonts w:ascii="仿宋" w:hAnsi="仿宋" w:eastAsia="仿宋"/>
                <w:color w:val="auto"/>
              </w:rPr>
            </w:pPr>
            <w:r>
              <w:rPr>
                <w:rFonts w:hint="eastAsia" w:ascii="仿宋" w:hAnsi="仿宋" w:eastAsia="仿宋"/>
                <w:color w:val="auto"/>
              </w:rPr>
              <w:t>定阻阻抗：8 Ohm</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auto"/>
          </w:tcPr>
          <w:p>
            <w:pPr>
              <w:rPr>
                <w:rFonts w:ascii="仿宋" w:hAnsi="仿宋" w:eastAsia="仿宋"/>
                <w:color w:val="auto"/>
              </w:rPr>
            </w:pPr>
            <w:r>
              <w:rPr>
                <w:rFonts w:hint="eastAsia" w:ascii="仿宋" w:hAnsi="仿宋" w:eastAsia="仿宋"/>
                <w:color w:val="auto"/>
              </w:rPr>
              <w:t>定阻功率：80W，峰值320W</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auto"/>
          </w:tcPr>
          <w:p>
            <w:pPr>
              <w:rPr>
                <w:rFonts w:ascii="仿宋" w:hAnsi="仿宋" w:eastAsia="仿宋"/>
                <w:color w:val="auto"/>
              </w:rPr>
            </w:pPr>
            <w:r>
              <w:rPr>
                <w:rFonts w:hint="eastAsia" w:ascii="仿宋" w:hAnsi="仿宋" w:eastAsia="仿宋"/>
                <w:color w:val="auto"/>
              </w:rPr>
              <w:t>频率响应：80Hz-18KHz</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auto"/>
          </w:tcPr>
          <w:p>
            <w:pPr>
              <w:rPr>
                <w:rFonts w:ascii="仿宋" w:hAnsi="仿宋" w:eastAsia="仿宋"/>
                <w:color w:val="auto"/>
              </w:rPr>
            </w:pPr>
            <w:r>
              <w:rPr>
                <w:rFonts w:hint="eastAsia" w:ascii="仿宋" w:hAnsi="仿宋" w:eastAsia="仿宋"/>
                <w:color w:val="auto"/>
              </w:rPr>
              <w:t>天花开孔：245mm</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auto"/>
          </w:tcPr>
          <w:p>
            <w:pPr>
              <w:rPr>
                <w:rFonts w:ascii="仿宋" w:hAnsi="仿宋" w:eastAsia="仿宋"/>
                <w:color w:val="auto"/>
              </w:rPr>
            </w:pPr>
            <w:r>
              <w:rPr>
                <w:rFonts w:hint="eastAsia" w:ascii="仿宋" w:hAnsi="仿宋" w:eastAsia="仿宋"/>
                <w:color w:val="auto"/>
              </w:rPr>
              <w:t>装饰尺寸：275mm</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auto"/>
          </w:tcPr>
          <w:p>
            <w:pPr>
              <w:rPr>
                <w:rFonts w:ascii="仿宋" w:hAnsi="仿宋" w:eastAsia="仿宋"/>
                <w:color w:val="auto"/>
              </w:rPr>
            </w:pPr>
            <w:r>
              <w:rPr>
                <w:rFonts w:hint="eastAsia" w:ascii="仿宋" w:hAnsi="仿宋" w:eastAsia="仿宋"/>
                <w:color w:val="auto"/>
              </w:rPr>
              <w:t>厚度：175mm</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auto"/>
          </w:tcPr>
          <w:p>
            <w:pPr>
              <w:rPr>
                <w:rFonts w:ascii="仿宋" w:hAnsi="仿宋" w:eastAsia="仿宋"/>
                <w:color w:val="auto"/>
              </w:rPr>
            </w:pPr>
            <w:r>
              <w:rPr>
                <w:rFonts w:hint="eastAsia" w:ascii="仿宋" w:hAnsi="仿宋" w:eastAsia="仿宋"/>
                <w:color w:val="auto"/>
              </w:rPr>
              <w:t>装饰面板材料：锌网喷塑</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auto"/>
          </w:tcPr>
          <w:p>
            <w:pPr>
              <w:rPr>
                <w:rFonts w:ascii="仿宋" w:hAnsi="仿宋" w:eastAsia="仿宋"/>
                <w:color w:val="auto"/>
              </w:rPr>
            </w:pPr>
            <w:r>
              <w:rPr>
                <w:rFonts w:hint="eastAsia" w:ascii="仿宋" w:hAnsi="仿宋" w:eastAsia="仿宋"/>
                <w:color w:val="auto"/>
              </w:rPr>
              <w:t>后面板材料：金属喷粉</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auto"/>
          </w:tcPr>
          <w:p>
            <w:pPr>
              <w:rPr>
                <w:rFonts w:ascii="仿宋" w:hAnsi="仿宋" w:eastAsia="仿宋"/>
                <w:color w:val="auto"/>
              </w:rPr>
            </w:pPr>
            <w:r>
              <w:rPr>
                <w:rFonts w:hint="eastAsia" w:ascii="仿宋" w:hAnsi="仿宋" w:eastAsia="仿宋"/>
                <w:color w:val="auto"/>
              </w:rPr>
              <w:t>安装形式：吸顶式</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auto"/>
          </w:tcPr>
          <w:p>
            <w:pPr>
              <w:rPr>
                <w:rFonts w:ascii="仿宋" w:hAnsi="仿宋" w:eastAsia="仿宋"/>
                <w:color w:val="auto"/>
              </w:rPr>
            </w:pPr>
            <w:r>
              <w:rPr>
                <w:rFonts w:hint="eastAsia" w:ascii="仿宋" w:hAnsi="仿宋" w:eastAsia="仿宋"/>
                <w:color w:val="auto"/>
              </w:rPr>
              <w:t>灵敏度：90±1dB</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auto"/>
          </w:tcPr>
          <w:p>
            <w:pPr>
              <w:rPr>
                <w:rFonts w:ascii="仿宋" w:hAnsi="仿宋" w:eastAsia="仿宋"/>
                <w:color w:val="auto"/>
              </w:rPr>
            </w:pPr>
            <w:r>
              <w:rPr>
                <w:rFonts w:hint="eastAsia" w:ascii="仿宋" w:hAnsi="仿宋" w:eastAsia="仿宋"/>
                <w:color w:val="auto"/>
              </w:rPr>
              <w:t>失真度：&lt;5%</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2</w:t>
            </w:r>
          </w:p>
        </w:tc>
        <w:tc>
          <w:tcPr>
            <w:tcW w:w="68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四通道功率放大器</w:t>
            </w: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8Ω立体声功率：200WX4</w:t>
            </w:r>
          </w:p>
        </w:tc>
        <w:tc>
          <w:tcPr>
            <w:tcW w:w="23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套</w:t>
            </w:r>
          </w:p>
        </w:tc>
        <w:tc>
          <w:tcPr>
            <w:tcW w:w="38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1</w:t>
            </w:r>
          </w:p>
        </w:tc>
        <w:tc>
          <w:tcPr>
            <w:tcW w:w="5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AGOaudio、QSN、塔克兰森</w:t>
            </w: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微软雅黑" w:hAnsi="微软雅黑" w:eastAsia="微软雅黑" w:cs="微软雅黑"/>
                <w:color w:val="auto"/>
              </w:rPr>
              <w:t>•</w:t>
            </w:r>
            <w:r>
              <w:rPr>
                <w:rFonts w:hint="eastAsia" w:ascii="仿宋" w:hAnsi="仿宋" w:eastAsia="仿宋"/>
                <w:color w:val="auto"/>
              </w:rPr>
              <w:t>4Ω立体声功率：350WX4</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微软雅黑" w:hAnsi="微软雅黑" w:eastAsia="微软雅黑" w:cs="微软雅黑"/>
                <w:color w:val="auto"/>
              </w:rPr>
              <w:t>•</w:t>
            </w:r>
            <w:r>
              <w:rPr>
                <w:rFonts w:hint="eastAsia" w:ascii="仿宋" w:hAnsi="仿宋" w:eastAsia="仿宋" w:cs="仿宋"/>
                <w:color w:val="auto"/>
              </w:rPr>
              <w:t>频率响应：</w:t>
            </w:r>
            <w:r>
              <w:rPr>
                <w:rFonts w:hint="eastAsia" w:ascii="仿宋" w:hAnsi="仿宋" w:eastAsia="仿宋"/>
                <w:color w:val="auto"/>
              </w:rPr>
              <w:t>20Hz-20KHz（+0/-0.3dB）</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微软雅黑" w:hAnsi="微软雅黑" w:eastAsia="微软雅黑" w:cs="微软雅黑"/>
                <w:color w:val="auto"/>
              </w:rPr>
              <w:t>•</w:t>
            </w:r>
            <w:r>
              <w:rPr>
                <w:rFonts w:hint="eastAsia" w:ascii="仿宋" w:hAnsi="仿宋" w:eastAsia="仿宋" w:cs="仿宋"/>
                <w:color w:val="auto"/>
              </w:rPr>
              <w:t>总谐波失真：〈</w:t>
            </w:r>
            <w:r>
              <w:rPr>
                <w:rFonts w:hint="eastAsia" w:ascii="仿宋" w:hAnsi="仿宋" w:eastAsia="仿宋"/>
                <w:color w:val="auto"/>
              </w:rPr>
              <w:t xml:space="preserve"> 0.08%</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微软雅黑" w:hAnsi="微软雅黑" w:eastAsia="微软雅黑" w:cs="微软雅黑"/>
                <w:color w:val="auto"/>
              </w:rPr>
              <w:t>•</w:t>
            </w:r>
            <w:r>
              <w:rPr>
                <w:rFonts w:hint="eastAsia" w:ascii="仿宋" w:hAnsi="仿宋" w:eastAsia="仿宋" w:cs="仿宋"/>
                <w:color w:val="auto"/>
              </w:rPr>
              <w:t>信噪比：〉</w:t>
            </w:r>
            <w:r>
              <w:rPr>
                <w:rFonts w:hint="eastAsia" w:ascii="仿宋" w:hAnsi="仿宋" w:eastAsia="仿宋"/>
                <w:color w:val="auto"/>
              </w:rPr>
              <w:t>98dB</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微软雅黑" w:hAnsi="微软雅黑" w:eastAsia="微软雅黑" w:cs="微软雅黑"/>
                <w:color w:val="auto"/>
              </w:rPr>
              <w:t>•</w:t>
            </w:r>
            <w:r>
              <w:rPr>
                <w:rFonts w:hint="eastAsia" w:ascii="仿宋" w:hAnsi="仿宋" w:eastAsia="仿宋" w:cs="仿宋"/>
                <w:color w:val="auto"/>
              </w:rPr>
              <w:t>阻尼系数：〉</w:t>
            </w:r>
            <w:r>
              <w:rPr>
                <w:rFonts w:hint="eastAsia" w:ascii="仿宋" w:hAnsi="仿宋" w:eastAsia="仿宋"/>
                <w:color w:val="auto"/>
              </w:rPr>
              <w:t>350</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微软雅黑" w:hAnsi="微软雅黑" w:eastAsia="微软雅黑" w:cs="微软雅黑"/>
                <w:color w:val="auto"/>
              </w:rPr>
              <w:t>•</w:t>
            </w:r>
            <w:r>
              <w:rPr>
                <w:rFonts w:hint="eastAsia" w:ascii="仿宋" w:hAnsi="仿宋" w:eastAsia="仿宋" w:cs="仿宋"/>
                <w:color w:val="auto"/>
              </w:rPr>
              <w:t>转换速率：〉</w:t>
            </w:r>
            <w:r>
              <w:rPr>
                <w:rFonts w:hint="eastAsia" w:ascii="仿宋" w:hAnsi="仿宋" w:eastAsia="仿宋"/>
                <w:color w:val="auto"/>
              </w:rPr>
              <w:t>25V/μs</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微软雅黑" w:hAnsi="微软雅黑" w:eastAsia="微软雅黑" w:cs="微软雅黑"/>
                <w:color w:val="auto"/>
              </w:rPr>
              <w:t>•</w:t>
            </w:r>
            <w:r>
              <w:rPr>
                <w:rFonts w:hint="eastAsia" w:ascii="仿宋" w:hAnsi="仿宋" w:eastAsia="仿宋" w:cs="仿宋"/>
                <w:color w:val="auto"/>
              </w:rPr>
              <w:t>输入阻抗：</w:t>
            </w:r>
            <w:r>
              <w:rPr>
                <w:rFonts w:hint="eastAsia" w:ascii="仿宋" w:hAnsi="仿宋" w:eastAsia="仿宋"/>
                <w:color w:val="auto"/>
              </w:rPr>
              <w:t>10KΩ/20KΩ</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微软雅黑" w:hAnsi="微软雅黑" w:eastAsia="微软雅黑" w:cs="微软雅黑"/>
                <w:color w:val="auto"/>
              </w:rPr>
              <w:t>•</w:t>
            </w:r>
            <w:r>
              <w:rPr>
                <w:rFonts w:hint="eastAsia" w:ascii="仿宋" w:hAnsi="仿宋" w:eastAsia="仿宋" w:cs="仿宋"/>
                <w:color w:val="auto"/>
              </w:rPr>
              <w:t>输入灵敏度：</w:t>
            </w:r>
            <w:r>
              <w:rPr>
                <w:rFonts w:hint="eastAsia" w:ascii="仿宋" w:hAnsi="仿宋" w:eastAsia="仿宋"/>
                <w:color w:val="auto"/>
              </w:rPr>
              <w:t>0.775V/1V/1.4V</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微软雅黑" w:hAnsi="微软雅黑" w:eastAsia="微软雅黑" w:cs="微软雅黑"/>
                <w:color w:val="auto"/>
              </w:rPr>
              <w:t>•</w:t>
            </w:r>
            <w:r>
              <w:rPr>
                <w:rFonts w:hint="eastAsia" w:ascii="仿宋" w:hAnsi="仿宋" w:eastAsia="仿宋" w:cs="仿宋"/>
                <w:color w:val="auto"/>
              </w:rPr>
              <w:t>分离度：≥</w:t>
            </w:r>
            <w:r>
              <w:rPr>
                <w:rFonts w:hint="eastAsia" w:ascii="仿宋" w:hAnsi="仿宋" w:eastAsia="仿宋"/>
                <w:color w:val="auto"/>
              </w:rPr>
              <w:t>60dB</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微软雅黑" w:hAnsi="微软雅黑" w:eastAsia="微软雅黑" w:cs="微软雅黑"/>
                <w:color w:val="auto"/>
              </w:rPr>
              <w:t>•</w:t>
            </w:r>
            <w:r>
              <w:rPr>
                <w:rFonts w:hint="eastAsia" w:ascii="仿宋" w:hAnsi="仿宋" w:eastAsia="仿宋" w:cs="仿宋"/>
                <w:color w:val="auto"/>
              </w:rPr>
              <w:t>电路类型：</w:t>
            </w:r>
            <w:r>
              <w:rPr>
                <w:rFonts w:hint="eastAsia" w:ascii="仿宋" w:hAnsi="仿宋" w:eastAsia="仿宋"/>
                <w:color w:val="auto"/>
              </w:rPr>
              <w:t>Class-AB</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为保障系统的兼容性与声音的一致性以及售后便利性，须与音箱同一品牌；</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3</w:t>
            </w:r>
          </w:p>
        </w:tc>
        <w:tc>
          <w:tcPr>
            <w:tcW w:w="68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无线手持话筒</w:t>
            </w: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1. 真分集一拖二无线话筒，具有红外线自动对频、导频功能，采用信号叠加双分集技术，四天线信号加强接收。</w:t>
            </w:r>
          </w:p>
        </w:tc>
        <w:tc>
          <w:tcPr>
            <w:tcW w:w="23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套</w:t>
            </w:r>
          </w:p>
        </w:tc>
        <w:tc>
          <w:tcPr>
            <w:tcW w:w="38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1</w:t>
            </w:r>
          </w:p>
        </w:tc>
        <w:tc>
          <w:tcPr>
            <w:tcW w:w="5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AGOaudio、QSN、塔克兰森</w:t>
            </w: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2. 全频段避干扰技术，可容纳多达40只无线发射机同时工作。</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3. 一键全频雷达扫描，按下扫描键，数秒内即可完成全频段扫描，并设定匹配完成对应的话筒。</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4. 高强度抗啸叫系统。</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5. 超大字符双色显示屏，高对比度，高亮度。</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6. 电池电量主机、话筒同步显示。</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7. 兼容其他品牌无线咪头，可根据需要替换使用。</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▲8. 特设数字ID码验证，同频率不同ID无法出声，智能一键无缝切换头戴/手持/会议话筒。（提供第三方具有CNAS标识的检测机构出具的具有该功能描述的检测报告复印件）</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9. 支持演出环境下不低于100米的使用安全距离。</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4</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专业会议桌插座盒</w:t>
            </w:r>
          </w:p>
        </w:tc>
        <w:tc>
          <w:tcPr>
            <w:tcW w:w="28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根据现场定制</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套</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1</w:t>
            </w: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AGOaudio、RUIBO、ROYAL</w:t>
            </w:r>
          </w:p>
        </w:tc>
      </w:tr>
      <w:tr>
        <w:tblPrEx>
          <w:tblCellMar>
            <w:top w:w="0" w:type="dxa"/>
            <w:left w:w="108" w:type="dxa"/>
            <w:bottom w:w="0" w:type="dxa"/>
            <w:right w:w="108" w:type="dxa"/>
          </w:tblCellMar>
        </w:tblPrEx>
        <w:trPr>
          <w:trHeight w:val="23" w:hRule="atLeast"/>
          <w:jc w:val="center"/>
        </w:trPr>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5</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专业会议信息盒</w:t>
            </w:r>
          </w:p>
        </w:tc>
        <w:tc>
          <w:tcPr>
            <w:tcW w:w="28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根据现场定制，模块内置高清、网路、音频等</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套</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1</w:t>
            </w: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CHDIYI、RUIBO、ROYAL</w:t>
            </w:r>
          </w:p>
        </w:tc>
      </w:tr>
      <w:tr>
        <w:trPr>
          <w:trHeight w:val="23"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二、数字会议系统</w:t>
            </w:r>
          </w:p>
        </w:tc>
      </w:tr>
      <w:tr>
        <w:tblPrEx>
          <w:tblCellMar>
            <w:top w:w="0" w:type="dxa"/>
            <w:left w:w="108" w:type="dxa"/>
            <w:bottom w:w="0" w:type="dxa"/>
            <w:right w:w="108" w:type="dxa"/>
          </w:tblCellMar>
        </w:tblPrEx>
        <w:trPr>
          <w:trHeight w:val="23" w:hRule="atLeast"/>
          <w:jc w:val="center"/>
        </w:trPr>
        <w:tc>
          <w:tcPr>
            <w:tcW w:w="30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1</w:t>
            </w:r>
          </w:p>
        </w:tc>
        <w:tc>
          <w:tcPr>
            <w:tcW w:w="6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全数字会议系统主机</w:t>
            </w:r>
          </w:p>
        </w:tc>
        <w:tc>
          <w:tcPr>
            <w:tcW w:w="28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数字会议主机采用4.3"寸全彩触摸屏，操控方便快捷，中、英文双语信息显示，工作状态一目了然，适用大型国际型会议使用。（投标文件中提供原厂盖章产品彩页）</w:t>
            </w:r>
          </w:p>
        </w:tc>
        <w:tc>
          <w:tcPr>
            <w:tcW w:w="2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套</w:t>
            </w:r>
          </w:p>
        </w:tc>
        <w:tc>
          <w:tcPr>
            <w:tcW w:w="3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1</w:t>
            </w:r>
          </w:p>
        </w:tc>
        <w:tc>
          <w:tcPr>
            <w:tcW w:w="5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AGOaudio、QSN、塔克兰森</w:t>
            </w: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采用ARM-32位工业级芯片，内置环境噪音消除器(AEC)，自适应反馈抑器(AFC)，数字均衡电路技术，起到提升会场声压级与防止啸叫作用。</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主机支持双机热备份(需另配备份主机），采用6芯DIN带屏蔽线缆，一条6芯电缆最多可传输64种语言和各种信号。</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会议主机支持5路话筒输出，每路可接30个单元，单台主机可接驳150个会议单元。可连接扩展主机增容扩展，最多接驳512台主机，系统最大容量76800个单元，且相互无干扰。</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可向各发言单元传送1+20通道语音，有1+20通道的模拟输出接口，方便连接红外语音分配系统及者录音设备。</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支持线路带电“热插拔”功能，让系统的安全性得到更大的保障。</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主机可以集中调节会议单元的输出增益，并可设定设置音频调节锁定，支持48kHz音频采样频率，通道频率响应可达20Hz~20kHz。</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主机与电脑用TCP/IP协议RJ45接口连接方式，主机与主机之间采用超五类网线连接，可实现会议系统的远程控制，远程诊断和升级。</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内置多路的内部通讯功能。系统可通过中控系统、会议管理软件进行集中控制管理。</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系统可接入其它电容麦克风或动圈麦克风，为用户提供更多选择。</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具有RCA和卡依侬音频输入接口，可输入外部音频信号（如背景音乐、无线麦克风）。</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发言人数限制功能：限定当前最多发言单元，当发言单元达到定值时，要打开其它发言单元，必须先关闭已打开的发言单元，发言单元数量1/2/3/4/5/6可调，执行主席不受限制。</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具有RS232中控接口，RJ45接口，可实现管理软件、中控、触控屏、ipad、手机等设备控制指令及状态读取，体现现代科技会议时代。</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主机有4路话筒输出，六芯单元每路可接驳25个会议发言单元，单台主机可接驳100个会议单元，网线单元每个接口可接驳15个会议发言单元，单台主机可接驳90个会议单元;</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系统主机可连接扩展主机增容扩展，最多接驳512台主机，六芯系统最大容量51200个单元，网线系统最大容量61440个单元，且相互无干扰；;</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内置国际通用电源，100~240自动切换，内置电源稳压系统，即使电压不稳地区也可安全使用。</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2</w:t>
            </w:r>
          </w:p>
        </w:tc>
        <w:tc>
          <w:tcPr>
            <w:tcW w:w="6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嵌入式主席单元</w:t>
            </w: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嵌入式数字主席话筒采用铝镁合金材质面板，经过28道工序打磨而成，符合人体工程学。</w:t>
            </w:r>
          </w:p>
        </w:tc>
        <w:tc>
          <w:tcPr>
            <w:tcW w:w="23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套</w:t>
            </w:r>
          </w:p>
        </w:tc>
        <w:tc>
          <w:tcPr>
            <w:tcW w:w="38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1</w:t>
            </w:r>
          </w:p>
        </w:tc>
        <w:tc>
          <w:tcPr>
            <w:tcW w:w="5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AGOaudio、QSN、塔克兰森</w:t>
            </w: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支持发言讨论、纯讨论，带视频跟踪于一体的多功能会议终端。</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可设置执行主席有优先权与控制权，副主席有优先权。</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具备数量限制、先进先出、发言申请、声控启动四种工作模式，发言人数可设置为1至6台。</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采用电容高灵敏度超指向鹅颈话筒，确保拾音距离及声音质量；会议单元自带DSP数字音频处理芯片，48K音频采样频率，频率响应可达40Hz-16KHz，接近CD音质效果。</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可单独调节话筒增益，根据个人喜好调整拾音距离，可单独调节每个单元的高中低音。</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具备数量限制、先进先出、发言申请、声控启动四种工作模式，发言人数可设置为1至6台；</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配合云台摄像机，使用主机或者电脑预设后，可进行摄像机自动跟踪，支持摄像联动画面冻结功能。</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采用2米6P-DIN标准公插头电缆，一线式、环形及T型/十型连接器等多种连接方式;2个3.5 mm 的耳机插口可连接耳机，可自由调节音量。</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会议主机提供24V电源，低功耗设计，单路可连接25台会议单元；网线单元每个接口可接驳15个会议发言单元，单台主机可接驳120个会议单元;六芯线距离可达250米，网线距离可达150。</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具有校正单元按键功能，全面保障触控按键的灵敏度；</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3</w:t>
            </w:r>
          </w:p>
        </w:tc>
        <w:tc>
          <w:tcPr>
            <w:tcW w:w="6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嵌入式代表单元</w:t>
            </w: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嵌入式数字表话筒采用铝镁合金材质面板，经过28道工序打磨而成，符合人体工程学。</w:t>
            </w:r>
          </w:p>
        </w:tc>
        <w:tc>
          <w:tcPr>
            <w:tcW w:w="23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套</w:t>
            </w:r>
          </w:p>
        </w:tc>
        <w:tc>
          <w:tcPr>
            <w:tcW w:w="38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1</w:t>
            </w:r>
          </w:p>
        </w:tc>
        <w:tc>
          <w:tcPr>
            <w:tcW w:w="5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AGOaudio、QSN、塔克兰森</w:t>
            </w: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支持发言讨论、纯讨论，带视频跟踪于一体的多功能会议终端。</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可设置执行主席有优先权与控制权，副主席有优先权。</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具备数量限制、先进先出、发言申请、声控启动四种工作模式，发言人数可设置为1至6台。</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采用电容高灵敏度超指向鹅颈话筒，确保拾音距离及声音质量；会议单元自带DSP数字音频处理芯片，48K音频采样频率，频率响应可达40Hz-16KHz，接近CD音质效果。</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可单独调节话筒增益，根据个人喜好调整拾音距离，可单独调节每个单元的高中低音。</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具备数量限制、先进先出、发言申请、声控启动四种工作模式，发言人数可设置为1至6台；</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配合云台摄像机，使用主机或者电脑预设后，可进行摄像机自动跟踪，支持摄像联动画面冻结功能。</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采用2米6P-DIN标准公插头电缆，一线式、环形及T型/十型连接器等多种连接方式;2个3.5 mm 的耳机插口可连接耳机，可自由调节音量。</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会议主机提供24V电源，低功耗设计，单路可连接25台会议单元；网线单元每个接口可接驳15个会议发言单元，单台主机可接驳120个会议单元;六芯线距离可达250米，网线距离可达150。</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具有校正单元按键功能，全面保障触控按键的灵敏度；</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4</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嵌入式会讨话筒连接盒</w:t>
            </w: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一个音频盒可连接两个会议单元，纯讨论，与嵌入式单元配合使用，黑色</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套</w:t>
            </w: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1</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AGOaudio、QSN、塔克兰森</w:t>
            </w:r>
          </w:p>
        </w:tc>
      </w:tr>
      <w:tr>
        <w:tblPrEx>
          <w:tblCellMar>
            <w:top w:w="0" w:type="dxa"/>
            <w:left w:w="108" w:type="dxa"/>
            <w:bottom w:w="0" w:type="dxa"/>
            <w:right w:w="108" w:type="dxa"/>
          </w:tblCellMar>
        </w:tblPrEx>
        <w:trPr>
          <w:trHeight w:val="23" w:hRule="atLeast"/>
          <w:jc w:val="center"/>
        </w:trPr>
        <w:tc>
          <w:tcPr>
            <w:tcW w:w="30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5</w:t>
            </w:r>
          </w:p>
        </w:tc>
        <w:tc>
          <w:tcPr>
            <w:tcW w:w="6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延长电缆</w:t>
            </w:r>
          </w:p>
        </w:tc>
        <w:tc>
          <w:tcPr>
            <w:tcW w:w="28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用于会议主机、扩展主机或会议发言单元之间的延长连接；</w:t>
            </w:r>
          </w:p>
        </w:tc>
        <w:tc>
          <w:tcPr>
            <w:tcW w:w="23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套</w:t>
            </w:r>
          </w:p>
        </w:tc>
        <w:tc>
          <w:tcPr>
            <w:tcW w:w="38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1</w:t>
            </w:r>
          </w:p>
        </w:tc>
        <w:tc>
          <w:tcPr>
            <w:tcW w:w="5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AGOaudio、QSN、塔克兰森</w:t>
            </w: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具有20米规格；</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具备6P-DIN公头×1、母头×1；</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线材采用全线铝箔+水线屏蔽，大大降低强电磁波，芯线材质纯无氧金属；</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线材的抗干扰性强，不会产生兹兹的杂音；</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可以随意自由调整，方便施工；</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输入电压为24V,属安全范围；</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产品出厂前经过一系列的电气安全产品性能测试，包括绝缘耐压测试，电抗电阻测试，PVC等相关的严格测试。</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三、显示系统</w:t>
            </w:r>
          </w:p>
        </w:tc>
      </w:tr>
      <w:tr>
        <w:tblPrEx>
          <w:tblCellMar>
            <w:top w:w="0" w:type="dxa"/>
            <w:left w:w="108" w:type="dxa"/>
            <w:bottom w:w="0" w:type="dxa"/>
            <w:right w:w="108" w:type="dxa"/>
          </w:tblCellMar>
        </w:tblPrEx>
        <w:trPr>
          <w:trHeight w:val="23" w:hRule="atLeast"/>
          <w:jc w:val="center"/>
        </w:trPr>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98寸电视机（配支架）</w:t>
            </w:r>
          </w:p>
        </w:tc>
        <w:tc>
          <w:tcPr>
            <w:tcW w:w="2810" w:type="pct"/>
            <w:tcBorders>
              <w:top w:val="single" w:color="000000" w:sz="4" w:space="0"/>
              <w:left w:val="single" w:color="000000" w:sz="4" w:space="0"/>
              <w:bottom w:val="single" w:color="000000" w:sz="4" w:space="0"/>
              <w:right w:val="single" w:color="000000" w:sz="4" w:space="0"/>
            </w:tcBorders>
            <w:shd w:val="clear" w:color="auto" w:fill="auto"/>
          </w:tcPr>
          <w:p>
            <w:pPr>
              <w:rPr>
                <w:rFonts w:ascii="仿宋" w:hAnsi="仿宋" w:eastAsia="仿宋"/>
                <w:color w:val="auto"/>
              </w:rPr>
            </w:pPr>
            <w:r>
              <w:rPr>
                <w:rFonts w:hint="eastAsia" w:ascii="仿宋" w:hAnsi="仿宋" w:eastAsia="仿宋"/>
                <w:color w:val="auto"/>
              </w:rPr>
              <w:t>1、98寸电视机（配支架）</w:t>
            </w:r>
          </w:p>
          <w:p>
            <w:pPr>
              <w:rPr>
                <w:rFonts w:ascii="仿宋" w:hAnsi="仿宋" w:eastAsia="仿宋"/>
                <w:color w:val="auto"/>
              </w:rPr>
            </w:pPr>
            <w:r>
              <w:rPr>
                <w:rFonts w:hint="eastAsia" w:ascii="仿宋" w:hAnsi="仿宋" w:eastAsia="仿宋"/>
                <w:color w:val="auto"/>
              </w:rPr>
              <w:t>2、支持格式（高清）：2160p</w:t>
            </w:r>
          </w:p>
          <w:p>
            <w:pPr>
              <w:rPr>
                <w:rFonts w:ascii="仿宋" w:hAnsi="仿宋" w:eastAsia="仿宋"/>
                <w:color w:val="auto"/>
              </w:rPr>
            </w:pPr>
            <w:r>
              <w:rPr>
                <w:rFonts w:hint="eastAsia" w:ascii="仿宋" w:hAnsi="仿宋" w:eastAsia="仿宋"/>
                <w:color w:val="auto"/>
              </w:rPr>
              <w:t>3、色域标准：BT.709</w:t>
            </w:r>
          </w:p>
          <w:p>
            <w:pPr>
              <w:rPr>
                <w:rFonts w:ascii="仿宋" w:hAnsi="仿宋" w:eastAsia="仿宋"/>
                <w:color w:val="auto"/>
              </w:rPr>
            </w:pPr>
            <w:r>
              <w:rPr>
                <w:rFonts w:hint="eastAsia" w:ascii="仿宋" w:hAnsi="仿宋" w:eastAsia="仿宋"/>
                <w:color w:val="auto"/>
              </w:rPr>
              <w:t>4、屏幕比例：16:9</w:t>
            </w:r>
          </w:p>
          <w:p>
            <w:pPr>
              <w:rPr>
                <w:rFonts w:ascii="仿宋" w:hAnsi="仿宋" w:eastAsia="仿宋"/>
                <w:color w:val="auto"/>
              </w:rPr>
            </w:pPr>
            <w:r>
              <w:rPr>
                <w:rFonts w:hint="eastAsia" w:ascii="仿宋" w:hAnsi="仿宋" w:eastAsia="仿宋"/>
                <w:color w:val="auto"/>
              </w:rPr>
              <w:t>5、网络参数：无线/有限</w:t>
            </w:r>
          </w:p>
          <w:p>
            <w:pPr>
              <w:rPr>
                <w:rFonts w:ascii="仿宋" w:hAnsi="仿宋" w:eastAsia="仿宋"/>
                <w:color w:val="auto"/>
              </w:rPr>
            </w:pPr>
            <w:r>
              <w:rPr>
                <w:rFonts w:hint="eastAsia" w:ascii="仿宋" w:hAnsi="仿宋" w:eastAsia="仿宋"/>
                <w:color w:val="auto"/>
              </w:rPr>
              <w:t>6、工作电压：220V 电源功率：500W 待机功率：0.5W</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台</w:t>
            </w: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1</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海信、小米、华为</w:t>
            </w:r>
          </w:p>
        </w:tc>
      </w:tr>
      <w:tr>
        <w:tblPrEx>
          <w:tblCellMar>
            <w:top w:w="0" w:type="dxa"/>
            <w:left w:w="108" w:type="dxa"/>
            <w:bottom w:w="0" w:type="dxa"/>
            <w:right w:w="108" w:type="dxa"/>
          </w:tblCellMar>
        </w:tblPrEx>
        <w:trPr>
          <w:trHeight w:val="23"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后台系统</w:t>
            </w:r>
          </w:p>
        </w:tc>
      </w:tr>
      <w:tr>
        <w:tblPrEx>
          <w:tblCellMar>
            <w:top w:w="0" w:type="dxa"/>
            <w:left w:w="108" w:type="dxa"/>
            <w:bottom w:w="0" w:type="dxa"/>
            <w:right w:w="108" w:type="dxa"/>
          </w:tblCellMar>
        </w:tblPrEx>
        <w:trPr>
          <w:trHeight w:val="23"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一、多媒体管控系统</w:t>
            </w:r>
          </w:p>
        </w:tc>
      </w:tr>
      <w:tr>
        <w:tblPrEx>
          <w:tblCellMar>
            <w:top w:w="0" w:type="dxa"/>
            <w:left w:w="108" w:type="dxa"/>
            <w:bottom w:w="0" w:type="dxa"/>
            <w:right w:w="108" w:type="dxa"/>
          </w:tblCellMar>
        </w:tblPrEx>
        <w:trPr>
          <w:trHeight w:val="23" w:hRule="atLeast"/>
          <w:jc w:val="center"/>
        </w:trPr>
        <w:tc>
          <w:tcPr>
            <w:tcW w:w="30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1</w:t>
            </w:r>
          </w:p>
        </w:tc>
        <w:tc>
          <w:tcPr>
            <w:tcW w:w="68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多媒体多功能管控平台</w:t>
            </w:r>
          </w:p>
        </w:tc>
        <w:tc>
          <w:tcPr>
            <w:tcW w:w="28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 xml:space="preserve">1、多媒体音视频管控中心，集成音频、视频、控制于一体，实现集控、音频处理、高清矩阵等功能，不得采用拼凑产品实现，需采用机架式≤3U箱体设计。                                   </w:t>
            </w:r>
          </w:p>
        </w:tc>
        <w:tc>
          <w:tcPr>
            <w:tcW w:w="2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套</w:t>
            </w:r>
          </w:p>
        </w:tc>
        <w:tc>
          <w:tcPr>
            <w:tcW w:w="3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1</w:t>
            </w:r>
          </w:p>
        </w:tc>
        <w:tc>
          <w:tcPr>
            <w:tcW w:w="5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AGOaudio、QSN、塔克兰森</w:t>
            </w: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 xml:space="preserve">2、系统操作与管理通过设备自带的≥7寸触摸屏（或外接IPAD无线控制端）实现一键调用与场景预设，一台设备既可完成多媒体会议系统的建设，简单便捷，展现智能与AV系统的完美结合。                                                                                             </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3、具有采用双供电系统，交流支持90-230V宽电压供电或者12V直流供电，可自动切换供电，保证设备正常工作。</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 xml:space="preserve">4、提供≥3个网络接口，≥3个网口可通过内置的交换机进行数据通讯，提供对外接入无线触摸屏等外部设备的网络扩展控制。                                    </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 xml:space="preserve">5、提供2个PoE使能网口，可直接用于连接外置触摸屏或按键面板等设备。                        </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6、完善的IPv6协议支持，满足各种复杂的网络使用环境的要求。</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 xml:space="preserve">7、内置完整的Linux系统，开放telnet功能。可远程查看设备状态，更改系统设置，辅助调试。           </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8、1GHz高速处理器，512M内存，512M Flash存储空间。</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 xml:space="preserve">9、≥8个RS232/485端口。≥8个弱电继电器。≥8个红外端口。≥4个IO端口。 </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 xml:space="preserve">10、红外学习功能，支持红外文件导入导出。      </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11、内置高性能40位浮点DSP处理芯片。</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12、≥8路音频输入通道。8路音频输出通道，传输最大延时低于0.1毫秒。</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13、≥8路音频支持MIC输入，话筒/线路自由转换，支持48V幻象供电。</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 xml:space="preserve">14、支持4路Dante网络音频信号输入、4路Dante网络音频信号输出。 </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 xml:space="preserve">15、每路通道独立的自适应反馈抑制器，多档调节，内置信号发生器：正弦波信号、粉红噪声、白噪声。   </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16、输入/输出通道：具有自动混音和矩阵混音功能。具有前级放大、噪声门、压缩器、31段参量均衡、延时器、自动混音台、相位、静音、48dB斜率高通-低通滤波器。</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 xml:space="preserve">17、支持30组场景预设功能，支持手机、平板等不同的移动端控制及模式调用。  </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18、≥4.5G带宽，支持高清输入输出，所有通道支持独立的EDID管理。</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19、支持3D画面，蓝光DVD。</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20、1080P信号输入输出传输距离≥40米。</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22、≥可接输入卡数量/输入路数（4块/16路），可接输出卡数量/输出路数（4块/16路）。</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23、内置轮循切换功能，通过管理软件能任意设定间隔时间和通道</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2</w:t>
            </w:r>
          </w:p>
        </w:tc>
        <w:tc>
          <w:tcPr>
            <w:tcW w:w="68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管控平台控制软件</w:t>
            </w: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1) 软件支持类C语言编程方式和模仿人类思维中文编程方式；</w:t>
            </w:r>
          </w:p>
        </w:tc>
        <w:tc>
          <w:tcPr>
            <w:tcW w:w="23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套</w:t>
            </w:r>
          </w:p>
        </w:tc>
        <w:tc>
          <w:tcPr>
            <w:tcW w:w="38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1</w:t>
            </w:r>
          </w:p>
        </w:tc>
        <w:tc>
          <w:tcPr>
            <w:tcW w:w="5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AGOaudio、QSN、塔克兰森</w:t>
            </w: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2) 面向对象化的逻辑编程界面，包含项目实施所有设备控制编程，中文窗口化编程界面；</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3) 自定义函数和宏指令的运用以及宏指令程序的封装，函数变量包含字符串函数，模拟量函数，数字量函数，精准的时间轴，灵活的if语句运用；</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4) 根据用户需求定制系统控制功能和触摸屏操作界面，支持双触点及三触点的程序编程界面，多子页操作界面，多页面动画效果等功能。</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3</w:t>
            </w:r>
          </w:p>
        </w:tc>
        <w:tc>
          <w:tcPr>
            <w:tcW w:w="68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4路HDMI输入板卡</w:t>
            </w: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1、≥4路HDMI-A母接口输入；</w:t>
            </w:r>
          </w:p>
        </w:tc>
        <w:tc>
          <w:tcPr>
            <w:tcW w:w="23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套</w:t>
            </w:r>
          </w:p>
        </w:tc>
        <w:tc>
          <w:tcPr>
            <w:tcW w:w="38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1</w:t>
            </w:r>
          </w:p>
        </w:tc>
        <w:tc>
          <w:tcPr>
            <w:tcW w:w="5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AGOaudio、QSN、塔克兰森</w:t>
            </w: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2、输入最长距离达≥20M；</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3、支持EDID编辑功能；</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4、兼容HDMI1.4的标准，HDCP1.3协议, DVI1.0协议；</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5、最大支持分辨率:</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HDPC: 1920x1200P@60_24bit；</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HDTV: 1920x1080P@60_36bit；</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4</w:t>
            </w:r>
          </w:p>
        </w:tc>
        <w:tc>
          <w:tcPr>
            <w:tcW w:w="68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4路HDMI输出板卡</w:t>
            </w: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1、≥4路HDMI-A母接口输出；</w:t>
            </w:r>
          </w:p>
        </w:tc>
        <w:tc>
          <w:tcPr>
            <w:tcW w:w="23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套</w:t>
            </w:r>
          </w:p>
        </w:tc>
        <w:tc>
          <w:tcPr>
            <w:tcW w:w="38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1</w:t>
            </w:r>
          </w:p>
        </w:tc>
        <w:tc>
          <w:tcPr>
            <w:tcW w:w="5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AGOaudio、QSN、塔克兰森</w:t>
            </w: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2、输出最长距离达7M；</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3、兼容HDMI1.4的标准，HDCP1.3协议, DVI1.0协议；</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4、最大支持分辨率:</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 xml:space="preserve">    HDPC: 1920x1200P@60_24bit；</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 xml:space="preserve">    HDTV：1920x1080P@60_36bit。</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5</w:t>
            </w:r>
          </w:p>
        </w:tc>
        <w:tc>
          <w:tcPr>
            <w:tcW w:w="68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16路数字调音台</w:t>
            </w:r>
          </w:p>
        </w:tc>
        <w:tc>
          <w:tcPr>
            <w:tcW w:w="28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1、基于 Linux 操作系统开发，运行更安全稳定，升级版 4 核 CPU 处理器，1G 主频，</w:t>
            </w:r>
          </w:p>
        </w:tc>
        <w:tc>
          <w:tcPr>
            <w:tcW w:w="2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套</w:t>
            </w:r>
          </w:p>
        </w:tc>
        <w:tc>
          <w:tcPr>
            <w:tcW w:w="3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1</w:t>
            </w:r>
          </w:p>
        </w:tc>
        <w:tc>
          <w:tcPr>
            <w:tcW w:w="5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AGOaudio、QSN、塔克兰森</w:t>
            </w: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2、12 路 MIC 输入 1 组立体声输入,数字输入：光纤/声卡，MP3</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3、+48V 幻象电源（MIC 通道均可独立打开关闭）</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4、每个输入通道都内置压限器，噪声门，高低通，5 段参量均衡，延时，输通道声像平衡调节</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5、各通道均设有多功能菜单，哑音和监听</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6、通道均设有行程 100MM 电动推杆，信号、峰值灯（13个 ALPS 电动推子）</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7、8 路信号输出（主输出 L,R,4 路 AUX 输出,2 路编组输出）</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8、AUX 输出（推子前/后）</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9、输出处理:高低通滤波，12 段参量均衡，压缩器，延时，相位</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10、数字录音功能</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11、用户可自定义层，输出混合编辑功能</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12、双排 3 色 12 段电平指示灯</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13、内置声卡（MP3、Android、Ipad、PC 直接播放、录音）</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14、4 个快捷场景调用模式，20 个场景存储，可自定义场景名字，场景无缝切换，不会断音。</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15、用户参数的存储与调取（可在 pc 端管理）</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16、内置两个独立的 DSP 效果器</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17、两层翻页，简化操作，使用更方便</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18、FX 脚踏开关接口</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19、光纤输入/输出</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20、多操作系统操控软件（IOS 系统、Android 系统、WINDOWS系统）</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21、支持有线网口调节（或外接路由器无线调节）</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22、5 寸 480*272 高清电阻触摸显示屏。</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为保障系统的兼容性与声音的一致性以及售后便利性，须与音箱、功放同一品牌；</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6</w:t>
            </w:r>
          </w:p>
        </w:tc>
        <w:tc>
          <w:tcPr>
            <w:tcW w:w="68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反馈抑制器</w:t>
            </w: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4进4出DSP数字反馈抑制器。</w:t>
            </w:r>
          </w:p>
        </w:tc>
        <w:tc>
          <w:tcPr>
            <w:tcW w:w="23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套</w:t>
            </w:r>
          </w:p>
        </w:tc>
        <w:tc>
          <w:tcPr>
            <w:tcW w:w="38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1</w:t>
            </w:r>
          </w:p>
        </w:tc>
        <w:tc>
          <w:tcPr>
            <w:tcW w:w="5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AGOaudio、QSN、塔克兰森</w:t>
            </w: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每路输入有48V幻象供电开关。</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 xml:space="preserve">采用2吋TFT双屏设计显示，（显示通道音量大小、移频档位、输入输出信号电平大小、当前模式、面板锁、自动混音开关。） </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系统可设置工程锁、面板锁，面板锁可设置两级锁。</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24BIT高性能A/D及D/A转换。</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一键直通/反馈模式可转换并自动扫描啸叫点并抑制。</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噪声门功能可抑制系统微弱噪声干扰。</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输入压缩功能，消除反馈同时更可扩展人声动态。</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每路有8段均衡器调节。</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每路设有四档选择，配合均衡EQ使用，防啸叫效果出类拔萃。</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开放的RS-232通讯协议串行控制接口, 实现第三方设备控制音量、调用模式，设置静音。</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4通道自动混音 并有优先功能设置。</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每通道最多可设12个动态陷波器，响应时间快中慢3速可设定。</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支持10组场景预设功能，可通过面板、电脑PC软件、RS-232协议调用</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7</w:t>
            </w:r>
          </w:p>
        </w:tc>
        <w:tc>
          <w:tcPr>
            <w:tcW w:w="6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10寸多点无线触摸屏</w:t>
            </w:r>
          </w:p>
        </w:tc>
        <w:tc>
          <w:tcPr>
            <w:tcW w:w="28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尺寸：10.4英寸</w:t>
            </w:r>
          </w:p>
        </w:tc>
        <w:tc>
          <w:tcPr>
            <w:tcW w:w="2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套</w:t>
            </w:r>
          </w:p>
        </w:tc>
        <w:tc>
          <w:tcPr>
            <w:tcW w:w="3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1</w:t>
            </w:r>
          </w:p>
        </w:tc>
        <w:tc>
          <w:tcPr>
            <w:tcW w:w="5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华为、联想、小米</w:t>
            </w: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分辨率：2000x1000</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核心数：八核心</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系统内存：6GB</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存储容量：64GB</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电池容量：锂电池，7250毫安</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8</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无线AP</w:t>
            </w:r>
          </w:p>
        </w:tc>
        <w:tc>
          <w:tcPr>
            <w:tcW w:w="28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定制，配套</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套</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1</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华为、TP-LINK、H3C</w:t>
            </w:r>
          </w:p>
        </w:tc>
      </w:tr>
      <w:tr>
        <w:tblPrEx>
          <w:tblCellMar>
            <w:top w:w="0" w:type="dxa"/>
            <w:left w:w="108" w:type="dxa"/>
            <w:bottom w:w="0" w:type="dxa"/>
            <w:right w:w="108" w:type="dxa"/>
          </w:tblCellMar>
        </w:tblPrEx>
        <w:trPr>
          <w:trHeight w:val="23" w:hRule="atLeast"/>
          <w:jc w:val="center"/>
        </w:trPr>
        <w:tc>
          <w:tcPr>
            <w:tcW w:w="30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9</w:t>
            </w:r>
          </w:p>
        </w:tc>
        <w:tc>
          <w:tcPr>
            <w:tcW w:w="6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红外发射棒</w:t>
            </w:r>
          </w:p>
        </w:tc>
        <w:tc>
          <w:tcPr>
            <w:tcW w:w="28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用于对红外设备的控制</w:t>
            </w:r>
          </w:p>
        </w:tc>
        <w:tc>
          <w:tcPr>
            <w:tcW w:w="2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套</w:t>
            </w:r>
          </w:p>
        </w:tc>
        <w:tc>
          <w:tcPr>
            <w:tcW w:w="3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1</w:t>
            </w:r>
          </w:p>
        </w:tc>
        <w:tc>
          <w:tcPr>
            <w:tcW w:w="5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AGOaudio、QSN、塔克兰森</w:t>
            </w: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自带1.2米连接线</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插头：2针3.81 mm Phoenix接口</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10</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中控编程软件及编程</w:t>
            </w:r>
          </w:p>
        </w:tc>
        <w:tc>
          <w:tcPr>
            <w:tcW w:w="28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现场编程</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套</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1</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AGOaudio、QSN、塔克兰森</w:t>
            </w:r>
          </w:p>
        </w:tc>
      </w:tr>
      <w:tr>
        <w:tblPrEx>
          <w:tblCellMar>
            <w:top w:w="0" w:type="dxa"/>
            <w:left w:w="108" w:type="dxa"/>
            <w:bottom w:w="0" w:type="dxa"/>
            <w:right w:w="108" w:type="dxa"/>
          </w:tblCellMar>
        </w:tblPrEx>
        <w:trPr>
          <w:trHeight w:val="23" w:hRule="atLeast"/>
          <w:jc w:val="center"/>
        </w:trPr>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11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无线触摸屏许可证</w:t>
            </w:r>
          </w:p>
        </w:tc>
        <w:tc>
          <w:tcPr>
            <w:tcW w:w="28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无线触摸屏许可证授权</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套</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1</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AGOaudio、QSN、塔克兰森</w:t>
            </w:r>
          </w:p>
        </w:tc>
      </w:tr>
      <w:tr>
        <w:tblPrEx>
          <w:tblCellMar>
            <w:top w:w="0" w:type="dxa"/>
            <w:left w:w="108" w:type="dxa"/>
            <w:bottom w:w="0" w:type="dxa"/>
            <w:right w:w="108" w:type="dxa"/>
          </w:tblCellMar>
        </w:tblPrEx>
        <w:trPr>
          <w:trHeight w:val="23" w:hRule="atLeast"/>
          <w:jc w:val="center"/>
        </w:trPr>
        <w:tc>
          <w:tcPr>
            <w:tcW w:w="30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12</w:t>
            </w:r>
          </w:p>
        </w:tc>
        <w:tc>
          <w:tcPr>
            <w:tcW w:w="68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高清信号传输器</w:t>
            </w: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支持全数字高清1080P@60Hz传输50米</w:t>
            </w:r>
          </w:p>
        </w:tc>
        <w:tc>
          <w:tcPr>
            <w:tcW w:w="23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套</w:t>
            </w:r>
          </w:p>
        </w:tc>
        <w:tc>
          <w:tcPr>
            <w:tcW w:w="38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1</w:t>
            </w:r>
          </w:p>
        </w:tc>
        <w:tc>
          <w:tcPr>
            <w:tcW w:w="5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AGOaudio、QSN、塔克兰森</w:t>
            </w: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支持4K，3D分辨率传输30米</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支持HDMI\DVI、IR、双向RS232同步传输</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支持高清晰环绕立体声Dolby TrueHD和DTS-HD Master Audio的声道同步发射</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支持HDCP解析</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支持HDTV所有分辨率,支持设备单端供电</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13</w:t>
            </w:r>
          </w:p>
        </w:tc>
        <w:tc>
          <w:tcPr>
            <w:tcW w:w="68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电源时序器</w:t>
            </w:r>
          </w:p>
        </w:tc>
        <w:tc>
          <w:tcPr>
            <w:tcW w:w="28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1.8路电源时序控制，每路延时1秒。</w:t>
            </w:r>
          </w:p>
        </w:tc>
        <w:tc>
          <w:tcPr>
            <w:tcW w:w="2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套</w:t>
            </w:r>
          </w:p>
        </w:tc>
        <w:tc>
          <w:tcPr>
            <w:tcW w:w="3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1</w:t>
            </w:r>
          </w:p>
        </w:tc>
        <w:tc>
          <w:tcPr>
            <w:tcW w:w="5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AGOaudio、QSN、塔克兰森</w:t>
            </w: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2.整机容量30A 。进线采用安全方便的30A端子座。</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3.每路输出采用万能插座AC220V（13A），适用各种类型插头。简单耐用的开关控制.</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▲4.具有RS232外控接口和远程网络控制接口，可通过局域网进行远程管理。（提供第三方具有CNAS标识的检测机构出具的该功能描述的检测报告复印件）</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p>
        </w:tc>
        <w:tc>
          <w:tcPr>
            <w:tcW w:w="28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5.带电压显示。</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p>
        </w:tc>
      </w:tr>
      <w:tr>
        <w:tblPrEx>
          <w:tblCellMar>
            <w:top w:w="0" w:type="dxa"/>
            <w:left w:w="108" w:type="dxa"/>
            <w:bottom w:w="0" w:type="dxa"/>
            <w:right w:w="108" w:type="dxa"/>
          </w:tblCellMar>
        </w:tblPrEx>
        <w:trPr>
          <w:trHeight w:val="23" w:hRule="atLeast"/>
          <w:jc w:val="center"/>
        </w:trPr>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14</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专业设备机柜</w:t>
            </w:r>
          </w:p>
        </w:tc>
        <w:tc>
          <w:tcPr>
            <w:tcW w:w="28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金属材质、安全牢固，带玻璃门</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套</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1</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图腾、琪曼、康屹</w:t>
            </w:r>
          </w:p>
        </w:tc>
      </w:tr>
      <w:tr>
        <w:tblPrEx>
          <w:tblCellMar>
            <w:top w:w="0" w:type="dxa"/>
            <w:left w:w="108" w:type="dxa"/>
            <w:bottom w:w="0" w:type="dxa"/>
            <w:right w:w="108" w:type="dxa"/>
          </w:tblCellMar>
        </w:tblPrEx>
        <w:trPr>
          <w:trHeight w:val="23" w:hRule="atLeast"/>
          <w:jc w:val="center"/>
        </w:trPr>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olor w:val="auto"/>
              </w:rPr>
            </w:pPr>
            <w:r>
              <w:rPr>
                <w:rFonts w:hint="eastAsia" w:ascii="仿宋" w:hAnsi="仿宋" w:eastAsia="仿宋"/>
                <w:color w:val="auto"/>
              </w:rPr>
              <w:t>15</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配套管线及接插件附件</w:t>
            </w:r>
          </w:p>
        </w:tc>
        <w:tc>
          <w:tcPr>
            <w:tcW w:w="28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配套管线及接插件附件</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套</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1</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rPr>
            </w:pPr>
            <w:r>
              <w:rPr>
                <w:rFonts w:hint="eastAsia" w:ascii="仿宋" w:hAnsi="仿宋" w:eastAsia="仿宋"/>
                <w:color w:val="auto"/>
              </w:rPr>
              <w:t>国产</w:t>
            </w:r>
          </w:p>
        </w:tc>
      </w:tr>
    </w:tbl>
    <w:p>
      <w:pPr>
        <w:pStyle w:val="17"/>
        <w:rPr>
          <w:rFonts w:ascii="仿宋" w:hAnsi="仿宋" w:eastAsia="仿宋"/>
          <w:color w:val="auto"/>
          <w:sz w:val="24"/>
          <w:szCs w:val="24"/>
        </w:rPr>
      </w:pPr>
      <w:r>
        <w:rPr>
          <w:rFonts w:hint="eastAsia" w:ascii="仿宋" w:hAnsi="仿宋" w:eastAsia="仿宋"/>
          <w:color w:val="auto"/>
          <w:sz w:val="24"/>
          <w:szCs w:val="24"/>
        </w:rPr>
        <w:t>5.</w:t>
      </w:r>
      <w:r>
        <w:rPr>
          <w:rFonts w:ascii="仿宋" w:hAnsi="仿宋" w:eastAsia="仿宋"/>
          <w:color w:val="auto"/>
          <w:sz w:val="24"/>
          <w:szCs w:val="24"/>
        </w:rPr>
        <w:t xml:space="preserve">3 </w:t>
      </w:r>
      <w:r>
        <w:rPr>
          <w:rFonts w:hint="eastAsia" w:ascii="仿宋" w:hAnsi="仿宋" w:eastAsia="仿宋"/>
          <w:color w:val="auto"/>
          <w:sz w:val="24"/>
          <w:szCs w:val="24"/>
        </w:rPr>
        <w:t>监控中心视频级联平台</w:t>
      </w:r>
    </w:p>
    <w:tbl>
      <w:tblPr>
        <w:tblStyle w:val="26"/>
        <w:tblW w:w="4849" w:type="pct"/>
        <w:tblInd w:w="0" w:type="dxa"/>
        <w:tblLayout w:type="autofit"/>
        <w:tblCellMar>
          <w:top w:w="15" w:type="dxa"/>
          <w:left w:w="108" w:type="dxa"/>
          <w:bottom w:w="0" w:type="dxa"/>
          <w:right w:w="108" w:type="dxa"/>
        </w:tblCellMar>
      </w:tblPr>
      <w:tblGrid>
        <w:gridCol w:w="638"/>
        <w:gridCol w:w="263"/>
        <w:gridCol w:w="1160"/>
        <w:gridCol w:w="4428"/>
        <w:gridCol w:w="951"/>
        <w:gridCol w:w="788"/>
        <w:gridCol w:w="1109"/>
      </w:tblGrid>
      <w:tr>
        <w:trPr>
          <w:trHeight w:val="576" w:hRule="atLeast"/>
        </w:trPr>
        <w:tc>
          <w:tcPr>
            <w:tcW w:w="34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kern w:val="0"/>
                <w:szCs w:val="21"/>
              </w:rPr>
            </w:pPr>
            <w:r>
              <w:rPr>
                <w:rFonts w:hint="eastAsia" w:ascii="仿宋" w:hAnsi="仿宋" w:eastAsia="仿宋" w:cs="宋体"/>
                <w:b/>
                <w:bCs/>
                <w:color w:val="auto"/>
                <w:kern w:val="0"/>
                <w:szCs w:val="21"/>
              </w:rPr>
              <w:t>序号</w:t>
            </w:r>
          </w:p>
        </w:tc>
        <w:tc>
          <w:tcPr>
            <w:tcW w:w="141" w:type="pct"/>
            <w:tcBorders>
              <w:top w:val="single" w:color="auto" w:sz="4" w:space="0"/>
              <w:left w:val="nil"/>
              <w:bottom w:val="single" w:color="auto" w:sz="4" w:space="0"/>
              <w:right w:val="nil"/>
            </w:tcBorders>
          </w:tcPr>
          <w:p>
            <w:pPr>
              <w:widowControl/>
              <w:jc w:val="center"/>
              <w:rPr>
                <w:rFonts w:ascii="仿宋" w:hAnsi="仿宋" w:eastAsia="仿宋" w:cs="宋体"/>
                <w:b/>
                <w:bCs/>
                <w:color w:val="auto"/>
                <w:kern w:val="0"/>
                <w:szCs w:val="21"/>
              </w:rPr>
            </w:pPr>
          </w:p>
        </w:tc>
        <w:tc>
          <w:tcPr>
            <w:tcW w:w="62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kern w:val="0"/>
                <w:szCs w:val="21"/>
              </w:rPr>
            </w:pPr>
            <w:r>
              <w:rPr>
                <w:rFonts w:hint="eastAsia" w:ascii="仿宋" w:hAnsi="仿宋" w:eastAsia="仿宋" w:cs="宋体"/>
                <w:b/>
                <w:bCs/>
                <w:color w:val="auto"/>
                <w:kern w:val="0"/>
                <w:szCs w:val="21"/>
              </w:rPr>
              <w:t>产品名称</w:t>
            </w:r>
          </w:p>
        </w:tc>
        <w:tc>
          <w:tcPr>
            <w:tcW w:w="237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kern w:val="0"/>
                <w:szCs w:val="21"/>
              </w:rPr>
            </w:pPr>
            <w:r>
              <w:rPr>
                <w:rFonts w:hint="eastAsia" w:ascii="仿宋" w:hAnsi="仿宋" w:eastAsia="仿宋" w:cs="宋体"/>
                <w:b/>
                <w:bCs/>
                <w:color w:val="auto"/>
                <w:kern w:val="0"/>
                <w:szCs w:val="21"/>
              </w:rPr>
              <w:t>设计参数</w:t>
            </w:r>
          </w:p>
        </w:tc>
        <w:tc>
          <w:tcPr>
            <w:tcW w:w="50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kern w:val="0"/>
                <w:szCs w:val="21"/>
              </w:rPr>
            </w:pPr>
            <w:r>
              <w:rPr>
                <w:rFonts w:hint="eastAsia" w:ascii="仿宋" w:hAnsi="仿宋" w:eastAsia="仿宋" w:cs="宋体"/>
                <w:b/>
                <w:bCs/>
                <w:color w:val="auto"/>
                <w:kern w:val="0"/>
                <w:szCs w:val="21"/>
              </w:rPr>
              <w:t>单位</w:t>
            </w:r>
          </w:p>
        </w:tc>
        <w:tc>
          <w:tcPr>
            <w:tcW w:w="42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kern w:val="0"/>
                <w:szCs w:val="21"/>
              </w:rPr>
            </w:pPr>
            <w:r>
              <w:rPr>
                <w:rFonts w:hint="eastAsia" w:ascii="仿宋" w:hAnsi="仿宋" w:eastAsia="仿宋" w:cs="宋体"/>
                <w:b/>
                <w:bCs/>
                <w:color w:val="auto"/>
                <w:kern w:val="0"/>
                <w:szCs w:val="21"/>
              </w:rPr>
              <w:t>数量</w:t>
            </w:r>
          </w:p>
        </w:tc>
        <w:tc>
          <w:tcPr>
            <w:tcW w:w="59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kern w:val="0"/>
                <w:szCs w:val="21"/>
              </w:rPr>
            </w:pPr>
            <w:r>
              <w:rPr>
                <w:rFonts w:hint="eastAsia" w:ascii="仿宋" w:hAnsi="仿宋" w:eastAsia="仿宋" w:cs="宋体"/>
                <w:b/>
                <w:bCs/>
                <w:color w:val="auto"/>
                <w:kern w:val="0"/>
                <w:szCs w:val="21"/>
              </w:rPr>
              <w:t>推荐品牌</w:t>
            </w:r>
          </w:p>
        </w:tc>
      </w:tr>
      <w:tr>
        <w:tblPrEx>
          <w:tblCellMar>
            <w:top w:w="15" w:type="dxa"/>
            <w:left w:w="108" w:type="dxa"/>
            <w:bottom w:w="0" w:type="dxa"/>
            <w:right w:w="108" w:type="dxa"/>
          </w:tblCellMar>
        </w:tblPrEx>
        <w:trPr>
          <w:trHeight w:val="288" w:hRule="atLeast"/>
        </w:trPr>
        <w:tc>
          <w:tcPr>
            <w:tcW w:w="342" w:type="pct"/>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color w:val="auto"/>
                <w:kern w:val="0"/>
                <w:szCs w:val="21"/>
              </w:rPr>
            </w:pPr>
          </w:p>
        </w:tc>
        <w:tc>
          <w:tcPr>
            <w:tcW w:w="4658"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一、硬件清单</w:t>
            </w:r>
          </w:p>
        </w:tc>
      </w:tr>
      <w:tr>
        <w:tblPrEx>
          <w:tblCellMar>
            <w:top w:w="15" w:type="dxa"/>
            <w:left w:w="108" w:type="dxa"/>
            <w:bottom w:w="0" w:type="dxa"/>
            <w:right w:w="108" w:type="dxa"/>
          </w:tblCellMar>
        </w:tblPrEx>
        <w:trPr>
          <w:trHeight w:val="864" w:hRule="atLeast"/>
        </w:trPr>
        <w:tc>
          <w:tcPr>
            <w:tcW w:w="34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1</w:t>
            </w:r>
          </w:p>
        </w:tc>
        <w:tc>
          <w:tcPr>
            <w:tcW w:w="762" w:type="pct"/>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信创目录服务器</w:t>
            </w:r>
          </w:p>
        </w:tc>
        <w:tc>
          <w:tcPr>
            <w:tcW w:w="2371"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2U单路标准机架式服务器</w:t>
            </w:r>
          </w:p>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CPU：配置1颗 x86架构HYGON 7380处理器，核数≥32核，主频≥2.2GHz；</w:t>
            </w:r>
          </w:p>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内存：配置32G DDR4，16根内存插槽，最大支持扩展至2TB内存；</w:t>
            </w:r>
          </w:p>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硬盘：配置2块600G 10K 2.5寸SAS硬盘；最高可选支持12块3.5寸(兼容2.5寸)热插拔SATA/SAS硬盘，可选支持2块后置2.5寸热插拔SATA/SAS硬盘；</w:t>
            </w:r>
          </w:p>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阵列卡：配置SAS_HBA卡（支持RAID 0/1/10）；</w:t>
            </w:r>
          </w:p>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PCIE扩展：支持6个PCIe扩展插槽；</w:t>
            </w:r>
          </w:p>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网口：板载2个千兆电口；支持选配10GbE、25GbE SFP+等多种网络接口；</w:t>
            </w:r>
          </w:p>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其他接口：配置1个千兆RJ-45管理接口，4个USB 3.0接口，2个位于机箱后部，2个位于机箱前部；1个VGA口，位于机箱后部；可选1个COM口位于机箱后部；</w:t>
            </w:r>
          </w:p>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电源：配置550W（1+1）冗余电源</w:t>
            </w:r>
          </w:p>
        </w:tc>
        <w:tc>
          <w:tcPr>
            <w:tcW w:w="5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台</w:t>
            </w:r>
          </w:p>
        </w:tc>
        <w:tc>
          <w:tcPr>
            <w:tcW w:w="42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3</w:t>
            </w:r>
          </w:p>
        </w:tc>
        <w:tc>
          <w:tcPr>
            <w:tcW w:w="594" w:type="pc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海康、华三、浪潮</w:t>
            </w:r>
          </w:p>
        </w:tc>
      </w:tr>
      <w:tr>
        <w:tblPrEx>
          <w:tblCellMar>
            <w:top w:w="15" w:type="dxa"/>
            <w:left w:w="108" w:type="dxa"/>
            <w:bottom w:w="0" w:type="dxa"/>
            <w:right w:w="108" w:type="dxa"/>
          </w:tblCellMar>
        </w:tblPrEx>
        <w:trPr>
          <w:trHeight w:val="864" w:hRule="atLeast"/>
        </w:trPr>
        <w:tc>
          <w:tcPr>
            <w:tcW w:w="34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2</w:t>
            </w:r>
          </w:p>
        </w:tc>
        <w:tc>
          <w:tcPr>
            <w:tcW w:w="762" w:type="pct"/>
            <w:gridSpan w:val="2"/>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内存条</w:t>
            </w:r>
          </w:p>
        </w:tc>
        <w:tc>
          <w:tcPr>
            <w:tcW w:w="2371"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满足总容量32G</w:t>
            </w:r>
          </w:p>
        </w:tc>
        <w:tc>
          <w:tcPr>
            <w:tcW w:w="509"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套</w:t>
            </w:r>
          </w:p>
        </w:tc>
        <w:tc>
          <w:tcPr>
            <w:tcW w:w="42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3</w:t>
            </w:r>
          </w:p>
        </w:tc>
        <w:tc>
          <w:tcPr>
            <w:tcW w:w="594" w:type="pct"/>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auto"/>
                <w:kern w:val="0"/>
                <w:szCs w:val="21"/>
              </w:rPr>
            </w:pPr>
            <w:r>
              <w:rPr>
                <w:rFonts w:hint="eastAsia" w:ascii="仿宋" w:hAnsi="仿宋" w:eastAsia="仿宋" w:cs="宋体"/>
                <w:color w:val="auto"/>
                <w:kern w:val="0"/>
                <w:szCs w:val="21"/>
              </w:rPr>
              <w:t>金士顿、威刚、芝奇</w:t>
            </w:r>
          </w:p>
        </w:tc>
      </w:tr>
      <w:tr>
        <w:tblPrEx>
          <w:tblCellMar>
            <w:top w:w="15" w:type="dxa"/>
            <w:left w:w="108" w:type="dxa"/>
            <w:bottom w:w="0" w:type="dxa"/>
            <w:right w:w="108" w:type="dxa"/>
          </w:tblCellMar>
        </w:tblPrEx>
        <w:trPr>
          <w:trHeight w:val="576" w:hRule="atLeast"/>
        </w:trPr>
        <w:tc>
          <w:tcPr>
            <w:tcW w:w="34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3</w:t>
            </w:r>
          </w:p>
        </w:tc>
        <w:tc>
          <w:tcPr>
            <w:tcW w:w="762" w:type="pct"/>
            <w:gridSpan w:val="2"/>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硬盘</w:t>
            </w:r>
          </w:p>
        </w:tc>
        <w:tc>
          <w:tcPr>
            <w:tcW w:w="2371"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用于服务器硬盘扩容，600G 10K 2.5寸SAS硬盘</w:t>
            </w:r>
          </w:p>
        </w:tc>
        <w:tc>
          <w:tcPr>
            <w:tcW w:w="509"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块</w:t>
            </w:r>
          </w:p>
        </w:tc>
        <w:tc>
          <w:tcPr>
            <w:tcW w:w="42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6</w:t>
            </w:r>
          </w:p>
        </w:tc>
        <w:tc>
          <w:tcPr>
            <w:tcW w:w="594" w:type="pct"/>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auto"/>
                <w:kern w:val="0"/>
                <w:szCs w:val="21"/>
              </w:rPr>
            </w:pPr>
            <w:r>
              <w:rPr>
                <w:rFonts w:hint="eastAsia" w:ascii="仿宋" w:hAnsi="仿宋" w:eastAsia="仿宋" w:cs="宋体"/>
                <w:color w:val="auto"/>
                <w:kern w:val="0"/>
                <w:szCs w:val="21"/>
              </w:rPr>
              <w:t>西数、希捷、东芝</w:t>
            </w:r>
          </w:p>
        </w:tc>
      </w:tr>
      <w:tr>
        <w:tblPrEx>
          <w:tblCellMar>
            <w:top w:w="15" w:type="dxa"/>
            <w:left w:w="108" w:type="dxa"/>
            <w:bottom w:w="0" w:type="dxa"/>
            <w:right w:w="108" w:type="dxa"/>
          </w:tblCellMar>
        </w:tblPrEx>
        <w:trPr>
          <w:trHeight w:val="288" w:hRule="atLeast"/>
        </w:trPr>
        <w:tc>
          <w:tcPr>
            <w:tcW w:w="34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4</w:t>
            </w:r>
          </w:p>
        </w:tc>
        <w:tc>
          <w:tcPr>
            <w:tcW w:w="762" w:type="pct"/>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操作系统</w:t>
            </w:r>
          </w:p>
        </w:tc>
        <w:tc>
          <w:tcPr>
            <w:tcW w:w="2371"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Kylin OS V10 Server 3Y HG</w:t>
            </w:r>
          </w:p>
        </w:tc>
        <w:tc>
          <w:tcPr>
            <w:tcW w:w="50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套</w:t>
            </w:r>
          </w:p>
        </w:tc>
        <w:tc>
          <w:tcPr>
            <w:tcW w:w="42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3</w:t>
            </w:r>
          </w:p>
        </w:tc>
        <w:tc>
          <w:tcPr>
            <w:tcW w:w="594" w:type="pct"/>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color w:val="auto"/>
                <w:kern w:val="0"/>
                <w:szCs w:val="21"/>
              </w:rPr>
            </w:pPr>
            <w:r>
              <w:rPr>
                <w:rFonts w:hint="eastAsia" w:ascii="仿宋" w:hAnsi="仿宋" w:eastAsia="仿宋" w:cs="宋体"/>
                <w:color w:val="auto"/>
                <w:kern w:val="0"/>
                <w:szCs w:val="21"/>
              </w:rPr>
              <w:t>深度、中标麒麟、</w:t>
            </w:r>
            <w:r>
              <w:rPr>
                <w:rFonts w:hint="eastAsia" w:ascii="仿宋" w:hAnsi="仿宋" w:eastAsia="仿宋" w:cs="宋体"/>
                <w:color w:val="auto"/>
                <w:kern w:val="0"/>
                <w:szCs w:val="21"/>
                <w:highlight w:val="yellow"/>
              </w:rPr>
              <w:t>银河麒麟</w:t>
            </w:r>
          </w:p>
        </w:tc>
      </w:tr>
      <w:tr>
        <w:tblPrEx>
          <w:tblCellMar>
            <w:top w:w="15" w:type="dxa"/>
            <w:left w:w="108" w:type="dxa"/>
            <w:bottom w:w="0" w:type="dxa"/>
            <w:right w:w="108" w:type="dxa"/>
          </w:tblCellMar>
        </w:tblPrEx>
        <w:trPr>
          <w:trHeight w:val="288" w:hRule="atLeast"/>
        </w:trPr>
        <w:tc>
          <w:tcPr>
            <w:tcW w:w="34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762" w:type="pct"/>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2371"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麒麟高级服务器操作系统V10 (3年服务)</w:t>
            </w:r>
          </w:p>
        </w:tc>
        <w:tc>
          <w:tcPr>
            <w:tcW w:w="509"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2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594"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r>
      <w:tr>
        <w:tblPrEx>
          <w:tblCellMar>
            <w:top w:w="15" w:type="dxa"/>
            <w:left w:w="108" w:type="dxa"/>
            <w:bottom w:w="0" w:type="dxa"/>
            <w:right w:w="108" w:type="dxa"/>
          </w:tblCellMar>
        </w:tblPrEx>
        <w:trPr>
          <w:trHeight w:val="600" w:hRule="atLeast"/>
        </w:trPr>
        <w:tc>
          <w:tcPr>
            <w:tcW w:w="34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5</w:t>
            </w:r>
          </w:p>
        </w:tc>
        <w:tc>
          <w:tcPr>
            <w:tcW w:w="762" w:type="pct"/>
            <w:gridSpan w:val="2"/>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视频接入交换机</w:t>
            </w:r>
          </w:p>
        </w:tc>
        <w:tc>
          <w:tcPr>
            <w:tcW w:w="2371" w:type="pct"/>
            <w:tcBorders>
              <w:top w:val="nil"/>
              <w:left w:val="nil"/>
              <w:bottom w:val="single" w:color="auto" w:sz="4" w:space="0"/>
              <w:right w:val="single" w:color="auto" w:sz="4" w:space="0"/>
            </w:tcBorders>
            <w:shd w:val="clear" w:color="auto" w:fill="auto"/>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交换容量 ≥ 38Tbps（若官网存在大小值以最小值为准）</w:t>
            </w:r>
          </w:p>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包转发率 ≥ 7200Mpps（若官网存在大小值以最小值为准）</w:t>
            </w:r>
          </w:p>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主控 全宽主控</w:t>
            </w:r>
          </w:p>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硬件可靠性 关键部件热插拔</w:t>
            </w:r>
          </w:p>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主控板冗余，倒换时间0ms</w:t>
            </w:r>
          </w:p>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电源模块冗余</w:t>
            </w:r>
          </w:p>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线卡/接口要求 单槽位40G端口密度≥24</w:t>
            </w:r>
          </w:p>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单槽位24端口10G/5G/2.5G/1G自适应以太网电口</w:t>
            </w:r>
          </w:p>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支持40G/100G端口切换，切换后流量正常转发，不丢包</w:t>
            </w:r>
          </w:p>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支持FW/IPS/SSL VPN/ACG等安全板卡</w:t>
            </w:r>
          </w:p>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"支持 EPON OLT及10G EPON OLT接口</w:t>
            </w:r>
          </w:p>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支持10G EPON 功能，支持10G 对称和非对称 ONU"</w:t>
            </w:r>
          </w:p>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ARP表项 ≥256K</w:t>
            </w:r>
          </w:p>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ND表项 ≥256K</w:t>
            </w:r>
          </w:p>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VXLAN 支持VxLAN 网关，支持基于IPv4/IPv6的VxLAN二三层互通</w:t>
            </w:r>
          </w:p>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支持DRNI跨设备链路聚合</w:t>
            </w:r>
          </w:p>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"支持纵向虚拟化技术</w:t>
            </w:r>
          </w:p>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支持二级PE端口扩展设备级联，支持控制设备（Controlling Bridge,CB），端口扩展设备（Port Extender,PE），二级PE端口扩展设备统一管理，统一业务配置，支持CB和PE，PE和PE二三层流量互通"</w:t>
            </w:r>
          </w:p>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支持多虚一技术和一虚多技术的配合使用</w:t>
            </w:r>
          </w:p>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支持1虚多技术（MDC）</w:t>
            </w:r>
          </w:p>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QOS 每端口支持8个优先级队列，3个丢弃优先级，支持SP、WRR、SP+WRR三种队列调度算法</w:t>
            </w:r>
          </w:p>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支持精细化的流量监管，粒度可达8K</w:t>
            </w:r>
          </w:p>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支持流量整形Shapping</w:t>
            </w:r>
          </w:p>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支持WRED拥塞避免</w:t>
            </w:r>
          </w:p>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支持802.1p、TOS、DSCP、EXP优先级映射</w:t>
            </w:r>
          </w:p>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支持HQoS五层调度功能</w:t>
            </w:r>
          </w:p>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ACL 支持Ingress/Egress ACL</w:t>
            </w:r>
          </w:p>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支持VLAN ACL</w:t>
            </w:r>
          </w:p>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支持全局 ACL</w:t>
            </w:r>
          </w:p>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支持标准和扩展ACL</w:t>
            </w:r>
          </w:p>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可靠性 支持BFD，能够实现BFD与OSPF/VRRP联动。支持BFD 3ms最小探测间隔测试</w:t>
            </w:r>
          </w:p>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支持sflow、Netstream流量统计和分析功能</w:t>
            </w:r>
          </w:p>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支持RRPP功能</w:t>
            </w:r>
          </w:p>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支持ERPS环网技术</w:t>
            </w:r>
          </w:p>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支持热补丁功能，可在线进行补丁升级</w:t>
            </w:r>
          </w:p>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支持NSF/GR for OSFP/BGP/IS-IS/RSVP等</w:t>
            </w:r>
          </w:p>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支持Smart-Link</w:t>
            </w:r>
          </w:p>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时钟 支持基于1588v2和802.1AS的PTP功能</w:t>
            </w:r>
          </w:p>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可视化 支持Telemetry流量可视化功能</w:t>
            </w:r>
          </w:p>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 xml:space="preserve">融合 </w:t>
            </w:r>
          </w:p>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▲支持融合 AC 功能：无需额外配置单独硬件，在交换机上实现对AP 的配置和管理；支持多业务融合板块，能够与设备紧耦合无需外部链接，支持部署Windows Server及SDN director，实现SDN方案与设备一体化部署，提供第三方测试报告</w:t>
            </w:r>
          </w:p>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支持多业务融合板卡，能够与设备紧耦合无需外部连线，实现对摄像头等物联终端统一识别、认证和管理（通过鹰视板卡实现）</w:t>
            </w:r>
          </w:p>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MPLS 支持L3 VPN</w:t>
            </w:r>
          </w:p>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支持VLL</w:t>
            </w:r>
          </w:p>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支持VPLS</w:t>
            </w:r>
          </w:p>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支持MCE</w:t>
            </w:r>
          </w:p>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安全特性 支持ARP防攻击</w:t>
            </w:r>
          </w:p>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支持CPU防攻击能力，保障CPU工作安全</w:t>
            </w:r>
          </w:p>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支持MACsec加密技术</w:t>
            </w:r>
          </w:p>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支持SNMPv1/v2/v3</w:t>
            </w:r>
          </w:p>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支持端口镜像/流镜像/VLAN镜像</w:t>
            </w:r>
          </w:p>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支持EAD</w:t>
            </w:r>
          </w:p>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支持DHCP Snooping</w:t>
            </w:r>
          </w:p>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NAS 支持802.1x认证</w:t>
            </w:r>
          </w:p>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支持mac认证</w:t>
            </w:r>
          </w:p>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支持Portal认证</w:t>
            </w:r>
          </w:p>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支持本地认证</w:t>
            </w:r>
          </w:p>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支持Radius认证</w:t>
            </w:r>
          </w:p>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支持Tacacs+认证</w:t>
            </w:r>
          </w:p>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支持BRAS功能，能够实现PPPoE、IPoE接入认证方式，PPPoE上线用户可达10240个</w:t>
            </w:r>
          </w:p>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SDN/OpenFlow 支持OpenFlow功能</w:t>
            </w:r>
          </w:p>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跨三层互联技术 支持主流的MAC in IP技术，如EVI，实现跨三层网络的二层互联</w:t>
            </w:r>
          </w:p>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FCoE 支持FCoE功能</w:t>
            </w:r>
          </w:p>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IPv6 "支持RIPng、OSPFv3、BGP4+、IS-ISv6协议，支持IPv6策略路由；支持DHCPv6功能、IPv6 portal功能、IPv6管理功能；</w:t>
            </w:r>
          </w:p>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支持基于IPv4\IPv6的VXLAN二三层互通；</w:t>
            </w:r>
          </w:p>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支持基于IPv4\IPv6的VRRP功能"</w:t>
            </w:r>
          </w:p>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实配 主控引擎≥2，≥24个千兆电口，≥24个千兆光口，≥8个万兆光口，电源模块≥2</w:t>
            </w:r>
          </w:p>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成熟度 提供产品进网许可证</w:t>
            </w:r>
          </w:p>
        </w:tc>
        <w:tc>
          <w:tcPr>
            <w:tcW w:w="509"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个</w:t>
            </w:r>
          </w:p>
        </w:tc>
        <w:tc>
          <w:tcPr>
            <w:tcW w:w="42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1</w:t>
            </w:r>
          </w:p>
        </w:tc>
        <w:tc>
          <w:tcPr>
            <w:tcW w:w="594" w:type="pct"/>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auto"/>
                <w:kern w:val="0"/>
                <w:szCs w:val="21"/>
              </w:rPr>
            </w:pPr>
            <w:r>
              <w:rPr>
                <w:rFonts w:hint="eastAsia" w:ascii="仿宋" w:hAnsi="仿宋" w:eastAsia="仿宋" w:cs="宋体"/>
                <w:color w:val="auto"/>
                <w:kern w:val="0"/>
                <w:szCs w:val="21"/>
              </w:rPr>
              <w:t>华三、华为、中兴</w:t>
            </w:r>
          </w:p>
        </w:tc>
      </w:tr>
      <w:tr>
        <w:tblPrEx>
          <w:tblCellMar>
            <w:top w:w="15" w:type="dxa"/>
            <w:left w:w="108" w:type="dxa"/>
            <w:bottom w:w="0" w:type="dxa"/>
            <w:right w:w="108" w:type="dxa"/>
          </w:tblCellMar>
        </w:tblPrEx>
        <w:trPr>
          <w:trHeight w:val="288" w:hRule="atLeast"/>
        </w:trPr>
        <w:tc>
          <w:tcPr>
            <w:tcW w:w="342" w:type="pct"/>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color w:val="auto"/>
                <w:kern w:val="0"/>
                <w:szCs w:val="21"/>
              </w:rPr>
            </w:pPr>
          </w:p>
        </w:tc>
        <w:tc>
          <w:tcPr>
            <w:tcW w:w="4658"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二、软件清单</w:t>
            </w:r>
          </w:p>
        </w:tc>
      </w:tr>
      <w:tr>
        <w:tblPrEx>
          <w:tblCellMar>
            <w:top w:w="15" w:type="dxa"/>
            <w:left w:w="108" w:type="dxa"/>
            <w:bottom w:w="0" w:type="dxa"/>
            <w:right w:w="108" w:type="dxa"/>
          </w:tblCellMar>
        </w:tblPrEx>
        <w:trPr>
          <w:trHeight w:val="576" w:hRule="atLeast"/>
        </w:trPr>
        <w:tc>
          <w:tcPr>
            <w:tcW w:w="34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1</w:t>
            </w:r>
          </w:p>
        </w:tc>
        <w:tc>
          <w:tcPr>
            <w:tcW w:w="762" w:type="pct"/>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交通行政综合执法平台基础视频应用</w:t>
            </w:r>
          </w:p>
        </w:tc>
        <w:tc>
          <w:tcPr>
            <w:tcW w:w="2371"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1、支持系统管理基础功能，包括应用平台门户、统一认证、权限管理、资源目录管理、日志管理、应用配置管理和时间同步；</w:t>
            </w:r>
          </w:p>
        </w:tc>
        <w:tc>
          <w:tcPr>
            <w:tcW w:w="5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套</w:t>
            </w:r>
          </w:p>
        </w:tc>
        <w:tc>
          <w:tcPr>
            <w:tcW w:w="42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1</w:t>
            </w:r>
          </w:p>
        </w:tc>
        <w:tc>
          <w:tcPr>
            <w:tcW w:w="594" w:type="pct"/>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color w:val="auto"/>
                <w:kern w:val="0"/>
                <w:szCs w:val="21"/>
              </w:rPr>
            </w:pPr>
            <w:r>
              <w:rPr>
                <w:rFonts w:hint="eastAsia" w:ascii="仿宋" w:hAnsi="仿宋" w:eastAsia="仿宋" w:cs="宋体"/>
                <w:color w:val="auto"/>
                <w:kern w:val="0"/>
                <w:szCs w:val="21"/>
              </w:rPr>
              <w:t>定制</w:t>
            </w:r>
          </w:p>
        </w:tc>
      </w:tr>
      <w:tr>
        <w:tblPrEx>
          <w:tblCellMar>
            <w:top w:w="15" w:type="dxa"/>
            <w:left w:w="108" w:type="dxa"/>
            <w:bottom w:w="0" w:type="dxa"/>
            <w:right w:w="108" w:type="dxa"/>
          </w:tblCellMar>
        </w:tblPrEx>
        <w:trPr>
          <w:trHeight w:val="576" w:hRule="atLeast"/>
        </w:trPr>
        <w:tc>
          <w:tcPr>
            <w:tcW w:w="34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762" w:type="pct"/>
            <w:gridSpan w:val="2"/>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2371"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2、提供视频预览、录像回放、电子地图、解码上墙、视频运维等视频应用；</w:t>
            </w:r>
          </w:p>
        </w:tc>
        <w:tc>
          <w:tcPr>
            <w:tcW w:w="509" w:type="pct"/>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22" w:type="pct"/>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594" w:type="pct"/>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r>
      <w:tr>
        <w:tblPrEx>
          <w:tblCellMar>
            <w:top w:w="15" w:type="dxa"/>
            <w:left w:w="108" w:type="dxa"/>
            <w:bottom w:w="0" w:type="dxa"/>
            <w:right w:w="108" w:type="dxa"/>
          </w:tblCellMar>
        </w:tblPrEx>
        <w:trPr>
          <w:trHeight w:val="288" w:hRule="atLeast"/>
        </w:trPr>
        <w:tc>
          <w:tcPr>
            <w:tcW w:w="34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762" w:type="pct"/>
            <w:gridSpan w:val="2"/>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2371"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3、提供对外openAPI能力开放。</w:t>
            </w:r>
          </w:p>
        </w:tc>
        <w:tc>
          <w:tcPr>
            <w:tcW w:w="509" w:type="pct"/>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22" w:type="pct"/>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594" w:type="pct"/>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r>
      <w:tr>
        <w:tblPrEx>
          <w:tblCellMar>
            <w:top w:w="15" w:type="dxa"/>
            <w:left w:w="108" w:type="dxa"/>
            <w:bottom w:w="0" w:type="dxa"/>
            <w:right w:w="108" w:type="dxa"/>
          </w:tblCellMar>
        </w:tblPrEx>
        <w:trPr>
          <w:trHeight w:val="1440" w:hRule="atLeast"/>
        </w:trPr>
        <w:tc>
          <w:tcPr>
            <w:tcW w:w="34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2</w:t>
            </w:r>
          </w:p>
        </w:tc>
        <w:tc>
          <w:tcPr>
            <w:tcW w:w="141" w:type="pct"/>
            <w:tcBorders>
              <w:top w:val="nil"/>
              <w:left w:val="nil"/>
              <w:bottom w:val="single" w:color="auto" w:sz="4" w:space="0"/>
              <w:right w:val="nil"/>
            </w:tcBorders>
          </w:tcPr>
          <w:p>
            <w:pPr>
              <w:widowControl/>
              <w:jc w:val="left"/>
              <w:rPr>
                <w:rFonts w:ascii="仿宋" w:hAnsi="仿宋" w:eastAsia="仿宋" w:cs="宋体"/>
                <w:color w:val="auto"/>
                <w:kern w:val="0"/>
                <w:szCs w:val="21"/>
              </w:rPr>
            </w:pPr>
          </w:p>
        </w:tc>
        <w:tc>
          <w:tcPr>
            <w:tcW w:w="621"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交通行政综合执法平台本级视频通道数</w:t>
            </w:r>
          </w:p>
        </w:tc>
        <w:tc>
          <w:tcPr>
            <w:tcW w:w="2371"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对本级视频设备的通道数进行管理。</w:t>
            </w:r>
          </w:p>
        </w:tc>
        <w:tc>
          <w:tcPr>
            <w:tcW w:w="509"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路</w:t>
            </w:r>
          </w:p>
        </w:tc>
        <w:tc>
          <w:tcPr>
            <w:tcW w:w="42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1000</w:t>
            </w:r>
          </w:p>
        </w:tc>
        <w:tc>
          <w:tcPr>
            <w:tcW w:w="594" w:type="pct"/>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auto"/>
                <w:kern w:val="0"/>
                <w:szCs w:val="21"/>
              </w:rPr>
            </w:pPr>
            <w:r>
              <w:rPr>
                <w:rFonts w:hint="eastAsia" w:ascii="仿宋" w:hAnsi="仿宋" w:eastAsia="仿宋" w:cs="宋体"/>
                <w:color w:val="auto"/>
                <w:kern w:val="0"/>
                <w:szCs w:val="21"/>
              </w:rPr>
              <w:t>定制</w:t>
            </w:r>
          </w:p>
        </w:tc>
      </w:tr>
      <w:tr>
        <w:tblPrEx>
          <w:tblCellMar>
            <w:top w:w="15" w:type="dxa"/>
            <w:left w:w="108" w:type="dxa"/>
            <w:bottom w:w="0" w:type="dxa"/>
            <w:right w:w="108" w:type="dxa"/>
          </w:tblCellMar>
        </w:tblPrEx>
        <w:trPr>
          <w:trHeight w:val="288" w:hRule="atLeast"/>
        </w:trPr>
        <w:tc>
          <w:tcPr>
            <w:tcW w:w="34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3</w:t>
            </w:r>
          </w:p>
        </w:tc>
        <w:tc>
          <w:tcPr>
            <w:tcW w:w="762" w:type="pct"/>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交通行政综合执法平台级联视频通道数</w:t>
            </w:r>
          </w:p>
        </w:tc>
        <w:tc>
          <w:tcPr>
            <w:tcW w:w="2371"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1、对下级平台的通道数进行管理。</w:t>
            </w:r>
          </w:p>
        </w:tc>
        <w:tc>
          <w:tcPr>
            <w:tcW w:w="5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路</w:t>
            </w:r>
          </w:p>
        </w:tc>
        <w:tc>
          <w:tcPr>
            <w:tcW w:w="42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1000</w:t>
            </w:r>
          </w:p>
        </w:tc>
        <w:tc>
          <w:tcPr>
            <w:tcW w:w="594" w:type="pct"/>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color w:val="auto"/>
                <w:kern w:val="0"/>
                <w:szCs w:val="21"/>
              </w:rPr>
            </w:pPr>
            <w:r>
              <w:rPr>
                <w:rFonts w:hint="eastAsia" w:ascii="仿宋" w:hAnsi="仿宋" w:eastAsia="仿宋" w:cs="宋体"/>
                <w:color w:val="auto"/>
                <w:kern w:val="0"/>
                <w:szCs w:val="21"/>
              </w:rPr>
              <w:t>定制</w:t>
            </w:r>
          </w:p>
        </w:tc>
      </w:tr>
      <w:tr>
        <w:tblPrEx>
          <w:tblCellMar>
            <w:top w:w="15" w:type="dxa"/>
            <w:left w:w="108" w:type="dxa"/>
            <w:bottom w:w="0" w:type="dxa"/>
            <w:right w:w="108" w:type="dxa"/>
          </w:tblCellMar>
        </w:tblPrEx>
        <w:trPr>
          <w:trHeight w:val="576" w:hRule="atLeast"/>
        </w:trPr>
        <w:tc>
          <w:tcPr>
            <w:tcW w:w="34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762" w:type="pct"/>
            <w:gridSpan w:val="2"/>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2371"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2、支持视频通用标准协议：GB/T28181-2011、GB/T28181-2016、DB33/T629-2011。</w:t>
            </w:r>
          </w:p>
        </w:tc>
        <w:tc>
          <w:tcPr>
            <w:tcW w:w="509" w:type="pct"/>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22" w:type="pct"/>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594" w:type="pct"/>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r>
      <w:tr>
        <w:tblPrEx>
          <w:tblCellMar>
            <w:top w:w="15" w:type="dxa"/>
            <w:left w:w="108" w:type="dxa"/>
            <w:bottom w:w="0" w:type="dxa"/>
            <w:right w:w="108" w:type="dxa"/>
          </w:tblCellMar>
        </w:tblPrEx>
        <w:trPr>
          <w:trHeight w:val="288" w:hRule="atLeast"/>
        </w:trPr>
        <w:tc>
          <w:tcPr>
            <w:tcW w:w="34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4</w:t>
            </w:r>
          </w:p>
        </w:tc>
        <w:tc>
          <w:tcPr>
            <w:tcW w:w="762" w:type="pct"/>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交通行政综合执法平台移动端视频应用</w:t>
            </w:r>
          </w:p>
        </w:tc>
        <w:tc>
          <w:tcPr>
            <w:tcW w:w="2371"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执法仪车载等移动设备接入</w:t>
            </w:r>
          </w:p>
        </w:tc>
        <w:tc>
          <w:tcPr>
            <w:tcW w:w="50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套</w:t>
            </w:r>
          </w:p>
        </w:tc>
        <w:tc>
          <w:tcPr>
            <w:tcW w:w="42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1</w:t>
            </w:r>
          </w:p>
        </w:tc>
        <w:tc>
          <w:tcPr>
            <w:tcW w:w="594" w:type="pct"/>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color w:val="auto"/>
                <w:kern w:val="0"/>
                <w:szCs w:val="21"/>
              </w:rPr>
            </w:pPr>
            <w:r>
              <w:rPr>
                <w:rFonts w:hint="eastAsia" w:ascii="仿宋" w:hAnsi="仿宋" w:eastAsia="仿宋" w:cs="宋体"/>
                <w:color w:val="auto"/>
                <w:kern w:val="0"/>
                <w:szCs w:val="21"/>
              </w:rPr>
              <w:t>定制</w:t>
            </w:r>
          </w:p>
        </w:tc>
      </w:tr>
      <w:tr>
        <w:tblPrEx>
          <w:tblCellMar>
            <w:top w:w="15" w:type="dxa"/>
            <w:left w:w="108" w:type="dxa"/>
            <w:bottom w:w="0" w:type="dxa"/>
            <w:right w:w="108" w:type="dxa"/>
          </w:tblCellMar>
        </w:tblPrEx>
        <w:trPr>
          <w:trHeight w:val="576" w:hRule="atLeast"/>
        </w:trPr>
        <w:tc>
          <w:tcPr>
            <w:tcW w:w="34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762" w:type="pct"/>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2371"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1、移动端预览回放：实现对监控点的预览和回放功能，支持四画面和全屏预览切换；</w:t>
            </w:r>
          </w:p>
        </w:tc>
        <w:tc>
          <w:tcPr>
            <w:tcW w:w="509"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2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594"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r>
      <w:tr>
        <w:tblPrEx>
          <w:tblCellMar>
            <w:top w:w="15" w:type="dxa"/>
            <w:left w:w="108" w:type="dxa"/>
            <w:bottom w:w="0" w:type="dxa"/>
            <w:right w:w="108" w:type="dxa"/>
          </w:tblCellMar>
        </w:tblPrEx>
        <w:trPr>
          <w:trHeight w:val="576" w:hRule="atLeast"/>
        </w:trPr>
        <w:tc>
          <w:tcPr>
            <w:tcW w:w="34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762" w:type="pct"/>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2371"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2、移动端视频回传：支持将手机在web端注册成监控点，可以通过其他手机端或者PC进行视频预览；</w:t>
            </w:r>
          </w:p>
        </w:tc>
        <w:tc>
          <w:tcPr>
            <w:tcW w:w="509"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2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594"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r>
      <w:tr>
        <w:tblPrEx>
          <w:tblCellMar>
            <w:top w:w="15" w:type="dxa"/>
            <w:left w:w="108" w:type="dxa"/>
            <w:bottom w:w="0" w:type="dxa"/>
            <w:right w:w="108" w:type="dxa"/>
          </w:tblCellMar>
        </w:tblPrEx>
        <w:trPr>
          <w:trHeight w:val="288" w:hRule="atLeast"/>
        </w:trPr>
        <w:tc>
          <w:tcPr>
            <w:tcW w:w="34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762" w:type="pct"/>
            <w:gridSpan w:val="2"/>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2371"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3、文件管理：支持查看和管理预览回放过程中抓拍的图片和录像视频。</w:t>
            </w:r>
          </w:p>
        </w:tc>
        <w:tc>
          <w:tcPr>
            <w:tcW w:w="509" w:type="pct"/>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22" w:type="pct"/>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594" w:type="pct"/>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r>
      <w:tr>
        <w:tblPrEx>
          <w:tblCellMar>
            <w:top w:w="15" w:type="dxa"/>
            <w:left w:w="108" w:type="dxa"/>
            <w:bottom w:w="0" w:type="dxa"/>
            <w:right w:w="108" w:type="dxa"/>
          </w:tblCellMar>
        </w:tblPrEx>
        <w:trPr>
          <w:trHeight w:val="312" w:hRule="atLeast"/>
        </w:trPr>
        <w:tc>
          <w:tcPr>
            <w:tcW w:w="34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5</w:t>
            </w:r>
          </w:p>
        </w:tc>
        <w:tc>
          <w:tcPr>
            <w:tcW w:w="762" w:type="pct"/>
            <w:gridSpan w:val="2"/>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视频数据共享</w:t>
            </w:r>
          </w:p>
        </w:tc>
        <w:tc>
          <w:tcPr>
            <w:tcW w:w="2371" w:type="pct"/>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color w:val="auto"/>
                <w:kern w:val="0"/>
                <w:szCs w:val="21"/>
              </w:rPr>
            </w:pPr>
            <w:r>
              <w:rPr>
                <w:rFonts w:hint="eastAsia" w:ascii="仿宋" w:hAnsi="仿宋" w:eastAsia="仿宋" w:cs="宋体"/>
                <w:color w:val="auto"/>
                <w:kern w:val="0"/>
                <w:szCs w:val="21"/>
              </w:rPr>
              <w:t>需实现无缝对接上下级交通视频平台视频推送与级联；同时配合招标人做好视频对接与视频级联的监管工作，提供相关承诺书，格式自拟；通过多个平台中的视频等数据进行共享，对相关部门的视频图像信息资源的统一整合，以数据为支撑，做到有据可依和有理可循，实现视频图像资源集中管理共享和统一调度。无法满足上述要求做废标处理。</w:t>
            </w:r>
          </w:p>
        </w:tc>
        <w:tc>
          <w:tcPr>
            <w:tcW w:w="5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项</w:t>
            </w:r>
          </w:p>
        </w:tc>
        <w:tc>
          <w:tcPr>
            <w:tcW w:w="422" w:type="pct"/>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color w:val="auto"/>
                <w:kern w:val="0"/>
                <w:szCs w:val="21"/>
              </w:rPr>
            </w:pPr>
            <w:r>
              <w:rPr>
                <w:rFonts w:hint="eastAsia" w:ascii="仿宋" w:hAnsi="仿宋" w:eastAsia="仿宋" w:cs="宋体"/>
                <w:color w:val="auto"/>
                <w:kern w:val="0"/>
                <w:szCs w:val="21"/>
              </w:rPr>
              <w:t>1</w:t>
            </w:r>
          </w:p>
        </w:tc>
        <w:tc>
          <w:tcPr>
            <w:tcW w:w="594" w:type="pct"/>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color w:val="auto"/>
                <w:kern w:val="0"/>
                <w:szCs w:val="21"/>
              </w:rPr>
            </w:pPr>
            <w:r>
              <w:rPr>
                <w:rFonts w:hint="eastAsia" w:ascii="仿宋" w:hAnsi="仿宋" w:eastAsia="仿宋" w:cs="宋体"/>
                <w:color w:val="auto"/>
                <w:kern w:val="0"/>
                <w:szCs w:val="21"/>
              </w:rPr>
              <w:t>　</w:t>
            </w:r>
          </w:p>
        </w:tc>
      </w:tr>
    </w:tbl>
    <w:p>
      <w:pPr>
        <w:pStyle w:val="17"/>
        <w:rPr>
          <w:rFonts w:ascii="仿宋" w:hAnsi="仿宋" w:eastAsia="仿宋"/>
          <w:color w:val="auto"/>
          <w:sz w:val="24"/>
          <w:szCs w:val="24"/>
        </w:rPr>
      </w:pPr>
      <w:r>
        <w:rPr>
          <w:rFonts w:hint="eastAsia" w:ascii="仿宋" w:hAnsi="仿宋" w:eastAsia="仿宋"/>
          <w:color w:val="auto"/>
          <w:sz w:val="24"/>
          <w:szCs w:val="24"/>
        </w:rPr>
        <w:t>5.</w:t>
      </w:r>
      <w:r>
        <w:rPr>
          <w:rFonts w:ascii="仿宋" w:hAnsi="仿宋" w:eastAsia="仿宋"/>
          <w:color w:val="auto"/>
          <w:sz w:val="24"/>
          <w:szCs w:val="24"/>
        </w:rPr>
        <w:t>4</w:t>
      </w:r>
      <w:r>
        <w:rPr>
          <w:rFonts w:hint="eastAsia" w:ascii="仿宋" w:hAnsi="仿宋" w:eastAsia="仿宋"/>
          <w:color w:val="auto"/>
        </w:rPr>
        <w:t xml:space="preserve"> </w:t>
      </w:r>
      <w:r>
        <w:rPr>
          <w:rFonts w:hint="eastAsia" w:ascii="仿宋" w:hAnsi="仿宋" w:eastAsia="仿宋"/>
          <w:color w:val="auto"/>
          <w:sz w:val="24"/>
          <w:szCs w:val="24"/>
        </w:rPr>
        <w:t>监控中心数据底座</w:t>
      </w:r>
    </w:p>
    <w:tbl>
      <w:tblPr>
        <w:tblStyle w:val="26"/>
        <w:tblW w:w="4671" w:type="pct"/>
        <w:tblInd w:w="0" w:type="dxa"/>
        <w:tblLayout w:type="fixed"/>
        <w:tblCellMar>
          <w:top w:w="0" w:type="dxa"/>
          <w:left w:w="108" w:type="dxa"/>
          <w:bottom w:w="0" w:type="dxa"/>
          <w:right w:w="108" w:type="dxa"/>
        </w:tblCellMar>
      </w:tblPr>
      <w:tblGrid>
        <w:gridCol w:w="441"/>
        <w:gridCol w:w="829"/>
        <w:gridCol w:w="1075"/>
        <w:gridCol w:w="3891"/>
        <w:gridCol w:w="1016"/>
        <w:gridCol w:w="728"/>
        <w:gridCol w:w="1013"/>
      </w:tblGrid>
      <w:tr>
        <w:tblPrEx>
          <w:tblCellMar>
            <w:top w:w="0" w:type="dxa"/>
            <w:left w:w="108" w:type="dxa"/>
            <w:bottom w:w="0" w:type="dxa"/>
            <w:right w:w="108" w:type="dxa"/>
          </w:tblCellMar>
        </w:tblPrEx>
        <w:trPr>
          <w:trHeight w:val="23" w:hRule="atLeast"/>
        </w:trPr>
        <w:tc>
          <w:tcPr>
            <w:tcW w:w="2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b/>
                <w:bCs/>
                <w:color w:val="auto"/>
                <w:kern w:val="0"/>
                <w:szCs w:val="21"/>
              </w:rPr>
            </w:pPr>
            <w:r>
              <w:rPr>
                <w:rFonts w:hint="eastAsia" w:ascii="仿宋" w:hAnsi="仿宋" w:eastAsia="仿宋" w:cs="宋体"/>
                <w:b/>
                <w:bCs/>
                <w:color w:val="auto"/>
                <w:kern w:val="0"/>
                <w:szCs w:val="21"/>
              </w:rPr>
              <w:t>序号</w:t>
            </w:r>
          </w:p>
        </w:tc>
        <w:tc>
          <w:tcPr>
            <w:tcW w:w="3222"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kern w:val="0"/>
                <w:szCs w:val="21"/>
              </w:rPr>
            </w:pPr>
            <w:r>
              <w:rPr>
                <w:rFonts w:hint="eastAsia" w:ascii="仿宋" w:hAnsi="仿宋" w:eastAsia="仿宋" w:cs="宋体"/>
                <w:b/>
                <w:bCs/>
                <w:color w:val="auto"/>
                <w:kern w:val="0"/>
                <w:szCs w:val="21"/>
              </w:rPr>
              <w:t>建设内容</w:t>
            </w:r>
          </w:p>
        </w:tc>
        <w:tc>
          <w:tcPr>
            <w:tcW w:w="56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kern w:val="0"/>
                <w:szCs w:val="21"/>
              </w:rPr>
            </w:pPr>
            <w:r>
              <w:rPr>
                <w:rFonts w:hint="eastAsia" w:ascii="仿宋" w:hAnsi="仿宋" w:eastAsia="仿宋" w:cs="宋体"/>
                <w:b/>
                <w:bCs/>
                <w:color w:val="auto"/>
                <w:kern w:val="0"/>
                <w:szCs w:val="21"/>
              </w:rPr>
              <w:t>单位</w:t>
            </w:r>
          </w:p>
        </w:tc>
        <w:tc>
          <w:tcPr>
            <w:tcW w:w="40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kern w:val="0"/>
                <w:szCs w:val="21"/>
              </w:rPr>
            </w:pPr>
            <w:r>
              <w:rPr>
                <w:rFonts w:hint="eastAsia" w:ascii="仿宋" w:hAnsi="仿宋" w:eastAsia="仿宋" w:cs="宋体"/>
                <w:b/>
                <w:bCs/>
                <w:color w:val="auto"/>
                <w:kern w:val="0"/>
                <w:szCs w:val="21"/>
              </w:rPr>
              <w:t>数量</w:t>
            </w:r>
          </w:p>
        </w:tc>
        <w:tc>
          <w:tcPr>
            <w:tcW w:w="56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kern w:val="0"/>
                <w:szCs w:val="21"/>
              </w:rPr>
            </w:pPr>
            <w:r>
              <w:rPr>
                <w:rFonts w:hint="eastAsia" w:ascii="仿宋" w:hAnsi="仿宋" w:eastAsia="仿宋" w:cs="宋体"/>
                <w:b/>
                <w:bCs/>
                <w:color w:val="auto"/>
                <w:kern w:val="0"/>
                <w:szCs w:val="21"/>
              </w:rPr>
              <w:t>推荐品牌</w:t>
            </w:r>
          </w:p>
        </w:tc>
      </w:tr>
      <w:tr>
        <w:tblPrEx>
          <w:tblCellMar>
            <w:top w:w="0" w:type="dxa"/>
            <w:left w:w="108" w:type="dxa"/>
            <w:bottom w:w="0" w:type="dxa"/>
            <w:right w:w="108" w:type="dxa"/>
          </w:tblCellMar>
        </w:tblPrEx>
        <w:trPr>
          <w:trHeight w:val="23" w:hRule="atLeast"/>
        </w:trPr>
        <w:tc>
          <w:tcPr>
            <w:tcW w:w="4032"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一、数据底座实施</w:t>
            </w:r>
          </w:p>
        </w:tc>
        <w:tc>
          <w:tcPr>
            <w:tcW w:w="405"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b/>
                <w:bCs/>
                <w:color w:val="auto"/>
                <w:kern w:val="0"/>
                <w:szCs w:val="21"/>
              </w:rPr>
            </w:pPr>
            <w:r>
              <w:rPr>
                <w:rFonts w:hint="eastAsia" w:ascii="仿宋" w:hAnsi="仿宋" w:eastAsia="仿宋" w:cs="宋体"/>
                <w:b/>
                <w:bCs/>
                <w:color w:val="auto"/>
                <w:kern w:val="0"/>
                <w:szCs w:val="21"/>
              </w:rPr>
              <w:t>　</w:t>
            </w:r>
          </w:p>
        </w:tc>
        <w:tc>
          <w:tcPr>
            <w:tcW w:w="563"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b/>
                <w:bCs/>
                <w:color w:val="auto"/>
                <w:kern w:val="0"/>
                <w:szCs w:val="21"/>
              </w:rPr>
            </w:pPr>
            <w:r>
              <w:rPr>
                <w:rFonts w:hint="eastAsia" w:ascii="仿宋" w:hAnsi="仿宋" w:eastAsia="仿宋" w:cs="宋体"/>
                <w:b/>
                <w:bCs/>
                <w:color w:val="auto"/>
                <w:kern w:val="0"/>
                <w:szCs w:val="21"/>
              </w:rPr>
              <w:t>　</w:t>
            </w:r>
          </w:p>
        </w:tc>
      </w:tr>
      <w:tr>
        <w:tblPrEx>
          <w:tblCellMar>
            <w:top w:w="0" w:type="dxa"/>
            <w:left w:w="108" w:type="dxa"/>
            <w:bottom w:w="0" w:type="dxa"/>
            <w:right w:w="108" w:type="dxa"/>
          </w:tblCellMar>
        </w:tblPrEx>
        <w:trPr>
          <w:trHeight w:val="23" w:hRule="atLeast"/>
        </w:trPr>
        <w:tc>
          <w:tcPr>
            <w:tcW w:w="24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1</w:t>
            </w:r>
          </w:p>
        </w:tc>
        <w:tc>
          <w:tcPr>
            <w:tcW w:w="461"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rPr>
                <w:rFonts w:ascii="仿宋" w:hAnsi="仿宋" w:eastAsia="仿宋" w:cs="宋体"/>
                <w:color w:val="auto"/>
                <w:kern w:val="0"/>
                <w:szCs w:val="21"/>
              </w:rPr>
            </w:pPr>
            <w:r>
              <w:rPr>
                <w:rFonts w:hint="eastAsia" w:ascii="仿宋" w:hAnsi="仿宋" w:eastAsia="仿宋" w:cs="宋体"/>
                <w:color w:val="auto"/>
                <w:kern w:val="0"/>
                <w:szCs w:val="21"/>
              </w:rPr>
              <w:t>数据标准建设</w:t>
            </w:r>
          </w:p>
        </w:tc>
        <w:tc>
          <w:tcPr>
            <w:tcW w:w="598"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数据标准体系建设</w:t>
            </w:r>
          </w:p>
        </w:tc>
        <w:tc>
          <w:tcPr>
            <w:tcW w:w="2163"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数据标准规范的统一建立对数据交换共享、系统扩展兼容等均起着重要的作用，标准规范建立包括基础数据元标准规范以及共享交换规范等。围绕着数据资源规划，积极参与省厅数据元标准制定，按照省厅数据元标准要求结合越城区本地个性化数据需求，形成一套绍兴市越城区交通运输的数据标准规范，推进数据的规范管理。</w:t>
            </w:r>
          </w:p>
        </w:tc>
        <w:tc>
          <w:tcPr>
            <w:tcW w:w="565"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套</w:t>
            </w:r>
          </w:p>
        </w:tc>
        <w:tc>
          <w:tcPr>
            <w:tcW w:w="405"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1</w:t>
            </w:r>
          </w:p>
        </w:tc>
        <w:tc>
          <w:tcPr>
            <w:tcW w:w="563" w:type="pct"/>
            <w:tcBorders>
              <w:top w:val="nil"/>
              <w:left w:val="nil"/>
              <w:bottom w:val="single" w:color="auto" w:sz="4" w:space="0"/>
              <w:right w:val="single" w:color="auto" w:sz="4" w:space="0"/>
            </w:tcBorders>
            <w:shd w:val="clear" w:color="auto" w:fill="auto"/>
            <w:noWrap/>
            <w:vAlign w:val="center"/>
          </w:tcPr>
          <w:p>
            <w:pPr>
              <w:widowControl/>
              <w:rPr>
                <w:rFonts w:ascii="仿宋" w:hAnsi="仿宋" w:eastAsia="仿宋" w:cs="宋体"/>
                <w:color w:val="auto"/>
                <w:kern w:val="0"/>
                <w:szCs w:val="21"/>
              </w:rPr>
            </w:pPr>
            <w:r>
              <w:rPr>
                <w:rFonts w:hint="eastAsia" w:ascii="仿宋" w:hAnsi="仿宋" w:eastAsia="仿宋" w:cs="宋体"/>
                <w:color w:val="auto"/>
                <w:kern w:val="0"/>
                <w:szCs w:val="21"/>
              </w:rPr>
              <w:t>定制</w:t>
            </w:r>
          </w:p>
        </w:tc>
      </w:tr>
      <w:tr>
        <w:tblPrEx>
          <w:tblCellMar>
            <w:top w:w="0" w:type="dxa"/>
            <w:left w:w="108" w:type="dxa"/>
            <w:bottom w:w="0" w:type="dxa"/>
            <w:right w:w="108" w:type="dxa"/>
          </w:tblCellMar>
        </w:tblPrEx>
        <w:trPr>
          <w:trHeight w:val="23" w:hRule="atLeast"/>
        </w:trPr>
        <w:tc>
          <w:tcPr>
            <w:tcW w:w="245"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6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598"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数据建模</w:t>
            </w:r>
          </w:p>
        </w:tc>
        <w:tc>
          <w:tcPr>
            <w:tcW w:w="2163"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实现数据概念模型设计、数据逻辑模型设计、数据分层模型建模，包括ODS层、CDM层和ADS层。</w:t>
            </w:r>
          </w:p>
        </w:tc>
        <w:tc>
          <w:tcPr>
            <w:tcW w:w="565"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套</w:t>
            </w:r>
          </w:p>
        </w:tc>
        <w:tc>
          <w:tcPr>
            <w:tcW w:w="405"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1</w:t>
            </w:r>
          </w:p>
        </w:tc>
        <w:tc>
          <w:tcPr>
            <w:tcW w:w="563" w:type="pct"/>
            <w:tcBorders>
              <w:top w:val="nil"/>
              <w:left w:val="nil"/>
              <w:bottom w:val="single" w:color="auto" w:sz="4" w:space="0"/>
              <w:right w:val="single" w:color="auto" w:sz="4" w:space="0"/>
            </w:tcBorders>
            <w:shd w:val="clear" w:color="auto" w:fill="auto"/>
            <w:noWrap/>
            <w:vAlign w:val="center"/>
          </w:tcPr>
          <w:p>
            <w:pPr>
              <w:widowControl/>
              <w:rPr>
                <w:rFonts w:ascii="仿宋" w:hAnsi="仿宋" w:eastAsia="仿宋" w:cs="宋体"/>
                <w:color w:val="auto"/>
                <w:kern w:val="0"/>
                <w:szCs w:val="21"/>
              </w:rPr>
            </w:pPr>
            <w:r>
              <w:rPr>
                <w:rFonts w:hint="eastAsia" w:ascii="仿宋" w:hAnsi="仿宋" w:eastAsia="仿宋" w:cs="宋体"/>
                <w:color w:val="auto"/>
                <w:kern w:val="0"/>
                <w:szCs w:val="21"/>
              </w:rPr>
              <w:t>定制</w:t>
            </w:r>
          </w:p>
        </w:tc>
      </w:tr>
      <w:tr>
        <w:tblPrEx>
          <w:tblCellMar>
            <w:top w:w="0" w:type="dxa"/>
            <w:left w:w="108" w:type="dxa"/>
            <w:bottom w:w="0" w:type="dxa"/>
            <w:right w:w="108" w:type="dxa"/>
          </w:tblCellMar>
        </w:tblPrEx>
        <w:trPr>
          <w:trHeight w:val="23" w:hRule="atLeast"/>
        </w:trPr>
        <w:tc>
          <w:tcPr>
            <w:tcW w:w="24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2</w:t>
            </w:r>
          </w:p>
        </w:tc>
        <w:tc>
          <w:tcPr>
            <w:tcW w:w="461"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rPr>
                <w:rFonts w:ascii="仿宋" w:hAnsi="仿宋" w:eastAsia="仿宋" w:cs="宋体"/>
                <w:color w:val="auto"/>
                <w:kern w:val="0"/>
                <w:szCs w:val="21"/>
              </w:rPr>
            </w:pPr>
            <w:r>
              <w:rPr>
                <w:rFonts w:hint="eastAsia" w:ascii="仿宋" w:hAnsi="仿宋" w:eastAsia="仿宋" w:cs="宋体"/>
                <w:color w:val="auto"/>
                <w:kern w:val="0"/>
                <w:szCs w:val="21"/>
              </w:rPr>
              <w:t>数据接入汇聚</w:t>
            </w:r>
          </w:p>
        </w:tc>
        <w:tc>
          <w:tcPr>
            <w:tcW w:w="598"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市局数据回流</w:t>
            </w:r>
          </w:p>
        </w:tc>
        <w:tc>
          <w:tcPr>
            <w:tcW w:w="2163"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公交数据、巡游车数据、网约车数据、公共自行车数据、共享单车数据、公路数据、船舶数据、地铁数据、充电桩数据。</w:t>
            </w:r>
          </w:p>
        </w:tc>
        <w:tc>
          <w:tcPr>
            <w:tcW w:w="565"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套</w:t>
            </w:r>
          </w:p>
        </w:tc>
        <w:tc>
          <w:tcPr>
            <w:tcW w:w="405"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1</w:t>
            </w:r>
          </w:p>
        </w:tc>
        <w:tc>
          <w:tcPr>
            <w:tcW w:w="563" w:type="pct"/>
            <w:tcBorders>
              <w:top w:val="nil"/>
              <w:left w:val="nil"/>
              <w:bottom w:val="single" w:color="auto" w:sz="4" w:space="0"/>
              <w:right w:val="single" w:color="auto" w:sz="4" w:space="0"/>
            </w:tcBorders>
            <w:shd w:val="clear" w:color="auto" w:fill="auto"/>
            <w:noWrap/>
            <w:vAlign w:val="center"/>
          </w:tcPr>
          <w:p>
            <w:pPr>
              <w:widowControl/>
              <w:rPr>
                <w:rFonts w:ascii="仿宋" w:hAnsi="仿宋" w:eastAsia="仿宋" w:cs="宋体"/>
                <w:color w:val="auto"/>
                <w:kern w:val="0"/>
                <w:szCs w:val="21"/>
              </w:rPr>
            </w:pPr>
            <w:r>
              <w:rPr>
                <w:rFonts w:hint="eastAsia" w:ascii="仿宋" w:hAnsi="仿宋" w:eastAsia="仿宋" w:cs="宋体"/>
                <w:color w:val="auto"/>
                <w:kern w:val="0"/>
                <w:szCs w:val="21"/>
              </w:rPr>
              <w:t>定制</w:t>
            </w:r>
          </w:p>
        </w:tc>
      </w:tr>
      <w:tr>
        <w:tblPrEx>
          <w:tblCellMar>
            <w:top w:w="0" w:type="dxa"/>
            <w:left w:w="108" w:type="dxa"/>
            <w:bottom w:w="0" w:type="dxa"/>
            <w:right w:w="108" w:type="dxa"/>
          </w:tblCellMar>
        </w:tblPrEx>
        <w:trPr>
          <w:trHeight w:val="23" w:hRule="atLeast"/>
        </w:trPr>
        <w:tc>
          <w:tcPr>
            <w:tcW w:w="245"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6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598"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省厅数据回流</w:t>
            </w:r>
          </w:p>
        </w:tc>
        <w:tc>
          <w:tcPr>
            <w:tcW w:w="2163"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两客一危数据、交调流量数据、高速流量数据、铁路数据。</w:t>
            </w:r>
          </w:p>
        </w:tc>
        <w:tc>
          <w:tcPr>
            <w:tcW w:w="565"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套</w:t>
            </w:r>
          </w:p>
        </w:tc>
        <w:tc>
          <w:tcPr>
            <w:tcW w:w="405"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1</w:t>
            </w:r>
          </w:p>
        </w:tc>
        <w:tc>
          <w:tcPr>
            <w:tcW w:w="563" w:type="pct"/>
            <w:tcBorders>
              <w:top w:val="nil"/>
              <w:left w:val="nil"/>
              <w:bottom w:val="single" w:color="auto" w:sz="4" w:space="0"/>
              <w:right w:val="single" w:color="auto" w:sz="4" w:space="0"/>
            </w:tcBorders>
            <w:shd w:val="clear" w:color="auto" w:fill="auto"/>
            <w:noWrap/>
            <w:vAlign w:val="center"/>
          </w:tcPr>
          <w:p>
            <w:pPr>
              <w:widowControl/>
              <w:rPr>
                <w:rFonts w:ascii="仿宋" w:hAnsi="仿宋" w:eastAsia="仿宋" w:cs="宋体"/>
                <w:color w:val="auto"/>
                <w:kern w:val="0"/>
                <w:szCs w:val="21"/>
              </w:rPr>
            </w:pPr>
            <w:r>
              <w:rPr>
                <w:rFonts w:hint="eastAsia" w:ascii="仿宋" w:hAnsi="仿宋" w:eastAsia="仿宋" w:cs="宋体"/>
                <w:color w:val="auto"/>
                <w:kern w:val="0"/>
                <w:szCs w:val="21"/>
              </w:rPr>
              <w:t>定制</w:t>
            </w:r>
          </w:p>
        </w:tc>
      </w:tr>
      <w:tr>
        <w:tblPrEx>
          <w:tblCellMar>
            <w:top w:w="0" w:type="dxa"/>
            <w:left w:w="108" w:type="dxa"/>
            <w:bottom w:w="0" w:type="dxa"/>
            <w:right w:w="108" w:type="dxa"/>
          </w:tblCellMar>
        </w:tblPrEx>
        <w:trPr>
          <w:trHeight w:val="23" w:hRule="atLeast"/>
        </w:trPr>
        <w:tc>
          <w:tcPr>
            <w:tcW w:w="245"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6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598"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横向部门数据接入</w:t>
            </w:r>
          </w:p>
        </w:tc>
        <w:tc>
          <w:tcPr>
            <w:tcW w:w="2163"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区大数据各类数据接入</w:t>
            </w:r>
          </w:p>
        </w:tc>
        <w:tc>
          <w:tcPr>
            <w:tcW w:w="565"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套</w:t>
            </w:r>
          </w:p>
        </w:tc>
        <w:tc>
          <w:tcPr>
            <w:tcW w:w="405"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1</w:t>
            </w:r>
          </w:p>
        </w:tc>
        <w:tc>
          <w:tcPr>
            <w:tcW w:w="563" w:type="pct"/>
            <w:tcBorders>
              <w:top w:val="nil"/>
              <w:left w:val="nil"/>
              <w:bottom w:val="single" w:color="auto" w:sz="4" w:space="0"/>
              <w:right w:val="single" w:color="auto" w:sz="4" w:space="0"/>
            </w:tcBorders>
            <w:shd w:val="clear" w:color="auto" w:fill="auto"/>
            <w:noWrap/>
            <w:vAlign w:val="center"/>
          </w:tcPr>
          <w:p>
            <w:pPr>
              <w:widowControl/>
              <w:rPr>
                <w:rFonts w:ascii="仿宋" w:hAnsi="仿宋" w:eastAsia="仿宋" w:cs="宋体"/>
                <w:color w:val="auto"/>
                <w:kern w:val="0"/>
                <w:szCs w:val="21"/>
              </w:rPr>
            </w:pPr>
            <w:r>
              <w:rPr>
                <w:rFonts w:hint="eastAsia" w:ascii="仿宋" w:hAnsi="仿宋" w:eastAsia="仿宋" w:cs="宋体"/>
                <w:color w:val="auto"/>
                <w:kern w:val="0"/>
                <w:szCs w:val="21"/>
              </w:rPr>
              <w:t>定制</w:t>
            </w:r>
          </w:p>
        </w:tc>
      </w:tr>
      <w:tr>
        <w:tblPrEx>
          <w:tblCellMar>
            <w:top w:w="0" w:type="dxa"/>
            <w:left w:w="108" w:type="dxa"/>
            <w:bottom w:w="0" w:type="dxa"/>
            <w:right w:w="108" w:type="dxa"/>
          </w:tblCellMar>
        </w:tblPrEx>
        <w:trPr>
          <w:trHeight w:val="23" w:hRule="atLeast"/>
        </w:trPr>
        <w:tc>
          <w:tcPr>
            <w:tcW w:w="24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3</w:t>
            </w:r>
          </w:p>
        </w:tc>
        <w:tc>
          <w:tcPr>
            <w:tcW w:w="461"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数据仓建设</w:t>
            </w:r>
          </w:p>
        </w:tc>
        <w:tc>
          <w:tcPr>
            <w:tcW w:w="598"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数据仓建设</w:t>
            </w:r>
          </w:p>
        </w:tc>
        <w:tc>
          <w:tcPr>
            <w:tcW w:w="2163"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基于数据编目与数据归集成果，开展主题库建设。通过和业务部门的协同合作，建设行业核心资源主题库，包括开展从业人员、营运车辆、船舶、经营业户、桥梁、隧道、港口、码头等基础主题库建设，基本满足各类数据共享需求；加快信用交通、清廉交通等业务主题库建设，支持业务系统高效使用和有效共享。开展知识库建设。</w:t>
            </w:r>
          </w:p>
        </w:tc>
        <w:tc>
          <w:tcPr>
            <w:tcW w:w="56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套</w:t>
            </w:r>
          </w:p>
        </w:tc>
        <w:tc>
          <w:tcPr>
            <w:tcW w:w="40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1</w:t>
            </w:r>
          </w:p>
        </w:tc>
        <w:tc>
          <w:tcPr>
            <w:tcW w:w="563"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rPr>
                <w:rFonts w:ascii="仿宋" w:hAnsi="仿宋" w:eastAsia="仿宋" w:cs="宋体"/>
                <w:color w:val="auto"/>
                <w:kern w:val="0"/>
                <w:szCs w:val="21"/>
              </w:rPr>
            </w:pPr>
            <w:r>
              <w:rPr>
                <w:rFonts w:hint="eastAsia" w:ascii="仿宋" w:hAnsi="仿宋" w:eastAsia="仿宋" w:cs="宋体"/>
                <w:color w:val="auto"/>
                <w:kern w:val="0"/>
                <w:szCs w:val="21"/>
              </w:rPr>
              <w:t>定制</w:t>
            </w:r>
          </w:p>
        </w:tc>
      </w:tr>
      <w:tr>
        <w:tblPrEx>
          <w:tblCellMar>
            <w:top w:w="0" w:type="dxa"/>
            <w:left w:w="108" w:type="dxa"/>
            <w:bottom w:w="0" w:type="dxa"/>
            <w:right w:w="108" w:type="dxa"/>
          </w:tblCellMar>
        </w:tblPrEx>
        <w:trPr>
          <w:trHeight w:val="23" w:hRule="atLeast"/>
        </w:trPr>
        <w:tc>
          <w:tcPr>
            <w:tcW w:w="245"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6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59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2163"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根据省厅知识库建设体系，深化对越城区本地法律法规、标准规范的知识梳理，建立分级分类的知识目录，结合当前重点工作，会同业务部门分阶段分步骤的充实知识库内容，建立知识获取更新的责任机制。</w:t>
            </w:r>
          </w:p>
        </w:tc>
        <w:tc>
          <w:tcPr>
            <w:tcW w:w="565"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05"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56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r>
      <w:tr>
        <w:tblPrEx>
          <w:tblCellMar>
            <w:top w:w="0" w:type="dxa"/>
            <w:left w:w="108" w:type="dxa"/>
            <w:bottom w:w="0" w:type="dxa"/>
            <w:right w:w="108" w:type="dxa"/>
          </w:tblCellMar>
        </w:tblPrEx>
        <w:trPr>
          <w:trHeight w:val="23" w:hRule="atLeast"/>
        </w:trPr>
        <w:tc>
          <w:tcPr>
            <w:tcW w:w="24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4</w:t>
            </w:r>
          </w:p>
        </w:tc>
        <w:tc>
          <w:tcPr>
            <w:tcW w:w="461"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数据清洗与转换</w:t>
            </w:r>
          </w:p>
        </w:tc>
        <w:tc>
          <w:tcPr>
            <w:tcW w:w="598"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数据清洗</w:t>
            </w:r>
          </w:p>
        </w:tc>
        <w:tc>
          <w:tcPr>
            <w:tcW w:w="2163"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数据清洗是对数据进行重新审查和校验的过程，目的在于删除重复信息、纠正存在的错误，并提供数据一致性，从而保证数据的质量。数据清洗的任务是过滤那些不符合要求的数据，将过滤的结果交给数据管理部门，确认是否过滤掉还是由数据管理部门修正之后再进行抽取。不符合要求的数据主要是有残缺数据、错误数据、重复数据三大类。通用数据清洗要对残缺数据、错误数据、重复数据做处理。</w:t>
            </w:r>
          </w:p>
        </w:tc>
        <w:tc>
          <w:tcPr>
            <w:tcW w:w="565"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套</w:t>
            </w:r>
          </w:p>
        </w:tc>
        <w:tc>
          <w:tcPr>
            <w:tcW w:w="405"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1</w:t>
            </w:r>
          </w:p>
        </w:tc>
        <w:tc>
          <w:tcPr>
            <w:tcW w:w="563" w:type="pct"/>
            <w:tcBorders>
              <w:top w:val="nil"/>
              <w:left w:val="nil"/>
              <w:bottom w:val="single" w:color="auto" w:sz="4" w:space="0"/>
              <w:right w:val="single" w:color="auto" w:sz="4" w:space="0"/>
            </w:tcBorders>
            <w:shd w:val="clear" w:color="auto" w:fill="auto"/>
            <w:noWrap/>
            <w:vAlign w:val="center"/>
          </w:tcPr>
          <w:p>
            <w:pPr>
              <w:widowControl/>
              <w:rPr>
                <w:rFonts w:ascii="仿宋" w:hAnsi="仿宋" w:eastAsia="仿宋" w:cs="宋体"/>
                <w:color w:val="auto"/>
                <w:kern w:val="0"/>
                <w:szCs w:val="21"/>
              </w:rPr>
            </w:pPr>
            <w:r>
              <w:rPr>
                <w:rFonts w:hint="eastAsia" w:ascii="仿宋" w:hAnsi="仿宋" w:eastAsia="仿宋" w:cs="宋体"/>
                <w:color w:val="auto"/>
                <w:kern w:val="0"/>
                <w:szCs w:val="21"/>
              </w:rPr>
              <w:t>定制</w:t>
            </w:r>
          </w:p>
        </w:tc>
      </w:tr>
      <w:tr>
        <w:tblPrEx>
          <w:tblCellMar>
            <w:top w:w="0" w:type="dxa"/>
            <w:left w:w="108" w:type="dxa"/>
            <w:bottom w:w="0" w:type="dxa"/>
            <w:right w:w="108" w:type="dxa"/>
          </w:tblCellMar>
        </w:tblPrEx>
        <w:trPr>
          <w:trHeight w:val="23" w:hRule="atLeast"/>
        </w:trPr>
        <w:tc>
          <w:tcPr>
            <w:tcW w:w="245"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6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598"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数据转换</w:t>
            </w:r>
          </w:p>
        </w:tc>
        <w:tc>
          <w:tcPr>
            <w:tcW w:w="2163"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数据转换模块将从源数据源获取的数据，按照业务需求和目的数据源要求，转换形式。</w:t>
            </w:r>
          </w:p>
        </w:tc>
        <w:tc>
          <w:tcPr>
            <w:tcW w:w="565"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套</w:t>
            </w:r>
          </w:p>
        </w:tc>
        <w:tc>
          <w:tcPr>
            <w:tcW w:w="405"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1</w:t>
            </w:r>
          </w:p>
        </w:tc>
        <w:tc>
          <w:tcPr>
            <w:tcW w:w="563" w:type="pct"/>
            <w:tcBorders>
              <w:top w:val="nil"/>
              <w:left w:val="nil"/>
              <w:bottom w:val="single" w:color="auto" w:sz="4" w:space="0"/>
              <w:right w:val="single" w:color="auto" w:sz="4" w:space="0"/>
            </w:tcBorders>
            <w:shd w:val="clear" w:color="auto" w:fill="auto"/>
            <w:noWrap/>
            <w:vAlign w:val="center"/>
          </w:tcPr>
          <w:p>
            <w:pPr>
              <w:widowControl/>
              <w:rPr>
                <w:rFonts w:ascii="仿宋" w:hAnsi="仿宋" w:eastAsia="仿宋" w:cs="宋体"/>
                <w:color w:val="auto"/>
                <w:kern w:val="0"/>
                <w:szCs w:val="21"/>
              </w:rPr>
            </w:pPr>
            <w:r>
              <w:rPr>
                <w:rFonts w:hint="eastAsia" w:ascii="仿宋" w:hAnsi="仿宋" w:eastAsia="仿宋" w:cs="宋体"/>
                <w:color w:val="auto"/>
                <w:kern w:val="0"/>
                <w:szCs w:val="21"/>
              </w:rPr>
              <w:t>定制</w:t>
            </w:r>
          </w:p>
        </w:tc>
      </w:tr>
      <w:tr>
        <w:tblPrEx>
          <w:tblCellMar>
            <w:top w:w="0" w:type="dxa"/>
            <w:left w:w="108" w:type="dxa"/>
            <w:bottom w:w="0" w:type="dxa"/>
            <w:right w:w="108" w:type="dxa"/>
          </w:tblCellMar>
        </w:tblPrEx>
        <w:trPr>
          <w:trHeight w:val="23" w:hRule="atLeast"/>
        </w:trPr>
        <w:tc>
          <w:tcPr>
            <w:tcW w:w="5000" w:type="pct"/>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color w:val="auto"/>
                <w:kern w:val="0"/>
                <w:szCs w:val="21"/>
              </w:rPr>
            </w:pPr>
            <w:r>
              <w:rPr>
                <w:rFonts w:hint="eastAsia" w:ascii="仿宋" w:hAnsi="仿宋" w:eastAsia="仿宋" w:cs="宋体"/>
                <w:color w:val="auto"/>
                <w:kern w:val="0"/>
                <w:szCs w:val="21"/>
              </w:rPr>
              <w:t>二、统一门户及数字驾驶舱</w:t>
            </w:r>
          </w:p>
        </w:tc>
      </w:tr>
      <w:tr>
        <w:tblPrEx>
          <w:tblCellMar>
            <w:top w:w="0" w:type="dxa"/>
            <w:left w:w="108" w:type="dxa"/>
            <w:bottom w:w="0" w:type="dxa"/>
            <w:right w:w="108" w:type="dxa"/>
          </w:tblCellMar>
        </w:tblPrEx>
        <w:trPr>
          <w:trHeight w:val="23" w:hRule="atLeast"/>
        </w:trPr>
        <w:tc>
          <w:tcPr>
            <w:tcW w:w="24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1</w:t>
            </w:r>
          </w:p>
        </w:tc>
        <w:tc>
          <w:tcPr>
            <w:tcW w:w="461"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统一门户</w:t>
            </w:r>
          </w:p>
        </w:tc>
        <w:tc>
          <w:tcPr>
            <w:tcW w:w="598"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统一门户</w:t>
            </w:r>
          </w:p>
        </w:tc>
        <w:tc>
          <w:tcPr>
            <w:tcW w:w="2163"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集成浙政钉用户体系，进行用户绑定，实现浙政钉账号的用户认证。实现省厅各类省建应用、绍兴市局数字化改革各类应用和越城区本地个性化应用，展示在同一门户。</w:t>
            </w:r>
          </w:p>
        </w:tc>
        <w:tc>
          <w:tcPr>
            <w:tcW w:w="565"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套</w:t>
            </w:r>
          </w:p>
        </w:tc>
        <w:tc>
          <w:tcPr>
            <w:tcW w:w="405"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1</w:t>
            </w:r>
          </w:p>
        </w:tc>
        <w:tc>
          <w:tcPr>
            <w:tcW w:w="563" w:type="pct"/>
            <w:tcBorders>
              <w:top w:val="nil"/>
              <w:left w:val="nil"/>
              <w:bottom w:val="single" w:color="auto" w:sz="4" w:space="0"/>
              <w:right w:val="single" w:color="auto" w:sz="4" w:space="0"/>
            </w:tcBorders>
            <w:shd w:val="clear" w:color="auto" w:fill="auto"/>
            <w:noWrap/>
            <w:vAlign w:val="center"/>
          </w:tcPr>
          <w:p>
            <w:pPr>
              <w:widowControl/>
              <w:rPr>
                <w:rFonts w:ascii="仿宋" w:hAnsi="仿宋" w:eastAsia="仿宋" w:cs="宋体"/>
                <w:color w:val="auto"/>
                <w:kern w:val="0"/>
                <w:szCs w:val="21"/>
              </w:rPr>
            </w:pPr>
            <w:r>
              <w:rPr>
                <w:rFonts w:hint="eastAsia" w:ascii="仿宋" w:hAnsi="仿宋" w:eastAsia="仿宋" w:cs="宋体"/>
                <w:color w:val="auto"/>
                <w:kern w:val="0"/>
                <w:szCs w:val="21"/>
              </w:rPr>
              <w:t>定制</w:t>
            </w:r>
          </w:p>
        </w:tc>
      </w:tr>
      <w:tr>
        <w:tblPrEx>
          <w:tblCellMar>
            <w:top w:w="0" w:type="dxa"/>
            <w:left w:w="108" w:type="dxa"/>
            <w:bottom w:w="0" w:type="dxa"/>
            <w:right w:w="108" w:type="dxa"/>
          </w:tblCellMar>
        </w:tblPrEx>
        <w:trPr>
          <w:trHeight w:val="23" w:hRule="atLeast"/>
        </w:trPr>
        <w:tc>
          <w:tcPr>
            <w:tcW w:w="24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2</w:t>
            </w:r>
          </w:p>
        </w:tc>
        <w:tc>
          <w:tcPr>
            <w:tcW w:w="461"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交通驾驶舱智慧公交专题</w:t>
            </w:r>
          </w:p>
        </w:tc>
        <w:tc>
          <w:tcPr>
            <w:tcW w:w="598"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交通驾驶舱智慧公交专题</w:t>
            </w:r>
          </w:p>
        </w:tc>
        <w:tc>
          <w:tcPr>
            <w:tcW w:w="2163"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整合越城区交通运输公交行业内数据、横向部门数据、互联网数据，在数据底座基础上形成公交专题库。结合公交都市示范城市指标、省科技治堵公交考核指标、绍兴市区公交企业服务质量考核指标、建立符合越城区本地特色的指标体系，最终通过可视化技术形成基于GIS的公交一张图，直观反映越城公交的整体发展态势和服务水平，包括公交车辆、公交线路、公交站点、公交场站、公交总里程、公交客流量等公交相关元素或指标。</w:t>
            </w:r>
          </w:p>
        </w:tc>
        <w:tc>
          <w:tcPr>
            <w:tcW w:w="565"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套</w:t>
            </w:r>
          </w:p>
        </w:tc>
        <w:tc>
          <w:tcPr>
            <w:tcW w:w="405"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1</w:t>
            </w:r>
          </w:p>
        </w:tc>
        <w:tc>
          <w:tcPr>
            <w:tcW w:w="563" w:type="pct"/>
            <w:tcBorders>
              <w:top w:val="nil"/>
              <w:left w:val="nil"/>
              <w:bottom w:val="single" w:color="auto" w:sz="4" w:space="0"/>
              <w:right w:val="single" w:color="auto" w:sz="4" w:space="0"/>
            </w:tcBorders>
            <w:shd w:val="clear" w:color="auto" w:fill="auto"/>
            <w:noWrap/>
            <w:vAlign w:val="center"/>
          </w:tcPr>
          <w:p>
            <w:pPr>
              <w:widowControl/>
              <w:rPr>
                <w:rFonts w:ascii="仿宋" w:hAnsi="仿宋" w:eastAsia="仿宋" w:cs="宋体"/>
                <w:color w:val="auto"/>
                <w:kern w:val="0"/>
                <w:szCs w:val="21"/>
              </w:rPr>
            </w:pPr>
            <w:r>
              <w:rPr>
                <w:rFonts w:hint="eastAsia" w:ascii="仿宋" w:hAnsi="仿宋" w:eastAsia="仿宋" w:cs="宋体"/>
                <w:color w:val="auto"/>
                <w:kern w:val="0"/>
                <w:szCs w:val="21"/>
              </w:rPr>
              <w:t>定制</w:t>
            </w:r>
          </w:p>
        </w:tc>
      </w:tr>
      <w:tr>
        <w:tblPrEx>
          <w:tblCellMar>
            <w:top w:w="0" w:type="dxa"/>
            <w:left w:w="108" w:type="dxa"/>
            <w:bottom w:w="0" w:type="dxa"/>
            <w:right w:w="108" w:type="dxa"/>
          </w:tblCellMar>
        </w:tblPrEx>
        <w:trPr>
          <w:trHeight w:val="23" w:hRule="atLeast"/>
        </w:trPr>
        <w:tc>
          <w:tcPr>
            <w:tcW w:w="5000" w:type="pct"/>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color w:val="auto"/>
                <w:kern w:val="0"/>
                <w:szCs w:val="21"/>
              </w:rPr>
            </w:pPr>
            <w:r>
              <w:rPr>
                <w:rFonts w:hint="eastAsia" w:ascii="仿宋" w:hAnsi="仿宋" w:eastAsia="仿宋" w:cs="宋体"/>
                <w:color w:val="auto"/>
                <w:kern w:val="0"/>
                <w:szCs w:val="21"/>
              </w:rPr>
              <w:t>三、数据治理工具软件</w:t>
            </w:r>
          </w:p>
        </w:tc>
      </w:tr>
      <w:tr>
        <w:tblPrEx>
          <w:tblCellMar>
            <w:top w:w="0" w:type="dxa"/>
            <w:left w:w="108" w:type="dxa"/>
            <w:bottom w:w="0" w:type="dxa"/>
            <w:right w:w="108" w:type="dxa"/>
          </w:tblCellMar>
        </w:tblPrEx>
        <w:trPr>
          <w:trHeight w:val="23" w:hRule="atLeast"/>
        </w:trPr>
        <w:tc>
          <w:tcPr>
            <w:tcW w:w="24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1</w:t>
            </w:r>
          </w:p>
        </w:tc>
        <w:tc>
          <w:tcPr>
            <w:tcW w:w="461"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仿宋" w:hAnsi="仿宋" w:eastAsia="仿宋" w:cs="宋体"/>
                <w:color w:val="auto"/>
                <w:kern w:val="0"/>
                <w:szCs w:val="21"/>
              </w:rPr>
            </w:pPr>
            <w:r>
              <w:rPr>
                <w:rFonts w:hint="eastAsia" w:ascii="仿宋" w:hAnsi="仿宋" w:eastAsia="仿宋" w:cs="宋体"/>
                <w:color w:val="auto"/>
                <w:kern w:val="0"/>
                <w:szCs w:val="21"/>
              </w:rPr>
              <w:t>产品成熟度及售后服务</w:t>
            </w:r>
          </w:p>
        </w:tc>
        <w:tc>
          <w:tcPr>
            <w:tcW w:w="2761"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1）产品是成熟的、专业的第三方国产软件，需满足自主可控需求</w:t>
            </w:r>
          </w:p>
        </w:tc>
        <w:tc>
          <w:tcPr>
            <w:tcW w:w="56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套</w:t>
            </w:r>
          </w:p>
        </w:tc>
        <w:tc>
          <w:tcPr>
            <w:tcW w:w="40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olor w:val="auto"/>
                <w:kern w:val="0"/>
                <w:szCs w:val="21"/>
              </w:rPr>
            </w:pPr>
            <w:r>
              <w:rPr>
                <w:rFonts w:ascii="仿宋" w:hAnsi="仿宋" w:eastAsia="仿宋"/>
                <w:color w:val="auto"/>
                <w:kern w:val="0"/>
                <w:szCs w:val="21"/>
              </w:rPr>
              <w:t>1</w:t>
            </w:r>
          </w:p>
        </w:tc>
        <w:tc>
          <w:tcPr>
            <w:tcW w:w="563"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rPr>
                <w:rFonts w:ascii="仿宋" w:hAnsi="仿宋" w:eastAsia="仿宋" w:cs="宋体"/>
                <w:color w:val="auto"/>
                <w:kern w:val="0"/>
                <w:szCs w:val="21"/>
              </w:rPr>
            </w:pPr>
            <w:r>
              <w:rPr>
                <w:rFonts w:hint="eastAsia" w:ascii="仿宋" w:hAnsi="仿宋" w:eastAsia="仿宋" w:cs="宋体"/>
                <w:color w:val="auto"/>
                <w:kern w:val="0"/>
                <w:szCs w:val="21"/>
              </w:rPr>
              <w:t>定制</w:t>
            </w:r>
          </w:p>
        </w:tc>
      </w:tr>
      <w:tr>
        <w:tblPrEx>
          <w:tblCellMar>
            <w:top w:w="0" w:type="dxa"/>
            <w:left w:w="108" w:type="dxa"/>
            <w:bottom w:w="0" w:type="dxa"/>
            <w:right w:w="108" w:type="dxa"/>
          </w:tblCellMar>
        </w:tblPrEx>
        <w:trPr>
          <w:trHeight w:val="23" w:hRule="atLeast"/>
        </w:trPr>
        <w:tc>
          <w:tcPr>
            <w:tcW w:w="245"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6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2761"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2) 能够提供原厂商售后技术支持服务</w:t>
            </w:r>
          </w:p>
        </w:tc>
        <w:tc>
          <w:tcPr>
            <w:tcW w:w="565"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05"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auto"/>
                <w:kern w:val="0"/>
                <w:szCs w:val="21"/>
              </w:rPr>
            </w:pPr>
          </w:p>
        </w:tc>
        <w:tc>
          <w:tcPr>
            <w:tcW w:w="56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r>
      <w:tr>
        <w:tblPrEx>
          <w:tblCellMar>
            <w:top w:w="0" w:type="dxa"/>
            <w:left w:w="108" w:type="dxa"/>
            <w:bottom w:w="0" w:type="dxa"/>
            <w:right w:w="108" w:type="dxa"/>
          </w:tblCellMar>
        </w:tblPrEx>
        <w:trPr>
          <w:trHeight w:val="23" w:hRule="atLeast"/>
        </w:trPr>
        <w:tc>
          <w:tcPr>
            <w:tcW w:w="24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2</w:t>
            </w:r>
          </w:p>
        </w:tc>
        <w:tc>
          <w:tcPr>
            <w:tcW w:w="461" w:type="pct"/>
            <w:vMerge w:val="restart"/>
            <w:tcBorders>
              <w:top w:val="single" w:color="auto" w:sz="4" w:space="0"/>
              <w:left w:val="single" w:color="auto" w:sz="4" w:space="0"/>
              <w:right w:val="single" w:color="auto" w:sz="4" w:space="0"/>
            </w:tcBorders>
            <w:shd w:val="clear" w:color="auto" w:fill="auto"/>
            <w:noWrap/>
            <w:vAlign w:val="center"/>
          </w:tcPr>
          <w:p>
            <w:pPr>
              <w:widowControl/>
              <w:rPr>
                <w:rFonts w:ascii="仿宋" w:hAnsi="仿宋" w:eastAsia="仿宋" w:cs="宋体"/>
                <w:color w:val="auto"/>
                <w:kern w:val="0"/>
                <w:szCs w:val="21"/>
              </w:rPr>
            </w:pPr>
            <w:r>
              <w:rPr>
                <w:rFonts w:hint="eastAsia" w:ascii="仿宋" w:hAnsi="仿宋" w:eastAsia="仿宋" w:cs="宋体"/>
                <w:color w:val="auto"/>
                <w:kern w:val="0"/>
                <w:szCs w:val="21"/>
              </w:rPr>
              <w:t>监控运维中心</w:t>
            </w:r>
          </w:p>
        </w:tc>
        <w:tc>
          <w:tcPr>
            <w:tcW w:w="598" w:type="pct"/>
            <w:tcBorders>
              <w:top w:val="nil"/>
              <w:left w:val="single" w:color="auto" w:sz="4" w:space="0"/>
              <w:bottom w:val="single" w:color="auto" w:sz="4" w:space="0"/>
              <w:right w:val="single" w:color="auto" w:sz="4" w:space="0"/>
            </w:tcBorders>
            <w:shd w:val="clear" w:color="auto" w:fill="auto"/>
            <w:noWrap/>
            <w:vAlign w:val="center"/>
          </w:tcPr>
          <w:p>
            <w:pPr>
              <w:widowControl/>
              <w:rPr>
                <w:rFonts w:ascii="仿宋" w:hAnsi="仿宋" w:eastAsia="仿宋" w:cs="宋体"/>
                <w:color w:val="auto"/>
                <w:kern w:val="0"/>
                <w:szCs w:val="21"/>
              </w:rPr>
            </w:pPr>
            <w:r>
              <w:rPr>
                <w:rFonts w:hint="eastAsia" w:ascii="仿宋" w:hAnsi="仿宋" w:eastAsia="仿宋" w:cs="宋体"/>
                <w:color w:val="auto"/>
                <w:kern w:val="0"/>
                <w:szCs w:val="21"/>
              </w:rPr>
              <w:t>任务总览</w:t>
            </w:r>
          </w:p>
        </w:tc>
        <w:tc>
          <w:tcPr>
            <w:tcW w:w="2163"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1)支持查看任务总数、运行中、等待中、停止统计 2)支持查看当日报警情况及报警未处理任务总数 3)支持查看近7日报警任务及未处理任务数趋势 4)支持查看近30日报警任务次数前10排名</w:t>
            </w:r>
          </w:p>
        </w:tc>
        <w:tc>
          <w:tcPr>
            <w:tcW w:w="565"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auto"/>
                <w:kern w:val="0"/>
                <w:szCs w:val="21"/>
              </w:rPr>
            </w:pPr>
            <w:r>
              <w:rPr>
                <w:rFonts w:hint="eastAsia" w:ascii="仿宋" w:hAnsi="仿宋" w:eastAsia="仿宋" w:cs="宋体"/>
                <w:color w:val="auto"/>
                <w:kern w:val="0"/>
                <w:szCs w:val="21"/>
              </w:rPr>
              <w:t>套</w:t>
            </w:r>
          </w:p>
        </w:tc>
        <w:tc>
          <w:tcPr>
            <w:tcW w:w="405"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auto"/>
                <w:kern w:val="0"/>
                <w:szCs w:val="21"/>
              </w:rPr>
            </w:pPr>
            <w:r>
              <w:rPr>
                <w:rFonts w:ascii="仿宋" w:hAnsi="仿宋" w:eastAsia="仿宋"/>
                <w:color w:val="auto"/>
                <w:kern w:val="0"/>
                <w:szCs w:val="21"/>
              </w:rPr>
              <w:t>1</w:t>
            </w:r>
          </w:p>
        </w:tc>
        <w:tc>
          <w:tcPr>
            <w:tcW w:w="563" w:type="pct"/>
            <w:tcBorders>
              <w:top w:val="nil"/>
              <w:left w:val="single" w:color="auto" w:sz="4" w:space="0"/>
              <w:bottom w:val="single" w:color="auto" w:sz="4" w:space="0"/>
              <w:right w:val="single" w:color="auto" w:sz="4" w:space="0"/>
            </w:tcBorders>
            <w:shd w:val="clear" w:color="auto" w:fill="auto"/>
            <w:noWrap/>
            <w:vAlign w:val="center"/>
          </w:tcPr>
          <w:p>
            <w:pPr>
              <w:widowControl/>
              <w:rPr>
                <w:rFonts w:ascii="仿宋" w:hAnsi="仿宋" w:eastAsia="仿宋" w:cs="宋体"/>
                <w:color w:val="auto"/>
                <w:kern w:val="0"/>
                <w:szCs w:val="21"/>
              </w:rPr>
            </w:pPr>
            <w:r>
              <w:rPr>
                <w:rFonts w:hint="eastAsia" w:ascii="仿宋" w:hAnsi="仿宋" w:eastAsia="仿宋" w:cs="宋体"/>
                <w:color w:val="auto"/>
                <w:kern w:val="0"/>
                <w:szCs w:val="21"/>
              </w:rPr>
              <w:t>定制</w:t>
            </w:r>
          </w:p>
        </w:tc>
      </w:tr>
      <w:tr>
        <w:tblPrEx>
          <w:tblCellMar>
            <w:top w:w="0" w:type="dxa"/>
            <w:left w:w="108" w:type="dxa"/>
            <w:bottom w:w="0" w:type="dxa"/>
            <w:right w:w="108" w:type="dxa"/>
          </w:tblCellMar>
        </w:tblPrEx>
        <w:trPr>
          <w:trHeight w:val="23" w:hRule="atLeast"/>
        </w:trPr>
        <w:tc>
          <w:tcPr>
            <w:tcW w:w="245"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61" w:type="pct"/>
            <w:vMerge w:val="continue"/>
            <w:tcBorders>
              <w:left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598" w:type="pct"/>
            <w:tcBorders>
              <w:top w:val="nil"/>
              <w:left w:val="nil"/>
              <w:bottom w:val="single" w:color="auto" w:sz="4" w:space="0"/>
              <w:right w:val="single" w:color="auto" w:sz="4" w:space="0"/>
            </w:tcBorders>
            <w:shd w:val="clear" w:color="auto" w:fill="auto"/>
            <w:noWrap/>
            <w:vAlign w:val="center"/>
          </w:tcPr>
          <w:p>
            <w:pPr>
              <w:widowControl/>
              <w:rPr>
                <w:rFonts w:ascii="仿宋" w:hAnsi="仿宋" w:eastAsia="仿宋" w:cs="宋体"/>
                <w:color w:val="auto"/>
                <w:kern w:val="0"/>
                <w:szCs w:val="21"/>
              </w:rPr>
            </w:pPr>
            <w:r>
              <w:rPr>
                <w:rFonts w:hint="eastAsia" w:ascii="仿宋" w:hAnsi="仿宋" w:eastAsia="仿宋" w:cs="宋体"/>
                <w:color w:val="auto"/>
                <w:kern w:val="0"/>
                <w:szCs w:val="21"/>
              </w:rPr>
              <w:t>任务管理</w:t>
            </w:r>
          </w:p>
        </w:tc>
        <w:tc>
          <w:tcPr>
            <w:tcW w:w="2163"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1)支持任务名称、状态搜索 2)支持任务名称、分组及状态查看 3)支持任务定时调度时间配置，可按照时间间隔最小到秒、按日、按月等。 4)支持任务的启动、停止、重启操作。 5)支持实时日志及历史日志的查看</w:t>
            </w:r>
          </w:p>
        </w:tc>
        <w:tc>
          <w:tcPr>
            <w:tcW w:w="565"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套</w:t>
            </w:r>
          </w:p>
        </w:tc>
        <w:tc>
          <w:tcPr>
            <w:tcW w:w="405"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1</w:t>
            </w:r>
          </w:p>
        </w:tc>
        <w:tc>
          <w:tcPr>
            <w:tcW w:w="563" w:type="pct"/>
            <w:tcBorders>
              <w:top w:val="nil"/>
              <w:left w:val="nil"/>
              <w:bottom w:val="single" w:color="auto" w:sz="4" w:space="0"/>
              <w:right w:val="single" w:color="auto" w:sz="4" w:space="0"/>
            </w:tcBorders>
            <w:shd w:val="clear" w:color="auto" w:fill="auto"/>
            <w:noWrap/>
            <w:vAlign w:val="center"/>
          </w:tcPr>
          <w:p>
            <w:pPr>
              <w:widowControl/>
              <w:rPr>
                <w:rFonts w:ascii="仿宋" w:hAnsi="仿宋" w:eastAsia="仿宋" w:cs="宋体"/>
                <w:color w:val="auto"/>
                <w:kern w:val="0"/>
                <w:szCs w:val="21"/>
              </w:rPr>
            </w:pPr>
            <w:r>
              <w:rPr>
                <w:rFonts w:hint="eastAsia" w:ascii="仿宋" w:hAnsi="仿宋" w:eastAsia="仿宋" w:cs="宋体"/>
                <w:color w:val="auto"/>
                <w:kern w:val="0"/>
                <w:szCs w:val="21"/>
              </w:rPr>
              <w:t>定制</w:t>
            </w:r>
          </w:p>
        </w:tc>
      </w:tr>
      <w:tr>
        <w:tblPrEx>
          <w:tblCellMar>
            <w:top w:w="0" w:type="dxa"/>
            <w:left w:w="108" w:type="dxa"/>
            <w:bottom w:w="0" w:type="dxa"/>
            <w:right w:w="108" w:type="dxa"/>
          </w:tblCellMar>
        </w:tblPrEx>
        <w:trPr>
          <w:trHeight w:val="23" w:hRule="atLeast"/>
        </w:trPr>
        <w:tc>
          <w:tcPr>
            <w:tcW w:w="245"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61" w:type="pct"/>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Cs w:val="21"/>
              </w:rPr>
            </w:pPr>
          </w:p>
        </w:tc>
        <w:tc>
          <w:tcPr>
            <w:tcW w:w="598" w:type="pct"/>
            <w:tcBorders>
              <w:top w:val="single" w:color="auto" w:sz="4" w:space="0"/>
              <w:left w:val="nil"/>
              <w:bottom w:val="single" w:color="auto" w:sz="4" w:space="0"/>
              <w:right w:val="single" w:color="auto" w:sz="4" w:space="0"/>
            </w:tcBorders>
            <w:shd w:val="clear" w:color="auto" w:fill="auto"/>
            <w:noWrap/>
            <w:vAlign w:val="center"/>
          </w:tcPr>
          <w:p>
            <w:pPr>
              <w:widowControl/>
              <w:rPr>
                <w:rFonts w:ascii="仿宋" w:hAnsi="仿宋" w:eastAsia="仿宋" w:cs="宋体"/>
                <w:color w:val="auto"/>
                <w:kern w:val="0"/>
                <w:szCs w:val="21"/>
              </w:rPr>
            </w:pPr>
            <w:r>
              <w:rPr>
                <w:rFonts w:hint="eastAsia" w:ascii="仿宋" w:hAnsi="仿宋" w:eastAsia="仿宋" w:cs="宋体"/>
                <w:color w:val="auto"/>
                <w:kern w:val="0"/>
                <w:szCs w:val="21"/>
              </w:rPr>
              <w:t>报警管理</w:t>
            </w:r>
          </w:p>
        </w:tc>
        <w:tc>
          <w:tcPr>
            <w:tcW w:w="2163" w:type="pct"/>
            <w:tcBorders>
              <w:top w:val="nil"/>
              <w:left w:val="nil"/>
              <w:bottom w:val="single" w:color="auto" w:sz="4" w:space="0"/>
              <w:right w:val="single" w:color="auto" w:sz="4" w:space="0"/>
            </w:tcBorders>
            <w:shd w:val="clear" w:color="auto" w:fill="auto"/>
            <w:vAlign w:val="center"/>
          </w:tcPr>
          <w:p>
            <w:pPr>
              <w:widowControl/>
              <w:numPr>
                <w:ilvl w:val="0"/>
                <w:numId w:val="6"/>
              </w:numPr>
              <w:jc w:val="left"/>
              <w:rPr>
                <w:rFonts w:ascii="仿宋" w:hAnsi="仿宋" w:eastAsia="仿宋" w:cs="宋体"/>
                <w:color w:val="auto"/>
                <w:kern w:val="0"/>
                <w:szCs w:val="21"/>
              </w:rPr>
            </w:pPr>
            <w:r>
              <w:rPr>
                <w:rFonts w:hint="eastAsia" w:ascii="仿宋" w:hAnsi="仿宋" w:eastAsia="仿宋" w:cs="宋体"/>
                <w:color w:val="auto"/>
                <w:kern w:val="0"/>
                <w:szCs w:val="21"/>
              </w:rPr>
              <w:t>报警列表：支持任务报警情况查看、报警日志查看及报警处理情况维护。 1)支持任务名称、报警时间及报警状态搜索数据；2)支持报警状态维护；3)支持报警日志查看。</w:t>
            </w:r>
          </w:p>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（2）报警规则：支持配置报警类型、报警方式、报警间隔、每日最大报警次数及报警组。 1)支持报警规则新增、修改、删除；2)支持分组或一个作业报警配置；3)支持多种报警方式配置，如邮件或短信； 4)支持分组或作业报警间隔配置，最小按照一分钟； 5)支持配置每个报警规则单日报警数上限； 6)支持配置多个报警组 其中报警类型可按照分组或是单个任务进行报警。</w:t>
            </w:r>
          </w:p>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（3）报警组：支持报警组配置，可配置报警组内需通知的人员，用于报警组关联使用。 1)支持报警组新增、修改、删除； 2)支持报警组名称搜索数据； 3)支持多报警人员列表的新增、修改、删除，如姓名、邮件及手机号等。</w:t>
            </w:r>
          </w:p>
        </w:tc>
        <w:tc>
          <w:tcPr>
            <w:tcW w:w="565"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套</w:t>
            </w:r>
          </w:p>
        </w:tc>
        <w:tc>
          <w:tcPr>
            <w:tcW w:w="405"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1</w:t>
            </w:r>
          </w:p>
        </w:tc>
        <w:tc>
          <w:tcPr>
            <w:tcW w:w="563" w:type="pct"/>
            <w:tcBorders>
              <w:top w:val="nil"/>
              <w:left w:val="nil"/>
              <w:bottom w:val="single" w:color="auto" w:sz="4" w:space="0"/>
              <w:right w:val="single" w:color="auto" w:sz="4" w:space="0"/>
            </w:tcBorders>
            <w:shd w:val="clear" w:color="auto" w:fill="auto"/>
            <w:noWrap/>
            <w:vAlign w:val="center"/>
          </w:tcPr>
          <w:p>
            <w:pPr>
              <w:widowControl/>
              <w:rPr>
                <w:rFonts w:ascii="仿宋" w:hAnsi="仿宋" w:eastAsia="仿宋" w:cs="宋体"/>
                <w:color w:val="auto"/>
                <w:kern w:val="0"/>
                <w:szCs w:val="21"/>
              </w:rPr>
            </w:pPr>
            <w:r>
              <w:rPr>
                <w:rFonts w:hint="eastAsia" w:ascii="仿宋" w:hAnsi="仿宋" w:eastAsia="仿宋" w:cs="宋体"/>
                <w:color w:val="auto"/>
                <w:kern w:val="0"/>
                <w:szCs w:val="21"/>
              </w:rPr>
              <w:t>定制</w:t>
            </w:r>
          </w:p>
        </w:tc>
      </w:tr>
      <w:tr>
        <w:tblPrEx>
          <w:tblCellMar>
            <w:top w:w="0" w:type="dxa"/>
            <w:left w:w="108" w:type="dxa"/>
            <w:bottom w:w="0" w:type="dxa"/>
            <w:right w:w="108" w:type="dxa"/>
          </w:tblCellMar>
        </w:tblPrEx>
        <w:trPr>
          <w:trHeight w:val="23" w:hRule="atLeast"/>
        </w:trPr>
        <w:tc>
          <w:tcPr>
            <w:tcW w:w="24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3</w:t>
            </w:r>
          </w:p>
        </w:tc>
        <w:tc>
          <w:tcPr>
            <w:tcW w:w="461"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rPr>
                <w:rFonts w:ascii="仿宋" w:hAnsi="仿宋" w:eastAsia="仿宋" w:cs="宋体"/>
                <w:color w:val="auto"/>
                <w:kern w:val="0"/>
                <w:szCs w:val="21"/>
              </w:rPr>
            </w:pPr>
            <w:r>
              <w:rPr>
                <w:rFonts w:hint="eastAsia" w:ascii="仿宋" w:hAnsi="仿宋" w:eastAsia="仿宋" w:cs="宋体"/>
                <w:color w:val="auto"/>
                <w:kern w:val="0"/>
                <w:szCs w:val="21"/>
              </w:rPr>
              <w:t>图形化设计器</w:t>
            </w:r>
          </w:p>
        </w:tc>
        <w:tc>
          <w:tcPr>
            <w:tcW w:w="598" w:type="pct"/>
            <w:tcBorders>
              <w:top w:val="single" w:color="auto" w:sz="4" w:space="0"/>
              <w:left w:val="nil"/>
              <w:bottom w:val="single" w:color="auto" w:sz="4" w:space="0"/>
              <w:right w:val="single" w:color="auto" w:sz="4" w:space="0"/>
            </w:tcBorders>
            <w:shd w:val="clear" w:color="auto" w:fill="auto"/>
            <w:noWrap/>
            <w:vAlign w:val="center"/>
          </w:tcPr>
          <w:p>
            <w:pPr>
              <w:widowControl/>
              <w:rPr>
                <w:rFonts w:ascii="仿宋" w:hAnsi="仿宋" w:eastAsia="仿宋" w:cs="宋体"/>
                <w:color w:val="auto"/>
                <w:kern w:val="0"/>
                <w:szCs w:val="21"/>
              </w:rPr>
            </w:pPr>
            <w:r>
              <w:rPr>
                <w:rFonts w:hint="eastAsia" w:ascii="仿宋" w:hAnsi="仿宋" w:eastAsia="仿宋" w:cs="宋体"/>
                <w:color w:val="auto"/>
                <w:kern w:val="0"/>
                <w:szCs w:val="21"/>
              </w:rPr>
              <w:t>组件库管理</w:t>
            </w:r>
          </w:p>
        </w:tc>
        <w:tc>
          <w:tcPr>
            <w:tcW w:w="2163" w:type="pct"/>
            <w:tcBorders>
              <w:top w:val="nil"/>
              <w:left w:val="nil"/>
              <w:bottom w:val="single" w:color="auto" w:sz="4" w:space="0"/>
              <w:right w:val="single" w:color="auto" w:sz="4" w:space="0"/>
            </w:tcBorders>
            <w:shd w:val="clear" w:color="auto" w:fill="auto"/>
            <w:vAlign w:val="center"/>
          </w:tcPr>
          <w:p>
            <w:pPr>
              <w:widowControl/>
              <w:numPr>
                <w:ilvl w:val="0"/>
                <w:numId w:val="7"/>
              </w:numPr>
              <w:jc w:val="left"/>
              <w:rPr>
                <w:rFonts w:ascii="仿宋" w:hAnsi="仿宋" w:eastAsia="仿宋" w:cs="宋体"/>
                <w:color w:val="auto"/>
                <w:kern w:val="0"/>
                <w:szCs w:val="21"/>
              </w:rPr>
            </w:pPr>
            <w:r>
              <w:rPr>
                <w:rFonts w:hint="eastAsia" w:ascii="仿宋" w:hAnsi="仿宋" w:eastAsia="仿宋" w:cs="宋体"/>
                <w:color w:val="auto"/>
                <w:kern w:val="0"/>
                <w:szCs w:val="21"/>
              </w:rPr>
              <w:t>内置组件库：图形化设计器内置多种组件包含输入、输出、查询、连接、转换、流程等组件。 1)输入组件支持从数据库、文件输入、中间件等接收数据； 2)输出组件支持将数据存储至据库、文件输入、中间件； 3)查询组件支持从数据库查询特定数据、检查文件是否存在等功能； 4）连接组件支持数据记录的合并及排序； 5）转换组件支持列转行、字段选择、字符串替换、去重等； 6) 流程组件支持数据过滤、检测空流、数据值判断执行步骤等。</w:t>
            </w:r>
          </w:p>
          <w:p>
            <w:pPr>
              <w:widowControl/>
              <w:numPr>
                <w:ilvl w:val="0"/>
                <w:numId w:val="7"/>
              </w:numPr>
              <w:jc w:val="left"/>
              <w:rPr>
                <w:rFonts w:ascii="仿宋" w:hAnsi="仿宋" w:eastAsia="仿宋" w:cs="宋体"/>
                <w:color w:val="auto"/>
                <w:kern w:val="0"/>
                <w:szCs w:val="21"/>
              </w:rPr>
            </w:pPr>
            <w:r>
              <w:rPr>
                <w:rFonts w:hint="eastAsia" w:ascii="仿宋" w:hAnsi="仿宋" w:eastAsia="仿宋" w:cs="宋体"/>
                <w:color w:val="auto"/>
                <w:kern w:val="0"/>
                <w:szCs w:val="21"/>
              </w:rPr>
              <w:t>自定义组件：当内置组件不满足时可开发自定义组件，进而满足各种数据的接入及输出。 1)支持Java代码编写组件、处理复杂数据接入或输出； 2)支持自定义组件名称及图片。</w:t>
            </w:r>
          </w:p>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（3）发布组件：支持组件发布至图形化设计器。 1)支持将自定义组件简单发布至图形化设计器(将打出来的包直接放到插件目录下。)</w:t>
            </w:r>
          </w:p>
        </w:tc>
        <w:tc>
          <w:tcPr>
            <w:tcW w:w="565"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套</w:t>
            </w:r>
          </w:p>
        </w:tc>
        <w:tc>
          <w:tcPr>
            <w:tcW w:w="405"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1</w:t>
            </w:r>
          </w:p>
        </w:tc>
        <w:tc>
          <w:tcPr>
            <w:tcW w:w="563" w:type="pct"/>
            <w:tcBorders>
              <w:top w:val="nil"/>
              <w:left w:val="nil"/>
              <w:bottom w:val="single" w:color="auto" w:sz="4" w:space="0"/>
              <w:right w:val="single" w:color="auto" w:sz="4" w:space="0"/>
            </w:tcBorders>
            <w:shd w:val="clear" w:color="auto" w:fill="auto"/>
            <w:noWrap/>
            <w:vAlign w:val="center"/>
          </w:tcPr>
          <w:p>
            <w:pPr>
              <w:widowControl/>
              <w:rPr>
                <w:rFonts w:ascii="仿宋" w:hAnsi="仿宋" w:eastAsia="仿宋" w:cs="宋体"/>
                <w:color w:val="auto"/>
                <w:kern w:val="0"/>
                <w:szCs w:val="21"/>
              </w:rPr>
            </w:pPr>
            <w:r>
              <w:rPr>
                <w:rFonts w:hint="eastAsia" w:ascii="仿宋" w:hAnsi="仿宋" w:eastAsia="仿宋" w:cs="宋体"/>
                <w:color w:val="auto"/>
                <w:kern w:val="0"/>
                <w:szCs w:val="21"/>
              </w:rPr>
              <w:t>定制</w:t>
            </w:r>
          </w:p>
        </w:tc>
      </w:tr>
      <w:tr>
        <w:tblPrEx>
          <w:tblCellMar>
            <w:top w:w="0" w:type="dxa"/>
            <w:left w:w="108" w:type="dxa"/>
            <w:bottom w:w="0" w:type="dxa"/>
            <w:right w:w="108" w:type="dxa"/>
          </w:tblCellMar>
        </w:tblPrEx>
        <w:trPr>
          <w:trHeight w:val="23" w:hRule="atLeast"/>
        </w:trPr>
        <w:tc>
          <w:tcPr>
            <w:tcW w:w="245"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6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598" w:type="pct"/>
            <w:tcBorders>
              <w:top w:val="single" w:color="auto" w:sz="4" w:space="0"/>
              <w:left w:val="nil"/>
              <w:bottom w:val="single" w:color="auto" w:sz="4" w:space="0"/>
              <w:right w:val="single" w:color="auto" w:sz="4" w:space="0"/>
            </w:tcBorders>
            <w:shd w:val="clear" w:color="auto" w:fill="auto"/>
            <w:noWrap/>
            <w:vAlign w:val="center"/>
          </w:tcPr>
          <w:p>
            <w:pPr>
              <w:widowControl/>
              <w:rPr>
                <w:rFonts w:ascii="仿宋" w:hAnsi="仿宋" w:eastAsia="仿宋" w:cs="宋体"/>
                <w:color w:val="auto"/>
                <w:kern w:val="0"/>
                <w:szCs w:val="21"/>
              </w:rPr>
            </w:pPr>
            <w:r>
              <w:rPr>
                <w:rFonts w:hint="eastAsia" w:ascii="仿宋" w:hAnsi="仿宋" w:eastAsia="仿宋" w:cs="宋体"/>
                <w:color w:val="auto"/>
                <w:kern w:val="0"/>
                <w:szCs w:val="21"/>
              </w:rPr>
              <w:t>转换管理</w:t>
            </w:r>
          </w:p>
        </w:tc>
        <w:tc>
          <w:tcPr>
            <w:tcW w:w="2163" w:type="pct"/>
            <w:tcBorders>
              <w:top w:val="nil"/>
              <w:left w:val="nil"/>
              <w:bottom w:val="single" w:color="auto" w:sz="4" w:space="0"/>
              <w:right w:val="single" w:color="auto" w:sz="4" w:space="0"/>
            </w:tcBorders>
            <w:shd w:val="clear" w:color="auto" w:fill="auto"/>
            <w:vAlign w:val="center"/>
          </w:tcPr>
          <w:p>
            <w:pPr>
              <w:widowControl/>
              <w:numPr>
                <w:ilvl w:val="0"/>
                <w:numId w:val="8"/>
              </w:numPr>
              <w:jc w:val="left"/>
              <w:rPr>
                <w:rFonts w:ascii="仿宋" w:hAnsi="仿宋" w:eastAsia="仿宋" w:cs="宋体"/>
                <w:color w:val="auto"/>
                <w:kern w:val="0"/>
                <w:szCs w:val="21"/>
              </w:rPr>
            </w:pPr>
            <w:r>
              <w:rPr>
                <w:rFonts w:hint="eastAsia" w:ascii="仿宋" w:hAnsi="仿宋" w:eastAsia="仿宋" w:cs="宋体"/>
                <w:color w:val="auto"/>
                <w:kern w:val="0"/>
                <w:szCs w:val="21"/>
              </w:rPr>
              <w:t>数据源配置：图形化设计器支持各种数据源配置如数据库(支持主流数据库如Mysql、Oracle、Sql Server)、中间件(Kafka、Activemq)、文件（TXT、Excel、CSV、XML）等方式。 1)支持数据源的灵活配置如数据库连接的新增、编辑、删除,中间件及文件； 2)支持主流关系型数据库如:MySQL、Oracle、SQL Server、DB2、Postgre SQL、Access、Sybase等；3)支持读取TXT、Excel、XML等文件；4)支持 NoSQL 数据源读取：支持 Hbase、MongoDB；5)支持中间件数据读取如Kafka、ActiveMq等；6)支持接口数据读取如Post或GET。</w:t>
            </w:r>
          </w:p>
          <w:p>
            <w:pPr>
              <w:widowControl/>
              <w:numPr>
                <w:ilvl w:val="0"/>
                <w:numId w:val="8"/>
              </w:numPr>
              <w:jc w:val="left"/>
              <w:rPr>
                <w:rFonts w:ascii="仿宋" w:hAnsi="仿宋" w:eastAsia="仿宋" w:cs="宋体"/>
                <w:color w:val="auto"/>
                <w:kern w:val="0"/>
                <w:szCs w:val="21"/>
              </w:rPr>
            </w:pPr>
            <w:r>
              <w:rPr>
                <w:rFonts w:hint="eastAsia" w:ascii="仿宋" w:hAnsi="仿宋" w:eastAsia="仿宋" w:cs="宋体"/>
                <w:color w:val="auto"/>
                <w:kern w:val="0"/>
                <w:szCs w:val="21"/>
              </w:rPr>
              <w:t>设置转换步骤。1)支持配置各种数据源读取；2)支持透过JS或JAVA代码组件处理复杂业务数据；3)支持简单的配置方式解析Json数据； 4)支持多种数据目标输出如数据库、中间件、文件等。 （3）转换节点连接：步骤之间通过“转换节点连接”来连接。转换节点连接定义了一个单向通道，允许数据从一个步骤流向另一个步骤。在数据交换中，数据的单位是行，数据流就是数据行从一个步骤到另一个步骤的移动。</w:t>
            </w:r>
          </w:p>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（4）转换分组管理：支持各个转换进行分组管理。 1)支持多级树形结构分组新增、修改、删除。</w:t>
            </w:r>
          </w:p>
        </w:tc>
        <w:tc>
          <w:tcPr>
            <w:tcW w:w="565"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套</w:t>
            </w:r>
          </w:p>
        </w:tc>
        <w:tc>
          <w:tcPr>
            <w:tcW w:w="405"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1</w:t>
            </w:r>
          </w:p>
        </w:tc>
        <w:tc>
          <w:tcPr>
            <w:tcW w:w="563" w:type="pct"/>
            <w:tcBorders>
              <w:top w:val="nil"/>
              <w:left w:val="nil"/>
              <w:bottom w:val="single" w:color="auto" w:sz="4" w:space="0"/>
              <w:right w:val="single" w:color="auto" w:sz="4" w:space="0"/>
            </w:tcBorders>
            <w:shd w:val="clear" w:color="auto" w:fill="auto"/>
            <w:noWrap/>
            <w:vAlign w:val="center"/>
          </w:tcPr>
          <w:p>
            <w:pPr>
              <w:widowControl/>
              <w:rPr>
                <w:rFonts w:ascii="仿宋" w:hAnsi="仿宋" w:eastAsia="仿宋" w:cs="宋体"/>
                <w:color w:val="auto"/>
                <w:kern w:val="0"/>
                <w:szCs w:val="21"/>
              </w:rPr>
            </w:pPr>
            <w:r>
              <w:rPr>
                <w:rFonts w:hint="eastAsia" w:ascii="仿宋" w:hAnsi="仿宋" w:eastAsia="仿宋" w:cs="宋体"/>
                <w:color w:val="auto"/>
                <w:kern w:val="0"/>
                <w:szCs w:val="21"/>
              </w:rPr>
              <w:t>定制</w:t>
            </w:r>
          </w:p>
        </w:tc>
      </w:tr>
      <w:tr>
        <w:tblPrEx>
          <w:tblCellMar>
            <w:top w:w="0" w:type="dxa"/>
            <w:left w:w="108" w:type="dxa"/>
            <w:bottom w:w="0" w:type="dxa"/>
            <w:right w:w="108" w:type="dxa"/>
          </w:tblCellMar>
        </w:tblPrEx>
        <w:trPr>
          <w:trHeight w:val="23" w:hRule="atLeast"/>
        </w:trPr>
        <w:tc>
          <w:tcPr>
            <w:tcW w:w="245"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6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598" w:type="pct"/>
            <w:tcBorders>
              <w:top w:val="single" w:color="auto" w:sz="4" w:space="0"/>
              <w:left w:val="nil"/>
              <w:bottom w:val="single" w:color="auto" w:sz="4" w:space="0"/>
              <w:right w:val="single" w:color="auto" w:sz="4" w:space="0"/>
            </w:tcBorders>
            <w:shd w:val="clear" w:color="auto" w:fill="auto"/>
            <w:noWrap/>
            <w:vAlign w:val="center"/>
          </w:tcPr>
          <w:p>
            <w:pPr>
              <w:widowControl/>
              <w:rPr>
                <w:rFonts w:ascii="仿宋" w:hAnsi="仿宋" w:eastAsia="仿宋" w:cs="宋体"/>
                <w:color w:val="auto"/>
                <w:kern w:val="0"/>
                <w:szCs w:val="21"/>
              </w:rPr>
            </w:pPr>
            <w:r>
              <w:rPr>
                <w:rFonts w:hint="eastAsia" w:ascii="仿宋" w:hAnsi="仿宋" w:eastAsia="仿宋" w:cs="宋体"/>
                <w:color w:val="auto"/>
                <w:kern w:val="0"/>
                <w:szCs w:val="21"/>
              </w:rPr>
              <w:t>作业管理</w:t>
            </w:r>
          </w:p>
        </w:tc>
        <w:tc>
          <w:tcPr>
            <w:tcW w:w="2163" w:type="pct"/>
            <w:tcBorders>
              <w:top w:val="nil"/>
              <w:left w:val="nil"/>
              <w:bottom w:val="single" w:color="auto" w:sz="4" w:space="0"/>
              <w:right w:val="single" w:color="auto" w:sz="4" w:space="0"/>
            </w:tcBorders>
            <w:shd w:val="clear" w:color="auto" w:fill="auto"/>
            <w:vAlign w:val="center"/>
          </w:tcPr>
          <w:p>
            <w:pPr>
              <w:widowControl/>
              <w:numPr>
                <w:ilvl w:val="0"/>
                <w:numId w:val="9"/>
              </w:numPr>
              <w:jc w:val="left"/>
              <w:rPr>
                <w:rFonts w:ascii="仿宋" w:hAnsi="仿宋" w:eastAsia="仿宋" w:cs="宋体"/>
                <w:color w:val="auto"/>
                <w:kern w:val="0"/>
                <w:szCs w:val="21"/>
              </w:rPr>
            </w:pPr>
            <w:r>
              <w:rPr>
                <w:rFonts w:hint="eastAsia" w:ascii="仿宋" w:hAnsi="仿宋" w:eastAsia="仿宋" w:cs="宋体"/>
                <w:color w:val="auto"/>
                <w:kern w:val="0"/>
                <w:szCs w:val="21"/>
              </w:rPr>
              <w:t>设置作业步骤：常用的作业组件包括通用（开始、作业、转换、成功等）、文件、条件等组件。可以实现作业流程、作业定时、作业管理等功能设计。 1)支持多转换顺序或并行执行配置。</w:t>
            </w:r>
          </w:p>
          <w:p>
            <w:pPr>
              <w:widowControl/>
              <w:numPr>
                <w:ilvl w:val="0"/>
                <w:numId w:val="9"/>
              </w:numPr>
              <w:jc w:val="left"/>
              <w:rPr>
                <w:rFonts w:ascii="仿宋" w:hAnsi="仿宋" w:eastAsia="仿宋" w:cs="宋体"/>
                <w:color w:val="auto"/>
                <w:kern w:val="0"/>
                <w:szCs w:val="21"/>
              </w:rPr>
            </w:pPr>
            <w:r>
              <w:rPr>
                <w:rFonts w:hint="eastAsia" w:ascii="仿宋" w:hAnsi="仿宋" w:eastAsia="仿宋" w:cs="宋体"/>
                <w:color w:val="auto"/>
                <w:kern w:val="0"/>
                <w:szCs w:val="21"/>
              </w:rPr>
              <w:t>作业节点连接：在作业中定义的作业节点连接是控制流，作业包括一个或多个作业项，作业项以某种顺序来执行。</w:t>
            </w:r>
          </w:p>
          <w:p>
            <w:pPr>
              <w:widowControl/>
              <w:numPr>
                <w:ilvl w:val="0"/>
                <w:numId w:val="9"/>
              </w:numPr>
              <w:jc w:val="left"/>
              <w:rPr>
                <w:rFonts w:ascii="仿宋" w:hAnsi="仿宋" w:eastAsia="仿宋" w:cs="宋体"/>
                <w:color w:val="auto"/>
                <w:kern w:val="0"/>
                <w:szCs w:val="21"/>
              </w:rPr>
            </w:pPr>
            <w:r>
              <w:rPr>
                <w:rFonts w:hint="eastAsia" w:ascii="仿宋" w:hAnsi="仿宋" w:eastAsia="仿宋" w:cs="宋体"/>
                <w:color w:val="auto"/>
                <w:kern w:val="0"/>
                <w:szCs w:val="21"/>
              </w:rPr>
              <w:t>作业调度：支持配置作业定时执行时间，可按照时间间隔、小时、天、月、周、月配置。 1）支持多维度定时调度配置。</w:t>
            </w:r>
          </w:p>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（4）作业分组管理：支持各个作业进行分组管理。 1)支持多级树形结构分组新增、修改、删除。</w:t>
            </w:r>
          </w:p>
        </w:tc>
        <w:tc>
          <w:tcPr>
            <w:tcW w:w="565"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套</w:t>
            </w:r>
          </w:p>
        </w:tc>
        <w:tc>
          <w:tcPr>
            <w:tcW w:w="405"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1</w:t>
            </w:r>
          </w:p>
        </w:tc>
        <w:tc>
          <w:tcPr>
            <w:tcW w:w="563" w:type="pct"/>
            <w:tcBorders>
              <w:top w:val="nil"/>
              <w:left w:val="nil"/>
              <w:bottom w:val="single" w:color="auto" w:sz="4" w:space="0"/>
              <w:right w:val="single" w:color="auto" w:sz="4" w:space="0"/>
            </w:tcBorders>
            <w:shd w:val="clear" w:color="auto" w:fill="auto"/>
            <w:noWrap/>
            <w:vAlign w:val="center"/>
          </w:tcPr>
          <w:p>
            <w:pPr>
              <w:widowControl/>
              <w:rPr>
                <w:rFonts w:ascii="仿宋" w:hAnsi="仿宋" w:eastAsia="仿宋" w:cs="宋体"/>
                <w:color w:val="auto"/>
                <w:kern w:val="0"/>
                <w:szCs w:val="21"/>
              </w:rPr>
            </w:pPr>
            <w:r>
              <w:rPr>
                <w:rFonts w:hint="eastAsia" w:ascii="仿宋" w:hAnsi="仿宋" w:eastAsia="仿宋" w:cs="宋体"/>
                <w:color w:val="auto"/>
                <w:kern w:val="0"/>
                <w:szCs w:val="21"/>
              </w:rPr>
              <w:t>定制</w:t>
            </w:r>
          </w:p>
        </w:tc>
      </w:tr>
      <w:tr>
        <w:tblPrEx>
          <w:tblCellMar>
            <w:top w:w="0" w:type="dxa"/>
            <w:left w:w="108" w:type="dxa"/>
            <w:bottom w:w="0" w:type="dxa"/>
            <w:right w:w="108" w:type="dxa"/>
          </w:tblCellMar>
        </w:tblPrEx>
        <w:trPr>
          <w:trHeight w:val="23" w:hRule="atLeast"/>
        </w:trPr>
        <w:tc>
          <w:tcPr>
            <w:tcW w:w="24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3</w:t>
            </w:r>
          </w:p>
        </w:tc>
        <w:tc>
          <w:tcPr>
            <w:tcW w:w="461"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rPr>
                <w:rFonts w:ascii="仿宋" w:hAnsi="仿宋" w:eastAsia="仿宋" w:cs="宋体"/>
                <w:color w:val="auto"/>
                <w:kern w:val="0"/>
                <w:szCs w:val="21"/>
              </w:rPr>
            </w:pPr>
            <w:r>
              <w:rPr>
                <w:rFonts w:hint="eastAsia" w:ascii="仿宋" w:hAnsi="仿宋" w:eastAsia="仿宋" w:cs="宋体"/>
                <w:color w:val="auto"/>
                <w:kern w:val="0"/>
                <w:szCs w:val="21"/>
              </w:rPr>
              <w:t>后台运行引擎</w:t>
            </w:r>
          </w:p>
        </w:tc>
        <w:tc>
          <w:tcPr>
            <w:tcW w:w="598" w:type="pct"/>
            <w:tcBorders>
              <w:top w:val="single" w:color="auto" w:sz="4" w:space="0"/>
              <w:left w:val="nil"/>
              <w:bottom w:val="single" w:color="auto" w:sz="4" w:space="0"/>
              <w:right w:val="single" w:color="auto" w:sz="4" w:space="0"/>
            </w:tcBorders>
            <w:shd w:val="clear" w:color="auto" w:fill="auto"/>
            <w:noWrap/>
            <w:vAlign w:val="center"/>
          </w:tcPr>
          <w:p>
            <w:pPr>
              <w:widowControl/>
              <w:rPr>
                <w:rFonts w:ascii="仿宋" w:hAnsi="仿宋" w:eastAsia="仿宋" w:cs="宋体"/>
                <w:color w:val="auto"/>
                <w:kern w:val="0"/>
                <w:szCs w:val="21"/>
              </w:rPr>
            </w:pPr>
            <w:r>
              <w:rPr>
                <w:rFonts w:hint="eastAsia" w:ascii="仿宋" w:hAnsi="仿宋" w:eastAsia="仿宋" w:cs="宋体"/>
                <w:color w:val="auto"/>
                <w:kern w:val="0"/>
                <w:szCs w:val="21"/>
              </w:rPr>
              <w:t>转换程序后台引擎</w:t>
            </w:r>
          </w:p>
        </w:tc>
        <w:tc>
          <w:tcPr>
            <w:tcW w:w="2163"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用于执行转换中的每个步骤，进行数据的抽取、清洗、处理、输出等工作，由多个转换组件按照一定的顺序编排而成</w:t>
            </w:r>
          </w:p>
        </w:tc>
        <w:tc>
          <w:tcPr>
            <w:tcW w:w="565"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套</w:t>
            </w:r>
          </w:p>
        </w:tc>
        <w:tc>
          <w:tcPr>
            <w:tcW w:w="405"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1</w:t>
            </w:r>
          </w:p>
        </w:tc>
        <w:tc>
          <w:tcPr>
            <w:tcW w:w="563" w:type="pct"/>
            <w:tcBorders>
              <w:top w:val="nil"/>
              <w:left w:val="nil"/>
              <w:bottom w:val="single" w:color="auto" w:sz="4" w:space="0"/>
              <w:right w:val="single" w:color="auto" w:sz="4" w:space="0"/>
            </w:tcBorders>
            <w:shd w:val="clear" w:color="auto" w:fill="auto"/>
            <w:noWrap/>
            <w:vAlign w:val="center"/>
          </w:tcPr>
          <w:p>
            <w:pPr>
              <w:widowControl/>
              <w:rPr>
                <w:rFonts w:ascii="仿宋" w:hAnsi="仿宋" w:eastAsia="仿宋" w:cs="宋体"/>
                <w:color w:val="auto"/>
                <w:kern w:val="0"/>
                <w:szCs w:val="21"/>
              </w:rPr>
            </w:pPr>
            <w:r>
              <w:rPr>
                <w:rFonts w:hint="eastAsia" w:ascii="仿宋" w:hAnsi="仿宋" w:eastAsia="仿宋" w:cs="宋体"/>
                <w:color w:val="auto"/>
                <w:kern w:val="0"/>
                <w:szCs w:val="21"/>
              </w:rPr>
              <w:t>定制</w:t>
            </w:r>
          </w:p>
        </w:tc>
      </w:tr>
      <w:tr>
        <w:tblPrEx>
          <w:tblCellMar>
            <w:top w:w="0" w:type="dxa"/>
            <w:left w:w="108" w:type="dxa"/>
            <w:bottom w:w="0" w:type="dxa"/>
            <w:right w:w="108" w:type="dxa"/>
          </w:tblCellMar>
        </w:tblPrEx>
        <w:trPr>
          <w:trHeight w:val="23" w:hRule="atLeast"/>
        </w:trPr>
        <w:tc>
          <w:tcPr>
            <w:tcW w:w="245"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6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598" w:type="pct"/>
            <w:tcBorders>
              <w:top w:val="single" w:color="auto" w:sz="4" w:space="0"/>
              <w:left w:val="nil"/>
              <w:bottom w:val="single" w:color="auto" w:sz="4" w:space="0"/>
              <w:right w:val="single" w:color="auto" w:sz="4" w:space="0"/>
            </w:tcBorders>
            <w:shd w:val="clear" w:color="auto" w:fill="auto"/>
            <w:noWrap/>
            <w:vAlign w:val="center"/>
          </w:tcPr>
          <w:p>
            <w:pPr>
              <w:widowControl/>
              <w:rPr>
                <w:rFonts w:ascii="仿宋" w:hAnsi="仿宋" w:eastAsia="仿宋" w:cs="宋体"/>
                <w:color w:val="auto"/>
                <w:kern w:val="0"/>
                <w:szCs w:val="21"/>
              </w:rPr>
            </w:pPr>
            <w:r>
              <w:rPr>
                <w:rFonts w:hint="eastAsia" w:ascii="仿宋" w:hAnsi="仿宋" w:eastAsia="仿宋" w:cs="宋体"/>
                <w:color w:val="auto"/>
                <w:kern w:val="0"/>
                <w:szCs w:val="21"/>
              </w:rPr>
              <w:t>作业程序后台引擎</w:t>
            </w:r>
          </w:p>
        </w:tc>
        <w:tc>
          <w:tcPr>
            <w:tcW w:w="2163"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用于执行作业，负责数据交换过程的调度与管理，如定期执行、循环执行等</w:t>
            </w:r>
          </w:p>
        </w:tc>
        <w:tc>
          <w:tcPr>
            <w:tcW w:w="565"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套</w:t>
            </w:r>
          </w:p>
        </w:tc>
        <w:tc>
          <w:tcPr>
            <w:tcW w:w="405"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1</w:t>
            </w:r>
          </w:p>
        </w:tc>
        <w:tc>
          <w:tcPr>
            <w:tcW w:w="563" w:type="pct"/>
            <w:tcBorders>
              <w:top w:val="nil"/>
              <w:left w:val="nil"/>
              <w:bottom w:val="single" w:color="auto" w:sz="4" w:space="0"/>
              <w:right w:val="single" w:color="auto" w:sz="4" w:space="0"/>
            </w:tcBorders>
            <w:shd w:val="clear" w:color="auto" w:fill="auto"/>
            <w:noWrap/>
            <w:vAlign w:val="center"/>
          </w:tcPr>
          <w:p>
            <w:pPr>
              <w:widowControl/>
              <w:rPr>
                <w:rFonts w:ascii="仿宋" w:hAnsi="仿宋" w:eastAsia="仿宋" w:cs="宋体"/>
                <w:color w:val="auto"/>
                <w:kern w:val="0"/>
                <w:szCs w:val="21"/>
              </w:rPr>
            </w:pPr>
            <w:r>
              <w:rPr>
                <w:rFonts w:hint="eastAsia" w:ascii="仿宋" w:hAnsi="仿宋" w:eastAsia="仿宋" w:cs="宋体"/>
                <w:color w:val="auto"/>
                <w:kern w:val="0"/>
                <w:szCs w:val="21"/>
              </w:rPr>
              <w:t>定制</w:t>
            </w:r>
          </w:p>
        </w:tc>
      </w:tr>
      <w:tr>
        <w:tblPrEx>
          <w:tblCellMar>
            <w:top w:w="0" w:type="dxa"/>
            <w:left w:w="108" w:type="dxa"/>
            <w:bottom w:w="0" w:type="dxa"/>
            <w:right w:w="108" w:type="dxa"/>
          </w:tblCellMar>
        </w:tblPrEx>
        <w:trPr>
          <w:trHeight w:val="23" w:hRule="atLeast"/>
        </w:trPr>
        <w:tc>
          <w:tcPr>
            <w:tcW w:w="5000" w:type="pct"/>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color w:val="auto"/>
                <w:kern w:val="0"/>
                <w:szCs w:val="21"/>
              </w:rPr>
            </w:pPr>
            <w:r>
              <w:rPr>
                <w:rFonts w:hint="eastAsia" w:ascii="仿宋" w:hAnsi="仿宋" w:eastAsia="仿宋" w:cs="宋体"/>
                <w:color w:val="auto"/>
                <w:kern w:val="0"/>
                <w:szCs w:val="21"/>
              </w:rPr>
              <w:t>四、数据开放平台软件</w:t>
            </w:r>
          </w:p>
        </w:tc>
      </w:tr>
      <w:tr>
        <w:tblPrEx>
          <w:tblCellMar>
            <w:top w:w="0" w:type="dxa"/>
            <w:left w:w="108" w:type="dxa"/>
            <w:bottom w:w="0" w:type="dxa"/>
            <w:right w:w="108" w:type="dxa"/>
          </w:tblCellMar>
        </w:tblPrEx>
        <w:trPr>
          <w:trHeight w:val="23" w:hRule="atLeast"/>
        </w:trPr>
        <w:tc>
          <w:tcPr>
            <w:tcW w:w="24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1</w:t>
            </w:r>
          </w:p>
        </w:tc>
        <w:tc>
          <w:tcPr>
            <w:tcW w:w="461"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rPr>
                <w:rFonts w:ascii="仿宋" w:hAnsi="仿宋" w:eastAsia="仿宋" w:cs="宋体"/>
                <w:color w:val="auto"/>
                <w:kern w:val="0"/>
                <w:szCs w:val="21"/>
              </w:rPr>
            </w:pPr>
            <w:r>
              <w:rPr>
                <w:rFonts w:hint="eastAsia" w:ascii="仿宋" w:hAnsi="仿宋" w:eastAsia="仿宋" w:cs="宋体"/>
                <w:color w:val="auto"/>
                <w:kern w:val="0"/>
                <w:szCs w:val="21"/>
              </w:rPr>
              <w:t>产品成熟度及售后服务</w:t>
            </w:r>
          </w:p>
        </w:tc>
        <w:tc>
          <w:tcPr>
            <w:tcW w:w="2761"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1）产品是成熟的、专业的第三方国产软件，需满足自主可控需求</w:t>
            </w:r>
          </w:p>
        </w:tc>
        <w:tc>
          <w:tcPr>
            <w:tcW w:w="56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套</w:t>
            </w:r>
          </w:p>
        </w:tc>
        <w:tc>
          <w:tcPr>
            <w:tcW w:w="40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olor w:val="auto"/>
                <w:kern w:val="0"/>
                <w:szCs w:val="21"/>
              </w:rPr>
            </w:pPr>
            <w:r>
              <w:rPr>
                <w:rFonts w:ascii="仿宋" w:hAnsi="仿宋" w:eastAsia="仿宋"/>
                <w:color w:val="auto"/>
                <w:kern w:val="0"/>
                <w:szCs w:val="21"/>
              </w:rPr>
              <w:t>1</w:t>
            </w:r>
          </w:p>
        </w:tc>
        <w:tc>
          <w:tcPr>
            <w:tcW w:w="563"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rPr>
                <w:rFonts w:ascii="仿宋" w:hAnsi="仿宋" w:eastAsia="仿宋" w:cs="宋体"/>
                <w:color w:val="auto"/>
                <w:kern w:val="0"/>
                <w:szCs w:val="21"/>
              </w:rPr>
            </w:pPr>
            <w:r>
              <w:rPr>
                <w:rFonts w:hint="eastAsia" w:ascii="仿宋" w:hAnsi="仿宋" w:eastAsia="仿宋" w:cs="宋体"/>
                <w:color w:val="auto"/>
                <w:kern w:val="0"/>
                <w:szCs w:val="21"/>
              </w:rPr>
              <w:t>定制</w:t>
            </w:r>
          </w:p>
        </w:tc>
      </w:tr>
      <w:tr>
        <w:tblPrEx>
          <w:tblCellMar>
            <w:top w:w="0" w:type="dxa"/>
            <w:left w:w="108" w:type="dxa"/>
            <w:bottom w:w="0" w:type="dxa"/>
            <w:right w:w="108" w:type="dxa"/>
          </w:tblCellMar>
        </w:tblPrEx>
        <w:trPr>
          <w:trHeight w:val="23" w:hRule="atLeast"/>
        </w:trPr>
        <w:tc>
          <w:tcPr>
            <w:tcW w:w="245"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6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2761"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2) 能够提供原厂商售后技术支持服务</w:t>
            </w:r>
          </w:p>
        </w:tc>
        <w:tc>
          <w:tcPr>
            <w:tcW w:w="565"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05"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auto"/>
                <w:kern w:val="0"/>
                <w:szCs w:val="21"/>
              </w:rPr>
            </w:pPr>
          </w:p>
        </w:tc>
        <w:tc>
          <w:tcPr>
            <w:tcW w:w="56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r>
      <w:tr>
        <w:tblPrEx>
          <w:tblCellMar>
            <w:top w:w="0" w:type="dxa"/>
            <w:left w:w="108" w:type="dxa"/>
            <w:bottom w:w="0" w:type="dxa"/>
            <w:right w:w="108" w:type="dxa"/>
          </w:tblCellMar>
        </w:tblPrEx>
        <w:trPr>
          <w:trHeight w:val="23" w:hRule="atLeast"/>
        </w:trPr>
        <w:tc>
          <w:tcPr>
            <w:tcW w:w="245"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6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2761"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3）产品应具备软件著作权登记证书</w:t>
            </w:r>
          </w:p>
        </w:tc>
        <w:tc>
          <w:tcPr>
            <w:tcW w:w="565"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05"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auto"/>
                <w:kern w:val="0"/>
                <w:szCs w:val="21"/>
              </w:rPr>
            </w:pPr>
          </w:p>
        </w:tc>
        <w:tc>
          <w:tcPr>
            <w:tcW w:w="56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r>
      <w:tr>
        <w:tblPrEx>
          <w:tblCellMar>
            <w:top w:w="0" w:type="dxa"/>
            <w:left w:w="108" w:type="dxa"/>
            <w:bottom w:w="0" w:type="dxa"/>
            <w:right w:w="108" w:type="dxa"/>
          </w:tblCellMar>
        </w:tblPrEx>
        <w:trPr>
          <w:trHeight w:val="23" w:hRule="atLeast"/>
        </w:trPr>
        <w:tc>
          <w:tcPr>
            <w:tcW w:w="245" w:type="pct"/>
            <w:vMerge w:val="restart"/>
            <w:tcBorders>
              <w:top w:val="nil"/>
              <w:left w:val="single" w:color="auto" w:sz="4" w:space="0"/>
              <w:right w:val="single" w:color="auto" w:sz="4" w:space="0"/>
            </w:tcBorders>
            <w:shd w:val="clear" w:color="auto" w:fill="auto"/>
            <w:noWrap/>
            <w:vAlign w:val="center"/>
          </w:tcPr>
          <w:p>
            <w:pPr>
              <w:widowControl/>
              <w:tabs>
                <w:tab w:val="center" w:pos="315"/>
                <w:tab w:val="left" w:pos="435"/>
              </w:tabs>
              <w:jc w:val="center"/>
              <w:rPr>
                <w:rFonts w:ascii="仿宋" w:hAnsi="仿宋" w:eastAsia="仿宋" w:cs="宋体"/>
                <w:color w:val="auto"/>
                <w:kern w:val="0"/>
                <w:szCs w:val="21"/>
              </w:rPr>
            </w:pPr>
            <w:r>
              <w:rPr>
                <w:rFonts w:hint="eastAsia" w:ascii="仿宋" w:hAnsi="仿宋" w:eastAsia="仿宋" w:cs="宋体"/>
                <w:color w:val="auto"/>
                <w:kern w:val="0"/>
                <w:szCs w:val="21"/>
              </w:rPr>
              <w:t>2</w:t>
            </w:r>
          </w:p>
        </w:tc>
        <w:tc>
          <w:tcPr>
            <w:tcW w:w="461"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rPr>
                <w:rFonts w:ascii="仿宋" w:hAnsi="仿宋" w:eastAsia="仿宋" w:cs="宋体"/>
                <w:color w:val="auto"/>
                <w:kern w:val="0"/>
                <w:szCs w:val="21"/>
              </w:rPr>
            </w:pPr>
            <w:r>
              <w:rPr>
                <w:rFonts w:hint="eastAsia" w:ascii="仿宋" w:hAnsi="仿宋" w:eastAsia="仿宋" w:cs="宋体"/>
                <w:color w:val="auto"/>
                <w:kern w:val="0"/>
                <w:szCs w:val="21"/>
              </w:rPr>
              <w:t>数据开放平台</w:t>
            </w:r>
          </w:p>
        </w:tc>
        <w:tc>
          <w:tcPr>
            <w:tcW w:w="598" w:type="pct"/>
            <w:tcBorders>
              <w:top w:val="single" w:color="auto" w:sz="4" w:space="0"/>
              <w:left w:val="nil"/>
              <w:bottom w:val="single" w:color="auto" w:sz="4" w:space="0"/>
              <w:right w:val="single" w:color="auto" w:sz="4" w:space="0"/>
            </w:tcBorders>
            <w:shd w:val="clear" w:color="auto" w:fill="auto"/>
            <w:noWrap/>
            <w:vAlign w:val="center"/>
          </w:tcPr>
          <w:p>
            <w:pPr>
              <w:widowControl/>
              <w:rPr>
                <w:rFonts w:ascii="仿宋" w:hAnsi="仿宋" w:eastAsia="仿宋" w:cs="宋体"/>
                <w:color w:val="auto"/>
                <w:kern w:val="0"/>
                <w:szCs w:val="21"/>
              </w:rPr>
            </w:pPr>
            <w:r>
              <w:rPr>
                <w:rFonts w:hint="eastAsia" w:ascii="仿宋" w:hAnsi="仿宋" w:eastAsia="仿宋" w:cs="宋体"/>
                <w:color w:val="auto"/>
                <w:kern w:val="0"/>
                <w:szCs w:val="21"/>
              </w:rPr>
              <w:t>数据资源目录</w:t>
            </w:r>
          </w:p>
        </w:tc>
        <w:tc>
          <w:tcPr>
            <w:tcW w:w="2163"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1)支持查看数据共享目录及共享信息名称 2)支持查看接口详情如数据格式、提供方式等</w:t>
            </w:r>
          </w:p>
        </w:tc>
        <w:tc>
          <w:tcPr>
            <w:tcW w:w="565"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套</w:t>
            </w:r>
          </w:p>
        </w:tc>
        <w:tc>
          <w:tcPr>
            <w:tcW w:w="405"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auto"/>
                <w:kern w:val="0"/>
                <w:szCs w:val="21"/>
              </w:rPr>
            </w:pPr>
            <w:r>
              <w:rPr>
                <w:rFonts w:ascii="仿宋" w:hAnsi="仿宋" w:eastAsia="仿宋"/>
                <w:color w:val="auto"/>
                <w:kern w:val="0"/>
                <w:szCs w:val="21"/>
              </w:rPr>
              <w:t>1</w:t>
            </w:r>
          </w:p>
        </w:tc>
        <w:tc>
          <w:tcPr>
            <w:tcW w:w="563" w:type="pct"/>
            <w:tcBorders>
              <w:top w:val="nil"/>
              <w:left w:val="nil"/>
              <w:bottom w:val="single" w:color="auto" w:sz="4" w:space="0"/>
              <w:right w:val="single" w:color="auto" w:sz="4" w:space="0"/>
            </w:tcBorders>
            <w:shd w:val="clear" w:color="auto" w:fill="auto"/>
            <w:noWrap/>
            <w:vAlign w:val="center"/>
          </w:tcPr>
          <w:p>
            <w:pPr>
              <w:widowControl/>
              <w:rPr>
                <w:rFonts w:ascii="仿宋" w:hAnsi="仿宋" w:eastAsia="仿宋" w:cs="宋体"/>
                <w:color w:val="auto"/>
                <w:kern w:val="0"/>
                <w:szCs w:val="21"/>
              </w:rPr>
            </w:pPr>
            <w:r>
              <w:rPr>
                <w:rFonts w:hint="eastAsia" w:ascii="仿宋" w:hAnsi="仿宋" w:eastAsia="仿宋" w:cs="宋体"/>
                <w:color w:val="auto"/>
                <w:kern w:val="0"/>
                <w:szCs w:val="21"/>
              </w:rPr>
              <w:t xml:space="preserve">定制  </w:t>
            </w:r>
          </w:p>
        </w:tc>
      </w:tr>
      <w:tr>
        <w:tblPrEx>
          <w:tblCellMar>
            <w:top w:w="0" w:type="dxa"/>
            <w:left w:w="108" w:type="dxa"/>
            <w:bottom w:w="0" w:type="dxa"/>
            <w:right w:w="108" w:type="dxa"/>
          </w:tblCellMar>
        </w:tblPrEx>
        <w:trPr>
          <w:trHeight w:val="23" w:hRule="atLeast"/>
        </w:trPr>
        <w:tc>
          <w:tcPr>
            <w:tcW w:w="245" w:type="pct"/>
            <w:vMerge w:val="continue"/>
            <w:tcBorders>
              <w:left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6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598" w:type="pct"/>
            <w:tcBorders>
              <w:top w:val="single" w:color="auto" w:sz="4" w:space="0"/>
              <w:left w:val="nil"/>
              <w:bottom w:val="single" w:color="auto" w:sz="4" w:space="0"/>
              <w:right w:val="single" w:color="auto" w:sz="4" w:space="0"/>
            </w:tcBorders>
            <w:shd w:val="clear" w:color="auto" w:fill="auto"/>
            <w:noWrap/>
            <w:vAlign w:val="center"/>
          </w:tcPr>
          <w:p>
            <w:pPr>
              <w:widowControl/>
              <w:rPr>
                <w:rFonts w:ascii="仿宋" w:hAnsi="仿宋" w:eastAsia="仿宋" w:cs="宋体"/>
                <w:color w:val="auto"/>
                <w:kern w:val="0"/>
                <w:szCs w:val="21"/>
              </w:rPr>
            </w:pPr>
            <w:r>
              <w:rPr>
                <w:rFonts w:hint="eastAsia" w:ascii="仿宋" w:hAnsi="仿宋" w:eastAsia="仿宋" w:cs="宋体"/>
                <w:color w:val="auto"/>
                <w:kern w:val="0"/>
                <w:szCs w:val="21"/>
              </w:rPr>
              <w:t>文档管理</w:t>
            </w:r>
          </w:p>
        </w:tc>
        <w:tc>
          <w:tcPr>
            <w:tcW w:w="2163"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（1）全局参数设置 支持参数添加，提供header（请求头）、query（form）两种方式的入参。 （2）离线文档下载 支持Markdown,Html、Word、OpenAPI四种方式的离线文档下载。 （3）个性化设置 *支持开启请求参数缓存； *支持动态请求参数； *支持开启RequestMapping接口过滤，只显示GET（POST、PUT、DELETE、PUT、OPTIONS、HEAD）； *支持Host配置。</w:t>
            </w:r>
          </w:p>
        </w:tc>
        <w:tc>
          <w:tcPr>
            <w:tcW w:w="565"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套</w:t>
            </w:r>
          </w:p>
        </w:tc>
        <w:tc>
          <w:tcPr>
            <w:tcW w:w="405"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1</w:t>
            </w:r>
          </w:p>
        </w:tc>
        <w:tc>
          <w:tcPr>
            <w:tcW w:w="563" w:type="pct"/>
            <w:tcBorders>
              <w:top w:val="nil"/>
              <w:left w:val="nil"/>
              <w:bottom w:val="single" w:color="auto" w:sz="4" w:space="0"/>
              <w:right w:val="single" w:color="auto" w:sz="4" w:space="0"/>
            </w:tcBorders>
            <w:shd w:val="clear" w:color="auto" w:fill="auto"/>
            <w:noWrap/>
            <w:vAlign w:val="center"/>
          </w:tcPr>
          <w:p>
            <w:pPr>
              <w:widowControl/>
              <w:rPr>
                <w:rFonts w:ascii="仿宋" w:hAnsi="仿宋" w:eastAsia="仿宋" w:cs="宋体"/>
                <w:color w:val="auto"/>
                <w:kern w:val="0"/>
                <w:szCs w:val="21"/>
              </w:rPr>
            </w:pPr>
            <w:r>
              <w:rPr>
                <w:rFonts w:hint="eastAsia" w:ascii="仿宋" w:hAnsi="仿宋" w:eastAsia="仿宋" w:cs="宋体"/>
                <w:color w:val="auto"/>
                <w:kern w:val="0"/>
                <w:szCs w:val="21"/>
              </w:rPr>
              <w:t>定制</w:t>
            </w:r>
          </w:p>
        </w:tc>
      </w:tr>
      <w:tr>
        <w:tblPrEx>
          <w:tblCellMar>
            <w:top w:w="0" w:type="dxa"/>
            <w:left w:w="108" w:type="dxa"/>
            <w:bottom w:w="0" w:type="dxa"/>
            <w:right w:w="108" w:type="dxa"/>
          </w:tblCellMar>
        </w:tblPrEx>
        <w:trPr>
          <w:trHeight w:val="23" w:hRule="atLeast"/>
        </w:trPr>
        <w:tc>
          <w:tcPr>
            <w:tcW w:w="245" w:type="pct"/>
            <w:vMerge w:val="continue"/>
            <w:tcBorders>
              <w:left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6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598" w:type="pct"/>
            <w:tcBorders>
              <w:top w:val="single" w:color="auto" w:sz="4" w:space="0"/>
              <w:left w:val="nil"/>
              <w:bottom w:val="single" w:color="auto" w:sz="4" w:space="0"/>
              <w:right w:val="single" w:color="auto" w:sz="4" w:space="0"/>
            </w:tcBorders>
            <w:shd w:val="clear" w:color="auto" w:fill="auto"/>
            <w:noWrap/>
            <w:vAlign w:val="center"/>
          </w:tcPr>
          <w:p>
            <w:pPr>
              <w:widowControl/>
              <w:rPr>
                <w:rFonts w:ascii="仿宋" w:hAnsi="仿宋" w:eastAsia="仿宋" w:cs="宋体"/>
                <w:color w:val="auto"/>
                <w:kern w:val="0"/>
                <w:szCs w:val="21"/>
              </w:rPr>
            </w:pPr>
            <w:r>
              <w:rPr>
                <w:rFonts w:hint="eastAsia" w:ascii="仿宋" w:hAnsi="仿宋" w:eastAsia="仿宋" w:cs="宋体"/>
                <w:color w:val="auto"/>
                <w:kern w:val="0"/>
                <w:szCs w:val="21"/>
              </w:rPr>
              <w:t>授权管理</w:t>
            </w:r>
          </w:p>
        </w:tc>
        <w:tc>
          <w:tcPr>
            <w:tcW w:w="2163"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支持在线参数配置，包括参数key、参数名称、使用范围及参数值。</w:t>
            </w:r>
          </w:p>
        </w:tc>
        <w:tc>
          <w:tcPr>
            <w:tcW w:w="565"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套</w:t>
            </w:r>
          </w:p>
        </w:tc>
        <w:tc>
          <w:tcPr>
            <w:tcW w:w="405"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1</w:t>
            </w:r>
          </w:p>
        </w:tc>
        <w:tc>
          <w:tcPr>
            <w:tcW w:w="563" w:type="pct"/>
            <w:tcBorders>
              <w:top w:val="nil"/>
              <w:left w:val="nil"/>
              <w:bottom w:val="single" w:color="auto" w:sz="4" w:space="0"/>
              <w:right w:val="single" w:color="auto" w:sz="4" w:space="0"/>
            </w:tcBorders>
            <w:shd w:val="clear" w:color="auto" w:fill="auto"/>
            <w:noWrap/>
            <w:vAlign w:val="center"/>
          </w:tcPr>
          <w:p>
            <w:pPr>
              <w:widowControl/>
              <w:rPr>
                <w:rFonts w:ascii="仿宋" w:hAnsi="仿宋" w:eastAsia="仿宋" w:cs="宋体"/>
                <w:color w:val="auto"/>
                <w:kern w:val="0"/>
                <w:szCs w:val="21"/>
              </w:rPr>
            </w:pPr>
            <w:r>
              <w:rPr>
                <w:rFonts w:hint="eastAsia" w:ascii="仿宋" w:hAnsi="仿宋" w:eastAsia="仿宋" w:cs="宋体"/>
                <w:color w:val="auto"/>
                <w:kern w:val="0"/>
                <w:szCs w:val="21"/>
              </w:rPr>
              <w:t>定制</w:t>
            </w:r>
          </w:p>
        </w:tc>
      </w:tr>
      <w:tr>
        <w:tblPrEx>
          <w:tblCellMar>
            <w:top w:w="0" w:type="dxa"/>
            <w:left w:w="108" w:type="dxa"/>
            <w:bottom w:w="0" w:type="dxa"/>
            <w:right w:w="108" w:type="dxa"/>
          </w:tblCellMar>
        </w:tblPrEx>
        <w:trPr>
          <w:trHeight w:val="23" w:hRule="atLeast"/>
        </w:trPr>
        <w:tc>
          <w:tcPr>
            <w:tcW w:w="245" w:type="pct"/>
            <w:vMerge w:val="continue"/>
            <w:tcBorders>
              <w:left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Cs w:val="21"/>
              </w:rPr>
            </w:pPr>
          </w:p>
        </w:tc>
        <w:tc>
          <w:tcPr>
            <w:tcW w:w="46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598"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仿宋" w:hAnsi="仿宋" w:eastAsia="仿宋" w:cs="宋体"/>
                <w:color w:val="auto"/>
                <w:kern w:val="0"/>
                <w:szCs w:val="21"/>
              </w:rPr>
            </w:pPr>
            <w:r>
              <w:rPr>
                <w:rFonts w:hint="eastAsia" w:ascii="仿宋" w:hAnsi="仿宋" w:eastAsia="仿宋" w:cs="宋体"/>
                <w:color w:val="auto"/>
                <w:kern w:val="0"/>
                <w:szCs w:val="21"/>
              </w:rPr>
              <w:t xml:space="preserve">接口管理 </w:t>
            </w:r>
          </w:p>
        </w:tc>
        <w:tc>
          <w:tcPr>
            <w:tcW w:w="2163"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1)支持查看API请求和响应参数、数据类型及相应的数据格式</w:t>
            </w:r>
          </w:p>
        </w:tc>
        <w:tc>
          <w:tcPr>
            <w:tcW w:w="56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套</w:t>
            </w:r>
          </w:p>
        </w:tc>
        <w:tc>
          <w:tcPr>
            <w:tcW w:w="40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1</w:t>
            </w:r>
          </w:p>
        </w:tc>
        <w:tc>
          <w:tcPr>
            <w:tcW w:w="563"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rPr>
                <w:rFonts w:ascii="仿宋" w:hAnsi="仿宋" w:eastAsia="仿宋" w:cs="宋体"/>
                <w:color w:val="auto"/>
                <w:kern w:val="0"/>
                <w:szCs w:val="21"/>
              </w:rPr>
            </w:pPr>
            <w:r>
              <w:rPr>
                <w:rFonts w:hint="eastAsia" w:ascii="仿宋" w:hAnsi="仿宋" w:eastAsia="仿宋" w:cs="宋体"/>
                <w:color w:val="auto"/>
                <w:kern w:val="0"/>
                <w:szCs w:val="21"/>
              </w:rPr>
              <w:t>定制</w:t>
            </w:r>
          </w:p>
        </w:tc>
      </w:tr>
      <w:tr>
        <w:tblPrEx>
          <w:tblCellMar>
            <w:top w:w="0" w:type="dxa"/>
            <w:left w:w="108" w:type="dxa"/>
            <w:bottom w:w="0" w:type="dxa"/>
            <w:right w:w="108" w:type="dxa"/>
          </w:tblCellMar>
        </w:tblPrEx>
        <w:trPr>
          <w:trHeight w:val="23" w:hRule="atLeast"/>
        </w:trPr>
        <w:tc>
          <w:tcPr>
            <w:tcW w:w="245" w:type="pct"/>
            <w:vMerge w:val="continue"/>
            <w:tcBorders>
              <w:left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6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59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2163"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2)支持查看API的授权方式及安全信息详情</w:t>
            </w:r>
          </w:p>
        </w:tc>
        <w:tc>
          <w:tcPr>
            <w:tcW w:w="565"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05"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56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r>
      <w:tr>
        <w:tblPrEx>
          <w:tblCellMar>
            <w:top w:w="0" w:type="dxa"/>
            <w:left w:w="108" w:type="dxa"/>
            <w:bottom w:w="0" w:type="dxa"/>
            <w:right w:w="108" w:type="dxa"/>
          </w:tblCellMar>
        </w:tblPrEx>
        <w:trPr>
          <w:trHeight w:val="23" w:hRule="atLeast"/>
        </w:trPr>
        <w:tc>
          <w:tcPr>
            <w:tcW w:w="245" w:type="pct"/>
            <w:vMerge w:val="continue"/>
            <w:tcBorders>
              <w:left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6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59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2163"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3)支持查看API的调和查询参数等。用方法，如URL路径</w:t>
            </w:r>
          </w:p>
        </w:tc>
        <w:tc>
          <w:tcPr>
            <w:tcW w:w="565"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05"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56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r>
      <w:tr>
        <w:tblPrEx>
          <w:tblCellMar>
            <w:top w:w="0" w:type="dxa"/>
            <w:left w:w="108" w:type="dxa"/>
            <w:bottom w:w="0" w:type="dxa"/>
            <w:right w:w="108" w:type="dxa"/>
          </w:tblCellMar>
        </w:tblPrEx>
        <w:trPr>
          <w:trHeight w:val="23" w:hRule="atLeast"/>
        </w:trPr>
        <w:tc>
          <w:tcPr>
            <w:tcW w:w="245" w:type="pct"/>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6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59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2163"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4)支持查看API的响应代码和响应消息，以及错误处理信息</w:t>
            </w:r>
          </w:p>
        </w:tc>
        <w:tc>
          <w:tcPr>
            <w:tcW w:w="565"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405"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c>
          <w:tcPr>
            <w:tcW w:w="56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Cs w:val="21"/>
              </w:rPr>
            </w:pPr>
          </w:p>
        </w:tc>
      </w:tr>
    </w:tbl>
    <w:p>
      <w:pPr>
        <w:pStyle w:val="17"/>
        <w:rPr>
          <w:rFonts w:ascii="仿宋" w:hAnsi="仿宋" w:eastAsia="仿宋"/>
          <w:color w:val="auto"/>
          <w:sz w:val="24"/>
          <w:szCs w:val="24"/>
        </w:rPr>
      </w:pPr>
      <w:r>
        <w:rPr>
          <w:rFonts w:hint="eastAsia" w:ascii="仿宋" w:hAnsi="仿宋" w:eastAsia="仿宋"/>
          <w:color w:val="auto"/>
          <w:sz w:val="24"/>
          <w:szCs w:val="24"/>
        </w:rPr>
        <w:t>（二）其他要求</w:t>
      </w:r>
    </w:p>
    <w:p>
      <w:pPr>
        <w:pStyle w:val="17"/>
        <w:spacing w:line="360" w:lineRule="auto"/>
        <w:rPr>
          <w:rFonts w:hint="eastAsia" w:ascii="仿宋" w:hAnsi="仿宋" w:eastAsia="仿宋"/>
          <w:color w:val="auto"/>
          <w:sz w:val="24"/>
          <w:szCs w:val="24"/>
        </w:rPr>
      </w:pPr>
      <w:r>
        <w:rPr>
          <w:rFonts w:hint="eastAsia" w:ascii="仿宋" w:hAnsi="仿宋" w:eastAsia="仿宋"/>
          <w:color w:val="auto"/>
          <w:sz w:val="24"/>
          <w:szCs w:val="24"/>
        </w:rPr>
        <w:t>1、本项目为“交钥匙工程”，项目施工过程中必须的工具、跳线等耗材以及相关费用支出由中标方承担，并一并计入投标总价中，招标要求中如有缺项，项目建设须以业主最终需求为准，投标人承担硬件设备增补。投标人除按照招标文件要求提供必要的软硬件设备产品、完成要求的系统集成工作外，还需提供满足本次项目建设的人员培训、系统维保、售后支持等相关服务。项目实施建设阶段投标单位需承诺提供3人以上驻场的项目实施服务团队。</w:t>
      </w:r>
    </w:p>
    <w:p>
      <w:pPr>
        <w:pStyle w:val="2"/>
        <w:ind w:left="0" w:leftChars="0" w:firstLine="0" w:firstLineChars="0"/>
        <w:rPr>
          <w:rFonts w:ascii="仿宋" w:hAnsi="仿宋" w:eastAsia="仿宋"/>
          <w:color w:val="auto"/>
          <w:sz w:val="24"/>
          <w:szCs w:val="24"/>
        </w:rPr>
      </w:pPr>
      <w:r>
        <w:rPr>
          <w:rFonts w:hint="eastAsia" w:ascii="仿宋" w:hAnsi="仿宋" w:eastAsia="仿宋"/>
          <w:color w:val="auto"/>
          <w:sz w:val="24"/>
          <w:szCs w:val="24"/>
          <w:highlight w:val="none"/>
        </w:rPr>
        <w:t>★</w:t>
      </w:r>
      <w:r>
        <w:rPr>
          <w:rFonts w:hint="eastAsia" w:ascii="仿宋" w:hAnsi="仿宋" w:eastAsia="仿宋"/>
          <w:color w:val="auto"/>
          <w:sz w:val="24"/>
          <w:szCs w:val="24"/>
          <w:lang w:val="en-US" w:eastAsia="zh-CN"/>
        </w:rPr>
        <w:t>2、</w:t>
      </w:r>
      <w:r>
        <w:rPr>
          <w:rFonts w:hint="eastAsia" w:ascii="仿宋" w:hAnsi="仿宋" w:eastAsia="仿宋"/>
          <w:color w:val="auto"/>
          <w:sz w:val="24"/>
          <w:szCs w:val="24"/>
          <w:highlight w:val="none"/>
        </w:rPr>
        <w:t>本项目需完成二级等保。</w:t>
      </w:r>
    </w:p>
    <w:p>
      <w:pPr>
        <w:pStyle w:val="17"/>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3</w:t>
      </w:r>
      <w:r>
        <w:rPr>
          <w:rFonts w:hint="eastAsia" w:ascii="仿宋" w:hAnsi="仿宋" w:eastAsia="仿宋"/>
          <w:color w:val="auto"/>
          <w:sz w:val="24"/>
          <w:szCs w:val="24"/>
        </w:rPr>
        <w:t>、数量调整</w:t>
      </w:r>
    </w:p>
    <w:p>
      <w:pPr>
        <w:pStyle w:val="17"/>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招标人保留在签约时微调部分服务的权力，投标人应对服务类别明细报价，按投标单价不变的前提下进行调整，双方不得拒绝。如遇本次招标没有涉及的设备或服务时，由中标人提供申请，招标人确认后实施。政府采购合同履行中追加与合同标的相同的货物、工程或者服务的采购金额不得超过原合同采购金额10%且不高于分散采购限额标准。</w:t>
      </w:r>
    </w:p>
    <w:p>
      <w:pPr>
        <w:pStyle w:val="17"/>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4</w:t>
      </w:r>
      <w:r>
        <w:rPr>
          <w:rFonts w:hint="eastAsia" w:ascii="仿宋" w:hAnsi="仿宋" w:eastAsia="仿宋"/>
          <w:color w:val="auto"/>
          <w:sz w:val="24"/>
          <w:szCs w:val="24"/>
        </w:rPr>
        <w:t>、培训要求</w:t>
      </w:r>
    </w:p>
    <w:p>
      <w:pPr>
        <w:pStyle w:val="17"/>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投标人要提供免费培训（不限人数），培训时间、周期、频率均由采购人（或使用单位）指定，以满足系统正常上线、相关人员均可独立熟练操作为准。保证采购人（或使用单位）技术人员达到熟练操作、维护的程度，能进行一般的日常维护管理和检修，并能够处理简单的软、硬件故障。投标人未按采购人（或使用单位）要求开展培训，采购人可拒绝项目验收。</w:t>
      </w:r>
    </w:p>
    <w:p>
      <w:pPr>
        <w:pStyle w:val="17"/>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5</w:t>
      </w:r>
      <w:r>
        <w:rPr>
          <w:rFonts w:hint="eastAsia" w:ascii="仿宋" w:hAnsi="仿宋" w:eastAsia="仿宋"/>
          <w:color w:val="auto"/>
          <w:sz w:val="24"/>
          <w:szCs w:val="24"/>
        </w:rPr>
        <w:t>、项目交付要求</w:t>
      </w:r>
    </w:p>
    <w:p>
      <w:pPr>
        <w:pStyle w:val="17"/>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交付内容：包括项目实施过程中形成的一切文档，以及采购人和监理方（如有）所要求的与本项目有关的其他文档。</w:t>
      </w:r>
    </w:p>
    <w:p>
      <w:pPr>
        <w:pStyle w:val="17"/>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6</w:t>
      </w:r>
      <w:r>
        <w:rPr>
          <w:rFonts w:hint="eastAsia" w:ascii="仿宋" w:hAnsi="仿宋" w:eastAsia="仿宋"/>
          <w:color w:val="auto"/>
          <w:sz w:val="24"/>
          <w:szCs w:val="24"/>
        </w:rPr>
        <w:t>、安全及保密要求</w:t>
      </w:r>
    </w:p>
    <w:p>
      <w:pPr>
        <w:pStyle w:val="17"/>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（1）投标人应严格保守在合作过程中所了解的招标人的商业及技术机密，否则应对由此造成的损失承担赔偿。</w:t>
      </w:r>
    </w:p>
    <w:p>
      <w:pPr>
        <w:pStyle w:val="17"/>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2）投标人不得出于除履行本项目以外任何目的的披露、传播、复制或使用来自招标人的所有或者部分保密信息；不得在未经招标人书面明确同意的前提下向任何第三方披露本项目相关保密信息；本项目履行完毕后，投标人应当将所有涉及保密信息的载体交还招标人或自行做好管理，不得保留任何形式的存档。</w:t>
      </w:r>
    </w:p>
    <w:p>
      <w:pPr>
        <w:pStyle w:val="17"/>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（3）投标人应严格遵循招标人的各项安全保密制度，所有信息数据迁移、处理等过程中严禁私自复制、传输，完成建设任务后，投标人使用的用户信息等敏感数据必须物理清除。</w:t>
      </w:r>
    </w:p>
    <w:p>
      <w:pPr>
        <w:pStyle w:val="17"/>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4）投标人有义务保障平台的稳定性、账户的安全性，因软件系统原因导致平台崩溃、账户盗号或被攻击发布非法信息等引发的问题，所有经济责任及法律责任均由投标人承担，涉及违法犯罪的交由公安机关处理。</w:t>
      </w:r>
    </w:p>
    <w:p>
      <w:pPr>
        <w:pStyle w:val="17"/>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（5）投标人违反网络安全、数据安全、个人信息保护有关法律、法规规定的，由网信、公安等部门按照职责依法予以查处。</w:t>
      </w:r>
    </w:p>
    <w:p>
      <w:pPr>
        <w:pStyle w:val="17"/>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7</w:t>
      </w:r>
      <w:r>
        <w:rPr>
          <w:rFonts w:hint="eastAsia" w:ascii="仿宋" w:hAnsi="仿宋" w:eastAsia="仿宋"/>
          <w:color w:val="auto"/>
          <w:sz w:val="24"/>
          <w:szCs w:val="24"/>
        </w:rPr>
        <w:t>、服务承诺</w:t>
      </w:r>
    </w:p>
    <w:p>
      <w:pPr>
        <w:pStyle w:val="17"/>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投标人应对采购单位使用操作人员提供培训服务及适当的延伸服务；服务期内，投标人不得主动将软件给其他第三方使用，若要使用须经采购人同意；若省、市级要求推广该项目使用，双方应无条件配合。</w:t>
      </w:r>
    </w:p>
    <w:p>
      <w:pPr>
        <w:pStyle w:val="5"/>
        <w:rPr>
          <w:rFonts w:ascii="仿宋" w:hAnsi="仿宋" w:cs="仿宋"/>
          <w:color w:val="auto"/>
        </w:rPr>
      </w:pPr>
      <w:r>
        <w:rPr>
          <w:rFonts w:hint="eastAsia" w:ascii="仿宋" w:hAnsi="仿宋" w:cs="仿宋"/>
          <w:color w:val="auto"/>
        </w:rPr>
        <w:t>二、商务要求</w:t>
      </w:r>
    </w:p>
    <w:p>
      <w:pPr>
        <w:widowControl/>
        <w:snapToGrid w:val="0"/>
        <w:spacing w:line="480" w:lineRule="exact"/>
        <w:rPr>
          <w:rFonts w:ascii="仿宋" w:hAnsi="仿宋" w:eastAsia="仿宋" w:cs="仿宋"/>
          <w:b/>
          <w:bCs/>
          <w:color w:val="auto"/>
          <w:kern w:val="0"/>
          <w:sz w:val="24"/>
        </w:rPr>
      </w:pPr>
      <w:r>
        <w:rPr>
          <w:rFonts w:hint="eastAsia" w:ascii="仿宋" w:hAnsi="仿宋" w:eastAsia="仿宋" w:cs="仿宋"/>
          <w:b/>
          <w:bCs/>
          <w:color w:val="auto"/>
          <w:kern w:val="0"/>
          <w:sz w:val="24"/>
        </w:rPr>
        <w:t>★1.1服务期限</w:t>
      </w:r>
    </w:p>
    <w:p>
      <w:pPr>
        <w:widowControl/>
        <w:snapToGrid w:val="0"/>
        <w:spacing w:line="48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合同签订生效后，中标方需在3个月内完成项目实施。</w:t>
      </w:r>
    </w:p>
    <w:p>
      <w:pPr>
        <w:widowControl/>
        <w:snapToGrid w:val="0"/>
        <w:spacing w:line="480" w:lineRule="exact"/>
        <w:rPr>
          <w:rFonts w:ascii="仿宋" w:hAnsi="仿宋" w:eastAsia="仿宋" w:cs="仿宋"/>
          <w:color w:val="auto"/>
          <w:kern w:val="0"/>
          <w:sz w:val="24"/>
        </w:rPr>
      </w:pPr>
      <w:r>
        <w:rPr>
          <w:rFonts w:hint="eastAsia" w:ascii="仿宋" w:hAnsi="仿宋" w:eastAsia="仿宋" w:cs="仿宋"/>
          <w:color w:val="auto"/>
          <w:kern w:val="0"/>
          <w:sz w:val="24"/>
        </w:rPr>
        <w:t>1.2质保期</w:t>
      </w:r>
    </w:p>
    <w:p>
      <w:pPr>
        <w:widowControl/>
        <w:snapToGrid w:val="0"/>
        <w:spacing w:line="48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软件部分质保期自项目验收合格之日起1年，硬件部分质保期自项目验收合格之日起3年。</w:t>
      </w:r>
    </w:p>
    <w:p>
      <w:pPr>
        <w:widowControl/>
        <w:snapToGrid w:val="0"/>
        <w:spacing w:line="480" w:lineRule="exact"/>
        <w:rPr>
          <w:rFonts w:ascii="仿宋" w:hAnsi="仿宋" w:eastAsia="仿宋" w:cs="仿宋"/>
          <w:color w:val="auto"/>
          <w:kern w:val="0"/>
          <w:sz w:val="24"/>
        </w:rPr>
      </w:pPr>
      <w:r>
        <w:rPr>
          <w:rFonts w:hint="eastAsia" w:ascii="仿宋" w:hAnsi="仿宋" w:eastAsia="仿宋" w:cs="仿宋"/>
          <w:color w:val="auto"/>
          <w:kern w:val="0"/>
          <w:sz w:val="24"/>
        </w:rPr>
        <w:t>1.3</w:t>
      </w:r>
      <w:r>
        <w:rPr>
          <w:rFonts w:ascii="仿宋" w:hAnsi="仿宋" w:eastAsia="仿宋" w:cs="仿宋"/>
          <w:color w:val="auto"/>
          <w:kern w:val="0"/>
          <w:sz w:val="24"/>
        </w:rPr>
        <w:t xml:space="preserve"> </w:t>
      </w:r>
      <w:r>
        <w:rPr>
          <w:rFonts w:hint="eastAsia" w:ascii="仿宋" w:hAnsi="仿宋" w:eastAsia="仿宋" w:cs="仿宋"/>
          <w:color w:val="auto"/>
          <w:kern w:val="0"/>
          <w:sz w:val="24"/>
        </w:rPr>
        <w:t>验收</w:t>
      </w:r>
    </w:p>
    <w:p>
      <w:pPr>
        <w:pStyle w:val="2"/>
        <w:ind w:firstLine="480" w:firstLineChars="200"/>
        <w:rPr>
          <w:rFonts w:ascii="仿宋" w:hAnsi="仿宋" w:eastAsia="仿宋"/>
          <w:color w:val="auto"/>
          <w:sz w:val="24"/>
          <w:szCs w:val="24"/>
        </w:rPr>
      </w:pPr>
      <w:r>
        <w:rPr>
          <w:rFonts w:hint="eastAsia" w:ascii="仿宋" w:hAnsi="仿宋" w:eastAsia="仿宋"/>
          <w:color w:val="auto"/>
          <w:sz w:val="24"/>
          <w:szCs w:val="24"/>
        </w:rPr>
        <w:t>按照国家相关标准、技术规范要求、合同规定的验收标准及招、投标文件的要求，采购人组织相关部门、人员进行验收。项目实施完成后由中标人申请试运行，不间断试运行1个月以上，中标人可书面申请验收，由采购人组织验收小组项目验收。</w:t>
      </w:r>
    </w:p>
    <w:p>
      <w:pPr>
        <w:rPr>
          <w:color w:val="auto"/>
        </w:rPr>
      </w:pPr>
    </w:p>
    <w:p>
      <w:pPr>
        <w:widowControl/>
        <w:snapToGrid w:val="0"/>
        <w:spacing w:line="480" w:lineRule="exact"/>
        <w:rPr>
          <w:rFonts w:ascii="仿宋" w:hAnsi="仿宋" w:eastAsia="仿宋" w:cs="仿宋"/>
          <w:color w:val="auto"/>
          <w:kern w:val="0"/>
          <w:sz w:val="24"/>
        </w:rPr>
      </w:pPr>
      <w:r>
        <w:rPr>
          <w:rFonts w:hint="eastAsia" w:ascii="仿宋" w:hAnsi="仿宋" w:eastAsia="仿宋" w:cs="仿宋"/>
          <w:color w:val="auto"/>
          <w:kern w:val="0"/>
          <w:sz w:val="24"/>
        </w:rPr>
        <w:t>1.</w:t>
      </w:r>
      <w:r>
        <w:rPr>
          <w:rFonts w:ascii="仿宋" w:hAnsi="仿宋" w:eastAsia="仿宋" w:cs="仿宋"/>
          <w:color w:val="auto"/>
          <w:kern w:val="0"/>
          <w:sz w:val="24"/>
        </w:rPr>
        <w:t>4</w:t>
      </w:r>
      <w:r>
        <w:rPr>
          <w:rFonts w:hint="eastAsia" w:ascii="仿宋" w:hAnsi="仿宋" w:eastAsia="仿宋" w:cs="仿宋"/>
          <w:color w:val="auto"/>
          <w:kern w:val="0"/>
          <w:sz w:val="24"/>
        </w:rPr>
        <w:t>付款方式</w:t>
      </w:r>
    </w:p>
    <w:p>
      <w:pPr>
        <w:widowControl/>
        <w:snapToGrid w:val="0"/>
        <w:spacing w:line="48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签订合同后7个工作日内满足支付条件的情况下预付</w:t>
      </w:r>
      <w:r>
        <w:rPr>
          <w:rFonts w:hint="eastAsia" w:ascii="仿宋" w:hAnsi="仿宋" w:eastAsia="仿宋" w:cs="仿宋"/>
          <w:color w:val="auto"/>
          <w:kern w:val="0"/>
          <w:sz w:val="24"/>
          <w:lang w:val="en-US" w:eastAsia="zh-CN"/>
        </w:rPr>
        <w:t>6</w:t>
      </w:r>
      <w:r>
        <w:rPr>
          <w:rFonts w:hint="eastAsia" w:ascii="仿宋" w:hAnsi="仿宋" w:eastAsia="仿宋" w:cs="仿宋"/>
          <w:color w:val="auto"/>
          <w:kern w:val="0"/>
          <w:sz w:val="24"/>
        </w:rPr>
        <w:t>0%，完成整体施工并投入试运行后支付</w:t>
      </w:r>
      <w:r>
        <w:rPr>
          <w:rFonts w:hint="eastAsia" w:ascii="仿宋" w:hAnsi="仿宋" w:eastAsia="仿宋" w:cs="仿宋"/>
          <w:color w:val="auto"/>
          <w:kern w:val="0"/>
          <w:sz w:val="24"/>
          <w:lang w:val="en-US" w:eastAsia="zh-CN"/>
        </w:rPr>
        <w:t>3</w:t>
      </w:r>
      <w:r>
        <w:rPr>
          <w:rFonts w:hint="eastAsia" w:ascii="仿宋" w:hAnsi="仿宋" w:eastAsia="仿宋" w:cs="仿宋"/>
          <w:color w:val="auto"/>
          <w:kern w:val="0"/>
          <w:sz w:val="24"/>
        </w:rPr>
        <w:t>0%，验收合格后根据审计结果支付剩余尾款（以上所有费用均不计息）。</w:t>
      </w:r>
    </w:p>
    <w:p>
      <w:pPr>
        <w:widowControl/>
        <w:snapToGrid w:val="0"/>
        <w:spacing w:line="480" w:lineRule="exact"/>
        <w:rPr>
          <w:rFonts w:ascii="仿宋" w:hAnsi="仿宋" w:eastAsia="仿宋" w:cs="仿宋"/>
          <w:color w:val="auto"/>
          <w:kern w:val="0"/>
          <w:sz w:val="24"/>
        </w:rPr>
      </w:pPr>
    </w:p>
    <w:p>
      <w:pPr>
        <w:pStyle w:val="4"/>
        <w:rPr>
          <w:rFonts w:ascii="仿宋" w:hAnsi="仿宋" w:cs="仿宋"/>
          <w:color w:val="auto"/>
        </w:rPr>
      </w:pPr>
      <w:bookmarkStart w:id="92" w:name="_Toc14268"/>
      <w:r>
        <w:rPr>
          <w:rFonts w:hint="eastAsia" w:ascii="仿宋" w:hAnsi="仿宋" w:cs="仿宋"/>
          <w:color w:val="auto"/>
        </w:rPr>
        <w:t>第四章  拟签订合同的主要条款</w:t>
      </w:r>
      <w:bookmarkEnd w:id="92"/>
    </w:p>
    <w:p>
      <w:pPr>
        <w:widowControl/>
        <w:snapToGrid w:val="0"/>
        <w:spacing w:line="480" w:lineRule="exact"/>
        <w:rPr>
          <w:rFonts w:ascii="仿宋" w:hAnsi="仿宋" w:eastAsia="仿宋" w:cs="仿宋"/>
          <w:b/>
          <w:bCs/>
          <w:color w:val="auto"/>
          <w:kern w:val="0"/>
          <w:sz w:val="24"/>
          <w:u w:val="single"/>
        </w:rPr>
      </w:pPr>
      <w:r>
        <w:rPr>
          <w:rFonts w:hint="eastAsia" w:ascii="仿宋" w:hAnsi="仿宋" w:eastAsia="仿宋" w:cs="仿宋"/>
          <w:b/>
          <w:bCs/>
          <w:color w:val="auto"/>
          <w:kern w:val="0"/>
          <w:sz w:val="24"/>
          <w:u w:val="single"/>
        </w:rPr>
        <w:t>（合同按采购文件及中标供应商投标文件的内容制定，以下仅为部分主要条款）</w:t>
      </w:r>
    </w:p>
    <w:p>
      <w:pPr>
        <w:widowControl/>
        <w:snapToGrid w:val="0"/>
        <w:spacing w:line="48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 xml:space="preserve">                                     合同编号：</w:t>
      </w:r>
    </w:p>
    <w:p>
      <w:pPr>
        <w:widowControl/>
        <w:snapToGrid w:val="0"/>
        <w:spacing w:line="48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 xml:space="preserve">                                     确认书号：</w:t>
      </w:r>
    </w:p>
    <w:p>
      <w:pPr>
        <w:widowControl/>
        <w:snapToGrid w:val="0"/>
        <w:spacing w:line="48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 xml:space="preserve">甲方（采购人）： </w:t>
      </w:r>
    </w:p>
    <w:p>
      <w:pPr>
        <w:widowControl/>
        <w:snapToGrid w:val="0"/>
        <w:spacing w:line="48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 xml:space="preserve">乙方（供应商）： </w:t>
      </w:r>
    </w:p>
    <w:p>
      <w:pPr>
        <w:widowControl/>
        <w:snapToGrid w:val="0"/>
        <w:spacing w:line="480" w:lineRule="exact"/>
        <w:ind w:firstLine="480" w:firstLineChars="200"/>
        <w:rPr>
          <w:rFonts w:ascii="仿宋" w:hAnsi="仿宋" w:eastAsia="仿宋" w:cs="仿宋"/>
          <w:color w:val="auto"/>
          <w:kern w:val="0"/>
          <w:sz w:val="24"/>
        </w:rPr>
      </w:pPr>
    </w:p>
    <w:p>
      <w:pPr>
        <w:widowControl/>
        <w:snapToGrid w:val="0"/>
        <w:spacing w:line="48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甲、乙双方根据</w:t>
      </w:r>
      <w:r>
        <w:rPr>
          <w:rFonts w:hint="eastAsia" w:ascii="仿宋" w:hAnsi="仿宋" w:eastAsia="仿宋" w:cs="仿宋"/>
          <w:color w:val="auto"/>
          <w:kern w:val="0"/>
          <w:sz w:val="24"/>
          <w:u w:val="single"/>
        </w:rPr>
        <w:t xml:space="preserve">    （填写采购代理机构名称）   </w:t>
      </w:r>
      <w:r>
        <w:rPr>
          <w:rFonts w:hint="eastAsia" w:ascii="仿宋" w:hAnsi="仿宋" w:eastAsia="仿宋" w:cs="仿宋"/>
          <w:color w:val="auto"/>
          <w:kern w:val="0"/>
          <w:sz w:val="24"/>
        </w:rPr>
        <w:t>项目编号为</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的</w:t>
      </w:r>
      <w:r>
        <w:rPr>
          <w:rFonts w:hint="eastAsia" w:ascii="仿宋" w:hAnsi="仿宋" w:eastAsia="仿宋" w:cs="仿宋"/>
          <w:color w:val="auto"/>
          <w:kern w:val="0"/>
          <w:sz w:val="24"/>
          <w:u w:val="single"/>
        </w:rPr>
        <w:t>（标项及名称）</w:t>
      </w:r>
      <w:r>
        <w:rPr>
          <w:rFonts w:hint="eastAsia" w:ascii="仿宋" w:hAnsi="仿宋" w:eastAsia="仿宋" w:cs="仿宋"/>
          <w:color w:val="auto"/>
          <w:kern w:val="0"/>
          <w:sz w:val="24"/>
        </w:rPr>
        <w:t>项目的政府采购交易结果，签署本合同。</w:t>
      </w:r>
    </w:p>
    <w:p>
      <w:pPr>
        <w:widowControl/>
        <w:numPr>
          <w:ilvl w:val="0"/>
          <w:numId w:val="10"/>
        </w:numPr>
        <w:snapToGrid w:val="0"/>
        <w:spacing w:line="480" w:lineRule="exact"/>
        <w:rPr>
          <w:rFonts w:ascii="仿宋" w:hAnsi="仿宋" w:eastAsia="仿宋" w:cs="仿宋"/>
          <w:b/>
          <w:bCs/>
          <w:color w:val="auto"/>
          <w:kern w:val="0"/>
          <w:sz w:val="24"/>
        </w:rPr>
      </w:pPr>
      <w:r>
        <w:rPr>
          <w:rFonts w:hint="eastAsia" w:ascii="仿宋" w:hAnsi="仿宋" w:eastAsia="仿宋" w:cs="仿宋"/>
          <w:b/>
          <w:bCs/>
          <w:color w:val="auto"/>
          <w:kern w:val="0"/>
          <w:sz w:val="24"/>
        </w:rPr>
        <w:t>服务内容及标准</w:t>
      </w:r>
    </w:p>
    <w:p>
      <w:pPr>
        <w:widowControl/>
        <w:snapToGrid w:val="0"/>
        <w:spacing w:line="480" w:lineRule="exact"/>
        <w:ind w:left="480"/>
        <w:rPr>
          <w:rFonts w:ascii="仿宋" w:hAnsi="仿宋" w:eastAsia="仿宋" w:cs="仿宋"/>
          <w:color w:val="auto"/>
          <w:kern w:val="0"/>
          <w:sz w:val="24"/>
        </w:rPr>
      </w:pPr>
      <w:r>
        <w:rPr>
          <w:rFonts w:hint="eastAsia" w:ascii="仿宋" w:hAnsi="仿宋" w:eastAsia="仿宋" w:cs="仿宋"/>
          <w:color w:val="auto"/>
          <w:kern w:val="0"/>
          <w:sz w:val="24"/>
        </w:rPr>
        <w:t>（按采购需求及投标文件的内容填写）</w:t>
      </w:r>
    </w:p>
    <w:p>
      <w:pPr>
        <w:widowControl/>
        <w:numPr>
          <w:ilvl w:val="0"/>
          <w:numId w:val="10"/>
        </w:numPr>
        <w:snapToGrid w:val="0"/>
        <w:spacing w:line="480" w:lineRule="exact"/>
        <w:rPr>
          <w:rFonts w:ascii="仿宋" w:hAnsi="仿宋" w:eastAsia="仿宋" w:cs="仿宋"/>
          <w:b/>
          <w:bCs/>
          <w:color w:val="auto"/>
          <w:kern w:val="0"/>
          <w:sz w:val="24"/>
        </w:rPr>
      </w:pPr>
      <w:r>
        <w:rPr>
          <w:rFonts w:hint="eastAsia" w:ascii="仿宋" w:hAnsi="仿宋" w:eastAsia="仿宋" w:cs="仿宋"/>
          <w:b/>
          <w:bCs/>
          <w:color w:val="auto"/>
          <w:kern w:val="0"/>
          <w:sz w:val="24"/>
        </w:rPr>
        <w:t>服务价格</w:t>
      </w:r>
    </w:p>
    <w:p>
      <w:pPr>
        <w:widowControl/>
        <w:snapToGrid w:val="0"/>
        <w:spacing w:line="480" w:lineRule="exact"/>
        <w:ind w:left="480"/>
        <w:rPr>
          <w:rFonts w:ascii="仿宋" w:hAnsi="仿宋" w:eastAsia="仿宋" w:cs="仿宋"/>
          <w:color w:val="auto"/>
          <w:kern w:val="0"/>
          <w:sz w:val="24"/>
        </w:rPr>
      </w:pPr>
      <w:r>
        <w:rPr>
          <w:rFonts w:hint="eastAsia" w:ascii="仿宋" w:hAnsi="仿宋" w:eastAsia="仿宋" w:cs="仿宋"/>
          <w:color w:val="auto"/>
          <w:kern w:val="0"/>
          <w:sz w:val="24"/>
        </w:rPr>
        <w:t>（有服务分项的，需报分项价格和总价）</w:t>
      </w:r>
    </w:p>
    <w:p>
      <w:pPr>
        <w:widowControl/>
        <w:snapToGrid w:val="0"/>
        <w:spacing w:line="480" w:lineRule="exact"/>
        <w:ind w:firstLine="480" w:firstLineChars="200"/>
        <w:rPr>
          <w:rFonts w:ascii="仿宋" w:hAnsi="仿宋" w:eastAsia="仿宋" w:cs="仿宋"/>
          <w:b/>
          <w:bCs/>
          <w:color w:val="auto"/>
          <w:kern w:val="0"/>
          <w:sz w:val="24"/>
        </w:rPr>
      </w:pPr>
      <w:r>
        <w:rPr>
          <w:rFonts w:hint="eastAsia" w:ascii="仿宋" w:hAnsi="仿宋" w:eastAsia="仿宋" w:cs="仿宋"/>
          <w:b/>
          <w:bCs/>
          <w:color w:val="auto"/>
          <w:kern w:val="0"/>
          <w:sz w:val="24"/>
        </w:rPr>
        <w:t>三、技术资料</w:t>
      </w:r>
    </w:p>
    <w:p>
      <w:pPr>
        <w:widowControl/>
        <w:snapToGrid w:val="0"/>
        <w:spacing w:line="48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1.乙方应按采购文件规定的时间向甲方提供与本项目有关的技术资料。</w:t>
      </w:r>
    </w:p>
    <w:p>
      <w:pPr>
        <w:widowControl/>
        <w:snapToGrid w:val="0"/>
        <w:spacing w:line="48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snapToGrid w:val="0"/>
        <w:spacing w:line="480" w:lineRule="exact"/>
        <w:ind w:firstLine="480" w:firstLineChars="200"/>
        <w:rPr>
          <w:rFonts w:ascii="仿宋" w:hAnsi="仿宋" w:eastAsia="仿宋" w:cs="仿宋"/>
          <w:b/>
          <w:bCs/>
          <w:color w:val="auto"/>
          <w:kern w:val="0"/>
          <w:sz w:val="24"/>
        </w:rPr>
      </w:pPr>
      <w:r>
        <w:rPr>
          <w:rFonts w:hint="eastAsia" w:ascii="仿宋" w:hAnsi="仿宋" w:eastAsia="仿宋" w:cs="仿宋"/>
          <w:b/>
          <w:bCs/>
          <w:color w:val="auto"/>
          <w:kern w:val="0"/>
          <w:sz w:val="24"/>
        </w:rPr>
        <w:t>四、知识产权</w:t>
      </w:r>
    </w:p>
    <w:p>
      <w:pPr>
        <w:widowControl/>
        <w:snapToGrid w:val="0"/>
        <w:spacing w:line="48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1、乙方应保证所提供的货物与服务均不会侵犯任何第三方的知识产权。</w:t>
      </w:r>
    </w:p>
    <w:p>
      <w:pPr>
        <w:widowControl/>
        <w:snapToGrid w:val="0"/>
        <w:spacing w:line="48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2、乙方保证所交付的服务的所有权完全属于乙方且无任何抵押、查封等产权瑕疵。</w:t>
      </w:r>
    </w:p>
    <w:p>
      <w:pPr>
        <w:widowControl/>
        <w:snapToGrid w:val="0"/>
        <w:spacing w:line="480" w:lineRule="exact"/>
        <w:ind w:firstLine="480" w:firstLineChars="200"/>
        <w:rPr>
          <w:rFonts w:ascii="仿宋" w:hAnsi="仿宋" w:eastAsia="仿宋" w:cs="仿宋"/>
          <w:b/>
          <w:bCs/>
          <w:color w:val="auto"/>
          <w:kern w:val="0"/>
          <w:sz w:val="24"/>
        </w:rPr>
      </w:pPr>
      <w:r>
        <w:rPr>
          <w:rFonts w:hint="eastAsia" w:ascii="仿宋" w:hAnsi="仿宋" w:eastAsia="仿宋" w:cs="仿宋"/>
          <w:b/>
          <w:bCs/>
          <w:color w:val="auto"/>
          <w:kern w:val="0"/>
          <w:sz w:val="24"/>
        </w:rPr>
        <w:t>五、转包或分包</w:t>
      </w:r>
    </w:p>
    <w:p>
      <w:pPr>
        <w:widowControl/>
        <w:snapToGrid w:val="0"/>
        <w:spacing w:line="48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不允许转包。</w:t>
      </w:r>
    </w:p>
    <w:p>
      <w:pPr>
        <w:widowControl/>
        <w:snapToGrid w:val="0"/>
        <w:spacing w:line="48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允许分包部分</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pPr>
        <w:widowControl/>
        <w:snapToGrid w:val="0"/>
        <w:spacing w:line="48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如乙方将项目转包或将不允许分包部分进行了分包，甲方有权解除合同，没收履约保证金并追究乙方的违约责任。</w:t>
      </w:r>
    </w:p>
    <w:p>
      <w:pPr>
        <w:widowControl/>
        <w:snapToGrid w:val="0"/>
        <w:spacing w:line="480" w:lineRule="exact"/>
        <w:ind w:firstLine="480" w:firstLineChars="200"/>
        <w:rPr>
          <w:rFonts w:ascii="仿宋" w:hAnsi="仿宋" w:eastAsia="仿宋" w:cs="仿宋"/>
          <w:b/>
          <w:bCs/>
          <w:color w:val="auto"/>
          <w:kern w:val="0"/>
          <w:sz w:val="24"/>
        </w:rPr>
      </w:pPr>
      <w:r>
        <w:rPr>
          <w:rFonts w:hint="eastAsia" w:ascii="仿宋" w:hAnsi="仿宋" w:eastAsia="仿宋" w:cs="仿宋"/>
          <w:b/>
          <w:bCs/>
          <w:color w:val="auto"/>
          <w:kern w:val="0"/>
          <w:sz w:val="24"/>
        </w:rPr>
        <w:t>六、履约保证金</w:t>
      </w:r>
    </w:p>
    <w:p>
      <w:pPr>
        <w:widowControl/>
        <w:snapToGrid w:val="0"/>
        <w:spacing w:line="48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1.履约保证金</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元。[履约保证金交至采购人处，服务完成并验收通过后（   ）个工作日内无息退还。]</w:t>
      </w:r>
    </w:p>
    <w:p>
      <w:pPr>
        <w:widowControl/>
        <w:snapToGrid w:val="0"/>
        <w:spacing w:line="480" w:lineRule="exact"/>
        <w:ind w:firstLine="480" w:firstLineChars="200"/>
        <w:rPr>
          <w:rFonts w:ascii="仿宋" w:hAnsi="仿宋" w:eastAsia="仿宋" w:cs="仿宋"/>
          <w:b/>
          <w:bCs/>
          <w:color w:val="auto"/>
          <w:kern w:val="0"/>
          <w:sz w:val="24"/>
        </w:rPr>
      </w:pPr>
      <w:r>
        <w:rPr>
          <w:rFonts w:hint="eastAsia" w:ascii="仿宋" w:hAnsi="仿宋" w:eastAsia="仿宋" w:cs="仿宋"/>
          <w:b/>
          <w:bCs/>
          <w:color w:val="auto"/>
          <w:kern w:val="0"/>
          <w:sz w:val="24"/>
        </w:rPr>
        <w:t>七、项目服务期限及实施地点</w:t>
      </w:r>
    </w:p>
    <w:p>
      <w:pPr>
        <w:widowControl/>
        <w:snapToGrid w:val="0"/>
        <w:spacing w:line="48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1.服务期限：</w:t>
      </w:r>
    </w:p>
    <w:p>
      <w:pPr>
        <w:widowControl/>
        <w:snapToGrid w:val="0"/>
        <w:spacing w:line="48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2.实施地点：</w:t>
      </w:r>
    </w:p>
    <w:p>
      <w:pPr>
        <w:widowControl/>
        <w:snapToGrid w:val="0"/>
        <w:spacing w:line="480" w:lineRule="exact"/>
        <w:ind w:firstLine="480" w:firstLineChars="200"/>
        <w:rPr>
          <w:rFonts w:ascii="仿宋" w:hAnsi="仿宋" w:eastAsia="仿宋" w:cs="仿宋"/>
          <w:b/>
          <w:bCs/>
          <w:color w:val="auto"/>
          <w:kern w:val="0"/>
          <w:sz w:val="24"/>
        </w:rPr>
      </w:pPr>
      <w:r>
        <w:rPr>
          <w:rFonts w:hint="eastAsia" w:ascii="仿宋" w:hAnsi="仿宋" w:eastAsia="仿宋" w:cs="仿宋"/>
          <w:b/>
          <w:bCs/>
          <w:color w:val="auto"/>
          <w:kern w:val="0"/>
          <w:sz w:val="24"/>
        </w:rPr>
        <w:t>八、付款</w:t>
      </w:r>
    </w:p>
    <w:p>
      <w:pPr>
        <w:widowControl/>
        <w:snapToGrid w:val="0"/>
        <w:spacing w:line="48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 xml:space="preserve"> 付款方式：</w:t>
      </w:r>
    </w:p>
    <w:p>
      <w:pPr>
        <w:snapToGrid w:val="0"/>
        <w:spacing w:line="440" w:lineRule="exact"/>
        <w:ind w:firstLine="480" w:firstLineChars="200"/>
        <w:jc w:val="left"/>
        <w:rPr>
          <w:rFonts w:ascii="仿宋" w:hAnsi="仿宋" w:eastAsia="仿宋" w:cs="仿宋"/>
          <w:b/>
          <w:color w:val="auto"/>
          <w:sz w:val="24"/>
        </w:rPr>
      </w:pPr>
      <w:r>
        <w:rPr>
          <w:rFonts w:hint="eastAsia" w:ascii="仿宋" w:hAnsi="仿宋" w:eastAsia="仿宋" w:cs="仿宋"/>
          <w:b/>
          <w:color w:val="auto"/>
          <w:sz w:val="24"/>
        </w:rPr>
        <w:t>九、商品包装和快递包装要求</w:t>
      </w:r>
    </w:p>
    <w:p>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本次项目采购所涉及的商品包装和快递包装建议按《关于印发《商品包装政府采购需求标准（试行）》、 《快递包装政府采购需求标准（试行）》的通知》（财办库〔2020〕123号）文件要求执行。</w:t>
      </w:r>
    </w:p>
    <w:p>
      <w:pPr>
        <w:widowControl/>
        <w:snapToGrid w:val="0"/>
        <w:spacing w:line="480" w:lineRule="exact"/>
        <w:ind w:firstLine="480" w:firstLineChars="200"/>
        <w:rPr>
          <w:rFonts w:ascii="仿宋" w:hAnsi="仿宋" w:eastAsia="仿宋" w:cs="仿宋"/>
          <w:b/>
          <w:bCs/>
          <w:color w:val="auto"/>
          <w:kern w:val="0"/>
          <w:sz w:val="24"/>
        </w:rPr>
      </w:pPr>
      <w:r>
        <w:rPr>
          <w:rFonts w:hint="eastAsia" w:ascii="仿宋" w:hAnsi="仿宋" w:eastAsia="仿宋" w:cs="仿宋"/>
          <w:b/>
          <w:bCs/>
          <w:color w:val="auto"/>
          <w:kern w:val="0"/>
          <w:sz w:val="24"/>
        </w:rPr>
        <w:t>十、税费</w:t>
      </w:r>
    </w:p>
    <w:p>
      <w:pPr>
        <w:widowControl/>
        <w:snapToGrid w:val="0"/>
        <w:spacing w:line="48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本合同执行中相关的一切税费均由乙方负担。</w:t>
      </w:r>
    </w:p>
    <w:p>
      <w:pPr>
        <w:widowControl/>
        <w:snapToGrid w:val="0"/>
        <w:spacing w:line="480" w:lineRule="exact"/>
        <w:ind w:firstLine="480" w:firstLineChars="200"/>
        <w:rPr>
          <w:rFonts w:ascii="仿宋" w:hAnsi="仿宋" w:eastAsia="仿宋" w:cs="仿宋"/>
          <w:b/>
          <w:bCs/>
          <w:color w:val="auto"/>
          <w:kern w:val="0"/>
          <w:sz w:val="24"/>
        </w:rPr>
      </w:pPr>
      <w:r>
        <w:rPr>
          <w:rFonts w:hint="eastAsia" w:ascii="仿宋" w:hAnsi="仿宋" w:eastAsia="仿宋" w:cs="仿宋"/>
          <w:b/>
          <w:bCs/>
          <w:color w:val="auto"/>
          <w:kern w:val="0"/>
          <w:sz w:val="24"/>
        </w:rPr>
        <w:t>十一、违约责任</w:t>
      </w:r>
    </w:p>
    <w:p>
      <w:pPr>
        <w:widowControl/>
        <w:snapToGrid w:val="0"/>
        <w:spacing w:line="48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1.甲方无正当理由拒绝验收项目的，甲方向乙方偿付拒收合同总价的百分之五违约金。</w:t>
      </w:r>
    </w:p>
    <w:p>
      <w:pPr>
        <w:widowControl/>
        <w:snapToGrid w:val="0"/>
        <w:spacing w:line="48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2.甲方无故逾期验收和办理合同款项支付手续的,甲方应按逾期付款总额每日万分之五向乙方支付违约金。</w:t>
      </w:r>
    </w:p>
    <w:p>
      <w:pPr>
        <w:widowControl/>
        <w:snapToGrid w:val="0"/>
        <w:spacing w:line="48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widowControl/>
        <w:snapToGrid w:val="0"/>
        <w:spacing w:line="48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4.乙方所履行的服务质量或服务数量不符合合同规定及采购文件规定的，甲方有权中止接受服务，单方面解除合同，且相关损失由乙方承担。</w:t>
      </w:r>
    </w:p>
    <w:p>
      <w:pPr>
        <w:widowControl/>
        <w:snapToGrid w:val="0"/>
        <w:spacing w:line="48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5.解除合同应按《浙江省合同管理办法》向财政备案。</w:t>
      </w:r>
    </w:p>
    <w:p>
      <w:pPr>
        <w:widowControl/>
        <w:snapToGrid w:val="0"/>
        <w:spacing w:line="480" w:lineRule="exact"/>
        <w:ind w:firstLine="480" w:firstLineChars="200"/>
        <w:rPr>
          <w:rFonts w:ascii="仿宋" w:hAnsi="仿宋" w:eastAsia="仿宋" w:cs="仿宋"/>
          <w:b/>
          <w:bCs/>
          <w:color w:val="auto"/>
          <w:kern w:val="0"/>
          <w:sz w:val="24"/>
        </w:rPr>
      </w:pPr>
      <w:r>
        <w:rPr>
          <w:rFonts w:hint="eastAsia" w:ascii="仿宋" w:hAnsi="仿宋" w:eastAsia="仿宋" w:cs="仿宋"/>
          <w:b/>
          <w:bCs/>
          <w:color w:val="auto"/>
          <w:kern w:val="0"/>
          <w:sz w:val="24"/>
        </w:rPr>
        <w:t>十二、不可抗力事件处理</w:t>
      </w:r>
    </w:p>
    <w:p>
      <w:pPr>
        <w:widowControl/>
        <w:snapToGrid w:val="0"/>
        <w:spacing w:line="48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1.在合同有效期内，任何一方因不可抗力事件导致不能履行合同，则合同履行期可延长，其延长期与不可抗力影响期相同。</w:t>
      </w:r>
    </w:p>
    <w:p>
      <w:pPr>
        <w:widowControl/>
        <w:snapToGrid w:val="0"/>
        <w:spacing w:line="48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2.不可抗力事件发生后，应立即通知对方，并寄送有关权威机构出具的证明。</w:t>
      </w:r>
    </w:p>
    <w:p>
      <w:pPr>
        <w:widowControl/>
        <w:snapToGrid w:val="0"/>
        <w:spacing w:line="48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3.不可抗力事件延续120天以上，双方应通过友好协商，确定是否继续履行合同。</w:t>
      </w:r>
    </w:p>
    <w:p>
      <w:pPr>
        <w:widowControl/>
        <w:snapToGrid w:val="0"/>
        <w:spacing w:line="480" w:lineRule="exact"/>
        <w:ind w:firstLine="480" w:firstLineChars="200"/>
        <w:rPr>
          <w:rFonts w:ascii="仿宋" w:hAnsi="仿宋" w:eastAsia="仿宋" w:cs="仿宋"/>
          <w:b/>
          <w:bCs/>
          <w:color w:val="auto"/>
          <w:kern w:val="0"/>
          <w:sz w:val="24"/>
        </w:rPr>
      </w:pPr>
      <w:r>
        <w:rPr>
          <w:rFonts w:hint="eastAsia" w:ascii="仿宋" w:hAnsi="仿宋" w:eastAsia="仿宋" w:cs="仿宋"/>
          <w:b/>
          <w:bCs/>
          <w:color w:val="auto"/>
          <w:kern w:val="0"/>
          <w:sz w:val="24"/>
        </w:rPr>
        <w:t>十三、诉讼</w:t>
      </w:r>
    </w:p>
    <w:p>
      <w:pPr>
        <w:widowControl/>
        <w:snapToGrid w:val="0"/>
        <w:spacing w:line="48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双方在执行合同中所发生的一切争议，应通过协商解决。如协商不成，可向甲方所在地法院起诉。</w:t>
      </w:r>
    </w:p>
    <w:p>
      <w:pPr>
        <w:widowControl/>
        <w:snapToGrid w:val="0"/>
        <w:spacing w:line="480" w:lineRule="exact"/>
        <w:ind w:firstLine="480" w:firstLineChars="200"/>
        <w:rPr>
          <w:rFonts w:ascii="仿宋" w:hAnsi="仿宋" w:eastAsia="仿宋" w:cs="仿宋"/>
          <w:b/>
          <w:bCs/>
          <w:color w:val="auto"/>
          <w:kern w:val="0"/>
          <w:sz w:val="24"/>
        </w:rPr>
      </w:pPr>
      <w:r>
        <w:rPr>
          <w:rFonts w:hint="eastAsia" w:ascii="仿宋" w:hAnsi="仿宋" w:eastAsia="仿宋" w:cs="仿宋"/>
          <w:b/>
          <w:bCs/>
          <w:color w:val="auto"/>
          <w:kern w:val="0"/>
          <w:sz w:val="24"/>
        </w:rPr>
        <w:t>十四、合同生效及其他</w:t>
      </w:r>
    </w:p>
    <w:p>
      <w:pPr>
        <w:widowControl/>
        <w:snapToGrid w:val="0"/>
        <w:spacing w:line="48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1.合同经甲、乙双方签名并加盖单位公章后生效。</w:t>
      </w:r>
    </w:p>
    <w:p>
      <w:pPr>
        <w:widowControl/>
        <w:snapToGrid w:val="0"/>
        <w:spacing w:line="48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2.合同执行中涉及采购资金和采购内容修改或补充的，须经财政部门审批，并签书面补充协议，经报政府采购监督管理部门备案后，方可作为主合同不可分割的一部分。</w:t>
      </w:r>
    </w:p>
    <w:p>
      <w:pPr>
        <w:widowControl/>
        <w:snapToGrid w:val="0"/>
        <w:spacing w:line="48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3.采购文件、投标文件与本合同具有同等法律效力。</w:t>
      </w:r>
    </w:p>
    <w:p>
      <w:pPr>
        <w:widowControl/>
        <w:snapToGrid w:val="0"/>
        <w:spacing w:line="48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4.本合同未尽事宜，遵照《民法典》有关条文执行。</w:t>
      </w:r>
    </w:p>
    <w:p>
      <w:pPr>
        <w:widowControl/>
        <w:snapToGrid w:val="0"/>
        <w:spacing w:line="48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5.本合同一式五份，具有同等法律效力，甲、乙双方各执二份，采购代理机构一份。</w:t>
      </w:r>
    </w:p>
    <w:p>
      <w:pPr>
        <w:widowControl/>
        <w:snapToGrid w:val="0"/>
        <w:spacing w:line="480" w:lineRule="exact"/>
        <w:ind w:firstLine="480" w:firstLineChars="200"/>
        <w:rPr>
          <w:rFonts w:ascii="仿宋" w:hAnsi="仿宋" w:eastAsia="仿宋" w:cs="仿宋"/>
          <w:color w:val="auto"/>
          <w:kern w:val="0"/>
          <w:sz w:val="24"/>
        </w:rPr>
      </w:pPr>
    </w:p>
    <w:p>
      <w:pPr>
        <w:widowControl/>
        <w:snapToGrid w:val="0"/>
        <w:spacing w:line="48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 xml:space="preserve">甲方（盖章）：                                   </w:t>
      </w:r>
    </w:p>
    <w:p>
      <w:pPr>
        <w:widowControl/>
        <w:snapToGrid w:val="0"/>
        <w:spacing w:line="48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 xml:space="preserve">地址：                                   </w:t>
      </w:r>
    </w:p>
    <w:p>
      <w:pPr>
        <w:widowControl/>
        <w:snapToGrid w:val="0"/>
        <w:spacing w:line="48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 xml:space="preserve">法定（授权）代表人：                   </w:t>
      </w:r>
    </w:p>
    <w:p>
      <w:pPr>
        <w:widowControl/>
        <w:snapToGrid w:val="0"/>
        <w:spacing w:line="48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 xml:space="preserve">签名日期：     年   月   日           </w:t>
      </w:r>
    </w:p>
    <w:p>
      <w:pPr>
        <w:widowControl/>
        <w:snapToGrid w:val="0"/>
        <w:spacing w:line="480" w:lineRule="exact"/>
        <w:ind w:firstLine="480" w:firstLineChars="200"/>
        <w:rPr>
          <w:rFonts w:ascii="仿宋" w:hAnsi="仿宋" w:eastAsia="仿宋" w:cs="仿宋"/>
          <w:color w:val="auto"/>
          <w:kern w:val="0"/>
          <w:sz w:val="24"/>
        </w:rPr>
      </w:pPr>
    </w:p>
    <w:p>
      <w:pPr>
        <w:widowControl/>
        <w:snapToGrid w:val="0"/>
        <w:spacing w:line="48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乙方（盖章）：</w:t>
      </w:r>
    </w:p>
    <w:p>
      <w:pPr>
        <w:widowControl/>
        <w:snapToGrid w:val="0"/>
        <w:spacing w:line="48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 xml:space="preserve">地址： </w:t>
      </w:r>
    </w:p>
    <w:p>
      <w:pPr>
        <w:widowControl/>
        <w:snapToGrid w:val="0"/>
        <w:spacing w:line="48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开户行：</w:t>
      </w:r>
    </w:p>
    <w:p>
      <w:pPr>
        <w:widowControl/>
        <w:snapToGrid w:val="0"/>
        <w:spacing w:line="48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开户账号：</w:t>
      </w:r>
    </w:p>
    <w:p>
      <w:pPr>
        <w:widowControl/>
        <w:snapToGrid w:val="0"/>
        <w:spacing w:line="48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法定（授权）代表人：</w:t>
      </w:r>
    </w:p>
    <w:p>
      <w:pPr>
        <w:widowControl/>
        <w:snapToGrid w:val="0"/>
        <w:spacing w:line="48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签名日期：      年   月   日</w:t>
      </w:r>
    </w:p>
    <w:p>
      <w:pPr>
        <w:pStyle w:val="4"/>
        <w:rPr>
          <w:rFonts w:ascii="仿宋" w:hAnsi="仿宋" w:cs="仿宋"/>
          <w:color w:val="auto"/>
        </w:rPr>
      </w:pPr>
      <w:bookmarkStart w:id="93" w:name="_Toc14424"/>
      <w:r>
        <w:rPr>
          <w:rFonts w:hint="eastAsia" w:ascii="仿宋" w:hAnsi="仿宋" w:cs="仿宋"/>
          <w:color w:val="auto"/>
        </w:rPr>
        <w:t>第五章  评标办法及标准</w:t>
      </w:r>
      <w:bookmarkEnd w:id="93"/>
    </w:p>
    <w:p>
      <w:pPr>
        <w:spacing w:line="440" w:lineRule="exact"/>
        <w:jc w:val="left"/>
        <w:rPr>
          <w:rFonts w:ascii="仿宋" w:hAnsi="仿宋" w:eastAsia="仿宋" w:cs="仿宋"/>
          <w:b/>
          <w:color w:val="auto"/>
          <w:sz w:val="24"/>
        </w:rPr>
      </w:pPr>
      <w:r>
        <w:rPr>
          <w:rFonts w:hint="eastAsia" w:ascii="仿宋" w:hAnsi="仿宋" w:eastAsia="仿宋" w:cs="仿宋"/>
          <w:b/>
          <w:color w:val="auto"/>
          <w:sz w:val="24"/>
        </w:rPr>
        <w:t>特别条款：</w:t>
      </w:r>
    </w:p>
    <w:p>
      <w:pPr>
        <w:spacing w:line="440" w:lineRule="exact"/>
        <w:ind w:firstLine="470" w:firstLineChars="196"/>
        <w:jc w:val="left"/>
        <w:rPr>
          <w:rFonts w:ascii="仿宋" w:hAnsi="仿宋" w:eastAsia="仿宋" w:cs="仿宋"/>
          <w:b/>
          <w:color w:val="auto"/>
          <w:sz w:val="24"/>
        </w:rPr>
      </w:pPr>
      <w:r>
        <w:rPr>
          <w:rFonts w:hint="eastAsia" w:ascii="仿宋" w:hAnsi="仿宋" w:eastAsia="仿宋" w:cs="仿宋"/>
          <w:b/>
          <w:color w:val="auto"/>
          <w:sz w:val="24"/>
        </w:rPr>
        <w:t>A.使用综合评分法的采购项目，提供</w:t>
      </w:r>
      <w:r>
        <w:rPr>
          <w:rFonts w:hint="eastAsia" w:ascii="仿宋" w:hAnsi="仿宋" w:eastAsia="仿宋" w:cs="仿宋"/>
          <w:b/>
          <w:color w:val="auto"/>
          <w:sz w:val="24"/>
          <w:bdr w:val="single" w:color="000000" w:sz="4" w:space="0"/>
        </w:rPr>
        <w:t>相同品牌</w:t>
      </w:r>
      <w:r>
        <w:rPr>
          <w:rFonts w:hint="eastAsia" w:ascii="仿宋" w:hAnsi="仿宋" w:eastAsia="仿宋" w:cs="仿宋"/>
          <w:b/>
          <w:color w:val="auto"/>
          <w:sz w:val="24"/>
        </w:rPr>
        <w:t>产品且通过资格审查、符合性审</w:t>
      </w:r>
      <w:r>
        <w:rPr>
          <w:rFonts w:hint="eastAsia" w:ascii="仿宋" w:hAnsi="仿宋" w:eastAsia="仿宋" w:cs="仿宋"/>
          <w:b/>
          <w:color w:val="auto"/>
          <w:sz w:val="24"/>
        </w:rPr>
        <w:t>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pPr>
        <w:spacing w:line="440" w:lineRule="exact"/>
        <w:ind w:firstLine="470" w:firstLineChars="196"/>
        <w:jc w:val="left"/>
        <w:rPr>
          <w:rFonts w:ascii="仿宋" w:hAnsi="仿宋" w:eastAsia="仿宋" w:cs="仿宋"/>
          <w:b/>
          <w:color w:val="auto"/>
          <w:sz w:val="24"/>
        </w:rPr>
      </w:pPr>
      <w:r>
        <w:rPr>
          <w:rFonts w:hint="eastAsia" w:ascii="仿宋" w:hAnsi="仿宋" w:eastAsia="仿宋" w:cs="仿宋"/>
          <w:b/>
          <w:color w:val="auto"/>
          <w:sz w:val="24"/>
        </w:rPr>
        <w:t>B.非单一产品采购项目，多家投标人中作为核心产品（由采购人根据采购项目技术构成、产品价格比重等确定，并在采购文件中载明）品牌均相同的，视为提供的是同品牌的产品；按前款规定处理。</w:t>
      </w:r>
    </w:p>
    <w:p>
      <w:pPr>
        <w:spacing w:line="440" w:lineRule="exact"/>
        <w:jc w:val="left"/>
        <w:rPr>
          <w:rFonts w:ascii="仿宋" w:hAnsi="仿宋" w:eastAsia="仿宋" w:cs="仿宋"/>
          <w:b/>
          <w:color w:val="auto"/>
          <w:sz w:val="24"/>
        </w:rPr>
      </w:pPr>
      <w:r>
        <w:rPr>
          <w:rFonts w:hint="eastAsia" w:ascii="仿宋" w:hAnsi="仿宋" w:eastAsia="仿宋" w:cs="仿宋"/>
          <w:b/>
          <w:color w:val="auto"/>
          <w:sz w:val="24"/>
        </w:rPr>
        <w:t>1、评标方法：</w:t>
      </w:r>
    </w:p>
    <w:p>
      <w:pPr>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本次评标采用综合评分法，投标文件满足采购文件全部实质性要求且按照评审因素的量化指标评审得分最高的供应商为中标候选人。得分相同的，投标报价低者为中标候选人。得分且投标报价相同的由采购人代表开标现场随机抽签确定。</w:t>
      </w:r>
    </w:p>
    <w:p>
      <w:pPr>
        <w:widowControl/>
        <w:snapToGrid w:val="0"/>
        <w:spacing w:line="480" w:lineRule="exact"/>
        <w:rPr>
          <w:rFonts w:ascii="仿宋" w:hAnsi="仿宋" w:eastAsia="仿宋" w:cs="仿宋"/>
          <w:color w:val="auto"/>
          <w:kern w:val="0"/>
          <w:sz w:val="24"/>
        </w:rPr>
      </w:pPr>
      <w:r>
        <w:rPr>
          <w:rFonts w:hint="eastAsia" w:ascii="仿宋" w:hAnsi="仿宋" w:eastAsia="仿宋" w:cs="仿宋"/>
          <w:b/>
          <w:color w:val="auto"/>
          <w:sz w:val="24"/>
        </w:rPr>
        <w:t>2.评分标准：</w:t>
      </w:r>
      <w:r>
        <w:rPr>
          <w:rFonts w:hint="eastAsia" w:ascii="仿宋" w:hAnsi="仿宋" w:eastAsia="仿宋" w:cs="仿宋"/>
          <w:color w:val="auto"/>
          <w:sz w:val="24"/>
        </w:rPr>
        <w:t>总分100分，其中商务技术分</w:t>
      </w:r>
      <w:r>
        <w:rPr>
          <w:rFonts w:hint="eastAsia" w:ascii="仿宋" w:hAnsi="仿宋" w:eastAsia="仿宋" w:cs="仿宋"/>
          <w:color w:val="auto"/>
          <w:sz w:val="24"/>
          <w:u w:val="single"/>
        </w:rPr>
        <w:t xml:space="preserve"> </w:t>
      </w:r>
      <w:r>
        <w:rPr>
          <w:rFonts w:ascii="仿宋" w:hAnsi="仿宋" w:eastAsia="仿宋" w:cs="仿宋"/>
          <w:color w:val="auto"/>
          <w:sz w:val="24"/>
          <w:u w:val="single"/>
        </w:rPr>
        <w:t>7</w:t>
      </w:r>
      <w:r>
        <w:rPr>
          <w:rFonts w:hint="eastAsia" w:ascii="仿宋" w:hAnsi="仿宋" w:eastAsia="仿宋" w:cs="仿宋"/>
          <w:color w:val="auto"/>
          <w:sz w:val="24"/>
          <w:u w:val="single"/>
        </w:rPr>
        <w:t xml:space="preserve">0 </w:t>
      </w:r>
      <w:r>
        <w:rPr>
          <w:rFonts w:hint="eastAsia" w:ascii="仿宋" w:hAnsi="仿宋" w:eastAsia="仿宋" w:cs="仿宋"/>
          <w:color w:val="auto"/>
          <w:sz w:val="24"/>
        </w:rPr>
        <w:t>分，价格分</w:t>
      </w:r>
      <w:r>
        <w:rPr>
          <w:rFonts w:hint="eastAsia" w:ascii="仿宋" w:hAnsi="仿宋" w:eastAsia="仿宋" w:cs="仿宋"/>
          <w:color w:val="auto"/>
          <w:sz w:val="24"/>
          <w:u w:val="single"/>
        </w:rPr>
        <w:t xml:space="preserve"> </w:t>
      </w:r>
      <w:r>
        <w:rPr>
          <w:rFonts w:ascii="仿宋" w:hAnsi="仿宋" w:eastAsia="仿宋" w:cs="仿宋"/>
          <w:color w:val="auto"/>
          <w:sz w:val="24"/>
          <w:u w:val="single"/>
        </w:rPr>
        <w:t>3</w:t>
      </w:r>
      <w:r>
        <w:rPr>
          <w:rFonts w:hint="eastAsia" w:ascii="仿宋" w:hAnsi="仿宋" w:eastAsia="仿宋" w:cs="仿宋"/>
          <w:color w:val="auto"/>
          <w:sz w:val="24"/>
          <w:u w:val="single"/>
        </w:rPr>
        <w:t xml:space="preserve">0 </w:t>
      </w:r>
      <w:r>
        <w:rPr>
          <w:rFonts w:hint="eastAsia" w:ascii="仿宋" w:hAnsi="仿宋" w:eastAsia="仿宋" w:cs="仿宋"/>
          <w:color w:val="auto"/>
          <w:sz w:val="24"/>
        </w:rPr>
        <w:t>分。下述所列为评分依据，分值如下（计算分值时，按其算术平均值保留小数2位）。</w:t>
      </w:r>
    </w:p>
    <w:p>
      <w:pPr>
        <w:widowControl/>
        <w:snapToGrid w:val="0"/>
        <w:spacing w:line="480" w:lineRule="exact"/>
        <w:rPr>
          <w:rFonts w:ascii="仿宋" w:hAnsi="仿宋" w:eastAsia="仿宋" w:cs="仿宋"/>
          <w:b/>
          <w:bCs/>
          <w:color w:val="auto"/>
          <w:kern w:val="0"/>
          <w:sz w:val="24"/>
        </w:rPr>
      </w:pPr>
      <w:r>
        <w:rPr>
          <w:rFonts w:hint="eastAsia" w:ascii="仿宋" w:hAnsi="仿宋" w:eastAsia="仿宋" w:cs="仿宋"/>
          <w:b/>
          <w:bCs/>
          <w:color w:val="auto"/>
          <w:sz w:val="24"/>
          <w:bdr w:val="single" w:color="auto" w:sz="4" w:space="0"/>
        </w:rPr>
        <w:t>01标</w:t>
      </w:r>
      <w:r>
        <w:rPr>
          <w:rFonts w:hint="eastAsia" w:ascii="仿宋" w:hAnsi="仿宋" w:eastAsia="仿宋" w:cs="仿宋"/>
          <w:b/>
          <w:bCs/>
          <w:color w:val="auto"/>
          <w:kern w:val="0"/>
          <w:sz w:val="24"/>
        </w:rPr>
        <w:t>商务技术分：</w:t>
      </w:r>
    </w:p>
    <w:tbl>
      <w:tblPr>
        <w:tblStyle w:val="26"/>
        <w:tblW w:w="5047" w:type="pct"/>
        <w:jc w:val="center"/>
        <w:tblLayout w:type="autofit"/>
        <w:tblCellMar>
          <w:top w:w="0" w:type="dxa"/>
          <w:left w:w="108" w:type="dxa"/>
          <w:bottom w:w="0" w:type="dxa"/>
          <w:right w:w="108" w:type="dxa"/>
        </w:tblCellMar>
      </w:tblPr>
      <w:tblGrid>
        <w:gridCol w:w="836"/>
        <w:gridCol w:w="1626"/>
        <w:gridCol w:w="6242"/>
        <w:gridCol w:w="1015"/>
      </w:tblGrid>
      <w:tr>
        <w:tblPrEx>
          <w:tblCellMar>
            <w:top w:w="0" w:type="dxa"/>
            <w:left w:w="108" w:type="dxa"/>
            <w:bottom w:w="0" w:type="dxa"/>
            <w:right w:w="108" w:type="dxa"/>
          </w:tblCellMar>
        </w:tblPrEx>
        <w:trPr>
          <w:trHeight w:val="312" w:hRule="atLeast"/>
          <w:jc w:val="center"/>
        </w:trPr>
        <w:tc>
          <w:tcPr>
            <w:tcW w:w="43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kern w:val="0"/>
                <w:sz w:val="24"/>
                <w:szCs w:val="24"/>
              </w:rPr>
            </w:pPr>
            <w:r>
              <w:rPr>
                <w:rFonts w:hint="eastAsia" w:ascii="仿宋" w:hAnsi="仿宋" w:eastAsia="仿宋" w:cs="宋体"/>
                <w:b/>
                <w:bCs/>
                <w:color w:val="auto"/>
                <w:kern w:val="0"/>
                <w:sz w:val="24"/>
                <w:szCs w:val="24"/>
              </w:rPr>
              <w:t>序号</w:t>
            </w:r>
          </w:p>
        </w:tc>
        <w:tc>
          <w:tcPr>
            <w:tcW w:w="83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kern w:val="0"/>
                <w:sz w:val="24"/>
                <w:szCs w:val="24"/>
              </w:rPr>
            </w:pPr>
            <w:r>
              <w:rPr>
                <w:rFonts w:hint="eastAsia" w:ascii="仿宋" w:hAnsi="仿宋" w:eastAsia="仿宋" w:cs="宋体"/>
                <w:b/>
                <w:bCs/>
                <w:color w:val="auto"/>
                <w:kern w:val="0"/>
                <w:sz w:val="24"/>
                <w:szCs w:val="24"/>
              </w:rPr>
              <w:t>评审项目</w:t>
            </w:r>
          </w:p>
        </w:tc>
        <w:tc>
          <w:tcPr>
            <w:tcW w:w="321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kern w:val="0"/>
                <w:sz w:val="24"/>
                <w:szCs w:val="24"/>
              </w:rPr>
            </w:pPr>
            <w:r>
              <w:rPr>
                <w:rFonts w:hint="eastAsia" w:ascii="仿宋" w:hAnsi="仿宋" w:eastAsia="仿宋" w:cs="宋体"/>
                <w:b/>
                <w:bCs/>
                <w:color w:val="auto"/>
                <w:kern w:val="0"/>
                <w:sz w:val="24"/>
                <w:szCs w:val="24"/>
              </w:rPr>
              <w:t>评分内容及标准</w:t>
            </w:r>
          </w:p>
        </w:tc>
        <w:tc>
          <w:tcPr>
            <w:tcW w:w="52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kern w:val="0"/>
                <w:sz w:val="24"/>
                <w:szCs w:val="24"/>
              </w:rPr>
            </w:pPr>
            <w:r>
              <w:rPr>
                <w:rFonts w:hint="eastAsia" w:ascii="仿宋" w:hAnsi="仿宋" w:eastAsia="仿宋" w:cs="宋体"/>
                <w:b/>
                <w:bCs/>
                <w:color w:val="auto"/>
                <w:kern w:val="0"/>
                <w:sz w:val="24"/>
                <w:szCs w:val="24"/>
              </w:rPr>
              <w:t>分值</w:t>
            </w:r>
          </w:p>
        </w:tc>
      </w:tr>
      <w:tr>
        <w:tblPrEx>
          <w:tblCellMar>
            <w:top w:w="0" w:type="dxa"/>
            <w:left w:w="108" w:type="dxa"/>
            <w:bottom w:w="0" w:type="dxa"/>
            <w:right w:w="108" w:type="dxa"/>
          </w:tblCellMar>
        </w:tblPrEx>
        <w:trPr>
          <w:trHeight w:val="936" w:hRule="atLeast"/>
          <w:jc w:val="center"/>
        </w:trPr>
        <w:tc>
          <w:tcPr>
            <w:tcW w:w="43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1</w:t>
            </w:r>
          </w:p>
        </w:tc>
        <w:tc>
          <w:tcPr>
            <w:tcW w:w="83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技术参数</w:t>
            </w:r>
          </w:p>
        </w:tc>
        <w:tc>
          <w:tcPr>
            <w:tcW w:w="321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根据投标设备的情况，其基本性能配置是否符合招标文件的要求，根据符合程度进行评价，基本性能满足或高于要求得满分，其中参数与功能配置中打“★”号的性能指标必须满足，凡有不符合的做无效投标处理</w:t>
            </w:r>
            <w:r>
              <w:rPr>
                <w:rFonts w:hint="eastAsia" w:ascii="仿宋" w:hAnsi="仿宋" w:eastAsia="仿宋" w:cs="宋体"/>
                <w:color w:val="auto"/>
                <w:kern w:val="0"/>
                <w:sz w:val="24"/>
                <w:szCs w:val="24"/>
                <w:lang w:eastAsia="zh-CN"/>
              </w:rPr>
              <w:t>；</w:t>
            </w:r>
            <w:r>
              <w:rPr>
                <w:rFonts w:hint="eastAsia" w:ascii="仿宋" w:hAnsi="仿宋" w:eastAsia="仿宋" w:cs="宋体"/>
                <w:color w:val="auto"/>
                <w:kern w:val="0"/>
                <w:sz w:val="24"/>
                <w:szCs w:val="24"/>
              </w:rPr>
              <w:t>打▲项为关键性参数，每有1项不满足扣</w:t>
            </w:r>
            <w:r>
              <w:rPr>
                <w:rFonts w:ascii="仿宋" w:hAnsi="仿宋" w:eastAsia="仿宋" w:cs="宋体"/>
                <w:color w:val="auto"/>
                <w:kern w:val="0"/>
                <w:sz w:val="24"/>
                <w:szCs w:val="24"/>
              </w:rPr>
              <w:t>2</w:t>
            </w:r>
            <w:r>
              <w:rPr>
                <w:rFonts w:hint="eastAsia" w:ascii="仿宋" w:hAnsi="仿宋" w:eastAsia="仿宋" w:cs="宋体"/>
                <w:color w:val="auto"/>
                <w:kern w:val="0"/>
                <w:sz w:val="24"/>
                <w:szCs w:val="24"/>
              </w:rPr>
              <w:t>分，一般参数每有1项不满足扣1分，扣完为止。</w:t>
            </w:r>
          </w:p>
        </w:tc>
        <w:tc>
          <w:tcPr>
            <w:tcW w:w="52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2</w:t>
            </w:r>
            <w:r>
              <w:rPr>
                <w:rFonts w:ascii="仿宋" w:hAnsi="仿宋" w:eastAsia="仿宋" w:cs="宋体"/>
                <w:color w:val="auto"/>
                <w:kern w:val="0"/>
                <w:sz w:val="24"/>
                <w:szCs w:val="24"/>
              </w:rPr>
              <w:t>0</w:t>
            </w:r>
          </w:p>
        </w:tc>
      </w:tr>
      <w:tr>
        <w:tblPrEx>
          <w:tblCellMar>
            <w:top w:w="0" w:type="dxa"/>
            <w:left w:w="108" w:type="dxa"/>
            <w:bottom w:w="0" w:type="dxa"/>
            <w:right w:w="108" w:type="dxa"/>
          </w:tblCellMar>
        </w:tblPrEx>
        <w:trPr>
          <w:trHeight w:val="936" w:hRule="atLeast"/>
          <w:jc w:val="center"/>
        </w:trPr>
        <w:tc>
          <w:tcPr>
            <w:tcW w:w="43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rPr>
            </w:pPr>
            <w:r>
              <w:rPr>
                <w:rFonts w:ascii="仿宋" w:hAnsi="仿宋" w:eastAsia="仿宋" w:cs="宋体"/>
                <w:color w:val="auto"/>
                <w:kern w:val="0"/>
                <w:sz w:val="24"/>
                <w:szCs w:val="24"/>
              </w:rPr>
              <w:t>2</w:t>
            </w:r>
          </w:p>
        </w:tc>
        <w:tc>
          <w:tcPr>
            <w:tcW w:w="83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项目业绩</w:t>
            </w:r>
          </w:p>
        </w:tc>
        <w:tc>
          <w:tcPr>
            <w:tcW w:w="321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投标人近三年（自</w:t>
            </w:r>
            <w:r>
              <w:rPr>
                <w:rFonts w:hint="eastAsia" w:ascii="仿宋" w:hAnsi="仿宋" w:eastAsia="仿宋" w:cs="宋体"/>
                <w:color w:val="auto"/>
                <w:kern w:val="0"/>
                <w:sz w:val="24"/>
                <w:szCs w:val="24"/>
                <w:u w:val="single"/>
              </w:rPr>
              <w:t>2020</w:t>
            </w:r>
            <w:r>
              <w:rPr>
                <w:rFonts w:hint="eastAsia" w:ascii="仿宋" w:hAnsi="仿宋" w:eastAsia="仿宋" w:cs="宋体"/>
                <w:color w:val="auto"/>
                <w:kern w:val="0"/>
                <w:sz w:val="24"/>
                <w:szCs w:val="24"/>
              </w:rPr>
              <w:t>年</w:t>
            </w:r>
            <w:r>
              <w:rPr>
                <w:rFonts w:hint="eastAsia" w:ascii="仿宋" w:hAnsi="仿宋" w:eastAsia="仿宋" w:cs="宋体"/>
                <w:color w:val="auto"/>
                <w:kern w:val="0"/>
                <w:sz w:val="24"/>
                <w:szCs w:val="24"/>
                <w:u w:val="single"/>
              </w:rPr>
              <w:t>1</w:t>
            </w:r>
            <w:r>
              <w:rPr>
                <w:rFonts w:hint="eastAsia" w:ascii="仿宋" w:hAnsi="仿宋" w:eastAsia="仿宋" w:cs="宋体"/>
                <w:color w:val="auto"/>
                <w:kern w:val="0"/>
                <w:sz w:val="24"/>
                <w:szCs w:val="24"/>
              </w:rPr>
              <w:t>月</w:t>
            </w:r>
            <w:r>
              <w:rPr>
                <w:rFonts w:hint="eastAsia" w:ascii="仿宋" w:hAnsi="仿宋" w:eastAsia="仿宋" w:cs="宋体"/>
                <w:color w:val="auto"/>
                <w:kern w:val="0"/>
                <w:sz w:val="24"/>
                <w:szCs w:val="24"/>
                <w:u w:val="single"/>
              </w:rPr>
              <w:t>1</w:t>
            </w:r>
            <w:r>
              <w:rPr>
                <w:rFonts w:hint="eastAsia" w:ascii="仿宋" w:hAnsi="仿宋" w:eastAsia="仿宋" w:cs="宋体"/>
                <w:color w:val="auto"/>
                <w:kern w:val="0"/>
                <w:sz w:val="24"/>
                <w:szCs w:val="24"/>
              </w:rPr>
              <w:t>日以来）承接过类似项目业绩，每个得1分，本项最高得3分（需提供合同协议书或委托书的复印件或扫描件，业绩时间以合同签订时间为准）。</w:t>
            </w:r>
          </w:p>
        </w:tc>
        <w:tc>
          <w:tcPr>
            <w:tcW w:w="52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3</w:t>
            </w:r>
          </w:p>
        </w:tc>
      </w:tr>
      <w:tr>
        <w:tblPrEx>
          <w:tblCellMar>
            <w:top w:w="0" w:type="dxa"/>
            <w:left w:w="108" w:type="dxa"/>
            <w:bottom w:w="0" w:type="dxa"/>
            <w:right w:w="108" w:type="dxa"/>
          </w:tblCellMar>
        </w:tblPrEx>
        <w:trPr>
          <w:trHeight w:val="624" w:hRule="atLeast"/>
          <w:jc w:val="center"/>
        </w:trPr>
        <w:tc>
          <w:tcPr>
            <w:tcW w:w="430" w:type="pct"/>
            <w:vMerge w:val="restart"/>
            <w:tcBorders>
              <w:top w:val="nil"/>
              <w:left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rPr>
            </w:pPr>
            <w:r>
              <w:rPr>
                <w:rFonts w:ascii="仿宋" w:hAnsi="仿宋" w:eastAsia="仿宋" w:cs="宋体"/>
                <w:color w:val="auto"/>
                <w:kern w:val="0"/>
                <w:sz w:val="24"/>
                <w:szCs w:val="24"/>
              </w:rPr>
              <w:t>3</w:t>
            </w:r>
          </w:p>
        </w:tc>
        <w:tc>
          <w:tcPr>
            <w:tcW w:w="836" w:type="pct"/>
            <w:vMerge w:val="restart"/>
            <w:tcBorders>
              <w:top w:val="nil"/>
              <w:left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企业证书</w:t>
            </w:r>
          </w:p>
        </w:tc>
        <w:tc>
          <w:tcPr>
            <w:tcW w:w="3210"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1、投标人具有高新技术企业证书的，得2分</w:t>
            </w:r>
          </w:p>
        </w:tc>
        <w:tc>
          <w:tcPr>
            <w:tcW w:w="52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2</w:t>
            </w:r>
          </w:p>
        </w:tc>
      </w:tr>
      <w:tr>
        <w:tblPrEx>
          <w:tblCellMar>
            <w:top w:w="0" w:type="dxa"/>
            <w:left w:w="108" w:type="dxa"/>
            <w:bottom w:w="0" w:type="dxa"/>
            <w:right w:w="108" w:type="dxa"/>
          </w:tblCellMar>
        </w:tblPrEx>
        <w:trPr>
          <w:trHeight w:val="624" w:hRule="atLeast"/>
          <w:jc w:val="center"/>
        </w:trPr>
        <w:tc>
          <w:tcPr>
            <w:tcW w:w="430" w:type="pct"/>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rPr>
            </w:pPr>
          </w:p>
        </w:tc>
        <w:tc>
          <w:tcPr>
            <w:tcW w:w="836" w:type="pct"/>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rPr>
            </w:pPr>
          </w:p>
        </w:tc>
        <w:tc>
          <w:tcPr>
            <w:tcW w:w="3210"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2、投标人获得过交通行业方面的软著证书，每个</w:t>
            </w:r>
            <w:r>
              <w:rPr>
                <w:rFonts w:hint="eastAsia" w:ascii="仿宋" w:hAnsi="仿宋" w:eastAsia="仿宋" w:cs="宋体"/>
                <w:color w:val="auto"/>
                <w:kern w:val="0"/>
                <w:sz w:val="24"/>
                <w:szCs w:val="24"/>
                <w:lang w:val="en-US" w:eastAsia="zh-CN"/>
              </w:rPr>
              <w:t>1</w:t>
            </w:r>
            <w:r>
              <w:rPr>
                <w:rFonts w:hint="eastAsia" w:ascii="仿宋" w:hAnsi="仿宋" w:eastAsia="仿宋" w:cs="宋体"/>
                <w:color w:val="auto"/>
                <w:kern w:val="0"/>
                <w:sz w:val="24"/>
                <w:szCs w:val="24"/>
              </w:rPr>
              <w:t>分，最多得</w:t>
            </w:r>
            <w:r>
              <w:rPr>
                <w:rFonts w:hint="eastAsia" w:ascii="仿宋" w:hAnsi="仿宋" w:eastAsia="仿宋" w:cs="宋体"/>
                <w:color w:val="auto"/>
                <w:kern w:val="0"/>
                <w:sz w:val="24"/>
                <w:szCs w:val="24"/>
                <w:lang w:val="en-US" w:eastAsia="zh-CN"/>
              </w:rPr>
              <w:t>2</w:t>
            </w:r>
            <w:r>
              <w:rPr>
                <w:rFonts w:hint="eastAsia" w:ascii="仿宋" w:hAnsi="仿宋" w:eastAsia="仿宋" w:cs="宋体"/>
                <w:color w:val="auto"/>
                <w:kern w:val="0"/>
                <w:sz w:val="24"/>
                <w:szCs w:val="24"/>
              </w:rPr>
              <w:t>分（需提供相应证明材料）。</w:t>
            </w:r>
          </w:p>
        </w:tc>
        <w:tc>
          <w:tcPr>
            <w:tcW w:w="522"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auto"/>
                <w:kern w:val="0"/>
                <w:sz w:val="24"/>
                <w:szCs w:val="24"/>
                <w:lang w:eastAsia="zh-CN"/>
              </w:rPr>
            </w:pPr>
            <w:r>
              <w:rPr>
                <w:rFonts w:hint="eastAsia" w:ascii="仿宋" w:hAnsi="仿宋" w:eastAsia="仿宋" w:cs="宋体"/>
                <w:color w:val="auto"/>
                <w:kern w:val="0"/>
                <w:sz w:val="24"/>
                <w:szCs w:val="24"/>
                <w:lang w:val="en-US" w:eastAsia="zh-CN"/>
              </w:rPr>
              <w:t>2</w:t>
            </w:r>
          </w:p>
        </w:tc>
      </w:tr>
      <w:tr>
        <w:tblPrEx>
          <w:tblCellMar>
            <w:top w:w="0" w:type="dxa"/>
            <w:left w:w="108" w:type="dxa"/>
            <w:bottom w:w="0" w:type="dxa"/>
            <w:right w:w="108" w:type="dxa"/>
          </w:tblCellMar>
        </w:tblPrEx>
        <w:trPr>
          <w:trHeight w:val="843" w:hRule="atLeast"/>
          <w:jc w:val="center"/>
        </w:trPr>
        <w:tc>
          <w:tcPr>
            <w:tcW w:w="43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4</w:t>
            </w:r>
          </w:p>
        </w:tc>
        <w:tc>
          <w:tcPr>
            <w:tcW w:w="83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项目负责人</w:t>
            </w:r>
          </w:p>
        </w:tc>
        <w:tc>
          <w:tcPr>
            <w:tcW w:w="3210"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项目负责人具有研究生学历或副高级职称得2分。（需提供证书的复印件或扫描件及近三个月社保证明）</w:t>
            </w:r>
          </w:p>
        </w:tc>
        <w:tc>
          <w:tcPr>
            <w:tcW w:w="52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2</w:t>
            </w:r>
          </w:p>
        </w:tc>
      </w:tr>
      <w:tr>
        <w:tblPrEx>
          <w:tblCellMar>
            <w:top w:w="0" w:type="dxa"/>
            <w:left w:w="108" w:type="dxa"/>
            <w:bottom w:w="0" w:type="dxa"/>
            <w:right w:w="108" w:type="dxa"/>
          </w:tblCellMar>
        </w:tblPrEx>
        <w:trPr>
          <w:trHeight w:val="936" w:hRule="atLeast"/>
          <w:jc w:val="center"/>
        </w:trPr>
        <w:tc>
          <w:tcPr>
            <w:tcW w:w="43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5</w:t>
            </w:r>
          </w:p>
        </w:tc>
        <w:tc>
          <w:tcPr>
            <w:tcW w:w="83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项目组成员</w:t>
            </w:r>
          </w:p>
        </w:tc>
        <w:tc>
          <w:tcPr>
            <w:tcW w:w="3210"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项目组成员具有系统集成项目管理工程师（中级）得2分。（需提供证书的复印件或扫描件及近三个月社保证明）</w:t>
            </w:r>
          </w:p>
        </w:tc>
        <w:tc>
          <w:tcPr>
            <w:tcW w:w="52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2</w:t>
            </w:r>
          </w:p>
        </w:tc>
      </w:tr>
      <w:tr>
        <w:tblPrEx>
          <w:tblCellMar>
            <w:top w:w="0" w:type="dxa"/>
            <w:left w:w="108" w:type="dxa"/>
            <w:bottom w:w="0" w:type="dxa"/>
            <w:right w:w="108" w:type="dxa"/>
          </w:tblCellMar>
        </w:tblPrEx>
        <w:trPr>
          <w:trHeight w:val="936" w:hRule="atLeast"/>
          <w:jc w:val="center"/>
        </w:trPr>
        <w:tc>
          <w:tcPr>
            <w:tcW w:w="43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6</w:t>
            </w:r>
          </w:p>
        </w:tc>
        <w:tc>
          <w:tcPr>
            <w:tcW w:w="83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演示</w:t>
            </w:r>
          </w:p>
        </w:tc>
        <w:tc>
          <w:tcPr>
            <w:tcW w:w="3210"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系统演示：投标人可选用真实系统、demo进行演示，真实系统演示最多得10分，demo演示最多得7分，ppt演示最多得4分，无演示不得分。</w:t>
            </w:r>
          </w:p>
          <w:p>
            <w:pPr>
              <w:pStyle w:val="2"/>
              <w:ind w:firstLine="0" w:firstLineChars="0"/>
              <w:rPr>
                <w:rFonts w:ascii="仿宋" w:hAnsi="仿宋" w:eastAsia="仿宋" w:cs="宋体"/>
                <w:b/>
                <w:bCs/>
                <w:color w:val="auto"/>
                <w:kern w:val="0"/>
                <w:sz w:val="24"/>
                <w:szCs w:val="24"/>
              </w:rPr>
            </w:pPr>
            <w:r>
              <w:rPr>
                <w:rFonts w:hint="eastAsia" w:ascii="仿宋" w:hAnsi="仿宋" w:eastAsia="仿宋" w:cs="宋体"/>
                <w:b/>
                <w:bCs/>
                <w:color w:val="auto"/>
                <w:kern w:val="0"/>
                <w:sz w:val="24"/>
                <w:szCs w:val="24"/>
              </w:rPr>
              <w:t>1、驾驶舱展示（公交专题）</w:t>
            </w:r>
          </w:p>
          <w:p>
            <w:pPr>
              <w:rPr>
                <w:rFonts w:ascii="仿宋" w:hAnsi="仿宋" w:eastAsia="仿宋"/>
                <w:color w:val="auto"/>
                <w:sz w:val="24"/>
                <w:szCs w:val="24"/>
              </w:rPr>
            </w:pPr>
            <w:r>
              <w:rPr>
                <w:rFonts w:hint="eastAsia" w:ascii="仿宋" w:hAnsi="仿宋" w:eastAsia="仿宋"/>
                <w:color w:val="auto"/>
                <w:sz w:val="24"/>
                <w:szCs w:val="24"/>
              </w:rPr>
              <w:t>（1）演示公交总里程、车辆上线率、班次执行率、行驶正线率、发班间隔、发车正点率、速度7大指标按照日/月/年进行统计计算（1分）；按照时间段、企业进行指标结果查询，按照线路、班次进行指标结果详情的下钻查看以及Excel导出，指标结果详情支持列表与图表的切换展示（1分）。</w:t>
            </w:r>
          </w:p>
          <w:p>
            <w:pPr>
              <w:rPr>
                <w:rFonts w:ascii="仿宋" w:hAnsi="仿宋" w:eastAsia="仿宋"/>
                <w:color w:val="auto"/>
                <w:sz w:val="24"/>
                <w:szCs w:val="24"/>
              </w:rPr>
            </w:pPr>
            <w:r>
              <w:rPr>
                <w:rFonts w:hint="eastAsia" w:ascii="仿宋" w:hAnsi="仿宋" w:eastAsia="仿宋"/>
                <w:color w:val="auto"/>
                <w:sz w:val="24"/>
                <w:szCs w:val="24"/>
              </w:rPr>
              <w:t>（2）演示公交一张图，包括公交车辆、公交线路、公交站点、公交场站、公交专用道、公交事件、公交基础指标、公交核心指标等公交相关元素或指标（1分）；在一张图上展现，投标人需在一张图完整演示以上公交元素（1分）。</w:t>
            </w:r>
          </w:p>
          <w:p>
            <w:pPr>
              <w:rPr>
                <w:rFonts w:ascii="仿宋" w:hAnsi="仿宋" w:eastAsia="仿宋" w:cs="宋体"/>
                <w:b/>
                <w:bCs/>
                <w:color w:val="auto"/>
                <w:kern w:val="0"/>
                <w:sz w:val="24"/>
                <w:szCs w:val="24"/>
              </w:rPr>
            </w:pPr>
            <w:r>
              <w:rPr>
                <w:rFonts w:hint="eastAsia" w:ascii="仿宋" w:hAnsi="仿宋" w:eastAsia="仿宋" w:cs="宋体"/>
                <w:b/>
                <w:bCs/>
                <w:color w:val="auto"/>
                <w:kern w:val="0"/>
                <w:sz w:val="24"/>
                <w:szCs w:val="24"/>
              </w:rPr>
              <w:t>2、数据底座展示</w:t>
            </w:r>
          </w:p>
          <w:p>
            <w:pPr>
              <w:rPr>
                <w:rFonts w:ascii="仿宋" w:hAnsi="仿宋" w:eastAsia="仿宋" w:cs="宋体"/>
                <w:color w:val="auto"/>
                <w:kern w:val="0"/>
                <w:sz w:val="24"/>
                <w:szCs w:val="24"/>
              </w:rPr>
            </w:pPr>
            <w:r>
              <w:rPr>
                <w:rFonts w:hint="eastAsia" w:ascii="仿宋" w:hAnsi="仿宋" w:eastAsia="仿宋" w:cs="宋体"/>
                <w:color w:val="auto"/>
                <w:kern w:val="0"/>
                <w:sz w:val="24"/>
                <w:szCs w:val="24"/>
              </w:rPr>
              <w:t>（1）数据汇聚：市局数据回流：演示成功接入汇聚公交数据、巡游车数据、网约车数据、公共自行车数据、共享单车数据、船舶数据、地铁数据、充电桩数据的完整过程（1分）。</w:t>
            </w:r>
          </w:p>
          <w:p>
            <w:pPr>
              <w:rPr>
                <w:rFonts w:ascii="仿宋" w:hAnsi="仿宋" w:eastAsia="仿宋" w:cs="宋体"/>
                <w:color w:val="auto"/>
                <w:kern w:val="0"/>
                <w:sz w:val="24"/>
                <w:szCs w:val="24"/>
              </w:rPr>
            </w:pPr>
            <w:r>
              <w:rPr>
                <w:rFonts w:hint="eastAsia" w:ascii="仿宋" w:hAnsi="仿宋" w:eastAsia="仿宋" w:cs="宋体"/>
                <w:color w:val="auto"/>
                <w:kern w:val="0"/>
                <w:sz w:val="24"/>
                <w:szCs w:val="24"/>
              </w:rPr>
              <w:t>（2）省厅数据回流：演示成功将省厅两客一危数据、交调流量数据、高速流量数据、铁路数据回流至本地数据库的完整过程。（1分）</w:t>
            </w:r>
          </w:p>
          <w:p>
            <w:pPr>
              <w:rPr>
                <w:rFonts w:ascii="仿宋" w:hAnsi="仿宋" w:eastAsia="仿宋" w:cs="宋体"/>
                <w:color w:val="auto"/>
                <w:kern w:val="0"/>
                <w:sz w:val="24"/>
                <w:szCs w:val="24"/>
              </w:rPr>
            </w:pPr>
            <w:r>
              <w:rPr>
                <w:rFonts w:hint="eastAsia" w:ascii="仿宋" w:hAnsi="仿宋" w:eastAsia="仿宋" w:cs="宋体"/>
                <w:color w:val="auto"/>
                <w:kern w:val="0"/>
                <w:sz w:val="24"/>
                <w:szCs w:val="24"/>
              </w:rPr>
              <w:t>（3）数据治理:针对基本交调数据月流量数据建立数据规范和标准，包括路线名称、观测里程、当量合计、自然合计、月份、调查站名称等数据的数据名称、数据格式、数据字典等，并将上述数据归集到浙江省一体化数字资源系统（IRS）上（1分）。</w:t>
            </w:r>
          </w:p>
          <w:p>
            <w:pPr>
              <w:rPr>
                <w:rFonts w:ascii="仿宋" w:hAnsi="仿宋" w:eastAsia="仿宋" w:cs="宋体"/>
                <w:color w:val="auto"/>
                <w:kern w:val="0"/>
                <w:sz w:val="24"/>
                <w:szCs w:val="24"/>
              </w:rPr>
            </w:pPr>
            <w:r>
              <w:rPr>
                <w:rFonts w:hint="eastAsia" w:ascii="仿宋" w:hAnsi="仿宋" w:eastAsia="仿宋" w:cs="宋体"/>
                <w:color w:val="auto"/>
                <w:kern w:val="0"/>
                <w:sz w:val="24"/>
                <w:szCs w:val="24"/>
              </w:rPr>
              <w:t>（4）数据清洗：展示公路客运数据底座中的数据清洗、去重、缺失值处理等功能，以确保数据的准确性和一致性，并按照要求统计年度全市公路客运量、客运周转量、货运量、货运周转量等信息。（1分）。</w:t>
            </w:r>
          </w:p>
          <w:p>
            <w:pPr>
              <w:rPr>
                <w:rFonts w:ascii="仿宋" w:hAnsi="仿宋" w:eastAsia="仿宋" w:cs="宋体"/>
                <w:color w:val="auto"/>
                <w:kern w:val="0"/>
                <w:sz w:val="24"/>
                <w:szCs w:val="24"/>
              </w:rPr>
            </w:pPr>
            <w:r>
              <w:rPr>
                <w:rFonts w:hint="eastAsia" w:ascii="仿宋" w:hAnsi="仿宋" w:eastAsia="仿宋" w:cs="宋体"/>
                <w:color w:val="auto"/>
                <w:kern w:val="0"/>
                <w:sz w:val="24"/>
                <w:szCs w:val="24"/>
              </w:rPr>
              <w:t>（5）数据监控：1）演示监控运维中心（BS架构）与图形化设计器（CS架构）能够无缝集成，一键实现监控运维中心调起图形化设计器功能。2）演示任务管理功能，支持任务分组管理，按任务名称、状态搜索，任务的启动、停止、重启操作，任务定时调度时间配置，按照时间间隔最小到秒、按日、按月等。3）演示任务报警管理功能，支持自定义配置报警规则，包括报警类型、报警方式、报警间隔、每日最大报警次数及报警组，支持邮件形式进行报警消息通知（1分）。</w:t>
            </w:r>
          </w:p>
          <w:p>
            <w:pPr>
              <w:rPr>
                <w:rFonts w:ascii="仿宋" w:hAnsi="仿宋" w:eastAsia="仿宋"/>
                <w:color w:val="auto"/>
                <w:sz w:val="24"/>
                <w:szCs w:val="24"/>
              </w:rPr>
            </w:pPr>
            <w:r>
              <w:rPr>
                <w:rFonts w:hint="eastAsia" w:ascii="仿宋" w:hAnsi="仿宋" w:eastAsia="仿宋" w:cs="宋体"/>
                <w:color w:val="auto"/>
                <w:kern w:val="0"/>
                <w:sz w:val="24"/>
                <w:szCs w:val="24"/>
              </w:rPr>
              <w:t>（</w:t>
            </w:r>
            <w:r>
              <w:rPr>
                <w:rFonts w:ascii="仿宋" w:hAnsi="仿宋" w:eastAsia="仿宋" w:cs="宋体"/>
                <w:color w:val="auto"/>
                <w:kern w:val="0"/>
                <w:sz w:val="24"/>
                <w:szCs w:val="24"/>
              </w:rPr>
              <w:t>6</w:t>
            </w:r>
            <w:r>
              <w:rPr>
                <w:rFonts w:hint="eastAsia" w:ascii="仿宋" w:hAnsi="仿宋" w:eastAsia="仿宋" w:cs="宋体"/>
                <w:color w:val="auto"/>
                <w:kern w:val="0"/>
                <w:sz w:val="24"/>
                <w:szCs w:val="24"/>
              </w:rPr>
              <w:t>）数据服务：演示交通运输数据API，且支持查看接口详情如数据格式、提供方式等。支持按照Markdown、Html、Word、OpenAPI四种方式在线下载API说明文档。支持查看API请求和响应参数、数据类型及相应的数据格式，并可进行API在线调试。（1分）</w:t>
            </w:r>
          </w:p>
        </w:tc>
        <w:tc>
          <w:tcPr>
            <w:tcW w:w="52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1</w:t>
            </w:r>
            <w:r>
              <w:rPr>
                <w:rFonts w:ascii="仿宋" w:hAnsi="仿宋" w:eastAsia="仿宋" w:cs="宋体"/>
                <w:color w:val="auto"/>
                <w:kern w:val="0"/>
                <w:sz w:val="24"/>
                <w:szCs w:val="24"/>
              </w:rPr>
              <w:t>0</w:t>
            </w:r>
          </w:p>
        </w:tc>
      </w:tr>
      <w:tr>
        <w:tblPrEx>
          <w:tblCellMar>
            <w:top w:w="0" w:type="dxa"/>
            <w:left w:w="108" w:type="dxa"/>
            <w:bottom w:w="0" w:type="dxa"/>
            <w:right w:w="108" w:type="dxa"/>
          </w:tblCellMar>
        </w:tblPrEx>
        <w:trPr>
          <w:trHeight w:val="993" w:hRule="atLeast"/>
          <w:jc w:val="center"/>
        </w:trPr>
        <w:tc>
          <w:tcPr>
            <w:tcW w:w="430" w:type="pct"/>
            <w:vMerge w:val="restart"/>
            <w:tcBorders>
              <w:top w:val="nil"/>
              <w:left w:val="single" w:color="auto" w:sz="4" w:space="0"/>
              <w:bottom w:val="single" w:color="auto" w:sz="4" w:space="0"/>
              <w:right w:val="single" w:color="auto" w:sz="4" w:space="0"/>
            </w:tcBorders>
            <w:shd w:val="clear" w:color="auto" w:fill="auto"/>
            <w:vAlign w:val="center"/>
          </w:tcPr>
          <w:p>
            <w:pPr>
              <w:pStyle w:val="2"/>
              <w:ind w:firstLine="280"/>
              <w:rPr>
                <w:rFonts w:hint="eastAsia" w:eastAsia="仿宋_GB2312"/>
                <w:color w:val="auto"/>
                <w:lang w:eastAsia="zh-CN"/>
              </w:rPr>
            </w:pPr>
            <w:r>
              <w:rPr>
                <w:rFonts w:hint="eastAsia" w:ascii="仿宋" w:hAnsi="仿宋" w:eastAsia="仿宋" w:cs="宋体"/>
                <w:color w:val="auto"/>
                <w:kern w:val="0"/>
                <w:sz w:val="24"/>
                <w:szCs w:val="24"/>
                <w:lang w:val="en-US" w:eastAsia="zh-CN"/>
              </w:rPr>
              <w:t>7</w:t>
            </w:r>
          </w:p>
        </w:tc>
        <w:tc>
          <w:tcPr>
            <w:tcW w:w="83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技术服务方案</w:t>
            </w:r>
          </w:p>
        </w:tc>
        <w:tc>
          <w:tcPr>
            <w:tcW w:w="321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根据对本项目的背景认识、总体理解和工作思路进行综合评审，优秀</w:t>
            </w:r>
            <w:r>
              <w:rPr>
                <w:rFonts w:hint="eastAsia" w:ascii="仿宋" w:hAnsi="仿宋" w:eastAsia="仿宋" w:cs="宋体"/>
                <w:color w:val="auto"/>
                <w:kern w:val="0"/>
                <w:sz w:val="24"/>
                <w:szCs w:val="24"/>
                <w:lang w:val="en-US" w:eastAsia="zh-CN"/>
              </w:rPr>
              <w:t>6</w:t>
            </w:r>
            <w:r>
              <w:rPr>
                <w:rFonts w:hint="eastAsia" w:ascii="仿宋" w:hAnsi="仿宋" w:eastAsia="仿宋" w:cs="宋体"/>
                <w:color w:val="auto"/>
                <w:kern w:val="0"/>
                <w:sz w:val="24"/>
                <w:szCs w:val="24"/>
              </w:rPr>
              <w:t>-</w:t>
            </w:r>
            <w:r>
              <w:rPr>
                <w:rFonts w:hint="eastAsia" w:ascii="仿宋" w:hAnsi="仿宋" w:eastAsia="仿宋" w:cs="宋体"/>
                <w:color w:val="auto"/>
                <w:kern w:val="0"/>
                <w:sz w:val="24"/>
                <w:szCs w:val="24"/>
                <w:lang w:val="en-US" w:eastAsia="zh-CN"/>
              </w:rPr>
              <w:t>4</w:t>
            </w:r>
            <w:r>
              <w:rPr>
                <w:rFonts w:hint="eastAsia" w:ascii="仿宋" w:hAnsi="仿宋" w:eastAsia="仿宋" w:cs="宋体"/>
                <w:color w:val="auto"/>
                <w:kern w:val="0"/>
                <w:sz w:val="24"/>
                <w:szCs w:val="24"/>
              </w:rPr>
              <w:t>.</w:t>
            </w:r>
            <w:r>
              <w:rPr>
                <w:rFonts w:ascii="仿宋" w:hAnsi="仿宋" w:eastAsia="仿宋" w:cs="宋体"/>
                <w:color w:val="auto"/>
                <w:kern w:val="0"/>
                <w:sz w:val="24"/>
                <w:szCs w:val="24"/>
              </w:rPr>
              <w:t>1</w:t>
            </w:r>
            <w:r>
              <w:rPr>
                <w:rFonts w:hint="eastAsia" w:ascii="仿宋" w:hAnsi="仿宋" w:eastAsia="仿宋" w:cs="宋体"/>
                <w:color w:val="auto"/>
                <w:kern w:val="0"/>
                <w:sz w:val="24"/>
                <w:szCs w:val="24"/>
              </w:rPr>
              <w:t>分，良好</w:t>
            </w:r>
            <w:r>
              <w:rPr>
                <w:rFonts w:hint="eastAsia" w:ascii="仿宋" w:hAnsi="仿宋" w:eastAsia="仿宋" w:cs="宋体"/>
                <w:color w:val="auto"/>
                <w:kern w:val="0"/>
                <w:sz w:val="24"/>
                <w:szCs w:val="24"/>
                <w:lang w:val="en-US" w:eastAsia="zh-CN"/>
              </w:rPr>
              <w:t>4</w:t>
            </w:r>
            <w:r>
              <w:rPr>
                <w:rFonts w:hint="eastAsia" w:ascii="仿宋" w:hAnsi="仿宋" w:eastAsia="仿宋" w:cs="宋体"/>
                <w:color w:val="auto"/>
                <w:kern w:val="0"/>
                <w:sz w:val="24"/>
                <w:szCs w:val="24"/>
              </w:rPr>
              <w:t>-</w:t>
            </w:r>
            <w:r>
              <w:rPr>
                <w:rFonts w:hint="eastAsia" w:ascii="仿宋" w:hAnsi="仿宋" w:eastAsia="仿宋" w:cs="宋体"/>
                <w:color w:val="auto"/>
                <w:kern w:val="0"/>
                <w:sz w:val="24"/>
                <w:szCs w:val="24"/>
                <w:lang w:val="en-US" w:eastAsia="zh-CN"/>
              </w:rPr>
              <w:t>2</w:t>
            </w:r>
            <w:r>
              <w:rPr>
                <w:rFonts w:hint="eastAsia" w:ascii="仿宋" w:hAnsi="仿宋" w:eastAsia="仿宋" w:cs="宋体"/>
                <w:color w:val="auto"/>
                <w:kern w:val="0"/>
                <w:sz w:val="24"/>
                <w:szCs w:val="24"/>
              </w:rPr>
              <w:t>.</w:t>
            </w:r>
            <w:r>
              <w:rPr>
                <w:rFonts w:ascii="仿宋" w:hAnsi="仿宋" w:eastAsia="仿宋" w:cs="宋体"/>
                <w:color w:val="auto"/>
                <w:kern w:val="0"/>
                <w:sz w:val="24"/>
                <w:szCs w:val="24"/>
              </w:rPr>
              <w:t>1</w:t>
            </w:r>
            <w:r>
              <w:rPr>
                <w:rFonts w:hint="eastAsia" w:ascii="仿宋" w:hAnsi="仿宋" w:eastAsia="仿宋" w:cs="宋体"/>
                <w:color w:val="auto"/>
                <w:kern w:val="0"/>
                <w:sz w:val="24"/>
                <w:szCs w:val="24"/>
              </w:rPr>
              <w:t>分，一般</w:t>
            </w:r>
            <w:r>
              <w:rPr>
                <w:rFonts w:hint="eastAsia" w:ascii="仿宋" w:hAnsi="仿宋" w:eastAsia="仿宋" w:cs="宋体"/>
                <w:color w:val="auto"/>
                <w:kern w:val="0"/>
                <w:sz w:val="24"/>
                <w:szCs w:val="24"/>
                <w:lang w:val="en-US" w:eastAsia="zh-CN"/>
              </w:rPr>
              <w:t>2</w:t>
            </w:r>
            <w:r>
              <w:rPr>
                <w:rFonts w:hint="eastAsia" w:ascii="仿宋" w:hAnsi="仿宋" w:eastAsia="仿宋" w:cs="宋体"/>
                <w:color w:val="auto"/>
                <w:kern w:val="0"/>
                <w:sz w:val="24"/>
                <w:szCs w:val="24"/>
              </w:rPr>
              <w:t>-</w:t>
            </w:r>
            <w:r>
              <w:rPr>
                <w:rFonts w:ascii="仿宋" w:hAnsi="仿宋" w:eastAsia="仿宋" w:cs="宋体"/>
                <w:color w:val="auto"/>
                <w:kern w:val="0"/>
                <w:sz w:val="24"/>
                <w:szCs w:val="24"/>
              </w:rPr>
              <w:t>0</w:t>
            </w:r>
            <w:r>
              <w:rPr>
                <w:rFonts w:hint="eastAsia" w:ascii="仿宋" w:hAnsi="仿宋" w:eastAsia="仿宋" w:cs="宋体"/>
                <w:color w:val="auto"/>
                <w:kern w:val="0"/>
                <w:sz w:val="24"/>
                <w:szCs w:val="24"/>
              </w:rPr>
              <w:t>分。</w:t>
            </w:r>
          </w:p>
        </w:tc>
        <w:tc>
          <w:tcPr>
            <w:tcW w:w="522"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auto"/>
                <w:kern w:val="0"/>
                <w:sz w:val="24"/>
                <w:szCs w:val="24"/>
                <w:lang w:eastAsia="zh-CN"/>
              </w:rPr>
            </w:pPr>
            <w:r>
              <w:rPr>
                <w:rFonts w:hint="eastAsia" w:ascii="仿宋" w:hAnsi="仿宋" w:eastAsia="仿宋" w:cs="宋体"/>
                <w:color w:val="auto"/>
                <w:kern w:val="0"/>
                <w:sz w:val="24"/>
                <w:szCs w:val="24"/>
                <w:lang w:val="en-US" w:eastAsia="zh-CN"/>
              </w:rPr>
              <w:t>6</w:t>
            </w:r>
          </w:p>
        </w:tc>
      </w:tr>
      <w:tr>
        <w:tblPrEx>
          <w:tblCellMar>
            <w:top w:w="0" w:type="dxa"/>
            <w:left w:w="108" w:type="dxa"/>
            <w:bottom w:w="0" w:type="dxa"/>
            <w:right w:w="108" w:type="dxa"/>
          </w:tblCellMar>
        </w:tblPrEx>
        <w:trPr>
          <w:trHeight w:val="624" w:hRule="atLeast"/>
          <w:jc w:val="center"/>
        </w:trPr>
        <w:tc>
          <w:tcPr>
            <w:tcW w:w="43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 w:val="24"/>
                <w:szCs w:val="24"/>
              </w:rPr>
            </w:pPr>
          </w:p>
        </w:tc>
        <w:tc>
          <w:tcPr>
            <w:tcW w:w="83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 w:val="24"/>
                <w:szCs w:val="24"/>
              </w:rPr>
            </w:pPr>
          </w:p>
        </w:tc>
        <w:tc>
          <w:tcPr>
            <w:tcW w:w="321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根据对本项目的特点、关键问题的认识，提供项目技术方案，优秀得</w:t>
            </w:r>
            <w:r>
              <w:rPr>
                <w:rFonts w:hint="eastAsia" w:ascii="仿宋" w:hAnsi="仿宋" w:eastAsia="仿宋" w:cs="宋体"/>
                <w:color w:val="auto"/>
                <w:kern w:val="0"/>
                <w:sz w:val="24"/>
                <w:szCs w:val="24"/>
                <w:lang w:val="en-US" w:eastAsia="zh-CN"/>
              </w:rPr>
              <w:t>7</w:t>
            </w:r>
            <w:r>
              <w:rPr>
                <w:rFonts w:hint="eastAsia" w:ascii="仿宋" w:hAnsi="仿宋" w:eastAsia="仿宋" w:cs="宋体"/>
                <w:color w:val="auto"/>
                <w:kern w:val="0"/>
                <w:sz w:val="24"/>
                <w:szCs w:val="24"/>
              </w:rPr>
              <w:t>-</w:t>
            </w:r>
            <w:r>
              <w:rPr>
                <w:rFonts w:hint="eastAsia" w:ascii="仿宋" w:hAnsi="仿宋" w:eastAsia="仿宋" w:cs="宋体"/>
                <w:color w:val="auto"/>
                <w:kern w:val="0"/>
                <w:sz w:val="24"/>
                <w:szCs w:val="24"/>
                <w:lang w:val="en-US" w:eastAsia="zh-CN"/>
              </w:rPr>
              <w:t>5</w:t>
            </w:r>
            <w:r>
              <w:rPr>
                <w:rFonts w:hint="eastAsia" w:ascii="仿宋" w:hAnsi="仿宋" w:eastAsia="仿宋" w:cs="宋体"/>
                <w:color w:val="auto"/>
                <w:kern w:val="0"/>
                <w:sz w:val="24"/>
                <w:szCs w:val="24"/>
              </w:rPr>
              <w:t>.</w:t>
            </w:r>
            <w:r>
              <w:rPr>
                <w:rFonts w:ascii="仿宋" w:hAnsi="仿宋" w:eastAsia="仿宋" w:cs="宋体"/>
                <w:color w:val="auto"/>
                <w:kern w:val="0"/>
                <w:sz w:val="24"/>
                <w:szCs w:val="24"/>
              </w:rPr>
              <w:t>1</w:t>
            </w:r>
            <w:r>
              <w:rPr>
                <w:rFonts w:hint="eastAsia" w:ascii="仿宋" w:hAnsi="仿宋" w:eastAsia="仿宋" w:cs="宋体"/>
                <w:color w:val="auto"/>
                <w:kern w:val="0"/>
                <w:sz w:val="24"/>
                <w:szCs w:val="24"/>
              </w:rPr>
              <w:t>分，良好</w:t>
            </w:r>
            <w:r>
              <w:rPr>
                <w:rFonts w:hint="eastAsia" w:ascii="仿宋" w:hAnsi="仿宋" w:eastAsia="仿宋" w:cs="宋体"/>
                <w:color w:val="auto"/>
                <w:kern w:val="0"/>
                <w:sz w:val="24"/>
                <w:szCs w:val="24"/>
                <w:lang w:val="en-US" w:eastAsia="zh-CN"/>
              </w:rPr>
              <w:t>5</w:t>
            </w:r>
            <w:r>
              <w:rPr>
                <w:rFonts w:hint="eastAsia" w:ascii="仿宋" w:hAnsi="仿宋" w:eastAsia="仿宋" w:cs="宋体"/>
                <w:color w:val="auto"/>
                <w:kern w:val="0"/>
                <w:sz w:val="24"/>
                <w:szCs w:val="24"/>
              </w:rPr>
              <w:t>-</w:t>
            </w:r>
            <w:r>
              <w:rPr>
                <w:rFonts w:hint="eastAsia" w:ascii="仿宋" w:hAnsi="仿宋" w:eastAsia="仿宋" w:cs="宋体"/>
                <w:color w:val="auto"/>
                <w:kern w:val="0"/>
                <w:sz w:val="24"/>
                <w:szCs w:val="24"/>
                <w:lang w:val="en-US" w:eastAsia="zh-CN"/>
              </w:rPr>
              <w:t>3</w:t>
            </w:r>
            <w:r>
              <w:rPr>
                <w:rFonts w:hint="eastAsia" w:ascii="仿宋" w:hAnsi="仿宋" w:eastAsia="仿宋" w:cs="宋体"/>
                <w:color w:val="auto"/>
                <w:kern w:val="0"/>
                <w:sz w:val="24"/>
                <w:szCs w:val="24"/>
              </w:rPr>
              <w:t>.</w:t>
            </w:r>
            <w:r>
              <w:rPr>
                <w:rFonts w:ascii="仿宋" w:hAnsi="仿宋" w:eastAsia="仿宋" w:cs="宋体"/>
                <w:color w:val="auto"/>
                <w:kern w:val="0"/>
                <w:sz w:val="24"/>
                <w:szCs w:val="24"/>
              </w:rPr>
              <w:t>1</w:t>
            </w:r>
            <w:r>
              <w:rPr>
                <w:rFonts w:hint="eastAsia" w:ascii="仿宋" w:hAnsi="仿宋" w:eastAsia="仿宋" w:cs="宋体"/>
                <w:color w:val="auto"/>
                <w:kern w:val="0"/>
                <w:sz w:val="24"/>
                <w:szCs w:val="24"/>
              </w:rPr>
              <w:t>分，一般</w:t>
            </w:r>
            <w:r>
              <w:rPr>
                <w:rFonts w:hint="eastAsia" w:ascii="仿宋" w:hAnsi="仿宋" w:eastAsia="仿宋" w:cs="宋体"/>
                <w:color w:val="auto"/>
                <w:kern w:val="0"/>
                <w:sz w:val="24"/>
                <w:szCs w:val="24"/>
                <w:lang w:val="en-US" w:eastAsia="zh-CN"/>
              </w:rPr>
              <w:t>3</w:t>
            </w:r>
            <w:r>
              <w:rPr>
                <w:rFonts w:hint="eastAsia" w:ascii="仿宋" w:hAnsi="仿宋" w:eastAsia="仿宋" w:cs="宋体"/>
                <w:color w:val="auto"/>
                <w:kern w:val="0"/>
                <w:sz w:val="24"/>
                <w:szCs w:val="24"/>
              </w:rPr>
              <w:t>-</w:t>
            </w:r>
            <w:r>
              <w:rPr>
                <w:rFonts w:ascii="仿宋" w:hAnsi="仿宋" w:eastAsia="仿宋" w:cs="宋体"/>
                <w:color w:val="auto"/>
                <w:kern w:val="0"/>
                <w:sz w:val="24"/>
                <w:szCs w:val="24"/>
              </w:rPr>
              <w:t>0</w:t>
            </w:r>
            <w:r>
              <w:rPr>
                <w:rFonts w:hint="eastAsia" w:ascii="仿宋" w:hAnsi="仿宋" w:eastAsia="仿宋" w:cs="宋体"/>
                <w:color w:val="auto"/>
                <w:kern w:val="0"/>
                <w:sz w:val="24"/>
                <w:szCs w:val="24"/>
              </w:rPr>
              <w:t>分，</w:t>
            </w:r>
          </w:p>
        </w:tc>
        <w:tc>
          <w:tcPr>
            <w:tcW w:w="522"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auto"/>
                <w:kern w:val="0"/>
                <w:sz w:val="24"/>
                <w:szCs w:val="24"/>
                <w:lang w:eastAsia="zh-CN"/>
              </w:rPr>
            </w:pPr>
            <w:r>
              <w:rPr>
                <w:rFonts w:hint="eastAsia" w:ascii="仿宋" w:hAnsi="仿宋" w:eastAsia="仿宋" w:cs="宋体"/>
                <w:color w:val="auto"/>
                <w:kern w:val="0"/>
                <w:sz w:val="24"/>
                <w:szCs w:val="24"/>
                <w:lang w:val="en-US" w:eastAsia="zh-CN"/>
              </w:rPr>
              <w:t>7</w:t>
            </w:r>
          </w:p>
        </w:tc>
      </w:tr>
      <w:tr>
        <w:tblPrEx>
          <w:tblCellMar>
            <w:top w:w="0" w:type="dxa"/>
            <w:left w:w="108" w:type="dxa"/>
            <w:bottom w:w="0" w:type="dxa"/>
            <w:right w:w="108" w:type="dxa"/>
          </w:tblCellMar>
        </w:tblPrEx>
        <w:trPr>
          <w:trHeight w:val="624" w:hRule="atLeast"/>
          <w:jc w:val="center"/>
        </w:trPr>
        <w:tc>
          <w:tcPr>
            <w:tcW w:w="43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 w:val="24"/>
                <w:szCs w:val="24"/>
              </w:rPr>
            </w:pPr>
          </w:p>
        </w:tc>
        <w:tc>
          <w:tcPr>
            <w:tcW w:w="83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 w:val="24"/>
                <w:szCs w:val="24"/>
              </w:rPr>
            </w:pPr>
          </w:p>
        </w:tc>
        <w:tc>
          <w:tcPr>
            <w:tcW w:w="321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质量保证措施、进度保证措施、安全保证措施，优秀</w:t>
            </w:r>
            <w:r>
              <w:rPr>
                <w:rFonts w:hint="eastAsia" w:ascii="仿宋" w:hAnsi="仿宋" w:eastAsia="仿宋" w:cs="宋体"/>
                <w:color w:val="auto"/>
                <w:kern w:val="0"/>
                <w:sz w:val="24"/>
                <w:szCs w:val="24"/>
                <w:lang w:val="en-US" w:eastAsia="zh-CN"/>
              </w:rPr>
              <w:t>7</w:t>
            </w:r>
            <w:r>
              <w:rPr>
                <w:rFonts w:hint="eastAsia" w:ascii="仿宋" w:hAnsi="仿宋" w:eastAsia="仿宋" w:cs="宋体"/>
                <w:color w:val="auto"/>
                <w:kern w:val="0"/>
                <w:sz w:val="24"/>
                <w:szCs w:val="24"/>
              </w:rPr>
              <w:t>-</w:t>
            </w:r>
            <w:r>
              <w:rPr>
                <w:rFonts w:hint="eastAsia" w:ascii="仿宋" w:hAnsi="仿宋" w:eastAsia="仿宋" w:cs="宋体"/>
                <w:color w:val="auto"/>
                <w:kern w:val="0"/>
                <w:sz w:val="24"/>
                <w:szCs w:val="24"/>
                <w:lang w:val="en-US" w:eastAsia="zh-CN"/>
              </w:rPr>
              <w:t>5</w:t>
            </w:r>
            <w:r>
              <w:rPr>
                <w:rFonts w:hint="eastAsia" w:ascii="仿宋" w:hAnsi="仿宋" w:eastAsia="仿宋" w:cs="宋体"/>
                <w:color w:val="auto"/>
                <w:kern w:val="0"/>
                <w:sz w:val="24"/>
                <w:szCs w:val="24"/>
              </w:rPr>
              <w:t>.</w:t>
            </w:r>
            <w:r>
              <w:rPr>
                <w:rFonts w:ascii="仿宋" w:hAnsi="仿宋" w:eastAsia="仿宋" w:cs="宋体"/>
                <w:color w:val="auto"/>
                <w:kern w:val="0"/>
                <w:sz w:val="24"/>
                <w:szCs w:val="24"/>
              </w:rPr>
              <w:t>1</w:t>
            </w:r>
            <w:r>
              <w:rPr>
                <w:rFonts w:hint="eastAsia" w:ascii="仿宋" w:hAnsi="仿宋" w:eastAsia="仿宋" w:cs="宋体"/>
                <w:color w:val="auto"/>
                <w:kern w:val="0"/>
                <w:sz w:val="24"/>
                <w:szCs w:val="24"/>
              </w:rPr>
              <w:t>分，良好</w:t>
            </w:r>
            <w:r>
              <w:rPr>
                <w:rFonts w:hint="eastAsia" w:ascii="仿宋" w:hAnsi="仿宋" w:eastAsia="仿宋" w:cs="宋体"/>
                <w:color w:val="auto"/>
                <w:kern w:val="0"/>
                <w:sz w:val="24"/>
                <w:szCs w:val="24"/>
                <w:lang w:val="en-US" w:eastAsia="zh-CN"/>
              </w:rPr>
              <w:t>5</w:t>
            </w:r>
            <w:r>
              <w:rPr>
                <w:rFonts w:hint="eastAsia" w:ascii="仿宋" w:hAnsi="仿宋" w:eastAsia="仿宋" w:cs="宋体"/>
                <w:color w:val="auto"/>
                <w:kern w:val="0"/>
                <w:sz w:val="24"/>
                <w:szCs w:val="24"/>
              </w:rPr>
              <w:t>-</w:t>
            </w:r>
            <w:r>
              <w:rPr>
                <w:rFonts w:hint="eastAsia" w:ascii="仿宋" w:hAnsi="仿宋" w:eastAsia="仿宋" w:cs="宋体"/>
                <w:color w:val="auto"/>
                <w:kern w:val="0"/>
                <w:sz w:val="24"/>
                <w:szCs w:val="24"/>
                <w:lang w:val="en-US" w:eastAsia="zh-CN"/>
              </w:rPr>
              <w:t>3</w:t>
            </w:r>
            <w:r>
              <w:rPr>
                <w:rFonts w:hint="eastAsia" w:ascii="仿宋" w:hAnsi="仿宋" w:eastAsia="仿宋" w:cs="宋体"/>
                <w:color w:val="auto"/>
                <w:kern w:val="0"/>
                <w:sz w:val="24"/>
                <w:szCs w:val="24"/>
              </w:rPr>
              <w:t>.</w:t>
            </w:r>
            <w:r>
              <w:rPr>
                <w:rFonts w:ascii="仿宋" w:hAnsi="仿宋" w:eastAsia="仿宋" w:cs="宋体"/>
                <w:color w:val="auto"/>
                <w:kern w:val="0"/>
                <w:sz w:val="24"/>
                <w:szCs w:val="24"/>
              </w:rPr>
              <w:t>1</w:t>
            </w:r>
            <w:r>
              <w:rPr>
                <w:rFonts w:hint="eastAsia" w:ascii="仿宋" w:hAnsi="仿宋" w:eastAsia="仿宋" w:cs="宋体"/>
                <w:color w:val="auto"/>
                <w:kern w:val="0"/>
                <w:sz w:val="24"/>
                <w:szCs w:val="24"/>
              </w:rPr>
              <w:t>分，一般</w:t>
            </w:r>
            <w:r>
              <w:rPr>
                <w:rFonts w:hint="eastAsia" w:ascii="仿宋" w:hAnsi="仿宋" w:eastAsia="仿宋" w:cs="宋体"/>
                <w:color w:val="auto"/>
                <w:kern w:val="0"/>
                <w:sz w:val="24"/>
                <w:szCs w:val="24"/>
                <w:lang w:val="en-US" w:eastAsia="zh-CN"/>
              </w:rPr>
              <w:t>3</w:t>
            </w:r>
            <w:r>
              <w:rPr>
                <w:rFonts w:hint="eastAsia" w:ascii="仿宋" w:hAnsi="仿宋" w:eastAsia="仿宋" w:cs="宋体"/>
                <w:color w:val="auto"/>
                <w:kern w:val="0"/>
                <w:sz w:val="24"/>
                <w:szCs w:val="24"/>
              </w:rPr>
              <w:t>-</w:t>
            </w:r>
            <w:r>
              <w:rPr>
                <w:rFonts w:ascii="仿宋" w:hAnsi="仿宋" w:eastAsia="仿宋" w:cs="宋体"/>
                <w:color w:val="auto"/>
                <w:kern w:val="0"/>
                <w:sz w:val="24"/>
                <w:szCs w:val="24"/>
              </w:rPr>
              <w:t>0</w:t>
            </w:r>
            <w:r>
              <w:rPr>
                <w:rFonts w:hint="eastAsia" w:ascii="仿宋" w:hAnsi="仿宋" w:eastAsia="仿宋" w:cs="宋体"/>
                <w:color w:val="auto"/>
                <w:kern w:val="0"/>
                <w:sz w:val="24"/>
                <w:szCs w:val="24"/>
              </w:rPr>
              <w:t>分，</w:t>
            </w:r>
          </w:p>
        </w:tc>
        <w:tc>
          <w:tcPr>
            <w:tcW w:w="522"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auto"/>
                <w:kern w:val="0"/>
                <w:sz w:val="24"/>
                <w:szCs w:val="24"/>
                <w:lang w:eastAsia="zh-CN"/>
              </w:rPr>
            </w:pPr>
            <w:r>
              <w:rPr>
                <w:rFonts w:hint="eastAsia" w:ascii="仿宋" w:hAnsi="仿宋" w:eastAsia="仿宋" w:cs="宋体"/>
                <w:color w:val="auto"/>
                <w:kern w:val="0"/>
                <w:sz w:val="24"/>
                <w:szCs w:val="24"/>
                <w:lang w:val="en-US" w:eastAsia="zh-CN"/>
              </w:rPr>
              <w:t>7</w:t>
            </w:r>
          </w:p>
        </w:tc>
      </w:tr>
      <w:tr>
        <w:tblPrEx>
          <w:tblCellMar>
            <w:top w:w="0" w:type="dxa"/>
            <w:left w:w="108" w:type="dxa"/>
            <w:bottom w:w="0" w:type="dxa"/>
            <w:right w:w="108" w:type="dxa"/>
          </w:tblCellMar>
        </w:tblPrEx>
        <w:trPr>
          <w:trHeight w:val="624" w:hRule="atLeast"/>
          <w:jc w:val="center"/>
        </w:trPr>
        <w:tc>
          <w:tcPr>
            <w:tcW w:w="43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 w:val="24"/>
                <w:szCs w:val="24"/>
              </w:rPr>
            </w:pPr>
          </w:p>
        </w:tc>
        <w:tc>
          <w:tcPr>
            <w:tcW w:w="83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 w:val="24"/>
                <w:szCs w:val="24"/>
              </w:rPr>
            </w:pPr>
          </w:p>
        </w:tc>
        <w:tc>
          <w:tcPr>
            <w:tcW w:w="321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工作量及计划安排，优秀</w:t>
            </w:r>
            <w:r>
              <w:rPr>
                <w:rFonts w:hint="eastAsia" w:ascii="仿宋" w:hAnsi="仿宋" w:eastAsia="仿宋" w:cs="宋体"/>
                <w:color w:val="auto"/>
                <w:kern w:val="0"/>
                <w:sz w:val="24"/>
                <w:szCs w:val="24"/>
                <w:lang w:val="en-US" w:eastAsia="zh-CN"/>
              </w:rPr>
              <w:t>4</w:t>
            </w:r>
            <w:r>
              <w:rPr>
                <w:rFonts w:hint="eastAsia" w:ascii="仿宋" w:hAnsi="仿宋" w:eastAsia="仿宋" w:cs="宋体"/>
                <w:color w:val="auto"/>
                <w:kern w:val="0"/>
                <w:sz w:val="24"/>
                <w:szCs w:val="24"/>
              </w:rPr>
              <w:t>-</w:t>
            </w:r>
            <w:r>
              <w:rPr>
                <w:rFonts w:ascii="仿宋" w:hAnsi="仿宋" w:eastAsia="仿宋" w:cs="宋体"/>
                <w:color w:val="auto"/>
                <w:kern w:val="0"/>
                <w:sz w:val="24"/>
                <w:szCs w:val="24"/>
              </w:rPr>
              <w:t>2</w:t>
            </w:r>
            <w:r>
              <w:rPr>
                <w:rFonts w:hint="eastAsia" w:ascii="仿宋" w:hAnsi="仿宋" w:eastAsia="仿宋" w:cs="宋体"/>
                <w:color w:val="auto"/>
                <w:kern w:val="0"/>
                <w:sz w:val="24"/>
                <w:szCs w:val="24"/>
              </w:rPr>
              <w:t>.</w:t>
            </w:r>
            <w:r>
              <w:rPr>
                <w:rFonts w:ascii="仿宋" w:hAnsi="仿宋" w:eastAsia="仿宋" w:cs="宋体"/>
                <w:color w:val="auto"/>
                <w:kern w:val="0"/>
                <w:sz w:val="24"/>
                <w:szCs w:val="24"/>
              </w:rPr>
              <w:t>1</w:t>
            </w:r>
            <w:r>
              <w:rPr>
                <w:rFonts w:hint="eastAsia" w:ascii="仿宋" w:hAnsi="仿宋" w:eastAsia="仿宋" w:cs="宋体"/>
                <w:color w:val="auto"/>
                <w:kern w:val="0"/>
                <w:sz w:val="24"/>
                <w:szCs w:val="24"/>
              </w:rPr>
              <w:t>分，良好</w:t>
            </w:r>
            <w:r>
              <w:rPr>
                <w:rFonts w:ascii="仿宋" w:hAnsi="仿宋" w:eastAsia="仿宋" w:cs="宋体"/>
                <w:color w:val="auto"/>
                <w:kern w:val="0"/>
                <w:sz w:val="24"/>
                <w:szCs w:val="24"/>
              </w:rPr>
              <w:t>2</w:t>
            </w:r>
            <w:r>
              <w:rPr>
                <w:rFonts w:hint="eastAsia" w:ascii="仿宋" w:hAnsi="仿宋" w:eastAsia="仿宋" w:cs="宋体"/>
                <w:color w:val="auto"/>
                <w:kern w:val="0"/>
                <w:sz w:val="24"/>
                <w:szCs w:val="24"/>
              </w:rPr>
              <w:t>-</w:t>
            </w:r>
            <w:r>
              <w:rPr>
                <w:rFonts w:ascii="仿宋" w:hAnsi="仿宋" w:eastAsia="仿宋" w:cs="宋体"/>
                <w:color w:val="auto"/>
                <w:kern w:val="0"/>
                <w:sz w:val="24"/>
                <w:szCs w:val="24"/>
              </w:rPr>
              <w:t>1</w:t>
            </w:r>
            <w:r>
              <w:rPr>
                <w:rFonts w:hint="eastAsia" w:ascii="仿宋" w:hAnsi="仿宋" w:eastAsia="仿宋" w:cs="宋体"/>
                <w:color w:val="auto"/>
                <w:kern w:val="0"/>
                <w:sz w:val="24"/>
                <w:szCs w:val="24"/>
              </w:rPr>
              <w:t>.</w:t>
            </w:r>
            <w:r>
              <w:rPr>
                <w:rFonts w:ascii="仿宋" w:hAnsi="仿宋" w:eastAsia="仿宋" w:cs="宋体"/>
                <w:color w:val="auto"/>
                <w:kern w:val="0"/>
                <w:sz w:val="24"/>
                <w:szCs w:val="24"/>
              </w:rPr>
              <w:t>1</w:t>
            </w:r>
            <w:r>
              <w:rPr>
                <w:rFonts w:hint="eastAsia" w:ascii="仿宋" w:hAnsi="仿宋" w:eastAsia="仿宋" w:cs="宋体"/>
                <w:color w:val="auto"/>
                <w:kern w:val="0"/>
                <w:sz w:val="24"/>
                <w:szCs w:val="24"/>
              </w:rPr>
              <w:t>分，一般</w:t>
            </w:r>
            <w:r>
              <w:rPr>
                <w:rFonts w:ascii="仿宋" w:hAnsi="仿宋" w:eastAsia="仿宋" w:cs="宋体"/>
                <w:color w:val="auto"/>
                <w:kern w:val="0"/>
                <w:sz w:val="24"/>
                <w:szCs w:val="24"/>
              </w:rPr>
              <w:t>1</w:t>
            </w:r>
            <w:r>
              <w:rPr>
                <w:rFonts w:hint="eastAsia" w:ascii="仿宋" w:hAnsi="仿宋" w:eastAsia="仿宋" w:cs="宋体"/>
                <w:color w:val="auto"/>
                <w:kern w:val="0"/>
                <w:sz w:val="24"/>
                <w:szCs w:val="24"/>
              </w:rPr>
              <w:t>-</w:t>
            </w:r>
            <w:r>
              <w:rPr>
                <w:rFonts w:ascii="仿宋" w:hAnsi="仿宋" w:eastAsia="仿宋" w:cs="宋体"/>
                <w:color w:val="auto"/>
                <w:kern w:val="0"/>
                <w:sz w:val="24"/>
                <w:szCs w:val="24"/>
              </w:rPr>
              <w:t>0</w:t>
            </w:r>
            <w:r>
              <w:rPr>
                <w:rFonts w:hint="eastAsia" w:ascii="仿宋" w:hAnsi="仿宋" w:eastAsia="仿宋" w:cs="宋体"/>
                <w:color w:val="auto"/>
                <w:kern w:val="0"/>
                <w:sz w:val="24"/>
                <w:szCs w:val="24"/>
              </w:rPr>
              <w:t>分，</w:t>
            </w:r>
          </w:p>
        </w:tc>
        <w:tc>
          <w:tcPr>
            <w:tcW w:w="522" w:type="pct"/>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4</w:t>
            </w:r>
          </w:p>
        </w:tc>
      </w:tr>
      <w:tr>
        <w:tblPrEx>
          <w:tblCellMar>
            <w:top w:w="0" w:type="dxa"/>
            <w:left w:w="108" w:type="dxa"/>
            <w:bottom w:w="0" w:type="dxa"/>
            <w:right w:w="108" w:type="dxa"/>
          </w:tblCellMar>
        </w:tblPrEx>
        <w:trPr>
          <w:trHeight w:val="624" w:hRule="atLeast"/>
          <w:jc w:val="center"/>
        </w:trPr>
        <w:tc>
          <w:tcPr>
            <w:tcW w:w="430"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8</w:t>
            </w:r>
          </w:p>
        </w:tc>
        <w:tc>
          <w:tcPr>
            <w:tcW w:w="836"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售后服务</w:t>
            </w:r>
          </w:p>
        </w:tc>
        <w:tc>
          <w:tcPr>
            <w:tcW w:w="321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auto"/>
                <w:kern w:val="0"/>
                <w:sz w:val="24"/>
                <w:szCs w:val="24"/>
              </w:rPr>
            </w:pPr>
            <w:r>
              <w:rPr>
                <w:rFonts w:hint="eastAsia" w:ascii="仿宋" w:hAnsi="仿宋" w:eastAsia="仿宋" w:cs="宋体"/>
                <w:color w:val="auto"/>
                <w:kern w:val="0"/>
                <w:sz w:val="24"/>
                <w:szCs w:val="24"/>
                <w:lang w:eastAsia="zh-CN"/>
              </w:rPr>
              <w:t>根据投标人</w:t>
            </w:r>
            <w:r>
              <w:rPr>
                <w:rFonts w:hint="eastAsia" w:ascii="仿宋" w:hAnsi="仿宋" w:eastAsia="仿宋" w:cs="宋体"/>
                <w:color w:val="auto"/>
                <w:kern w:val="0"/>
                <w:sz w:val="24"/>
                <w:szCs w:val="24"/>
              </w:rPr>
              <w:t>后续服务安排、培训计划和服务保障能力</w:t>
            </w:r>
            <w:r>
              <w:rPr>
                <w:rFonts w:hint="eastAsia" w:ascii="仿宋" w:hAnsi="仿宋" w:eastAsia="仿宋" w:cs="宋体"/>
                <w:color w:val="auto"/>
                <w:kern w:val="0"/>
                <w:sz w:val="24"/>
                <w:szCs w:val="24"/>
                <w:lang w:eastAsia="zh-CN"/>
              </w:rPr>
              <w:t>进行综合评审，</w:t>
            </w:r>
            <w:r>
              <w:rPr>
                <w:rFonts w:hint="eastAsia" w:ascii="仿宋" w:hAnsi="仿宋" w:eastAsia="仿宋" w:cs="宋体"/>
                <w:color w:val="auto"/>
                <w:kern w:val="0"/>
                <w:sz w:val="24"/>
                <w:szCs w:val="24"/>
              </w:rPr>
              <w:t>优秀</w:t>
            </w:r>
            <w:r>
              <w:rPr>
                <w:rFonts w:hint="eastAsia" w:ascii="仿宋" w:hAnsi="仿宋" w:eastAsia="仿宋" w:cs="宋体"/>
                <w:color w:val="auto"/>
                <w:kern w:val="0"/>
                <w:sz w:val="24"/>
                <w:szCs w:val="24"/>
                <w:lang w:val="en-US" w:eastAsia="zh-CN"/>
              </w:rPr>
              <w:t>5</w:t>
            </w:r>
            <w:r>
              <w:rPr>
                <w:rFonts w:hint="eastAsia" w:ascii="仿宋" w:hAnsi="仿宋" w:eastAsia="仿宋" w:cs="宋体"/>
                <w:color w:val="auto"/>
                <w:kern w:val="0"/>
                <w:sz w:val="24"/>
                <w:szCs w:val="24"/>
              </w:rPr>
              <w:t>-</w:t>
            </w:r>
            <w:r>
              <w:rPr>
                <w:rFonts w:hint="eastAsia" w:ascii="仿宋" w:hAnsi="仿宋" w:eastAsia="仿宋" w:cs="宋体"/>
                <w:color w:val="auto"/>
                <w:kern w:val="0"/>
                <w:sz w:val="24"/>
                <w:szCs w:val="24"/>
                <w:lang w:val="en-US" w:eastAsia="zh-CN"/>
              </w:rPr>
              <w:t>3.1</w:t>
            </w:r>
            <w:r>
              <w:rPr>
                <w:rFonts w:hint="eastAsia" w:ascii="仿宋" w:hAnsi="仿宋" w:eastAsia="仿宋" w:cs="宋体"/>
                <w:color w:val="auto"/>
                <w:kern w:val="0"/>
                <w:sz w:val="24"/>
                <w:szCs w:val="24"/>
              </w:rPr>
              <w:t>分，良好</w:t>
            </w:r>
            <w:r>
              <w:rPr>
                <w:rFonts w:hint="eastAsia" w:ascii="仿宋" w:hAnsi="仿宋" w:eastAsia="仿宋" w:cs="宋体"/>
                <w:color w:val="auto"/>
                <w:kern w:val="0"/>
                <w:sz w:val="24"/>
                <w:szCs w:val="24"/>
                <w:lang w:val="en-US" w:eastAsia="zh-CN"/>
              </w:rPr>
              <w:t>3</w:t>
            </w:r>
            <w:r>
              <w:rPr>
                <w:rFonts w:hint="eastAsia" w:ascii="仿宋" w:hAnsi="仿宋" w:eastAsia="仿宋" w:cs="宋体"/>
                <w:color w:val="auto"/>
                <w:kern w:val="0"/>
                <w:sz w:val="24"/>
                <w:szCs w:val="24"/>
              </w:rPr>
              <w:t>-</w:t>
            </w:r>
            <w:r>
              <w:rPr>
                <w:rFonts w:hint="eastAsia" w:ascii="仿宋" w:hAnsi="仿宋" w:eastAsia="仿宋" w:cs="宋体"/>
                <w:color w:val="auto"/>
                <w:kern w:val="0"/>
                <w:sz w:val="24"/>
                <w:szCs w:val="24"/>
                <w:lang w:val="en-US" w:eastAsia="zh-CN"/>
              </w:rPr>
              <w:t>2.1</w:t>
            </w:r>
            <w:r>
              <w:rPr>
                <w:rFonts w:hint="eastAsia" w:ascii="仿宋" w:hAnsi="仿宋" w:eastAsia="仿宋" w:cs="宋体"/>
                <w:color w:val="auto"/>
                <w:kern w:val="0"/>
                <w:sz w:val="24"/>
                <w:szCs w:val="24"/>
              </w:rPr>
              <w:t>分，一般</w:t>
            </w:r>
            <w:r>
              <w:rPr>
                <w:rFonts w:hint="eastAsia" w:ascii="仿宋" w:hAnsi="仿宋" w:eastAsia="仿宋" w:cs="宋体"/>
                <w:color w:val="auto"/>
                <w:kern w:val="0"/>
                <w:sz w:val="24"/>
                <w:szCs w:val="24"/>
                <w:lang w:val="en-US" w:eastAsia="zh-CN"/>
              </w:rPr>
              <w:t>2</w:t>
            </w:r>
            <w:r>
              <w:rPr>
                <w:rFonts w:hint="eastAsia" w:ascii="仿宋" w:hAnsi="仿宋" w:eastAsia="仿宋" w:cs="宋体"/>
                <w:color w:val="auto"/>
                <w:kern w:val="0"/>
                <w:sz w:val="24"/>
                <w:szCs w:val="24"/>
              </w:rPr>
              <w:t>-</w:t>
            </w:r>
            <w:r>
              <w:rPr>
                <w:rFonts w:hint="eastAsia" w:ascii="仿宋" w:hAnsi="仿宋" w:eastAsia="仿宋" w:cs="宋体"/>
                <w:color w:val="auto"/>
                <w:kern w:val="0"/>
                <w:sz w:val="24"/>
                <w:szCs w:val="24"/>
                <w:lang w:val="en-US" w:eastAsia="zh-CN"/>
              </w:rPr>
              <w:t>0</w:t>
            </w:r>
            <w:r>
              <w:rPr>
                <w:rFonts w:hint="eastAsia" w:ascii="仿宋" w:hAnsi="仿宋" w:eastAsia="仿宋" w:cs="宋体"/>
                <w:color w:val="auto"/>
                <w:kern w:val="0"/>
                <w:sz w:val="24"/>
                <w:szCs w:val="24"/>
              </w:rPr>
              <w:t>分</w:t>
            </w:r>
            <w:r>
              <w:rPr>
                <w:rFonts w:hint="eastAsia" w:ascii="仿宋" w:hAnsi="仿宋" w:eastAsia="仿宋" w:cs="宋体"/>
                <w:color w:val="auto"/>
                <w:kern w:val="0"/>
                <w:sz w:val="24"/>
                <w:szCs w:val="24"/>
                <w:lang w:eastAsia="zh-CN"/>
              </w:rPr>
              <w:t>。</w:t>
            </w:r>
          </w:p>
        </w:tc>
        <w:tc>
          <w:tcPr>
            <w:tcW w:w="5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5</w:t>
            </w:r>
          </w:p>
        </w:tc>
      </w:tr>
    </w:tbl>
    <w:p>
      <w:pPr>
        <w:spacing w:line="500" w:lineRule="exact"/>
        <w:jc w:val="left"/>
        <w:rPr>
          <w:rFonts w:ascii="仿宋" w:hAnsi="仿宋" w:eastAsia="仿宋" w:cs="仿宋"/>
          <w:color w:val="auto"/>
          <w:sz w:val="24"/>
        </w:rPr>
      </w:pPr>
      <w:r>
        <w:rPr>
          <w:rFonts w:hint="eastAsia" w:ascii="仿宋" w:hAnsi="仿宋" w:eastAsia="仿宋" w:cs="仿宋"/>
          <w:b/>
          <w:bCs/>
          <w:iCs/>
          <w:color w:val="auto"/>
          <w:sz w:val="24"/>
        </w:rPr>
        <w:t>注：所有证书都应在有效期内，逾期不得分。</w:t>
      </w:r>
      <w:r>
        <w:rPr>
          <w:rFonts w:hint="eastAsia" w:ascii="仿宋" w:hAnsi="仿宋" w:eastAsia="仿宋" w:cs="仿宋"/>
          <w:color w:val="auto"/>
          <w:sz w:val="24"/>
        </w:rPr>
        <w:t xml:space="preserve"> </w:t>
      </w:r>
    </w:p>
    <w:p>
      <w:pPr>
        <w:spacing w:line="400" w:lineRule="exact"/>
        <w:rPr>
          <w:rFonts w:ascii="仿宋" w:hAnsi="仿宋" w:eastAsia="仿宋" w:cs="仿宋"/>
          <w:b/>
          <w:bCs/>
          <w:iCs/>
          <w:color w:val="auto"/>
          <w:sz w:val="24"/>
        </w:rPr>
      </w:pPr>
      <w:r>
        <w:rPr>
          <w:rFonts w:hint="eastAsia" w:ascii="仿宋" w:hAnsi="仿宋" w:eastAsia="仿宋" w:cs="仿宋"/>
          <w:b/>
          <w:color w:val="auto"/>
          <w:sz w:val="24"/>
          <w:bdr w:val="single" w:color="auto" w:sz="4" w:space="0"/>
        </w:rPr>
        <w:t>01标</w:t>
      </w:r>
      <w:r>
        <w:rPr>
          <w:rFonts w:hint="eastAsia" w:ascii="仿宋" w:hAnsi="仿宋" w:eastAsia="仿宋" w:cs="仿宋"/>
          <w:b/>
          <w:bCs/>
          <w:iCs/>
          <w:color w:val="auto"/>
          <w:sz w:val="24"/>
        </w:rPr>
        <w:t>价格分：</w:t>
      </w:r>
    </w:p>
    <w:p>
      <w:pPr>
        <w:spacing w:line="400" w:lineRule="exact"/>
        <w:rPr>
          <w:rFonts w:ascii="仿宋" w:hAnsi="仿宋" w:eastAsia="仿宋" w:cs="仿宋"/>
          <w:bCs/>
          <w:iCs/>
          <w:color w:val="auto"/>
          <w:sz w:val="24"/>
        </w:rPr>
      </w:pPr>
      <w:r>
        <w:rPr>
          <w:rFonts w:hint="eastAsia" w:ascii="仿宋" w:hAnsi="仿宋" w:eastAsia="仿宋" w:cs="仿宋"/>
          <w:bCs/>
          <w:iCs/>
          <w:color w:val="auto"/>
          <w:sz w:val="24"/>
        </w:rPr>
        <w:t>2.2.1评标基准价：即满足采购文件要求且投标报价最低的投标报价为评标基准价，其价格分为满分。</w:t>
      </w:r>
    </w:p>
    <w:p>
      <w:pPr>
        <w:spacing w:line="400" w:lineRule="exact"/>
        <w:rPr>
          <w:rFonts w:ascii="仿宋" w:hAnsi="仿宋" w:eastAsia="仿宋" w:cs="仿宋"/>
          <w:bCs/>
          <w:iCs/>
          <w:color w:val="auto"/>
          <w:sz w:val="24"/>
        </w:rPr>
      </w:pPr>
      <w:r>
        <w:rPr>
          <w:rFonts w:hint="eastAsia" w:ascii="仿宋" w:hAnsi="仿宋" w:eastAsia="仿宋" w:cs="仿宋"/>
          <w:bCs/>
          <w:iCs/>
          <w:color w:val="auto"/>
          <w:sz w:val="24"/>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仿宋" w:hAnsi="仿宋" w:eastAsia="仿宋" w:cs="仿宋"/>
          <w:bCs/>
          <w:iCs/>
          <w:color w:val="auto"/>
          <w:sz w:val="24"/>
        </w:rPr>
      </w:pPr>
      <w:r>
        <w:rPr>
          <w:rFonts w:hint="eastAsia" w:ascii="仿宋" w:hAnsi="仿宋" w:eastAsia="仿宋" w:cs="仿宋"/>
          <w:bCs/>
          <w:iCs/>
          <w:color w:val="auto"/>
          <w:sz w:val="24"/>
        </w:rPr>
        <w:t>投标报价得分=(评标基准价／投标报价)×价格权值×100</w:t>
      </w:r>
    </w:p>
    <w:p>
      <w:pPr>
        <w:widowControl/>
        <w:snapToGrid w:val="0"/>
        <w:spacing w:line="480" w:lineRule="exact"/>
        <w:rPr>
          <w:rFonts w:ascii="仿宋" w:hAnsi="仿宋" w:eastAsia="仿宋" w:cs="仿宋"/>
          <w:bCs/>
          <w:iCs/>
          <w:color w:val="auto"/>
          <w:sz w:val="24"/>
          <w:u w:val="single"/>
        </w:rPr>
      </w:pPr>
      <w:r>
        <w:rPr>
          <w:rFonts w:hint="eastAsia" w:ascii="仿宋" w:hAnsi="仿宋" w:eastAsia="仿宋" w:cs="仿宋"/>
          <w:bCs/>
          <w:iCs/>
          <w:color w:val="auto"/>
          <w:sz w:val="24"/>
        </w:rPr>
        <w:t>即：投标报价得分=(评标基准价／投标报价)×</w:t>
      </w:r>
      <w:r>
        <w:rPr>
          <w:rFonts w:hint="eastAsia" w:ascii="仿宋" w:hAnsi="仿宋" w:eastAsia="仿宋" w:cs="仿宋"/>
          <w:bCs/>
          <w:iCs/>
          <w:color w:val="auto"/>
          <w:sz w:val="24"/>
          <w:u w:val="single"/>
        </w:rPr>
        <w:t xml:space="preserve"> </w:t>
      </w:r>
      <w:r>
        <w:rPr>
          <w:rFonts w:ascii="仿宋" w:hAnsi="仿宋" w:eastAsia="仿宋" w:cs="仿宋"/>
          <w:bCs/>
          <w:iCs/>
          <w:color w:val="auto"/>
          <w:sz w:val="24"/>
          <w:u w:val="single"/>
        </w:rPr>
        <w:t>3</w:t>
      </w:r>
      <w:r>
        <w:rPr>
          <w:rFonts w:hint="eastAsia" w:ascii="仿宋" w:hAnsi="仿宋" w:eastAsia="仿宋" w:cs="仿宋"/>
          <w:bCs/>
          <w:iCs/>
          <w:color w:val="auto"/>
          <w:sz w:val="24"/>
          <w:u w:val="single"/>
        </w:rPr>
        <w:t xml:space="preserve">0 </w:t>
      </w:r>
      <w:r>
        <w:rPr>
          <w:rFonts w:ascii="仿宋" w:hAnsi="仿宋" w:eastAsia="仿宋" w:cs="仿宋"/>
          <w:bCs/>
          <w:iCs/>
          <w:color w:val="auto"/>
          <w:sz w:val="24"/>
          <w:u w:val="single"/>
        </w:rPr>
        <w:t xml:space="preserve"> </w:t>
      </w:r>
    </w:p>
    <w:p>
      <w:pPr>
        <w:pStyle w:val="2"/>
        <w:ind w:firstLine="280"/>
        <w:rPr>
          <w:color w:val="auto"/>
        </w:rPr>
      </w:pPr>
    </w:p>
    <w:p>
      <w:pPr>
        <w:rPr>
          <w:color w:val="auto"/>
        </w:rPr>
      </w:pPr>
    </w:p>
    <w:p>
      <w:pPr>
        <w:pStyle w:val="2"/>
        <w:ind w:firstLine="280"/>
        <w:rPr>
          <w:color w:val="auto"/>
        </w:rPr>
      </w:pPr>
    </w:p>
    <w:p>
      <w:pPr>
        <w:rPr>
          <w:color w:val="auto"/>
        </w:rPr>
      </w:pPr>
    </w:p>
    <w:p>
      <w:pPr>
        <w:pStyle w:val="4"/>
        <w:ind w:firstLine="1760" w:firstLineChars="400"/>
        <w:jc w:val="both"/>
        <w:rPr>
          <w:rFonts w:ascii="仿宋" w:hAnsi="仿宋" w:cs="仿宋"/>
          <w:color w:val="auto"/>
        </w:rPr>
      </w:pPr>
      <w:bookmarkStart w:id="94" w:name="_Toc15148"/>
      <w:r>
        <w:rPr>
          <w:rFonts w:hint="eastAsia" w:ascii="仿宋" w:hAnsi="仿宋" w:cs="仿宋"/>
          <w:color w:val="auto"/>
        </w:rPr>
        <w:t>第六章  投标文件格式附件</w:t>
      </w:r>
      <w:bookmarkEnd w:id="94"/>
    </w:p>
    <w:p>
      <w:pPr>
        <w:widowControl/>
        <w:snapToGrid w:val="0"/>
        <w:spacing w:line="480" w:lineRule="exact"/>
        <w:ind w:firstLine="480" w:firstLineChars="200"/>
        <w:rPr>
          <w:rFonts w:ascii="仿宋" w:hAnsi="仿宋" w:eastAsia="仿宋" w:cs="仿宋"/>
          <w:color w:val="auto"/>
          <w:kern w:val="0"/>
          <w:sz w:val="24"/>
        </w:rPr>
        <w:sectPr>
          <w:pgSz w:w="11906" w:h="16838"/>
          <w:pgMar w:top="1247" w:right="1247" w:bottom="1247" w:left="1247" w:header="851" w:footer="992" w:gutter="0"/>
          <w:cols w:space="720" w:num="1"/>
          <w:docGrid w:type="linesAndChars" w:linePitch="312" w:charSpace="0"/>
        </w:sectPr>
      </w:pPr>
      <w:r>
        <w:rPr>
          <w:rFonts w:hint="eastAsia" w:ascii="仿宋" w:hAnsi="仿宋" w:eastAsia="仿宋" w:cs="仿宋"/>
          <w:color w:val="auto"/>
          <w:kern w:val="0"/>
          <w:sz w:val="24"/>
        </w:rPr>
        <w:t>投标文件制作请按照本采购文件“第二章 投标人须知”第三部分“投标文件”的规定制作，有关格式附件如下：</w:t>
      </w:r>
    </w:p>
    <w:bookmarkEnd w:id="42"/>
    <w:p>
      <w:pPr>
        <w:snapToGrid w:val="0"/>
        <w:spacing w:before="156" w:beforeLines="50" w:after="50"/>
        <w:jc w:val="left"/>
        <w:rPr>
          <w:rFonts w:ascii="仿宋" w:hAnsi="仿宋" w:eastAsia="仿宋" w:cs="仿宋"/>
          <w:b/>
          <w:color w:val="auto"/>
          <w:sz w:val="30"/>
          <w:szCs w:val="30"/>
        </w:rPr>
      </w:pPr>
      <w:r>
        <w:rPr>
          <w:rFonts w:hint="eastAsia" w:ascii="仿宋" w:hAnsi="仿宋" w:eastAsia="仿宋" w:cs="仿宋"/>
          <w:b/>
          <w:bCs/>
          <w:color w:val="auto"/>
          <w:sz w:val="30"/>
          <w:szCs w:val="30"/>
        </w:rPr>
        <w:t>附件1：</w:t>
      </w:r>
      <w:r>
        <w:rPr>
          <w:rFonts w:hint="eastAsia" w:ascii="仿宋" w:hAnsi="仿宋" w:eastAsia="仿宋" w:cs="仿宋"/>
          <w:b/>
          <w:color w:val="auto"/>
          <w:sz w:val="30"/>
          <w:szCs w:val="30"/>
        </w:rPr>
        <w:t>资格文件封面</w:t>
      </w:r>
    </w:p>
    <w:p>
      <w:pPr>
        <w:snapToGrid w:val="0"/>
        <w:spacing w:before="156" w:beforeLines="50" w:after="50"/>
        <w:jc w:val="right"/>
        <w:rPr>
          <w:rFonts w:ascii="仿宋" w:hAnsi="仿宋" w:eastAsia="仿宋" w:cs="仿宋"/>
          <w:b/>
          <w:color w:val="auto"/>
          <w:sz w:val="30"/>
          <w:szCs w:val="30"/>
        </w:rPr>
      </w:pPr>
    </w:p>
    <w:p>
      <w:pPr>
        <w:snapToGrid w:val="0"/>
        <w:spacing w:before="156" w:beforeLines="50" w:after="50"/>
        <w:jc w:val="right"/>
        <w:rPr>
          <w:rFonts w:ascii="仿宋" w:hAnsi="仿宋" w:eastAsia="仿宋" w:cs="仿宋"/>
          <w:bCs/>
          <w:color w:val="auto"/>
          <w:sz w:val="30"/>
          <w:szCs w:val="30"/>
        </w:rPr>
      </w:pPr>
    </w:p>
    <w:p>
      <w:pPr>
        <w:spacing w:line="400" w:lineRule="exact"/>
        <w:ind w:right="-110"/>
        <w:rPr>
          <w:rFonts w:ascii="仿宋" w:hAnsi="仿宋" w:eastAsia="仿宋" w:cs="仿宋"/>
          <w:color w:val="auto"/>
          <w:spacing w:val="40"/>
          <w:sz w:val="30"/>
          <w:szCs w:val="30"/>
        </w:rPr>
      </w:pPr>
      <w:r>
        <w:rPr>
          <w:rFonts w:hint="eastAsia" w:ascii="仿宋" w:hAnsi="仿宋" w:eastAsia="仿宋" w:cs="仿宋"/>
          <w:color w:val="auto"/>
          <w:spacing w:val="40"/>
          <w:sz w:val="30"/>
          <w:szCs w:val="30"/>
        </w:rPr>
        <w:t>项目名称：</w:t>
      </w:r>
      <w:r>
        <w:rPr>
          <w:rFonts w:hint="eastAsia" w:ascii="仿宋" w:hAnsi="仿宋" w:eastAsia="仿宋" w:cs="仿宋"/>
          <w:color w:val="auto"/>
          <w:spacing w:val="40"/>
          <w:sz w:val="30"/>
          <w:szCs w:val="30"/>
          <w:u w:val="single"/>
        </w:rPr>
        <w:t xml:space="preserve">           </w:t>
      </w:r>
    </w:p>
    <w:p>
      <w:pPr>
        <w:spacing w:before="312" w:beforeLines="100" w:line="400" w:lineRule="exact"/>
        <w:rPr>
          <w:rFonts w:ascii="仿宋" w:hAnsi="仿宋" w:eastAsia="仿宋" w:cs="仿宋"/>
          <w:color w:val="auto"/>
          <w:sz w:val="30"/>
          <w:szCs w:val="30"/>
          <w:u w:val="single"/>
        </w:rPr>
      </w:pPr>
      <w:r>
        <w:rPr>
          <w:rFonts w:hint="eastAsia" w:ascii="仿宋" w:hAnsi="仿宋" w:eastAsia="仿宋" w:cs="仿宋"/>
          <w:color w:val="auto"/>
          <w:sz w:val="30"/>
          <w:szCs w:val="30"/>
        </w:rPr>
        <w:t>项目编号：</w:t>
      </w:r>
      <w:r>
        <w:rPr>
          <w:rFonts w:hint="eastAsia" w:ascii="仿宋" w:hAnsi="仿宋" w:eastAsia="仿宋" w:cs="仿宋"/>
          <w:color w:val="auto"/>
          <w:sz w:val="30"/>
          <w:szCs w:val="30"/>
          <w:u w:val="single"/>
        </w:rPr>
        <w:t xml:space="preserve">                   </w:t>
      </w:r>
    </w:p>
    <w:p>
      <w:pPr>
        <w:spacing w:before="312" w:beforeLines="100" w:line="400" w:lineRule="exact"/>
        <w:rPr>
          <w:rFonts w:ascii="仿宋" w:hAnsi="仿宋" w:eastAsia="仿宋" w:cs="仿宋"/>
          <w:color w:val="auto"/>
          <w:sz w:val="30"/>
          <w:szCs w:val="30"/>
        </w:rPr>
      </w:pPr>
      <w:r>
        <w:rPr>
          <w:rFonts w:hint="eastAsia" w:ascii="仿宋" w:hAnsi="仿宋" w:eastAsia="仿宋" w:cs="仿宋"/>
          <w:color w:val="auto"/>
          <w:sz w:val="30"/>
          <w:szCs w:val="30"/>
        </w:rPr>
        <w:t>标项：</w:t>
      </w:r>
      <w:r>
        <w:rPr>
          <w:rFonts w:hint="eastAsia" w:ascii="仿宋" w:hAnsi="仿宋" w:eastAsia="仿宋" w:cs="仿宋"/>
          <w:color w:val="auto"/>
          <w:sz w:val="30"/>
          <w:szCs w:val="30"/>
          <w:u w:val="single"/>
        </w:rPr>
        <w:t xml:space="preserve">                    </w:t>
      </w:r>
    </w:p>
    <w:p>
      <w:pPr>
        <w:spacing w:line="1200" w:lineRule="exact"/>
        <w:ind w:right="6"/>
        <w:jc w:val="center"/>
        <w:rPr>
          <w:rFonts w:ascii="仿宋" w:hAnsi="仿宋" w:eastAsia="仿宋" w:cs="仿宋"/>
          <w:color w:val="auto"/>
          <w:sz w:val="72"/>
          <w:szCs w:val="72"/>
        </w:rPr>
      </w:pPr>
    </w:p>
    <w:p>
      <w:pPr>
        <w:spacing w:line="1200" w:lineRule="exact"/>
        <w:ind w:right="6"/>
        <w:jc w:val="center"/>
        <w:rPr>
          <w:rFonts w:ascii="仿宋" w:hAnsi="仿宋" w:eastAsia="仿宋" w:cs="仿宋"/>
          <w:color w:val="auto"/>
          <w:sz w:val="72"/>
          <w:szCs w:val="72"/>
        </w:rPr>
      </w:pPr>
    </w:p>
    <w:p>
      <w:pPr>
        <w:spacing w:line="1200" w:lineRule="exact"/>
        <w:ind w:right="6"/>
        <w:jc w:val="center"/>
        <w:rPr>
          <w:rFonts w:ascii="仿宋" w:hAnsi="仿宋" w:eastAsia="仿宋" w:cs="仿宋"/>
          <w:color w:val="auto"/>
          <w:sz w:val="72"/>
          <w:szCs w:val="72"/>
        </w:rPr>
      </w:pPr>
      <w:r>
        <w:rPr>
          <w:rFonts w:hint="eastAsia" w:ascii="仿宋" w:hAnsi="仿宋" w:eastAsia="仿宋" w:cs="仿宋"/>
          <w:color w:val="auto"/>
          <w:sz w:val="72"/>
          <w:szCs w:val="72"/>
        </w:rPr>
        <w:t>资</w:t>
      </w:r>
    </w:p>
    <w:p>
      <w:pPr>
        <w:spacing w:line="1200" w:lineRule="exact"/>
        <w:ind w:right="6"/>
        <w:jc w:val="center"/>
        <w:rPr>
          <w:rFonts w:ascii="仿宋" w:hAnsi="仿宋" w:eastAsia="仿宋" w:cs="仿宋"/>
          <w:color w:val="auto"/>
          <w:sz w:val="72"/>
          <w:szCs w:val="72"/>
        </w:rPr>
      </w:pPr>
      <w:r>
        <w:rPr>
          <w:rFonts w:hint="eastAsia" w:ascii="仿宋" w:hAnsi="仿宋" w:eastAsia="仿宋" w:cs="仿宋"/>
          <w:color w:val="auto"/>
          <w:sz w:val="72"/>
          <w:szCs w:val="72"/>
        </w:rPr>
        <w:t>格</w:t>
      </w:r>
    </w:p>
    <w:p>
      <w:pPr>
        <w:spacing w:line="1200" w:lineRule="exact"/>
        <w:ind w:right="6"/>
        <w:jc w:val="center"/>
        <w:rPr>
          <w:rFonts w:ascii="仿宋" w:hAnsi="仿宋" w:eastAsia="仿宋" w:cs="仿宋"/>
          <w:color w:val="auto"/>
          <w:sz w:val="72"/>
          <w:szCs w:val="72"/>
        </w:rPr>
      </w:pPr>
      <w:r>
        <w:rPr>
          <w:rFonts w:hint="eastAsia" w:ascii="仿宋" w:hAnsi="仿宋" w:eastAsia="仿宋" w:cs="仿宋"/>
          <w:color w:val="auto"/>
          <w:sz w:val="72"/>
          <w:szCs w:val="72"/>
        </w:rPr>
        <w:t>文</w:t>
      </w:r>
    </w:p>
    <w:p>
      <w:pPr>
        <w:spacing w:line="1200" w:lineRule="exact"/>
        <w:ind w:right="6"/>
        <w:jc w:val="center"/>
        <w:rPr>
          <w:rFonts w:ascii="仿宋" w:hAnsi="仿宋" w:eastAsia="仿宋" w:cs="仿宋"/>
          <w:color w:val="auto"/>
          <w:sz w:val="72"/>
          <w:szCs w:val="72"/>
        </w:rPr>
      </w:pPr>
      <w:r>
        <w:rPr>
          <w:rFonts w:hint="eastAsia" w:ascii="仿宋" w:hAnsi="仿宋" w:eastAsia="仿宋" w:cs="仿宋"/>
          <w:color w:val="auto"/>
          <w:sz w:val="72"/>
          <w:szCs w:val="72"/>
        </w:rPr>
        <w:t>件</w:t>
      </w:r>
    </w:p>
    <w:p>
      <w:pPr>
        <w:spacing w:line="1200" w:lineRule="exact"/>
        <w:ind w:right="6"/>
        <w:jc w:val="center"/>
        <w:rPr>
          <w:rFonts w:ascii="仿宋" w:hAnsi="仿宋" w:eastAsia="仿宋" w:cs="仿宋"/>
          <w:color w:val="auto"/>
          <w:sz w:val="72"/>
          <w:szCs w:val="72"/>
        </w:rPr>
      </w:pPr>
    </w:p>
    <w:p>
      <w:pPr>
        <w:spacing w:line="500" w:lineRule="exact"/>
        <w:ind w:right="7"/>
        <w:jc w:val="center"/>
        <w:rPr>
          <w:rFonts w:ascii="仿宋" w:hAnsi="仿宋" w:eastAsia="仿宋" w:cs="仿宋"/>
          <w:color w:val="auto"/>
          <w:sz w:val="36"/>
          <w:szCs w:val="36"/>
        </w:rPr>
      </w:pPr>
    </w:p>
    <w:p>
      <w:pPr>
        <w:spacing w:line="500" w:lineRule="exact"/>
        <w:ind w:right="7"/>
        <w:jc w:val="center"/>
        <w:rPr>
          <w:rFonts w:ascii="仿宋" w:hAnsi="仿宋" w:eastAsia="仿宋" w:cs="仿宋"/>
          <w:color w:val="auto"/>
          <w:sz w:val="36"/>
          <w:szCs w:val="36"/>
        </w:rPr>
      </w:pPr>
    </w:p>
    <w:p>
      <w:pPr>
        <w:spacing w:line="400" w:lineRule="exact"/>
        <w:ind w:right="-110"/>
        <w:rPr>
          <w:rFonts w:ascii="仿宋" w:hAnsi="仿宋" w:eastAsia="仿宋" w:cs="仿宋"/>
          <w:color w:val="auto"/>
          <w:spacing w:val="40"/>
          <w:sz w:val="30"/>
          <w:szCs w:val="30"/>
        </w:rPr>
      </w:pPr>
      <w:r>
        <w:rPr>
          <w:rFonts w:hint="eastAsia" w:ascii="仿宋" w:hAnsi="仿宋" w:eastAsia="仿宋" w:cs="仿宋"/>
          <w:color w:val="auto"/>
          <w:spacing w:val="40"/>
          <w:sz w:val="30"/>
          <w:szCs w:val="30"/>
        </w:rPr>
        <w:t>投标人名称（盖章）：</w:t>
      </w:r>
    </w:p>
    <w:p>
      <w:pPr>
        <w:spacing w:line="400" w:lineRule="exact"/>
        <w:ind w:right="-110"/>
        <w:rPr>
          <w:rFonts w:ascii="仿宋" w:hAnsi="仿宋" w:eastAsia="仿宋" w:cs="仿宋"/>
          <w:color w:val="auto"/>
          <w:spacing w:val="40"/>
          <w:sz w:val="30"/>
          <w:szCs w:val="30"/>
        </w:rPr>
      </w:pPr>
      <w:r>
        <w:rPr>
          <w:rFonts w:hint="eastAsia" w:ascii="仿宋" w:hAnsi="仿宋" w:eastAsia="仿宋" w:cs="仿宋"/>
          <w:color w:val="auto"/>
          <w:spacing w:val="40"/>
          <w:sz w:val="30"/>
          <w:szCs w:val="30"/>
        </w:rPr>
        <w:t>地    址：</w:t>
      </w:r>
    </w:p>
    <w:p>
      <w:pPr>
        <w:spacing w:line="400" w:lineRule="exact"/>
        <w:ind w:right="-110"/>
        <w:rPr>
          <w:rFonts w:ascii="仿宋" w:hAnsi="仿宋" w:eastAsia="仿宋" w:cs="仿宋"/>
          <w:color w:val="auto"/>
          <w:spacing w:val="40"/>
          <w:sz w:val="30"/>
          <w:szCs w:val="30"/>
        </w:rPr>
      </w:pPr>
      <w:r>
        <w:rPr>
          <w:rFonts w:hint="eastAsia" w:ascii="仿宋" w:hAnsi="仿宋" w:eastAsia="仿宋" w:cs="仿宋"/>
          <w:color w:val="auto"/>
          <w:spacing w:val="40"/>
          <w:sz w:val="30"/>
          <w:szCs w:val="30"/>
        </w:rPr>
        <w:t>日    期：</w:t>
      </w:r>
    </w:p>
    <w:p>
      <w:pPr>
        <w:snapToGrid w:val="0"/>
        <w:spacing w:before="156" w:beforeLines="50" w:after="50"/>
        <w:jc w:val="left"/>
        <w:rPr>
          <w:rFonts w:ascii="仿宋" w:hAnsi="仿宋" w:eastAsia="仿宋" w:cs="仿宋"/>
          <w:b/>
          <w:bCs/>
          <w:color w:val="auto"/>
          <w:sz w:val="30"/>
          <w:szCs w:val="30"/>
        </w:rPr>
      </w:pPr>
      <w:r>
        <w:rPr>
          <w:rFonts w:hint="eastAsia" w:ascii="仿宋" w:hAnsi="仿宋" w:eastAsia="仿宋" w:cs="仿宋"/>
          <w:b/>
          <w:bCs/>
          <w:color w:val="auto"/>
          <w:sz w:val="30"/>
          <w:szCs w:val="30"/>
        </w:rPr>
        <w:t>附件2：资格文件目录</w:t>
      </w:r>
    </w:p>
    <w:p>
      <w:pPr>
        <w:snapToGrid w:val="0"/>
        <w:spacing w:before="156" w:beforeLines="50" w:after="50"/>
        <w:jc w:val="center"/>
        <w:rPr>
          <w:rFonts w:ascii="仿宋" w:hAnsi="仿宋" w:eastAsia="仿宋" w:cs="仿宋"/>
          <w:color w:val="auto"/>
          <w:sz w:val="30"/>
          <w:szCs w:val="30"/>
        </w:rPr>
      </w:pPr>
      <w:bookmarkStart w:id="95" w:name="_Toc64369786"/>
      <w:r>
        <w:rPr>
          <w:rFonts w:hint="eastAsia" w:ascii="仿宋" w:hAnsi="仿宋" w:eastAsia="仿宋" w:cs="仿宋"/>
          <w:color w:val="auto"/>
          <w:sz w:val="30"/>
          <w:szCs w:val="30"/>
        </w:rPr>
        <w:t>目 录</w:t>
      </w:r>
      <w:bookmarkEnd w:id="95"/>
    </w:p>
    <w:p>
      <w:pPr>
        <w:pStyle w:val="38"/>
        <w:spacing w:line="360" w:lineRule="auto"/>
        <w:ind w:firstLine="0" w:firstLineChars="0"/>
        <w:jc w:val="left"/>
        <w:rPr>
          <w:rFonts w:ascii="仿宋" w:hAnsi="仿宋" w:eastAsia="仿宋" w:cs="仿宋"/>
          <w:color w:val="auto"/>
        </w:rPr>
      </w:pPr>
      <w:r>
        <w:rPr>
          <w:rFonts w:hint="eastAsia" w:ascii="仿宋" w:hAnsi="仿宋" w:eastAsia="仿宋" w:cs="仿宋"/>
          <w:color w:val="auto"/>
        </w:rPr>
        <w:t>1.投标声明函 ……………………………………………………………………（页码）</w:t>
      </w:r>
    </w:p>
    <w:p>
      <w:pPr>
        <w:pStyle w:val="38"/>
        <w:spacing w:line="360" w:lineRule="auto"/>
        <w:ind w:firstLine="0" w:firstLineChars="0"/>
        <w:jc w:val="left"/>
        <w:rPr>
          <w:rFonts w:ascii="仿宋" w:hAnsi="仿宋" w:eastAsia="仿宋" w:cs="仿宋"/>
          <w:color w:val="auto"/>
        </w:rPr>
      </w:pPr>
      <w:r>
        <w:rPr>
          <w:rFonts w:hint="eastAsia" w:ascii="仿宋" w:hAnsi="仿宋" w:eastAsia="仿宋" w:cs="仿宋"/>
          <w:color w:val="auto"/>
        </w:rPr>
        <w:t>2.联合体协议书（如有）…………………………………………………………（页码）</w:t>
      </w:r>
    </w:p>
    <w:p>
      <w:pPr>
        <w:pStyle w:val="38"/>
        <w:spacing w:line="360" w:lineRule="auto"/>
        <w:ind w:firstLine="0" w:firstLineChars="0"/>
        <w:jc w:val="left"/>
        <w:rPr>
          <w:rFonts w:ascii="仿宋" w:hAnsi="仿宋" w:eastAsia="仿宋" w:cs="仿宋"/>
          <w:color w:val="auto"/>
        </w:rPr>
      </w:pPr>
      <w:r>
        <w:rPr>
          <w:rFonts w:hint="eastAsia" w:ascii="仿宋" w:hAnsi="仿宋" w:eastAsia="仿宋" w:cs="仿宋"/>
          <w:color w:val="auto"/>
        </w:rPr>
        <w:t>3.法定代表人授权委托书……………………………………………………… （页码）</w:t>
      </w:r>
    </w:p>
    <w:p>
      <w:pPr>
        <w:pStyle w:val="38"/>
        <w:spacing w:line="360" w:lineRule="auto"/>
        <w:ind w:firstLine="0" w:firstLineChars="0"/>
        <w:jc w:val="left"/>
        <w:rPr>
          <w:rFonts w:ascii="仿宋" w:hAnsi="仿宋" w:eastAsia="仿宋" w:cs="仿宋"/>
          <w:color w:val="auto"/>
        </w:rPr>
      </w:pPr>
      <w:r>
        <w:rPr>
          <w:rFonts w:hint="eastAsia" w:ascii="仿宋" w:hAnsi="仿宋" w:eastAsia="仿宋" w:cs="仿宋"/>
          <w:color w:val="auto"/>
        </w:rPr>
        <w:t>4.法定代表人及其授权代表身份证…………………………………………… （页码）</w:t>
      </w:r>
    </w:p>
    <w:p>
      <w:pPr>
        <w:pStyle w:val="38"/>
        <w:spacing w:line="360" w:lineRule="auto"/>
        <w:ind w:firstLine="0" w:firstLineChars="0"/>
        <w:jc w:val="left"/>
        <w:rPr>
          <w:rFonts w:ascii="仿宋" w:hAnsi="仿宋" w:eastAsia="仿宋" w:cs="仿宋"/>
          <w:color w:val="auto"/>
        </w:rPr>
      </w:pPr>
      <w:r>
        <w:rPr>
          <w:rFonts w:hint="eastAsia" w:ascii="仿宋" w:hAnsi="仿宋" w:eastAsia="仿宋" w:cs="仿宋"/>
          <w:color w:val="auto"/>
        </w:rPr>
        <w:t>5.资格条件证明材料</w:t>
      </w:r>
    </w:p>
    <w:p>
      <w:pPr>
        <w:pStyle w:val="38"/>
        <w:spacing w:line="360" w:lineRule="auto"/>
        <w:ind w:firstLine="240" w:firstLineChars="100"/>
        <w:jc w:val="left"/>
        <w:rPr>
          <w:rFonts w:ascii="仿宋" w:hAnsi="仿宋" w:eastAsia="仿宋" w:cs="仿宋"/>
          <w:color w:val="auto"/>
        </w:rPr>
      </w:pPr>
      <w:bookmarkStart w:id="96" w:name="_Toc64369787"/>
      <w:r>
        <w:rPr>
          <w:rFonts w:hint="eastAsia" w:ascii="仿宋" w:hAnsi="仿宋" w:eastAsia="仿宋" w:cs="仿宋"/>
          <w:color w:val="auto"/>
        </w:rPr>
        <w:t>5.1营业执照(或事业法人登记证书)…………………………………………（页码）</w:t>
      </w:r>
      <w:bookmarkEnd w:id="96"/>
    </w:p>
    <w:p>
      <w:pPr>
        <w:pStyle w:val="38"/>
        <w:spacing w:line="360" w:lineRule="auto"/>
        <w:ind w:firstLine="240" w:firstLineChars="100"/>
        <w:jc w:val="left"/>
        <w:rPr>
          <w:rFonts w:ascii="仿宋" w:hAnsi="仿宋" w:eastAsia="仿宋" w:cs="仿宋"/>
          <w:color w:val="auto"/>
        </w:rPr>
      </w:pPr>
      <w:r>
        <w:rPr>
          <w:rFonts w:hint="eastAsia" w:ascii="仿宋" w:hAnsi="仿宋" w:eastAsia="仿宋" w:cs="仿宋"/>
          <w:color w:val="auto"/>
        </w:rPr>
        <w:t>5.2</w:t>
      </w:r>
      <w:bookmarkStart w:id="97" w:name="_Toc64369788"/>
      <w:r>
        <w:rPr>
          <w:rFonts w:hint="eastAsia" w:ascii="仿宋" w:hAnsi="仿宋" w:eastAsia="仿宋" w:cs="仿宋"/>
          <w:color w:val="auto"/>
        </w:rPr>
        <w:t>特定资格条件的有关证明材料（如有）…………………………………（页码）</w:t>
      </w:r>
      <w:bookmarkEnd w:id="97"/>
    </w:p>
    <w:p>
      <w:pPr>
        <w:pStyle w:val="38"/>
        <w:spacing w:line="360" w:lineRule="auto"/>
        <w:ind w:firstLine="0" w:firstLineChars="0"/>
        <w:jc w:val="left"/>
        <w:rPr>
          <w:rFonts w:ascii="仿宋" w:hAnsi="仿宋" w:eastAsia="仿宋" w:cs="仿宋"/>
          <w:color w:val="auto"/>
        </w:rPr>
      </w:pPr>
      <w:r>
        <w:rPr>
          <w:rFonts w:hint="eastAsia" w:ascii="仿宋" w:hAnsi="仿宋" w:eastAsia="仿宋" w:cs="仿宋"/>
          <w:color w:val="auto"/>
        </w:rPr>
        <w:t>6.中小企业声明函（如有）………………………………………………………（页码）</w:t>
      </w:r>
    </w:p>
    <w:p>
      <w:pPr>
        <w:pStyle w:val="38"/>
        <w:spacing w:line="360" w:lineRule="auto"/>
        <w:ind w:firstLine="0" w:firstLineChars="0"/>
        <w:jc w:val="left"/>
        <w:rPr>
          <w:rFonts w:ascii="仿宋" w:hAnsi="仿宋" w:eastAsia="仿宋" w:cs="仿宋"/>
          <w:color w:val="auto"/>
        </w:rPr>
      </w:pPr>
      <w:r>
        <w:rPr>
          <w:rFonts w:hint="eastAsia" w:ascii="仿宋" w:hAnsi="仿宋" w:eastAsia="仿宋" w:cs="仿宋"/>
          <w:color w:val="auto"/>
        </w:rPr>
        <w:t>7.残疾人福利性单位声明函（如有）……………………………………………（页码）</w:t>
      </w:r>
    </w:p>
    <w:p>
      <w:pPr>
        <w:spacing w:line="360" w:lineRule="auto"/>
        <w:jc w:val="left"/>
        <w:rPr>
          <w:rFonts w:ascii="仿宋" w:hAnsi="仿宋" w:eastAsia="仿宋" w:cs="仿宋"/>
          <w:b/>
          <w:bCs/>
          <w:color w:val="auto"/>
          <w:sz w:val="24"/>
        </w:rPr>
      </w:pPr>
    </w:p>
    <w:p>
      <w:pPr>
        <w:spacing w:line="360" w:lineRule="auto"/>
        <w:jc w:val="left"/>
        <w:rPr>
          <w:rFonts w:ascii="仿宋" w:hAnsi="仿宋" w:eastAsia="仿宋" w:cs="仿宋"/>
          <w:b/>
          <w:bCs/>
          <w:color w:val="auto"/>
          <w:sz w:val="24"/>
        </w:rPr>
      </w:pPr>
      <w:r>
        <w:rPr>
          <w:rFonts w:hint="eastAsia" w:ascii="仿宋" w:hAnsi="仿宋" w:eastAsia="仿宋" w:cs="仿宋"/>
          <w:b/>
          <w:bCs/>
          <w:color w:val="auto"/>
          <w:sz w:val="24"/>
        </w:rPr>
        <w:t>注：以上文件按采购文件提供的格式制作，投标供应商根据内容做好加密电子投标文件的关联点设置。</w:t>
      </w:r>
    </w:p>
    <w:p>
      <w:pPr>
        <w:pageBreakBefore/>
        <w:rPr>
          <w:rFonts w:ascii="仿宋" w:hAnsi="仿宋" w:eastAsia="仿宋" w:cs="仿宋"/>
          <w:b/>
          <w:color w:val="auto"/>
          <w:sz w:val="28"/>
          <w:szCs w:val="28"/>
        </w:rPr>
      </w:pPr>
      <w:r>
        <w:rPr>
          <w:rFonts w:hint="eastAsia" w:ascii="仿宋" w:hAnsi="仿宋" w:eastAsia="仿宋" w:cs="仿宋"/>
          <w:b/>
          <w:color w:val="auto"/>
          <w:sz w:val="28"/>
          <w:szCs w:val="28"/>
        </w:rPr>
        <w:t>附件3：投标声明函</w:t>
      </w:r>
    </w:p>
    <w:p>
      <w:pPr>
        <w:pStyle w:val="33"/>
        <w:spacing w:afterLines="0" w:line="440" w:lineRule="exact"/>
        <w:ind w:firstLine="0" w:firstLineChars="0"/>
        <w:rPr>
          <w:rFonts w:ascii="仿宋" w:hAnsi="仿宋" w:eastAsia="仿宋" w:cs="仿宋"/>
          <w:color w:val="auto"/>
          <w:szCs w:val="24"/>
        </w:rPr>
      </w:pPr>
      <w:r>
        <w:rPr>
          <w:rFonts w:hint="eastAsia" w:ascii="仿宋" w:hAnsi="仿宋" w:eastAsia="仿宋" w:cs="仿宋"/>
          <w:color w:val="auto"/>
          <w:szCs w:val="24"/>
        </w:rPr>
        <w:t>致</w:t>
      </w:r>
      <w:r>
        <w:rPr>
          <w:rFonts w:hint="eastAsia" w:ascii="仿宋" w:hAnsi="仿宋" w:eastAsia="仿宋" w:cs="仿宋"/>
          <w:color w:val="auto"/>
          <w:szCs w:val="24"/>
          <w:u w:val="single"/>
        </w:rPr>
        <w:t xml:space="preserve"> （填写采购代理机构或采购人名称） </w:t>
      </w:r>
      <w:r>
        <w:rPr>
          <w:rFonts w:hint="eastAsia" w:ascii="仿宋" w:hAnsi="仿宋" w:eastAsia="仿宋" w:cs="仿宋"/>
          <w:color w:val="auto"/>
          <w:szCs w:val="24"/>
        </w:rPr>
        <w:t xml:space="preserve">： </w:t>
      </w:r>
    </w:p>
    <w:p>
      <w:pPr>
        <w:pStyle w:val="33"/>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我方</w:t>
      </w:r>
      <w:r>
        <w:rPr>
          <w:rFonts w:hint="eastAsia" w:ascii="仿宋" w:hAnsi="仿宋" w:eastAsia="仿宋" w:cs="仿宋"/>
          <w:color w:val="auto"/>
          <w:szCs w:val="24"/>
          <w:u w:val="single"/>
        </w:rPr>
        <w:t xml:space="preserve">  （填写投标人全称；联合体投标的写全部联合体成员）   </w:t>
      </w:r>
      <w:r>
        <w:rPr>
          <w:rFonts w:hint="eastAsia" w:ascii="仿宋" w:hAnsi="仿宋" w:eastAsia="仿宋" w:cs="仿宋"/>
          <w:color w:val="auto"/>
          <w:szCs w:val="24"/>
        </w:rPr>
        <w:t>愿意参加贵方组织的</w:t>
      </w:r>
      <w:r>
        <w:rPr>
          <w:rFonts w:hint="eastAsia" w:ascii="仿宋" w:hAnsi="仿宋" w:eastAsia="仿宋" w:cs="仿宋"/>
          <w:color w:val="auto"/>
          <w:szCs w:val="24"/>
          <w:u w:val="single"/>
        </w:rPr>
        <w:t>（填写招标项目名称）（采购编号：    ）</w:t>
      </w:r>
      <w:r>
        <w:rPr>
          <w:rFonts w:hint="eastAsia" w:ascii="仿宋" w:hAnsi="仿宋" w:eastAsia="仿宋" w:cs="仿宋"/>
          <w:color w:val="auto"/>
          <w:szCs w:val="24"/>
        </w:rPr>
        <w:t>的投标，为此，我方就本次投标有关事项郑重声明如下：</w:t>
      </w:r>
    </w:p>
    <w:p>
      <w:pPr>
        <w:pStyle w:val="33"/>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1.我方已详细审查全部采购文件，同意采购文件的各项要求。</w:t>
      </w:r>
    </w:p>
    <w:p>
      <w:pPr>
        <w:pStyle w:val="8"/>
        <w:tabs>
          <w:tab w:val="clear" w:pos="1697"/>
        </w:tabs>
        <w:spacing w:afterLines="0" w:line="440" w:lineRule="exact"/>
        <w:ind w:left="0" w:firstLine="480" w:firstLineChars="200"/>
        <w:rPr>
          <w:rFonts w:ascii="仿宋" w:hAnsi="仿宋" w:eastAsia="仿宋" w:cs="仿宋"/>
          <w:color w:val="auto"/>
          <w:szCs w:val="24"/>
        </w:rPr>
      </w:pPr>
      <w:r>
        <w:rPr>
          <w:rFonts w:hint="eastAsia" w:ascii="仿宋" w:hAnsi="仿宋" w:eastAsia="仿宋" w:cs="仿宋"/>
          <w:color w:val="auto"/>
          <w:szCs w:val="24"/>
        </w:rPr>
        <w:t>2.若我方中标，承诺按采购文件、投标文件和合同的规定履行责任和义务。</w:t>
      </w:r>
    </w:p>
    <w:p>
      <w:pPr>
        <w:pStyle w:val="33"/>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3.</w:t>
      </w:r>
      <w:r>
        <w:rPr>
          <w:rFonts w:hint="eastAsia" w:ascii="仿宋" w:hAnsi="仿宋" w:eastAsia="仿宋" w:cs="仿宋"/>
          <w:b/>
          <w:bCs/>
          <w:color w:val="auto"/>
          <w:lang w:val="zh-CN"/>
        </w:rPr>
        <w:t>我方</w:t>
      </w:r>
      <w:r>
        <w:rPr>
          <w:rFonts w:hint="eastAsia" w:ascii="仿宋" w:hAnsi="仿宋" w:eastAsia="仿宋" w:cs="仿宋"/>
          <w:b/>
          <w:bCs/>
          <w:color w:val="auto"/>
        </w:rPr>
        <w:t>声明参加本次政府采购活动前三年内，在经营活动中没有重大违法记录。我方通过“信用中国”网站（www.creditchina.gov.cn）、中国政府采购网（www.ccgp.gov.cn）查询，未被列入失信被执行人、重大税收违法案件当事人名单、政府采购严重违法失信行为记录名单。</w:t>
      </w:r>
    </w:p>
    <w:p>
      <w:pPr>
        <w:pStyle w:val="33"/>
        <w:spacing w:afterLines="0" w:line="440" w:lineRule="exact"/>
        <w:ind w:firstLine="480"/>
        <w:rPr>
          <w:rFonts w:ascii="仿宋" w:hAnsi="仿宋" w:eastAsia="仿宋" w:cs="仿宋"/>
          <w:color w:val="auto"/>
          <w:szCs w:val="24"/>
        </w:rPr>
      </w:pPr>
      <w:r>
        <w:rPr>
          <w:rFonts w:hint="eastAsia" w:ascii="仿宋" w:hAnsi="仿宋" w:eastAsia="仿宋" w:cs="仿宋"/>
          <w:color w:val="auto"/>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33"/>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5.我方保证所供货物质量符合国家强制性规范和标准，达到采购文件规定的要求；</w:t>
      </w:r>
    </w:p>
    <w:p>
      <w:pPr>
        <w:pStyle w:val="8"/>
        <w:tabs>
          <w:tab w:val="clear" w:pos="1697"/>
        </w:tabs>
        <w:spacing w:afterLines="0" w:line="440" w:lineRule="exact"/>
        <w:ind w:left="0" w:firstLine="480" w:firstLineChars="200"/>
        <w:rPr>
          <w:rFonts w:ascii="仿宋" w:hAnsi="仿宋" w:eastAsia="仿宋" w:cs="仿宋"/>
          <w:color w:val="auto"/>
          <w:szCs w:val="24"/>
        </w:rPr>
      </w:pPr>
      <w:r>
        <w:rPr>
          <w:rFonts w:hint="eastAsia" w:ascii="仿宋" w:hAnsi="仿宋" w:eastAsia="仿宋" w:cs="仿宋"/>
          <w:color w:val="auto"/>
        </w:rPr>
        <w:t>6.</w:t>
      </w:r>
      <w:r>
        <w:rPr>
          <w:rFonts w:hint="eastAsia" w:ascii="仿宋" w:hAnsi="仿宋" w:eastAsia="仿宋" w:cs="仿宋"/>
          <w:color w:val="auto"/>
          <w:szCs w:val="24"/>
        </w:rPr>
        <w:t>我方承诺具备良好的财务制度并且没有税收缴纳、社会保障等方面的失信记录。</w:t>
      </w:r>
    </w:p>
    <w:p>
      <w:pPr>
        <w:pStyle w:val="33"/>
        <w:spacing w:afterLines="0" w:line="440" w:lineRule="exact"/>
        <w:ind w:firstLine="480"/>
        <w:rPr>
          <w:rFonts w:ascii="仿宋" w:hAnsi="仿宋" w:eastAsia="仿宋" w:cs="仿宋"/>
          <w:color w:val="auto"/>
          <w:szCs w:val="24"/>
        </w:rPr>
      </w:pPr>
      <w:r>
        <w:rPr>
          <w:rFonts w:hint="eastAsia" w:ascii="仿宋" w:hAnsi="仿宋" w:eastAsia="仿宋" w:cs="仿宋"/>
          <w:color w:val="auto"/>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ascii="仿宋" w:hAnsi="仿宋" w:eastAsia="仿宋" w:cs="仿宋"/>
          <w:color w:val="auto"/>
          <w:sz w:val="30"/>
          <w:szCs w:val="30"/>
        </w:rPr>
      </w:pPr>
      <w:r>
        <w:rPr>
          <w:rFonts w:hint="eastAsia" w:ascii="仿宋" w:hAnsi="仿宋" w:eastAsia="仿宋" w:cs="仿宋"/>
          <w:color w:val="auto"/>
          <w:sz w:val="24"/>
        </w:rPr>
        <w:t>8.我方承诺若违反《中华人民共和国政府采购法》第七十七条规定，愿接受依法处理。</w:t>
      </w:r>
    </w:p>
    <w:p>
      <w:pPr>
        <w:pStyle w:val="33"/>
        <w:spacing w:afterLines="0" w:line="440" w:lineRule="exact"/>
        <w:ind w:firstLine="480"/>
        <w:rPr>
          <w:rFonts w:ascii="仿宋" w:hAnsi="仿宋" w:eastAsia="仿宋" w:cs="仿宋"/>
          <w:color w:val="auto"/>
          <w:szCs w:val="24"/>
        </w:rPr>
      </w:pPr>
    </w:p>
    <w:p>
      <w:pPr>
        <w:pStyle w:val="33"/>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法定代表人或其授权代表(签字或签章)：</w:t>
      </w:r>
    </w:p>
    <w:p>
      <w:pPr>
        <w:pStyle w:val="33"/>
        <w:spacing w:afterLines="0" w:line="440" w:lineRule="exact"/>
        <w:ind w:firstLine="480"/>
        <w:rPr>
          <w:rFonts w:ascii="仿宋" w:hAnsi="仿宋" w:eastAsia="仿宋" w:cs="仿宋"/>
          <w:color w:val="auto"/>
          <w:szCs w:val="24"/>
        </w:rPr>
      </w:pPr>
    </w:p>
    <w:p>
      <w:pPr>
        <w:pStyle w:val="33"/>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 xml:space="preserve">投标人(盖章)：　　　　　　　　　　　　　　　　　　　　日期：     </w:t>
      </w:r>
    </w:p>
    <w:p>
      <w:pPr>
        <w:pStyle w:val="33"/>
        <w:spacing w:afterLines="0" w:line="440" w:lineRule="exact"/>
        <w:ind w:firstLine="480"/>
        <w:rPr>
          <w:rFonts w:ascii="仿宋" w:hAnsi="仿宋" w:eastAsia="仿宋" w:cs="仿宋"/>
          <w:color w:val="auto"/>
          <w:szCs w:val="24"/>
        </w:rPr>
      </w:pPr>
    </w:p>
    <w:p>
      <w:pPr>
        <w:pStyle w:val="33"/>
        <w:spacing w:afterLines="0" w:line="440" w:lineRule="exact"/>
        <w:ind w:firstLine="480"/>
        <w:rPr>
          <w:rFonts w:ascii="仿宋" w:hAnsi="仿宋" w:eastAsia="仿宋" w:cs="仿宋"/>
          <w:color w:val="auto"/>
          <w:szCs w:val="24"/>
        </w:rPr>
      </w:pPr>
    </w:p>
    <w:p>
      <w:pPr>
        <w:pStyle w:val="33"/>
        <w:spacing w:afterLines="0" w:line="440" w:lineRule="exact"/>
        <w:ind w:firstLine="0" w:firstLineChars="0"/>
        <w:rPr>
          <w:rFonts w:ascii="仿宋" w:hAnsi="仿宋" w:eastAsia="仿宋" w:cs="仿宋"/>
          <w:b/>
          <w:bCs/>
          <w:color w:val="auto"/>
          <w:sz w:val="28"/>
          <w:szCs w:val="28"/>
        </w:rPr>
      </w:pPr>
      <w:r>
        <w:rPr>
          <w:rFonts w:hint="eastAsia" w:ascii="仿宋" w:hAnsi="仿宋" w:eastAsia="仿宋" w:cs="仿宋"/>
          <w:b/>
          <w:bCs/>
          <w:color w:val="auto"/>
          <w:sz w:val="28"/>
          <w:szCs w:val="28"/>
        </w:rPr>
        <w:t>附件4：联合体协议书（如有）</w:t>
      </w:r>
    </w:p>
    <w:p>
      <w:pPr>
        <w:pStyle w:val="10"/>
        <w:overflowPunct w:val="0"/>
        <w:spacing w:line="360" w:lineRule="auto"/>
        <w:ind w:firstLine="0"/>
        <w:jc w:val="center"/>
        <w:rPr>
          <w:rFonts w:ascii="仿宋" w:hAnsi="仿宋" w:eastAsia="仿宋" w:cs="仿宋"/>
          <w:b/>
          <w:color w:val="auto"/>
          <w:spacing w:val="40"/>
          <w:kern w:val="0"/>
          <w:sz w:val="24"/>
          <w:szCs w:val="24"/>
        </w:rPr>
      </w:pPr>
      <w:r>
        <w:rPr>
          <w:rFonts w:hint="eastAsia" w:ascii="仿宋" w:hAnsi="仿宋" w:eastAsia="仿宋" w:cs="仿宋"/>
          <w:b/>
          <w:color w:val="auto"/>
          <w:spacing w:val="40"/>
          <w:kern w:val="0"/>
          <w:sz w:val="24"/>
          <w:szCs w:val="24"/>
        </w:rPr>
        <w:t>联合体协议书</w:t>
      </w:r>
    </w:p>
    <w:p>
      <w:pPr>
        <w:pStyle w:val="10"/>
        <w:overflowPunct w:val="0"/>
        <w:spacing w:line="460" w:lineRule="exact"/>
        <w:ind w:firstLine="513" w:firstLineChars="214"/>
        <w:rPr>
          <w:rFonts w:ascii="仿宋" w:hAnsi="仿宋" w:eastAsia="仿宋" w:cs="仿宋"/>
          <w:color w:val="auto"/>
          <w:sz w:val="24"/>
          <w:szCs w:val="24"/>
        </w:rPr>
      </w:pPr>
      <w:r>
        <w:rPr>
          <w:rFonts w:hint="eastAsia" w:ascii="仿宋" w:hAnsi="仿宋" w:eastAsia="仿宋" w:cs="仿宋"/>
          <w:color w:val="auto"/>
          <w:sz w:val="24"/>
          <w:szCs w:val="24"/>
        </w:rPr>
        <w:t>甲方：</w:t>
      </w:r>
    </w:p>
    <w:p>
      <w:pPr>
        <w:pStyle w:val="10"/>
        <w:overflowPunct w:val="0"/>
        <w:spacing w:line="460" w:lineRule="exact"/>
        <w:ind w:firstLine="513" w:firstLineChars="214"/>
        <w:rPr>
          <w:rFonts w:ascii="仿宋" w:hAnsi="仿宋" w:eastAsia="仿宋" w:cs="仿宋"/>
          <w:color w:val="auto"/>
          <w:sz w:val="24"/>
          <w:szCs w:val="24"/>
        </w:rPr>
      </w:pPr>
      <w:r>
        <w:rPr>
          <w:rFonts w:hint="eastAsia" w:ascii="仿宋" w:hAnsi="仿宋" w:eastAsia="仿宋" w:cs="仿宋"/>
          <w:color w:val="auto"/>
          <w:sz w:val="24"/>
          <w:szCs w:val="24"/>
        </w:rPr>
        <w:t>乙方：</w:t>
      </w:r>
    </w:p>
    <w:p>
      <w:pPr>
        <w:pStyle w:val="10"/>
        <w:overflowPunct w:val="0"/>
        <w:spacing w:line="460" w:lineRule="exact"/>
        <w:ind w:firstLine="513" w:firstLineChars="214"/>
        <w:rPr>
          <w:rFonts w:ascii="仿宋" w:hAnsi="仿宋" w:eastAsia="仿宋" w:cs="仿宋"/>
          <w:color w:val="auto"/>
          <w:sz w:val="24"/>
          <w:szCs w:val="24"/>
        </w:rPr>
      </w:pPr>
      <w:r>
        <w:rPr>
          <w:rFonts w:hint="eastAsia" w:ascii="仿宋" w:hAnsi="仿宋" w:eastAsia="仿宋" w:cs="仿宋"/>
          <w:color w:val="auto"/>
          <w:sz w:val="24"/>
          <w:szCs w:val="24"/>
        </w:rPr>
        <w:t>（如果有的话，可按甲、乙、丙、丁…序列增加）</w:t>
      </w:r>
    </w:p>
    <w:p>
      <w:pPr>
        <w:pStyle w:val="10"/>
        <w:overflowPunct w:val="0"/>
        <w:spacing w:line="460" w:lineRule="exact"/>
        <w:ind w:firstLine="513" w:firstLineChars="214"/>
        <w:rPr>
          <w:rFonts w:ascii="仿宋" w:hAnsi="仿宋" w:eastAsia="仿宋" w:cs="仿宋"/>
          <w:color w:val="auto"/>
          <w:sz w:val="24"/>
          <w:szCs w:val="24"/>
        </w:rPr>
      </w:pPr>
      <w:r>
        <w:rPr>
          <w:rFonts w:hint="eastAsia" w:ascii="仿宋" w:hAnsi="仿宋" w:eastAsia="仿宋" w:cs="仿宋"/>
          <w:color w:val="auto"/>
          <w:sz w:val="24"/>
          <w:szCs w:val="24"/>
        </w:rPr>
        <w:t xml:space="preserve">各方经协商，就响应 </w:t>
      </w:r>
      <w:r>
        <w:rPr>
          <w:rFonts w:hint="eastAsia" w:ascii="仿宋" w:hAnsi="仿宋" w:eastAsia="仿宋" w:cs="仿宋"/>
          <w:color w:val="auto"/>
          <w:sz w:val="24"/>
          <w:szCs w:val="24"/>
          <w:u w:val="single"/>
        </w:rPr>
        <w:t xml:space="preserve">  （填写采购代理机构名称）         </w:t>
      </w:r>
      <w:r>
        <w:rPr>
          <w:rFonts w:hint="eastAsia" w:ascii="仿宋" w:hAnsi="仿宋" w:eastAsia="仿宋" w:cs="仿宋"/>
          <w:color w:val="auto"/>
          <w:sz w:val="24"/>
          <w:szCs w:val="24"/>
        </w:rPr>
        <w:t>组织实施的</w:t>
      </w:r>
      <w:r>
        <w:rPr>
          <w:rFonts w:hint="eastAsia" w:ascii="仿宋" w:hAnsi="仿宋" w:eastAsia="仿宋" w:cs="仿宋"/>
          <w:color w:val="auto"/>
          <w:sz w:val="24"/>
          <w:szCs w:val="24"/>
          <w:u w:val="single"/>
        </w:rPr>
        <w:t xml:space="preserve"> （填写项目名称）  </w:t>
      </w:r>
      <w:r>
        <w:rPr>
          <w:rFonts w:hint="eastAsia" w:ascii="仿宋" w:hAnsi="仿宋" w:eastAsia="仿宋" w:cs="仿宋"/>
          <w:color w:val="auto"/>
          <w:sz w:val="24"/>
          <w:szCs w:val="24"/>
        </w:rPr>
        <w:t>项目编号为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的招标活动联合进行投标之事宜，达成如下协议：</w:t>
      </w:r>
    </w:p>
    <w:p>
      <w:pPr>
        <w:pStyle w:val="10"/>
        <w:numPr>
          <w:ilvl w:val="0"/>
          <w:numId w:val="11"/>
        </w:numPr>
        <w:overflowPunct w:val="0"/>
        <w:spacing w:line="460" w:lineRule="exact"/>
        <w:ind w:left="0" w:firstLine="524"/>
        <w:rPr>
          <w:rFonts w:ascii="仿宋" w:hAnsi="仿宋" w:eastAsia="仿宋" w:cs="仿宋"/>
          <w:color w:val="auto"/>
          <w:sz w:val="24"/>
          <w:szCs w:val="24"/>
        </w:rPr>
      </w:pPr>
      <w:r>
        <w:rPr>
          <w:rFonts w:hint="eastAsia" w:ascii="仿宋" w:hAnsi="仿宋" w:eastAsia="仿宋" w:cs="仿宋"/>
          <w:color w:val="auto"/>
          <w:sz w:val="24"/>
          <w:szCs w:val="24"/>
        </w:rPr>
        <w:t>各方一致决定组成一个联合体，以一个供应商的身份共同参加本项目政府采购。</w:t>
      </w:r>
    </w:p>
    <w:p>
      <w:pPr>
        <w:pStyle w:val="10"/>
        <w:numPr>
          <w:ilvl w:val="0"/>
          <w:numId w:val="11"/>
        </w:numPr>
        <w:overflowPunct w:val="0"/>
        <w:spacing w:line="460" w:lineRule="exact"/>
        <w:ind w:left="0" w:firstLine="524"/>
        <w:rPr>
          <w:rFonts w:ascii="仿宋" w:hAnsi="仿宋" w:eastAsia="仿宋" w:cs="仿宋"/>
          <w:color w:val="auto"/>
          <w:sz w:val="24"/>
          <w:szCs w:val="24"/>
        </w:rPr>
      </w:pPr>
      <w:r>
        <w:rPr>
          <w:rFonts w:hint="eastAsia" w:ascii="仿宋" w:hAnsi="仿宋" w:eastAsia="仿宋" w:cs="仿宋"/>
          <w:color w:val="auto"/>
          <w:sz w:val="24"/>
          <w:szCs w:val="24"/>
        </w:rPr>
        <w:t xml:space="preserve">以 </w:t>
      </w:r>
      <w:r>
        <w:rPr>
          <w:rFonts w:hint="eastAsia" w:ascii="仿宋" w:hAnsi="仿宋" w:eastAsia="仿宋" w:cs="仿宋"/>
          <w:color w:val="auto"/>
          <w:sz w:val="24"/>
          <w:szCs w:val="24"/>
          <w:u w:val="single"/>
        </w:rPr>
        <w:t xml:space="preserve">  （填写联合体牵头人名称）  </w:t>
      </w:r>
      <w:r>
        <w:rPr>
          <w:rFonts w:hint="eastAsia" w:ascii="仿宋" w:hAnsi="仿宋" w:eastAsia="仿宋" w:cs="仿宋"/>
          <w:color w:val="auto"/>
          <w:sz w:val="24"/>
          <w:szCs w:val="24"/>
        </w:rPr>
        <w:t xml:space="preserve"> 为联合体牵头人，负责包括但不仅限于投标、配合处理质疑投诉等一切和采购活动相关的事宜。</w:t>
      </w:r>
    </w:p>
    <w:p>
      <w:pPr>
        <w:pStyle w:val="10"/>
        <w:overflowPunct w:val="0"/>
        <w:spacing w:line="460" w:lineRule="exact"/>
        <w:ind w:firstLine="513" w:firstLineChars="214"/>
        <w:rPr>
          <w:rFonts w:ascii="仿宋" w:hAnsi="仿宋" w:eastAsia="仿宋" w:cs="仿宋"/>
          <w:color w:val="auto"/>
          <w:sz w:val="24"/>
          <w:szCs w:val="24"/>
        </w:rPr>
      </w:pPr>
      <w:r>
        <w:rPr>
          <w:rFonts w:hint="eastAsia" w:ascii="仿宋" w:hAnsi="仿宋" w:eastAsia="仿宋" w:cs="仿宋"/>
          <w:color w:val="auto"/>
          <w:sz w:val="24"/>
          <w:szCs w:val="24"/>
        </w:rPr>
        <w:t>三、联合体各方对投标响应文件及开标过程中的各种书面承诺、澄清等均予以认可，对联合投标各方均产生约束力。</w:t>
      </w:r>
    </w:p>
    <w:p>
      <w:pPr>
        <w:pStyle w:val="10"/>
        <w:overflowPunct w:val="0"/>
        <w:spacing w:line="460" w:lineRule="exact"/>
        <w:ind w:firstLine="513" w:firstLineChars="214"/>
        <w:rPr>
          <w:rFonts w:ascii="仿宋" w:hAnsi="仿宋" w:eastAsia="仿宋" w:cs="仿宋"/>
          <w:color w:val="auto"/>
          <w:sz w:val="24"/>
          <w:szCs w:val="24"/>
        </w:rPr>
      </w:pPr>
      <w:r>
        <w:rPr>
          <w:rFonts w:hint="eastAsia" w:ascii="仿宋" w:hAnsi="仿宋" w:eastAsia="仿宋" w:cs="仿宋"/>
          <w:color w:val="auto"/>
          <w:sz w:val="24"/>
          <w:szCs w:val="24"/>
        </w:rPr>
        <w:t>四、如果中标，联合投标各方共同与采购人签订采购合同，共同履行对采购人所负有的全部义务并就采购合同约定的事项对采购人承担连带责任。</w:t>
      </w:r>
    </w:p>
    <w:p>
      <w:pPr>
        <w:pStyle w:val="10"/>
        <w:overflowPunct w:val="0"/>
        <w:spacing w:line="460" w:lineRule="exact"/>
        <w:ind w:firstLine="513" w:firstLineChars="214"/>
        <w:rPr>
          <w:rFonts w:ascii="仿宋" w:hAnsi="仿宋" w:eastAsia="仿宋" w:cs="仿宋"/>
          <w:color w:val="auto"/>
          <w:sz w:val="24"/>
          <w:szCs w:val="24"/>
        </w:rPr>
      </w:pPr>
      <w:r>
        <w:rPr>
          <w:rFonts w:hint="eastAsia" w:ascii="仿宋" w:hAnsi="仿宋" w:eastAsia="仿宋" w:cs="仿宋"/>
          <w:color w:val="auto"/>
          <w:sz w:val="24"/>
          <w:szCs w:val="24"/>
        </w:rPr>
        <w:t>五、联合体各方不再单独参加或与其他供应商另外组成联合体参加同一标项（项目）的政府采购活动，否则均被视为无效投标。</w:t>
      </w:r>
    </w:p>
    <w:p>
      <w:pPr>
        <w:pStyle w:val="10"/>
        <w:overflowPunct w:val="0"/>
        <w:spacing w:line="460" w:lineRule="exact"/>
        <w:ind w:firstLine="513" w:firstLineChars="214"/>
        <w:rPr>
          <w:rFonts w:ascii="仿宋" w:hAnsi="仿宋" w:eastAsia="仿宋" w:cs="仿宋"/>
          <w:color w:val="auto"/>
          <w:sz w:val="24"/>
          <w:szCs w:val="24"/>
        </w:rPr>
      </w:pPr>
      <w:r>
        <w:rPr>
          <w:rFonts w:hint="eastAsia" w:ascii="仿宋" w:hAnsi="仿宋" w:eastAsia="仿宋" w:cs="仿宋"/>
          <w:color w:val="auto"/>
          <w:sz w:val="24"/>
          <w:szCs w:val="24"/>
        </w:rPr>
        <w:t>六、如果中标，联合体各方在项目实施过程中承担的货物和服务为：</w:t>
      </w:r>
    </w:p>
    <w:p>
      <w:pPr>
        <w:pStyle w:val="10"/>
        <w:overflowPunct w:val="0"/>
        <w:spacing w:line="460" w:lineRule="exact"/>
        <w:ind w:firstLine="513" w:firstLineChars="214"/>
        <w:rPr>
          <w:rFonts w:ascii="仿宋" w:hAnsi="仿宋" w:eastAsia="仿宋" w:cs="仿宋"/>
          <w:color w:val="auto"/>
          <w:sz w:val="24"/>
          <w:szCs w:val="24"/>
        </w:rPr>
      </w:pPr>
      <w:r>
        <w:rPr>
          <w:rFonts w:hint="eastAsia" w:ascii="仿宋" w:hAnsi="仿宋" w:eastAsia="仿宋" w:cs="仿宋"/>
          <w:color w:val="auto"/>
          <w:sz w:val="24"/>
          <w:szCs w:val="24"/>
        </w:rPr>
        <w:t>甲方：…            乙方：…</w:t>
      </w:r>
    </w:p>
    <w:p>
      <w:pPr>
        <w:pStyle w:val="10"/>
        <w:overflowPunct w:val="0"/>
        <w:spacing w:line="460" w:lineRule="exact"/>
        <w:ind w:firstLine="513" w:firstLineChars="214"/>
        <w:rPr>
          <w:rFonts w:ascii="仿宋" w:hAnsi="仿宋" w:eastAsia="仿宋" w:cs="仿宋"/>
          <w:color w:val="auto"/>
          <w:sz w:val="24"/>
          <w:szCs w:val="24"/>
        </w:rPr>
      </w:pPr>
      <w:r>
        <w:rPr>
          <w:rFonts w:hint="eastAsia" w:ascii="仿宋" w:hAnsi="仿宋" w:eastAsia="仿宋" w:cs="仿宋"/>
          <w:color w:val="auto"/>
          <w:sz w:val="24"/>
          <w:szCs w:val="24"/>
        </w:rPr>
        <w:t>…</w:t>
      </w:r>
    </w:p>
    <w:p>
      <w:pPr>
        <w:pStyle w:val="10"/>
        <w:overflowPunct w:val="0"/>
        <w:spacing w:line="460" w:lineRule="exact"/>
        <w:ind w:firstLine="513" w:firstLineChars="214"/>
        <w:rPr>
          <w:rFonts w:ascii="仿宋" w:hAnsi="仿宋" w:eastAsia="仿宋" w:cs="仿宋"/>
          <w:color w:val="auto"/>
          <w:sz w:val="24"/>
        </w:rPr>
      </w:pPr>
      <w:r>
        <w:rPr>
          <w:rFonts w:hint="eastAsia" w:ascii="仿宋" w:hAnsi="仿宋" w:eastAsia="仿宋" w:cs="仿宋"/>
          <w:color w:val="auto"/>
          <w:sz w:val="24"/>
          <w:szCs w:val="24"/>
        </w:rPr>
        <w:t>七、联合体各方在本项目实施过程中承担的</w:t>
      </w:r>
      <w:r>
        <w:rPr>
          <w:rFonts w:hint="eastAsia" w:ascii="仿宋" w:hAnsi="仿宋" w:eastAsia="仿宋" w:cs="仿宋"/>
          <w:color w:val="auto"/>
          <w:sz w:val="24"/>
        </w:rPr>
        <w:t>合同比例分别为：</w:t>
      </w:r>
    </w:p>
    <w:p>
      <w:pPr>
        <w:pStyle w:val="10"/>
        <w:overflowPunct w:val="0"/>
        <w:spacing w:line="460" w:lineRule="exact"/>
        <w:ind w:firstLine="513" w:firstLineChars="214"/>
        <w:rPr>
          <w:rFonts w:ascii="仿宋" w:hAnsi="仿宋" w:eastAsia="仿宋" w:cs="仿宋"/>
          <w:color w:val="auto"/>
          <w:sz w:val="24"/>
          <w:szCs w:val="24"/>
        </w:rPr>
      </w:pPr>
      <w:r>
        <w:rPr>
          <w:rFonts w:hint="eastAsia" w:ascii="仿宋" w:hAnsi="仿宋" w:eastAsia="仿宋" w:cs="仿宋"/>
          <w:color w:val="auto"/>
          <w:sz w:val="24"/>
          <w:szCs w:val="24"/>
        </w:rPr>
        <w:t>甲方：…            乙方：…</w:t>
      </w:r>
    </w:p>
    <w:p>
      <w:pPr>
        <w:pStyle w:val="10"/>
        <w:overflowPunct w:val="0"/>
        <w:spacing w:line="460" w:lineRule="exact"/>
        <w:ind w:firstLine="513" w:firstLineChars="214"/>
        <w:rPr>
          <w:rFonts w:ascii="仿宋" w:hAnsi="仿宋" w:eastAsia="仿宋" w:cs="仿宋"/>
          <w:color w:val="auto"/>
          <w:sz w:val="24"/>
          <w:szCs w:val="24"/>
        </w:rPr>
      </w:pPr>
      <w:r>
        <w:rPr>
          <w:rFonts w:hint="eastAsia" w:ascii="仿宋" w:hAnsi="仿宋" w:eastAsia="仿宋" w:cs="仿宋"/>
          <w:color w:val="auto"/>
          <w:sz w:val="24"/>
          <w:szCs w:val="24"/>
        </w:rPr>
        <w:t>…</w:t>
      </w:r>
    </w:p>
    <w:p>
      <w:pPr>
        <w:pStyle w:val="10"/>
        <w:overflowPunct w:val="0"/>
        <w:spacing w:line="460" w:lineRule="exact"/>
        <w:ind w:firstLine="513" w:firstLineChars="214"/>
        <w:rPr>
          <w:rFonts w:ascii="仿宋" w:hAnsi="仿宋" w:eastAsia="仿宋" w:cs="仿宋"/>
          <w:color w:val="auto"/>
          <w:sz w:val="24"/>
          <w:szCs w:val="24"/>
        </w:rPr>
      </w:pPr>
      <w:r>
        <w:rPr>
          <w:rFonts w:hint="eastAsia" w:ascii="仿宋" w:hAnsi="仿宋" w:eastAsia="仿宋" w:cs="仿宋"/>
          <w:color w:val="auto"/>
          <w:sz w:val="24"/>
          <w:szCs w:val="24"/>
        </w:rPr>
        <w:t>八、本协议签约各方各持一份，并作为投标文件的一部分。</w:t>
      </w:r>
    </w:p>
    <w:p>
      <w:pPr>
        <w:pStyle w:val="10"/>
        <w:overflowPunct w:val="0"/>
        <w:spacing w:line="460" w:lineRule="exact"/>
        <w:ind w:firstLine="513" w:firstLineChars="214"/>
        <w:rPr>
          <w:rFonts w:ascii="仿宋" w:hAnsi="仿宋" w:eastAsia="仿宋" w:cs="仿宋"/>
          <w:color w:val="auto"/>
          <w:sz w:val="24"/>
          <w:szCs w:val="24"/>
        </w:rPr>
      </w:pPr>
    </w:p>
    <w:p>
      <w:pPr>
        <w:pStyle w:val="10"/>
        <w:overflowPunct w:val="0"/>
        <w:spacing w:line="460" w:lineRule="exact"/>
        <w:ind w:firstLine="513" w:firstLineChars="214"/>
        <w:rPr>
          <w:rFonts w:ascii="仿宋" w:hAnsi="仿宋" w:eastAsia="仿宋" w:cs="仿宋"/>
          <w:color w:val="auto"/>
          <w:sz w:val="24"/>
          <w:szCs w:val="24"/>
        </w:rPr>
      </w:pPr>
    </w:p>
    <w:tbl>
      <w:tblPr>
        <w:tblStyle w:val="26"/>
        <w:tblW w:w="0" w:type="auto"/>
        <w:jc w:val="center"/>
        <w:tblLayout w:type="fixed"/>
        <w:tblCellMar>
          <w:top w:w="0" w:type="dxa"/>
          <w:left w:w="108" w:type="dxa"/>
          <w:bottom w:w="0" w:type="dxa"/>
          <w:right w:w="108" w:type="dxa"/>
        </w:tblCellMar>
      </w:tblPr>
      <w:tblGrid>
        <w:gridCol w:w="4264"/>
        <w:gridCol w:w="4264"/>
      </w:tblGrid>
      <w:tr>
        <w:trPr>
          <w:jc w:val="center"/>
        </w:trPr>
        <w:tc>
          <w:tcPr>
            <w:tcW w:w="4264" w:type="dxa"/>
            <w:tcBorders>
              <w:top w:val="nil"/>
              <w:left w:val="nil"/>
              <w:bottom w:val="nil"/>
              <w:right w:val="nil"/>
            </w:tcBorders>
            <w:noWrap/>
          </w:tcPr>
          <w:p>
            <w:pPr>
              <w:pStyle w:val="10"/>
              <w:overflowPunct w:val="0"/>
              <w:spacing w:line="460" w:lineRule="exact"/>
              <w:ind w:firstLine="513" w:firstLineChars="214"/>
              <w:rPr>
                <w:rFonts w:ascii="仿宋" w:hAnsi="仿宋" w:eastAsia="仿宋" w:cs="仿宋"/>
                <w:color w:val="auto"/>
                <w:sz w:val="24"/>
                <w:szCs w:val="24"/>
              </w:rPr>
            </w:pPr>
            <w:r>
              <w:rPr>
                <w:rFonts w:hint="eastAsia" w:ascii="仿宋" w:hAnsi="仿宋" w:eastAsia="仿宋" w:cs="仿宋"/>
                <w:color w:val="auto"/>
                <w:sz w:val="24"/>
                <w:szCs w:val="24"/>
              </w:rPr>
              <w:t>甲方单位：       （公章）</w:t>
            </w:r>
          </w:p>
          <w:p>
            <w:pPr>
              <w:pStyle w:val="10"/>
              <w:overflowPunct w:val="0"/>
              <w:spacing w:line="460" w:lineRule="exact"/>
              <w:ind w:firstLine="513" w:firstLineChars="214"/>
              <w:rPr>
                <w:rFonts w:ascii="仿宋" w:hAnsi="仿宋" w:eastAsia="仿宋" w:cs="仿宋"/>
                <w:color w:val="auto"/>
                <w:sz w:val="24"/>
                <w:szCs w:val="24"/>
              </w:rPr>
            </w:pPr>
            <w:r>
              <w:rPr>
                <w:rFonts w:hint="eastAsia" w:ascii="仿宋" w:hAnsi="仿宋" w:eastAsia="仿宋" w:cs="仿宋"/>
                <w:color w:val="auto"/>
                <w:sz w:val="24"/>
                <w:szCs w:val="24"/>
              </w:rPr>
              <w:t>法定代表人：     （签章）</w:t>
            </w:r>
          </w:p>
          <w:p>
            <w:pPr>
              <w:pStyle w:val="10"/>
              <w:overflowPunct w:val="0"/>
              <w:spacing w:line="460" w:lineRule="exact"/>
              <w:ind w:firstLine="513" w:firstLineChars="214"/>
              <w:rPr>
                <w:rFonts w:ascii="仿宋" w:hAnsi="仿宋" w:eastAsia="仿宋" w:cs="仿宋"/>
                <w:color w:val="auto"/>
                <w:sz w:val="24"/>
                <w:szCs w:val="24"/>
              </w:rPr>
            </w:pPr>
            <w:r>
              <w:rPr>
                <w:rFonts w:hint="eastAsia" w:ascii="仿宋" w:hAnsi="仿宋" w:eastAsia="仿宋" w:cs="仿宋"/>
                <w:color w:val="auto"/>
                <w:sz w:val="24"/>
                <w:szCs w:val="24"/>
              </w:rPr>
              <w:t>日  期：  年  月   日</w:t>
            </w:r>
          </w:p>
        </w:tc>
        <w:tc>
          <w:tcPr>
            <w:tcW w:w="4264" w:type="dxa"/>
            <w:tcBorders>
              <w:top w:val="nil"/>
              <w:left w:val="nil"/>
              <w:bottom w:val="nil"/>
              <w:right w:val="nil"/>
            </w:tcBorders>
            <w:noWrap/>
          </w:tcPr>
          <w:p>
            <w:pPr>
              <w:pStyle w:val="10"/>
              <w:overflowPunct w:val="0"/>
              <w:spacing w:line="460" w:lineRule="exact"/>
              <w:ind w:firstLine="513" w:firstLineChars="214"/>
              <w:rPr>
                <w:rFonts w:ascii="仿宋" w:hAnsi="仿宋" w:eastAsia="仿宋" w:cs="仿宋"/>
                <w:color w:val="auto"/>
                <w:sz w:val="24"/>
                <w:szCs w:val="24"/>
              </w:rPr>
            </w:pPr>
            <w:r>
              <w:rPr>
                <w:rFonts w:hint="eastAsia" w:ascii="仿宋" w:hAnsi="仿宋" w:eastAsia="仿宋" w:cs="仿宋"/>
                <w:color w:val="auto"/>
                <w:sz w:val="24"/>
                <w:szCs w:val="24"/>
              </w:rPr>
              <w:t>乙方单位：       （公章）</w:t>
            </w:r>
          </w:p>
          <w:p>
            <w:pPr>
              <w:pStyle w:val="10"/>
              <w:overflowPunct w:val="0"/>
              <w:spacing w:line="460" w:lineRule="exact"/>
              <w:ind w:firstLine="513" w:firstLineChars="214"/>
              <w:rPr>
                <w:rFonts w:ascii="仿宋" w:hAnsi="仿宋" w:eastAsia="仿宋" w:cs="仿宋"/>
                <w:color w:val="auto"/>
                <w:sz w:val="24"/>
                <w:szCs w:val="24"/>
              </w:rPr>
            </w:pPr>
            <w:r>
              <w:rPr>
                <w:rFonts w:hint="eastAsia" w:ascii="仿宋" w:hAnsi="仿宋" w:eastAsia="仿宋" w:cs="仿宋"/>
                <w:color w:val="auto"/>
                <w:sz w:val="24"/>
                <w:szCs w:val="24"/>
              </w:rPr>
              <w:t>法定代表人：     （签章）</w:t>
            </w:r>
          </w:p>
          <w:p>
            <w:pPr>
              <w:pStyle w:val="10"/>
              <w:overflowPunct w:val="0"/>
              <w:spacing w:line="460" w:lineRule="exact"/>
              <w:ind w:firstLine="513" w:firstLineChars="214"/>
              <w:rPr>
                <w:rFonts w:ascii="仿宋" w:hAnsi="仿宋" w:eastAsia="仿宋" w:cs="仿宋"/>
                <w:color w:val="auto"/>
                <w:sz w:val="24"/>
                <w:szCs w:val="24"/>
              </w:rPr>
            </w:pPr>
            <w:r>
              <w:rPr>
                <w:rFonts w:hint="eastAsia" w:ascii="仿宋" w:hAnsi="仿宋" w:eastAsia="仿宋" w:cs="仿宋"/>
                <w:color w:val="auto"/>
                <w:sz w:val="24"/>
                <w:szCs w:val="24"/>
              </w:rPr>
              <w:t>日  期：  年  月   日</w:t>
            </w:r>
          </w:p>
        </w:tc>
      </w:tr>
    </w:tbl>
    <w:p>
      <w:pPr>
        <w:pStyle w:val="33"/>
        <w:spacing w:afterLines="0" w:line="440" w:lineRule="exact"/>
        <w:ind w:firstLine="0" w:firstLineChars="0"/>
        <w:rPr>
          <w:rFonts w:ascii="仿宋" w:hAnsi="仿宋" w:eastAsia="仿宋" w:cs="仿宋"/>
          <w:b/>
          <w:bCs/>
          <w:color w:val="auto"/>
          <w:sz w:val="28"/>
          <w:szCs w:val="28"/>
        </w:rPr>
      </w:pPr>
      <w:r>
        <w:rPr>
          <w:rFonts w:hint="eastAsia" w:ascii="仿宋" w:hAnsi="仿宋" w:eastAsia="仿宋" w:cs="仿宋"/>
          <w:b/>
          <w:bCs/>
          <w:color w:val="auto"/>
          <w:sz w:val="28"/>
          <w:szCs w:val="28"/>
        </w:rPr>
        <w:t>附件5：法定代表人授权委托书</w:t>
      </w:r>
    </w:p>
    <w:p>
      <w:pPr>
        <w:snapToGrid w:val="0"/>
        <w:spacing w:before="50" w:after="50"/>
        <w:jc w:val="center"/>
        <w:rPr>
          <w:rFonts w:ascii="仿宋" w:hAnsi="仿宋" w:eastAsia="仿宋" w:cs="仿宋"/>
          <w:b/>
          <w:color w:val="auto"/>
          <w:sz w:val="36"/>
          <w:szCs w:val="36"/>
        </w:rPr>
      </w:pPr>
    </w:p>
    <w:p>
      <w:pPr>
        <w:snapToGrid w:val="0"/>
        <w:spacing w:before="50" w:after="50"/>
        <w:jc w:val="center"/>
        <w:rPr>
          <w:rFonts w:ascii="仿宋" w:hAnsi="仿宋" w:eastAsia="仿宋" w:cs="仿宋"/>
          <w:b/>
          <w:color w:val="auto"/>
          <w:sz w:val="36"/>
          <w:szCs w:val="36"/>
        </w:rPr>
      </w:pPr>
      <w:r>
        <w:rPr>
          <w:rFonts w:hint="eastAsia" w:ascii="仿宋" w:hAnsi="仿宋" w:eastAsia="仿宋" w:cs="仿宋"/>
          <w:b/>
          <w:color w:val="auto"/>
          <w:sz w:val="36"/>
          <w:szCs w:val="36"/>
        </w:rPr>
        <w:t>法定代表人授权委托书</w:t>
      </w:r>
    </w:p>
    <w:p>
      <w:pPr>
        <w:snapToGrid w:val="0"/>
        <w:spacing w:before="156" w:beforeLines="50" w:after="50" w:line="460" w:lineRule="exact"/>
        <w:rPr>
          <w:rFonts w:ascii="仿宋" w:hAnsi="仿宋" w:eastAsia="仿宋" w:cs="仿宋"/>
          <w:b/>
          <w:bCs/>
          <w:color w:val="auto"/>
          <w:sz w:val="24"/>
          <w:szCs w:val="24"/>
        </w:rPr>
      </w:pPr>
      <w:r>
        <w:rPr>
          <w:rFonts w:hint="eastAsia" w:ascii="仿宋" w:hAnsi="仿宋" w:eastAsia="仿宋" w:cs="仿宋"/>
          <w:bCs/>
          <w:color w:val="auto"/>
          <w:sz w:val="24"/>
          <w:szCs w:val="24"/>
        </w:rPr>
        <w:t>致</w:t>
      </w:r>
      <w:r>
        <w:rPr>
          <w:rFonts w:hint="eastAsia" w:ascii="仿宋" w:hAnsi="仿宋" w:eastAsia="仿宋" w:cs="仿宋"/>
          <w:bCs/>
          <w:color w:val="auto"/>
          <w:sz w:val="24"/>
          <w:szCs w:val="24"/>
          <w:u w:val="single"/>
        </w:rPr>
        <w:t>（采购代理机构或采购人名称）</w:t>
      </w:r>
      <w:r>
        <w:rPr>
          <w:rFonts w:hint="eastAsia" w:ascii="仿宋" w:hAnsi="仿宋" w:eastAsia="仿宋" w:cs="仿宋"/>
          <w:bCs/>
          <w:color w:val="auto"/>
          <w:sz w:val="24"/>
          <w:szCs w:val="24"/>
        </w:rPr>
        <w:t>：</w:t>
      </w:r>
    </w:p>
    <w:p>
      <w:pPr>
        <w:snapToGrid w:val="0"/>
        <w:spacing w:before="156" w:beforeLines="50" w:after="50" w:line="460" w:lineRule="exact"/>
        <w:ind w:firstLine="720" w:firstLineChars="300"/>
        <w:rPr>
          <w:rFonts w:ascii="仿宋" w:hAnsi="仿宋" w:eastAsia="仿宋" w:cs="仿宋"/>
          <w:color w:val="auto"/>
          <w:sz w:val="24"/>
          <w:szCs w:val="24"/>
        </w:rPr>
      </w:pPr>
      <w:r>
        <w:rPr>
          <w:rFonts w:hint="eastAsia" w:ascii="仿宋" w:hAnsi="仿宋" w:eastAsia="仿宋" w:cs="仿宋"/>
          <w:color w:val="auto"/>
          <w:sz w:val="24"/>
          <w:szCs w:val="24"/>
        </w:rPr>
        <w:t>我</w:t>
      </w:r>
      <w:r>
        <w:rPr>
          <w:rFonts w:hint="eastAsia" w:ascii="仿宋" w:hAnsi="仿宋" w:eastAsia="仿宋" w:cs="仿宋"/>
          <w:color w:val="auto"/>
          <w:sz w:val="24"/>
          <w:szCs w:val="24"/>
          <w:u w:val="single"/>
        </w:rPr>
        <w:t xml:space="preserve">  （姓名） </w:t>
      </w:r>
      <w:r>
        <w:rPr>
          <w:rFonts w:hint="eastAsia" w:ascii="仿宋" w:hAnsi="仿宋" w:eastAsia="仿宋" w:cs="仿宋"/>
          <w:color w:val="auto"/>
          <w:sz w:val="24"/>
          <w:szCs w:val="24"/>
        </w:rPr>
        <w:t>系</w:t>
      </w:r>
      <w:r>
        <w:rPr>
          <w:rFonts w:hint="eastAsia" w:ascii="仿宋" w:hAnsi="仿宋" w:eastAsia="仿宋" w:cs="仿宋"/>
          <w:color w:val="auto"/>
          <w:sz w:val="24"/>
          <w:szCs w:val="24"/>
          <w:u w:val="single"/>
        </w:rPr>
        <w:t xml:space="preserve">  （投标人或联合体牵头人全称） </w:t>
      </w:r>
      <w:r>
        <w:rPr>
          <w:rFonts w:hint="eastAsia" w:ascii="仿宋" w:hAnsi="仿宋" w:eastAsia="仿宋" w:cs="仿宋"/>
          <w:color w:val="auto"/>
          <w:sz w:val="24"/>
          <w:szCs w:val="24"/>
        </w:rPr>
        <w:t xml:space="preserve">的法定代表人，现授权委托 </w:t>
      </w:r>
      <w:r>
        <w:rPr>
          <w:rFonts w:hint="eastAsia" w:ascii="仿宋" w:hAnsi="仿宋" w:eastAsia="仿宋" w:cs="仿宋"/>
          <w:color w:val="auto"/>
          <w:sz w:val="24"/>
          <w:szCs w:val="24"/>
          <w:u w:val="single"/>
        </w:rPr>
        <w:t xml:space="preserve"> （姓名） </w:t>
      </w:r>
      <w:r>
        <w:rPr>
          <w:rFonts w:hint="eastAsia" w:ascii="仿宋" w:hAnsi="仿宋" w:eastAsia="仿宋" w:cs="仿宋"/>
          <w:color w:val="auto"/>
          <w:sz w:val="24"/>
          <w:szCs w:val="24"/>
        </w:rPr>
        <w:t>为授权代表，以我方的名义参加</w:t>
      </w:r>
      <w:r>
        <w:rPr>
          <w:rFonts w:hint="eastAsia" w:ascii="仿宋" w:hAnsi="仿宋" w:eastAsia="仿宋" w:cs="仿宋"/>
          <w:color w:val="auto"/>
          <w:sz w:val="24"/>
          <w:szCs w:val="24"/>
          <w:u w:val="single"/>
        </w:rPr>
        <w:t xml:space="preserve">   （项目名称及编号）    </w:t>
      </w:r>
      <w:r>
        <w:rPr>
          <w:rFonts w:hint="eastAsia" w:ascii="仿宋" w:hAnsi="仿宋" w:eastAsia="仿宋" w:cs="仿宋"/>
          <w:color w:val="auto"/>
          <w:sz w:val="24"/>
          <w:szCs w:val="24"/>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ascii="仿宋" w:hAnsi="仿宋" w:eastAsia="仿宋" w:cs="仿宋"/>
          <w:color w:val="auto"/>
          <w:sz w:val="24"/>
          <w:szCs w:val="24"/>
        </w:rPr>
      </w:pPr>
      <w:r>
        <w:rPr>
          <w:rFonts w:hint="eastAsia" w:ascii="仿宋" w:hAnsi="仿宋" w:eastAsia="仿宋" w:cs="仿宋"/>
          <w:color w:val="auto"/>
          <w:sz w:val="24"/>
          <w:szCs w:val="24"/>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ascii="仿宋" w:hAnsi="仿宋" w:eastAsia="仿宋" w:cs="仿宋"/>
          <w:color w:val="auto"/>
          <w:sz w:val="24"/>
          <w:szCs w:val="24"/>
        </w:rPr>
      </w:pPr>
      <w:r>
        <w:rPr>
          <w:rFonts w:hint="eastAsia" w:ascii="仿宋" w:hAnsi="仿宋" w:eastAsia="仿宋" w:cs="仿宋"/>
          <w:color w:val="auto"/>
          <w:sz w:val="24"/>
          <w:szCs w:val="24"/>
        </w:rPr>
        <w:t>授权代表无转委托权，特此委托。</w:t>
      </w:r>
    </w:p>
    <w:p>
      <w:pPr>
        <w:snapToGrid w:val="0"/>
        <w:spacing w:before="156" w:beforeLines="50" w:after="50" w:line="460" w:lineRule="exact"/>
        <w:ind w:firstLine="480"/>
        <w:rPr>
          <w:rFonts w:ascii="仿宋" w:hAnsi="仿宋" w:eastAsia="仿宋" w:cs="仿宋"/>
          <w:color w:val="auto"/>
          <w:sz w:val="24"/>
          <w:szCs w:val="24"/>
        </w:rPr>
      </w:pPr>
    </w:p>
    <w:p>
      <w:pPr>
        <w:snapToGrid w:val="0"/>
        <w:spacing w:before="156" w:beforeLines="50" w:after="50" w:line="460" w:lineRule="exact"/>
        <w:rPr>
          <w:rFonts w:ascii="仿宋" w:hAnsi="仿宋" w:eastAsia="仿宋" w:cs="仿宋"/>
          <w:color w:val="auto"/>
          <w:sz w:val="24"/>
          <w:szCs w:val="24"/>
        </w:rPr>
      </w:pPr>
      <w:r>
        <w:rPr>
          <w:rFonts w:hint="eastAsia" w:ascii="仿宋" w:hAnsi="仿宋" w:eastAsia="仿宋" w:cs="仿宋"/>
          <w:color w:val="auto"/>
          <w:sz w:val="24"/>
          <w:szCs w:val="24"/>
        </w:rPr>
        <w:t xml:space="preserve">授权代表签字（或盖章）：      </w:t>
      </w:r>
    </w:p>
    <w:p>
      <w:pPr>
        <w:snapToGrid w:val="0"/>
        <w:spacing w:before="156" w:beforeLines="50" w:after="50" w:line="460" w:lineRule="exact"/>
        <w:rPr>
          <w:rFonts w:ascii="仿宋" w:hAnsi="仿宋" w:eastAsia="仿宋" w:cs="仿宋"/>
          <w:color w:val="auto"/>
          <w:sz w:val="24"/>
          <w:szCs w:val="24"/>
        </w:rPr>
      </w:pPr>
      <w:r>
        <w:rPr>
          <w:rFonts w:hint="eastAsia" w:ascii="仿宋" w:hAnsi="仿宋" w:eastAsia="仿宋" w:cs="仿宋"/>
          <w:color w:val="auto"/>
          <w:sz w:val="24"/>
          <w:szCs w:val="24"/>
        </w:rPr>
        <w:t>授权代表身份证号码：</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pPr>
        <w:snapToGrid w:val="0"/>
        <w:spacing w:before="156" w:beforeLines="50" w:after="50" w:line="460" w:lineRule="exact"/>
        <w:rPr>
          <w:rFonts w:ascii="仿宋" w:hAnsi="仿宋" w:eastAsia="仿宋" w:cs="仿宋"/>
          <w:color w:val="auto"/>
          <w:sz w:val="24"/>
          <w:szCs w:val="24"/>
        </w:rPr>
      </w:pPr>
    </w:p>
    <w:p>
      <w:pPr>
        <w:snapToGrid w:val="0"/>
        <w:spacing w:before="156" w:beforeLines="50" w:after="50" w:line="460" w:lineRule="exact"/>
        <w:rPr>
          <w:rFonts w:ascii="仿宋" w:hAnsi="仿宋" w:eastAsia="仿宋" w:cs="仿宋"/>
          <w:color w:val="auto"/>
          <w:sz w:val="24"/>
          <w:szCs w:val="24"/>
          <w:u w:val="single"/>
        </w:rPr>
      </w:pPr>
      <w:r>
        <w:rPr>
          <w:rFonts w:hint="eastAsia" w:ascii="仿宋" w:hAnsi="仿宋" w:eastAsia="仿宋" w:cs="仿宋"/>
          <w:color w:val="auto"/>
          <w:sz w:val="24"/>
          <w:szCs w:val="24"/>
        </w:rPr>
        <w:t>法定代表人签字（或盖章）：</w:t>
      </w:r>
    </w:p>
    <w:p>
      <w:pPr>
        <w:snapToGrid w:val="0"/>
        <w:spacing w:before="156" w:beforeLines="50" w:after="50" w:line="460" w:lineRule="exact"/>
        <w:rPr>
          <w:rFonts w:ascii="仿宋" w:hAnsi="仿宋" w:eastAsia="仿宋" w:cs="仿宋"/>
          <w:color w:val="auto"/>
          <w:sz w:val="24"/>
          <w:szCs w:val="24"/>
        </w:rPr>
      </w:pPr>
      <w:r>
        <w:rPr>
          <w:rFonts w:hint="eastAsia" w:ascii="仿宋" w:hAnsi="仿宋" w:eastAsia="仿宋" w:cs="仿宋"/>
          <w:color w:val="auto"/>
          <w:sz w:val="24"/>
          <w:szCs w:val="24"/>
        </w:rPr>
        <w:t>法定代表人身份证号码：</w:t>
      </w:r>
      <w:r>
        <w:rPr>
          <w:rFonts w:hint="eastAsia" w:ascii="仿宋" w:hAnsi="仿宋" w:eastAsia="仿宋" w:cs="仿宋"/>
          <w:color w:val="auto"/>
          <w:sz w:val="24"/>
          <w:szCs w:val="24"/>
          <w:u w:val="single"/>
        </w:rPr>
        <w:t xml:space="preserve">                         </w:t>
      </w:r>
    </w:p>
    <w:p>
      <w:pPr>
        <w:snapToGrid w:val="0"/>
        <w:spacing w:before="156" w:beforeLines="50" w:after="50" w:line="460" w:lineRule="exact"/>
        <w:rPr>
          <w:rFonts w:ascii="仿宋" w:hAnsi="仿宋" w:eastAsia="仿宋" w:cs="仿宋"/>
          <w:color w:val="auto"/>
          <w:sz w:val="24"/>
          <w:szCs w:val="24"/>
        </w:rPr>
      </w:pPr>
    </w:p>
    <w:p>
      <w:pPr>
        <w:snapToGrid w:val="0"/>
        <w:spacing w:before="156" w:beforeLines="50" w:after="50" w:line="460" w:lineRule="exact"/>
        <w:rPr>
          <w:rFonts w:ascii="仿宋" w:hAnsi="仿宋" w:eastAsia="仿宋" w:cs="仿宋"/>
          <w:color w:val="auto"/>
          <w:sz w:val="24"/>
          <w:szCs w:val="24"/>
        </w:rPr>
      </w:pPr>
      <w:r>
        <w:rPr>
          <w:rFonts w:hint="eastAsia" w:ascii="仿宋" w:hAnsi="仿宋" w:eastAsia="仿宋" w:cs="仿宋"/>
          <w:color w:val="auto"/>
          <w:sz w:val="24"/>
          <w:szCs w:val="24"/>
        </w:rPr>
        <w:t xml:space="preserve">                                     </w:t>
      </w:r>
    </w:p>
    <w:p>
      <w:pPr>
        <w:snapToGrid w:val="0"/>
        <w:spacing w:before="156" w:beforeLines="50" w:after="50" w:line="460" w:lineRule="exact"/>
        <w:rPr>
          <w:rFonts w:ascii="仿宋" w:hAnsi="仿宋" w:eastAsia="仿宋" w:cs="仿宋"/>
          <w:color w:val="auto"/>
          <w:sz w:val="24"/>
          <w:szCs w:val="24"/>
          <w:u w:val="single"/>
        </w:rPr>
      </w:pPr>
      <w:r>
        <w:rPr>
          <w:rFonts w:hint="eastAsia" w:ascii="仿宋" w:hAnsi="仿宋" w:eastAsia="仿宋" w:cs="仿宋"/>
          <w:color w:val="auto"/>
          <w:sz w:val="24"/>
          <w:szCs w:val="24"/>
        </w:rPr>
        <w:t>投标人全称（盖公章）：            日  期：</w:t>
      </w:r>
      <w:r>
        <w:rPr>
          <w:rFonts w:hint="eastAsia" w:ascii="仿宋" w:hAnsi="仿宋" w:eastAsia="仿宋" w:cs="仿宋"/>
          <w:color w:val="auto"/>
          <w:sz w:val="24"/>
          <w:szCs w:val="24"/>
          <w:u w:val="single"/>
        </w:rPr>
        <w:t xml:space="preserve">     年   月  日</w:t>
      </w:r>
    </w:p>
    <w:p>
      <w:pPr>
        <w:widowControl/>
        <w:jc w:val="left"/>
        <w:rPr>
          <w:rFonts w:ascii="仿宋" w:hAnsi="仿宋" w:eastAsia="仿宋" w:cs="仿宋"/>
          <w:color w:val="auto"/>
          <w:sz w:val="24"/>
          <w:szCs w:val="24"/>
          <w:u w:val="single"/>
        </w:rPr>
      </w:pPr>
    </w:p>
    <w:p>
      <w:pPr>
        <w:snapToGrid w:val="0"/>
        <w:spacing w:before="50" w:after="50"/>
        <w:jc w:val="left"/>
        <w:rPr>
          <w:rFonts w:ascii="仿宋" w:hAnsi="仿宋" w:eastAsia="仿宋" w:cs="仿宋"/>
          <w:b/>
          <w:bCs/>
          <w:color w:val="auto"/>
          <w:sz w:val="24"/>
          <w:szCs w:val="24"/>
          <w:u w:val="single"/>
        </w:rPr>
      </w:pPr>
      <w:r>
        <w:rPr>
          <w:rFonts w:hint="eastAsia" w:ascii="仿宋" w:hAnsi="仿宋" w:eastAsia="仿宋" w:cs="仿宋"/>
          <w:b/>
          <w:bCs/>
          <w:color w:val="auto"/>
          <w:sz w:val="24"/>
          <w:szCs w:val="24"/>
        </w:rPr>
        <w:t>友情提示：</w:t>
      </w:r>
      <w:r>
        <w:rPr>
          <w:rFonts w:hint="eastAsia" w:ascii="仿宋" w:hAnsi="仿宋" w:eastAsia="仿宋" w:cs="仿宋"/>
          <w:b/>
          <w:bCs/>
          <w:color w:val="auto"/>
          <w:sz w:val="24"/>
          <w:szCs w:val="24"/>
          <w:u w:val="single"/>
        </w:rPr>
        <w:t>1、请仔细核对身份证号码，若填写错误，作无效投标处理。</w:t>
      </w:r>
    </w:p>
    <w:p>
      <w:pPr>
        <w:snapToGrid w:val="0"/>
        <w:spacing w:before="50" w:after="50"/>
        <w:ind w:left="1558" w:leftChars="570" w:hanging="361" w:hangingChars="150"/>
        <w:jc w:val="left"/>
        <w:rPr>
          <w:rFonts w:ascii="仿宋" w:hAnsi="仿宋" w:eastAsia="仿宋" w:cs="仿宋"/>
          <w:b/>
          <w:bCs/>
          <w:color w:val="auto"/>
          <w:sz w:val="24"/>
          <w:szCs w:val="24"/>
          <w:u w:val="single"/>
        </w:rPr>
      </w:pPr>
      <w:r>
        <w:rPr>
          <w:rFonts w:hint="eastAsia" w:ascii="仿宋" w:hAnsi="仿宋" w:eastAsia="仿宋" w:cs="仿宋"/>
          <w:b/>
          <w:bCs/>
          <w:color w:val="auto"/>
          <w:sz w:val="24"/>
          <w:szCs w:val="24"/>
          <w:u w:val="single"/>
        </w:rPr>
        <w:t>2、联合体投标的，需提供联合体牵头人的法定代表人授权委托书，否则作无效投标处理。</w:t>
      </w:r>
    </w:p>
    <w:p>
      <w:pPr>
        <w:snapToGrid w:val="0"/>
        <w:spacing w:before="50" w:after="50"/>
        <w:jc w:val="left"/>
        <w:rPr>
          <w:rFonts w:ascii="仿宋" w:hAnsi="仿宋" w:eastAsia="仿宋" w:cs="仿宋"/>
          <w:b/>
          <w:color w:val="auto"/>
          <w:sz w:val="36"/>
          <w:szCs w:val="36"/>
        </w:rPr>
      </w:pPr>
    </w:p>
    <w:p>
      <w:pPr>
        <w:snapToGrid w:val="0"/>
        <w:spacing w:before="50" w:after="50"/>
        <w:jc w:val="left"/>
        <w:rPr>
          <w:rFonts w:ascii="仿宋" w:hAnsi="仿宋" w:eastAsia="仿宋" w:cs="仿宋"/>
          <w:b/>
          <w:color w:val="auto"/>
          <w:sz w:val="36"/>
          <w:szCs w:val="36"/>
        </w:rPr>
      </w:pPr>
    </w:p>
    <w:p>
      <w:pPr>
        <w:pStyle w:val="33"/>
        <w:spacing w:afterLines="0" w:line="440" w:lineRule="exact"/>
        <w:ind w:firstLine="0" w:firstLineChars="0"/>
        <w:rPr>
          <w:rFonts w:ascii="仿宋" w:hAnsi="仿宋" w:eastAsia="仿宋" w:cs="仿宋"/>
          <w:b/>
          <w:bCs/>
          <w:color w:val="auto"/>
          <w:sz w:val="28"/>
          <w:szCs w:val="28"/>
        </w:rPr>
      </w:pPr>
      <w:r>
        <w:rPr>
          <w:rFonts w:hint="eastAsia" w:ascii="仿宋" w:hAnsi="仿宋" w:eastAsia="仿宋" w:cs="仿宋"/>
          <w:b/>
          <w:bCs/>
          <w:color w:val="auto"/>
          <w:sz w:val="28"/>
          <w:szCs w:val="28"/>
        </w:rPr>
        <w:t>附件6：法定代表人及其授权代表身份证</w:t>
      </w:r>
    </w:p>
    <w:p>
      <w:pPr>
        <w:pStyle w:val="33"/>
        <w:spacing w:afterLines="0" w:line="440" w:lineRule="exact"/>
        <w:ind w:firstLine="0" w:firstLineChars="0"/>
        <w:rPr>
          <w:rFonts w:ascii="仿宋" w:hAnsi="仿宋" w:eastAsia="仿宋" w:cs="仿宋"/>
          <w:b/>
          <w:bCs/>
          <w:color w:val="auto"/>
          <w:sz w:val="28"/>
          <w:szCs w:val="28"/>
        </w:rPr>
      </w:pPr>
    </w:p>
    <w:p>
      <w:pPr>
        <w:pStyle w:val="33"/>
        <w:spacing w:afterLines="0" w:line="440" w:lineRule="exact"/>
        <w:ind w:firstLine="0" w:firstLineChars="0"/>
        <w:rPr>
          <w:rFonts w:ascii="仿宋" w:hAnsi="仿宋" w:eastAsia="仿宋" w:cs="仿宋"/>
          <w:b/>
          <w:bCs/>
          <w:color w:val="auto"/>
          <w:sz w:val="28"/>
          <w:szCs w:val="28"/>
        </w:rPr>
      </w:pPr>
    </w:p>
    <w:p>
      <w:pPr>
        <w:pStyle w:val="33"/>
        <w:spacing w:afterLines="0" w:line="440" w:lineRule="exact"/>
        <w:ind w:firstLine="0" w:firstLineChars="0"/>
        <w:rPr>
          <w:rFonts w:ascii="仿宋" w:hAnsi="仿宋" w:eastAsia="仿宋" w:cs="仿宋"/>
          <w:color w:val="auto"/>
          <w:sz w:val="28"/>
          <w:szCs w:val="28"/>
        </w:rPr>
      </w:pPr>
      <w:r>
        <w:rPr>
          <w:rFonts w:hint="eastAsia" w:ascii="仿宋" w:hAnsi="仿宋" w:eastAsia="仿宋" w:cs="仿宋"/>
          <w:color w:val="auto"/>
          <w:sz w:val="28"/>
          <w:szCs w:val="28"/>
        </w:rPr>
        <w:t>制作说明：</w:t>
      </w:r>
    </w:p>
    <w:p>
      <w:pPr>
        <w:pStyle w:val="33"/>
        <w:numPr>
          <w:ilvl w:val="0"/>
          <w:numId w:val="12"/>
        </w:numPr>
        <w:spacing w:afterLines="0" w:line="44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提供身份证原件正反两面的彩色图片，内容清晰可辨，加盖单位CA签章，否则视为无效投标。</w:t>
      </w:r>
    </w:p>
    <w:p>
      <w:pPr>
        <w:pStyle w:val="33"/>
        <w:numPr>
          <w:ilvl w:val="0"/>
          <w:numId w:val="12"/>
        </w:numPr>
        <w:spacing w:afterLines="0" w:line="44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联合体投标的，提供联合体牵头人的法定代表人及其授权代表身份证。</w:t>
      </w:r>
    </w:p>
    <w:p>
      <w:pPr>
        <w:pStyle w:val="33"/>
        <w:numPr>
          <w:ilvl w:val="0"/>
          <w:numId w:val="12"/>
        </w:numPr>
        <w:spacing w:afterLines="0" w:line="44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个体工商户参与投标的提供经营者本人的身份证。</w:t>
      </w:r>
    </w:p>
    <w:p>
      <w:pPr>
        <w:pStyle w:val="33"/>
        <w:spacing w:afterLines="0" w:line="440" w:lineRule="exact"/>
        <w:ind w:firstLine="0" w:firstLineChars="0"/>
        <w:rPr>
          <w:rFonts w:ascii="仿宋" w:hAnsi="仿宋" w:eastAsia="仿宋" w:cs="仿宋"/>
          <w:color w:val="auto"/>
          <w:sz w:val="28"/>
          <w:szCs w:val="28"/>
        </w:rPr>
      </w:pPr>
    </w:p>
    <w:p>
      <w:pPr>
        <w:pStyle w:val="33"/>
        <w:spacing w:afterLines="0" w:line="440" w:lineRule="exact"/>
        <w:ind w:firstLine="0" w:firstLineChars="0"/>
        <w:rPr>
          <w:rFonts w:ascii="仿宋" w:hAnsi="仿宋" w:eastAsia="仿宋" w:cs="仿宋"/>
          <w:color w:val="auto"/>
          <w:sz w:val="28"/>
          <w:szCs w:val="28"/>
        </w:rPr>
      </w:pPr>
    </w:p>
    <w:p>
      <w:pPr>
        <w:pStyle w:val="33"/>
        <w:spacing w:afterLines="0" w:line="440" w:lineRule="exact"/>
        <w:ind w:firstLine="0" w:firstLineChars="0"/>
        <w:rPr>
          <w:rFonts w:ascii="仿宋" w:hAnsi="仿宋" w:eastAsia="仿宋" w:cs="仿宋"/>
          <w:color w:val="auto"/>
          <w:sz w:val="28"/>
          <w:szCs w:val="28"/>
        </w:rPr>
      </w:pPr>
    </w:p>
    <w:p>
      <w:pPr>
        <w:pStyle w:val="33"/>
        <w:spacing w:afterLines="0" w:line="440" w:lineRule="exact"/>
        <w:ind w:firstLine="0" w:firstLineChars="0"/>
        <w:rPr>
          <w:rFonts w:ascii="仿宋" w:hAnsi="仿宋" w:eastAsia="仿宋" w:cs="仿宋"/>
          <w:color w:val="auto"/>
          <w:sz w:val="28"/>
          <w:szCs w:val="28"/>
        </w:rPr>
      </w:pPr>
    </w:p>
    <w:p>
      <w:pPr>
        <w:pStyle w:val="33"/>
        <w:spacing w:afterLines="0" w:line="440" w:lineRule="exact"/>
        <w:ind w:firstLine="0" w:firstLineChars="0"/>
        <w:rPr>
          <w:rFonts w:ascii="仿宋" w:hAnsi="仿宋" w:eastAsia="仿宋" w:cs="仿宋"/>
          <w:color w:val="auto"/>
          <w:sz w:val="28"/>
          <w:szCs w:val="28"/>
        </w:rPr>
      </w:pPr>
    </w:p>
    <w:p>
      <w:pPr>
        <w:pStyle w:val="33"/>
        <w:spacing w:afterLines="0" w:line="440" w:lineRule="exact"/>
        <w:ind w:firstLine="0" w:firstLineChars="0"/>
        <w:rPr>
          <w:rFonts w:ascii="仿宋" w:hAnsi="仿宋" w:eastAsia="仿宋" w:cs="仿宋"/>
          <w:color w:val="auto"/>
          <w:sz w:val="28"/>
          <w:szCs w:val="28"/>
        </w:rPr>
      </w:pPr>
    </w:p>
    <w:p>
      <w:pPr>
        <w:pStyle w:val="33"/>
        <w:spacing w:afterLines="0" w:line="440" w:lineRule="exact"/>
        <w:ind w:firstLine="0" w:firstLineChars="0"/>
        <w:rPr>
          <w:rFonts w:ascii="仿宋" w:hAnsi="仿宋" w:eastAsia="仿宋" w:cs="仿宋"/>
          <w:color w:val="auto"/>
          <w:sz w:val="28"/>
          <w:szCs w:val="28"/>
        </w:rPr>
      </w:pPr>
    </w:p>
    <w:p>
      <w:pPr>
        <w:pStyle w:val="33"/>
        <w:spacing w:afterLines="0" w:line="440" w:lineRule="exact"/>
        <w:ind w:firstLine="0" w:firstLineChars="0"/>
        <w:rPr>
          <w:rFonts w:ascii="仿宋" w:hAnsi="仿宋" w:eastAsia="仿宋" w:cs="仿宋"/>
          <w:color w:val="auto"/>
          <w:sz w:val="28"/>
          <w:szCs w:val="28"/>
        </w:rPr>
      </w:pPr>
    </w:p>
    <w:p>
      <w:pPr>
        <w:pStyle w:val="33"/>
        <w:spacing w:afterLines="0" w:line="440" w:lineRule="exact"/>
        <w:ind w:firstLine="0" w:firstLineChars="0"/>
        <w:rPr>
          <w:rFonts w:ascii="仿宋" w:hAnsi="仿宋" w:eastAsia="仿宋" w:cs="仿宋"/>
          <w:color w:val="auto"/>
          <w:sz w:val="28"/>
          <w:szCs w:val="28"/>
        </w:rPr>
      </w:pPr>
    </w:p>
    <w:p>
      <w:pPr>
        <w:pStyle w:val="33"/>
        <w:spacing w:afterLines="0" w:line="440" w:lineRule="exact"/>
        <w:ind w:firstLine="0" w:firstLineChars="0"/>
        <w:rPr>
          <w:rFonts w:ascii="仿宋" w:hAnsi="仿宋" w:eastAsia="仿宋" w:cs="仿宋"/>
          <w:color w:val="auto"/>
          <w:sz w:val="28"/>
          <w:szCs w:val="28"/>
        </w:rPr>
      </w:pPr>
    </w:p>
    <w:p>
      <w:pPr>
        <w:pStyle w:val="33"/>
        <w:spacing w:afterLines="0" w:line="440" w:lineRule="exact"/>
        <w:ind w:firstLine="0" w:firstLineChars="0"/>
        <w:rPr>
          <w:rFonts w:ascii="仿宋" w:hAnsi="仿宋" w:eastAsia="仿宋" w:cs="仿宋"/>
          <w:color w:val="auto"/>
          <w:sz w:val="28"/>
          <w:szCs w:val="28"/>
        </w:rPr>
      </w:pPr>
    </w:p>
    <w:p>
      <w:pPr>
        <w:pStyle w:val="33"/>
        <w:spacing w:afterLines="0" w:line="440" w:lineRule="exact"/>
        <w:ind w:firstLine="0" w:firstLineChars="0"/>
        <w:rPr>
          <w:rFonts w:ascii="仿宋" w:hAnsi="仿宋" w:eastAsia="仿宋" w:cs="仿宋"/>
          <w:color w:val="auto"/>
          <w:sz w:val="28"/>
          <w:szCs w:val="28"/>
        </w:rPr>
      </w:pPr>
    </w:p>
    <w:p>
      <w:pPr>
        <w:pStyle w:val="33"/>
        <w:spacing w:afterLines="0" w:line="440" w:lineRule="exact"/>
        <w:ind w:firstLine="0" w:firstLineChars="0"/>
        <w:rPr>
          <w:rFonts w:ascii="仿宋" w:hAnsi="仿宋" w:eastAsia="仿宋" w:cs="仿宋"/>
          <w:color w:val="auto"/>
          <w:sz w:val="28"/>
          <w:szCs w:val="28"/>
        </w:rPr>
      </w:pPr>
    </w:p>
    <w:p>
      <w:pPr>
        <w:pStyle w:val="33"/>
        <w:spacing w:afterLines="0" w:line="440" w:lineRule="exact"/>
        <w:ind w:firstLine="0" w:firstLineChars="0"/>
        <w:rPr>
          <w:rFonts w:ascii="仿宋" w:hAnsi="仿宋" w:eastAsia="仿宋" w:cs="仿宋"/>
          <w:color w:val="auto"/>
          <w:sz w:val="28"/>
          <w:szCs w:val="28"/>
        </w:rPr>
      </w:pPr>
    </w:p>
    <w:p>
      <w:pPr>
        <w:pStyle w:val="33"/>
        <w:spacing w:afterLines="0" w:line="440" w:lineRule="exact"/>
        <w:ind w:firstLine="0" w:firstLineChars="0"/>
        <w:rPr>
          <w:rFonts w:ascii="仿宋" w:hAnsi="仿宋" w:eastAsia="仿宋" w:cs="仿宋"/>
          <w:color w:val="auto"/>
          <w:sz w:val="28"/>
          <w:szCs w:val="28"/>
        </w:rPr>
      </w:pPr>
    </w:p>
    <w:p>
      <w:pPr>
        <w:pStyle w:val="33"/>
        <w:spacing w:afterLines="0" w:line="440" w:lineRule="exact"/>
        <w:ind w:firstLine="0" w:firstLineChars="0"/>
        <w:rPr>
          <w:rFonts w:ascii="仿宋" w:hAnsi="仿宋" w:eastAsia="仿宋" w:cs="仿宋"/>
          <w:color w:val="auto"/>
          <w:sz w:val="28"/>
          <w:szCs w:val="28"/>
        </w:rPr>
      </w:pPr>
    </w:p>
    <w:p>
      <w:pPr>
        <w:pStyle w:val="33"/>
        <w:spacing w:afterLines="0" w:line="440" w:lineRule="exact"/>
        <w:ind w:firstLine="0" w:firstLineChars="0"/>
        <w:rPr>
          <w:rFonts w:ascii="仿宋" w:hAnsi="仿宋" w:eastAsia="仿宋" w:cs="仿宋"/>
          <w:color w:val="auto"/>
          <w:sz w:val="28"/>
          <w:szCs w:val="28"/>
        </w:rPr>
      </w:pPr>
    </w:p>
    <w:p>
      <w:pPr>
        <w:pStyle w:val="33"/>
        <w:spacing w:afterLines="0" w:line="440" w:lineRule="exact"/>
        <w:ind w:firstLine="0" w:firstLineChars="0"/>
        <w:rPr>
          <w:rFonts w:ascii="仿宋" w:hAnsi="仿宋" w:eastAsia="仿宋" w:cs="仿宋"/>
          <w:color w:val="auto"/>
          <w:sz w:val="28"/>
          <w:szCs w:val="28"/>
        </w:rPr>
      </w:pPr>
    </w:p>
    <w:p>
      <w:pPr>
        <w:pStyle w:val="33"/>
        <w:spacing w:afterLines="0" w:line="440" w:lineRule="exact"/>
        <w:ind w:firstLine="0" w:firstLineChars="0"/>
        <w:rPr>
          <w:rFonts w:ascii="仿宋" w:hAnsi="仿宋" w:eastAsia="仿宋" w:cs="仿宋"/>
          <w:color w:val="auto"/>
          <w:sz w:val="28"/>
          <w:szCs w:val="28"/>
        </w:rPr>
      </w:pPr>
    </w:p>
    <w:p>
      <w:pPr>
        <w:snapToGrid w:val="0"/>
        <w:spacing w:before="50" w:after="50"/>
        <w:jc w:val="left"/>
        <w:rPr>
          <w:rFonts w:ascii="仿宋" w:hAnsi="仿宋" w:eastAsia="仿宋" w:cs="仿宋"/>
          <w:b/>
          <w:bCs/>
          <w:color w:val="auto"/>
          <w:sz w:val="30"/>
          <w:szCs w:val="30"/>
        </w:rPr>
      </w:pPr>
      <w:r>
        <w:rPr>
          <w:rFonts w:hint="eastAsia" w:ascii="仿宋" w:hAnsi="仿宋" w:eastAsia="仿宋" w:cs="仿宋"/>
          <w:color w:val="auto"/>
          <w:sz w:val="30"/>
          <w:szCs w:val="30"/>
        </w:rPr>
        <w:br w:type="page"/>
      </w:r>
      <w:r>
        <w:rPr>
          <w:rFonts w:hint="eastAsia" w:ascii="仿宋" w:hAnsi="仿宋" w:eastAsia="仿宋" w:cs="仿宋"/>
          <w:b/>
          <w:bCs/>
          <w:color w:val="auto"/>
          <w:sz w:val="30"/>
          <w:szCs w:val="30"/>
        </w:rPr>
        <w:t>附件7（如有）：</w:t>
      </w:r>
    </w:p>
    <w:p>
      <w:pPr>
        <w:snapToGrid w:val="0"/>
        <w:spacing w:before="50" w:after="50" w:line="480" w:lineRule="auto"/>
        <w:jc w:val="center"/>
        <w:rPr>
          <w:rFonts w:ascii="仿宋" w:hAnsi="仿宋" w:eastAsia="仿宋" w:cs="仿宋"/>
          <w:b/>
          <w:color w:val="auto"/>
          <w:sz w:val="32"/>
          <w:szCs w:val="32"/>
        </w:rPr>
      </w:pPr>
      <w:r>
        <w:rPr>
          <w:rFonts w:hint="eastAsia" w:ascii="仿宋" w:hAnsi="仿宋" w:eastAsia="仿宋" w:cs="仿宋"/>
          <w:b/>
          <w:color w:val="auto"/>
          <w:sz w:val="32"/>
          <w:szCs w:val="32"/>
        </w:rPr>
        <w:t>中小企业声明函</w:t>
      </w:r>
    </w:p>
    <w:p>
      <w:pPr>
        <w:snapToGrid w:val="0"/>
        <w:spacing w:before="50" w:after="50" w:line="36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本公司（联合体）郑重声明，根据《政府采购促进中小企业发展管理办法》 （财库﹝2020﹞46 号）的规定，本公司（联合体）参加</w:t>
      </w:r>
      <w:r>
        <w:rPr>
          <w:rFonts w:hint="eastAsia" w:ascii="仿宋" w:hAnsi="仿宋" w:eastAsia="仿宋" w:cs="仿宋"/>
          <w:color w:val="auto"/>
          <w:sz w:val="24"/>
          <w:szCs w:val="24"/>
          <w:u w:val="single"/>
        </w:rPr>
        <w:t xml:space="preserve">    （采购人名称）    </w:t>
      </w:r>
      <w:r>
        <w:rPr>
          <w:rFonts w:hint="eastAsia" w:ascii="仿宋" w:hAnsi="仿宋" w:eastAsia="仿宋" w:cs="仿宋"/>
          <w:color w:val="auto"/>
          <w:sz w:val="24"/>
          <w:szCs w:val="24"/>
        </w:rPr>
        <w:t>的</w:t>
      </w:r>
      <w:r>
        <w:rPr>
          <w:rFonts w:hint="eastAsia" w:ascii="仿宋" w:hAnsi="仿宋" w:eastAsia="仿宋" w:cs="仿宋"/>
          <w:color w:val="auto"/>
          <w:sz w:val="24"/>
          <w:szCs w:val="24"/>
          <w:u w:val="single"/>
        </w:rPr>
        <w:t xml:space="preserve">  （项目名称）  </w:t>
      </w:r>
      <w:r>
        <w:rPr>
          <w:rFonts w:hint="eastAsia" w:ascii="仿宋" w:hAnsi="仿宋" w:eastAsia="仿宋" w:cs="仿宋"/>
          <w:color w:val="auto"/>
          <w:sz w:val="24"/>
          <w:szCs w:val="24"/>
        </w:rPr>
        <w:t>采购活动，服务全部由符合政策要求的中小企业承接。相关企业（含联合体中的中小企业、签订分包意向协议的中小企业）的具体情况如下：</w:t>
      </w:r>
    </w:p>
    <w:p>
      <w:pPr>
        <w:snapToGrid w:val="0"/>
        <w:spacing w:before="50" w:after="50" w:line="36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u w:val="single"/>
        </w:rPr>
        <w:t xml:space="preserve">   （标的名称）   </w:t>
      </w:r>
      <w:r>
        <w:rPr>
          <w:rFonts w:hint="eastAsia" w:ascii="仿宋" w:hAnsi="仿宋" w:eastAsia="仿宋" w:cs="仿宋"/>
          <w:color w:val="auto"/>
          <w:sz w:val="24"/>
          <w:szCs w:val="24"/>
        </w:rPr>
        <w:t>，属于</w:t>
      </w:r>
      <w:r>
        <w:rPr>
          <w:rFonts w:hint="eastAsia" w:ascii="仿宋" w:hAnsi="仿宋" w:eastAsia="仿宋" w:cs="仿宋"/>
          <w:color w:val="auto"/>
          <w:sz w:val="24"/>
          <w:szCs w:val="24"/>
          <w:u w:val="single"/>
        </w:rPr>
        <w:t xml:space="preserve">       （采购文件中明确的所属行业）   </w:t>
      </w:r>
      <w:r>
        <w:rPr>
          <w:rFonts w:hint="eastAsia" w:ascii="仿宋" w:hAnsi="仿宋" w:eastAsia="仿宋" w:cs="仿宋"/>
          <w:color w:val="auto"/>
          <w:sz w:val="24"/>
          <w:szCs w:val="24"/>
        </w:rPr>
        <w:t>；承建（承接）企业为</w:t>
      </w:r>
      <w:r>
        <w:rPr>
          <w:rFonts w:hint="eastAsia" w:ascii="仿宋" w:hAnsi="仿宋" w:eastAsia="仿宋" w:cs="仿宋"/>
          <w:color w:val="auto"/>
          <w:sz w:val="24"/>
          <w:szCs w:val="24"/>
          <w:u w:val="single"/>
        </w:rPr>
        <w:t xml:space="preserve">     （企业名称）   </w:t>
      </w:r>
      <w:r>
        <w:rPr>
          <w:rFonts w:hint="eastAsia" w:ascii="仿宋" w:hAnsi="仿宋" w:eastAsia="仿宋" w:cs="仿宋"/>
          <w:color w:val="auto"/>
          <w:sz w:val="24"/>
          <w:szCs w:val="24"/>
        </w:rPr>
        <w:t>，从业人员</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人，营业收入为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万元，资产总额为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 ，属于</w:t>
      </w:r>
      <w:r>
        <w:rPr>
          <w:rFonts w:hint="eastAsia" w:ascii="仿宋" w:hAnsi="仿宋" w:eastAsia="仿宋" w:cs="仿宋"/>
          <w:color w:val="auto"/>
          <w:sz w:val="24"/>
          <w:szCs w:val="24"/>
          <w:u w:val="single"/>
        </w:rPr>
        <w:t xml:space="preserve">     （中型企业、小型企业、微型企业）      </w:t>
      </w:r>
      <w:r>
        <w:rPr>
          <w:rFonts w:hint="eastAsia" w:ascii="仿宋" w:hAnsi="仿宋" w:eastAsia="仿宋" w:cs="仿宋"/>
          <w:color w:val="auto"/>
          <w:sz w:val="24"/>
          <w:szCs w:val="24"/>
        </w:rPr>
        <w:t xml:space="preserve"> ；</w:t>
      </w:r>
    </w:p>
    <w:p>
      <w:pPr>
        <w:snapToGrid w:val="0"/>
        <w:spacing w:before="50" w:after="50" w:line="36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u w:val="single"/>
        </w:rPr>
        <w:t xml:space="preserve">        （标的名称）    </w:t>
      </w:r>
      <w:r>
        <w:rPr>
          <w:rFonts w:hint="eastAsia" w:ascii="仿宋" w:hAnsi="仿宋" w:eastAsia="仿宋" w:cs="仿宋"/>
          <w:color w:val="auto"/>
          <w:sz w:val="24"/>
          <w:szCs w:val="24"/>
        </w:rPr>
        <w:t>，属于</w:t>
      </w:r>
      <w:r>
        <w:rPr>
          <w:rFonts w:hint="eastAsia" w:ascii="仿宋" w:hAnsi="仿宋" w:eastAsia="仿宋" w:cs="仿宋"/>
          <w:color w:val="auto"/>
          <w:sz w:val="24"/>
          <w:szCs w:val="24"/>
          <w:u w:val="single"/>
        </w:rPr>
        <w:t xml:space="preserve">    （采购文件中明确的所属行业）   </w:t>
      </w:r>
      <w:r>
        <w:rPr>
          <w:rFonts w:hint="eastAsia" w:ascii="仿宋" w:hAnsi="仿宋" w:eastAsia="仿宋" w:cs="仿宋"/>
          <w:color w:val="auto"/>
          <w:sz w:val="24"/>
          <w:szCs w:val="24"/>
        </w:rPr>
        <w:t>；承建（承接）企业为</w:t>
      </w:r>
      <w:r>
        <w:rPr>
          <w:rFonts w:hint="eastAsia" w:ascii="仿宋" w:hAnsi="仿宋" w:eastAsia="仿宋" w:cs="仿宋"/>
          <w:color w:val="auto"/>
          <w:sz w:val="24"/>
          <w:szCs w:val="24"/>
          <w:u w:val="single"/>
        </w:rPr>
        <w:t xml:space="preserve">      （企业名称）   </w:t>
      </w:r>
      <w:r>
        <w:rPr>
          <w:rFonts w:hint="eastAsia" w:ascii="仿宋" w:hAnsi="仿宋" w:eastAsia="仿宋" w:cs="仿宋"/>
          <w:color w:val="auto"/>
          <w:sz w:val="24"/>
          <w:szCs w:val="24"/>
        </w:rPr>
        <w:t>，从业人员</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人，营业收入为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万元，资产总额为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 ，属于</w:t>
      </w:r>
      <w:r>
        <w:rPr>
          <w:rFonts w:hint="eastAsia" w:ascii="仿宋" w:hAnsi="仿宋" w:eastAsia="仿宋" w:cs="仿宋"/>
          <w:color w:val="auto"/>
          <w:sz w:val="24"/>
          <w:szCs w:val="24"/>
          <w:u w:val="single"/>
        </w:rPr>
        <w:t xml:space="preserve">       （中型企业、小型企业、微型企业）   </w:t>
      </w:r>
      <w:r>
        <w:rPr>
          <w:rFonts w:hint="eastAsia" w:ascii="仿宋" w:hAnsi="仿宋" w:eastAsia="仿宋" w:cs="仿宋"/>
          <w:color w:val="auto"/>
          <w:sz w:val="24"/>
          <w:szCs w:val="24"/>
        </w:rPr>
        <w:t xml:space="preserve"> ；</w:t>
      </w:r>
    </w:p>
    <w:p>
      <w:pPr>
        <w:snapToGrid w:val="0"/>
        <w:spacing w:before="50" w:after="50" w:line="36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w:t>
      </w:r>
    </w:p>
    <w:p>
      <w:pPr>
        <w:snapToGrid w:val="0"/>
        <w:spacing w:before="50" w:after="50" w:line="36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以上企业，不属于大企业的分支机构，不存在控股股东为大企业的情形，也不存在与大企业的负责人为同一人的情形。</w:t>
      </w:r>
    </w:p>
    <w:p>
      <w:pPr>
        <w:snapToGrid w:val="0"/>
        <w:spacing w:before="50" w:after="50" w:line="36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本企业对上述声明内容的真实性负责。如有虚假，将依法承担相应责任。</w:t>
      </w:r>
    </w:p>
    <w:p>
      <w:pPr>
        <w:snapToGrid w:val="0"/>
        <w:spacing w:before="50" w:after="50" w:line="360" w:lineRule="auto"/>
        <w:ind w:firstLine="480" w:firstLineChars="200"/>
        <w:jc w:val="left"/>
        <w:rPr>
          <w:rFonts w:ascii="仿宋" w:hAnsi="仿宋" w:eastAsia="仿宋" w:cs="仿宋"/>
          <w:color w:val="auto"/>
          <w:sz w:val="24"/>
          <w:szCs w:val="24"/>
        </w:rPr>
      </w:pPr>
    </w:p>
    <w:p>
      <w:pPr>
        <w:snapToGrid w:val="0"/>
        <w:spacing w:before="50" w:after="50" w:line="360" w:lineRule="auto"/>
        <w:ind w:firstLine="480" w:firstLineChars="200"/>
        <w:jc w:val="left"/>
        <w:rPr>
          <w:rFonts w:ascii="仿宋" w:hAnsi="仿宋" w:eastAsia="仿宋" w:cs="仿宋"/>
          <w:color w:val="auto"/>
          <w:sz w:val="24"/>
          <w:szCs w:val="24"/>
        </w:rPr>
      </w:pPr>
    </w:p>
    <w:p>
      <w:pPr>
        <w:snapToGrid w:val="0"/>
        <w:spacing w:before="50" w:after="50" w:line="360" w:lineRule="auto"/>
        <w:ind w:firstLine="480" w:firstLineChars="200"/>
        <w:jc w:val="left"/>
        <w:rPr>
          <w:rFonts w:ascii="仿宋" w:hAnsi="仿宋" w:eastAsia="仿宋" w:cs="仿宋"/>
          <w:color w:val="auto"/>
          <w:sz w:val="24"/>
          <w:szCs w:val="24"/>
        </w:rPr>
      </w:pPr>
    </w:p>
    <w:p>
      <w:pPr>
        <w:snapToGrid w:val="0"/>
        <w:spacing w:before="50" w:after="50" w:line="36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 xml:space="preserve">企业名称（盖章）： </w:t>
      </w:r>
    </w:p>
    <w:p>
      <w:pPr>
        <w:snapToGrid w:val="0"/>
        <w:spacing w:before="50" w:after="50" w:line="36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日期：   年     月     日</w:t>
      </w:r>
    </w:p>
    <w:p>
      <w:pPr>
        <w:snapToGrid w:val="0"/>
        <w:spacing w:before="50" w:after="50"/>
        <w:jc w:val="left"/>
        <w:rPr>
          <w:rFonts w:ascii="仿宋" w:hAnsi="仿宋" w:eastAsia="仿宋" w:cs="仿宋"/>
          <w:b/>
          <w:bCs/>
          <w:color w:val="auto"/>
          <w:sz w:val="24"/>
          <w:szCs w:val="24"/>
        </w:rPr>
      </w:pPr>
    </w:p>
    <w:p>
      <w:pPr>
        <w:snapToGrid w:val="0"/>
        <w:spacing w:before="50" w:after="50"/>
        <w:jc w:val="left"/>
        <w:rPr>
          <w:rFonts w:ascii="仿宋" w:hAnsi="仿宋" w:eastAsia="仿宋" w:cs="仿宋"/>
          <w:b/>
          <w:bCs/>
          <w:color w:val="auto"/>
          <w:sz w:val="24"/>
          <w:szCs w:val="24"/>
        </w:rPr>
      </w:pPr>
      <w:r>
        <w:rPr>
          <w:rFonts w:hint="eastAsia" w:ascii="仿宋" w:hAnsi="仿宋" w:eastAsia="仿宋" w:cs="仿宋"/>
          <w:b/>
          <w:bCs/>
          <w:color w:val="auto"/>
          <w:sz w:val="24"/>
          <w:szCs w:val="24"/>
        </w:rPr>
        <w:t>备注：</w:t>
      </w:r>
    </w:p>
    <w:p>
      <w:pPr>
        <w:numPr>
          <w:ilvl w:val="0"/>
          <w:numId w:val="13"/>
        </w:numPr>
        <w:snapToGrid w:val="0"/>
        <w:spacing w:before="50" w:after="50"/>
        <w:jc w:val="left"/>
        <w:rPr>
          <w:rFonts w:ascii="仿宋" w:hAnsi="仿宋" w:eastAsia="仿宋" w:cs="仿宋"/>
          <w:b/>
          <w:bCs/>
          <w:color w:val="auto"/>
          <w:sz w:val="24"/>
          <w:szCs w:val="24"/>
        </w:rPr>
      </w:pPr>
      <w:r>
        <w:rPr>
          <w:rFonts w:hint="eastAsia" w:ascii="仿宋" w:hAnsi="仿宋" w:eastAsia="仿宋" w:cs="仿宋"/>
          <w:b/>
          <w:bCs/>
          <w:color w:val="auto"/>
          <w:sz w:val="24"/>
        </w:rPr>
        <w:t>规模划分按《工信部关于印发中小企业划型标准规定的通知（工信部联企业〔2011〕300号）》文件执行，</w:t>
      </w:r>
      <w:r>
        <w:rPr>
          <w:rFonts w:hint="eastAsia" w:ascii="仿宋" w:hAnsi="仿宋" w:eastAsia="仿宋" w:cs="仿宋"/>
          <w:b/>
          <w:bCs/>
          <w:color w:val="auto"/>
          <w:sz w:val="24"/>
          <w:szCs w:val="24"/>
        </w:rPr>
        <w:t>从业人员、营业收入、资产总额填报上一年度数据，无上一年度数据的新成立企业可不填报。</w:t>
      </w:r>
    </w:p>
    <w:p>
      <w:pPr>
        <w:numPr>
          <w:ilvl w:val="0"/>
          <w:numId w:val="13"/>
        </w:numPr>
        <w:snapToGrid w:val="0"/>
        <w:spacing w:before="50" w:after="50"/>
        <w:jc w:val="left"/>
        <w:rPr>
          <w:rFonts w:ascii="仿宋" w:hAnsi="仿宋" w:eastAsia="仿宋" w:cs="仿宋"/>
          <w:b/>
          <w:bCs/>
          <w:color w:val="auto"/>
          <w:sz w:val="24"/>
          <w:szCs w:val="24"/>
        </w:rPr>
      </w:pPr>
      <w:r>
        <w:rPr>
          <w:rFonts w:hint="eastAsia" w:ascii="仿宋" w:hAnsi="仿宋" w:eastAsia="仿宋" w:cs="仿宋"/>
          <w:b/>
          <w:bCs/>
          <w:color w:val="auto"/>
          <w:sz w:val="24"/>
        </w:rPr>
        <w:t>本函与中标（成交）公告同时发布，接受社会监督。</w:t>
      </w:r>
    </w:p>
    <w:p>
      <w:pPr>
        <w:numPr>
          <w:ilvl w:val="0"/>
          <w:numId w:val="13"/>
        </w:numPr>
        <w:snapToGrid w:val="0"/>
        <w:spacing w:before="50" w:after="50"/>
        <w:jc w:val="left"/>
        <w:rPr>
          <w:rFonts w:ascii="仿宋" w:hAnsi="仿宋" w:eastAsia="仿宋" w:cs="仿宋"/>
          <w:b/>
          <w:bCs/>
          <w:color w:val="auto"/>
          <w:sz w:val="24"/>
          <w:szCs w:val="24"/>
          <w:u w:val="single"/>
        </w:rPr>
      </w:pPr>
      <w:r>
        <w:rPr>
          <w:rFonts w:hint="eastAsia" w:ascii="仿宋" w:hAnsi="仿宋" w:eastAsia="仿宋" w:cs="仿宋"/>
          <w:b/>
          <w:bCs/>
          <w:color w:val="auto"/>
          <w:sz w:val="24"/>
          <w:u w:val="single"/>
        </w:rPr>
        <w:t>“标的名称”、“所属行业”按前附表所列填写，否则资格审查不通过。</w:t>
      </w:r>
    </w:p>
    <w:p>
      <w:pPr>
        <w:snapToGrid w:val="0"/>
        <w:spacing w:before="50" w:after="50"/>
        <w:ind w:left="840"/>
        <w:jc w:val="left"/>
        <w:rPr>
          <w:rFonts w:ascii="仿宋" w:hAnsi="仿宋" w:eastAsia="仿宋" w:cs="仿宋"/>
          <w:b/>
          <w:bCs/>
          <w:color w:val="auto"/>
          <w:sz w:val="24"/>
          <w:szCs w:val="24"/>
        </w:rPr>
      </w:pPr>
    </w:p>
    <w:p>
      <w:pPr>
        <w:spacing w:line="588" w:lineRule="exact"/>
        <w:rPr>
          <w:rFonts w:ascii="仿宋" w:hAnsi="仿宋" w:eastAsia="仿宋" w:cs="仿宋"/>
          <w:b/>
          <w:color w:val="auto"/>
          <w:spacing w:val="6"/>
          <w:sz w:val="30"/>
          <w:szCs w:val="30"/>
        </w:rPr>
      </w:pPr>
      <w:bookmarkStart w:id="98" w:name="_Hlk523382353"/>
      <w:r>
        <w:rPr>
          <w:rFonts w:hint="eastAsia" w:ascii="仿宋" w:hAnsi="仿宋" w:eastAsia="仿宋" w:cs="仿宋"/>
          <w:b/>
          <w:color w:val="auto"/>
          <w:spacing w:val="6"/>
          <w:sz w:val="30"/>
          <w:szCs w:val="30"/>
        </w:rPr>
        <w:t>附件8（如有）：</w:t>
      </w:r>
    </w:p>
    <w:bookmarkEnd w:id="98"/>
    <w:p>
      <w:pPr>
        <w:spacing w:line="588" w:lineRule="exact"/>
        <w:ind w:firstLine="667"/>
        <w:jc w:val="center"/>
        <w:rPr>
          <w:rFonts w:ascii="仿宋" w:hAnsi="仿宋" w:eastAsia="仿宋" w:cs="仿宋"/>
          <w:b/>
          <w:color w:val="auto"/>
          <w:spacing w:val="6"/>
          <w:sz w:val="32"/>
          <w:szCs w:val="32"/>
        </w:rPr>
      </w:pPr>
    </w:p>
    <w:p>
      <w:pPr>
        <w:spacing w:line="588" w:lineRule="exact"/>
        <w:ind w:firstLine="667"/>
        <w:jc w:val="center"/>
        <w:rPr>
          <w:rFonts w:ascii="仿宋" w:hAnsi="仿宋" w:eastAsia="仿宋" w:cs="仿宋"/>
          <w:b/>
          <w:color w:val="auto"/>
          <w:spacing w:val="6"/>
          <w:sz w:val="36"/>
          <w:szCs w:val="36"/>
        </w:rPr>
      </w:pPr>
      <w:r>
        <w:rPr>
          <w:rFonts w:hint="eastAsia" w:ascii="仿宋" w:hAnsi="仿宋" w:eastAsia="仿宋" w:cs="仿宋"/>
          <w:b/>
          <w:color w:val="auto"/>
          <w:spacing w:val="6"/>
          <w:sz w:val="36"/>
          <w:szCs w:val="36"/>
        </w:rPr>
        <w:t>残疾人福利性单位声明函</w:t>
      </w:r>
    </w:p>
    <w:p>
      <w:pPr>
        <w:spacing w:line="588" w:lineRule="exact"/>
        <w:ind w:firstLine="626"/>
        <w:rPr>
          <w:rFonts w:ascii="仿宋" w:hAnsi="仿宋" w:eastAsia="仿宋" w:cs="仿宋"/>
          <w:b/>
          <w:color w:val="auto"/>
          <w:spacing w:val="6"/>
          <w:sz w:val="30"/>
          <w:szCs w:val="30"/>
        </w:rPr>
      </w:pPr>
    </w:p>
    <w:p>
      <w:pPr>
        <w:spacing w:line="588" w:lineRule="exact"/>
        <w:ind w:firstLine="480"/>
        <w:rPr>
          <w:rFonts w:ascii="仿宋" w:hAnsi="仿宋" w:eastAsia="仿宋" w:cs="仿宋"/>
          <w:color w:val="auto"/>
          <w:sz w:val="24"/>
        </w:rPr>
      </w:pPr>
      <w:r>
        <w:rPr>
          <w:rFonts w:hint="eastAsia" w:ascii="仿宋" w:hAnsi="仿宋" w:eastAsia="仿宋" w:cs="仿宋"/>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u w:val="single"/>
        </w:rPr>
        <w:t xml:space="preserve">  （请填写采购人名称）  </w:t>
      </w:r>
      <w:r>
        <w:rPr>
          <w:rFonts w:hint="eastAsia" w:ascii="仿宋" w:hAnsi="仿宋" w:eastAsia="仿宋" w:cs="仿宋"/>
          <w:color w:val="auto"/>
          <w:sz w:val="24"/>
        </w:rPr>
        <w:t>的</w:t>
      </w:r>
      <w:r>
        <w:rPr>
          <w:rFonts w:hint="eastAsia" w:ascii="仿宋" w:hAnsi="仿宋" w:eastAsia="仿宋" w:cs="仿宋"/>
          <w:color w:val="auto"/>
          <w:sz w:val="24"/>
          <w:u w:val="single"/>
        </w:rPr>
        <w:t xml:space="preserve">  （请填写项目名称）  </w:t>
      </w:r>
      <w:r>
        <w:rPr>
          <w:rFonts w:hint="eastAsia" w:ascii="仿宋" w:hAnsi="仿宋" w:eastAsia="仿宋" w:cs="仿宋"/>
          <w:color w:val="auto"/>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480"/>
        <w:rPr>
          <w:rFonts w:ascii="仿宋" w:hAnsi="仿宋" w:eastAsia="仿宋" w:cs="仿宋"/>
          <w:color w:val="auto"/>
          <w:sz w:val="24"/>
        </w:rPr>
      </w:pPr>
      <w:r>
        <w:rPr>
          <w:rFonts w:hint="eastAsia" w:ascii="仿宋" w:hAnsi="仿宋" w:eastAsia="仿宋" w:cs="仿宋"/>
          <w:color w:val="auto"/>
          <w:sz w:val="24"/>
        </w:rPr>
        <w:t>本单位对上述声明的真实性负责。如有虚假，将依法承担相应责任。</w:t>
      </w:r>
    </w:p>
    <w:p>
      <w:pPr>
        <w:spacing w:line="588" w:lineRule="exact"/>
        <w:ind w:firstLine="480"/>
        <w:rPr>
          <w:rFonts w:ascii="仿宋" w:hAnsi="仿宋" w:eastAsia="仿宋" w:cs="仿宋"/>
          <w:color w:val="auto"/>
          <w:sz w:val="24"/>
        </w:rPr>
      </w:pPr>
    </w:p>
    <w:p>
      <w:pPr>
        <w:spacing w:line="588" w:lineRule="exact"/>
        <w:ind w:firstLine="480"/>
        <w:rPr>
          <w:rFonts w:ascii="仿宋" w:hAnsi="仿宋" w:eastAsia="仿宋" w:cs="仿宋"/>
          <w:color w:val="auto"/>
          <w:sz w:val="24"/>
        </w:rPr>
      </w:pPr>
    </w:p>
    <w:p>
      <w:pPr>
        <w:spacing w:line="588" w:lineRule="exact"/>
        <w:ind w:firstLine="480"/>
        <w:rPr>
          <w:rFonts w:ascii="仿宋" w:hAnsi="仿宋" w:eastAsia="仿宋" w:cs="仿宋"/>
          <w:color w:val="auto"/>
          <w:sz w:val="24"/>
        </w:rPr>
      </w:pPr>
    </w:p>
    <w:p>
      <w:pPr>
        <w:spacing w:line="588" w:lineRule="exact"/>
        <w:ind w:firstLine="480"/>
        <w:rPr>
          <w:rFonts w:ascii="仿宋" w:hAnsi="仿宋" w:eastAsia="仿宋" w:cs="仿宋"/>
          <w:color w:val="auto"/>
          <w:sz w:val="24"/>
        </w:rPr>
      </w:pPr>
    </w:p>
    <w:p>
      <w:pPr>
        <w:spacing w:line="588" w:lineRule="exact"/>
        <w:ind w:firstLine="480"/>
        <w:rPr>
          <w:rFonts w:ascii="仿宋" w:hAnsi="仿宋" w:eastAsia="仿宋" w:cs="仿宋"/>
          <w:color w:val="auto"/>
          <w:sz w:val="24"/>
        </w:rPr>
      </w:pPr>
    </w:p>
    <w:p>
      <w:pPr>
        <w:tabs>
          <w:tab w:val="left" w:pos="4860"/>
        </w:tabs>
        <w:spacing w:line="588" w:lineRule="exact"/>
        <w:ind w:right="1560" w:firstLine="480"/>
        <w:jc w:val="center"/>
        <w:rPr>
          <w:rFonts w:ascii="仿宋" w:hAnsi="仿宋" w:eastAsia="仿宋" w:cs="仿宋"/>
          <w:color w:val="auto"/>
          <w:sz w:val="24"/>
        </w:rPr>
      </w:pPr>
      <w:r>
        <w:rPr>
          <w:rFonts w:hint="eastAsia" w:ascii="仿宋" w:hAnsi="仿宋" w:eastAsia="仿宋" w:cs="仿宋"/>
          <w:color w:val="auto"/>
          <w:sz w:val="24"/>
        </w:rPr>
        <w:t xml:space="preserve">                              单位名称（盖章）：</w:t>
      </w:r>
    </w:p>
    <w:p>
      <w:pPr>
        <w:spacing w:line="480" w:lineRule="exact"/>
        <w:ind w:firstLine="480" w:firstLineChars="200"/>
        <w:jc w:val="right"/>
        <w:rPr>
          <w:rFonts w:ascii="仿宋" w:hAnsi="仿宋" w:eastAsia="仿宋" w:cs="仿宋"/>
          <w:color w:val="auto"/>
          <w:sz w:val="24"/>
        </w:rPr>
      </w:pPr>
      <w:r>
        <w:rPr>
          <w:rFonts w:hint="eastAsia" w:ascii="仿宋" w:hAnsi="仿宋" w:eastAsia="仿宋" w:cs="仿宋"/>
          <w:color w:val="auto"/>
          <w:sz w:val="24"/>
        </w:rPr>
        <w:t>日期：    年    月    日</w:t>
      </w:r>
    </w:p>
    <w:p>
      <w:pPr>
        <w:ind w:firstLine="480"/>
        <w:rPr>
          <w:rFonts w:ascii="仿宋" w:hAnsi="仿宋" w:eastAsia="仿宋" w:cs="仿宋"/>
          <w:color w:val="auto"/>
          <w:sz w:val="24"/>
        </w:rPr>
      </w:pPr>
    </w:p>
    <w:p>
      <w:pPr>
        <w:ind w:firstLine="420"/>
        <w:rPr>
          <w:rFonts w:ascii="仿宋" w:hAnsi="仿宋" w:eastAsia="仿宋" w:cs="仿宋"/>
          <w:color w:val="auto"/>
        </w:rPr>
      </w:pPr>
    </w:p>
    <w:p>
      <w:pPr>
        <w:ind w:firstLine="420"/>
        <w:rPr>
          <w:rFonts w:ascii="仿宋" w:hAnsi="仿宋" w:eastAsia="仿宋" w:cs="仿宋"/>
          <w:color w:val="auto"/>
        </w:rPr>
      </w:pPr>
    </w:p>
    <w:p>
      <w:pPr>
        <w:ind w:firstLine="420"/>
        <w:rPr>
          <w:rFonts w:ascii="仿宋" w:hAnsi="仿宋" w:eastAsia="仿宋" w:cs="仿宋"/>
          <w:color w:val="auto"/>
        </w:rPr>
      </w:pPr>
    </w:p>
    <w:p>
      <w:pPr>
        <w:ind w:firstLine="420"/>
        <w:rPr>
          <w:rFonts w:ascii="仿宋" w:hAnsi="仿宋" w:eastAsia="仿宋" w:cs="仿宋"/>
          <w:color w:val="auto"/>
        </w:rPr>
      </w:pPr>
    </w:p>
    <w:p>
      <w:pPr>
        <w:ind w:firstLine="420"/>
        <w:rPr>
          <w:rFonts w:ascii="仿宋" w:hAnsi="仿宋" w:eastAsia="仿宋" w:cs="仿宋"/>
          <w:color w:val="auto"/>
        </w:rPr>
      </w:pPr>
    </w:p>
    <w:p>
      <w:pPr>
        <w:ind w:firstLine="420"/>
        <w:rPr>
          <w:rFonts w:ascii="仿宋" w:hAnsi="仿宋" w:eastAsia="仿宋" w:cs="仿宋"/>
          <w:color w:val="auto"/>
        </w:rPr>
      </w:pPr>
    </w:p>
    <w:p>
      <w:pPr>
        <w:ind w:firstLine="482" w:firstLineChars="200"/>
        <w:rPr>
          <w:rFonts w:ascii="仿宋" w:hAnsi="仿宋" w:eastAsia="仿宋" w:cs="仿宋"/>
          <w:b/>
          <w:color w:val="auto"/>
          <w:kern w:val="0"/>
          <w:sz w:val="24"/>
          <w:u w:val="single"/>
          <w:lang w:val="zh-CN"/>
        </w:rPr>
      </w:pPr>
      <w:r>
        <w:rPr>
          <w:rFonts w:hint="eastAsia" w:ascii="仿宋" w:hAnsi="仿宋" w:eastAsia="仿宋" w:cs="仿宋"/>
          <w:b/>
          <w:color w:val="auto"/>
          <w:kern w:val="0"/>
          <w:sz w:val="24"/>
          <w:u w:val="single"/>
          <w:lang w:val="zh-CN"/>
        </w:rPr>
        <w:t>特别提示：采购机构将在中标公告中公布中标人的《残疾人福利性单位声明函》，接受社会监督。</w:t>
      </w:r>
    </w:p>
    <w:p>
      <w:pPr>
        <w:ind w:firstLine="420"/>
        <w:rPr>
          <w:rFonts w:ascii="仿宋" w:hAnsi="仿宋" w:eastAsia="仿宋" w:cs="仿宋"/>
          <w:color w:val="auto"/>
        </w:rPr>
      </w:pPr>
    </w:p>
    <w:p>
      <w:pPr>
        <w:snapToGrid w:val="0"/>
        <w:spacing w:before="156" w:beforeLines="50" w:after="50"/>
        <w:jc w:val="left"/>
        <w:rPr>
          <w:rFonts w:ascii="仿宋" w:hAnsi="仿宋" w:eastAsia="仿宋" w:cs="仿宋"/>
          <w:b/>
          <w:color w:val="auto"/>
          <w:sz w:val="30"/>
          <w:szCs w:val="30"/>
        </w:rPr>
      </w:pPr>
      <w:r>
        <w:rPr>
          <w:rFonts w:hint="eastAsia" w:ascii="仿宋" w:hAnsi="仿宋" w:eastAsia="仿宋" w:cs="仿宋"/>
          <w:b/>
          <w:bCs/>
          <w:color w:val="auto"/>
          <w:sz w:val="30"/>
          <w:szCs w:val="30"/>
        </w:rPr>
        <w:t>附件9</w:t>
      </w:r>
      <w:r>
        <w:rPr>
          <w:rFonts w:hint="eastAsia" w:ascii="仿宋" w:hAnsi="仿宋" w:eastAsia="仿宋" w:cs="仿宋"/>
          <w:b/>
          <w:color w:val="auto"/>
          <w:sz w:val="30"/>
          <w:szCs w:val="30"/>
        </w:rPr>
        <w:t>：商务和技术文件封面</w:t>
      </w:r>
    </w:p>
    <w:p>
      <w:pPr>
        <w:snapToGrid w:val="0"/>
        <w:spacing w:before="156" w:beforeLines="50" w:after="50"/>
        <w:jc w:val="center"/>
        <w:rPr>
          <w:rFonts w:ascii="仿宋" w:hAnsi="仿宋" w:eastAsia="仿宋" w:cs="仿宋"/>
          <w:b/>
          <w:color w:val="auto"/>
          <w:sz w:val="30"/>
          <w:szCs w:val="30"/>
        </w:rPr>
      </w:pPr>
    </w:p>
    <w:p>
      <w:pPr>
        <w:snapToGrid w:val="0"/>
        <w:spacing w:before="156" w:beforeLines="50" w:after="50"/>
        <w:jc w:val="right"/>
        <w:rPr>
          <w:rFonts w:ascii="仿宋" w:hAnsi="仿宋" w:eastAsia="仿宋" w:cs="仿宋"/>
          <w:bCs/>
          <w:color w:val="auto"/>
          <w:sz w:val="30"/>
          <w:szCs w:val="30"/>
        </w:rPr>
      </w:pPr>
    </w:p>
    <w:p>
      <w:pPr>
        <w:spacing w:line="400" w:lineRule="exact"/>
        <w:ind w:right="-110"/>
        <w:rPr>
          <w:rFonts w:ascii="仿宋" w:hAnsi="仿宋" w:eastAsia="仿宋" w:cs="仿宋"/>
          <w:color w:val="auto"/>
          <w:spacing w:val="40"/>
          <w:sz w:val="30"/>
          <w:szCs w:val="30"/>
        </w:rPr>
      </w:pPr>
      <w:r>
        <w:rPr>
          <w:rFonts w:hint="eastAsia" w:ascii="仿宋" w:hAnsi="仿宋" w:eastAsia="仿宋" w:cs="仿宋"/>
          <w:color w:val="auto"/>
          <w:spacing w:val="40"/>
          <w:sz w:val="30"/>
          <w:szCs w:val="30"/>
        </w:rPr>
        <w:t>项目名称：</w:t>
      </w:r>
    </w:p>
    <w:p>
      <w:pPr>
        <w:spacing w:before="312" w:beforeLines="100" w:line="400" w:lineRule="exact"/>
        <w:rPr>
          <w:rFonts w:ascii="仿宋" w:hAnsi="仿宋" w:eastAsia="仿宋" w:cs="仿宋"/>
          <w:color w:val="auto"/>
          <w:sz w:val="30"/>
          <w:szCs w:val="30"/>
          <w:u w:val="single"/>
        </w:rPr>
      </w:pPr>
      <w:r>
        <w:rPr>
          <w:rFonts w:hint="eastAsia" w:ascii="仿宋" w:hAnsi="仿宋" w:eastAsia="仿宋" w:cs="仿宋"/>
          <w:color w:val="auto"/>
          <w:sz w:val="30"/>
          <w:szCs w:val="30"/>
        </w:rPr>
        <w:t>项目编号：</w:t>
      </w:r>
    </w:p>
    <w:p>
      <w:pPr>
        <w:spacing w:before="312" w:beforeLines="100" w:line="400" w:lineRule="exact"/>
        <w:rPr>
          <w:rFonts w:ascii="仿宋" w:hAnsi="仿宋" w:eastAsia="仿宋" w:cs="仿宋"/>
          <w:color w:val="auto"/>
          <w:sz w:val="30"/>
          <w:szCs w:val="30"/>
        </w:rPr>
      </w:pPr>
      <w:r>
        <w:rPr>
          <w:rFonts w:hint="eastAsia" w:ascii="仿宋" w:hAnsi="仿宋" w:eastAsia="仿宋" w:cs="仿宋"/>
          <w:color w:val="auto"/>
          <w:sz w:val="30"/>
          <w:szCs w:val="30"/>
        </w:rPr>
        <w:t>标项：</w:t>
      </w:r>
    </w:p>
    <w:p>
      <w:pPr>
        <w:spacing w:line="1200" w:lineRule="exact"/>
        <w:ind w:right="6"/>
        <w:jc w:val="center"/>
        <w:rPr>
          <w:rFonts w:ascii="仿宋" w:hAnsi="仿宋" w:eastAsia="仿宋" w:cs="仿宋"/>
          <w:color w:val="auto"/>
          <w:sz w:val="72"/>
          <w:szCs w:val="72"/>
        </w:rPr>
      </w:pPr>
      <w:r>
        <w:rPr>
          <w:rFonts w:hint="eastAsia" w:ascii="仿宋" w:hAnsi="仿宋" w:eastAsia="仿宋" w:cs="仿宋"/>
          <w:color w:val="auto"/>
          <w:sz w:val="72"/>
          <w:szCs w:val="72"/>
        </w:rPr>
        <w:t>商</w:t>
      </w:r>
    </w:p>
    <w:p>
      <w:pPr>
        <w:spacing w:line="1200" w:lineRule="exact"/>
        <w:ind w:right="6"/>
        <w:jc w:val="center"/>
        <w:rPr>
          <w:rFonts w:ascii="仿宋" w:hAnsi="仿宋" w:eastAsia="仿宋" w:cs="仿宋"/>
          <w:color w:val="auto"/>
          <w:sz w:val="72"/>
          <w:szCs w:val="72"/>
        </w:rPr>
      </w:pPr>
      <w:r>
        <w:rPr>
          <w:rFonts w:hint="eastAsia" w:ascii="仿宋" w:hAnsi="仿宋" w:eastAsia="仿宋" w:cs="仿宋"/>
          <w:color w:val="auto"/>
          <w:sz w:val="72"/>
          <w:szCs w:val="72"/>
        </w:rPr>
        <w:t>务</w:t>
      </w:r>
    </w:p>
    <w:p>
      <w:pPr>
        <w:spacing w:line="1200" w:lineRule="exact"/>
        <w:ind w:right="6"/>
        <w:jc w:val="center"/>
        <w:rPr>
          <w:rFonts w:ascii="仿宋" w:hAnsi="仿宋" w:eastAsia="仿宋" w:cs="仿宋"/>
          <w:color w:val="auto"/>
          <w:sz w:val="72"/>
          <w:szCs w:val="72"/>
        </w:rPr>
      </w:pPr>
      <w:r>
        <w:rPr>
          <w:rFonts w:hint="eastAsia" w:ascii="仿宋" w:hAnsi="仿宋" w:eastAsia="仿宋" w:cs="仿宋"/>
          <w:color w:val="auto"/>
          <w:sz w:val="72"/>
          <w:szCs w:val="72"/>
        </w:rPr>
        <w:t>和</w:t>
      </w:r>
    </w:p>
    <w:p>
      <w:pPr>
        <w:spacing w:line="1200" w:lineRule="exact"/>
        <w:ind w:right="6"/>
        <w:jc w:val="center"/>
        <w:rPr>
          <w:rFonts w:ascii="仿宋" w:hAnsi="仿宋" w:eastAsia="仿宋" w:cs="仿宋"/>
          <w:color w:val="auto"/>
          <w:sz w:val="72"/>
          <w:szCs w:val="72"/>
        </w:rPr>
      </w:pPr>
      <w:r>
        <w:rPr>
          <w:rFonts w:hint="eastAsia" w:ascii="仿宋" w:hAnsi="仿宋" w:eastAsia="仿宋" w:cs="仿宋"/>
          <w:color w:val="auto"/>
          <w:sz w:val="72"/>
          <w:szCs w:val="72"/>
        </w:rPr>
        <w:t>技</w:t>
      </w:r>
    </w:p>
    <w:p>
      <w:pPr>
        <w:spacing w:line="1200" w:lineRule="exact"/>
        <w:ind w:right="6"/>
        <w:jc w:val="center"/>
        <w:rPr>
          <w:rFonts w:ascii="仿宋" w:hAnsi="仿宋" w:eastAsia="仿宋" w:cs="仿宋"/>
          <w:color w:val="auto"/>
          <w:sz w:val="72"/>
          <w:szCs w:val="72"/>
        </w:rPr>
      </w:pPr>
      <w:r>
        <w:rPr>
          <w:rFonts w:hint="eastAsia" w:ascii="仿宋" w:hAnsi="仿宋" w:eastAsia="仿宋" w:cs="仿宋"/>
          <w:color w:val="auto"/>
          <w:sz w:val="72"/>
          <w:szCs w:val="72"/>
        </w:rPr>
        <w:t>术</w:t>
      </w:r>
    </w:p>
    <w:p>
      <w:pPr>
        <w:spacing w:line="1200" w:lineRule="exact"/>
        <w:ind w:right="6"/>
        <w:jc w:val="center"/>
        <w:rPr>
          <w:rFonts w:ascii="仿宋" w:hAnsi="仿宋" w:eastAsia="仿宋" w:cs="仿宋"/>
          <w:color w:val="auto"/>
          <w:sz w:val="72"/>
          <w:szCs w:val="72"/>
        </w:rPr>
      </w:pPr>
      <w:r>
        <w:rPr>
          <w:rFonts w:hint="eastAsia" w:ascii="仿宋" w:hAnsi="仿宋" w:eastAsia="仿宋" w:cs="仿宋"/>
          <w:color w:val="auto"/>
          <w:sz w:val="72"/>
          <w:szCs w:val="72"/>
        </w:rPr>
        <w:t>文</w:t>
      </w:r>
    </w:p>
    <w:p>
      <w:pPr>
        <w:spacing w:line="1200" w:lineRule="exact"/>
        <w:ind w:right="6"/>
        <w:jc w:val="center"/>
        <w:rPr>
          <w:rFonts w:ascii="仿宋" w:hAnsi="仿宋" w:eastAsia="仿宋" w:cs="仿宋"/>
          <w:color w:val="auto"/>
          <w:sz w:val="72"/>
          <w:szCs w:val="72"/>
        </w:rPr>
      </w:pPr>
      <w:r>
        <w:rPr>
          <w:rFonts w:hint="eastAsia" w:ascii="仿宋" w:hAnsi="仿宋" w:eastAsia="仿宋" w:cs="仿宋"/>
          <w:color w:val="auto"/>
          <w:sz w:val="72"/>
          <w:szCs w:val="72"/>
        </w:rPr>
        <w:t>件</w:t>
      </w:r>
    </w:p>
    <w:p>
      <w:pPr>
        <w:spacing w:line="500" w:lineRule="exact"/>
        <w:ind w:right="7"/>
        <w:jc w:val="center"/>
        <w:rPr>
          <w:rFonts w:ascii="仿宋" w:hAnsi="仿宋" w:eastAsia="仿宋" w:cs="仿宋"/>
          <w:color w:val="auto"/>
          <w:sz w:val="36"/>
          <w:szCs w:val="36"/>
        </w:rPr>
      </w:pPr>
    </w:p>
    <w:p>
      <w:pPr>
        <w:spacing w:line="400" w:lineRule="exact"/>
        <w:ind w:right="-110"/>
        <w:rPr>
          <w:rFonts w:ascii="仿宋" w:hAnsi="仿宋" w:eastAsia="仿宋" w:cs="仿宋"/>
          <w:color w:val="auto"/>
          <w:spacing w:val="40"/>
          <w:sz w:val="30"/>
          <w:szCs w:val="30"/>
        </w:rPr>
      </w:pPr>
      <w:r>
        <w:rPr>
          <w:rFonts w:hint="eastAsia" w:ascii="仿宋" w:hAnsi="仿宋" w:eastAsia="仿宋" w:cs="仿宋"/>
          <w:color w:val="auto"/>
          <w:spacing w:val="40"/>
          <w:sz w:val="30"/>
          <w:szCs w:val="30"/>
        </w:rPr>
        <w:t>投标人名称（盖章）：</w:t>
      </w:r>
    </w:p>
    <w:p>
      <w:pPr>
        <w:spacing w:line="400" w:lineRule="exact"/>
        <w:ind w:right="-110"/>
        <w:rPr>
          <w:rFonts w:ascii="仿宋" w:hAnsi="仿宋" w:eastAsia="仿宋" w:cs="仿宋"/>
          <w:color w:val="auto"/>
          <w:spacing w:val="40"/>
          <w:sz w:val="30"/>
          <w:szCs w:val="30"/>
        </w:rPr>
      </w:pPr>
      <w:r>
        <w:rPr>
          <w:rFonts w:hint="eastAsia" w:ascii="仿宋" w:hAnsi="仿宋" w:eastAsia="仿宋" w:cs="仿宋"/>
          <w:color w:val="auto"/>
          <w:spacing w:val="40"/>
          <w:sz w:val="30"/>
          <w:szCs w:val="30"/>
        </w:rPr>
        <w:t>地    址：</w:t>
      </w:r>
    </w:p>
    <w:p>
      <w:pPr>
        <w:spacing w:line="400" w:lineRule="exact"/>
        <w:ind w:right="-110"/>
        <w:rPr>
          <w:rFonts w:ascii="仿宋" w:hAnsi="仿宋" w:eastAsia="仿宋" w:cs="仿宋"/>
          <w:color w:val="auto"/>
          <w:spacing w:val="40"/>
          <w:sz w:val="30"/>
          <w:szCs w:val="30"/>
        </w:rPr>
      </w:pPr>
      <w:r>
        <w:rPr>
          <w:rFonts w:hint="eastAsia" w:ascii="仿宋" w:hAnsi="仿宋" w:eastAsia="仿宋" w:cs="仿宋"/>
          <w:color w:val="auto"/>
          <w:spacing w:val="40"/>
          <w:sz w:val="30"/>
          <w:szCs w:val="30"/>
        </w:rPr>
        <w:t>日期：</w:t>
      </w:r>
    </w:p>
    <w:p>
      <w:pPr>
        <w:snapToGrid w:val="0"/>
        <w:spacing w:before="156" w:beforeLines="50" w:after="50"/>
        <w:jc w:val="left"/>
        <w:rPr>
          <w:rFonts w:ascii="仿宋" w:hAnsi="仿宋" w:eastAsia="仿宋" w:cs="仿宋"/>
          <w:b/>
          <w:bCs/>
          <w:color w:val="auto"/>
          <w:sz w:val="30"/>
          <w:szCs w:val="30"/>
        </w:rPr>
      </w:pPr>
      <w:r>
        <w:rPr>
          <w:rFonts w:hint="eastAsia" w:ascii="仿宋" w:hAnsi="仿宋" w:eastAsia="仿宋" w:cs="仿宋"/>
          <w:b/>
          <w:bCs/>
          <w:color w:val="auto"/>
          <w:sz w:val="30"/>
          <w:szCs w:val="30"/>
        </w:rPr>
        <w:t>附件10：商务和技术文件目录</w:t>
      </w:r>
    </w:p>
    <w:p>
      <w:pPr>
        <w:snapToGrid w:val="0"/>
        <w:spacing w:before="156" w:beforeLines="50" w:after="50"/>
        <w:jc w:val="center"/>
        <w:rPr>
          <w:rFonts w:ascii="仿宋" w:hAnsi="仿宋" w:eastAsia="仿宋" w:cs="仿宋"/>
          <w:color w:val="auto"/>
          <w:sz w:val="30"/>
          <w:szCs w:val="30"/>
        </w:rPr>
      </w:pPr>
      <w:r>
        <w:rPr>
          <w:rFonts w:hint="eastAsia" w:ascii="仿宋" w:hAnsi="仿宋" w:eastAsia="仿宋" w:cs="仿宋"/>
          <w:color w:val="auto"/>
          <w:sz w:val="30"/>
          <w:szCs w:val="30"/>
        </w:rPr>
        <w:t>目 录</w:t>
      </w:r>
    </w:p>
    <w:p>
      <w:pPr>
        <w:pStyle w:val="38"/>
        <w:spacing w:line="360" w:lineRule="auto"/>
        <w:ind w:firstLine="0" w:firstLineChars="0"/>
        <w:jc w:val="left"/>
        <w:rPr>
          <w:rFonts w:ascii="仿宋" w:hAnsi="仿宋" w:eastAsia="仿宋" w:cs="仿宋"/>
          <w:color w:val="auto"/>
        </w:rPr>
      </w:pPr>
      <w:bookmarkStart w:id="99" w:name="_Toc64369789"/>
      <w:r>
        <w:rPr>
          <w:rFonts w:hint="eastAsia" w:ascii="仿宋" w:hAnsi="仿宋" w:eastAsia="仿宋" w:cs="仿宋"/>
          <w:color w:val="auto"/>
        </w:rPr>
        <w:t>1.项目明细清单……………………………………………………</w:t>
      </w:r>
      <w:r>
        <w:rPr>
          <w:rFonts w:hint="eastAsia" w:ascii="仿宋" w:hAnsi="仿宋" w:eastAsia="仿宋" w:cs="仿宋"/>
          <w:color w:val="auto"/>
          <w:lang w:val="zh-CN"/>
        </w:rPr>
        <w:t>……</w:t>
      </w:r>
      <w:r>
        <w:rPr>
          <w:rFonts w:hint="eastAsia" w:ascii="仿宋" w:hAnsi="仿宋" w:eastAsia="仿宋" w:cs="仿宋"/>
          <w:color w:val="auto"/>
        </w:rPr>
        <w:t>……（页码）</w:t>
      </w:r>
      <w:bookmarkEnd w:id="99"/>
    </w:p>
    <w:p>
      <w:pPr>
        <w:pStyle w:val="38"/>
        <w:spacing w:line="360" w:lineRule="auto"/>
        <w:ind w:firstLine="0" w:firstLineChars="0"/>
        <w:jc w:val="left"/>
        <w:rPr>
          <w:rFonts w:ascii="仿宋" w:hAnsi="仿宋" w:eastAsia="仿宋" w:cs="仿宋"/>
          <w:color w:val="auto"/>
        </w:rPr>
      </w:pPr>
      <w:bookmarkStart w:id="100" w:name="_Toc64369790"/>
      <w:r>
        <w:rPr>
          <w:rFonts w:hint="eastAsia" w:ascii="仿宋" w:hAnsi="仿宋" w:eastAsia="仿宋" w:cs="仿宋"/>
          <w:color w:val="auto"/>
        </w:rPr>
        <w:t>2.技术响应表…………………………………………………………………（页码）</w:t>
      </w:r>
      <w:bookmarkEnd w:id="100"/>
    </w:p>
    <w:p>
      <w:pPr>
        <w:pStyle w:val="38"/>
        <w:spacing w:line="360" w:lineRule="auto"/>
        <w:ind w:firstLine="0" w:firstLineChars="0"/>
        <w:jc w:val="left"/>
        <w:rPr>
          <w:rFonts w:ascii="仿宋" w:hAnsi="仿宋" w:eastAsia="仿宋" w:cs="仿宋"/>
          <w:color w:val="auto"/>
        </w:rPr>
      </w:pPr>
      <w:bookmarkStart w:id="101" w:name="_Toc64369791"/>
      <w:r>
        <w:rPr>
          <w:rFonts w:hint="eastAsia" w:ascii="仿宋" w:hAnsi="仿宋" w:eastAsia="仿宋" w:cs="仿宋"/>
          <w:color w:val="auto"/>
        </w:rPr>
        <w:t>3.商务响应表…………………………………………………………………（页码）</w:t>
      </w:r>
      <w:bookmarkEnd w:id="101"/>
    </w:p>
    <w:p>
      <w:pPr>
        <w:pStyle w:val="38"/>
        <w:spacing w:line="360" w:lineRule="auto"/>
        <w:ind w:firstLine="0" w:firstLineChars="0"/>
        <w:jc w:val="left"/>
        <w:rPr>
          <w:rFonts w:ascii="仿宋" w:hAnsi="仿宋" w:eastAsia="仿宋" w:cs="仿宋"/>
          <w:color w:val="auto"/>
        </w:rPr>
      </w:pPr>
      <w:bookmarkStart w:id="102" w:name="_Toc64369792"/>
      <w:r>
        <w:rPr>
          <w:rFonts w:hint="eastAsia" w:ascii="仿宋" w:hAnsi="仿宋" w:eastAsia="仿宋" w:cs="仿宋"/>
          <w:color w:val="auto"/>
        </w:rPr>
        <w:t>4.项目实施方案……………………………………………………</w:t>
      </w:r>
      <w:r>
        <w:rPr>
          <w:rFonts w:hint="eastAsia" w:ascii="仿宋" w:hAnsi="仿宋" w:eastAsia="仿宋" w:cs="仿宋"/>
          <w:color w:val="auto"/>
          <w:lang w:val="zh-CN"/>
        </w:rPr>
        <w:t>…</w:t>
      </w:r>
      <w:r>
        <w:rPr>
          <w:rFonts w:hint="eastAsia" w:ascii="仿宋" w:hAnsi="仿宋" w:eastAsia="仿宋" w:cs="仿宋"/>
          <w:color w:val="auto"/>
        </w:rPr>
        <w:t>………（页码）</w:t>
      </w:r>
      <w:bookmarkEnd w:id="102"/>
    </w:p>
    <w:p>
      <w:pPr>
        <w:pStyle w:val="38"/>
        <w:spacing w:line="360" w:lineRule="auto"/>
        <w:ind w:firstLine="0" w:firstLineChars="0"/>
        <w:jc w:val="left"/>
        <w:rPr>
          <w:rFonts w:ascii="仿宋" w:hAnsi="仿宋" w:eastAsia="仿宋" w:cs="仿宋"/>
          <w:color w:val="auto"/>
        </w:rPr>
      </w:pPr>
      <w:bookmarkStart w:id="103" w:name="_Toc64369793"/>
      <w:r>
        <w:rPr>
          <w:rFonts w:hint="eastAsia" w:ascii="仿宋" w:hAnsi="仿宋" w:eastAsia="仿宋" w:cs="仿宋"/>
          <w:color w:val="auto"/>
        </w:rPr>
        <w:t>5.项目实施人员清单………………………………………………</w:t>
      </w:r>
      <w:r>
        <w:rPr>
          <w:rFonts w:hint="eastAsia" w:ascii="仿宋" w:hAnsi="仿宋" w:eastAsia="仿宋" w:cs="仿宋"/>
          <w:color w:val="auto"/>
          <w:lang w:val="zh-CN"/>
        </w:rPr>
        <w:t>……</w:t>
      </w:r>
      <w:r>
        <w:rPr>
          <w:rFonts w:hint="eastAsia" w:ascii="仿宋" w:hAnsi="仿宋" w:eastAsia="仿宋" w:cs="仿宋"/>
          <w:color w:val="auto"/>
        </w:rPr>
        <w:t>……（页码）</w:t>
      </w:r>
      <w:bookmarkEnd w:id="103"/>
    </w:p>
    <w:p>
      <w:pPr>
        <w:pStyle w:val="38"/>
        <w:spacing w:line="360" w:lineRule="auto"/>
        <w:ind w:firstLine="0" w:firstLineChars="0"/>
        <w:jc w:val="left"/>
        <w:rPr>
          <w:rFonts w:ascii="仿宋" w:hAnsi="仿宋" w:eastAsia="仿宋" w:cs="仿宋"/>
          <w:color w:val="auto"/>
        </w:rPr>
      </w:pPr>
      <w:bookmarkStart w:id="104" w:name="_Toc64369796"/>
      <w:r>
        <w:rPr>
          <w:rFonts w:hint="eastAsia" w:ascii="仿宋" w:hAnsi="仿宋" w:eastAsia="仿宋" w:cs="仿宋"/>
          <w:color w:val="auto"/>
        </w:rPr>
        <w:t>6.类似业绩一览表（附业绩证明材料）</w:t>
      </w:r>
      <w:r>
        <w:rPr>
          <w:rFonts w:hint="eastAsia" w:ascii="仿宋" w:hAnsi="仿宋" w:eastAsia="仿宋" w:cs="仿宋"/>
          <w:color w:val="auto"/>
          <w:szCs w:val="20"/>
        </w:rPr>
        <w:t>（如有）</w:t>
      </w:r>
      <w:r>
        <w:rPr>
          <w:rFonts w:hint="eastAsia" w:ascii="仿宋" w:hAnsi="仿宋" w:eastAsia="仿宋" w:cs="仿宋"/>
          <w:color w:val="auto"/>
        </w:rPr>
        <w:t>…………………</w:t>
      </w:r>
      <w:r>
        <w:rPr>
          <w:rFonts w:hint="eastAsia" w:ascii="仿宋" w:hAnsi="仿宋" w:eastAsia="仿宋" w:cs="仿宋"/>
          <w:color w:val="auto"/>
          <w:lang w:val="zh-CN"/>
        </w:rPr>
        <w:t>…</w:t>
      </w:r>
      <w:r>
        <w:rPr>
          <w:rFonts w:hint="eastAsia" w:ascii="仿宋" w:hAnsi="仿宋" w:eastAsia="仿宋" w:cs="仿宋"/>
          <w:color w:val="auto"/>
        </w:rPr>
        <w:t>………（页码）</w:t>
      </w:r>
      <w:bookmarkEnd w:id="104"/>
    </w:p>
    <w:p>
      <w:pPr>
        <w:pStyle w:val="36"/>
        <w:numPr>
          <w:ilvl w:val="0"/>
          <w:numId w:val="0"/>
        </w:numPr>
        <w:rPr>
          <w:rFonts w:ascii="仿宋" w:hAnsi="仿宋" w:eastAsia="仿宋" w:cs="仿宋"/>
          <w:color w:val="auto"/>
          <w:sz w:val="24"/>
          <w:szCs w:val="24"/>
        </w:rPr>
      </w:pPr>
      <w:r>
        <w:rPr>
          <w:rFonts w:hint="eastAsia" w:ascii="仿宋" w:hAnsi="仿宋" w:eastAsia="仿宋" w:cs="仿宋"/>
          <w:color w:val="auto"/>
          <w:sz w:val="24"/>
          <w:szCs w:val="24"/>
        </w:rPr>
        <w:t>7.享受政府采购政策性规定情况表（如有）……………………………………（页码）</w:t>
      </w:r>
    </w:p>
    <w:p>
      <w:pPr>
        <w:pStyle w:val="38"/>
        <w:spacing w:line="360" w:lineRule="auto"/>
        <w:ind w:firstLine="0" w:firstLineChars="0"/>
        <w:jc w:val="left"/>
        <w:rPr>
          <w:rFonts w:ascii="仿宋" w:hAnsi="仿宋" w:eastAsia="仿宋" w:cs="仿宋"/>
          <w:color w:val="auto"/>
        </w:rPr>
      </w:pPr>
      <w:bookmarkStart w:id="105" w:name="_Toc64369797"/>
      <w:r>
        <w:rPr>
          <w:rFonts w:hint="eastAsia" w:ascii="仿宋" w:hAnsi="仿宋" w:eastAsia="仿宋" w:cs="仿宋"/>
          <w:color w:val="auto"/>
          <w:lang w:val="zh-CN"/>
        </w:rPr>
        <w:t>8.优惠条件及其他额外承诺………………………………</w:t>
      </w:r>
      <w:r>
        <w:rPr>
          <w:rFonts w:hint="eastAsia" w:ascii="仿宋" w:hAnsi="仿宋" w:eastAsia="仿宋" w:cs="仿宋"/>
          <w:color w:val="auto"/>
        </w:rPr>
        <w:t>………</w:t>
      </w:r>
      <w:r>
        <w:rPr>
          <w:rFonts w:hint="eastAsia" w:ascii="仿宋" w:hAnsi="仿宋" w:eastAsia="仿宋" w:cs="仿宋"/>
          <w:color w:val="auto"/>
          <w:lang w:val="zh-CN"/>
        </w:rPr>
        <w:t>…………</w:t>
      </w:r>
      <w:r>
        <w:rPr>
          <w:rFonts w:hint="eastAsia" w:ascii="仿宋" w:hAnsi="仿宋" w:eastAsia="仿宋" w:cs="仿宋"/>
          <w:color w:val="auto"/>
        </w:rPr>
        <w:t>（页码）</w:t>
      </w:r>
      <w:bookmarkEnd w:id="105"/>
    </w:p>
    <w:p>
      <w:pPr>
        <w:pStyle w:val="38"/>
        <w:spacing w:line="360" w:lineRule="auto"/>
        <w:ind w:firstLine="0" w:firstLineChars="0"/>
        <w:jc w:val="left"/>
        <w:rPr>
          <w:rFonts w:ascii="仿宋" w:hAnsi="仿宋" w:eastAsia="仿宋" w:cs="仿宋"/>
          <w:color w:val="auto"/>
          <w:lang w:val="zh-CN"/>
        </w:rPr>
      </w:pPr>
      <w:r>
        <w:rPr>
          <w:rFonts w:hint="eastAsia" w:ascii="仿宋" w:hAnsi="仿宋" w:eastAsia="仿宋" w:cs="仿宋"/>
          <w:color w:val="auto"/>
          <w:lang w:val="zh-CN"/>
        </w:rPr>
        <w:t>9.</w:t>
      </w:r>
      <w:r>
        <w:rPr>
          <w:rFonts w:hint="eastAsia" w:ascii="仿宋" w:hAnsi="仿宋" w:eastAsia="仿宋" w:cs="仿宋"/>
          <w:bCs/>
          <w:color w:val="auto"/>
          <w:lang w:val="zh-CN"/>
        </w:rPr>
        <w:t>评分细则中要求提供的其他资料</w:t>
      </w:r>
      <w:r>
        <w:rPr>
          <w:rFonts w:hint="eastAsia" w:ascii="仿宋" w:hAnsi="仿宋" w:eastAsia="仿宋" w:cs="仿宋"/>
          <w:color w:val="auto"/>
          <w:lang w:val="zh-CN"/>
        </w:rPr>
        <w:t>…………………………………………</w:t>
      </w:r>
      <w:r>
        <w:rPr>
          <w:rFonts w:hint="eastAsia" w:ascii="仿宋" w:hAnsi="仿宋" w:eastAsia="仿宋" w:cs="仿宋"/>
          <w:color w:val="auto"/>
        </w:rPr>
        <w:t>（页码）</w:t>
      </w:r>
    </w:p>
    <w:p>
      <w:pPr>
        <w:pStyle w:val="38"/>
        <w:spacing w:line="360" w:lineRule="auto"/>
        <w:ind w:firstLine="0" w:firstLineChars="0"/>
        <w:jc w:val="left"/>
        <w:rPr>
          <w:rFonts w:ascii="仿宋" w:hAnsi="仿宋" w:eastAsia="仿宋" w:cs="仿宋"/>
          <w:color w:val="auto"/>
        </w:rPr>
      </w:pPr>
      <w:bookmarkStart w:id="106" w:name="_Toc64369798"/>
      <w:r>
        <w:rPr>
          <w:rFonts w:hint="eastAsia" w:ascii="仿宋" w:hAnsi="仿宋" w:eastAsia="仿宋" w:cs="仿宋"/>
          <w:color w:val="auto"/>
          <w:lang w:val="zh-CN"/>
        </w:rPr>
        <w:t>10.其他商务技术（资信）文件或说明……………………</w:t>
      </w:r>
      <w:r>
        <w:rPr>
          <w:rFonts w:hint="eastAsia" w:ascii="仿宋" w:hAnsi="仿宋" w:eastAsia="仿宋" w:cs="仿宋"/>
          <w:color w:val="auto"/>
        </w:rPr>
        <w:t>…</w:t>
      </w:r>
      <w:r>
        <w:rPr>
          <w:rFonts w:hint="eastAsia" w:ascii="仿宋" w:hAnsi="仿宋" w:eastAsia="仿宋" w:cs="仿宋"/>
          <w:color w:val="auto"/>
          <w:lang w:val="zh-CN"/>
        </w:rPr>
        <w:t>………………</w:t>
      </w:r>
      <w:r>
        <w:rPr>
          <w:rFonts w:hint="eastAsia" w:ascii="仿宋" w:hAnsi="仿宋" w:eastAsia="仿宋" w:cs="仿宋"/>
          <w:color w:val="auto"/>
        </w:rPr>
        <w:t>（页码）</w:t>
      </w:r>
      <w:bookmarkEnd w:id="106"/>
    </w:p>
    <w:p>
      <w:pPr>
        <w:pStyle w:val="36"/>
        <w:numPr>
          <w:ilvl w:val="0"/>
          <w:numId w:val="0"/>
        </w:numPr>
        <w:rPr>
          <w:rFonts w:ascii="仿宋" w:hAnsi="仿宋" w:eastAsia="仿宋" w:cs="仿宋"/>
          <w:color w:val="auto"/>
        </w:rPr>
      </w:pPr>
    </w:p>
    <w:p>
      <w:pPr>
        <w:rPr>
          <w:rFonts w:ascii="仿宋" w:hAnsi="仿宋" w:eastAsia="仿宋" w:cs="仿宋"/>
          <w:color w:val="auto"/>
          <w:sz w:val="24"/>
          <w:szCs w:val="24"/>
          <w:lang w:val="zh-CN"/>
        </w:rPr>
      </w:pPr>
      <w:r>
        <w:rPr>
          <w:rFonts w:hint="eastAsia" w:ascii="仿宋" w:hAnsi="仿宋" w:eastAsia="仿宋" w:cs="仿宋"/>
          <w:color w:val="auto"/>
          <w:sz w:val="24"/>
          <w:szCs w:val="24"/>
          <w:lang w:val="zh-CN"/>
        </w:rPr>
        <w:t>注：以上文件投标供应商可以在本采购文件提供的格式范本基础上适当微调，使得内容更加完备。制作加密电子投标文件时做好关联点设置。</w:t>
      </w: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pStyle w:val="33"/>
        <w:spacing w:afterLines="0" w:line="440" w:lineRule="exact"/>
        <w:ind w:firstLine="0" w:firstLineChars="0"/>
        <w:rPr>
          <w:rFonts w:ascii="仿宋" w:hAnsi="仿宋" w:eastAsia="仿宋" w:cs="仿宋"/>
          <w:b/>
          <w:bCs/>
          <w:color w:val="auto"/>
          <w:sz w:val="28"/>
          <w:szCs w:val="28"/>
        </w:rPr>
      </w:pPr>
      <w:r>
        <w:rPr>
          <w:rFonts w:hint="eastAsia" w:ascii="仿宋" w:hAnsi="仿宋" w:eastAsia="仿宋" w:cs="仿宋"/>
          <w:b/>
          <w:bCs/>
          <w:color w:val="auto"/>
          <w:sz w:val="28"/>
          <w:szCs w:val="28"/>
        </w:rPr>
        <w:t>附件11：项目明细清单</w:t>
      </w:r>
    </w:p>
    <w:p>
      <w:pPr>
        <w:snapToGrid w:val="0"/>
        <w:spacing w:before="50" w:after="156" w:afterLines="50"/>
        <w:jc w:val="center"/>
        <w:rPr>
          <w:rFonts w:ascii="仿宋" w:hAnsi="仿宋" w:eastAsia="仿宋" w:cs="仿宋"/>
          <w:b/>
          <w:color w:val="auto"/>
          <w:spacing w:val="40"/>
          <w:kern w:val="0"/>
          <w:sz w:val="36"/>
          <w:szCs w:val="36"/>
        </w:rPr>
      </w:pPr>
      <w:r>
        <w:rPr>
          <w:rFonts w:hint="eastAsia" w:ascii="仿宋" w:hAnsi="仿宋" w:eastAsia="仿宋" w:cs="仿宋"/>
          <w:b/>
          <w:color w:val="auto"/>
          <w:spacing w:val="40"/>
          <w:kern w:val="0"/>
          <w:sz w:val="36"/>
          <w:szCs w:val="36"/>
        </w:rPr>
        <w:t>项目明细清单</w:t>
      </w:r>
    </w:p>
    <w:p>
      <w:pPr>
        <w:snapToGrid w:val="0"/>
        <w:spacing w:before="50" w:after="156" w:afterLines="50"/>
        <w:jc w:val="center"/>
        <w:rPr>
          <w:rFonts w:ascii="仿宋" w:hAnsi="仿宋" w:eastAsia="仿宋" w:cs="仿宋"/>
          <w:b/>
          <w:color w:val="auto"/>
          <w:spacing w:val="40"/>
          <w:kern w:val="0"/>
          <w:sz w:val="36"/>
          <w:szCs w:val="36"/>
        </w:rPr>
      </w:pPr>
    </w:p>
    <w:p>
      <w:pPr>
        <w:pStyle w:val="11"/>
        <w:snapToGrid w:val="0"/>
        <w:rPr>
          <w:rFonts w:ascii="仿宋" w:hAnsi="仿宋" w:eastAsia="仿宋" w:cs="仿宋"/>
          <w:color w:val="auto"/>
          <w:kern w:val="0"/>
          <w:sz w:val="30"/>
          <w:szCs w:val="30"/>
          <w:u w:val="single"/>
        </w:rPr>
      </w:pPr>
      <w:r>
        <w:rPr>
          <w:rFonts w:hint="eastAsia" w:ascii="仿宋" w:hAnsi="仿宋" w:eastAsia="仿宋" w:cs="仿宋"/>
          <w:color w:val="auto"/>
          <w:sz w:val="30"/>
          <w:szCs w:val="30"/>
        </w:rPr>
        <w:t>投标人全称（公章）：</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rPr>
        <w:t xml:space="preserve">           标项：</w:t>
      </w:r>
      <w:r>
        <w:rPr>
          <w:rFonts w:hint="eastAsia" w:ascii="仿宋" w:hAnsi="仿宋" w:eastAsia="仿宋" w:cs="仿宋"/>
          <w:color w:val="auto"/>
          <w:sz w:val="30"/>
          <w:szCs w:val="30"/>
          <w:u w:val="single"/>
        </w:rPr>
        <w:t xml:space="preserve">    </w:t>
      </w:r>
    </w:p>
    <w:p>
      <w:pPr>
        <w:snapToGrid w:val="0"/>
        <w:spacing w:before="156" w:beforeLines="50"/>
        <w:rPr>
          <w:rFonts w:ascii="仿宋" w:hAnsi="仿宋" w:eastAsia="仿宋" w:cs="仿宋"/>
          <w:color w:val="auto"/>
          <w:sz w:val="30"/>
          <w:szCs w:val="30"/>
        </w:rPr>
      </w:pPr>
      <w:r>
        <w:rPr>
          <w:rFonts w:hint="eastAsia" w:ascii="仿宋" w:hAnsi="仿宋" w:eastAsia="仿宋" w:cs="仿宋"/>
          <w:color w:val="auto"/>
          <w:sz w:val="30"/>
          <w:szCs w:val="30"/>
        </w:rPr>
        <w:t>服务部分</w:t>
      </w:r>
    </w:p>
    <w:tbl>
      <w:tblPr>
        <w:tblStyle w:val="26"/>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r>
              <w:rPr>
                <w:rFonts w:hint="eastAsia" w:ascii="仿宋" w:hAnsi="仿宋" w:eastAsia="仿宋" w:cs="仿宋"/>
                <w:color w:val="auto"/>
                <w:sz w:val="30"/>
                <w:szCs w:val="30"/>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r>
              <w:rPr>
                <w:rFonts w:hint="eastAsia" w:ascii="仿宋" w:hAnsi="仿宋" w:eastAsia="仿宋" w:cs="仿宋"/>
                <w:color w:val="auto"/>
                <w:sz w:val="30"/>
                <w:szCs w:val="30"/>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r>
              <w:rPr>
                <w:rFonts w:hint="eastAsia" w:ascii="仿宋" w:hAnsi="仿宋" w:eastAsia="仿宋" w:cs="仿宋"/>
                <w:color w:val="auto"/>
                <w:sz w:val="30"/>
                <w:szCs w:val="30"/>
              </w:rPr>
              <w:t>服务人员</w:t>
            </w:r>
          </w:p>
          <w:p>
            <w:pPr>
              <w:snapToGrid w:val="0"/>
              <w:spacing w:before="50" w:after="50"/>
              <w:jc w:val="center"/>
              <w:rPr>
                <w:rFonts w:ascii="仿宋" w:hAnsi="仿宋" w:eastAsia="仿宋" w:cs="仿宋"/>
                <w:color w:val="auto"/>
                <w:sz w:val="30"/>
                <w:szCs w:val="30"/>
              </w:rPr>
            </w:pPr>
            <w:r>
              <w:rPr>
                <w:rFonts w:hint="eastAsia" w:ascii="仿宋" w:hAnsi="仿宋" w:eastAsia="仿宋" w:cs="仿宋"/>
                <w:color w:val="auto"/>
                <w:sz w:val="30"/>
                <w:szCs w:val="30"/>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r>
              <w:rPr>
                <w:rFonts w:hint="eastAsia" w:ascii="仿宋" w:hAnsi="仿宋" w:eastAsia="仿宋" w:cs="仿宋"/>
                <w:color w:val="auto"/>
                <w:sz w:val="30"/>
                <w:szCs w:val="30"/>
              </w:rPr>
              <w:t>服务内容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r>
              <w:rPr>
                <w:rFonts w:hint="eastAsia" w:ascii="仿宋" w:hAnsi="仿宋" w:eastAsia="仿宋" w:cs="仿宋"/>
                <w:color w:val="auto"/>
                <w:sz w:val="30"/>
                <w:szCs w:val="30"/>
              </w:rPr>
              <w:t>1</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color w:val="auto"/>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r>
              <w:rPr>
                <w:rFonts w:hint="eastAsia" w:ascii="仿宋" w:hAnsi="仿宋" w:eastAsia="仿宋" w:cs="仿宋"/>
                <w:color w:val="auto"/>
                <w:sz w:val="30"/>
                <w:szCs w:val="30"/>
              </w:rPr>
              <w:t>2</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color w:val="auto"/>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r>
              <w:rPr>
                <w:rFonts w:hint="eastAsia" w:ascii="仿宋" w:hAnsi="仿宋" w:eastAsia="仿宋" w:cs="仿宋"/>
                <w:color w:val="auto"/>
                <w:sz w:val="28"/>
                <w:szCs w:val="28"/>
              </w:rPr>
              <w:t>…</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color w:val="auto"/>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p>
        </w:tc>
      </w:tr>
    </w:tbl>
    <w:p>
      <w:pPr>
        <w:pStyle w:val="11"/>
        <w:snapToGrid w:val="0"/>
        <w:rPr>
          <w:rFonts w:ascii="仿宋" w:hAnsi="仿宋" w:eastAsia="仿宋" w:cs="仿宋"/>
          <w:color w:val="auto"/>
          <w:sz w:val="30"/>
          <w:szCs w:val="30"/>
        </w:rPr>
      </w:pPr>
      <w:r>
        <w:rPr>
          <w:rFonts w:hint="eastAsia" w:ascii="仿宋" w:hAnsi="仿宋" w:eastAsia="仿宋" w:cs="仿宋"/>
          <w:color w:val="auto"/>
          <w:sz w:val="30"/>
          <w:szCs w:val="30"/>
        </w:rPr>
        <w:t>货物部分（如有）</w:t>
      </w: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r>
              <w:rPr>
                <w:rFonts w:hint="eastAsia" w:ascii="仿宋" w:hAnsi="仿宋" w:eastAsia="仿宋" w:cs="仿宋"/>
                <w:color w:val="auto"/>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r>
              <w:rPr>
                <w:rFonts w:hint="eastAsia" w:ascii="仿宋" w:hAnsi="仿宋" w:eastAsia="仿宋" w:cs="仿宋"/>
                <w:color w:val="auto"/>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r>
              <w:rPr>
                <w:rFonts w:hint="eastAsia" w:ascii="仿宋" w:hAnsi="仿宋" w:eastAsia="仿宋" w:cs="仿宋"/>
                <w:color w:val="auto"/>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r>
              <w:rPr>
                <w:rFonts w:hint="eastAsia" w:ascii="仿宋" w:hAnsi="仿宋" w:eastAsia="仿宋" w:cs="仿宋"/>
                <w:color w:val="auto"/>
                <w:sz w:val="30"/>
                <w:szCs w:val="30"/>
              </w:rPr>
              <w:t>规格</w:t>
            </w:r>
          </w:p>
          <w:p>
            <w:pPr>
              <w:snapToGrid w:val="0"/>
              <w:spacing w:before="50" w:after="50"/>
              <w:jc w:val="center"/>
              <w:rPr>
                <w:rFonts w:ascii="仿宋" w:hAnsi="仿宋" w:eastAsia="仿宋" w:cs="仿宋"/>
                <w:color w:val="auto"/>
                <w:sz w:val="30"/>
                <w:szCs w:val="30"/>
              </w:rPr>
            </w:pPr>
            <w:r>
              <w:rPr>
                <w:rFonts w:hint="eastAsia" w:ascii="仿宋" w:hAnsi="仿宋" w:eastAsia="仿宋" w:cs="仿宋"/>
                <w:color w:val="auto"/>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r>
              <w:rPr>
                <w:rFonts w:hint="eastAsia" w:ascii="仿宋" w:hAnsi="仿宋" w:eastAsia="仿宋" w:cs="仿宋"/>
                <w:color w:val="auto"/>
                <w:sz w:val="30"/>
                <w:szCs w:val="30"/>
              </w:rPr>
              <w:t>单位及</w:t>
            </w:r>
          </w:p>
          <w:p>
            <w:pPr>
              <w:snapToGrid w:val="0"/>
              <w:spacing w:before="50" w:after="50"/>
              <w:jc w:val="center"/>
              <w:rPr>
                <w:rFonts w:ascii="仿宋" w:hAnsi="仿宋" w:eastAsia="仿宋" w:cs="仿宋"/>
                <w:color w:val="auto"/>
                <w:sz w:val="30"/>
                <w:szCs w:val="30"/>
              </w:rPr>
            </w:pPr>
            <w:r>
              <w:rPr>
                <w:rFonts w:hint="eastAsia" w:ascii="仿宋" w:hAnsi="仿宋" w:eastAsia="仿宋" w:cs="仿宋"/>
                <w:color w:val="auto"/>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r>
              <w:rPr>
                <w:rFonts w:hint="eastAsia" w:ascii="仿宋" w:hAnsi="仿宋" w:eastAsia="仿宋" w:cs="仿宋"/>
                <w:color w:val="auto"/>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r>
              <w:rPr>
                <w:rFonts w:hint="eastAsia" w:ascii="仿宋" w:hAnsi="仿宋" w:eastAsia="仿宋" w:cs="仿宋"/>
                <w:color w:val="auto"/>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r>
              <w:rPr>
                <w:rFonts w:hint="eastAsia" w:ascii="仿宋" w:hAnsi="仿宋" w:eastAsia="仿宋" w:cs="仿宋"/>
                <w:color w:val="auto"/>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color w:val="auto"/>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r>
              <w:rPr>
                <w:rFonts w:hint="eastAsia" w:ascii="仿宋" w:hAnsi="仿宋" w:eastAsia="仿宋" w:cs="仿宋"/>
                <w:color w:val="auto"/>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color w:val="auto"/>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r>
              <w:rPr>
                <w:rFonts w:hint="eastAsia" w:ascii="仿宋" w:hAnsi="仿宋" w:eastAsia="仿宋" w:cs="仿宋"/>
                <w:color w:val="auto"/>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color w:val="auto"/>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p>
        </w:tc>
      </w:tr>
    </w:tbl>
    <w:p>
      <w:pPr>
        <w:snapToGrid w:val="0"/>
        <w:spacing w:before="156" w:beforeLines="50"/>
        <w:rPr>
          <w:rFonts w:ascii="仿宋" w:hAnsi="仿宋" w:eastAsia="仿宋" w:cs="仿宋"/>
          <w:color w:val="auto"/>
          <w:sz w:val="30"/>
          <w:szCs w:val="30"/>
        </w:rPr>
      </w:pPr>
      <w:r>
        <w:rPr>
          <w:rFonts w:hint="eastAsia" w:ascii="仿宋" w:hAnsi="仿宋" w:eastAsia="仿宋" w:cs="仿宋"/>
          <w:color w:val="auto"/>
          <w:sz w:val="30"/>
          <w:szCs w:val="30"/>
        </w:rPr>
        <w:t>注：在填写时，如上表不适合本项目的实际情况，可在确保内容完整的情况下，对上表进行细化。</w:t>
      </w:r>
    </w:p>
    <w:p>
      <w:pPr>
        <w:snapToGrid w:val="0"/>
        <w:spacing w:before="156" w:beforeLines="50"/>
        <w:rPr>
          <w:rFonts w:ascii="仿宋" w:hAnsi="仿宋" w:eastAsia="仿宋" w:cs="仿宋"/>
          <w:color w:val="auto"/>
          <w:sz w:val="30"/>
          <w:szCs w:val="30"/>
        </w:rPr>
      </w:pPr>
    </w:p>
    <w:p>
      <w:pPr>
        <w:snapToGrid w:val="0"/>
        <w:spacing w:before="156" w:beforeLines="50"/>
        <w:rPr>
          <w:rFonts w:ascii="仿宋" w:hAnsi="仿宋" w:eastAsia="仿宋" w:cs="仿宋"/>
          <w:color w:val="auto"/>
          <w:sz w:val="30"/>
          <w:szCs w:val="30"/>
        </w:rPr>
      </w:pPr>
      <w:r>
        <w:rPr>
          <w:rFonts w:hint="eastAsia" w:ascii="仿宋" w:hAnsi="仿宋" w:eastAsia="仿宋" w:cs="仿宋"/>
          <w:color w:val="auto"/>
          <w:sz w:val="30"/>
          <w:szCs w:val="30"/>
        </w:rPr>
        <w:t xml:space="preserve">法定代表人或其授权代表（签字或盖章）：          </w:t>
      </w:r>
    </w:p>
    <w:p>
      <w:pPr>
        <w:snapToGrid w:val="0"/>
        <w:spacing w:before="156" w:beforeLines="50"/>
        <w:rPr>
          <w:rFonts w:ascii="仿宋" w:hAnsi="仿宋" w:eastAsia="仿宋" w:cs="仿宋"/>
          <w:color w:val="auto"/>
          <w:sz w:val="30"/>
          <w:szCs w:val="30"/>
        </w:rPr>
      </w:pPr>
      <w:r>
        <w:rPr>
          <w:rFonts w:hint="eastAsia" w:ascii="仿宋" w:hAnsi="仿宋" w:eastAsia="仿宋" w:cs="仿宋"/>
          <w:color w:val="auto"/>
          <w:sz w:val="30"/>
          <w:szCs w:val="30"/>
        </w:rPr>
        <w:t xml:space="preserve">日期： </w:t>
      </w:r>
    </w:p>
    <w:p>
      <w:pPr>
        <w:snapToGrid w:val="0"/>
        <w:spacing w:before="50" w:after="50"/>
        <w:rPr>
          <w:rFonts w:ascii="仿宋" w:hAnsi="仿宋" w:eastAsia="仿宋" w:cs="仿宋"/>
          <w:color w:val="auto"/>
          <w:spacing w:val="20"/>
          <w:sz w:val="30"/>
          <w:szCs w:val="30"/>
        </w:rPr>
      </w:pPr>
    </w:p>
    <w:p>
      <w:pPr>
        <w:snapToGrid w:val="0"/>
        <w:spacing w:before="50" w:after="50"/>
        <w:rPr>
          <w:rFonts w:ascii="仿宋" w:hAnsi="仿宋" w:eastAsia="仿宋" w:cs="仿宋"/>
          <w:b/>
          <w:bCs/>
          <w:color w:val="auto"/>
          <w:sz w:val="30"/>
          <w:szCs w:val="30"/>
        </w:rPr>
      </w:pPr>
      <w:r>
        <w:rPr>
          <w:rFonts w:hint="eastAsia" w:ascii="仿宋" w:hAnsi="仿宋" w:eastAsia="仿宋" w:cs="仿宋"/>
          <w:b/>
          <w:bCs/>
          <w:color w:val="auto"/>
          <w:sz w:val="30"/>
          <w:szCs w:val="30"/>
        </w:rPr>
        <w:t>附件12：技术响应表</w:t>
      </w:r>
    </w:p>
    <w:p>
      <w:pPr>
        <w:snapToGrid w:val="0"/>
        <w:spacing w:before="50" w:after="50"/>
        <w:rPr>
          <w:rFonts w:ascii="仿宋" w:hAnsi="仿宋" w:eastAsia="仿宋" w:cs="仿宋"/>
          <w:b/>
          <w:bCs/>
          <w:color w:val="auto"/>
          <w:sz w:val="30"/>
          <w:szCs w:val="30"/>
        </w:rPr>
      </w:pPr>
    </w:p>
    <w:p>
      <w:pPr>
        <w:snapToGrid w:val="0"/>
        <w:spacing w:before="50" w:after="156" w:afterLines="50"/>
        <w:jc w:val="center"/>
        <w:rPr>
          <w:rFonts w:ascii="仿宋" w:hAnsi="仿宋" w:eastAsia="仿宋" w:cs="仿宋"/>
          <w:b/>
          <w:color w:val="auto"/>
          <w:spacing w:val="40"/>
          <w:kern w:val="0"/>
          <w:sz w:val="36"/>
          <w:szCs w:val="36"/>
        </w:rPr>
      </w:pPr>
      <w:r>
        <w:rPr>
          <w:rFonts w:hint="eastAsia" w:ascii="仿宋" w:hAnsi="仿宋" w:eastAsia="仿宋" w:cs="仿宋"/>
          <w:b/>
          <w:color w:val="auto"/>
          <w:spacing w:val="40"/>
          <w:kern w:val="0"/>
          <w:sz w:val="36"/>
          <w:szCs w:val="36"/>
        </w:rPr>
        <w:t>技 术 响 应 表</w:t>
      </w:r>
    </w:p>
    <w:p>
      <w:pPr>
        <w:snapToGrid w:val="0"/>
        <w:spacing w:before="50" w:after="156" w:afterLines="50"/>
        <w:jc w:val="center"/>
        <w:rPr>
          <w:rFonts w:ascii="仿宋" w:hAnsi="仿宋" w:eastAsia="仿宋" w:cs="仿宋"/>
          <w:b/>
          <w:color w:val="auto"/>
          <w:spacing w:val="40"/>
          <w:kern w:val="0"/>
          <w:sz w:val="36"/>
          <w:szCs w:val="36"/>
        </w:rPr>
      </w:pPr>
    </w:p>
    <w:p>
      <w:pPr>
        <w:pStyle w:val="11"/>
        <w:snapToGrid w:val="0"/>
        <w:rPr>
          <w:rFonts w:ascii="仿宋" w:hAnsi="仿宋" w:eastAsia="仿宋" w:cs="仿宋"/>
          <w:color w:val="auto"/>
          <w:sz w:val="30"/>
          <w:szCs w:val="30"/>
        </w:rPr>
      </w:pPr>
      <w:r>
        <w:rPr>
          <w:rFonts w:hint="eastAsia" w:ascii="仿宋" w:hAnsi="仿宋" w:eastAsia="仿宋" w:cs="仿宋"/>
          <w:color w:val="auto"/>
          <w:sz w:val="30"/>
          <w:szCs w:val="30"/>
        </w:rPr>
        <w:t>投标人全称（公章）：</w:t>
      </w:r>
      <w:r>
        <w:rPr>
          <w:rFonts w:hint="eastAsia" w:ascii="仿宋" w:hAnsi="仿宋" w:eastAsia="仿宋" w:cs="仿宋"/>
          <w:color w:val="auto"/>
          <w:sz w:val="30"/>
          <w:szCs w:val="30"/>
          <w:u w:val="single"/>
        </w:rPr>
        <w:t xml:space="preserve">            </w:t>
      </w:r>
    </w:p>
    <w:p>
      <w:pPr>
        <w:pStyle w:val="11"/>
        <w:snapToGrid w:val="0"/>
        <w:rPr>
          <w:rFonts w:ascii="仿宋" w:hAnsi="仿宋" w:eastAsia="仿宋" w:cs="仿宋"/>
          <w:color w:val="auto"/>
          <w:sz w:val="30"/>
          <w:szCs w:val="30"/>
          <w:u w:val="single"/>
        </w:rPr>
      </w:pPr>
      <w:r>
        <w:rPr>
          <w:rFonts w:hint="eastAsia" w:ascii="仿宋" w:hAnsi="仿宋" w:eastAsia="仿宋" w:cs="仿宋"/>
          <w:color w:val="auto"/>
          <w:sz w:val="30"/>
          <w:szCs w:val="30"/>
        </w:rPr>
        <w:t>标项：</w:t>
      </w:r>
      <w:r>
        <w:rPr>
          <w:rFonts w:hint="eastAsia" w:ascii="仿宋" w:hAnsi="仿宋" w:eastAsia="仿宋" w:cs="仿宋"/>
          <w:color w:val="auto"/>
          <w:sz w:val="30"/>
          <w:szCs w:val="30"/>
          <w:u w:val="single"/>
        </w:rPr>
        <w:t xml:space="preserve">       </w:t>
      </w:r>
    </w:p>
    <w:tbl>
      <w:tblPr>
        <w:tblStyle w:val="26"/>
        <w:tblW w:w="87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9"/>
        <w:gridCol w:w="1861"/>
        <w:gridCol w:w="2511"/>
        <w:gridCol w:w="2105"/>
        <w:gridCol w:w="13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color w:val="auto"/>
                <w:spacing w:val="20"/>
                <w:sz w:val="24"/>
                <w:szCs w:val="24"/>
              </w:rPr>
            </w:pPr>
            <w:bookmarkStart w:id="107" w:name="_Toc64369807"/>
            <w:r>
              <w:rPr>
                <w:rFonts w:hint="eastAsia" w:ascii="仿宋" w:hAnsi="仿宋" w:eastAsia="仿宋" w:cs="仿宋"/>
                <w:color w:val="auto"/>
                <w:spacing w:val="20"/>
                <w:sz w:val="24"/>
                <w:szCs w:val="24"/>
              </w:rPr>
              <w:t>服务部分</w:t>
            </w:r>
            <w:bookmarkEnd w:id="107"/>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pacing w:val="20"/>
                <w:sz w:val="24"/>
                <w:szCs w:val="24"/>
              </w:rPr>
            </w:pPr>
            <w:bookmarkStart w:id="108" w:name="_Toc64369800"/>
            <w:r>
              <w:rPr>
                <w:rFonts w:hint="eastAsia" w:ascii="仿宋" w:hAnsi="仿宋" w:eastAsia="仿宋" w:cs="仿宋"/>
                <w:color w:val="auto"/>
                <w:spacing w:val="20"/>
                <w:sz w:val="24"/>
                <w:szCs w:val="24"/>
              </w:rPr>
              <w:t>序号</w:t>
            </w:r>
            <w:bookmarkEnd w:id="108"/>
          </w:p>
        </w:tc>
        <w:tc>
          <w:tcPr>
            <w:tcW w:w="186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pacing w:val="20"/>
                <w:sz w:val="24"/>
                <w:szCs w:val="24"/>
              </w:rPr>
            </w:pPr>
            <w:r>
              <w:rPr>
                <w:rFonts w:hint="eastAsia" w:ascii="仿宋" w:hAnsi="仿宋" w:eastAsia="仿宋" w:cs="仿宋"/>
                <w:color w:val="auto"/>
                <w:spacing w:val="20"/>
                <w:sz w:val="24"/>
                <w:szCs w:val="24"/>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pacing w:val="20"/>
                <w:sz w:val="24"/>
                <w:szCs w:val="24"/>
              </w:rPr>
            </w:pPr>
            <w:bookmarkStart w:id="109" w:name="_Toc64369801"/>
            <w:bookmarkStart w:id="110" w:name="_Toc64369802"/>
            <w:r>
              <w:rPr>
                <w:rFonts w:hint="eastAsia" w:ascii="仿宋" w:hAnsi="仿宋" w:eastAsia="仿宋" w:cs="仿宋"/>
                <w:color w:val="auto"/>
                <w:spacing w:val="20"/>
                <w:sz w:val="24"/>
                <w:szCs w:val="24"/>
              </w:rPr>
              <w:t>采购文件</w:t>
            </w:r>
          </w:p>
          <w:p>
            <w:pPr>
              <w:snapToGrid w:val="0"/>
              <w:spacing w:before="50" w:after="50"/>
              <w:jc w:val="center"/>
              <w:rPr>
                <w:rFonts w:ascii="仿宋" w:hAnsi="仿宋" w:eastAsia="仿宋" w:cs="仿宋"/>
                <w:color w:val="auto"/>
                <w:spacing w:val="20"/>
                <w:sz w:val="24"/>
                <w:szCs w:val="24"/>
              </w:rPr>
            </w:pPr>
            <w:r>
              <w:rPr>
                <w:rFonts w:hint="eastAsia" w:ascii="仿宋" w:hAnsi="仿宋" w:eastAsia="仿宋" w:cs="仿宋"/>
                <w:color w:val="auto"/>
                <w:spacing w:val="20"/>
                <w:sz w:val="24"/>
                <w:szCs w:val="24"/>
              </w:rPr>
              <w:t>要求</w:t>
            </w:r>
            <w:bookmarkEnd w:id="109"/>
          </w:p>
        </w:tc>
        <w:tc>
          <w:tcPr>
            <w:tcW w:w="210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pacing w:val="20"/>
                <w:sz w:val="24"/>
                <w:szCs w:val="24"/>
              </w:rPr>
            </w:pPr>
            <w:r>
              <w:rPr>
                <w:rFonts w:hint="eastAsia" w:ascii="仿宋" w:hAnsi="仿宋" w:eastAsia="仿宋" w:cs="仿宋"/>
                <w:color w:val="auto"/>
                <w:spacing w:val="20"/>
                <w:sz w:val="24"/>
                <w:szCs w:val="24"/>
              </w:rPr>
              <w:t>投标文件</w:t>
            </w:r>
          </w:p>
          <w:p>
            <w:pPr>
              <w:snapToGrid w:val="0"/>
              <w:spacing w:before="50" w:after="50"/>
              <w:jc w:val="center"/>
              <w:rPr>
                <w:rFonts w:ascii="仿宋" w:hAnsi="仿宋" w:eastAsia="仿宋" w:cs="仿宋"/>
                <w:color w:val="auto"/>
                <w:spacing w:val="20"/>
                <w:sz w:val="24"/>
                <w:szCs w:val="24"/>
              </w:rPr>
            </w:pPr>
            <w:r>
              <w:rPr>
                <w:rFonts w:hint="eastAsia" w:ascii="仿宋" w:hAnsi="仿宋" w:eastAsia="仿宋" w:cs="仿宋"/>
                <w:color w:val="auto"/>
                <w:spacing w:val="20"/>
                <w:sz w:val="24"/>
                <w:szCs w:val="24"/>
              </w:rPr>
              <w:t>响应</w:t>
            </w:r>
            <w:bookmarkEnd w:id="110"/>
          </w:p>
        </w:tc>
        <w:tc>
          <w:tcPr>
            <w:tcW w:w="139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pacing w:val="20"/>
                <w:sz w:val="24"/>
                <w:szCs w:val="24"/>
              </w:rPr>
            </w:pPr>
            <w:bookmarkStart w:id="111" w:name="_Toc64369803"/>
            <w:r>
              <w:rPr>
                <w:rFonts w:hint="eastAsia" w:ascii="仿宋" w:hAnsi="仿宋" w:eastAsia="仿宋" w:cs="仿宋"/>
                <w:color w:val="auto"/>
                <w:spacing w:val="20"/>
                <w:sz w:val="24"/>
                <w:szCs w:val="24"/>
              </w:rPr>
              <w:t>偏离</w:t>
            </w:r>
          </w:p>
          <w:p>
            <w:pPr>
              <w:snapToGrid w:val="0"/>
              <w:spacing w:before="50" w:after="50"/>
              <w:jc w:val="center"/>
              <w:rPr>
                <w:rFonts w:ascii="仿宋" w:hAnsi="仿宋" w:eastAsia="仿宋" w:cs="仿宋"/>
                <w:color w:val="auto"/>
                <w:spacing w:val="20"/>
                <w:sz w:val="24"/>
                <w:szCs w:val="24"/>
              </w:rPr>
            </w:pPr>
            <w:r>
              <w:rPr>
                <w:rFonts w:hint="eastAsia" w:ascii="仿宋" w:hAnsi="仿宋" w:eastAsia="仿宋" w:cs="仿宋"/>
                <w:color w:val="auto"/>
                <w:spacing w:val="20"/>
                <w:sz w:val="24"/>
                <w:szCs w:val="24"/>
              </w:rPr>
              <w:t>情况</w:t>
            </w:r>
            <w:bookmarkEnd w:id="111"/>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color w:val="auto"/>
                <w:spacing w:val="20"/>
                <w:sz w:val="24"/>
                <w:szCs w:val="24"/>
              </w:rPr>
            </w:pPr>
            <w:bookmarkStart w:id="112" w:name="_Toc64369804"/>
            <w:r>
              <w:rPr>
                <w:rFonts w:hint="eastAsia" w:ascii="仿宋" w:hAnsi="仿宋" w:eastAsia="仿宋" w:cs="仿宋"/>
                <w:color w:val="auto"/>
                <w:spacing w:val="20"/>
                <w:sz w:val="24"/>
                <w:szCs w:val="24"/>
              </w:rPr>
              <w:t>1</w:t>
            </w:r>
            <w:bookmarkEnd w:id="112"/>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color w:val="auto"/>
                <w:spacing w:val="20"/>
                <w:sz w:val="24"/>
                <w:szCs w:val="24"/>
              </w:rPr>
            </w:pPr>
            <w:r>
              <w:rPr>
                <w:rFonts w:hint="eastAsia" w:ascii="仿宋" w:hAnsi="仿宋" w:eastAsia="仿宋" w:cs="仿宋"/>
                <w:color w:val="auto"/>
                <w:spacing w:val="20"/>
                <w:sz w:val="24"/>
                <w:szCs w:val="24"/>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color w:val="auto"/>
                <w:spacing w:val="20"/>
                <w:sz w:val="24"/>
                <w:szCs w:val="24"/>
              </w:rPr>
            </w:pPr>
            <w:r>
              <w:rPr>
                <w:rFonts w:hint="eastAsia" w:ascii="仿宋" w:hAnsi="仿宋" w:eastAsia="仿宋" w:cs="仿宋"/>
                <w:color w:val="auto"/>
                <w:spacing w:val="20"/>
                <w:sz w:val="24"/>
                <w:szCs w:val="24"/>
              </w:rPr>
              <w:t>（服务内容）</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color w:val="auto"/>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color w:val="auto"/>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color w:val="auto"/>
                <w:spacing w:val="20"/>
                <w:sz w:val="24"/>
                <w:szCs w:val="24"/>
              </w:rPr>
            </w:pPr>
            <w:bookmarkStart w:id="113" w:name="_Toc64369805"/>
            <w:r>
              <w:rPr>
                <w:rFonts w:hint="eastAsia" w:ascii="仿宋" w:hAnsi="仿宋" w:eastAsia="仿宋" w:cs="仿宋"/>
                <w:color w:val="auto"/>
                <w:spacing w:val="20"/>
                <w:sz w:val="24"/>
                <w:szCs w:val="24"/>
              </w:rPr>
              <w:t>2</w:t>
            </w:r>
            <w:bookmarkEnd w:id="113"/>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ascii="仿宋" w:hAnsi="仿宋" w:eastAsia="仿宋" w:cs="仿宋"/>
                <w:color w:val="auto"/>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color w:val="auto"/>
                <w:spacing w:val="20"/>
                <w:sz w:val="24"/>
                <w:szCs w:val="24"/>
              </w:rPr>
            </w:pPr>
            <w:r>
              <w:rPr>
                <w:rFonts w:hint="eastAsia" w:ascii="仿宋" w:hAnsi="仿宋" w:eastAsia="仿宋" w:cs="仿宋"/>
                <w:color w:val="auto"/>
                <w:spacing w:val="20"/>
                <w:sz w:val="24"/>
                <w:szCs w:val="24"/>
              </w:rPr>
              <w:t>（服务质量要求）</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color w:val="auto"/>
                <w:spacing w:val="20"/>
                <w:sz w:val="24"/>
                <w:szCs w:val="24"/>
              </w:rPr>
            </w:pPr>
          </w:p>
        </w:tc>
        <w:tc>
          <w:tcPr>
            <w:tcW w:w="1396" w:type="dxa"/>
            <w:tcBorders>
              <w:top w:val="single" w:color="auto" w:sz="4" w:space="0"/>
              <w:left w:val="single" w:color="auto" w:sz="4" w:space="0"/>
              <w:bottom w:val="nil"/>
              <w:right w:val="single" w:color="auto" w:sz="4" w:space="0"/>
            </w:tcBorders>
            <w:noWrap/>
          </w:tcPr>
          <w:p>
            <w:pPr>
              <w:snapToGrid w:val="0"/>
              <w:spacing w:before="50" w:after="50"/>
              <w:rPr>
                <w:rFonts w:ascii="仿宋" w:hAnsi="仿宋" w:eastAsia="仿宋" w:cs="仿宋"/>
                <w:color w:val="auto"/>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color w:val="auto"/>
                <w:spacing w:val="20"/>
                <w:sz w:val="24"/>
                <w:szCs w:val="24"/>
              </w:rPr>
            </w:pPr>
            <w:bookmarkStart w:id="114" w:name="_Toc64369806"/>
            <w:bookmarkEnd w:id="114"/>
            <w:r>
              <w:rPr>
                <w:rFonts w:hint="eastAsia" w:ascii="仿宋" w:hAnsi="仿宋" w:eastAsia="仿宋" w:cs="仿宋"/>
                <w:color w:val="auto"/>
                <w:spacing w:val="20"/>
                <w:sz w:val="24"/>
                <w:szCs w:val="24"/>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ascii="仿宋" w:hAnsi="仿宋" w:eastAsia="仿宋" w:cs="仿宋"/>
                <w:color w:val="auto"/>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color w:val="auto"/>
                <w:spacing w:val="20"/>
                <w:sz w:val="24"/>
                <w:szCs w:val="24"/>
              </w:rPr>
            </w:pPr>
            <w:r>
              <w:rPr>
                <w:rFonts w:hint="eastAsia" w:ascii="仿宋" w:hAnsi="仿宋" w:eastAsia="仿宋" w:cs="仿宋"/>
                <w:color w:val="auto"/>
                <w:spacing w:val="20"/>
                <w:sz w:val="24"/>
                <w:szCs w:val="24"/>
              </w:rPr>
              <w:t>（服务人员）</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color w:val="auto"/>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color w:val="auto"/>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color w:val="auto"/>
                <w:spacing w:val="20"/>
                <w:sz w:val="24"/>
                <w:szCs w:val="24"/>
              </w:rPr>
            </w:pPr>
            <w:bookmarkStart w:id="115" w:name="_Toc64369799"/>
            <w:r>
              <w:rPr>
                <w:rFonts w:hint="eastAsia" w:ascii="仿宋" w:hAnsi="仿宋" w:eastAsia="仿宋" w:cs="仿宋"/>
                <w:color w:val="auto"/>
                <w:spacing w:val="20"/>
                <w:sz w:val="24"/>
                <w:szCs w:val="24"/>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ascii="仿宋" w:hAnsi="仿宋" w:eastAsia="仿宋" w:cs="仿宋"/>
                <w:color w:val="auto"/>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color w:val="auto"/>
                <w:spacing w:val="20"/>
                <w:sz w:val="24"/>
                <w:szCs w:val="24"/>
              </w:rPr>
            </w:pPr>
            <w:r>
              <w:rPr>
                <w:rFonts w:hint="eastAsia" w:ascii="仿宋" w:hAnsi="仿宋" w:eastAsia="仿宋" w:cs="仿宋"/>
                <w:color w:val="auto"/>
                <w:spacing w:val="20"/>
                <w:sz w:val="24"/>
                <w:szCs w:val="24"/>
              </w:rPr>
              <w:t>（投入设备）</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color w:val="auto"/>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color w:val="auto"/>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color w:val="auto"/>
                <w:spacing w:val="20"/>
                <w:sz w:val="24"/>
                <w:szCs w:val="24"/>
              </w:rPr>
            </w:pPr>
            <w:r>
              <w:rPr>
                <w:rFonts w:hint="eastAsia" w:ascii="仿宋" w:hAnsi="仿宋" w:eastAsia="仿宋" w:cs="仿宋"/>
                <w:color w:val="auto"/>
                <w:spacing w:val="20"/>
                <w:sz w:val="24"/>
                <w:szCs w:val="24"/>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ascii="仿宋" w:hAnsi="仿宋" w:eastAsia="仿宋" w:cs="仿宋"/>
                <w:color w:val="auto"/>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color w:val="auto"/>
                <w:spacing w:val="20"/>
                <w:sz w:val="24"/>
                <w:szCs w:val="24"/>
              </w:rPr>
            </w:pPr>
            <w:r>
              <w:rPr>
                <w:rFonts w:hint="eastAsia" w:ascii="仿宋" w:hAnsi="仿宋" w:eastAsia="仿宋" w:cs="仿宋"/>
                <w:color w:val="auto"/>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color w:val="auto"/>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color w:val="auto"/>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color w:val="auto"/>
                <w:spacing w:val="20"/>
                <w:sz w:val="24"/>
                <w:szCs w:val="24"/>
              </w:rPr>
            </w:pPr>
            <w:r>
              <w:rPr>
                <w:rFonts w:hint="eastAsia" w:ascii="仿宋" w:hAnsi="仿宋" w:eastAsia="仿宋" w:cs="仿宋"/>
                <w:color w:val="auto"/>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color w:val="auto"/>
                <w:spacing w:val="20"/>
                <w:sz w:val="24"/>
                <w:szCs w:val="24"/>
              </w:rPr>
            </w:pPr>
            <w:r>
              <w:rPr>
                <w:rFonts w:hint="eastAsia" w:ascii="仿宋" w:hAnsi="仿宋" w:eastAsia="仿宋" w:cs="仿宋"/>
                <w:color w:val="auto"/>
                <w:spacing w:val="20"/>
                <w:sz w:val="24"/>
                <w:szCs w:val="24"/>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color w:val="auto"/>
                <w:spacing w:val="20"/>
                <w:sz w:val="24"/>
                <w:szCs w:val="24"/>
              </w:rPr>
            </w:pPr>
            <w:r>
              <w:rPr>
                <w:rFonts w:hint="eastAsia" w:ascii="仿宋" w:hAnsi="仿宋" w:eastAsia="仿宋" w:cs="仿宋"/>
                <w:color w:val="auto"/>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color w:val="auto"/>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color w:val="auto"/>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color w:val="auto"/>
                <w:spacing w:val="20"/>
                <w:sz w:val="24"/>
                <w:szCs w:val="24"/>
              </w:rPr>
            </w:pPr>
            <w:r>
              <w:rPr>
                <w:rFonts w:hint="eastAsia" w:ascii="仿宋" w:hAnsi="仿宋" w:eastAsia="仿宋" w:cs="仿宋"/>
                <w:color w:val="auto"/>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color w:val="auto"/>
                <w:spacing w:val="20"/>
                <w:sz w:val="24"/>
                <w:szCs w:val="24"/>
              </w:rPr>
            </w:pPr>
            <w:r>
              <w:rPr>
                <w:rFonts w:hint="eastAsia" w:ascii="仿宋" w:hAnsi="仿宋" w:eastAsia="仿宋" w:cs="仿宋"/>
                <w:color w:val="auto"/>
                <w:spacing w:val="20"/>
                <w:sz w:val="24"/>
                <w:szCs w:val="24"/>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color w:val="auto"/>
                <w:spacing w:val="20"/>
                <w:sz w:val="24"/>
                <w:szCs w:val="24"/>
              </w:rPr>
            </w:pPr>
            <w:r>
              <w:rPr>
                <w:rFonts w:hint="eastAsia" w:ascii="仿宋" w:hAnsi="仿宋" w:eastAsia="仿宋" w:cs="仿宋"/>
                <w:color w:val="auto"/>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color w:val="auto"/>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color w:val="auto"/>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color w:val="auto"/>
                <w:spacing w:val="20"/>
                <w:sz w:val="24"/>
                <w:szCs w:val="24"/>
              </w:rPr>
            </w:pPr>
            <w:r>
              <w:rPr>
                <w:rFonts w:hint="eastAsia" w:ascii="仿宋" w:hAnsi="仿宋" w:eastAsia="仿宋" w:cs="仿宋"/>
                <w:color w:val="auto"/>
                <w:spacing w:val="20"/>
                <w:sz w:val="24"/>
                <w:szCs w:val="24"/>
              </w:rPr>
              <w:t>货物部分</w:t>
            </w:r>
            <w:bookmarkEnd w:id="115"/>
            <w:r>
              <w:rPr>
                <w:rFonts w:hint="eastAsia" w:ascii="仿宋" w:hAnsi="仿宋" w:eastAsia="仿宋" w:cs="仿宋"/>
                <w:color w:val="auto"/>
                <w:spacing w:val="20"/>
                <w:sz w:val="24"/>
                <w:szCs w:val="24"/>
              </w:rPr>
              <w:t>（如有）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pacing w:val="20"/>
                <w:sz w:val="24"/>
                <w:szCs w:val="24"/>
              </w:rPr>
            </w:pPr>
            <w:bookmarkStart w:id="116" w:name="_Toc64369808"/>
            <w:r>
              <w:rPr>
                <w:rFonts w:hint="eastAsia" w:ascii="仿宋" w:hAnsi="仿宋" w:eastAsia="仿宋" w:cs="仿宋"/>
                <w:color w:val="auto"/>
                <w:spacing w:val="20"/>
                <w:sz w:val="24"/>
                <w:szCs w:val="24"/>
              </w:rPr>
              <w:t>序号</w:t>
            </w:r>
            <w:bookmarkEnd w:id="116"/>
          </w:p>
        </w:tc>
        <w:tc>
          <w:tcPr>
            <w:tcW w:w="186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pacing w:val="20"/>
                <w:sz w:val="24"/>
                <w:szCs w:val="24"/>
              </w:rPr>
            </w:pPr>
            <w:r>
              <w:rPr>
                <w:rFonts w:hint="eastAsia" w:ascii="仿宋" w:hAnsi="仿宋" w:eastAsia="仿宋" w:cs="仿宋"/>
                <w:color w:val="auto"/>
                <w:spacing w:val="20"/>
                <w:sz w:val="24"/>
                <w:szCs w:val="24"/>
              </w:rPr>
              <w:t>货物名称</w:t>
            </w:r>
          </w:p>
        </w:tc>
        <w:tc>
          <w:tcPr>
            <w:tcW w:w="25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pacing w:val="20"/>
                <w:sz w:val="24"/>
                <w:szCs w:val="24"/>
              </w:rPr>
            </w:pPr>
            <w:bookmarkStart w:id="117" w:name="_Toc64369809"/>
            <w:bookmarkStart w:id="118" w:name="_Toc64369810"/>
            <w:r>
              <w:rPr>
                <w:rFonts w:hint="eastAsia" w:ascii="仿宋" w:hAnsi="仿宋" w:eastAsia="仿宋" w:cs="仿宋"/>
                <w:color w:val="auto"/>
                <w:spacing w:val="20"/>
                <w:sz w:val="24"/>
                <w:szCs w:val="24"/>
              </w:rPr>
              <w:t>采购文件</w:t>
            </w:r>
          </w:p>
          <w:p>
            <w:pPr>
              <w:snapToGrid w:val="0"/>
              <w:spacing w:before="50" w:after="50"/>
              <w:jc w:val="center"/>
              <w:rPr>
                <w:rFonts w:ascii="仿宋" w:hAnsi="仿宋" w:eastAsia="仿宋" w:cs="仿宋"/>
                <w:color w:val="auto"/>
                <w:spacing w:val="20"/>
                <w:sz w:val="24"/>
                <w:szCs w:val="24"/>
              </w:rPr>
            </w:pPr>
            <w:r>
              <w:rPr>
                <w:rFonts w:hint="eastAsia" w:ascii="仿宋" w:hAnsi="仿宋" w:eastAsia="仿宋" w:cs="仿宋"/>
                <w:color w:val="auto"/>
                <w:spacing w:val="20"/>
                <w:sz w:val="24"/>
                <w:szCs w:val="24"/>
              </w:rPr>
              <w:t>要求</w:t>
            </w:r>
            <w:bookmarkEnd w:id="117"/>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jc w:val="center"/>
              <w:rPr>
                <w:rFonts w:ascii="仿宋" w:hAnsi="仿宋" w:eastAsia="仿宋" w:cs="仿宋"/>
                <w:color w:val="auto"/>
                <w:spacing w:val="20"/>
                <w:sz w:val="24"/>
                <w:szCs w:val="24"/>
              </w:rPr>
            </w:pPr>
            <w:r>
              <w:rPr>
                <w:rFonts w:hint="eastAsia" w:ascii="仿宋" w:hAnsi="仿宋" w:eastAsia="仿宋" w:cs="仿宋"/>
                <w:color w:val="auto"/>
                <w:spacing w:val="20"/>
                <w:sz w:val="24"/>
                <w:szCs w:val="24"/>
              </w:rPr>
              <w:t>投标文件</w:t>
            </w:r>
          </w:p>
          <w:p>
            <w:pPr>
              <w:snapToGrid w:val="0"/>
              <w:spacing w:before="50" w:after="50"/>
              <w:jc w:val="center"/>
              <w:rPr>
                <w:rFonts w:ascii="仿宋" w:hAnsi="仿宋" w:eastAsia="仿宋" w:cs="仿宋"/>
                <w:color w:val="auto"/>
                <w:spacing w:val="20"/>
                <w:sz w:val="24"/>
                <w:szCs w:val="24"/>
              </w:rPr>
            </w:pPr>
            <w:r>
              <w:rPr>
                <w:rFonts w:hint="eastAsia" w:ascii="仿宋" w:hAnsi="仿宋" w:eastAsia="仿宋" w:cs="仿宋"/>
                <w:color w:val="auto"/>
                <w:spacing w:val="20"/>
                <w:sz w:val="24"/>
                <w:szCs w:val="24"/>
              </w:rPr>
              <w:t>响应</w:t>
            </w:r>
            <w:bookmarkEnd w:id="118"/>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jc w:val="center"/>
              <w:rPr>
                <w:rFonts w:ascii="仿宋" w:hAnsi="仿宋" w:eastAsia="仿宋" w:cs="仿宋"/>
                <w:color w:val="auto"/>
                <w:spacing w:val="20"/>
                <w:sz w:val="24"/>
                <w:szCs w:val="24"/>
              </w:rPr>
            </w:pPr>
            <w:bookmarkStart w:id="119" w:name="_Toc64369811"/>
            <w:r>
              <w:rPr>
                <w:rFonts w:hint="eastAsia" w:ascii="仿宋" w:hAnsi="仿宋" w:eastAsia="仿宋" w:cs="仿宋"/>
                <w:color w:val="auto"/>
                <w:spacing w:val="20"/>
                <w:sz w:val="24"/>
                <w:szCs w:val="24"/>
              </w:rPr>
              <w:t>偏离</w:t>
            </w:r>
          </w:p>
          <w:p>
            <w:pPr>
              <w:snapToGrid w:val="0"/>
              <w:spacing w:before="50" w:after="50"/>
              <w:jc w:val="center"/>
              <w:rPr>
                <w:rFonts w:ascii="仿宋" w:hAnsi="仿宋" w:eastAsia="仿宋" w:cs="仿宋"/>
                <w:color w:val="auto"/>
                <w:spacing w:val="20"/>
                <w:sz w:val="24"/>
                <w:szCs w:val="24"/>
              </w:rPr>
            </w:pPr>
            <w:r>
              <w:rPr>
                <w:rFonts w:hint="eastAsia" w:ascii="仿宋" w:hAnsi="仿宋" w:eastAsia="仿宋" w:cs="仿宋"/>
                <w:color w:val="auto"/>
                <w:spacing w:val="20"/>
                <w:sz w:val="24"/>
                <w:szCs w:val="24"/>
              </w:rPr>
              <w:t>情况</w:t>
            </w:r>
            <w:bookmarkEnd w:id="119"/>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color w:val="auto"/>
                <w:spacing w:val="20"/>
                <w:sz w:val="24"/>
                <w:szCs w:val="24"/>
              </w:rPr>
            </w:pPr>
            <w:bookmarkStart w:id="120" w:name="_Toc64369814"/>
            <w:r>
              <w:rPr>
                <w:rFonts w:hint="eastAsia" w:ascii="仿宋" w:hAnsi="仿宋" w:eastAsia="仿宋" w:cs="仿宋"/>
                <w:color w:val="auto"/>
                <w:spacing w:val="20"/>
                <w:sz w:val="24"/>
                <w:szCs w:val="24"/>
              </w:rPr>
              <w:t>…</w:t>
            </w:r>
            <w:bookmarkEnd w:id="120"/>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color w:val="auto"/>
                <w:spacing w:val="20"/>
                <w:sz w:val="24"/>
                <w:szCs w:val="24"/>
              </w:rPr>
            </w:pPr>
            <w:r>
              <w:rPr>
                <w:rFonts w:hint="eastAsia" w:ascii="仿宋" w:hAnsi="仿宋" w:eastAsia="仿宋" w:cs="仿宋"/>
                <w:color w:val="auto"/>
                <w:spacing w:val="20"/>
                <w:sz w:val="24"/>
                <w:szCs w:val="24"/>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color w:val="auto"/>
                <w:spacing w:val="20"/>
                <w:sz w:val="24"/>
                <w:szCs w:val="24"/>
              </w:rPr>
            </w:pPr>
            <w:r>
              <w:rPr>
                <w:rFonts w:hint="eastAsia" w:ascii="仿宋" w:hAnsi="仿宋" w:eastAsia="仿宋" w:cs="仿宋"/>
                <w:color w:val="auto"/>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color w:val="auto"/>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color w:val="auto"/>
                <w:spacing w:val="20"/>
                <w:sz w:val="24"/>
                <w:szCs w:val="24"/>
              </w:rPr>
            </w:pPr>
          </w:p>
        </w:tc>
      </w:tr>
    </w:tbl>
    <w:p>
      <w:pPr>
        <w:pStyle w:val="13"/>
        <w:rPr>
          <w:rFonts w:ascii="仿宋" w:hAnsi="仿宋" w:eastAsia="仿宋" w:cs="仿宋"/>
          <w:b w:val="0"/>
          <w:bCs w:val="0"/>
          <w:color w:val="auto"/>
          <w:spacing w:val="20"/>
          <w:kern w:val="0"/>
          <w:szCs w:val="24"/>
        </w:rPr>
      </w:pPr>
      <w:r>
        <w:rPr>
          <w:rFonts w:hint="eastAsia" w:ascii="仿宋" w:hAnsi="仿宋" w:eastAsia="仿宋" w:cs="仿宋"/>
          <w:b w:val="0"/>
          <w:bCs w:val="0"/>
          <w:color w:val="auto"/>
          <w:szCs w:val="24"/>
        </w:rPr>
        <w:t>注：1、投标人应对照采购文件要求和投标文件响应情况在“偏离情况”栏注明“正偏离”、“负偏离”或“无偏离”。若正偏离的，需详细说明或提供证明材料。</w:t>
      </w:r>
    </w:p>
    <w:p>
      <w:pPr>
        <w:snapToGrid w:val="0"/>
        <w:spacing w:before="50" w:after="50"/>
        <w:rPr>
          <w:rFonts w:ascii="仿宋" w:hAnsi="仿宋" w:eastAsia="仿宋" w:cs="仿宋"/>
          <w:color w:val="auto"/>
          <w:spacing w:val="20"/>
          <w:sz w:val="24"/>
          <w:szCs w:val="24"/>
        </w:rPr>
      </w:pPr>
      <w:r>
        <w:rPr>
          <w:rFonts w:hint="eastAsia" w:ascii="仿宋" w:hAnsi="仿宋" w:eastAsia="仿宋" w:cs="仿宋"/>
          <w:color w:val="auto"/>
          <w:spacing w:val="20"/>
          <w:sz w:val="24"/>
          <w:szCs w:val="24"/>
        </w:rPr>
        <w:t>2、“采购文件要求”一列按采购需求中的“服务清单及要求”填写。</w:t>
      </w:r>
    </w:p>
    <w:p>
      <w:pPr>
        <w:snapToGrid w:val="0"/>
        <w:spacing w:before="50" w:after="50"/>
        <w:rPr>
          <w:rFonts w:ascii="仿宋" w:hAnsi="仿宋" w:eastAsia="仿宋" w:cs="仿宋"/>
          <w:color w:val="auto"/>
          <w:spacing w:val="20"/>
          <w:sz w:val="30"/>
          <w:szCs w:val="30"/>
        </w:rPr>
      </w:pPr>
    </w:p>
    <w:p>
      <w:pPr>
        <w:snapToGrid w:val="0"/>
        <w:spacing w:before="50" w:after="50"/>
        <w:rPr>
          <w:rFonts w:ascii="仿宋" w:hAnsi="仿宋" w:eastAsia="仿宋" w:cs="仿宋"/>
          <w:color w:val="auto"/>
          <w:spacing w:val="20"/>
          <w:sz w:val="30"/>
          <w:szCs w:val="30"/>
        </w:rPr>
      </w:pPr>
    </w:p>
    <w:p>
      <w:pPr>
        <w:snapToGrid w:val="0"/>
        <w:spacing w:before="156" w:beforeLines="50"/>
        <w:rPr>
          <w:rFonts w:ascii="仿宋" w:hAnsi="仿宋" w:eastAsia="仿宋" w:cs="仿宋"/>
          <w:color w:val="auto"/>
          <w:sz w:val="24"/>
          <w:szCs w:val="24"/>
        </w:rPr>
      </w:pPr>
      <w:r>
        <w:rPr>
          <w:rFonts w:hint="eastAsia" w:ascii="仿宋" w:hAnsi="仿宋" w:eastAsia="仿宋" w:cs="仿宋"/>
          <w:color w:val="auto"/>
          <w:sz w:val="24"/>
          <w:szCs w:val="24"/>
        </w:rPr>
        <w:t xml:space="preserve">法定代表人或其授权代表（签字或盖章）：          </w:t>
      </w:r>
    </w:p>
    <w:p>
      <w:pPr>
        <w:snapToGrid w:val="0"/>
        <w:spacing w:before="156" w:beforeLines="50"/>
        <w:rPr>
          <w:rFonts w:ascii="仿宋" w:hAnsi="仿宋" w:eastAsia="仿宋" w:cs="仿宋"/>
          <w:color w:val="auto"/>
          <w:sz w:val="24"/>
          <w:szCs w:val="24"/>
        </w:rPr>
      </w:pPr>
      <w:r>
        <w:rPr>
          <w:rFonts w:hint="eastAsia" w:ascii="仿宋" w:hAnsi="仿宋" w:eastAsia="仿宋" w:cs="仿宋"/>
          <w:color w:val="auto"/>
          <w:sz w:val="24"/>
          <w:szCs w:val="24"/>
        </w:rPr>
        <w:t xml:space="preserve">日期： </w:t>
      </w:r>
    </w:p>
    <w:p>
      <w:pPr>
        <w:snapToGrid w:val="0"/>
        <w:spacing w:before="156" w:beforeLines="50"/>
        <w:rPr>
          <w:rFonts w:ascii="仿宋" w:hAnsi="仿宋" w:eastAsia="仿宋" w:cs="仿宋"/>
          <w:color w:val="auto"/>
          <w:sz w:val="24"/>
          <w:szCs w:val="24"/>
        </w:rPr>
      </w:pPr>
    </w:p>
    <w:p>
      <w:pPr>
        <w:snapToGrid w:val="0"/>
        <w:spacing w:before="156" w:beforeLines="50"/>
        <w:rPr>
          <w:rFonts w:ascii="仿宋" w:hAnsi="仿宋" w:eastAsia="仿宋" w:cs="仿宋"/>
          <w:color w:val="auto"/>
          <w:sz w:val="24"/>
          <w:szCs w:val="24"/>
        </w:rPr>
      </w:pPr>
    </w:p>
    <w:p>
      <w:pPr>
        <w:snapToGrid w:val="0"/>
        <w:spacing w:before="50" w:after="50"/>
        <w:rPr>
          <w:rFonts w:ascii="仿宋" w:hAnsi="仿宋" w:eastAsia="仿宋" w:cs="仿宋"/>
          <w:b/>
          <w:bCs/>
          <w:color w:val="auto"/>
          <w:sz w:val="30"/>
          <w:szCs w:val="30"/>
        </w:rPr>
      </w:pPr>
      <w:r>
        <w:rPr>
          <w:rFonts w:hint="eastAsia" w:ascii="仿宋" w:hAnsi="仿宋" w:eastAsia="仿宋" w:cs="仿宋"/>
          <w:b/>
          <w:bCs/>
          <w:color w:val="auto"/>
          <w:sz w:val="30"/>
          <w:szCs w:val="30"/>
        </w:rPr>
        <w:t>附件13：商务响应表</w:t>
      </w:r>
    </w:p>
    <w:p>
      <w:pPr>
        <w:snapToGrid w:val="0"/>
        <w:spacing w:before="50" w:after="156" w:afterLines="50"/>
        <w:jc w:val="center"/>
        <w:rPr>
          <w:rFonts w:ascii="仿宋" w:hAnsi="仿宋" w:eastAsia="仿宋" w:cs="仿宋"/>
          <w:b/>
          <w:color w:val="auto"/>
          <w:spacing w:val="40"/>
          <w:kern w:val="0"/>
          <w:sz w:val="36"/>
          <w:szCs w:val="36"/>
        </w:rPr>
      </w:pPr>
    </w:p>
    <w:p>
      <w:pPr>
        <w:snapToGrid w:val="0"/>
        <w:spacing w:before="50" w:after="156" w:afterLines="50"/>
        <w:jc w:val="center"/>
        <w:rPr>
          <w:rFonts w:ascii="仿宋" w:hAnsi="仿宋" w:eastAsia="仿宋" w:cs="仿宋"/>
          <w:b/>
          <w:color w:val="auto"/>
          <w:spacing w:val="40"/>
          <w:kern w:val="0"/>
          <w:sz w:val="36"/>
          <w:szCs w:val="36"/>
        </w:rPr>
      </w:pPr>
      <w:r>
        <w:rPr>
          <w:rFonts w:hint="eastAsia" w:ascii="仿宋" w:hAnsi="仿宋" w:eastAsia="仿宋" w:cs="仿宋"/>
          <w:b/>
          <w:color w:val="auto"/>
          <w:spacing w:val="40"/>
          <w:kern w:val="0"/>
          <w:sz w:val="36"/>
          <w:szCs w:val="36"/>
        </w:rPr>
        <w:t>商 务 响 应 表</w:t>
      </w:r>
    </w:p>
    <w:p>
      <w:pPr>
        <w:snapToGrid w:val="0"/>
        <w:spacing w:before="50" w:after="156" w:afterLines="50"/>
        <w:jc w:val="center"/>
        <w:rPr>
          <w:rFonts w:ascii="仿宋" w:hAnsi="仿宋" w:eastAsia="仿宋" w:cs="仿宋"/>
          <w:b/>
          <w:color w:val="auto"/>
          <w:sz w:val="32"/>
          <w:szCs w:val="32"/>
        </w:rPr>
      </w:pPr>
    </w:p>
    <w:p>
      <w:pPr>
        <w:pStyle w:val="11"/>
        <w:snapToGrid w:val="0"/>
        <w:rPr>
          <w:rFonts w:ascii="仿宋" w:hAnsi="仿宋" w:eastAsia="仿宋" w:cs="仿宋"/>
          <w:color w:val="auto"/>
          <w:sz w:val="28"/>
          <w:szCs w:val="28"/>
        </w:rPr>
      </w:pPr>
      <w:r>
        <w:rPr>
          <w:rFonts w:hint="eastAsia" w:ascii="仿宋" w:hAnsi="仿宋" w:eastAsia="仿宋" w:cs="仿宋"/>
          <w:color w:val="auto"/>
          <w:sz w:val="28"/>
          <w:szCs w:val="28"/>
        </w:rPr>
        <w:t>投标人全称（公章）：</w:t>
      </w:r>
      <w:r>
        <w:rPr>
          <w:rFonts w:hint="eastAsia" w:ascii="仿宋" w:hAnsi="仿宋" w:eastAsia="仿宋" w:cs="仿宋"/>
          <w:color w:val="auto"/>
          <w:sz w:val="28"/>
          <w:szCs w:val="28"/>
          <w:u w:val="single"/>
        </w:rPr>
        <w:t xml:space="preserve">            </w:t>
      </w:r>
    </w:p>
    <w:p>
      <w:pPr>
        <w:pStyle w:val="11"/>
        <w:snapToGrid w:val="0"/>
        <w:rPr>
          <w:rFonts w:ascii="仿宋" w:hAnsi="仿宋" w:eastAsia="仿宋" w:cs="仿宋"/>
          <w:color w:val="auto"/>
          <w:sz w:val="28"/>
          <w:szCs w:val="28"/>
          <w:u w:val="single"/>
        </w:rPr>
      </w:pPr>
      <w:r>
        <w:rPr>
          <w:rFonts w:hint="eastAsia" w:ascii="仿宋" w:hAnsi="仿宋" w:eastAsia="仿宋" w:cs="仿宋"/>
          <w:color w:val="auto"/>
          <w:sz w:val="28"/>
          <w:szCs w:val="28"/>
        </w:rPr>
        <w:t>标项：</w:t>
      </w:r>
      <w:r>
        <w:rPr>
          <w:rFonts w:hint="eastAsia" w:ascii="仿宋" w:hAnsi="仿宋" w:eastAsia="仿宋" w:cs="仿宋"/>
          <w:color w:val="auto"/>
          <w:sz w:val="28"/>
          <w:szCs w:val="28"/>
          <w:u w:val="single"/>
        </w:rPr>
        <w:t xml:space="preserve">       </w:t>
      </w:r>
    </w:p>
    <w:tbl>
      <w:tblPr>
        <w:tblStyle w:val="26"/>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pacing w:val="20"/>
                <w:sz w:val="28"/>
                <w:szCs w:val="28"/>
              </w:rPr>
            </w:pPr>
            <w:bookmarkStart w:id="121" w:name="_Toc64369815"/>
            <w:r>
              <w:rPr>
                <w:rFonts w:hint="eastAsia" w:ascii="仿宋" w:hAnsi="仿宋" w:eastAsia="仿宋" w:cs="仿宋"/>
                <w:color w:val="auto"/>
                <w:spacing w:val="20"/>
                <w:sz w:val="28"/>
                <w:szCs w:val="28"/>
              </w:rPr>
              <w:t>类别</w:t>
            </w:r>
            <w:bookmarkEnd w:id="121"/>
          </w:p>
        </w:tc>
        <w:tc>
          <w:tcPr>
            <w:tcW w:w="262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ascii="仿宋" w:hAnsi="仿宋" w:eastAsia="仿宋" w:cs="仿宋"/>
                <w:color w:val="auto"/>
                <w:sz w:val="30"/>
                <w:szCs w:val="30"/>
              </w:rPr>
            </w:pPr>
            <w:bookmarkStart w:id="122" w:name="_Toc64369816"/>
            <w:r>
              <w:rPr>
                <w:rFonts w:hint="eastAsia" w:ascii="仿宋" w:hAnsi="仿宋" w:eastAsia="仿宋" w:cs="仿宋"/>
                <w:color w:val="auto"/>
                <w:sz w:val="30"/>
                <w:szCs w:val="30"/>
              </w:rPr>
              <w:t>采购文件要求</w:t>
            </w:r>
            <w:bookmarkEnd w:id="122"/>
          </w:p>
        </w:tc>
        <w:tc>
          <w:tcPr>
            <w:tcW w:w="2737"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ascii="仿宋" w:hAnsi="仿宋" w:eastAsia="仿宋" w:cs="仿宋"/>
                <w:color w:val="auto"/>
                <w:sz w:val="30"/>
                <w:szCs w:val="30"/>
              </w:rPr>
            </w:pPr>
            <w:bookmarkStart w:id="123" w:name="_Toc64369817"/>
            <w:r>
              <w:rPr>
                <w:rFonts w:hint="eastAsia" w:ascii="仿宋" w:hAnsi="仿宋" w:eastAsia="仿宋" w:cs="仿宋"/>
                <w:color w:val="auto"/>
                <w:sz w:val="30"/>
                <w:szCs w:val="30"/>
              </w:rPr>
              <w:t>投标文件响应</w:t>
            </w:r>
            <w:bookmarkEnd w:id="123"/>
          </w:p>
        </w:tc>
        <w:tc>
          <w:tcPr>
            <w:tcW w:w="188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ascii="仿宋" w:hAnsi="仿宋" w:eastAsia="仿宋" w:cs="仿宋"/>
                <w:color w:val="auto"/>
                <w:sz w:val="30"/>
                <w:szCs w:val="30"/>
              </w:rPr>
            </w:pPr>
            <w:bookmarkStart w:id="124" w:name="_Toc64369818"/>
            <w:r>
              <w:rPr>
                <w:rFonts w:hint="eastAsia" w:ascii="仿宋" w:hAnsi="仿宋" w:eastAsia="仿宋" w:cs="仿宋"/>
                <w:color w:val="auto"/>
                <w:sz w:val="30"/>
                <w:szCs w:val="30"/>
              </w:rPr>
              <w:t>偏离情况</w:t>
            </w:r>
            <w:bookmarkEnd w:id="12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color w:val="auto"/>
                <w:spacing w:val="20"/>
                <w:sz w:val="28"/>
                <w:szCs w:val="28"/>
              </w:rPr>
            </w:pPr>
            <w:bookmarkStart w:id="125" w:name="_Toc64369819"/>
            <w:bookmarkStart w:id="126" w:name="_Toc64369823"/>
            <w:r>
              <w:rPr>
                <w:rFonts w:hint="eastAsia" w:ascii="仿宋" w:hAnsi="仿宋" w:eastAsia="仿宋" w:cs="仿宋"/>
                <w:color w:val="auto"/>
                <w:spacing w:val="20"/>
                <w:sz w:val="28"/>
                <w:szCs w:val="28"/>
              </w:rPr>
              <w:t>付款方式</w:t>
            </w:r>
            <w:bookmarkEnd w:id="125"/>
            <w:bookmarkEnd w:id="126"/>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7"/>
              <w:snapToGrid w:val="0"/>
              <w:spacing w:before="120" w:after="120"/>
              <w:outlineLvl w:val="0"/>
              <w:rPr>
                <w:rFonts w:ascii="仿宋" w:hAnsi="仿宋" w:eastAsia="仿宋" w:cs="仿宋"/>
                <w:color w:val="auto"/>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7"/>
              <w:snapToGrid w:val="0"/>
              <w:spacing w:before="120" w:after="120"/>
              <w:outlineLvl w:val="0"/>
              <w:rPr>
                <w:rFonts w:ascii="仿宋" w:hAnsi="仿宋" w:eastAsia="仿宋" w:cs="仿宋"/>
                <w:color w:val="auto"/>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7"/>
              <w:snapToGrid w:val="0"/>
              <w:spacing w:before="120" w:after="120"/>
              <w:outlineLvl w:val="0"/>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color w:val="auto"/>
                <w:spacing w:val="20"/>
                <w:sz w:val="28"/>
                <w:szCs w:val="28"/>
              </w:rPr>
            </w:pPr>
            <w:r>
              <w:rPr>
                <w:rFonts w:hint="eastAsia" w:ascii="仿宋" w:hAnsi="仿宋" w:eastAsia="仿宋" w:cs="仿宋"/>
                <w:color w:val="auto"/>
                <w:spacing w:val="20"/>
                <w:sz w:val="28"/>
                <w:szCs w:val="28"/>
              </w:rPr>
              <w:t>服务期限</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7"/>
              <w:snapToGrid w:val="0"/>
              <w:spacing w:before="120" w:after="120"/>
              <w:outlineLvl w:val="0"/>
              <w:rPr>
                <w:rFonts w:ascii="仿宋" w:hAnsi="仿宋" w:eastAsia="仿宋" w:cs="仿宋"/>
                <w:color w:val="auto"/>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7"/>
              <w:snapToGrid w:val="0"/>
              <w:spacing w:before="120" w:after="120"/>
              <w:outlineLvl w:val="0"/>
              <w:rPr>
                <w:rFonts w:ascii="仿宋" w:hAnsi="仿宋" w:eastAsia="仿宋" w:cs="仿宋"/>
                <w:color w:val="auto"/>
                <w:sz w:val="28"/>
                <w:szCs w:val="28"/>
              </w:rPr>
            </w:pPr>
          </w:p>
        </w:tc>
        <w:tc>
          <w:tcPr>
            <w:tcW w:w="1886" w:type="dxa"/>
            <w:tcBorders>
              <w:top w:val="single" w:color="auto" w:sz="4" w:space="0"/>
              <w:left w:val="single" w:color="auto" w:sz="4" w:space="0"/>
              <w:bottom w:val="nil"/>
              <w:right w:val="single" w:color="auto" w:sz="4" w:space="0"/>
            </w:tcBorders>
            <w:noWrap/>
          </w:tcPr>
          <w:p>
            <w:pPr>
              <w:pStyle w:val="17"/>
              <w:snapToGrid w:val="0"/>
              <w:spacing w:before="120" w:after="120"/>
              <w:outlineLvl w:val="0"/>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color w:val="auto"/>
                <w:spacing w:val="20"/>
                <w:sz w:val="28"/>
                <w:szCs w:val="28"/>
              </w:rPr>
            </w:pPr>
            <w:r>
              <w:rPr>
                <w:rFonts w:hint="eastAsia" w:ascii="仿宋" w:hAnsi="仿宋" w:eastAsia="仿宋" w:cs="仿宋"/>
                <w:color w:val="auto"/>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7"/>
              <w:snapToGrid w:val="0"/>
              <w:spacing w:before="120" w:after="120"/>
              <w:outlineLvl w:val="0"/>
              <w:rPr>
                <w:rFonts w:ascii="仿宋" w:hAnsi="仿宋" w:eastAsia="仿宋" w:cs="仿宋"/>
                <w:color w:val="auto"/>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7"/>
              <w:snapToGrid w:val="0"/>
              <w:spacing w:before="120" w:after="120"/>
              <w:outlineLvl w:val="0"/>
              <w:rPr>
                <w:rFonts w:ascii="仿宋" w:hAnsi="仿宋" w:eastAsia="仿宋" w:cs="仿宋"/>
                <w:color w:val="auto"/>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7"/>
              <w:snapToGrid w:val="0"/>
              <w:spacing w:before="120" w:after="120"/>
              <w:outlineLvl w:val="0"/>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color w:val="auto"/>
                <w:spacing w:val="20"/>
                <w:sz w:val="28"/>
                <w:szCs w:val="28"/>
              </w:rPr>
            </w:pPr>
            <w:r>
              <w:rPr>
                <w:rFonts w:hint="eastAsia" w:ascii="仿宋" w:hAnsi="仿宋" w:eastAsia="仿宋" w:cs="仿宋"/>
                <w:color w:val="auto"/>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7"/>
              <w:snapToGrid w:val="0"/>
              <w:spacing w:before="120" w:after="120"/>
              <w:outlineLvl w:val="0"/>
              <w:rPr>
                <w:rFonts w:ascii="仿宋" w:hAnsi="仿宋" w:eastAsia="仿宋" w:cs="仿宋"/>
                <w:color w:val="auto"/>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7"/>
              <w:snapToGrid w:val="0"/>
              <w:spacing w:before="120" w:after="120"/>
              <w:outlineLvl w:val="0"/>
              <w:rPr>
                <w:rFonts w:ascii="仿宋" w:hAnsi="仿宋" w:eastAsia="仿宋" w:cs="仿宋"/>
                <w:color w:val="auto"/>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7"/>
              <w:snapToGrid w:val="0"/>
              <w:spacing w:before="120" w:after="120"/>
              <w:outlineLvl w:val="0"/>
              <w:rPr>
                <w:rFonts w:ascii="仿宋" w:hAnsi="仿宋" w:eastAsia="仿宋" w:cs="仿宋"/>
                <w:color w:val="auto"/>
                <w:sz w:val="28"/>
                <w:szCs w:val="28"/>
              </w:rPr>
            </w:pPr>
          </w:p>
        </w:tc>
      </w:tr>
    </w:tbl>
    <w:p>
      <w:pPr>
        <w:pStyle w:val="13"/>
        <w:rPr>
          <w:rFonts w:ascii="仿宋" w:hAnsi="仿宋" w:eastAsia="仿宋" w:cs="仿宋"/>
          <w:b w:val="0"/>
          <w:bCs w:val="0"/>
          <w:color w:val="auto"/>
          <w:spacing w:val="20"/>
          <w:kern w:val="0"/>
          <w:sz w:val="28"/>
          <w:szCs w:val="28"/>
        </w:rPr>
      </w:pPr>
      <w:r>
        <w:rPr>
          <w:rFonts w:hint="eastAsia" w:ascii="仿宋" w:hAnsi="仿宋" w:eastAsia="仿宋" w:cs="仿宋"/>
          <w:b w:val="0"/>
          <w:bCs w:val="0"/>
          <w:color w:val="auto"/>
          <w:sz w:val="28"/>
          <w:szCs w:val="28"/>
        </w:rPr>
        <w:t>注：1、投标人应对照采购文件要求和投标文件响应情况在“偏离情况”栏注明“正偏离”、“负偏离”或“无偏离”。若正偏离的，需详细说明或提供证明材料。</w:t>
      </w:r>
    </w:p>
    <w:p>
      <w:pPr>
        <w:snapToGrid w:val="0"/>
        <w:spacing w:before="50" w:after="50"/>
        <w:rPr>
          <w:rFonts w:ascii="仿宋" w:hAnsi="仿宋" w:eastAsia="仿宋" w:cs="仿宋"/>
          <w:color w:val="auto"/>
          <w:spacing w:val="20"/>
          <w:sz w:val="28"/>
          <w:szCs w:val="28"/>
        </w:rPr>
      </w:pPr>
      <w:r>
        <w:rPr>
          <w:rFonts w:hint="eastAsia" w:ascii="仿宋" w:hAnsi="仿宋" w:eastAsia="仿宋" w:cs="仿宋"/>
          <w:color w:val="auto"/>
          <w:spacing w:val="20"/>
          <w:sz w:val="28"/>
          <w:szCs w:val="28"/>
        </w:rPr>
        <w:t>2、“类别”一栏按采购文件第三章中商务要求的分类填写。</w:t>
      </w:r>
    </w:p>
    <w:p>
      <w:pPr>
        <w:snapToGrid w:val="0"/>
        <w:spacing w:before="50" w:after="50"/>
        <w:rPr>
          <w:rFonts w:ascii="仿宋" w:hAnsi="仿宋" w:eastAsia="仿宋" w:cs="仿宋"/>
          <w:color w:val="auto"/>
          <w:spacing w:val="20"/>
          <w:sz w:val="28"/>
          <w:szCs w:val="28"/>
        </w:rPr>
      </w:pPr>
    </w:p>
    <w:p>
      <w:pPr>
        <w:snapToGrid w:val="0"/>
        <w:spacing w:before="50" w:after="50"/>
        <w:rPr>
          <w:rFonts w:ascii="仿宋" w:hAnsi="仿宋" w:eastAsia="仿宋" w:cs="仿宋"/>
          <w:color w:val="auto"/>
          <w:spacing w:val="20"/>
          <w:sz w:val="28"/>
          <w:szCs w:val="28"/>
        </w:rPr>
      </w:pPr>
    </w:p>
    <w:p>
      <w:pPr>
        <w:snapToGrid w:val="0"/>
        <w:spacing w:before="50" w:after="50"/>
        <w:rPr>
          <w:rFonts w:ascii="仿宋" w:hAnsi="仿宋" w:eastAsia="仿宋" w:cs="仿宋"/>
          <w:color w:val="auto"/>
          <w:spacing w:val="20"/>
          <w:sz w:val="28"/>
          <w:szCs w:val="28"/>
        </w:rPr>
      </w:pPr>
    </w:p>
    <w:p>
      <w:pPr>
        <w:snapToGrid w:val="0"/>
        <w:spacing w:before="50" w:after="50"/>
        <w:rPr>
          <w:rFonts w:ascii="仿宋" w:hAnsi="仿宋" w:eastAsia="仿宋" w:cs="仿宋"/>
          <w:color w:val="auto"/>
          <w:spacing w:val="20"/>
          <w:sz w:val="28"/>
          <w:szCs w:val="28"/>
        </w:rPr>
      </w:pPr>
    </w:p>
    <w:p>
      <w:pPr>
        <w:snapToGrid w:val="0"/>
        <w:spacing w:before="156" w:beforeLines="50"/>
        <w:rPr>
          <w:rFonts w:ascii="仿宋" w:hAnsi="仿宋" w:eastAsia="仿宋" w:cs="仿宋"/>
          <w:color w:val="auto"/>
          <w:sz w:val="28"/>
          <w:szCs w:val="28"/>
        </w:rPr>
      </w:pPr>
      <w:r>
        <w:rPr>
          <w:rFonts w:hint="eastAsia" w:ascii="仿宋" w:hAnsi="仿宋" w:eastAsia="仿宋" w:cs="仿宋"/>
          <w:color w:val="auto"/>
          <w:sz w:val="28"/>
          <w:szCs w:val="28"/>
        </w:rPr>
        <w:t xml:space="preserve">法定代表人或其授权代表（签字或盖章）：          </w:t>
      </w:r>
    </w:p>
    <w:p>
      <w:pPr>
        <w:snapToGrid w:val="0"/>
        <w:spacing w:before="156" w:beforeLines="50"/>
        <w:rPr>
          <w:rFonts w:ascii="仿宋" w:hAnsi="仿宋" w:eastAsia="仿宋" w:cs="仿宋"/>
          <w:color w:val="auto"/>
          <w:sz w:val="28"/>
          <w:szCs w:val="28"/>
        </w:rPr>
      </w:pPr>
      <w:r>
        <w:rPr>
          <w:rFonts w:hint="eastAsia" w:ascii="仿宋" w:hAnsi="仿宋" w:eastAsia="仿宋" w:cs="仿宋"/>
          <w:color w:val="auto"/>
          <w:sz w:val="28"/>
          <w:szCs w:val="28"/>
        </w:rPr>
        <w:t xml:space="preserve">日期： </w:t>
      </w:r>
    </w:p>
    <w:p>
      <w:pPr>
        <w:snapToGrid w:val="0"/>
        <w:spacing w:before="156" w:beforeLines="50"/>
        <w:rPr>
          <w:rFonts w:ascii="仿宋" w:hAnsi="仿宋" w:eastAsia="仿宋" w:cs="仿宋"/>
          <w:color w:val="auto"/>
          <w:sz w:val="28"/>
          <w:szCs w:val="28"/>
        </w:rPr>
      </w:pPr>
    </w:p>
    <w:p>
      <w:pPr>
        <w:snapToGrid w:val="0"/>
        <w:spacing w:before="156" w:beforeLines="50"/>
        <w:rPr>
          <w:rFonts w:ascii="仿宋" w:hAnsi="仿宋" w:eastAsia="仿宋" w:cs="仿宋"/>
          <w:color w:val="auto"/>
          <w:sz w:val="28"/>
          <w:szCs w:val="28"/>
        </w:rPr>
      </w:pPr>
    </w:p>
    <w:p>
      <w:pPr>
        <w:snapToGrid w:val="0"/>
        <w:spacing w:before="50" w:after="50"/>
        <w:jc w:val="left"/>
        <w:rPr>
          <w:rFonts w:ascii="仿宋" w:hAnsi="仿宋" w:eastAsia="仿宋" w:cs="仿宋"/>
          <w:b/>
          <w:bCs/>
          <w:color w:val="auto"/>
          <w:sz w:val="30"/>
          <w:szCs w:val="30"/>
        </w:rPr>
      </w:pPr>
      <w:r>
        <w:rPr>
          <w:rFonts w:hint="eastAsia" w:ascii="仿宋" w:hAnsi="仿宋" w:eastAsia="仿宋" w:cs="仿宋"/>
          <w:b/>
          <w:bCs/>
          <w:color w:val="auto"/>
          <w:sz w:val="30"/>
          <w:szCs w:val="30"/>
        </w:rPr>
        <w:t>附件14：项目实施人员清单</w:t>
      </w:r>
    </w:p>
    <w:p>
      <w:pPr>
        <w:snapToGrid w:val="0"/>
        <w:spacing w:before="50" w:after="156" w:afterLines="50"/>
        <w:jc w:val="center"/>
        <w:rPr>
          <w:rFonts w:ascii="仿宋" w:hAnsi="仿宋" w:eastAsia="仿宋" w:cs="仿宋"/>
          <w:b/>
          <w:color w:val="auto"/>
          <w:kern w:val="0"/>
          <w:sz w:val="36"/>
          <w:szCs w:val="36"/>
        </w:rPr>
      </w:pPr>
    </w:p>
    <w:p>
      <w:pPr>
        <w:snapToGrid w:val="0"/>
        <w:spacing w:before="50" w:after="156" w:afterLines="50"/>
        <w:jc w:val="center"/>
        <w:rPr>
          <w:rFonts w:ascii="仿宋" w:hAnsi="仿宋" w:eastAsia="仿宋" w:cs="仿宋"/>
          <w:b/>
          <w:color w:val="auto"/>
          <w:kern w:val="0"/>
          <w:sz w:val="36"/>
          <w:szCs w:val="36"/>
        </w:rPr>
      </w:pPr>
      <w:r>
        <w:rPr>
          <w:rFonts w:hint="eastAsia" w:ascii="仿宋" w:hAnsi="仿宋" w:eastAsia="仿宋" w:cs="仿宋"/>
          <w:b/>
          <w:color w:val="auto"/>
          <w:kern w:val="0"/>
          <w:sz w:val="36"/>
          <w:szCs w:val="36"/>
        </w:rPr>
        <w:t>项目实施人员清单</w:t>
      </w:r>
    </w:p>
    <w:p>
      <w:pPr>
        <w:pStyle w:val="11"/>
        <w:snapToGrid w:val="0"/>
        <w:rPr>
          <w:rFonts w:ascii="仿宋" w:hAnsi="仿宋" w:eastAsia="仿宋" w:cs="仿宋"/>
          <w:color w:val="auto"/>
          <w:sz w:val="28"/>
          <w:szCs w:val="28"/>
        </w:rPr>
      </w:pPr>
      <w:r>
        <w:rPr>
          <w:rFonts w:hint="eastAsia" w:ascii="仿宋" w:hAnsi="仿宋" w:eastAsia="仿宋" w:cs="仿宋"/>
          <w:color w:val="auto"/>
          <w:sz w:val="28"/>
          <w:szCs w:val="28"/>
        </w:rPr>
        <w:t>投标人全称（公章）：</w:t>
      </w:r>
      <w:r>
        <w:rPr>
          <w:rFonts w:hint="eastAsia" w:ascii="仿宋" w:hAnsi="仿宋" w:eastAsia="仿宋" w:cs="仿宋"/>
          <w:color w:val="auto"/>
          <w:sz w:val="28"/>
          <w:szCs w:val="28"/>
          <w:u w:val="single"/>
        </w:rPr>
        <w:t xml:space="preserve">                           </w:t>
      </w:r>
    </w:p>
    <w:p>
      <w:pPr>
        <w:pStyle w:val="11"/>
        <w:snapToGrid w:val="0"/>
        <w:rPr>
          <w:rFonts w:ascii="仿宋" w:hAnsi="仿宋" w:eastAsia="仿宋" w:cs="仿宋"/>
          <w:color w:val="auto"/>
          <w:sz w:val="28"/>
          <w:szCs w:val="28"/>
          <w:u w:val="single"/>
        </w:rPr>
      </w:pPr>
      <w:r>
        <w:rPr>
          <w:rFonts w:hint="eastAsia" w:ascii="仿宋" w:hAnsi="仿宋" w:eastAsia="仿宋" w:cs="仿宋"/>
          <w:color w:val="auto"/>
          <w:sz w:val="28"/>
          <w:szCs w:val="28"/>
        </w:rPr>
        <w:t>标项：</w:t>
      </w:r>
      <w:r>
        <w:rPr>
          <w:rFonts w:hint="eastAsia" w:ascii="仿宋" w:hAnsi="仿宋" w:eastAsia="仿宋" w:cs="仿宋"/>
          <w:color w:val="auto"/>
          <w:sz w:val="28"/>
          <w:szCs w:val="28"/>
          <w:u w:val="single"/>
        </w:rPr>
        <w:t xml:space="preserve">                           </w:t>
      </w:r>
    </w:p>
    <w:tbl>
      <w:tblPr>
        <w:tblStyle w:val="26"/>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jc w:val="center"/>
              <w:rPr>
                <w:rFonts w:ascii="仿宋" w:hAnsi="仿宋" w:eastAsia="仿宋" w:cs="仿宋"/>
                <w:color w:val="auto"/>
                <w:sz w:val="28"/>
                <w:szCs w:val="28"/>
              </w:rPr>
            </w:pPr>
            <w:r>
              <w:rPr>
                <w:rFonts w:hint="eastAsia" w:ascii="仿宋" w:hAnsi="仿宋" w:eastAsia="仿宋" w:cs="仿宋"/>
                <w:color w:val="auto"/>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ind w:right="-110"/>
              <w:jc w:val="center"/>
              <w:rPr>
                <w:rFonts w:ascii="仿宋" w:hAnsi="仿宋" w:eastAsia="仿宋" w:cs="仿宋"/>
                <w:color w:val="auto"/>
                <w:sz w:val="28"/>
                <w:szCs w:val="28"/>
              </w:rPr>
            </w:pPr>
            <w:r>
              <w:rPr>
                <w:rFonts w:hint="eastAsia" w:ascii="仿宋" w:hAnsi="仿宋" w:eastAsia="仿宋" w:cs="仿宋"/>
                <w:color w:val="auto"/>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jc w:val="center"/>
              <w:rPr>
                <w:rFonts w:ascii="仿宋" w:hAnsi="仿宋" w:eastAsia="仿宋" w:cs="仿宋"/>
                <w:color w:val="auto"/>
                <w:sz w:val="28"/>
                <w:szCs w:val="28"/>
              </w:rPr>
            </w:pPr>
            <w:r>
              <w:rPr>
                <w:rFonts w:hint="eastAsia" w:ascii="仿宋" w:hAnsi="仿宋" w:eastAsia="仿宋" w:cs="仿宋"/>
                <w:color w:val="auto"/>
                <w:sz w:val="28"/>
                <w:szCs w:val="28"/>
              </w:rPr>
              <w:t>专业技术</w:t>
            </w:r>
          </w:p>
          <w:p>
            <w:pPr>
              <w:snapToGrid w:val="0"/>
              <w:spacing w:before="156" w:beforeLines="50" w:after="50" w:line="460" w:lineRule="exact"/>
              <w:jc w:val="center"/>
              <w:rPr>
                <w:rFonts w:ascii="仿宋" w:hAnsi="仿宋" w:eastAsia="仿宋" w:cs="仿宋"/>
                <w:color w:val="auto"/>
                <w:sz w:val="28"/>
                <w:szCs w:val="28"/>
              </w:rPr>
            </w:pPr>
            <w:r>
              <w:rPr>
                <w:rFonts w:hint="eastAsia" w:ascii="仿宋" w:hAnsi="仿宋" w:eastAsia="仿宋" w:cs="仿宋"/>
                <w:color w:val="auto"/>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jc w:val="center"/>
              <w:rPr>
                <w:rFonts w:ascii="仿宋" w:hAnsi="仿宋" w:eastAsia="仿宋" w:cs="仿宋"/>
                <w:color w:val="auto"/>
                <w:sz w:val="28"/>
                <w:szCs w:val="28"/>
              </w:rPr>
            </w:pPr>
            <w:r>
              <w:rPr>
                <w:rFonts w:hint="eastAsia" w:ascii="仿宋" w:hAnsi="仿宋" w:eastAsia="仿宋" w:cs="仿宋"/>
                <w:color w:val="auto"/>
                <w:sz w:val="28"/>
                <w:szCs w:val="28"/>
              </w:rPr>
              <w:t>本项目工作内容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pStyle w:val="18"/>
              <w:snapToGrid w:val="0"/>
              <w:spacing w:before="156" w:beforeLines="50" w:after="50" w:line="460" w:lineRule="exact"/>
              <w:ind w:left="5250"/>
              <w:rPr>
                <w:rFonts w:ascii="仿宋" w:hAnsi="仿宋" w:eastAsia="仿宋" w:cs="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color w:val="auto"/>
                <w:sz w:val="28"/>
                <w:szCs w:val="28"/>
              </w:rPr>
            </w:pPr>
          </w:p>
        </w:tc>
      </w:tr>
    </w:tbl>
    <w:p>
      <w:pPr>
        <w:snapToGrid w:val="0"/>
        <w:spacing w:before="50" w:after="156" w:afterLines="50" w:line="460" w:lineRule="exact"/>
        <w:jc w:val="left"/>
        <w:rPr>
          <w:rFonts w:ascii="仿宋" w:hAnsi="仿宋" w:eastAsia="仿宋" w:cs="仿宋"/>
          <w:color w:val="auto"/>
          <w:sz w:val="28"/>
          <w:szCs w:val="28"/>
        </w:rPr>
      </w:pPr>
      <w:r>
        <w:rPr>
          <w:rFonts w:hint="eastAsia" w:ascii="仿宋" w:hAnsi="仿宋" w:eastAsia="仿宋" w:cs="仿宋"/>
          <w:color w:val="auto"/>
          <w:sz w:val="28"/>
          <w:szCs w:val="28"/>
        </w:rPr>
        <w:t xml:space="preserve">注：在填写时，如本表格不适合投标单位的实际情况，可根据本表格式自行划表填写。 </w:t>
      </w:r>
    </w:p>
    <w:p>
      <w:pPr>
        <w:snapToGrid w:val="0"/>
        <w:spacing w:before="50" w:after="156" w:afterLines="50" w:line="460" w:lineRule="exact"/>
        <w:jc w:val="left"/>
        <w:rPr>
          <w:rFonts w:ascii="仿宋" w:hAnsi="仿宋" w:eastAsia="仿宋" w:cs="仿宋"/>
          <w:color w:val="auto"/>
          <w:sz w:val="28"/>
          <w:szCs w:val="28"/>
        </w:rPr>
      </w:pPr>
    </w:p>
    <w:p>
      <w:pPr>
        <w:snapToGrid w:val="0"/>
        <w:spacing w:before="156" w:beforeLines="50"/>
        <w:rPr>
          <w:rFonts w:ascii="仿宋" w:hAnsi="仿宋" w:eastAsia="仿宋" w:cs="仿宋"/>
          <w:color w:val="auto"/>
          <w:sz w:val="28"/>
          <w:szCs w:val="28"/>
        </w:rPr>
      </w:pPr>
      <w:r>
        <w:rPr>
          <w:rFonts w:hint="eastAsia" w:ascii="仿宋" w:hAnsi="仿宋" w:eastAsia="仿宋" w:cs="仿宋"/>
          <w:color w:val="auto"/>
          <w:sz w:val="28"/>
          <w:szCs w:val="28"/>
        </w:rPr>
        <w:t xml:space="preserve">法定代表人或其授权代表（签字或盖章）：          </w:t>
      </w:r>
    </w:p>
    <w:p>
      <w:pPr>
        <w:snapToGrid w:val="0"/>
        <w:spacing w:before="156" w:beforeLines="50"/>
        <w:rPr>
          <w:rFonts w:ascii="仿宋" w:hAnsi="仿宋" w:eastAsia="仿宋" w:cs="仿宋"/>
          <w:color w:val="auto"/>
          <w:sz w:val="28"/>
          <w:szCs w:val="28"/>
        </w:rPr>
      </w:pPr>
      <w:r>
        <w:rPr>
          <w:rFonts w:hint="eastAsia" w:ascii="仿宋" w:hAnsi="仿宋" w:eastAsia="仿宋" w:cs="仿宋"/>
          <w:color w:val="auto"/>
          <w:sz w:val="28"/>
          <w:szCs w:val="28"/>
        </w:rPr>
        <w:t xml:space="preserve">日期： </w:t>
      </w:r>
    </w:p>
    <w:p>
      <w:pPr>
        <w:snapToGrid w:val="0"/>
        <w:spacing w:before="50" w:after="156" w:afterLines="50" w:line="460" w:lineRule="exact"/>
        <w:jc w:val="left"/>
        <w:rPr>
          <w:rFonts w:ascii="仿宋" w:hAnsi="仿宋" w:eastAsia="仿宋" w:cs="仿宋"/>
          <w:color w:val="auto"/>
          <w:sz w:val="28"/>
          <w:szCs w:val="28"/>
        </w:rPr>
      </w:pPr>
    </w:p>
    <w:p>
      <w:pPr>
        <w:rPr>
          <w:rFonts w:ascii="仿宋" w:hAnsi="仿宋" w:eastAsia="仿宋" w:cs="仿宋"/>
          <w:color w:val="auto"/>
          <w:sz w:val="28"/>
          <w:szCs w:val="28"/>
        </w:rPr>
      </w:pPr>
    </w:p>
    <w:p>
      <w:pPr>
        <w:snapToGrid w:val="0"/>
        <w:spacing w:before="50" w:after="50"/>
        <w:jc w:val="left"/>
        <w:rPr>
          <w:rFonts w:ascii="仿宋" w:hAnsi="仿宋" w:eastAsia="仿宋" w:cs="仿宋"/>
          <w:b/>
          <w:bCs/>
          <w:color w:val="auto"/>
          <w:sz w:val="30"/>
          <w:szCs w:val="30"/>
        </w:rPr>
      </w:pPr>
      <w:r>
        <w:rPr>
          <w:rFonts w:hint="eastAsia" w:ascii="仿宋" w:hAnsi="仿宋" w:eastAsia="仿宋" w:cs="仿宋"/>
          <w:b/>
          <w:bCs/>
          <w:color w:val="auto"/>
          <w:sz w:val="30"/>
          <w:szCs w:val="30"/>
        </w:rPr>
        <w:t>附件15：类似业绩一览表（如有）</w:t>
      </w:r>
    </w:p>
    <w:p>
      <w:pPr>
        <w:snapToGrid w:val="0"/>
        <w:spacing w:before="50" w:after="50"/>
        <w:jc w:val="left"/>
        <w:rPr>
          <w:rFonts w:ascii="仿宋" w:hAnsi="仿宋" w:eastAsia="仿宋" w:cs="仿宋"/>
          <w:color w:val="auto"/>
          <w:sz w:val="30"/>
          <w:szCs w:val="30"/>
        </w:rPr>
      </w:pPr>
    </w:p>
    <w:p>
      <w:pPr>
        <w:snapToGrid w:val="0"/>
        <w:spacing w:before="50" w:after="156" w:afterLines="50"/>
        <w:jc w:val="center"/>
        <w:rPr>
          <w:rFonts w:ascii="仿宋" w:hAnsi="仿宋" w:eastAsia="仿宋" w:cs="仿宋"/>
          <w:b/>
          <w:color w:val="auto"/>
          <w:kern w:val="0"/>
          <w:sz w:val="36"/>
          <w:szCs w:val="36"/>
        </w:rPr>
      </w:pPr>
      <w:r>
        <w:rPr>
          <w:rFonts w:hint="eastAsia" w:ascii="仿宋" w:hAnsi="仿宋" w:eastAsia="仿宋" w:cs="仿宋"/>
          <w:b/>
          <w:color w:val="auto"/>
          <w:kern w:val="0"/>
          <w:sz w:val="36"/>
          <w:szCs w:val="36"/>
        </w:rPr>
        <w:t>类似业绩一览表</w:t>
      </w:r>
    </w:p>
    <w:p>
      <w:pPr>
        <w:pStyle w:val="11"/>
        <w:snapToGrid w:val="0"/>
        <w:rPr>
          <w:rFonts w:ascii="仿宋" w:hAnsi="仿宋" w:eastAsia="仿宋" w:cs="仿宋"/>
          <w:color w:val="auto"/>
          <w:sz w:val="24"/>
          <w:szCs w:val="24"/>
        </w:rPr>
      </w:pPr>
      <w:r>
        <w:rPr>
          <w:rFonts w:hint="eastAsia" w:ascii="仿宋" w:hAnsi="仿宋" w:eastAsia="仿宋" w:cs="仿宋"/>
          <w:color w:val="auto"/>
          <w:sz w:val="24"/>
          <w:szCs w:val="24"/>
        </w:rPr>
        <w:t>投标人全称（公章）：</w:t>
      </w:r>
      <w:r>
        <w:rPr>
          <w:rFonts w:hint="eastAsia" w:ascii="仿宋" w:hAnsi="仿宋" w:eastAsia="仿宋" w:cs="仿宋"/>
          <w:color w:val="auto"/>
          <w:sz w:val="24"/>
          <w:szCs w:val="24"/>
          <w:u w:val="single"/>
        </w:rPr>
        <w:t xml:space="preserve">                           </w:t>
      </w:r>
    </w:p>
    <w:p>
      <w:pPr>
        <w:pStyle w:val="11"/>
        <w:snapToGrid w:val="0"/>
        <w:rPr>
          <w:rFonts w:ascii="仿宋" w:hAnsi="仿宋" w:eastAsia="仿宋" w:cs="仿宋"/>
          <w:color w:val="auto"/>
          <w:sz w:val="24"/>
          <w:szCs w:val="24"/>
          <w:u w:val="single"/>
        </w:rPr>
      </w:pPr>
      <w:r>
        <w:rPr>
          <w:rFonts w:hint="eastAsia" w:ascii="仿宋" w:hAnsi="仿宋" w:eastAsia="仿宋" w:cs="仿宋"/>
          <w:color w:val="auto"/>
          <w:sz w:val="24"/>
          <w:szCs w:val="24"/>
        </w:rPr>
        <w:t>标项：</w:t>
      </w:r>
      <w:r>
        <w:rPr>
          <w:rFonts w:hint="eastAsia" w:ascii="仿宋" w:hAnsi="仿宋" w:eastAsia="仿宋" w:cs="仿宋"/>
          <w:color w:val="auto"/>
          <w:sz w:val="24"/>
          <w:szCs w:val="24"/>
          <w:u w:val="single"/>
        </w:rPr>
        <w:t xml:space="preserve">                           </w:t>
      </w:r>
    </w:p>
    <w:p>
      <w:pPr>
        <w:rPr>
          <w:rFonts w:ascii="仿宋" w:hAnsi="仿宋" w:eastAsia="仿宋" w:cs="仿宋"/>
          <w:color w:val="auto"/>
        </w:rPr>
      </w:pPr>
    </w:p>
    <w:tbl>
      <w:tblPr>
        <w:tblStyle w:val="26"/>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color w:val="auto"/>
                <w:sz w:val="24"/>
              </w:rPr>
            </w:pPr>
            <w:r>
              <w:rPr>
                <w:rFonts w:hint="eastAsia" w:ascii="仿宋" w:hAnsi="仿宋" w:eastAsia="仿宋" w:cs="仿宋"/>
                <w:color w:val="auto"/>
                <w:sz w:val="24"/>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color w:val="auto"/>
                <w:sz w:val="24"/>
              </w:rPr>
            </w:pPr>
            <w:r>
              <w:rPr>
                <w:rFonts w:hint="eastAsia" w:ascii="仿宋" w:hAnsi="仿宋" w:eastAsia="仿宋" w:cs="仿宋"/>
                <w:color w:val="auto"/>
                <w:sz w:val="24"/>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color w:val="auto"/>
                <w:sz w:val="24"/>
              </w:rPr>
            </w:pPr>
            <w:r>
              <w:rPr>
                <w:rFonts w:hint="eastAsia" w:ascii="仿宋" w:hAnsi="仿宋" w:eastAsia="仿宋" w:cs="仿宋"/>
                <w:color w:val="auto"/>
                <w:sz w:val="24"/>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color w:val="auto"/>
                <w:sz w:val="24"/>
              </w:rPr>
            </w:pPr>
            <w:r>
              <w:rPr>
                <w:rFonts w:hint="eastAsia" w:ascii="仿宋" w:hAnsi="仿宋" w:eastAsia="仿宋" w:cs="仿宋"/>
                <w:color w:val="auto"/>
                <w:sz w:val="24"/>
              </w:rPr>
              <w:t>合同</w:t>
            </w:r>
          </w:p>
          <w:p>
            <w:pPr>
              <w:jc w:val="center"/>
              <w:rPr>
                <w:rFonts w:ascii="仿宋" w:hAnsi="仿宋" w:eastAsia="仿宋" w:cs="仿宋"/>
                <w:color w:val="auto"/>
                <w:sz w:val="24"/>
              </w:rPr>
            </w:pPr>
            <w:r>
              <w:rPr>
                <w:rFonts w:hint="eastAsia" w:ascii="仿宋" w:hAnsi="仿宋" w:eastAsia="仿宋" w:cs="仿宋"/>
                <w:color w:val="auto"/>
                <w:sz w:val="24"/>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color w:val="auto"/>
                <w:sz w:val="24"/>
              </w:rPr>
            </w:pPr>
            <w:r>
              <w:rPr>
                <w:rFonts w:hint="eastAsia" w:ascii="仿宋" w:hAnsi="仿宋" w:eastAsia="仿宋" w:cs="仿宋"/>
                <w:color w:val="auto"/>
                <w:sz w:val="24"/>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color w:val="auto"/>
                <w:sz w:val="24"/>
              </w:rPr>
            </w:pPr>
            <w:r>
              <w:rPr>
                <w:rFonts w:hint="eastAsia" w:ascii="仿宋" w:hAnsi="仿宋" w:eastAsia="仿宋" w:cs="仿宋"/>
                <w:color w:val="auto"/>
                <w:sz w:val="24"/>
              </w:rPr>
              <w:t>验收报告</w:t>
            </w:r>
          </w:p>
          <w:p>
            <w:pPr>
              <w:jc w:val="center"/>
              <w:rPr>
                <w:rFonts w:ascii="仿宋" w:hAnsi="仿宋" w:eastAsia="仿宋" w:cs="仿宋"/>
                <w:color w:val="auto"/>
                <w:sz w:val="24"/>
              </w:rPr>
            </w:pPr>
            <w:r>
              <w:rPr>
                <w:rFonts w:hint="eastAsia" w:ascii="仿宋" w:hAnsi="仿宋" w:eastAsia="仿宋" w:cs="仿宋"/>
                <w:color w:val="auto"/>
                <w:sz w:val="24"/>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color w:val="auto"/>
                <w:sz w:val="24"/>
              </w:rPr>
            </w:pPr>
            <w:r>
              <w:rPr>
                <w:rFonts w:hint="eastAsia" w:ascii="仿宋" w:hAnsi="仿宋" w:eastAsia="仿宋" w:cs="仿宋"/>
                <w:color w:val="auto"/>
                <w:sz w:val="24"/>
              </w:rPr>
              <w:t>1</w:t>
            </w:r>
          </w:p>
        </w:tc>
        <w:tc>
          <w:tcPr>
            <w:tcW w:w="145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color w:val="auto"/>
                <w:sz w:val="24"/>
              </w:rPr>
            </w:pPr>
          </w:p>
        </w:tc>
        <w:tc>
          <w:tcPr>
            <w:tcW w:w="146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color w:val="auto"/>
                <w:sz w:val="24"/>
              </w:rPr>
            </w:pPr>
          </w:p>
        </w:tc>
        <w:tc>
          <w:tcPr>
            <w:tcW w:w="118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color w:val="auto"/>
                <w:sz w:val="24"/>
              </w:rPr>
            </w:pPr>
          </w:p>
        </w:tc>
        <w:tc>
          <w:tcPr>
            <w:tcW w:w="18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color w:val="auto"/>
                <w:sz w:val="24"/>
              </w:rPr>
            </w:pPr>
          </w:p>
        </w:tc>
        <w:tc>
          <w:tcPr>
            <w:tcW w:w="144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color w:val="auto"/>
                <w:sz w:val="24"/>
              </w:rPr>
            </w:pPr>
            <w:r>
              <w:rPr>
                <w:rFonts w:hint="eastAsia" w:ascii="仿宋" w:hAnsi="仿宋" w:eastAsia="仿宋" w:cs="仿宋"/>
                <w:color w:val="auto"/>
                <w:sz w:val="24"/>
              </w:rPr>
              <w:t>2</w:t>
            </w:r>
          </w:p>
        </w:tc>
        <w:tc>
          <w:tcPr>
            <w:tcW w:w="145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color w:val="auto"/>
                <w:sz w:val="24"/>
              </w:rPr>
            </w:pPr>
          </w:p>
        </w:tc>
        <w:tc>
          <w:tcPr>
            <w:tcW w:w="146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color w:val="auto"/>
                <w:sz w:val="24"/>
              </w:rPr>
            </w:pPr>
          </w:p>
        </w:tc>
        <w:tc>
          <w:tcPr>
            <w:tcW w:w="118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color w:val="auto"/>
                <w:sz w:val="24"/>
              </w:rPr>
            </w:pPr>
          </w:p>
        </w:tc>
        <w:tc>
          <w:tcPr>
            <w:tcW w:w="18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color w:val="auto"/>
                <w:sz w:val="24"/>
              </w:rPr>
            </w:pPr>
          </w:p>
        </w:tc>
        <w:tc>
          <w:tcPr>
            <w:tcW w:w="144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color w:val="auto"/>
                <w:sz w:val="24"/>
              </w:rPr>
            </w:pPr>
            <w:r>
              <w:rPr>
                <w:rFonts w:hint="eastAsia" w:ascii="仿宋" w:hAnsi="仿宋" w:eastAsia="仿宋" w:cs="仿宋"/>
                <w:color w:val="auto"/>
                <w:sz w:val="24"/>
              </w:rPr>
              <w:t>…</w:t>
            </w:r>
          </w:p>
        </w:tc>
        <w:tc>
          <w:tcPr>
            <w:tcW w:w="145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color w:val="auto"/>
                <w:sz w:val="24"/>
              </w:rPr>
            </w:pPr>
          </w:p>
        </w:tc>
        <w:tc>
          <w:tcPr>
            <w:tcW w:w="146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color w:val="auto"/>
                <w:sz w:val="24"/>
              </w:rPr>
            </w:pPr>
          </w:p>
        </w:tc>
        <w:tc>
          <w:tcPr>
            <w:tcW w:w="118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color w:val="auto"/>
                <w:sz w:val="24"/>
              </w:rPr>
            </w:pPr>
          </w:p>
        </w:tc>
        <w:tc>
          <w:tcPr>
            <w:tcW w:w="18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color w:val="auto"/>
                <w:sz w:val="24"/>
              </w:rPr>
            </w:pPr>
          </w:p>
        </w:tc>
        <w:tc>
          <w:tcPr>
            <w:tcW w:w="144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color w:val="auto"/>
                <w:sz w:val="24"/>
              </w:rPr>
            </w:pPr>
          </w:p>
        </w:tc>
      </w:tr>
    </w:tbl>
    <w:p>
      <w:pPr>
        <w:rPr>
          <w:rFonts w:ascii="仿宋" w:hAnsi="仿宋" w:eastAsia="仿宋" w:cs="仿宋"/>
          <w:color w:val="auto"/>
          <w:sz w:val="24"/>
        </w:rPr>
      </w:pPr>
      <w:r>
        <w:rPr>
          <w:rFonts w:hint="eastAsia" w:ascii="仿宋" w:hAnsi="仿宋" w:eastAsia="仿宋" w:cs="仿宋"/>
          <w:color w:val="auto"/>
          <w:sz w:val="24"/>
        </w:rPr>
        <w:t>备注：</w:t>
      </w:r>
    </w:p>
    <w:p>
      <w:pPr>
        <w:numPr>
          <w:ilvl w:val="0"/>
          <w:numId w:val="14"/>
        </w:numPr>
        <w:rPr>
          <w:rFonts w:ascii="仿宋" w:hAnsi="仿宋" w:eastAsia="仿宋" w:cs="仿宋"/>
          <w:color w:val="auto"/>
          <w:sz w:val="24"/>
        </w:rPr>
      </w:pPr>
      <w:r>
        <w:rPr>
          <w:rFonts w:hint="eastAsia" w:ascii="仿宋" w:hAnsi="仿宋" w:eastAsia="仿宋" w:cs="仿宋"/>
          <w:color w:val="auto"/>
          <w:sz w:val="24"/>
        </w:rPr>
        <w:t>请在此表后附上类似业绩的合同、验收报告原件扫描件或彩色图片（如有）。</w:t>
      </w:r>
    </w:p>
    <w:p>
      <w:pPr>
        <w:numPr>
          <w:ilvl w:val="0"/>
          <w:numId w:val="14"/>
        </w:numPr>
        <w:rPr>
          <w:rFonts w:ascii="仿宋" w:hAnsi="仿宋" w:eastAsia="仿宋" w:cs="仿宋"/>
          <w:color w:val="auto"/>
          <w:sz w:val="24"/>
        </w:rPr>
      </w:pPr>
      <w:r>
        <w:rPr>
          <w:rFonts w:hint="eastAsia" w:ascii="仿宋" w:hAnsi="仿宋" w:eastAsia="仿宋" w:cs="仿宋"/>
          <w:color w:val="auto"/>
          <w:sz w:val="24"/>
        </w:rPr>
        <w:t>供应商所投核心产品中有被省级及省级以上主管部门认定为“首台套产品”或“制造精品”的，自认定之日起2年内视同已具备相应销售业绩，参加政府采购活动时该供应商的业绩分为满分。提供相关证明文件彩色扫描件或图片。</w:t>
      </w:r>
    </w:p>
    <w:p>
      <w:pPr>
        <w:rPr>
          <w:rFonts w:ascii="仿宋" w:hAnsi="仿宋" w:eastAsia="仿宋" w:cs="仿宋"/>
          <w:color w:val="auto"/>
          <w:sz w:val="24"/>
        </w:rPr>
      </w:pPr>
    </w:p>
    <w:p>
      <w:pPr>
        <w:rPr>
          <w:rFonts w:ascii="仿宋" w:hAnsi="仿宋" w:eastAsia="仿宋" w:cs="仿宋"/>
          <w:color w:val="auto"/>
          <w:sz w:val="24"/>
        </w:rPr>
      </w:pPr>
    </w:p>
    <w:p>
      <w:pPr>
        <w:rPr>
          <w:rFonts w:ascii="仿宋" w:hAnsi="仿宋" w:eastAsia="仿宋" w:cs="仿宋"/>
          <w:color w:val="auto"/>
          <w:sz w:val="24"/>
        </w:rPr>
      </w:pPr>
    </w:p>
    <w:p>
      <w:pPr>
        <w:rPr>
          <w:rFonts w:ascii="仿宋" w:hAnsi="仿宋" w:eastAsia="仿宋" w:cs="仿宋"/>
          <w:color w:val="auto"/>
          <w:sz w:val="24"/>
        </w:rPr>
      </w:pPr>
    </w:p>
    <w:p>
      <w:pPr>
        <w:rPr>
          <w:rFonts w:ascii="仿宋" w:hAnsi="仿宋" w:eastAsia="仿宋" w:cs="仿宋"/>
          <w:color w:val="auto"/>
          <w:sz w:val="24"/>
        </w:rPr>
      </w:pPr>
    </w:p>
    <w:p>
      <w:pPr>
        <w:rPr>
          <w:rFonts w:ascii="仿宋" w:hAnsi="仿宋" w:eastAsia="仿宋" w:cs="仿宋"/>
          <w:color w:val="auto"/>
          <w:sz w:val="24"/>
        </w:rPr>
      </w:pPr>
    </w:p>
    <w:p>
      <w:pPr>
        <w:rPr>
          <w:rFonts w:ascii="仿宋" w:hAnsi="仿宋" w:eastAsia="仿宋" w:cs="仿宋"/>
          <w:color w:val="auto"/>
          <w:sz w:val="24"/>
        </w:rPr>
      </w:pPr>
    </w:p>
    <w:p>
      <w:pPr>
        <w:rPr>
          <w:rFonts w:ascii="仿宋" w:hAnsi="仿宋" w:eastAsia="仿宋" w:cs="仿宋"/>
          <w:color w:val="auto"/>
          <w:sz w:val="24"/>
        </w:rPr>
      </w:pPr>
    </w:p>
    <w:p>
      <w:pPr>
        <w:rPr>
          <w:rFonts w:ascii="仿宋" w:hAnsi="仿宋" w:eastAsia="仿宋" w:cs="仿宋"/>
          <w:color w:val="auto"/>
          <w:sz w:val="24"/>
        </w:rPr>
      </w:pPr>
    </w:p>
    <w:p>
      <w:pPr>
        <w:snapToGrid w:val="0"/>
        <w:spacing w:before="156" w:beforeLines="50"/>
        <w:rPr>
          <w:rFonts w:ascii="仿宋" w:hAnsi="仿宋" w:eastAsia="仿宋" w:cs="仿宋"/>
          <w:color w:val="auto"/>
          <w:sz w:val="28"/>
          <w:szCs w:val="28"/>
        </w:rPr>
      </w:pPr>
      <w:r>
        <w:rPr>
          <w:rFonts w:hint="eastAsia" w:ascii="仿宋" w:hAnsi="仿宋" w:eastAsia="仿宋" w:cs="仿宋"/>
          <w:color w:val="auto"/>
          <w:sz w:val="28"/>
          <w:szCs w:val="28"/>
        </w:rPr>
        <w:t xml:space="preserve">法定代表人或其授权代表（签字或盖章）：          </w:t>
      </w:r>
    </w:p>
    <w:p>
      <w:pPr>
        <w:snapToGrid w:val="0"/>
        <w:spacing w:before="156" w:beforeLines="50"/>
        <w:rPr>
          <w:rFonts w:ascii="仿宋" w:hAnsi="仿宋" w:eastAsia="仿宋" w:cs="仿宋"/>
          <w:color w:val="auto"/>
          <w:sz w:val="28"/>
          <w:szCs w:val="28"/>
        </w:rPr>
      </w:pPr>
      <w:r>
        <w:rPr>
          <w:rFonts w:hint="eastAsia" w:ascii="仿宋" w:hAnsi="仿宋" w:eastAsia="仿宋" w:cs="仿宋"/>
          <w:color w:val="auto"/>
          <w:sz w:val="28"/>
          <w:szCs w:val="28"/>
        </w:rPr>
        <w:t xml:space="preserve">日期： </w:t>
      </w:r>
    </w:p>
    <w:p>
      <w:pPr>
        <w:rPr>
          <w:rFonts w:ascii="仿宋" w:hAnsi="仿宋" w:eastAsia="仿宋" w:cs="仿宋"/>
          <w:color w:val="auto"/>
          <w:sz w:val="24"/>
        </w:rPr>
      </w:pPr>
    </w:p>
    <w:p>
      <w:pPr>
        <w:rPr>
          <w:rFonts w:ascii="仿宋" w:hAnsi="仿宋" w:eastAsia="仿宋" w:cs="仿宋"/>
          <w:color w:val="auto"/>
          <w:sz w:val="24"/>
        </w:rPr>
      </w:pPr>
    </w:p>
    <w:p>
      <w:pPr>
        <w:snapToGrid w:val="0"/>
        <w:spacing w:before="50" w:after="50" w:line="360" w:lineRule="auto"/>
        <w:jc w:val="left"/>
        <w:rPr>
          <w:rFonts w:ascii="仿宋" w:hAnsi="仿宋" w:eastAsia="仿宋" w:cs="仿宋"/>
          <w:b/>
          <w:bCs/>
          <w:color w:val="auto"/>
          <w:sz w:val="30"/>
          <w:szCs w:val="30"/>
        </w:rPr>
      </w:pPr>
      <w:r>
        <w:rPr>
          <w:rFonts w:hint="eastAsia" w:ascii="仿宋" w:hAnsi="仿宋" w:eastAsia="仿宋" w:cs="仿宋"/>
          <w:b/>
          <w:bCs/>
          <w:color w:val="auto"/>
          <w:sz w:val="30"/>
          <w:szCs w:val="30"/>
        </w:rPr>
        <w:t>附件16（如有）：</w:t>
      </w:r>
    </w:p>
    <w:p>
      <w:pPr>
        <w:snapToGrid w:val="0"/>
        <w:spacing w:before="50" w:after="50" w:line="360" w:lineRule="auto"/>
        <w:jc w:val="center"/>
        <w:rPr>
          <w:rFonts w:ascii="仿宋" w:hAnsi="仿宋" w:eastAsia="仿宋" w:cs="仿宋"/>
          <w:b/>
          <w:bCs/>
          <w:color w:val="auto"/>
          <w:sz w:val="36"/>
          <w:szCs w:val="36"/>
        </w:rPr>
      </w:pPr>
      <w:r>
        <w:rPr>
          <w:rFonts w:hint="eastAsia" w:ascii="仿宋" w:hAnsi="仿宋" w:eastAsia="仿宋" w:cs="仿宋"/>
          <w:b/>
          <w:bCs/>
          <w:color w:val="auto"/>
          <w:sz w:val="36"/>
          <w:szCs w:val="36"/>
        </w:rPr>
        <w:t>享受政府采购政策性规定情况表</w:t>
      </w:r>
    </w:p>
    <w:p>
      <w:pPr>
        <w:pStyle w:val="17"/>
        <w:spacing w:line="360" w:lineRule="auto"/>
        <w:rPr>
          <w:rFonts w:ascii="仿宋" w:hAnsi="仿宋" w:eastAsia="仿宋" w:cs="仿宋"/>
          <w:b/>
          <w:bCs/>
          <w:color w:val="auto"/>
          <w:sz w:val="24"/>
          <w:szCs w:val="24"/>
        </w:rPr>
      </w:pPr>
      <w:r>
        <w:rPr>
          <w:rFonts w:hint="eastAsia" w:ascii="仿宋" w:hAnsi="仿宋" w:eastAsia="仿宋" w:cs="仿宋"/>
          <w:b/>
          <w:bCs/>
          <w:color w:val="auto"/>
          <w:sz w:val="24"/>
          <w:szCs w:val="24"/>
        </w:rPr>
        <w:t>投标人名称：</w:t>
      </w:r>
    </w:p>
    <w:p>
      <w:pPr>
        <w:spacing w:line="360" w:lineRule="auto"/>
        <w:rPr>
          <w:rFonts w:ascii="仿宋" w:hAnsi="仿宋" w:eastAsia="仿宋" w:cs="仿宋"/>
          <w:b/>
          <w:bCs/>
          <w:color w:val="auto"/>
          <w:sz w:val="24"/>
          <w:szCs w:val="24"/>
        </w:rPr>
      </w:pPr>
      <w:r>
        <w:rPr>
          <w:rFonts w:hint="eastAsia" w:ascii="仿宋" w:hAnsi="仿宋" w:eastAsia="仿宋" w:cs="仿宋"/>
          <w:b/>
          <w:bCs/>
          <w:color w:val="auto"/>
          <w:sz w:val="24"/>
          <w:szCs w:val="24"/>
        </w:rPr>
        <w:t>项目编号：</w:t>
      </w:r>
    </w:p>
    <w:tbl>
      <w:tblPr>
        <w:tblStyle w:val="26"/>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ascii="仿宋" w:hAnsi="仿宋" w:eastAsia="仿宋" w:cs="仿宋"/>
                <w:color w:val="auto"/>
                <w:sz w:val="24"/>
                <w:lang w:val="en-GB"/>
              </w:rPr>
            </w:pPr>
            <w:r>
              <w:rPr>
                <w:rFonts w:hint="eastAsia" w:ascii="仿宋" w:hAnsi="仿宋" w:eastAsia="仿宋" w:cs="仿宋"/>
                <w:color w:val="auto"/>
                <w:sz w:val="24"/>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jc w:val="center"/>
              <w:rPr>
                <w:rFonts w:ascii="仿宋" w:hAnsi="仿宋" w:eastAsia="仿宋" w:cs="仿宋"/>
                <w:color w:val="auto"/>
                <w:sz w:val="24"/>
                <w:lang w:val="en-GB"/>
              </w:rPr>
            </w:pPr>
            <w:r>
              <w:rPr>
                <w:rFonts w:hint="eastAsia" w:ascii="仿宋" w:hAnsi="仿宋" w:eastAsia="仿宋" w:cs="仿宋"/>
                <w:color w:val="auto"/>
                <w:sz w:val="24"/>
                <w:lang w:val="en-GB"/>
              </w:rPr>
              <w:t>核心产品</w:t>
            </w:r>
          </w:p>
          <w:p>
            <w:pPr>
              <w:pStyle w:val="39"/>
              <w:tabs>
                <w:tab w:val="left" w:pos="1260"/>
              </w:tabs>
              <w:snapToGrid w:val="0"/>
              <w:jc w:val="center"/>
              <w:rPr>
                <w:rFonts w:ascii="仿宋" w:hAnsi="仿宋" w:eastAsia="仿宋" w:cs="仿宋"/>
                <w:color w:val="auto"/>
                <w:sz w:val="24"/>
                <w:lang w:val="en-GB"/>
              </w:rPr>
            </w:pPr>
            <w:r>
              <w:rPr>
                <w:rFonts w:hint="eastAsia" w:ascii="仿宋" w:hAnsi="仿宋" w:eastAsia="仿宋" w:cs="仿宋"/>
                <w:color w:val="auto"/>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jc w:val="center"/>
              <w:rPr>
                <w:rFonts w:ascii="仿宋" w:hAnsi="仿宋" w:eastAsia="仿宋" w:cs="仿宋"/>
                <w:color w:val="auto"/>
                <w:sz w:val="24"/>
                <w:lang w:val="en-GB"/>
              </w:rPr>
            </w:pPr>
            <w:r>
              <w:rPr>
                <w:rFonts w:hint="eastAsia" w:ascii="仿宋" w:hAnsi="仿宋" w:eastAsia="仿宋" w:cs="仿宋"/>
                <w:color w:val="auto"/>
                <w:sz w:val="24"/>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ascii="仿宋" w:hAnsi="仿宋" w:eastAsia="仿宋" w:cs="仿宋"/>
                <w:color w:val="auto"/>
                <w:sz w:val="24"/>
                <w:lang w:val="en-GB"/>
              </w:rPr>
            </w:pPr>
            <w:r>
              <w:rPr>
                <w:rFonts w:hint="eastAsia" w:ascii="仿宋" w:hAnsi="仿宋" w:eastAsia="仿宋" w:cs="仿宋"/>
                <w:color w:val="auto"/>
                <w:sz w:val="24"/>
                <w:lang w:val="en-GB"/>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ascii="仿宋" w:hAnsi="仿宋" w:eastAsia="仿宋" w:cs="仿宋"/>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ascii="仿宋" w:hAnsi="仿宋" w:eastAsia="仿宋" w:cs="仿宋"/>
                <w:color w:val="auto"/>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ascii="仿宋" w:hAnsi="仿宋" w:eastAsia="仿宋" w:cs="仿宋"/>
                <w:color w:val="auto"/>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ascii="仿宋" w:hAnsi="仿宋" w:eastAsia="仿宋" w:cs="仿宋"/>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ascii="仿宋" w:hAnsi="仿宋" w:eastAsia="仿宋" w:cs="仿宋"/>
                <w:color w:val="auto"/>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ascii="仿宋" w:hAnsi="仿宋" w:eastAsia="仿宋" w:cs="仿宋"/>
                <w:color w:val="auto"/>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jc w:val="center"/>
              <w:rPr>
                <w:rFonts w:ascii="仿宋" w:hAnsi="仿宋" w:eastAsia="仿宋" w:cs="仿宋"/>
                <w:color w:val="auto"/>
                <w:sz w:val="24"/>
                <w:lang w:val="en-GB"/>
              </w:rPr>
            </w:pPr>
            <w:r>
              <w:rPr>
                <w:rFonts w:hint="eastAsia" w:ascii="仿宋" w:hAnsi="仿宋" w:eastAsia="仿宋" w:cs="仿宋"/>
                <w:color w:val="auto"/>
                <w:sz w:val="24"/>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jc w:val="center"/>
              <w:rPr>
                <w:rFonts w:ascii="仿宋" w:hAnsi="仿宋" w:eastAsia="仿宋" w:cs="仿宋"/>
                <w:color w:val="auto"/>
                <w:sz w:val="24"/>
                <w:lang w:val="en-GB"/>
              </w:rPr>
            </w:pPr>
            <w:r>
              <w:rPr>
                <w:rFonts w:hint="eastAsia" w:ascii="仿宋" w:hAnsi="仿宋" w:eastAsia="仿宋" w:cs="仿宋"/>
                <w:color w:val="auto"/>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jc w:val="center"/>
              <w:rPr>
                <w:rFonts w:ascii="仿宋" w:hAnsi="仿宋" w:eastAsia="仿宋" w:cs="仿宋"/>
                <w:color w:val="auto"/>
                <w:sz w:val="24"/>
                <w:lang w:val="en-GB"/>
              </w:rPr>
            </w:pPr>
            <w:r>
              <w:rPr>
                <w:rFonts w:hint="eastAsia" w:ascii="仿宋" w:hAnsi="仿宋" w:eastAsia="仿宋" w:cs="仿宋"/>
                <w:color w:val="auto"/>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jc w:val="center"/>
              <w:rPr>
                <w:rFonts w:ascii="仿宋" w:hAnsi="仿宋" w:eastAsia="仿宋" w:cs="仿宋"/>
                <w:color w:val="auto"/>
                <w:sz w:val="24"/>
                <w:lang w:val="en-GB"/>
              </w:rPr>
            </w:pPr>
            <w:r>
              <w:rPr>
                <w:rFonts w:hint="eastAsia" w:ascii="仿宋" w:hAnsi="仿宋" w:eastAsia="仿宋" w:cs="仿宋"/>
                <w:color w:val="auto"/>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jc w:val="center"/>
              <w:rPr>
                <w:rFonts w:ascii="仿宋" w:hAnsi="仿宋" w:eastAsia="仿宋" w:cs="仿宋"/>
                <w:color w:val="auto"/>
                <w:sz w:val="24"/>
                <w:lang w:val="en-GB"/>
              </w:rPr>
            </w:pPr>
            <w:r>
              <w:rPr>
                <w:rFonts w:hint="eastAsia" w:ascii="仿宋" w:hAnsi="仿宋" w:eastAsia="仿宋" w:cs="仿宋"/>
                <w:color w:val="auto"/>
                <w:sz w:val="24"/>
                <w:lang w:val="en-GB"/>
              </w:rPr>
              <w:t>节能认证</w:t>
            </w:r>
          </w:p>
          <w:p>
            <w:pPr>
              <w:pStyle w:val="39"/>
              <w:tabs>
                <w:tab w:val="left" w:pos="1260"/>
              </w:tabs>
              <w:snapToGrid w:val="0"/>
              <w:jc w:val="center"/>
              <w:rPr>
                <w:rFonts w:ascii="仿宋" w:hAnsi="仿宋" w:eastAsia="仿宋" w:cs="仿宋"/>
                <w:color w:val="auto"/>
                <w:sz w:val="24"/>
                <w:lang w:val="en-GB"/>
              </w:rPr>
            </w:pPr>
            <w:r>
              <w:rPr>
                <w:rFonts w:hint="eastAsia" w:ascii="仿宋" w:hAnsi="仿宋" w:eastAsia="仿宋" w:cs="仿宋"/>
                <w:color w:val="auto"/>
                <w:sz w:val="24"/>
                <w:lang w:val="en-GB"/>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ascii="仿宋" w:hAnsi="仿宋" w:eastAsia="仿宋" w:cs="仿宋"/>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ascii="仿宋" w:hAnsi="仿宋" w:eastAsia="仿宋" w:cs="仿宋"/>
                <w:color w:val="auto"/>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ascii="仿宋" w:hAnsi="仿宋" w:eastAsia="仿宋" w:cs="仿宋"/>
                <w:color w:val="auto"/>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ascii="仿宋" w:hAnsi="仿宋" w:eastAsia="仿宋" w:cs="仿宋"/>
                <w:color w:val="auto"/>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ascii="仿宋" w:hAnsi="仿宋" w:eastAsia="仿宋" w:cs="仿宋"/>
                <w:color w:val="auto"/>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ascii="仿宋" w:hAnsi="仿宋" w:eastAsia="仿宋" w:cs="仿宋"/>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ascii="仿宋" w:hAnsi="仿宋" w:eastAsia="仿宋" w:cs="仿宋"/>
                <w:color w:val="auto"/>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ascii="仿宋" w:hAnsi="仿宋" w:eastAsia="仿宋" w:cs="仿宋"/>
                <w:color w:val="auto"/>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ascii="仿宋" w:hAnsi="仿宋" w:eastAsia="仿宋" w:cs="仿宋"/>
                <w:color w:val="auto"/>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ascii="仿宋" w:hAnsi="仿宋" w:eastAsia="仿宋" w:cs="仿宋"/>
                <w:color w:val="auto"/>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jc w:val="center"/>
              <w:rPr>
                <w:rFonts w:ascii="仿宋" w:hAnsi="仿宋" w:eastAsia="仿宋" w:cs="仿宋"/>
                <w:color w:val="auto"/>
                <w:sz w:val="24"/>
                <w:lang w:val="en-GB"/>
              </w:rPr>
            </w:pPr>
            <w:r>
              <w:rPr>
                <w:rFonts w:hint="eastAsia" w:ascii="仿宋" w:hAnsi="仿宋" w:eastAsia="仿宋" w:cs="仿宋"/>
                <w:color w:val="auto"/>
                <w:sz w:val="24"/>
                <w:lang w:val="en-GB"/>
              </w:rPr>
              <w:t>环境标</w:t>
            </w:r>
          </w:p>
          <w:p>
            <w:pPr>
              <w:pStyle w:val="39"/>
              <w:tabs>
                <w:tab w:val="left" w:pos="1260"/>
              </w:tabs>
              <w:snapToGrid w:val="0"/>
              <w:jc w:val="center"/>
              <w:rPr>
                <w:rFonts w:ascii="仿宋" w:hAnsi="仿宋" w:eastAsia="仿宋" w:cs="仿宋"/>
                <w:color w:val="auto"/>
                <w:sz w:val="24"/>
                <w:lang w:val="en-GB"/>
              </w:rPr>
            </w:pPr>
            <w:r>
              <w:rPr>
                <w:rFonts w:hint="eastAsia" w:ascii="仿宋" w:hAnsi="仿宋" w:eastAsia="仿宋" w:cs="仿宋"/>
                <w:color w:val="auto"/>
                <w:sz w:val="24"/>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jc w:val="center"/>
              <w:rPr>
                <w:rFonts w:ascii="仿宋" w:hAnsi="仿宋" w:eastAsia="仿宋" w:cs="仿宋"/>
                <w:color w:val="auto"/>
                <w:sz w:val="24"/>
                <w:lang w:val="en-GB"/>
              </w:rPr>
            </w:pPr>
            <w:r>
              <w:rPr>
                <w:rFonts w:hint="eastAsia" w:ascii="仿宋" w:hAnsi="仿宋" w:eastAsia="仿宋" w:cs="仿宋"/>
                <w:color w:val="auto"/>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jc w:val="center"/>
              <w:rPr>
                <w:rFonts w:ascii="仿宋" w:hAnsi="仿宋" w:eastAsia="仿宋" w:cs="仿宋"/>
                <w:color w:val="auto"/>
                <w:sz w:val="24"/>
                <w:lang w:val="en-GB"/>
              </w:rPr>
            </w:pPr>
            <w:r>
              <w:rPr>
                <w:rFonts w:hint="eastAsia" w:ascii="仿宋" w:hAnsi="仿宋" w:eastAsia="仿宋" w:cs="仿宋"/>
                <w:color w:val="auto"/>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jc w:val="center"/>
              <w:rPr>
                <w:rFonts w:ascii="仿宋" w:hAnsi="仿宋" w:eastAsia="仿宋" w:cs="仿宋"/>
                <w:color w:val="auto"/>
                <w:sz w:val="24"/>
                <w:lang w:val="en-GB"/>
              </w:rPr>
            </w:pPr>
            <w:r>
              <w:rPr>
                <w:rFonts w:hint="eastAsia" w:ascii="仿宋" w:hAnsi="仿宋" w:eastAsia="仿宋" w:cs="仿宋"/>
                <w:color w:val="auto"/>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jc w:val="center"/>
              <w:rPr>
                <w:rFonts w:ascii="仿宋" w:hAnsi="仿宋" w:eastAsia="仿宋" w:cs="仿宋"/>
                <w:color w:val="auto"/>
                <w:sz w:val="24"/>
                <w:lang w:val="en-GB"/>
              </w:rPr>
            </w:pPr>
            <w:r>
              <w:rPr>
                <w:rFonts w:hint="eastAsia" w:ascii="仿宋" w:hAnsi="仿宋" w:eastAsia="仿宋" w:cs="仿宋"/>
                <w:color w:val="auto"/>
                <w:sz w:val="24"/>
                <w:lang w:val="en-GB"/>
              </w:rPr>
              <w:t>环境标志认</w:t>
            </w:r>
          </w:p>
          <w:p>
            <w:pPr>
              <w:pStyle w:val="39"/>
              <w:tabs>
                <w:tab w:val="left" w:pos="1260"/>
              </w:tabs>
              <w:snapToGrid w:val="0"/>
              <w:jc w:val="center"/>
              <w:rPr>
                <w:rFonts w:ascii="仿宋" w:hAnsi="仿宋" w:eastAsia="仿宋" w:cs="仿宋"/>
                <w:color w:val="auto"/>
                <w:sz w:val="24"/>
                <w:lang w:val="en-GB"/>
              </w:rPr>
            </w:pPr>
            <w:r>
              <w:rPr>
                <w:rFonts w:hint="eastAsia" w:ascii="仿宋" w:hAnsi="仿宋" w:eastAsia="仿宋" w:cs="仿宋"/>
                <w:color w:val="auto"/>
                <w:sz w:val="24"/>
                <w:lang w:val="en-GB"/>
              </w:rPr>
              <w:t>证证书编号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ascii="仿宋" w:hAnsi="仿宋" w:eastAsia="仿宋" w:cs="仿宋"/>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ascii="仿宋" w:hAnsi="仿宋" w:eastAsia="仿宋" w:cs="仿宋"/>
                <w:color w:val="auto"/>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ascii="仿宋" w:hAnsi="仿宋" w:eastAsia="仿宋" w:cs="仿宋"/>
                <w:color w:val="auto"/>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ascii="仿宋" w:hAnsi="仿宋" w:eastAsia="仿宋" w:cs="仿宋"/>
                <w:color w:val="auto"/>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ascii="仿宋" w:hAnsi="仿宋" w:eastAsia="仿宋" w:cs="仿宋"/>
                <w:color w:val="auto"/>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ascii="仿宋" w:hAnsi="仿宋" w:eastAsia="仿宋" w:cs="仿宋"/>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ascii="仿宋" w:hAnsi="仿宋" w:eastAsia="仿宋" w:cs="仿宋"/>
                <w:color w:val="auto"/>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ascii="仿宋" w:hAnsi="仿宋" w:eastAsia="仿宋" w:cs="仿宋"/>
                <w:color w:val="auto"/>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ascii="仿宋" w:hAnsi="仿宋" w:eastAsia="仿宋" w:cs="仿宋"/>
                <w:color w:val="auto"/>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ascii="仿宋" w:hAnsi="仿宋" w:eastAsia="仿宋" w:cs="仿宋"/>
                <w:color w:val="auto"/>
                <w:sz w:val="24"/>
                <w:lang w:val="en-GB"/>
              </w:rPr>
            </w:pPr>
          </w:p>
        </w:tc>
      </w:tr>
    </w:tbl>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备注：1、本表的产品名称、品牌型号、制造商应与《开标一览表》、《项目明细清单》中的相应产品一致。</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2、享受政府采购政策性规定的需要提供相关证明材料，具体详见第二章“投标人须知”第二部分“采购文件”，否则不予认可。</w:t>
      </w:r>
    </w:p>
    <w:p>
      <w:pPr>
        <w:pStyle w:val="17"/>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 xml:space="preserve">特别提示：供应商务必仔细阅读采购文件“政府采购政策性规定”中关于无效投标的内容。 </w:t>
      </w:r>
    </w:p>
    <w:p>
      <w:pPr>
        <w:rPr>
          <w:rFonts w:ascii="仿宋" w:hAnsi="仿宋" w:eastAsia="仿宋" w:cs="仿宋"/>
          <w:color w:val="auto"/>
          <w:spacing w:val="20"/>
          <w:sz w:val="24"/>
          <w:szCs w:val="24"/>
        </w:rPr>
      </w:pPr>
    </w:p>
    <w:p>
      <w:pPr>
        <w:rPr>
          <w:rFonts w:ascii="仿宋" w:hAnsi="仿宋" w:eastAsia="仿宋" w:cs="仿宋"/>
          <w:color w:val="auto"/>
          <w:spacing w:val="20"/>
          <w:sz w:val="24"/>
          <w:szCs w:val="24"/>
        </w:rPr>
      </w:pPr>
    </w:p>
    <w:p>
      <w:pPr>
        <w:rPr>
          <w:rFonts w:ascii="仿宋" w:hAnsi="仿宋" w:eastAsia="仿宋" w:cs="仿宋"/>
          <w:color w:val="auto"/>
          <w:spacing w:val="20"/>
          <w:sz w:val="24"/>
          <w:szCs w:val="24"/>
        </w:rPr>
      </w:pPr>
    </w:p>
    <w:p>
      <w:pPr>
        <w:rPr>
          <w:rFonts w:ascii="仿宋" w:hAnsi="仿宋" w:eastAsia="仿宋" w:cs="仿宋"/>
          <w:color w:val="auto"/>
          <w:spacing w:val="20"/>
          <w:sz w:val="24"/>
          <w:szCs w:val="24"/>
        </w:rPr>
      </w:pPr>
    </w:p>
    <w:p>
      <w:pPr>
        <w:rPr>
          <w:rFonts w:ascii="仿宋" w:hAnsi="仿宋" w:eastAsia="仿宋" w:cs="仿宋"/>
          <w:color w:val="auto"/>
          <w:spacing w:val="20"/>
          <w:sz w:val="24"/>
          <w:szCs w:val="24"/>
        </w:rPr>
      </w:pPr>
    </w:p>
    <w:p>
      <w:pPr>
        <w:rPr>
          <w:rFonts w:ascii="仿宋" w:hAnsi="仿宋" w:eastAsia="仿宋" w:cs="仿宋"/>
          <w:color w:val="auto"/>
          <w:spacing w:val="20"/>
          <w:sz w:val="24"/>
          <w:szCs w:val="24"/>
        </w:rPr>
      </w:pPr>
    </w:p>
    <w:p>
      <w:pPr>
        <w:rPr>
          <w:rFonts w:ascii="仿宋" w:hAnsi="仿宋" w:eastAsia="仿宋" w:cs="仿宋"/>
          <w:color w:val="auto"/>
          <w:spacing w:val="20"/>
          <w:sz w:val="24"/>
          <w:szCs w:val="24"/>
        </w:rPr>
      </w:pPr>
    </w:p>
    <w:p>
      <w:pPr>
        <w:rPr>
          <w:rFonts w:ascii="仿宋" w:hAnsi="仿宋" w:eastAsia="仿宋" w:cs="仿宋"/>
          <w:color w:val="auto"/>
          <w:spacing w:val="20"/>
          <w:sz w:val="24"/>
          <w:szCs w:val="24"/>
        </w:rPr>
      </w:pPr>
    </w:p>
    <w:p>
      <w:pPr>
        <w:rPr>
          <w:rFonts w:ascii="仿宋" w:hAnsi="仿宋" w:eastAsia="仿宋" w:cs="仿宋"/>
          <w:color w:val="auto"/>
          <w:spacing w:val="20"/>
          <w:sz w:val="24"/>
          <w:szCs w:val="24"/>
        </w:rPr>
      </w:pPr>
      <w:r>
        <w:rPr>
          <w:rFonts w:hint="eastAsia" w:ascii="仿宋" w:hAnsi="仿宋" w:eastAsia="仿宋" w:cs="仿宋"/>
          <w:color w:val="auto"/>
          <w:sz w:val="24"/>
          <w:szCs w:val="24"/>
        </w:rPr>
        <w:t>法定代表人或授权委托人</w:t>
      </w:r>
      <w:r>
        <w:rPr>
          <w:rFonts w:hint="eastAsia" w:ascii="仿宋" w:hAnsi="仿宋" w:eastAsia="仿宋" w:cs="仿宋"/>
          <w:color w:val="auto"/>
          <w:spacing w:val="20"/>
          <w:sz w:val="24"/>
          <w:szCs w:val="24"/>
        </w:rPr>
        <w:t>签名：</w:t>
      </w:r>
      <w:r>
        <w:rPr>
          <w:rFonts w:hint="eastAsia" w:ascii="仿宋" w:hAnsi="仿宋" w:eastAsia="仿宋" w:cs="仿宋"/>
          <w:color w:val="auto"/>
          <w:spacing w:val="20"/>
          <w:sz w:val="24"/>
          <w:szCs w:val="24"/>
          <w:u w:val="single"/>
        </w:rPr>
        <w:t xml:space="preserve">               </w:t>
      </w:r>
      <w:r>
        <w:rPr>
          <w:rFonts w:hint="eastAsia" w:ascii="仿宋" w:hAnsi="仿宋" w:eastAsia="仿宋" w:cs="仿宋"/>
          <w:color w:val="auto"/>
          <w:spacing w:val="20"/>
          <w:sz w:val="24"/>
          <w:szCs w:val="24"/>
        </w:rPr>
        <w:t xml:space="preserve"> </w:t>
      </w:r>
    </w:p>
    <w:p>
      <w:pPr>
        <w:rPr>
          <w:rFonts w:ascii="仿宋" w:hAnsi="仿宋" w:eastAsia="仿宋" w:cs="仿宋"/>
          <w:color w:val="auto"/>
          <w:spacing w:val="20"/>
          <w:sz w:val="24"/>
          <w:szCs w:val="24"/>
        </w:rPr>
      </w:pPr>
    </w:p>
    <w:p>
      <w:pPr>
        <w:rPr>
          <w:rFonts w:ascii="仿宋" w:hAnsi="仿宋" w:eastAsia="仿宋" w:cs="仿宋"/>
          <w:color w:val="auto"/>
          <w:spacing w:val="20"/>
          <w:sz w:val="24"/>
          <w:szCs w:val="24"/>
          <w:u w:val="single"/>
        </w:rPr>
      </w:pPr>
      <w:r>
        <w:rPr>
          <w:rFonts w:hint="eastAsia" w:ascii="仿宋" w:hAnsi="仿宋" w:eastAsia="仿宋" w:cs="仿宋"/>
          <w:color w:val="auto"/>
          <w:spacing w:val="20"/>
          <w:sz w:val="24"/>
          <w:szCs w:val="24"/>
        </w:rPr>
        <w:t>日  期：</w:t>
      </w:r>
      <w:r>
        <w:rPr>
          <w:rFonts w:hint="eastAsia" w:ascii="仿宋" w:hAnsi="仿宋" w:eastAsia="仿宋" w:cs="仿宋"/>
          <w:color w:val="auto"/>
          <w:spacing w:val="20"/>
          <w:sz w:val="24"/>
          <w:szCs w:val="24"/>
          <w:u w:val="single"/>
        </w:rPr>
        <w:t xml:space="preserve">         </w:t>
      </w:r>
    </w:p>
    <w:p>
      <w:pPr>
        <w:rPr>
          <w:rFonts w:ascii="仿宋" w:hAnsi="仿宋" w:eastAsia="仿宋" w:cs="仿宋"/>
          <w:color w:val="auto"/>
          <w:spacing w:val="20"/>
          <w:sz w:val="24"/>
          <w:szCs w:val="24"/>
          <w:u w:val="single"/>
        </w:rPr>
      </w:pPr>
    </w:p>
    <w:p>
      <w:pPr>
        <w:snapToGrid w:val="0"/>
        <w:spacing w:before="156" w:beforeLines="50" w:after="50"/>
        <w:jc w:val="left"/>
        <w:rPr>
          <w:rFonts w:ascii="仿宋" w:hAnsi="仿宋" w:eastAsia="仿宋" w:cs="仿宋"/>
          <w:b/>
          <w:bCs/>
          <w:color w:val="auto"/>
          <w:sz w:val="30"/>
          <w:szCs w:val="30"/>
        </w:rPr>
      </w:pPr>
      <w:r>
        <w:rPr>
          <w:rFonts w:hint="eastAsia" w:ascii="仿宋" w:hAnsi="仿宋" w:eastAsia="仿宋" w:cs="仿宋"/>
          <w:b/>
          <w:bCs/>
          <w:color w:val="auto"/>
          <w:sz w:val="30"/>
          <w:szCs w:val="30"/>
        </w:rPr>
        <w:t>附件17：报价文件封面</w:t>
      </w:r>
    </w:p>
    <w:p>
      <w:pPr>
        <w:snapToGrid w:val="0"/>
        <w:spacing w:before="156" w:beforeLines="50" w:after="50"/>
        <w:jc w:val="right"/>
        <w:rPr>
          <w:rFonts w:ascii="仿宋" w:hAnsi="仿宋" w:eastAsia="仿宋" w:cs="仿宋"/>
          <w:b/>
          <w:color w:val="auto"/>
          <w:sz w:val="30"/>
          <w:szCs w:val="30"/>
        </w:rPr>
      </w:pPr>
    </w:p>
    <w:p>
      <w:pPr>
        <w:snapToGrid w:val="0"/>
        <w:spacing w:before="156" w:beforeLines="50" w:after="50"/>
        <w:jc w:val="right"/>
        <w:rPr>
          <w:rFonts w:ascii="仿宋" w:hAnsi="仿宋" w:eastAsia="仿宋" w:cs="仿宋"/>
          <w:bCs/>
          <w:color w:val="auto"/>
          <w:sz w:val="30"/>
          <w:szCs w:val="30"/>
        </w:rPr>
      </w:pPr>
    </w:p>
    <w:p>
      <w:pPr>
        <w:spacing w:line="400" w:lineRule="exact"/>
        <w:ind w:right="-110"/>
        <w:rPr>
          <w:rFonts w:ascii="仿宋" w:hAnsi="仿宋" w:eastAsia="仿宋" w:cs="仿宋"/>
          <w:color w:val="auto"/>
          <w:spacing w:val="40"/>
          <w:sz w:val="30"/>
          <w:szCs w:val="30"/>
        </w:rPr>
      </w:pPr>
      <w:r>
        <w:rPr>
          <w:rFonts w:hint="eastAsia" w:ascii="仿宋" w:hAnsi="仿宋" w:eastAsia="仿宋" w:cs="仿宋"/>
          <w:color w:val="auto"/>
          <w:spacing w:val="40"/>
          <w:sz w:val="30"/>
          <w:szCs w:val="30"/>
        </w:rPr>
        <w:t>项目名称：</w:t>
      </w:r>
      <w:r>
        <w:rPr>
          <w:rFonts w:hint="eastAsia" w:ascii="仿宋" w:hAnsi="仿宋" w:eastAsia="仿宋" w:cs="仿宋"/>
          <w:color w:val="auto"/>
          <w:spacing w:val="40"/>
          <w:sz w:val="30"/>
          <w:szCs w:val="30"/>
          <w:u w:val="single"/>
        </w:rPr>
        <w:t xml:space="preserve">           </w:t>
      </w:r>
    </w:p>
    <w:p>
      <w:pPr>
        <w:spacing w:before="312" w:beforeLines="100" w:line="400" w:lineRule="exact"/>
        <w:rPr>
          <w:rFonts w:ascii="仿宋" w:hAnsi="仿宋" w:eastAsia="仿宋" w:cs="仿宋"/>
          <w:color w:val="auto"/>
          <w:sz w:val="30"/>
          <w:szCs w:val="30"/>
          <w:u w:val="single"/>
        </w:rPr>
      </w:pPr>
      <w:r>
        <w:rPr>
          <w:rFonts w:hint="eastAsia" w:ascii="仿宋" w:hAnsi="仿宋" w:eastAsia="仿宋" w:cs="仿宋"/>
          <w:color w:val="auto"/>
          <w:sz w:val="30"/>
          <w:szCs w:val="30"/>
        </w:rPr>
        <w:t>项目编号：</w:t>
      </w:r>
      <w:r>
        <w:rPr>
          <w:rFonts w:hint="eastAsia" w:ascii="仿宋" w:hAnsi="仿宋" w:eastAsia="仿宋" w:cs="仿宋"/>
          <w:color w:val="auto"/>
          <w:sz w:val="30"/>
          <w:szCs w:val="30"/>
          <w:u w:val="single"/>
        </w:rPr>
        <w:t xml:space="preserve">                   </w:t>
      </w:r>
    </w:p>
    <w:p>
      <w:pPr>
        <w:spacing w:before="312" w:beforeLines="100" w:line="400" w:lineRule="exact"/>
        <w:rPr>
          <w:rFonts w:ascii="仿宋" w:hAnsi="仿宋" w:eastAsia="仿宋" w:cs="仿宋"/>
          <w:color w:val="auto"/>
          <w:sz w:val="30"/>
          <w:szCs w:val="30"/>
        </w:rPr>
      </w:pPr>
      <w:r>
        <w:rPr>
          <w:rFonts w:hint="eastAsia" w:ascii="仿宋" w:hAnsi="仿宋" w:eastAsia="仿宋" w:cs="仿宋"/>
          <w:color w:val="auto"/>
          <w:sz w:val="30"/>
          <w:szCs w:val="30"/>
        </w:rPr>
        <w:t>标项：</w:t>
      </w:r>
      <w:r>
        <w:rPr>
          <w:rFonts w:hint="eastAsia" w:ascii="仿宋" w:hAnsi="仿宋" w:eastAsia="仿宋" w:cs="仿宋"/>
          <w:color w:val="auto"/>
          <w:sz w:val="30"/>
          <w:szCs w:val="30"/>
          <w:u w:val="single"/>
        </w:rPr>
        <w:t xml:space="preserve">                    </w:t>
      </w:r>
    </w:p>
    <w:p>
      <w:pPr>
        <w:spacing w:line="1200" w:lineRule="exact"/>
        <w:ind w:right="6"/>
        <w:jc w:val="center"/>
        <w:rPr>
          <w:rFonts w:ascii="仿宋" w:hAnsi="仿宋" w:eastAsia="仿宋" w:cs="仿宋"/>
          <w:color w:val="auto"/>
          <w:sz w:val="72"/>
          <w:szCs w:val="72"/>
        </w:rPr>
      </w:pPr>
    </w:p>
    <w:p>
      <w:pPr>
        <w:spacing w:line="1200" w:lineRule="exact"/>
        <w:ind w:right="6"/>
        <w:jc w:val="center"/>
        <w:rPr>
          <w:rFonts w:ascii="仿宋" w:hAnsi="仿宋" w:eastAsia="仿宋" w:cs="仿宋"/>
          <w:color w:val="auto"/>
          <w:sz w:val="72"/>
          <w:szCs w:val="72"/>
        </w:rPr>
      </w:pPr>
      <w:r>
        <w:rPr>
          <w:rFonts w:hint="eastAsia" w:ascii="仿宋" w:hAnsi="仿宋" w:eastAsia="仿宋" w:cs="仿宋"/>
          <w:color w:val="auto"/>
          <w:sz w:val="72"/>
          <w:szCs w:val="72"/>
        </w:rPr>
        <w:t>报</w:t>
      </w:r>
    </w:p>
    <w:p>
      <w:pPr>
        <w:spacing w:line="1200" w:lineRule="exact"/>
        <w:ind w:right="6"/>
        <w:jc w:val="center"/>
        <w:rPr>
          <w:rFonts w:ascii="仿宋" w:hAnsi="仿宋" w:eastAsia="仿宋" w:cs="仿宋"/>
          <w:color w:val="auto"/>
          <w:sz w:val="72"/>
          <w:szCs w:val="72"/>
        </w:rPr>
      </w:pPr>
      <w:r>
        <w:rPr>
          <w:rFonts w:hint="eastAsia" w:ascii="仿宋" w:hAnsi="仿宋" w:eastAsia="仿宋" w:cs="仿宋"/>
          <w:color w:val="auto"/>
          <w:sz w:val="72"/>
          <w:szCs w:val="72"/>
        </w:rPr>
        <w:t>价</w:t>
      </w:r>
    </w:p>
    <w:p>
      <w:pPr>
        <w:spacing w:line="1200" w:lineRule="exact"/>
        <w:ind w:right="6"/>
        <w:jc w:val="center"/>
        <w:rPr>
          <w:rFonts w:ascii="仿宋" w:hAnsi="仿宋" w:eastAsia="仿宋" w:cs="仿宋"/>
          <w:color w:val="auto"/>
          <w:sz w:val="72"/>
          <w:szCs w:val="72"/>
        </w:rPr>
      </w:pPr>
      <w:r>
        <w:rPr>
          <w:rFonts w:hint="eastAsia" w:ascii="仿宋" w:hAnsi="仿宋" w:eastAsia="仿宋" w:cs="仿宋"/>
          <w:color w:val="auto"/>
          <w:sz w:val="72"/>
          <w:szCs w:val="72"/>
        </w:rPr>
        <w:t>文</w:t>
      </w:r>
    </w:p>
    <w:p>
      <w:pPr>
        <w:spacing w:line="1200" w:lineRule="exact"/>
        <w:ind w:right="6"/>
        <w:jc w:val="center"/>
        <w:rPr>
          <w:rFonts w:ascii="仿宋" w:hAnsi="仿宋" w:eastAsia="仿宋" w:cs="仿宋"/>
          <w:color w:val="auto"/>
          <w:sz w:val="72"/>
          <w:szCs w:val="72"/>
        </w:rPr>
      </w:pPr>
      <w:r>
        <w:rPr>
          <w:rFonts w:hint="eastAsia" w:ascii="仿宋" w:hAnsi="仿宋" w:eastAsia="仿宋" w:cs="仿宋"/>
          <w:color w:val="auto"/>
          <w:sz w:val="72"/>
          <w:szCs w:val="72"/>
        </w:rPr>
        <w:t>件</w:t>
      </w:r>
    </w:p>
    <w:p>
      <w:pPr>
        <w:spacing w:line="1200" w:lineRule="exact"/>
        <w:ind w:right="6"/>
        <w:jc w:val="center"/>
        <w:rPr>
          <w:rFonts w:ascii="仿宋" w:hAnsi="仿宋" w:eastAsia="仿宋" w:cs="仿宋"/>
          <w:color w:val="auto"/>
          <w:sz w:val="72"/>
          <w:szCs w:val="72"/>
        </w:rPr>
      </w:pPr>
    </w:p>
    <w:p>
      <w:pPr>
        <w:spacing w:line="1200" w:lineRule="exact"/>
        <w:ind w:right="6"/>
        <w:jc w:val="center"/>
        <w:rPr>
          <w:rFonts w:ascii="仿宋" w:hAnsi="仿宋" w:eastAsia="仿宋" w:cs="仿宋"/>
          <w:color w:val="auto"/>
          <w:sz w:val="72"/>
          <w:szCs w:val="72"/>
        </w:rPr>
      </w:pPr>
    </w:p>
    <w:p>
      <w:pPr>
        <w:spacing w:line="360" w:lineRule="auto"/>
        <w:ind w:right="-110"/>
        <w:rPr>
          <w:rFonts w:ascii="仿宋" w:hAnsi="仿宋" w:eastAsia="仿宋" w:cs="仿宋"/>
          <w:color w:val="auto"/>
          <w:spacing w:val="40"/>
          <w:sz w:val="30"/>
          <w:szCs w:val="30"/>
        </w:rPr>
      </w:pPr>
      <w:r>
        <w:rPr>
          <w:rFonts w:hint="eastAsia" w:ascii="仿宋" w:hAnsi="仿宋" w:eastAsia="仿宋" w:cs="仿宋"/>
          <w:color w:val="auto"/>
          <w:spacing w:val="40"/>
          <w:sz w:val="30"/>
          <w:szCs w:val="30"/>
        </w:rPr>
        <w:t>投标人名称（盖章）：</w:t>
      </w:r>
    </w:p>
    <w:p>
      <w:pPr>
        <w:spacing w:line="360" w:lineRule="auto"/>
        <w:ind w:right="-110"/>
        <w:rPr>
          <w:rFonts w:ascii="仿宋" w:hAnsi="仿宋" w:eastAsia="仿宋" w:cs="仿宋"/>
          <w:color w:val="auto"/>
          <w:spacing w:val="40"/>
          <w:sz w:val="30"/>
          <w:szCs w:val="30"/>
        </w:rPr>
      </w:pPr>
      <w:r>
        <w:rPr>
          <w:rFonts w:hint="eastAsia" w:ascii="仿宋" w:hAnsi="仿宋" w:eastAsia="仿宋" w:cs="仿宋"/>
          <w:color w:val="auto"/>
          <w:spacing w:val="40"/>
          <w:sz w:val="30"/>
          <w:szCs w:val="30"/>
        </w:rPr>
        <w:t>地    址：</w:t>
      </w:r>
    </w:p>
    <w:p>
      <w:pPr>
        <w:spacing w:line="360" w:lineRule="auto"/>
        <w:ind w:right="-110"/>
        <w:rPr>
          <w:rFonts w:ascii="仿宋" w:hAnsi="仿宋" w:eastAsia="仿宋" w:cs="仿宋"/>
          <w:color w:val="auto"/>
          <w:spacing w:val="40"/>
          <w:sz w:val="30"/>
          <w:szCs w:val="30"/>
        </w:rPr>
      </w:pPr>
      <w:r>
        <w:rPr>
          <w:rFonts w:hint="eastAsia" w:ascii="仿宋" w:hAnsi="仿宋" w:eastAsia="仿宋" w:cs="仿宋"/>
          <w:color w:val="auto"/>
          <w:spacing w:val="40"/>
          <w:sz w:val="30"/>
          <w:szCs w:val="30"/>
        </w:rPr>
        <w:t>日    期：</w:t>
      </w:r>
    </w:p>
    <w:p>
      <w:pPr>
        <w:rPr>
          <w:rFonts w:ascii="仿宋" w:hAnsi="仿宋" w:eastAsia="仿宋" w:cs="仿宋"/>
          <w:color w:val="auto"/>
          <w:sz w:val="24"/>
        </w:rPr>
      </w:pPr>
    </w:p>
    <w:p>
      <w:pPr>
        <w:snapToGrid w:val="0"/>
        <w:spacing w:before="156" w:beforeLines="50" w:after="50"/>
        <w:jc w:val="left"/>
        <w:rPr>
          <w:rFonts w:ascii="仿宋" w:hAnsi="仿宋" w:eastAsia="仿宋" w:cs="仿宋"/>
          <w:b/>
          <w:bCs/>
          <w:color w:val="auto"/>
          <w:sz w:val="30"/>
          <w:szCs w:val="30"/>
        </w:rPr>
      </w:pPr>
      <w:r>
        <w:rPr>
          <w:rFonts w:hint="eastAsia" w:ascii="仿宋" w:hAnsi="仿宋" w:eastAsia="仿宋" w:cs="仿宋"/>
          <w:b/>
          <w:bCs/>
          <w:color w:val="auto"/>
          <w:sz w:val="30"/>
          <w:szCs w:val="30"/>
        </w:rPr>
        <w:t>附件18：报价文件目录</w:t>
      </w:r>
    </w:p>
    <w:p>
      <w:pPr>
        <w:snapToGrid w:val="0"/>
        <w:spacing w:before="156" w:beforeLines="50" w:after="50"/>
        <w:jc w:val="left"/>
        <w:rPr>
          <w:rFonts w:ascii="仿宋" w:hAnsi="仿宋" w:eastAsia="仿宋" w:cs="仿宋"/>
          <w:color w:val="auto"/>
          <w:sz w:val="30"/>
          <w:szCs w:val="30"/>
        </w:rPr>
      </w:pPr>
    </w:p>
    <w:p>
      <w:pPr>
        <w:pStyle w:val="38"/>
        <w:spacing w:line="360" w:lineRule="auto"/>
        <w:ind w:firstLine="0" w:firstLineChars="0"/>
        <w:jc w:val="center"/>
        <w:rPr>
          <w:rFonts w:ascii="仿宋" w:hAnsi="仿宋" w:eastAsia="仿宋" w:cs="仿宋"/>
          <w:color w:val="auto"/>
        </w:rPr>
      </w:pPr>
      <w:bookmarkStart w:id="127" w:name="_Toc64369825"/>
      <w:r>
        <w:rPr>
          <w:rFonts w:hint="eastAsia" w:ascii="仿宋" w:hAnsi="仿宋" w:eastAsia="仿宋" w:cs="仿宋"/>
          <w:color w:val="auto"/>
        </w:rPr>
        <w:t>目 录</w:t>
      </w:r>
      <w:bookmarkEnd w:id="127"/>
    </w:p>
    <w:p>
      <w:pPr>
        <w:pStyle w:val="38"/>
        <w:spacing w:line="360" w:lineRule="auto"/>
        <w:ind w:firstLine="0" w:firstLineChars="0"/>
        <w:jc w:val="left"/>
        <w:rPr>
          <w:rFonts w:ascii="仿宋" w:hAnsi="仿宋" w:eastAsia="仿宋" w:cs="仿宋"/>
          <w:color w:val="auto"/>
        </w:rPr>
      </w:pPr>
      <w:r>
        <w:rPr>
          <w:rFonts w:hint="eastAsia" w:ascii="仿宋" w:hAnsi="仿宋" w:eastAsia="仿宋" w:cs="仿宋"/>
          <w:color w:val="auto"/>
        </w:rPr>
        <w:t>1.开标一览表 …………………………………………………………………（页码）</w:t>
      </w:r>
    </w:p>
    <w:p>
      <w:pPr>
        <w:pStyle w:val="38"/>
        <w:spacing w:line="360" w:lineRule="auto"/>
        <w:ind w:firstLine="0" w:firstLineChars="0"/>
        <w:jc w:val="left"/>
        <w:rPr>
          <w:rFonts w:ascii="仿宋" w:hAnsi="仿宋" w:eastAsia="仿宋" w:cs="仿宋"/>
          <w:color w:val="auto"/>
        </w:rPr>
      </w:pPr>
      <w:r>
        <w:rPr>
          <w:rFonts w:hint="eastAsia" w:ascii="仿宋" w:hAnsi="仿宋" w:eastAsia="仿宋" w:cs="仿宋"/>
          <w:color w:val="auto"/>
        </w:rPr>
        <w:t>2.关于报价的其他说明（如有，自拟）……………………………………（页码）</w:t>
      </w:r>
    </w:p>
    <w:p>
      <w:pPr>
        <w:snapToGrid w:val="0"/>
        <w:spacing w:before="50" w:after="50"/>
        <w:jc w:val="left"/>
        <w:rPr>
          <w:rFonts w:ascii="仿宋" w:hAnsi="仿宋" w:eastAsia="仿宋" w:cs="仿宋"/>
          <w:b/>
          <w:color w:val="auto"/>
          <w:sz w:val="36"/>
          <w:szCs w:val="36"/>
        </w:rPr>
      </w:pPr>
    </w:p>
    <w:p>
      <w:pPr>
        <w:snapToGrid w:val="0"/>
        <w:spacing w:before="50" w:after="50"/>
        <w:jc w:val="left"/>
        <w:rPr>
          <w:rFonts w:ascii="仿宋" w:hAnsi="仿宋" w:eastAsia="仿宋" w:cs="仿宋"/>
          <w:b/>
          <w:color w:val="auto"/>
          <w:sz w:val="36"/>
          <w:szCs w:val="36"/>
        </w:rPr>
      </w:pPr>
    </w:p>
    <w:p>
      <w:pPr>
        <w:snapToGrid w:val="0"/>
        <w:spacing w:before="50" w:after="50"/>
        <w:jc w:val="left"/>
        <w:rPr>
          <w:rFonts w:ascii="仿宋" w:hAnsi="仿宋" w:eastAsia="仿宋" w:cs="仿宋"/>
          <w:b/>
          <w:color w:val="auto"/>
          <w:sz w:val="36"/>
          <w:szCs w:val="36"/>
        </w:rPr>
      </w:pPr>
    </w:p>
    <w:p>
      <w:pPr>
        <w:snapToGrid w:val="0"/>
        <w:spacing w:before="50" w:after="50"/>
        <w:jc w:val="left"/>
        <w:rPr>
          <w:rFonts w:ascii="仿宋" w:hAnsi="仿宋" w:eastAsia="仿宋" w:cs="仿宋"/>
          <w:b/>
          <w:color w:val="auto"/>
          <w:sz w:val="36"/>
          <w:szCs w:val="36"/>
        </w:rPr>
      </w:pPr>
    </w:p>
    <w:p>
      <w:pPr>
        <w:snapToGrid w:val="0"/>
        <w:spacing w:before="50" w:after="50"/>
        <w:jc w:val="left"/>
        <w:rPr>
          <w:rFonts w:ascii="仿宋" w:hAnsi="仿宋" w:eastAsia="仿宋" w:cs="仿宋"/>
          <w:b/>
          <w:color w:val="auto"/>
          <w:sz w:val="36"/>
          <w:szCs w:val="36"/>
        </w:rPr>
      </w:pPr>
    </w:p>
    <w:p>
      <w:pPr>
        <w:snapToGrid w:val="0"/>
        <w:spacing w:before="50" w:after="50"/>
        <w:jc w:val="left"/>
        <w:rPr>
          <w:rFonts w:ascii="仿宋" w:hAnsi="仿宋" w:eastAsia="仿宋" w:cs="仿宋"/>
          <w:b/>
          <w:color w:val="auto"/>
          <w:sz w:val="36"/>
          <w:szCs w:val="36"/>
        </w:rPr>
      </w:pPr>
    </w:p>
    <w:p>
      <w:pPr>
        <w:snapToGrid w:val="0"/>
        <w:spacing w:before="50" w:after="50"/>
        <w:jc w:val="left"/>
        <w:rPr>
          <w:rFonts w:ascii="仿宋" w:hAnsi="仿宋" w:eastAsia="仿宋" w:cs="仿宋"/>
          <w:b/>
          <w:color w:val="auto"/>
          <w:sz w:val="36"/>
          <w:szCs w:val="36"/>
        </w:rPr>
      </w:pPr>
    </w:p>
    <w:p>
      <w:pPr>
        <w:snapToGrid w:val="0"/>
        <w:spacing w:before="50" w:after="50"/>
        <w:jc w:val="left"/>
        <w:rPr>
          <w:rFonts w:ascii="仿宋" w:hAnsi="仿宋" w:eastAsia="仿宋" w:cs="仿宋"/>
          <w:b/>
          <w:color w:val="auto"/>
          <w:sz w:val="36"/>
          <w:szCs w:val="36"/>
        </w:rPr>
      </w:pPr>
    </w:p>
    <w:p>
      <w:pPr>
        <w:snapToGrid w:val="0"/>
        <w:spacing w:before="50" w:after="50"/>
        <w:jc w:val="left"/>
        <w:rPr>
          <w:rFonts w:ascii="仿宋" w:hAnsi="仿宋" w:eastAsia="仿宋" w:cs="仿宋"/>
          <w:b/>
          <w:color w:val="auto"/>
          <w:sz w:val="36"/>
          <w:szCs w:val="36"/>
        </w:rPr>
      </w:pPr>
    </w:p>
    <w:p>
      <w:pPr>
        <w:snapToGrid w:val="0"/>
        <w:spacing w:before="50" w:after="50"/>
        <w:jc w:val="left"/>
        <w:rPr>
          <w:rFonts w:ascii="仿宋" w:hAnsi="仿宋" w:eastAsia="仿宋" w:cs="仿宋"/>
          <w:b/>
          <w:color w:val="auto"/>
          <w:sz w:val="36"/>
          <w:szCs w:val="36"/>
        </w:rPr>
      </w:pPr>
    </w:p>
    <w:p>
      <w:pPr>
        <w:rPr>
          <w:rFonts w:ascii="仿宋" w:hAnsi="仿宋" w:eastAsia="仿宋" w:cs="仿宋"/>
          <w:b/>
          <w:color w:val="auto"/>
          <w:sz w:val="36"/>
          <w:szCs w:val="36"/>
        </w:rPr>
      </w:pPr>
      <w:r>
        <w:rPr>
          <w:rFonts w:hint="eastAsia" w:ascii="仿宋" w:hAnsi="仿宋" w:eastAsia="仿宋" w:cs="仿宋"/>
          <w:b/>
          <w:color w:val="auto"/>
          <w:sz w:val="36"/>
          <w:szCs w:val="36"/>
        </w:rPr>
        <w:br w:type="page"/>
      </w:r>
    </w:p>
    <w:p>
      <w:pPr>
        <w:snapToGrid w:val="0"/>
        <w:spacing w:before="50" w:after="50"/>
        <w:jc w:val="left"/>
        <w:rPr>
          <w:rFonts w:ascii="仿宋" w:hAnsi="仿宋" w:eastAsia="仿宋" w:cs="仿宋"/>
          <w:b/>
          <w:color w:val="auto"/>
          <w:sz w:val="36"/>
          <w:szCs w:val="36"/>
        </w:rPr>
        <w:sectPr>
          <w:footerReference r:id="rId5" w:type="default"/>
          <w:pgSz w:w="11907" w:h="16840"/>
          <w:pgMar w:top="1440" w:right="1463" w:bottom="1440" w:left="1803" w:header="851" w:footer="992" w:gutter="0"/>
          <w:cols w:space="720" w:num="1"/>
          <w:docGrid w:type="lines" w:linePitch="312" w:charSpace="0"/>
        </w:sectPr>
      </w:pPr>
    </w:p>
    <w:p>
      <w:pPr>
        <w:snapToGrid w:val="0"/>
        <w:spacing w:before="50" w:after="50"/>
        <w:jc w:val="left"/>
        <w:rPr>
          <w:rFonts w:ascii="仿宋" w:hAnsi="仿宋" w:eastAsia="仿宋" w:cs="仿宋"/>
          <w:b/>
          <w:bCs/>
          <w:color w:val="auto"/>
          <w:sz w:val="30"/>
          <w:szCs w:val="30"/>
        </w:rPr>
      </w:pPr>
      <w:r>
        <w:rPr>
          <w:rFonts w:hint="eastAsia" w:ascii="仿宋" w:hAnsi="仿宋" w:eastAsia="仿宋" w:cs="仿宋"/>
          <w:b/>
          <w:bCs/>
          <w:color w:val="auto"/>
          <w:sz w:val="30"/>
          <w:szCs w:val="30"/>
        </w:rPr>
        <w:t>附件19：</w:t>
      </w:r>
    </w:p>
    <w:p>
      <w:pPr>
        <w:snapToGrid w:val="0"/>
        <w:spacing w:before="50" w:after="50"/>
        <w:jc w:val="center"/>
        <w:rPr>
          <w:rFonts w:ascii="仿宋" w:hAnsi="仿宋" w:eastAsia="仿宋" w:cs="仿宋"/>
          <w:b/>
          <w:color w:val="auto"/>
          <w:sz w:val="36"/>
          <w:szCs w:val="36"/>
        </w:rPr>
      </w:pPr>
      <w:r>
        <w:rPr>
          <w:rFonts w:hint="eastAsia" w:ascii="仿宋" w:hAnsi="仿宋" w:eastAsia="仿宋" w:cs="仿宋"/>
          <w:b/>
          <w:color w:val="auto"/>
          <w:sz w:val="36"/>
          <w:szCs w:val="36"/>
        </w:rPr>
        <w:t>开标一览表</w:t>
      </w:r>
    </w:p>
    <w:p>
      <w:pPr>
        <w:spacing w:line="400" w:lineRule="exact"/>
        <w:rPr>
          <w:rFonts w:ascii="仿宋" w:hAnsi="仿宋" w:eastAsia="仿宋" w:cs="仿宋"/>
          <w:color w:val="auto"/>
          <w:sz w:val="24"/>
        </w:rPr>
      </w:pPr>
      <w:r>
        <w:rPr>
          <w:rFonts w:hint="eastAsia" w:ascii="仿宋" w:hAnsi="仿宋" w:eastAsia="仿宋" w:cs="仿宋"/>
          <w:color w:val="auto"/>
          <w:sz w:val="24"/>
        </w:rPr>
        <w:t>投标人名称：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投标人地址：</w:t>
      </w:r>
      <w:r>
        <w:rPr>
          <w:rFonts w:hint="eastAsia" w:ascii="仿宋" w:hAnsi="仿宋" w:eastAsia="仿宋" w:cs="仿宋"/>
          <w:color w:val="auto"/>
          <w:sz w:val="24"/>
          <w:u w:val="single"/>
        </w:rPr>
        <w:t xml:space="preserve">                                    </w:t>
      </w:r>
    </w:p>
    <w:p>
      <w:pPr>
        <w:snapToGrid w:val="0"/>
        <w:spacing w:line="400" w:lineRule="exact"/>
        <w:rPr>
          <w:rFonts w:ascii="仿宋" w:hAnsi="仿宋" w:eastAsia="仿宋" w:cs="仿宋"/>
          <w:color w:val="auto"/>
          <w:sz w:val="24"/>
          <w:u w:val="single"/>
        </w:rPr>
      </w:pPr>
      <w:r>
        <w:rPr>
          <w:rFonts w:hint="eastAsia" w:ascii="仿宋" w:hAnsi="仿宋" w:eastAsia="仿宋" w:cs="仿宋"/>
          <w:color w:val="auto"/>
          <w:sz w:val="24"/>
        </w:rPr>
        <w:t>项目编号：</w:t>
      </w:r>
      <w:r>
        <w:rPr>
          <w:rFonts w:hint="eastAsia" w:ascii="仿宋" w:hAnsi="仿宋" w:eastAsia="仿宋" w:cs="仿宋"/>
          <w:color w:val="auto"/>
          <w:sz w:val="24"/>
          <w:u w:val="single"/>
        </w:rPr>
        <w:t xml:space="preserve">                                      </w:t>
      </w:r>
      <w:r>
        <w:rPr>
          <w:rFonts w:hint="eastAsia" w:ascii="仿宋" w:hAnsi="仿宋" w:eastAsia="仿宋" w:cs="仿宋"/>
          <w:color w:val="auto"/>
          <w:sz w:val="24"/>
        </w:rPr>
        <w:t>标项：</w:t>
      </w:r>
      <w:r>
        <w:rPr>
          <w:rFonts w:hint="eastAsia" w:ascii="仿宋" w:hAnsi="仿宋" w:eastAsia="仿宋" w:cs="仿宋"/>
          <w:color w:val="auto"/>
          <w:sz w:val="24"/>
          <w:u w:val="single"/>
        </w:rPr>
        <w:t xml:space="preserve">                                      </w:t>
      </w:r>
    </w:p>
    <w:tbl>
      <w:tblPr>
        <w:tblStyle w:val="26"/>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737"/>
        <w:gridCol w:w="2447"/>
        <w:gridCol w:w="2655"/>
        <w:gridCol w:w="1980"/>
        <w:gridCol w:w="2265"/>
        <w:gridCol w:w="2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b/>
                <w:color w:val="auto"/>
                <w:sz w:val="24"/>
                <w:szCs w:val="24"/>
              </w:rPr>
            </w:pPr>
            <w:r>
              <w:rPr>
                <w:rFonts w:hint="eastAsia" w:ascii="仿宋" w:hAnsi="仿宋" w:eastAsia="仿宋" w:cs="仿宋"/>
                <w:b/>
                <w:color w:val="auto"/>
                <w:sz w:val="24"/>
                <w:szCs w:val="24"/>
              </w:rPr>
              <w:t>序号</w:t>
            </w:r>
          </w:p>
        </w:tc>
        <w:tc>
          <w:tcPr>
            <w:tcW w:w="4184"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b/>
                <w:color w:val="auto"/>
                <w:sz w:val="24"/>
                <w:szCs w:val="24"/>
              </w:rPr>
            </w:pPr>
            <w:r>
              <w:rPr>
                <w:rFonts w:hint="eastAsia" w:ascii="仿宋" w:hAnsi="仿宋" w:eastAsia="仿宋" w:cs="仿宋"/>
                <w:b/>
                <w:color w:val="auto"/>
                <w:sz w:val="24"/>
                <w:szCs w:val="24"/>
              </w:rPr>
              <w:t>服务项目或其他报价项</w:t>
            </w:r>
          </w:p>
        </w:tc>
        <w:tc>
          <w:tcPr>
            <w:tcW w:w="265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b/>
                <w:color w:val="auto"/>
                <w:sz w:val="24"/>
                <w:szCs w:val="24"/>
              </w:rPr>
            </w:pPr>
            <w:r>
              <w:rPr>
                <w:rFonts w:hint="eastAsia" w:ascii="仿宋" w:hAnsi="仿宋" w:eastAsia="仿宋" w:cs="仿宋"/>
                <w:b/>
                <w:color w:val="auto"/>
                <w:sz w:val="24"/>
                <w:szCs w:val="24"/>
              </w:rPr>
              <w:t>单价</w:t>
            </w:r>
          </w:p>
          <w:p>
            <w:pPr>
              <w:snapToGrid w:val="0"/>
              <w:spacing w:before="50" w:after="50"/>
              <w:jc w:val="center"/>
              <w:rPr>
                <w:rFonts w:ascii="仿宋" w:hAnsi="仿宋" w:eastAsia="仿宋" w:cs="仿宋"/>
                <w:b/>
                <w:color w:val="auto"/>
                <w:sz w:val="24"/>
                <w:szCs w:val="24"/>
              </w:rPr>
            </w:pPr>
            <w:r>
              <w:rPr>
                <w:rFonts w:hint="eastAsia" w:ascii="仿宋" w:hAnsi="仿宋" w:eastAsia="仿宋" w:cs="仿宋"/>
                <w:b/>
                <w:color w:val="auto"/>
                <w:sz w:val="24"/>
                <w:szCs w:val="24"/>
              </w:rPr>
              <w:t>（人民币元）</w:t>
            </w:r>
          </w:p>
        </w:tc>
        <w:tc>
          <w:tcPr>
            <w:tcW w:w="19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b/>
                <w:color w:val="auto"/>
                <w:sz w:val="24"/>
                <w:szCs w:val="24"/>
              </w:rPr>
            </w:pPr>
            <w:r>
              <w:rPr>
                <w:rFonts w:hint="eastAsia" w:ascii="仿宋" w:hAnsi="仿宋" w:eastAsia="仿宋" w:cs="仿宋"/>
                <w:b/>
                <w:color w:val="auto"/>
                <w:sz w:val="24"/>
                <w:szCs w:val="24"/>
              </w:rPr>
              <w:t>数量</w:t>
            </w:r>
          </w:p>
        </w:tc>
        <w:tc>
          <w:tcPr>
            <w:tcW w:w="226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b/>
                <w:color w:val="auto"/>
                <w:sz w:val="24"/>
                <w:szCs w:val="24"/>
              </w:rPr>
            </w:pPr>
            <w:r>
              <w:rPr>
                <w:rFonts w:hint="eastAsia" w:ascii="仿宋" w:hAnsi="仿宋" w:eastAsia="仿宋" w:cs="仿宋"/>
                <w:b/>
                <w:color w:val="auto"/>
                <w:sz w:val="24"/>
                <w:szCs w:val="24"/>
              </w:rPr>
              <w:t>金额</w:t>
            </w:r>
          </w:p>
          <w:p>
            <w:pPr>
              <w:snapToGrid w:val="0"/>
              <w:spacing w:before="50" w:after="50"/>
              <w:jc w:val="center"/>
              <w:rPr>
                <w:rFonts w:ascii="仿宋" w:hAnsi="仿宋" w:eastAsia="仿宋" w:cs="仿宋"/>
                <w:b/>
                <w:color w:val="auto"/>
                <w:sz w:val="24"/>
                <w:szCs w:val="24"/>
              </w:rPr>
            </w:pPr>
            <w:r>
              <w:rPr>
                <w:rFonts w:hint="eastAsia" w:ascii="仿宋" w:hAnsi="仿宋" w:eastAsia="仿宋" w:cs="仿宋"/>
                <w:b/>
                <w:color w:val="auto"/>
                <w:sz w:val="24"/>
                <w:szCs w:val="24"/>
              </w:rPr>
              <w:t>（人民币元）</w:t>
            </w:r>
          </w:p>
        </w:tc>
        <w:tc>
          <w:tcPr>
            <w:tcW w:w="229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b/>
                <w:color w:val="auto"/>
                <w:sz w:val="24"/>
                <w:szCs w:val="24"/>
              </w:rPr>
            </w:pPr>
            <w:r>
              <w:rPr>
                <w:rFonts w:hint="eastAsia" w:ascii="仿宋" w:hAnsi="仿宋" w:eastAsia="仿宋" w:cs="仿宋"/>
                <w:b/>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b/>
                <w:color w:val="auto"/>
                <w:sz w:val="24"/>
                <w:szCs w:val="24"/>
              </w:rPr>
            </w:pPr>
            <w:r>
              <w:rPr>
                <w:rFonts w:hint="eastAsia" w:ascii="仿宋" w:hAnsi="仿宋" w:eastAsia="仿宋" w:cs="仿宋"/>
                <w:b/>
                <w:color w:val="auto"/>
                <w:sz w:val="24"/>
                <w:szCs w:val="24"/>
              </w:rPr>
              <w:t>1</w:t>
            </w:r>
          </w:p>
        </w:tc>
        <w:tc>
          <w:tcPr>
            <w:tcW w:w="4184" w:type="dxa"/>
            <w:gridSpan w:val="2"/>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hAnsi="仿宋" w:eastAsia="仿宋" w:cs="仿宋"/>
                <w:b/>
                <w:color w:val="auto"/>
                <w:sz w:val="24"/>
                <w:szCs w:val="24"/>
              </w:rPr>
            </w:pPr>
          </w:p>
        </w:tc>
        <w:tc>
          <w:tcPr>
            <w:tcW w:w="2655"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hAnsi="仿宋" w:eastAsia="仿宋" w:cs="仿宋"/>
                <w:b/>
                <w:color w:val="auto"/>
                <w:sz w:val="24"/>
                <w:szCs w:val="24"/>
              </w:rPr>
            </w:pPr>
          </w:p>
        </w:tc>
        <w:tc>
          <w:tcPr>
            <w:tcW w:w="1980"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hAnsi="仿宋" w:eastAsia="仿宋" w:cs="仿宋"/>
                <w:b/>
                <w:color w:val="auto"/>
                <w:sz w:val="24"/>
                <w:szCs w:val="24"/>
              </w:rPr>
            </w:pPr>
          </w:p>
        </w:tc>
        <w:tc>
          <w:tcPr>
            <w:tcW w:w="2265"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hAnsi="仿宋" w:eastAsia="仿宋" w:cs="仿宋"/>
                <w:b/>
                <w:color w:val="auto"/>
                <w:sz w:val="24"/>
                <w:szCs w:val="24"/>
              </w:rPr>
            </w:pPr>
          </w:p>
        </w:tc>
        <w:tc>
          <w:tcPr>
            <w:tcW w:w="2298"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hAnsi="仿宋" w:eastAsia="仿宋" w:cs="仿宋"/>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b/>
                <w:color w:val="auto"/>
                <w:sz w:val="24"/>
                <w:szCs w:val="24"/>
              </w:rPr>
            </w:pPr>
            <w:r>
              <w:rPr>
                <w:rFonts w:hint="eastAsia" w:ascii="仿宋" w:hAnsi="仿宋" w:eastAsia="仿宋" w:cs="仿宋"/>
                <w:b/>
                <w:color w:val="auto"/>
                <w:sz w:val="24"/>
                <w:szCs w:val="24"/>
              </w:rPr>
              <w:t>2</w:t>
            </w:r>
          </w:p>
        </w:tc>
        <w:tc>
          <w:tcPr>
            <w:tcW w:w="4184" w:type="dxa"/>
            <w:gridSpan w:val="2"/>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hAnsi="仿宋" w:eastAsia="仿宋" w:cs="仿宋"/>
                <w:b/>
                <w:color w:val="auto"/>
                <w:sz w:val="24"/>
                <w:szCs w:val="24"/>
              </w:rPr>
            </w:pPr>
          </w:p>
        </w:tc>
        <w:tc>
          <w:tcPr>
            <w:tcW w:w="2655"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hAnsi="仿宋" w:eastAsia="仿宋" w:cs="仿宋"/>
                <w:b/>
                <w:color w:val="auto"/>
                <w:sz w:val="24"/>
                <w:szCs w:val="24"/>
              </w:rPr>
            </w:pPr>
          </w:p>
        </w:tc>
        <w:tc>
          <w:tcPr>
            <w:tcW w:w="1980"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hAnsi="仿宋" w:eastAsia="仿宋" w:cs="仿宋"/>
                <w:b/>
                <w:color w:val="auto"/>
                <w:sz w:val="24"/>
                <w:szCs w:val="24"/>
              </w:rPr>
            </w:pPr>
          </w:p>
        </w:tc>
        <w:tc>
          <w:tcPr>
            <w:tcW w:w="2265"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hAnsi="仿宋" w:eastAsia="仿宋" w:cs="仿宋"/>
                <w:b/>
                <w:color w:val="auto"/>
                <w:sz w:val="24"/>
                <w:szCs w:val="24"/>
              </w:rPr>
            </w:pPr>
          </w:p>
        </w:tc>
        <w:tc>
          <w:tcPr>
            <w:tcW w:w="2298"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hAnsi="仿宋" w:eastAsia="仿宋" w:cs="仿宋"/>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b/>
                <w:color w:val="auto"/>
                <w:sz w:val="24"/>
                <w:szCs w:val="24"/>
              </w:rPr>
            </w:pPr>
            <w:r>
              <w:rPr>
                <w:rFonts w:hint="eastAsia" w:ascii="仿宋" w:hAnsi="仿宋" w:eastAsia="仿宋" w:cs="仿宋"/>
                <w:color w:val="auto"/>
                <w:sz w:val="28"/>
                <w:szCs w:val="28"/>
              </w:rPr>
              <w:t>…</w:t>
            </w:r>
          </w:p>
        </w:tc>
        <w:tc>
          <w:tcPr>
            <w:tcW w:w="4184" w:type="dxa"/>
            <w:gridSpan w:val="2"/>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hAnsi="仿宋" w:eastAsia="仿宋" w:cs="仿宋"/>
                <w:b/>
                <w:color w:val="auto"/>
                <w:sz w:val="24"/>
                <w:szCs w:val="24"/>
              </w:rPr>
            </w:pPr>
          </w:p>
        </w:tc>
        <w:tc>
          <w:tcPr>
            <w:tcW w:w="2655"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hAnsi="仿宋" w:eastAsia="仿宋" w:cs="仿宋"/>
                <w:b/>
                <w:color w:val="auto"/>
                <w:sz w:val="24"/>
                <w:szCs w:val="24"/>
              </w:rPr>
            </w:pPr>
          </w:p>
        </w:tc>
        <w:tc>
          <w:tcPr>
            <w:tcW w:w="1980"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hAnsi="仿宋" w:eastAsia="仿宋" w:cs="仿宋"/>
                <w:b/>
                <w:color w:val="auto"/>
                <w:sz w:val="24"/>
                <w:szCs w:val="24"/>
              </w:rPr>
            </w:pPr>
          </w:p>
        </w:tc>
        <w:tc>
          <w:tcPr>
            <w:tcW w:w="2265"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hAnsi="仿宋" w:eastAsia="仿宋" w:cs="仿宋"/>
                <w:b/>
                <w:color w:val="auto"/>
                <w:sz w:val="24"/>
                <w:szCs w:val="24"/>
              </w:rPr>
            </w:pPr>
          </w:p>
        </w:tc>
        <w:tc>
          <w:tcPr>
            <w:tcW w:w="2298"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hAnsi="仿宋" w:eastAsia="仿宋" w:cs="仿宋"/>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restar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b/>
                <w:color w:val="auto"/>
                <w:sz w:val="24"/>
                <w:szCs w:val="24"/>
              </w:rPr>
            </w:pPr>
            <w:r>
              <w:rPr>
                <w:rFonts w:hint="eastAsia" w:ascii="仿宋" w:hAnsi="仿宋" w:eastAsia="仿宋" w:cs="仿宋"/>
                <w:b/>
                <w:color w:val="auto"/>
                <w:sz w:val="24"/>
                <w:szCs w:val="24"/>
              </w:rPr>
              <w:t>投标报价</w:t>
            </w:r>
          </w:p>
        </w:tc>
        <w:tc>
          <w:tcPr>
            <w:tcW w:w="11645" w:type="dxa"/>
            <w:gridSpan w:val="5"/>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hAnsi="仿宋" w:eastAsia="仿宋" w:cs="仿宋"/>
                <w:b/>
                <w:color w:val="auto"/>
                <w:sz w:val="24"/>
                <w:szCs w:val="24"/>
              </w:rPr>
            </w:pPr>
            <w:r>
              <w:rPr>
                <w:rFonts w:hint="eastAsia" w:ascii="仿宋" w:hAnsi="仿宋" w:eastAsia="仿宋" w:cs="仿宋"/>
                <w:b/>
                <w:color w:val="auto"/>
                <w:sz w:val="24"/>
                <w:szCs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continue"/>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s="仿宋"/>
                <w:color w:val="auto"/>
              </w:rPr>
            </w:pPr>
          </w:p>
        </w:tc>
        <w:tc>
          <w:tcPr>
            <w:tcW w:w="11645" w:type="dxa"/>
            <w:gridSpan w:val="5"/>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hAnsi="仿宋" w:eastAsia="仿宋" w:cs="仿宋"/>
                <w:b/>
                <w:color w:val="auto"/>
                <w:sz w:val="24"/>
                <w:szCs w:val="24"/>
              </w:rPr>
            </w:pPr>
            <w:r>
              <w:rPr>
                <w:rFonts w:hint="eastAsia" w:ascii="仿宋" w:hAnsi="仿宋" w:eastAsia="仿宋" w:cs="仿宋"/>
                <w:b/>
                <w:color w:val="auto"/>
                <w:sz w:val="24"/>
                <w:szCs w:val="24"/>
              </w:rPr>
              <w:t>小写：</w:t>
            </w:r>
          </w:p>
        </w:tc>
      </w:tr>
    </w:tbl>
    <w:p>
      <w:pPr>
        <w:snapToGrid w:val="0"/>
        <w:jc w:val="left"/>
        <w:rPr>
          <w:rFonts w:ascii="仿宋" w:hAnsi="仿宋" w:eastAsia="仿宋" w:cs="仿宋"/>
          <w:color w:val="auto"/>
          <w:sz w:val="24"/>
        </w:rPr>
      </w:pPr>
      <w:r>
        <w:rPr>
          <w:rFonts w:hint="eastAsia" w:ascii="仿宋" w:hAnsi="仿宋" w:eastAsia="仿宋" w:cs="仿宋"/>
          <w:color w:val="auto"/>
          <w:sz w:val="24"/>
        </w:rPr>
        <w:t>注: 1.报价一经涂改，应在涂改处加盖单位公章或者由法定代表人或其授权代表签字或盖章，否则其投标作无效投标处理。</w:t>
      </w:r>
    </w:p>
    <w:p>
      <w:pPr>
        <w:snapToGrid w:val="0"/>
        <w:ind w:firstLine="480" w:firstLineChars="200"/>
        <w:jc w:val="left"/>
        <w:rPr>
          <w:rFonts w:ascii="仿宋" w:hAnsi="仿宋" w:eastAsia="仿宋" w:cs="仿宋"/>
          <w:color w:val="auto"/>
          <w:sz w:val="24"/>
        </w:rPr>
      </w:pPr>
      <w:r>
        <w:rPr>
          <w:rFonts w:hint="eastAsia" w:ascii="仿宋" w:hAnsi="仿宋" w:eastAsia="仿宋" w:cs="仿宋"/>
          <w:color w:val="auto"/>
          <w:sz w:val="24"/>
        </w:rPr>
        <w:t>2.招标人不接受2个(含)以上的报价或方案，若投标人在此表中有2个（含）以上的报价或方案，其投标作无效投标处理。</w:t>
      </w:r>
    </w:p>
    <w:p>
      <w:pPr>
        <w:snapToGrid w:val="0"/>
        <w:ind w:left="480"/>
        <w:rPr>
          <w:rFonts w:ascii="仿宋" w:hAnsi="仿宋" w:eastAsia="仿宋" w:cs="仿宋"/>
          <w:color w:val="auto"/>
          <w:kern w:val="0"/>
          <w:sz w:val="24"/>
          <w:lang w:val="zh-CN"/>
        </w:rPr>
      </w:pPr>
      <w:r>
        <w:rPr>
          <w:rFonts w:hint="eastAsia" w:ascii="仿宋" w:hAnsi="仿宋" w:eastAsia="仿宋" w:cs="仿宋"/>
          <w:color w:val="auto"/>
          <w:kern w:val="0"/>
          <w:sz w:val="24"/>
          <w:lang w:val="zh-CN"/>
        </w:rPr>
        <w:t>3.有关本项目的招投标及项目实施所涉及的一切费用均计入投标报价。</w:t>
      </w:r>
    </w:p>
    <w:p>
      <w:pPr>
        <w:ind w:firstLine="482" w:firstLineChars="200"/>
        <w:rPr>
          <w:rFonts w:ascii="仿宋" w:hAnsi="仿宋" w:eastAsia="仿宋" w:cs="仿宋"/>
          <w:b/>
          <w:color w:val="auto"/>
          <w:kern w:val="0"/>
          <w:sz w:val="24"/>
          <w:u w:val="single"/>
          <w:lang w:val="zh-CN"/>
        </w:rPr>
      </w:pPr>
      <w:r>
        <w:rPr>
          <w:rFonts w:hint="eastAsia" w:ascii="仿宋" w:hAnsi="仿宋" w:eastAsia="仿宋" w:cs="仿宋"/>
          <w:b/>
          <w:color w:val="auto"/>
          <w:sz w:val="24"/>
          <w:u w:val="single"/>
        </w:rPr>
        <w:t>4、</w:t>
      </w:r>
      <w:r>
        <w:rPr>
          <w:rFonts w:hint="eastAsia" w:ascii="仿宋" w:hAnsi="仿宋" w:eastAsia="仿宋" w:cs="仿宋"/>
          <w:b/>
          <w:color w:val="auto"/>
          <w:kern w:val="0"/>
          <w:sz w:val="24"/>
          <w:u w:val="single"/>
          <w:lang w:val="zh-CN"/>
        </w:rPr>
        <w:t>特别提示：采购机构将在中标公告中公布中标人的《开标一览表》，接受社会监督。</w:t>
      </w:r>
    </w:p>
    <w:p>
      <w:pPr>
        <w:ind w:firstLine="482" w:firstLineChars="200"/>
        <w:rPr>
          <w:rFonts w:ascii="仿宋" w:hAnsi="仿宋" w:eastAsia="仿宋" w:cs="仿宋"/>
          <w:b/>
          <w:color w:val="auto"/>
          <w:kern w:val="0"/>
          <w:sz w:val="24"/>
          <w:u w:val="single"/>
          <w:lang w:val="zh-CN"/>
        </w:rPr>
      </w:pPr>
    </w:p>
    <w:p>
      <w:pPr>
        <w:snapToGrid w:val="0"/>
        <w:ind w:firstLine="480" w:firstLineChars="200"/>
        <w:jc w:val="left"/>
        <w:rPr>
          <w:rFonts w:ascii="仿宋" w:hAnsi="仿宋" w:eastAsia="仿宋" w:cs="仿宋"/>
          <w:color w:val="auto"/>
          <w:sz w:val="24"/>
        </w:rPr>
      </w:pPr>
      <w:bookmarkStart w:id="128" w:name="_Toc64369826"/>
      <w:r>
        <w:rPr>
          <w:rFonts w:hint="eastAsia" w:ascii="仿宋" w:hAnsi="仿宋" w:eastAsia="仿宋" w:cs="仿宋"/>
          <w:color w:val="auto"/>
          <w:sz w:val="24"/>
        </w:rPr>
        <w:t xml:space="preserve">法定代表人或其授权代表签字（或盖章）：            </w:t>
      </w:r>
      <w:bookmarkEnd w:id="128"/>
    </w:p>
    <w:p>
      <w:pPr>
        <w:spacing w:line="360" w:lineRule="auto"/>
        <w:jc w:val="left"/>
        <w:outlineLvl w:val="0"/>
        <w:rPr>
          <w:rFonts w:ascii="仿宋" w:hAnsi="仿宋" w:eastAsia="仿宋" w:cs="仿宋"/>
          <w:color w:val="auto"/>
          <w:sz w:val="24"/>
        </w:rPr>
      </w:pPr>
    </w:p>
    <w:p>
      <w:pPr>
        <w:snapToGrid w:val="0"/>
        <w:ind w:firstLine="480" w:firstLineChars="200"/>
        <w:jc w:val="left"/>
        <w:rPr>
          <w:rFonts w:ascii="仿宋" w:hAnsi="仿宋" w:eastAsia="仿宋" w:cs="仿宋"/>
          <w:color w:val="auto"/>
          <w:sz w:val="24"/>
        </w:rPr>
      </w:pPr>
      <w:bookmarkStart w:id="129" w:name="_Toc64369827"/>
      <w:r>
        <w:rPr>
          <w:rFonts w:hint="eastAsia" w:ascii="仿宋" w:hAnsi="仿宋" w:eastAsia="仿宋" w:cs="仿宋"/>
          <w:color w:val="auto"/>
          <w:sz w:val="24"/>
        </w:rPr>
        <w:t>日期：    年   月   日</w:t>
      </w:r>
      <w:bookmarkEnd w:id="129"/>
    </w:p>
    <w:p>
      <w:pPr>
        <w:snapToGrid w:val="0"/>
        <w:ind w:firstLine="480" w:firstLineChars="200"/>
        <w:jc w:val="left"/>
        <w:rPr>
          <w:rFonts w:ascii="仿宋" w:hAnsi="仿宋" w:eastAsia="仿宋" w:cs="仿宋"/>
          <w:color w:val="auto"/>
          <w:sz w:val="24"/>
        </w:rPr>
        <w:sectPr>
          <w:pgSz w:w="16840" w:h="11907" w:orient="landscape"/>
          <w:pgMar w:top="1803" w:right="1440" w:bottom="1236" w:left="1440" w:header="851" w:footer="992" w:gutter="0"/>
          <w:cols w:space="720" w:num="1"/>
          <w:docGrid w:type="lines" w:linePitch="312" w:charSpace="0"/>
        </w:sectPr>
      </w:pPr>
    </w:p>
    <w:p>
      <w:pPr>
        <w:pStyle w:val="4"/>
        <w:rPr>
          <w:rFonts w:ascii="仿宋" w:hAnsi="仿宋" w:cs="仿宋"/>
          <w:color w:val="auto"/>
        </w:rPr>
      </w:pPr>
      <w:bookmarkStart w:id="130" w:name="_Toc16291"/>
      <w:r>
        <w:rPr>
          <w:rFonts w:hint="eastAsia" w:ascii="仿宋" w:hAnsi="仿宋" w:cs="仿宋"/>
          <w:color w:val="auto"/>
        </w:rPr>
        <w:t>第七章  询问、质疑及投诉</w:t>
      </w:r>
      <w:bookmarkEnd w:id="130"/>
    </w:p>
    <w:p>
      <w:pPr>
        <w:pStyle w:val="17"/>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pPr>
        <w:pStyle w:val="5"/>
        <w:rPr>
          <w:rFonts w:ascii="仿宋" w:hAnsi="仿宋" w:cs="仿宋"/>
          <w:color w:val="auto"/>
        </w:rPr>
      </w:pPr>
      <w:bookmarkStart w:id="131" w:name="_Toc31383"/>
      <w:r>
        <w:rPr>
          <w:rFonts w:hint="eastAsia" w:ascii="仿宋" w:hAnsi="仿宋" w:cs="仿宋"/>
          <w:color w:val="auto"/>
        </w:rPr>
        <w:t>一、供应商询问</w:t>
      </w:r>
      <w:bookmarkEnd w:id="131"/>
    </w:p>
    <w:p>
      <w:pPr>
        <w:pStyle w:val="17"/>
        <w:spacing w:line="360" w:lineRule="auto"/>
        <w:rPr>
          <w:rFonts w:ascii="仿宋" w:hAnsi="仿宋" w:eastAsia="仿宋" w:cs="仿宋"/>
          <w:color w:val="auto"/>
          <w:sz w:val="24"/>
        </w:rPr>
      </w:pPr>
      <w:r>
        <w:rPr>
          <w:rFonts w:hint="eastAsia" w:ascii="仿宋" w:hAnsi="仿宋" w:eastAsia="仿宋" w:cs="仿宋"/>
          <w:color w:val="auto"/>
          <w:sz w:val="24"/>
        </w:rPr>
        <w:t>1.1供应商对采购文件、采购活动事项有疑问需要解释的，在政采云系统内可以向采购机构提出在线询问（加盖单位CA章），采购机构将在3个工作日内对供应商依法提出的询问作出答复，但答复的内容不得涉及商业秘密。</w:t>
      </w:r>
    </w:p>
    <w:p>
      <w:pPr>
        <w:pStyle w:val="17"/>
        <w:spacing w:line="360" w:lineRule="auto"/>
        <w:rPr>
          <w:rFonts w:ascii="仿宋" w:hAnsi="仿宋" w:eastAsia="仿宋" w:cs="仿宋"/>
          <w:color w:val="auto"/>
          <w:sz w:val="24"/>
        </w:rPr>
      </w:pPr>
      <w:r>
        <w:rPr>
          <w:rFonts w:hint="eastAsia" w:ascii="仿宋" w:hAnsi="仿宋" w:eastAsia="仿宋" w:cs="仿宋"/>
          <w:color w:val="auto"/>
          <w:sz w:val="24"/>
        </w:rPr>
        <w:t>1.2采购机构一般通过与询问相同的形式答复。</w:t>
      </w:r>
    </w:p>
    <w:p>
      <w:pPr>
        <w:pStyle w:val="5"/>
        <w:rPr>
          <w:rFonts w:ascii="仿宋" w:hAnsi="仿宋" w:cs="仿宋"/>
          <w:color w:val="auto"/>
        </w:rPr>
      </w:pPr>
      <w:bookmarkStart w:id="132" w:name="_Toc25373"/>
      <w:r>
        <w:rPr>
          <w:rFonts w:hint="eastAsia" w:ascii="仿宋" w:hAnsi="仿宋" w:cs="仿宋"/>
          <w:color w:val="auto"/>
        </w:rPr>
        <w:t>二、供应商质疑</w:t>
      </w:r>
      <w:bookmarkEnd w:id="132"/>
    </w:p>
    <w:p>
      <w:pPr>
        <w:pStyle w:val="17"/>
        <w:spacing w:line="360" w:lineRule="auto"/>
        <w:rPr>
          <w:rFonts w:ascii="仿宋" w:hAnsi="仿宋" w:eastAsia="仿宋" w:cs="仿宋"/>
          <w:b/>
          <w:bCs/>
          <w:color w:val="auto"/>
          <w:sz w:val="24"/>
        </w:rPr>
      </w:pPr>
      <w:r>
        <w:rPr>
          <w:rFonts w:hint="eastAsia" w:ascii="仿宋" w:hAnsi="仿宋" w:eastAsia="仿宋" w:cs="仿宋"/>
          <w:b/>
          <w:bCs/>
          <w:color w:val="auto"/>
          <w:sz w:val="24"/>
        </w:rPr>
        <w:t>2.1质疑有效期：</w:t>
      </w:r>
    </w:p>
    <w:p>
      <w:pPr>
        <w:pStyle w:val="17"/>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供应商可以在知道或者应知其权益受到损害之日起七个工作日内，以加盖供应商电子签章的数据电文形式，在政采云系统内向采购机构提出在线质疑：</w:t>
      </w:r>
    </w:p>
    <w:p>
      <w:pPr>
        <w:pStyle w:val="17"/>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（1）采购公告中的资格条件、获取采购文件时间设定等不符合有关规定，致使供应商不能参与本项目采购活动的</w:t>
      </w:r>
      <w:r>
        <w:rPr>
          <w:rFonts w:hint="eastAsia" w:ascii="仿宋" w:hAnsi="仿宋" w:eastAsia="仿宋" w:cs="仿宋"/>
          <w:color w:val="auto"/>
          <w:sz w:val="24"/>
        </w:rPr>
        <w:t>，质疑期限自采购公告发布之日起计算。</w:t>
      </w:r>
    </w:p>
    <w:p>
      <w:pPr>
        <w:pStyle w:val="17"/>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7"/>
        <w:spacing w:line="360" w:lineRule="auto"/>
        <w:ind w:firstLine="480" w:firstLineChars="200"/>
        <w:rPr>
          <w:rFonts w:ascii="仿宋" w:hAnsi="仿宋" w:eastAsia="仿宋" w:cs="仿宋"/>
          <w:b/>
          <w:bCs/>
          <w:color w:val="auto"/>
          <w:sz w:val="24"/>
        </w:rPr>
      </w:pPr>
      <w:r>
        <w:rPr>
          <w:rFonts w:hint="eastAsia" w:ascii="仿宋" w:hAnsi="仿宋" w:eastAsia="仿宋" w:cs="仿宋"/>
          <w:color w:val="auto"/>
          <w:sz w:val="24"/>
        </w:rPr>
        <w:t>（3）对采购过程提出质疑的，质疑期限为各采购程序环节结束之日起计算。</w:t>
      </w:r>
    </w:p>
    <w:p>
      <w:pPr>
        <w:pStyle w:val="17"/>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（4）对采购结果提出质疑的，质疑期限自采购结果公告（包括公示、预公告、结果更正公告等）期限届满之日起计算。</w:t>
      </w:r>
    </w:p>
    <w:p>
      <w:pPr>
        <w:pStyle w:val="17"/>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（5）供应商应在法定质疑期内一次性提出针对同一采购程序环节的质疑。提供新的事实或证据的除外。</w:t>
      </w:r>
    </w:p>
    <w:p>
      <w:pPr>
        <w:pStyle w:val="17"/>
        <w:spacing w:line="360" w:lineRule="auto"/>
        <w:rPr>
          <w:rFonts w:ascii="仿宋" w:hAnsi="仿宋" w:eastAsia="仿宋" w:cs="仿宋"/>
          <w:b/>
          <w:bCs/>
          <w:color w:val="auto"/>
          <w:sz w:val="24"/>
        </w:rPr>
      </w:pPr>
      <w:r>
        <w:rPr>
          <w:rFonts w:hint="eastAsia" w:ascii="仿宋" w:hAnsi="仿宋" w:eastAsia="仿宋" w:cs="仿宋"/>
          <w:b/>
          <w:bCs/>
          <w:color w:val="auto"/>
          <w:sz w:val="24"/>
        </w:rPr>
        <w:t>2.2质疑主体的有效性：</w:t>
      </w:r>
    </w:p>
    <w:p>
      <w:pPr>
        <w:pStyle w:val="17"/>
        <w:spacing w:line="360" w:lineRule="auto"/>
        <w:rPr>
          <w:rFonts w:ascii="仿宋" w:hAnsi="仿宋" w:eastAsia="仿宋" w:cs="仿宋"/>
          <w:color w:val="auto"/>
          <w:sz w:val="24"/>
        </w:rPr>
      </w:pPr>
      <w:r>
        <w:rPr>
          <w:rFonts w:hint="eastAsia" w:ascii="仿宋" w:hAnsi="仿宋" w:eastAsia="仿宋" w:cs="仿宋"/>
          <w:color w:val="auto"/>
          <w:sz w:val="24"/>
        </w:rPr>
        <w:t>2.2.1提出质疑的供应商应当是参与所质疑项目采购活动的供应商。</w:t>
      </w:r>
    </w:p>
    <w:p>
      <w:pPr>
        <w:pStyle w:val="17"/>
        <w:spacing w:line="360" w:lineRule="auto"/>
        <w:rPr>
          <w:rFonts w:ascii="仿宋" w:hAnsi="仿宋" w:eastAsia="仿宋" w:cs="仿宋"/>
          <w:color w:val="auto"/>
          <w:sz w:val="24"/>
        </w:rPr>
      </w:pPr>
      <w:r>
        <w:rPr>
          <w:rFonts w:hint="eastAsia" w:ascii="仿宋" w:hAnsi="仿宋" w:eastAsia="仿宋" w:cs="仿宋"/>
          <w:color w:val="auto"/>
          <w:sz w:val="24"/>
        </w:rPr>
        <w:t>2.2.2质疑人应当与质疑事项存在利害关系,不得提出“自杀式质疑”。</w:t>
      </w:r>
    </w:p>
    <w:p>
      <w:pPr>
        <w:pStyle w:val="17"/>
        <w:spacing w:line="360" w:lineRule="auto"/>
        <w:rPr>
          <w:rFonts w:ascii="仿宋" w:hAnsi="仿宋" w:eastAsia="仿宋" w:cs="仿宋"/>
          <w:b/>
          <w:bCs/>
          <w:color w:val="auto"/>
          <w:sz w:val="24"/>
        </w:rPr>
      </w:pPr>
      <w:r>
        <w:rPr>
          <w:rFonts w:hint="eastAsia" w:ascii="仿宋" w:hAnsi="仿宋" w:eastAsia="仿宋" w:cs="仿宋"/>
          <w:b/>
          <w:bCs/>
          <w:color w:val="auto"/>
          <w:sz w:val="24"/>
        </w:rPr>
        <w:t>2.3质疑的答复</w:t>
      </w:r>
    </w:p>
    <w:p>
      <w:pPr>
        <w:pStyle w:val="17"/>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采购机构将在收到供应商的质疑后七个工作日内作出答复，但答复的内容不得涉及商业秘密。采购机构视情以变更公告等形式通知其他与质疑处理结果有利害关系的政府采购当事人。</w:t>
      </w:r>
    </w:p>
    <w:p>
      <w:pPr>
        <w:pStyle w:val="17"/>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询问或者质疑事项可能影响采购结果的，采购人应当暂停签订合同，已经签订合同的，应当中止履行合同。</w:t>
      </w:r>
    </w:p>
    <w:p>
      <w:pPr>
        <w:pStyle w:val="17"/>
        <w:spacing w:line="360" w:lineRule="auto"/>
        <w:rPr>
          <w:rFonts w:ascii="仿宋" w:hAnsi="仿宋" w:eastAsia="仿宋" w:cs="仿宋"/>
          <w:b/>
          <w:bCs/>
          <w:color w:val="auto"/>
          <w:sz w:val="24"/>
        </w:rPr>
      </w:pPr>
      <w:r>
        <w:rPr>
          <w:rFonts w:hint="eastAsia" w:ascii="仿宋" w:hAnsi="仿宋" w:eastAsia="仿宋" w:cs="仿宋"/>
          <w:b/>
          <w:bCs/>
          <w:color w:val="auto"/>
          <w:sz w:val="24"/>
        </w:rPr>
        <w:t>2.4质疑的撤回</w:t>
      </w:r>
    </w:p>
    <w:p>
      <w:pPr>
        <w:widowControl/>
        <w:snapToGrid w:val="0"/>
        <w:spacing w:line="48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供应商可以通过政采云系统撤回已经被受理的质疑书。</w:t>
      </w:r>
    </w:p>
    <w:p>
      <w:pPr>
        <w:pStyle w:val="5"/>
        <w:rPr>
          <w:rFonts w:ascii="仿宋" w:hAnsi="仿宋" w:cs="仿宋"/>
          <w:color w:val="auto"/>
        </w:rPr>
      </w:pPr>
      <w:bookmarkStart w:id="133" w:name="_Toc17941"/>
      <w:r>
        <w:rPr>
          <w:rFonts w:hint="eastAsia" w:ascii="仿宋" w:hAnsi="仿宋" w:cs="仿宋"/>
          <w:color w:val="auto"/>
        </w:rPr>
        <w:t>三、供应商投诉</w:t>
      </w:r>
      <w:bookmarkEnd w:id="133"/>
    </w:p>
    <w:p>
      <w:pPr>
        <w:widowControl/>
        <w:snapToGrid w:val="0"/>
        <w:spacing w:line="480" w:lineRule="exact"/>
        <w:rPr>
          <w:rFonts w:ascii="仿宋" w:hAnsi="仿宋" w:eastAsia="仿宋" w:cs="仿宋"/>
          <w:b/>
          <w:bCs/>
          <w:color w:val="auto"/>
          <w:kern w:val="0"/>
          <w:sz w:val="24"/>
        </w:rPr>
      </w:pPr>
      <w:r>
        <w:rPr>
          <w:rFonts w:hint="eastAsia" w:ascii="仿宋" w:hAnsi="仿宋" w:eastAsia="仿宋" w:cs="仿宋"/>
          <w:b/>
          <w:bCs/>
          <w:color w:val="auto"/>
          <w:kern w:val="0"/>
          <w:sz w:val="24"/>
        </w:rPr>
        <w:t>3.1投诉有效期</w:t>
      </w:r>
    </w:p>
    <w:p>
      <w:pPr>
        <w:widowControl/>
        <w:snapToGrid w:val="0"/>
        <w:spacing w:line="48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ascii="仿宋" w:hAnsi="仿宋" w:eastAsia="仿宋" w:cs="仿宋"/>
          <w:b/>
          <w:bCs/>
          <w:color w:val="auto"/>
          <w:kern w:val="0"/>
          <w:sz w:val="24"/>
          <w:u w:val="single"/>
        </w:rPr>
      </w:pPr>
      <w:r>
        <w:rPr>
          <w:rFonts w:hint="eastAsia" w:ascii="仿宋" w:hAnsi="仿宋" w:eastAsia="仿宋" w:cs="仿宋"/>
          <w:b/>
          <w:bCs/>
          <w:color w:val="auto"/>
          <w:kern w:val="0"/>
          <w:sz w:val="24"/>
          <w:u w:val="single"/>
        </w:rPr>
        <w:t>特别提醒：质疑是投诉的前置程序，供应商必须先质疑后投诉。</w:t>
      </w:r>
    </w:p>
    <w:p>
      <w:pPr>
        <w:widowControl/>
        <w:snapToGrid w:val="0"/>
        <w:spacing w:line="480" w:lineRule="exact"/>
        <w:rPr>
          <w:rFonts w:ascii="仿宋" w:hAnsi="仿宋" w:eastAsia="仿宋" w:cs="仿宋"/>
          <w:b/>
          <w:bCs/>
          <w:color w:val="auto"/>
          <w:kern w:val="0"/>
          <w:sz w:val="24"/>
        </w:rPr>
      </w:pPr>
      <w:r>
        <w:rPr>
          <w:rFonts w:hint="eastAsia" w:ascii="仿宋" w:hAnsi="仿宋" w:eastAsia="仿宋" w:cs="仿宋"/>
          <w:b/>
          <w:bCs/>
          <w:color w:val="auto"/>
          <w:kern w:val="0"/>
          <w:sz w:val="24"/>
        </w:rPr>
        <w:t>3.2投诉内容</w:t>
      </w:r>
    </w:p>
    <w:p>
      <w:pPr>
        <w:widowControl/>
        <w:snapToGrid w:val="0"/>
        <w:spacing w:line="48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供应商投诉的事项不得超出已质疑事项的范围，但基于质疑答复内容提出的投诉事项除外。</w:t>
      </w:r>
    </w:p>
    <w:p>
      <w:pPr>
        <w:widowControl/>
        <w:snapToGrid w:val="0"/>
        <w:spacing w:line="480" w:lineRule="exact"/>
        <w:rPr>
          <w:rFonts w:ascii="仿宋" w:hAnsi="仿宋" w:eastAsia="仿宋" w:cs="仿宋"/>
          <w:color w:val="auto"/>
          <w:kern w:val="0"/>
          <w:sz w:val="24"/>
        </w:rPr>
      </w:pPr>
      <w:r>
        <w:rPr>
          <w:rFonts w:hint="eastAsia" w:ascii="仿宋" w:hAnsi="仿宋" w:eastAsia="仿宋" w:cs="仿宋"/>
          <w:color w:val="auto"/>
          <w:kern w:val="0"/>
          <w:sz w:val="24"/>
        </w:rPr>
        <w:t xml:space="preserve">    投诉书需包括以下内容：</w:t>
      </w:r>
    </w:p>
    <w:p>
      <w:pPr>
        <w:widowControl/>
        <w:snapToGrid w:val="0"/>
        <w:spacing w:line="480" w:lineRule="exact"/>
        <w:rPr>
          <w:rFonts w:ascii="仿宋" w:hAnsi="仿宋" w:eastAsia="仿宋" w:cs="仿宋"/>
          <w:color w:val="auto"/>
          <w:kern w:val="0"/>
          <w:sz w:val="24"/>
        </w:rPr>
      </w:pPr>
      <w:r>
        <w:rPr>
          <w:rFonts w:hint="eastAsia" w:ascii="仿宋" w:hAnsi="仿宋" w:eastAsia="仿宋" w:cs="仿宋"/>
          <w:color w:val="auto"/>
          <w:kern w:val="0"/>
          <w:sz w:val="24"/>
        </w:rPr>
        <w:t>（一）投诉人和被投诉人的姓名或者名称、通讯地址、邮编、联系人及联系电话；</w:t>
      </w:r>
    </w:p>
    <w:p>
      <w:pPr>
        <w:widowControl/>
        <w:snapToGrid w:val="0"/>
        <w:spacing w:line="480" w:lineRule="exact"/>
        <w:rPr>
          <w:rFonts w:ascii="仿宋" w:hAnsi="仿宋" w:eastAsia="仿宋" w:cs="仿宋"/>
          <w:color w:val="auto"/>
          <w:kern w:val="0"/>
          <w:sz w:val="24"/>
        </w:rPr>
      </w:pPr>
      <w:r>
        <w:rPr>
          <w:rFonts w:hint="eastAsia" w:ascii="仿宋" w:hAnsi="仿宋" w:eastAsia="仿宋" w:cs="仿宋"/>
          <w:color w:val="auto"/>
          <w:kern w:val="0"/>
          <w:sz w:val="24"/>
        </w:rPr>
        <w:t>（二）质疑和质疑答复情况说明及相关证明材料；</w:t>
      </w:r>
    </w:p>
    <w:p>
      <w:pPr>
        <w:widowControl/>
        <w:snapToGrid w:val="0"/>
        <w:spacing w:line="480" w:lineRule="exact"/>
        <w:rPr>
          <w:rFonts w:ascii="仿宋" w:hAnsi="仿宋" w:eastAsia="仿宋" w:cs="仿宋"/>
          <w:color w:val="auto"/>
          <w:kern w:val="0"/>
          <w:sz w:val="24"/>
        </w:rPr>
      </w:pPr>
      <w:r>
        <w:rPr>
          <w:rFonts w:hint="eastAsia" w:ascii="仿宋" w:hAnsi="仿宋" w:eastAsia="仿宋" w:cs="仿宋"/>
          <w:color w:val="auto"/>
          <w:kern w:val="0"/>
          <w:sz w:val="24"/>
        </w:rPr>
        <w:t>（三）具体、明确的投诉事项和与投诉事项相关的投诉请求；</w:t>
      </w:r>
    </w:p>
    <w:p>
      <w:pPr>
        <w:widowControl/>
        <w:snapToGrid w:val="0"/>
        <w:spacing w:line="480" w:lineRule="exact"/>
        <w:rPr>
          <w:rFonts w:ascii="仿宋" w:hAnsi="仿宋" w:eastAsia="仿宋" w:cs="仿宋"/>
          <w:color w:val="auto"/>
          <w:kern w:val="0"/>
          <w:sz w:val="24"/>
        </w:rPr>
      </w:pPr>
      <w:r>
        <w:rPr>
          <w:rFonts w:hint="eastAsia" w:ascii="仿宋" w:hAnsi="仿宋" w:eastAsia="仿宋" w:cs="仿宋"/>
          <w:color w:val="auto"/>
          <w:kern w:val="0"/>
          <w:sz w:val="24"/>
        </w:rPr>
        <w:t>（四）事实依据；</w:t>
      </w:r>
    </w:p>
    <w:p>
      <w:pPr>
        <w:widowControl/>
        <w:snapToGrid w:val="0"/>
        <w:spacing w:line="480" w:lineRule="exact"/>
        <w:rPr>
          <w:rFonts w:ascii="仿宋" w:hAnsi="仿宋" w:eastAsia="仿宋" w:cs="仿宋"/>
          <w:color w:val="auto"/>
          <w:kern w:val="0"/>
          <w:sz w:val="24"/>
        </w:rPr>
      </w:pPr>
      <w:r>
        <w:rPr>
          <w:rFonts w:hint="eastAsia" w:ascii="仿宋" w:hAnsi="仿宋" w:eastAsia="仿宋" w:cs="仿宋"/>
          <w:color w:val="auto"/>
          <w:kern w:val="0"/>
          <w:sz w:val="24"/>
        </w:rPr>
        <w:t>（五）法律依据；</w:t>
      </w:r>
    </w:p>
    <w:p>
      <w:pPr>
        <w:widowControl/>
        <w:snapToGrid w:val="0"/>
        <w:spacing w:line="480" w:lineRule="exact"/>
        <w:rPr>
          <w:rFonts w:ascii="仿宋" w:hAnsi="仿宋" w:eastAsia="仿宋" w:cs="仿宋"/>
          <w:color w:val="auto"/>
          <w:kern w:val="0"/>
          <w:sz w:val="24"/>
        </w:rPr>
      </w:pPr>
      <w:r>
        <w:rPr>
          <w:rFonts w:hint="eastAsia" w:ascii="仿宋" w:hAnsi="仿宋" w:eastAsia="仿宋" w:cs="仿宋"/>
          <w:color w:val="auto"/>
          <w:kern w:val="0"/>
          <w:sz w:val="24"/>
        </w:rPr>
        <w:t>（六）提起投诉的日期。</w:t>
      </w:r>
    </w:p>
    <w:p>
      <w:pPr>
        <w:widowControl/>
        <w:snapToGrid w:val="0"/>
        <w:spacing w:line="48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ascii="仿宋" w:hAnsi="仿宋" w:eastAsia="仿宋" w:cs="仿宋"/>
          <w:color w:val="auto"/>
          <w:kern w:val="0"/>
          <w:sz w:val="24"/>
        </w:rPr>
      </w:pPr>
    </w:p>
    <w:p>
      <w:pPr>
        <w:widowControl/>
        <w:snapToGrid w:val="0"/>
        <w:spacing w:line="480" w:lineRule="exact"/>
        <w:rPr>
          <w:rFonts w:ascii="仿宋" w:hAnsi="仿宋" w:eastAsia="仿宋" w:cs="仿宋"/>
          <w:color w:val="auto"/>
          <w:kern w:val="0"/>
          <w:sz w:val="24"/>
        </w:rPr>
      </w:pPr>
    </w:p>
    <w:p>
      <w:pPr>
        <w:widowControl/>
        <w:snapToGrid w:val="0"/>
        <w:spacing w:line="480" w:lineRule="exact"/>
        <w:rPr>
          <w:rFonts w:ascii="仿宋" w:hAnsi="仿宋" w:eastAsia="仿宋" w:cs="仿宋"/>
          <w:color w:val="auto"/>
          <w:kern w:val="0"/>
          <w:sz w:val="24"/>
        </w:rPr>
      </w:pPr>
    </w:p>
    <w:p>
      <w:pPr>
        <w:widowControl/>
        <w:snapToGrid w:val="0"/>
        <w:spacing w:line="480" w:lineRule="exact"/>
        <w:rPr>
          <w:rFonts w:ascii="仿宋" w:hAnsi="仿宋" w:eastAsia="仿宋" w:cs="仿宋"/>
          <w:color w:val="auto"/>
          <w:kern w:val="0"/>
          <w:sz w:val="24"/>
        </w:rPr>
      </w:pPr>
    </w:p>
    <w:p>
      <w:pPr>
        <w:widowControl/>
        <w:snapToGrid w:val="0"/>
        <w:spacing w:line="480" w:lineRule="exact"/>
        <w:rPr>
          <w:rFonts w:ascii="仿宋" w:hAnsi="仿宋" w:eastAsia="仿宋" w:cs="仿宋"/>
          <w:color w:val="auto"/>
          <w:kern w:val="0"/>
          <w:sz w:val="24"/>
        </w:rPr>
      </w:pPr>
    </w:p>
    <w:p>
      <w:pPr>
        <w:widowControl/>
        <w:snapToGrid w:val="0"/>
        <w:spacing w:line="480" w:lineRule="exact"/>
        <w:rPr>
          <w:rFonts w:ascii="仿宋" w:hAnsi="仿宋" w:eastAsia="仿宋" w:cs="仿宋"/>
          <w:color w:val="auto"/>
          <w:kern w:val="0"/>
          <w:sz w:val="24"/>
        </w:rPr>
      </w:pPr>
    </w:p>
    <w:p>
      <w:pPr>
        <w:widowControl/>
        <w:snapToGrid w:val="0"/>
        <w:spacing w:line="480" w:lineRule="exact"/>
        <w:rPr>
          <w:rFonts w:ascii="仿宋" w:hAnsi="仿宋" w:eastAsia="仿宋" w:cs="仿宋"/>
          <w:color w:val="auto"/>
          <w:kern w:val="0"/>
          <w:sz w:val="24"/>
        </w:rPr>
      </w:pPr>
    </w:p>
    <w:p>
      <w:pPr>
        <w:widowControl/>
        <w:snapToGrid w:val="0"/>
        <w:spacing w:line="480" w:lineRule="exact"/>
        <w:rPr>
          <w:rFonts w:ascii="仿宋" w:hAnsi="仿宋" w:eastAsia="仿宋" w:cs="仿宋"/>
          <w:color w:val="auto"/>
          <w:kern w:val="0"/>
          <w:sz w:val="24"/>
        </w:rPr>
      </w:pPr>
    </w:p>
    <w:p>
      <w:pPr>
        <w:widowControl/>
        <w:snapToGrid w:val="0"/>
        <w:spacing w:line="480" w:lineRule="exact"/>
        <w:rPr>
          <w:rFonts w:ascii="仿宋" w:hAnsi="仿宋" w:eastAsia="仿宋" w:cs="仿宋"/>
          <w:color w:val="auto"/>
          <w:kern w:val="0"/>
          <w:sz w:val="24"/>
        </w:rPr>
      </w:pPr>
    </w:p>
    <w:p>
      <w:pPr>
        <w:widowControl/>
        <w:snapToGrid w:val="0"/>
        <w:spacing w:line="480" w:lineRule="exact"/>
        <w:rPr>
          <w:rFonts w:ascii="仿宋" w:hAnsi="仿宋" w:eastAsia="仿宋" w:cs="仿宋"/>
          <w:color w:val="auto"/>
          <w:kern w:val="0"/>
          <w:sz w:val="24"/>
        </w:rPr>
      </w:pPr>
    </w:p>
    <w:p>
      <w:pPr>
        <w:widowControl/>
        <w:snapToGrid w:val="0"/>
        <w:spacing w:line="480" w:lineRule="exact"/>
        <w:rPr>
          <w:rFonts w:ascii="仿宋" w:hAnsi="仿宋" w:eastAsia="仿宋" w:cs="仿宋"/>
          <w:color w:val="auto"/>
          <w:kern w:val="0"/>
          <w:sz w:val="24"/>
        </w:rPr>
      </w:pPr>
    </w:p>
    <w:p>
      <w:pPr>
        <w:widowControl/>
        <w:snapToGrid w:val="0"/>
        <w:spacing w:line="480" w:lineRule="exact"/>
        <w:rPr>
          <w:rFonts w:ascii="仿宋" w:hAnsi="仿宋" w:eastAsia="仿宋" w:cs="仿宋"/>
          <w:color w:val="auto"/>
          <w:kern w:val="0"/>
          <w:sz w:val="24"/>
        </w:rPr>
      </w:pPr>
    </w:p>
    <w:p>
      <w:pPr>
        <w:widowControl/>
        <w:snapToGrid w:val="0"/>
        <w:spacing w:line="480" w:lineRule="exact"/>
        <w:rPr>
          <w:rFonts w:ascii="仿宋" w:hAnsi="仿宋" w:eastAsia="仿宋" w:cs="仿宋"/>
          <w:color w:val="auto"/>
          <w:kern w:val="0"/>
          <w:sz w:val="24"/>
        </w:rPr>
      </w:pPr>
    </w:p>
    <w:p>
      <w:pPr>
        <w:widowControl/>
        <w:snapToGrid w:val="0"/>
        <w:spacing w:line="480" w:lineRule="exact"/>
        <w:rPr>
          <w:rFonts w:ascii="仿宋" w:hAnsi="仿宋" w:eastAsia="仿宋" w:cs="仿宋"/>
          <w:color w:val="auto"/>
          <w:kern w:val="0"/>
          <w:sz w:val="24"/>
        </w:rPr>
      </w:pPr>
    </w:p>
    <w:p>
      <w:pPr>
        <w:widowControl/>
        <w:snapToGrid w:val="0"/>
        <w:spacing w:line="480" w:lineRule="exact"/>
        <w:rPr>
          <w:rFonts w:ascii="仿宋" w:hAnsi="仿宋" w:eastAsia="仿宋" w:cs="仿宋"/>
          <w:color w:val="auto"/>
          <w:kern w:val="0"/>
          <w:sz w:val="24"/>
        </w:rPr>
      </w:pPr>
    </w:p>
    <w:p>
      <w:pPr>
        <w:widowControl/>
        <w:snapToGrid w:val="0"/>
        <w:spacing w:line="480" w:lineRule="exact"/>
        <w:rPr>
          <w:rFonts w:ascii="仿宋" w:hAnsi="仿宋" w:eastAsia="仿宋" w:cs="仿宋"/>
          <w:color w:val="auto"/>
          <w:kern w:val="0"/>
          <w:sz w:val="24"/>
        </w:rPr>
      </w:pPr>
    </w:p>
    <w:p>
      <w:pPr>
        <w:widowControl/>
        <w:snapToGrid w:val="0"/>
        <w:spacing w:line="480" w:lineRule="exact"/>
        <w:rPr>
          <w:rFonts w:ascii="仿宋" w:hAnsi="仿宋" w:eastAsia="仿宋" w:cs="仿宋"/>
          <w:color w:val="auto"/>
          <w:kern w:val="0"/>
          <w:sz w:val="24"/>
        </w:rPr>
      </w:pPr>
    </w:p>
    <w:p>
      <w:pPr>
        <w:widowControl/>
        <w:snapToGrid w:val="0"/>
        <w:spacing w:line="480" w:lineRule="exact"/>
        <w:rPr>
          <w:rFonts w:ascii="仿宋" w:hAnsi="仿宋" w:eastAsia="仿宋" w:cs="仿宋"/>
          <w:color w:val="auto"/>
          <w:kern w:val="0"/>
          <w:sz w:val="24"/>
        </w:rPr>
      </w:pPr>
    </w:p>
    <w:p>
      <w:pPr>
        <w:widowControl/>
        <w:snapToGrid w:val="0"/>
        <w:spacing w:line="480" w:lineRule="exact"/>
        <w:rPr>
          <w:rFonts w:ascii="仿宋" w:hAnsi="仿宋" w:eastAsia="仿宋" w:cs="仿宋"/>
          <w:color w:val="auto"/>
          <w:kern w:val="0"/>
          <w:sz w:val="24"/>
        </w:rPr>
      </w:pPr>
    </w:p>
    <w:p>
      <w:pPr>
        <w:widowControl/>
        <w:snapToGrid w:val="0"/>
        <w:spacing w:line="480" w:lineRule="exact"/>
        <w:rPr>
          <w:rFonts w:ascii="仿宋" w:hAnsi="仿宋" w:eastAsia="仿宋" w:cs="仿宋"/>
          <w:color w:val="auto"/>
          <w:kern w:val="0"/>
          <w:sz w:val="24"/>
        </w:rPr>
      </w:pPr>
    </w:p>
    <w:p>
      <w:pPr>
        <w:widowControl/>
        <w:snapToGrid w:val="0"/>
        <w:spacing w:line="480" w:lineRule="exact"/>
        <w:rPr>
          <w:rFonts w:ascii="仿宋" w:hAnsi="仿宋" w:eastAsia="仿宋" w:cs="仿宋"/>
          <w:color w:val="auto"/>
          <w:kern w:val="0"/>
          <w:sz w:val="24"/>
        </w:rPr>
      </w:pPr>
    </w:p>
    <w:p>
      <w:pPr>
        <w:widowControl/>
        <w:snapToGrid w:val="0"/>
        <w:spacing w:line="480" w:lineRule="exact"/>
        <w:rPr>
          <w:rFonts w:ascii="仿宋" w:hAnsi="仿宋" w:eastAsia="仿宋" w:cs="仿宋"/>
          <w:color w:val="auto"/>
          <w:kern w:val="0"/>
          <w:sz w:val="24"/>
        </w:rPr>
      </w:pPr>
    </w:p>
    <w:p>
      <w:pPr>
        <w:widowControl/>
        <w:snapToGrid w:val="0"/>
        <w:spacing w:line="480" w:lineRule="exact"/>
        <w:rPr>
          <w:rFonts w:ascii="仿宋" w:hAnsi="仿宋" w:eastAsia="仿宋" w:cs="仿宋"/>
          <w:color w:val="auto"/>
          <w:kern w:val="0"/>
          <w:sz w:val="24"/>
        </w:rPr>
      </w:pPr>
    </w:p>
    <w:p>
      <w:pPr>
        <w:widowControl/>
        <w:snapToGrid w:val="0"/>
        <w:spacing w:line="480" w:lineRule="exact"/>
        <w:rPr>
          <w:rFonts w:ascii="仿宋" w:hAnsi="仿宋" w:eastAsia="仿宋" w:cs="仿宋"/>
          <w:color w:val="auto"/>
          <w:kern w:val="0"/>
          <w:sz w:val="24"/>
        </w:rPr>
      </w:pPr>
    </w:p>
    <w:p>
      <w:pPr>
        <w:widowControl/>
        <w:snapToGrid w:val="0"/>
        <w:spacing w:line="480" w:lineRule="exact"/>
        <w:rPr>
          <w:rFonts w:ascii="仿宋" w:hAnsi="仿宋" w:eastAsia="仿宋" w:cs="仿宋"/>
          <w:color w:val="auto"/>
          <w:kern w:val="0"/>
          <w:sz w:val="24"/>
        </w:rPr>
      </w:pPr>
    </w:p>
    <w:p>
      <w:pPr>
        <w:widowControl/>
        <w:snapToGrid w:val="0"/>
        <w:spacing w:line="480" w:lineRule="exact"/>
        <w:rPr>
          <w:rFonts w:ascii="仿宋" w:hAnsi="仿宋" w:eastAsia="仿宋" w:cs="仿宋"/>
          <w:color w:val="auto"/>
          <w:kern w:val="0"/>
          <w:sz w:val="24"/>
        </w:rPr>
      </w:pPr>
    </w:p>
    <w:p>
      <w:pPr>
        <w:widowControl/>
        <w:snapToGrid w:val="0"/>
        <w:spacing w:line="480" w:lineRule="exact"/>
        <w:rPr>
          <w:rFonts w:ascii="仿宋" w:hAnsi="仿宋" w:eastAsia="仿宋" w:cs="仿宋"/>
          <w:color w:val="auto"/>
          <w:kern w:val="0"/>
          <w:sz w:val="24"/>
        </w:rPr>
      </w:pPr>
    </w:p>
    <w:p>
      <w:pPr>
        <w:widowControl/>
        <w:snapToGrid w:val="0"/>
        <w:spacing w:line="480" w:lineRule="exact"/>
        <w:rPr>
          <w:rFonts w:ascii="仿宋" w:hAnsi="仿宋" w:eastAsia="仿宋" w:cs="仿宋"/>
          <w:b/>
          <w:bCs/>
          <w:color w:val="auto"/>
          <w:kern w:val="0"/>
          <w:sz w:val="24"/>
          <w:szCs w:val="24"/>
        </w:rPr>
      </w:pPr>
      <w:r>
        <w:rPr>
          <w:rFonts w:hint="eastAsia" w:ascii="仿宋" w:hAnsi="仿宋" w:eastAsia="仿宋" w:cs="仿宋"/>
          <w:b/>
          <w:bCs/>
          <w:color w:val="auto"/>
          <w:kern w:val="0"/>
          <w:sz w:val="24"/>
          <w:szCs w:val="24"/>
        </w:rPr>
        <w:t>附件：质疑函范本</w:t>
      </w:r>
    </w:p>
    <w:p>
      <w:pPr>
        <w:jc w:val="center"/>
        <w:rPr>
          <w:rFonts w:ascii="仿宋" w:hAnsi="仿宋" w:eastAsia="仿宋" w:cs="仿宋"/>
          <w:b/>
          <w:bCs/>
          <w:color w:val="auto"/>
          <w:sz w:val="24"/>
          <w:szCs w:val="24"/>
        </w:rPr>
      </w:pPr>
      <w:r>
        <w:rPr>
          <w:rFonts w:hint="eastAsia" w:ascii="仿宋" w:hAnsi="仿宋" w:eastAsia="仿宋" w:cs="仿宋"/>
          <w:b/>
          <w:bCs/>
          <w:color w:val="auto"/>
          <w:sz w:val="24"/>
          <w:szCs w:val="24"/>
        </w:rPr>
        <w:t>质疑函</w:t>
      </w:r>
    </w:p>
    <w:p>
      <w:pPr>
        <w:adjustRightInd w:val="0"/>
        <w:snapToGrid w:val="0"/>
        <w:spacing w:before="312" w:beforeLines="100" w:line="360" w:lineRule="auto"/>
        <w:rPr>
          <w:rFonts w:ascii="仿宋" w:hAnsi="仿宋" w:eastAsia="仿宋" w:cs="仿宋"/>
          <w:bCs/>
          <w:color w:val="auto"/>
          <w:sz w:val="24"/>
          <w:szCs w:val="24"/>
        </w:rPr>
      </w:pPr>
      <w:r>
        <w:rPr>
          <w:rFonts w:hint="eastAsia" w:ascii="仿宋" w:hAnsi="仿宋" w:eastAsia="仿宋" w:cs="仿宋"/>
          <w:bCs/>
          <w:color w:val="auto"/>
          <w:sz w:val="24"/>
          <w:szCs w:val="24"/>
        </w:rPr>
        <w:t>一、质疑供应商基本信息</w:t>
      </w:r>
    </w:p>
    <w:p>
      <w:pPr>
        <w:adjustRightInd w:val="0"/>
        <w:snapToGrid w:val="0"/>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质疑供应商：</w:t>
      </w:r>
      <w:r>
        <w:rPr>
          <w:rFonts w:hint="eastAsia" w:ascii="仿宋" w:hAnsi="仿宋" w:eastAsia="仿宋" w:cs="仿宋"/>
          <w:color w:val="auto"/>
          <w:sz w:val="24"/>
          <w:szCs w:val="24"/>
          <w:u w:val="single"/>
        </w:rPr>
        <w:t xml:space="preserve">                                        </w:t>
      </w:r>
    </w:p>
    <w:p>
      <w:pPr>
        <w:adjustRightInd w:val="0"/>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地址：</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邮编：</w:t>
      </w:r>
      <w:r>
        <w:rPr>
          <w:rFonts w:hint="eastAsia" w:ascii="仿宋" w:hAnsi="仿宋" w:eastAsia="仿宋" w:cs="仿宋"/>
          <w:color w:val="auto"/>
          <w:sz w:val="24"/>
          <w:szCs w:val="24"/>
          <w:u w:val="single"/>
        </w:rPr>
        <w:t xml:space="preserve">                         </w:t>
      </w:r>
    </w:p>
    <w:p>
      <w:pPr>
        <w:adjustRightInd w:val="0"/>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授权代表：</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联系电话：</w:t>
      </w:r>
      <w:r>
        <w:rPr>
          <w:rFonts w:hint="eastAsia" w:ascii="仿宋" w:hAnsi="仿宋" w:eastAsia="仿宋" w:cs="仿宋"/>
          <w:color w:val="auto"/>
          <w:sz w:val="24"/>
          <w:szCs w:val="24"/>
          <w:u w:val="single"/>
        </w:rPr>
        <w:t xml:space="preserve">                          </w:t>
      </w:r>
    </w:p>
    <w:p>
      <w:pPr>
        <w:adjustRightInd w:val="0"/>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邮箱：</w:t>
      </w:r>
      <w:r>
        <w:rPr>
          <w:rFonts w:hint="eastAsia" w:ascii="仿宋" w:hAnsi="仿宋" w:eastAsia="仿宋" w:cs="仿宋"/>
          <w:color w:val="auto"/>
          <w:sz w:val="24"/>
          <w:szCs w:val="24"/>
          <w:u w:val="single"/>
        </w:rPr>
        <w:t xml:space="preserve">                                      </w:t>
      </w:r>
    </w:p>
    <w:p>
      <w:pPr>
        <w:adjustRightInd w:val="0"/>
        <w:snapToGrid w:val="0"/>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二、质疑项目基本情况</w:t>
      </w:r>
    </w:p>
    <w:p>
      <w:pPr>
        <w:adjustRightInd w:val="0"/>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质疑项目的名称：</w:t>
      </w:r>
      <w:r>
        <w:rPr>
          <w:rFonts w:hint="eastAsia" w:ascii="仿宋" w:hAnsi="仿宋" w:eastAsia="仿宋" w:cs="仿宋"/>
          <w:color w:val="auto"/>
          <w:sz w:val="24"/>
          <w:szCs w:val="24"/>
          <w:u w:val="single"/>
        </w:rPr>
        <w:t xml:space="preserve">                                      </w:t>
      </w:r>
    </w:p>
    <w:p>
      <w:pPr>
        <w:adjustRightInd w:val="0"/>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质疑项目的编号：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标项：</w:t>
      </w:r>
      <w:r>
        <w:rPr>
          <w:rFonts w:hint="eastAsia" w:ascii="仿宋" w:hAnsi="仿宋" w:eastAsia="仿宋" w:cs="仿宋"/>
          <w:color w:val="auto"/>
          <w:sz w:val="24"/>
          <w:szCs w:val="24"/>
          <w:u w:val="single"/>
        </w:rPr>
        <w:t xml:space="preserve">                 </w:t>
      </w:r>
    </w:p>
    <w:p>
      <w:pPr>
        <w:adjustRightInd w:val="0"/>
        <w:snapToGrid w:val="0"/>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采购人名称：</w:t>
      </w:r>
      <w:r>
        <w:rPr>
          <w:rFonts w:hint="eastAsia" w:ascii="仿宋" w:hAnsi="仿宋" w:eastAsia="仿宋" w:cs="仿宋"/>
          <w:color w:val="auto"/>
          <w:sz w:val="24"/>
          <w:szCs w:val="24"/>
          <w:u w:val="single"/>
        </w:rPr>
        <w:t xml:space="preserve">                                         </w:t>
      </w:r>
    </w:p>
    <w:p>
      <w:pPr>
        <w:adjustRightInd w:val="0"/>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采购文件获取日期：</w:t>
      </w:r>
      <w:r>
        <w:rPr>
          <w:rFonts w:hint="eastAsia" w:ascii="仿宋" w:hAnsi="仿宋" w:eastAsia="仿宋" w:cs="仿宋"/>
          <w:color w:val="auto"/>
          <w:sz w:val="24"/>
          <w:szCs w:val="24"/>
          <w:u w:val="single"/>
        </w:rPr>
        <w:t xml:space="preserve">                                           </w:t>
      </w:r>
    </w:p>
    <w:p>
      <w:pPr>
        <w:adjustRightInd w:val="0"/>
        <w:snapToGrid w:val="0"/>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三、质疑事项具体内容</w:t>
      </w:r>
    </w:p>
    <w:p>
      <w:pPr>
        <w:adjustRightInd w:val="0"/>
        <w:snapToGrid w:val="0"/>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质疑事项1：</w:t>
      </w:r>
      <w:r>
        <w:rPr>
          <w:rFonts w:hint="eastAsia" w:ascii="仿宋" w:hAnsi="仿宋" w:eastAsia="仿宋" w:cs="仿宋"/>
          <w:color w:val="auto"/>
          <w:sz w:val="24"/>
          <w:szCs w:val="24"/>
          <w:u w:val="single"/>
        </w:rPr>
        <w:t xml:space="preserve">                                         </w:t>
      </w:r>
    </w:p>
    <w:p>
      <w:pPr>
        <w:adjustRightInd w:val="0"/>
        <w:snapToGrid w:val="0"/>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事实依据：</w:t>
      </w:r>
      <w:r>
        <w:rPr>
          <w:rFonts w:hint="eastAsia" w:ascii="仿宋" w:hAnsi="仿宋" w:eastAsia="仿宋" w:cs="仿宋"/>
          <w:color w:val="auto"/>
          <w:sz w:val="24"/>
          <w:szCs w:val="24"/>
          <w:u w:val="single"/>
        </w:rPr>
        <w:t xml:space="preserve">                                          </w:t>
      </w:r>
    </w:p>
    <w:p>
      <w:pPr>
        <w:adjustRightInd w:val="0"/>
        <w:snapToGrid w:val="0"/>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法律依据：</w:t>
      </w:r>
      <w:r>
        <w:rPr>
          <w:rFonts w:hint="eastAsia" w:ascii="仿宋" w:hAnsi="仿宋" w:eastAsia="仿宋" w:cs="仿宋"/>
          <w:color w:val="auto"/>
          <w:sz w:val="24"/>
          <w:szCs w:val="24"/>
          <w:u w:val="single"/>
        </w:rPr>
        <w:t xml:space="preserve">                                          </w:t>
      </w:r>
    </w:p>
    <w:p>
      <w:pPr>
        <w:adjustRightInd w:val="0"/>
        <w:snapToGrid w:val="0"/>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质疑事项2</w:t>
      </w:r>
    </w:p>
    <w:p>
      <w:pPr>
        <w:adjustRightInd w:val="0"/>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w:t>
      </w:r>
    </w:p>
    <w:p>
      <w:pPr>
        <w:adjustRightInd w:val="0"/>
        <w:snapToGrid w:val="0"/>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四、与质疑事项相关的请求</w:t>
      </w:r>
    </w:p>
    <w:p>
      <w:pPr>
        <w:adjustRightInd w:val="0"/>
        <w:snapToGrid w:val="0"/>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请求1：</w:t>
      </w:r>
      <w:r>
        <w:rPr>
          <w:rFonts w:hint="eastAsia" w:ascii="仿宋" w:hAnsi="仿宋" w:eastAsia="仿宋" w:cs="仿宋"/>
          <w:color w:val="auto"/>
          <w:sz w:val="24"/>
          <w:szCs w:val="24"/>
          <w:u w:val="single"/>
        </w:rPr>
        <w:t xml:space="preserve">                                               </w:t>
      </w:r>
    </w:p>
    <w:p>
      <w:pPr>
        <w:adjustRightInd w:val="0"/>
        <w:snapToGrid w:val="0"/>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请求2：</w:t>
      </w:r>
      <w:r>
        <w:rPr>
          <w:rFonts w:hint="eastAsia" w:ascii="仿宋" w:hAnsi="仿宋" w:eastAsia="仿宋" w:cs="仿宋"/>
          <w:color w:val="auto"/>
          <w:sz w:val="24"/>
          <w:szCs w:val="24"/>
          <w:u w:val="single"/>
        </w:rPr>
        <w:t xml:space="preserve">                                            </w:t>
      </w:r>
    </w:p>
    <w:p>
      <w:pPr>
        <w:adjustRightInd w:val="0"/>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w:t>
      </w:r>
    </w:p>
    <w:p>
      <w:pPr>
        <w:adjustRightInd w:val="0"/>
        <w:snapToGrid w:val="0"/>
        <w:spacing w:line="360" w:lineRule="auto"/>
        <w:rPr>
          <w:rFonts w:ascii="仿宋" w:hAnsi="仿宋" w:eastAsia="仿宋" w:cs="仿宋"/>
          <w:b/>
          <w:bCs/>
          <w:color w:val="auto"/>
          <w:sz w:val="24"/>
          <w:szCs w:val="24"/>
        </w:rPr>
      </w:pPr>
      <w:r>
        <w:rPr>
          <w:rFonts w:hint="eastAsia" w:ascii="仿宋" w:hAnsi="仿宋" w:eastAsia="仿宋" w:cs="仿宋"/>
          <w:b/>
          <w:bCs/>
          <w:color w:val="auto"/>
          <w:sz w:val="24"/>
          <w:szCs w:val="24"/>
        </w:rPr>
        <w:t>本公司承诺接受数据电文形式的质疑答复，视为书面答复。</w:t>
      </w:r>
    </w:p>
    <w:p>
      <w:pPr>
        <w:adjustRightInd w:val="0"/>
        <w:snapToGrid w:val="0"/>
        <w:spacing w:line="360" w:lineRule="auto"/>
        <w:rPr>
          <w:rFonts w:ascii="仿宋" w:hAnsi="仿宋" w:eastAsia="仿宋" w:cs="仿宋"/>
          <w:b/>
          <w:bCs/>
          <w:color w:val="auto"/>
          <w:sz w:val="24"/>
          <w:szCs w:val="24"/>
          <w:u w:val="double"/>
        </w:rPr>
      </w:pPr>
      <w:r>
        <w:rPr>
          <w:rFonts w:hint="eastAsia" w:ascii="仿宋" w:hAnsi="仿宋" w:eastAsia="仿宋" w:cs="仿宋"/>
          <w:b/>
          <w:bCs/>
          <w:color w:val="auto"/>
          <w:sz w:val="24"/>
          <w:szCs w:val="24"/>
          <w:u w:val="double"/>
        </w:rPr>
        <w:t>（需附供应商法定代表人的授权委托书，以委托授权代表提出质疑，格式自拟）</w:t>
      </w:r>
    </w:p>
    <w:p>
      <w:pPr>
        <w:adjustRightInd w:val="0"/>
        <w:snapToGrid w:val="0"/>
        <w:spacing w:line="360" w:lineRule="auto"/>
        <w:rPr>
          <w:rFonts w:ascii="仿宋" w:hAnsi="仿宋" w:eastAsia="仿宋" w:cs="仿宋"/>
          <w:color w:val="auto"/>
          <w:sz w:val="24"/>
          <w:szCs w:val="24"/>
          <w:u w:val="dotted"/>
        </w:rPr>
      </w:pPr>
    </w:p>
    <w:p>
      <w:pPr>
        <w:rPr>
          <w:rFonts w:ascii="仿宋" w:hAnsi="仿宋" w:eastAsia="仿宋" w:cs="仿宋"/>
          <w:color w:val="auto"/>
          <w:sz w:val="24"/>
          <w:szCs w:val="24"/>
        </w:rPr>
      </w:pPr>
      <w:r>
        <w:rPr>
          <w:rFonts w:hint="eastAsia" w:ascii="仿宋" w:hAnsi="仿宋" w:eastAsia="仿宋" w:cs="仿宋"/>
          <w:color w:val="auto"/>
          <w:sz w:val="24"/>
          <w:szCs w:val="24"/>
        </w:rPr>
        <w:t xml:space="preserve">授权代表签字(签章)：                 投标人签章：                      </w:t>
      </w:r>
    </w:p>
    <w:p>
      <w:pPr>
        <w:rPr>
          <w:rFonts w:ascii="仿宋" w:hAnsi="仿宋" w:eastAsia="仿宋" w:cs="仿宋"/>
          <w:color w:val="auto"/>
          <w:sz w:val="24"/>
          <w:szCs w:val="24"/>
        </w:rPr>
      </w:pPr>
      <w:r>
        <w:rPr>
          <w:rFonts w:hint="eastAsia" w:ascii="仿宋" w:hAnsi="仿宋" w:eastAsia="仿宋" w:cs="仿宋"/>
          <w:color w:val="auto"/>
          <w:sz w:val="24"/>
          <w:szCs w:val="24"/>
        </w:rPr>
        <w:t xml:space="preserve">日期：    </w:t>
      </w:r>
    </w:p>
    <w:p>
      <w:pPr>
        <w:adjustRightInd w:val="0"/>
        <w:snapToGrid w:val="0"/>
        <w:spacing w:line="360" w:lineRule="auto"/>
        <w:rPr>
          <w:rFonts w:ascii="仿宋" w:hAnsi="仿宋" w:eastAsia="仿宋" w:cs="仿宋"/>
          <w:color w:val="auto"/>
          <w:sz w:val="24"/>
          <w:szCs w:val="24"/>
        </w:rPr>
      </w:pPr>
    </w:p>
    <w:p>
      <w:pPr>
        <w:adjustRightInd w:val="0"/>
        <w:snapToGrid w:val="0"/>
        <w:spacing w:line="360" w:lineRule="auto"/>
        <w:rPr>
          <w:rFonts w:ascii="仿宋" w:hAnsi="仿宋" w:eastAsia="仿宋" w:cs="仿宋"/>
          <w:color w:val="auto"/>
          <w:kern w:val="0"/>
          <w:sz w:val="24"/>
          <w:szCs w:val="24"/>
        </w:rPr>
      </w:pPr>
    </w:p>
    <w:p>
      <w:pPr>
        <w:adjustRightInd w:val="0"/>
        <w:snapToGrid w:val="0"/>
        <w:spacing w:line="360" w:lineRule="auto"/>
        <w:rPr>
          <w:rFonts w:ascii="仿宋" w:hAnsi="仿宋" w:eastAsia="仿宋" w:cs="仿宋"/>
          <w:color w:val="auto"/>
          <w:kern w:val="0"/>
          <w:sz w:val="24"/>
          <w:szCs w:val="24"/>
        </w:rPr>
      </w:pPr>
    </w:p>
    <w:bookmarkEnd w:id="134"/>
    <w:sectPr>
      <w:pgSz w:w="11907" w:h="16840"/>
      <w:pgMar w:top="1440" w:right="1236"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Lucida Sans">
    <w:panose1 w:val="020B0602030504020204"/>
    <w:charset w:val="00"/>
    <w:family w:val="swiss"/>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pPr>
    <w:r>
      <w:rPr>
        <w:rStyle w:val="30"/>
      </w:rPr>
      <w:fldChar w:fldCharType="begin"/>
    </w:r>
    <w:r>
      <w:rPr>
        <w:rStyle w:val="30"/>
      </w:rPr>
      <w:instrText xml:space="preserve">Page</w:instrText>
    </w:r>
    <w:r>
      <w:rPr>
        <w:rStyle w:val="30"/>
      </w:rPr>
      <w:fldChar w:fldCharType="separate"/>
    </w:r>
    <w:r>
      <w:rPr>
        <w:rStyle w:val="30"/>
      </w:rPr>
      <w:t>1</w:t>
    </w:r>
    <w:r>
      <w:rPr>
        <w:rStyle w:val="30"/>
      </w:rPr>
      <w:fldChar w:fldCharType="end"/>
    </w:r>
  </w:p>
  <w:p>
    <w:pPr>
      <w:pStyle w:val="19"/>
      <w:framePr w:wrap="around" w:vAnchor="text" w:hAnchor="margin" w:xAlign="center" w:y="1"/>
    </w:pPr>
    <w:r>
      <w:rPr>
        <w:rStyle w:val="30"/>
      </w:rPr>
      <w:fldChar w:fldCharType="begin"/>
    </w:r>
    <w:r>
      <w:rPr>
        <w:rStyle w:val="30"/>
      </w:rPr>
      <w:instrText xml:space="preserve">Page</w:instrText>
    </w:r>
    <w:r>
      <w:rPr>
        <w:rStyle w:val="30"/>
      </w:rPr>
      <w:fldChar w:fldCharType="separate"/>
    </w:r>
    <w:r>
      <w:rPr>
        <w:rStyle w:val="30"/>
      </w:rPr>
      <w:t>1</w:t>
    </w:r>
    <w:r>
      <w:rPr>
        <w:rStyle w:val="30"/>
      </w:rP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rPr>
                              <w:rStyle w:val="30"/>
                            </w:rPr>
                            <w:fldChar w:fldCharType="begin"/>
                          </w:r>
                          <w:r>
                            <w:rPr>
                              <w:rStyle w:val="30"/>
                            </w:rPr>
                            <w:instrText xml:space="preserve">Page</w:instrText>
                          </w:r>
                          <w:r>
                            <w:rPr>
                              <w:rStyle w:val="30"/>
                            </w:rPr>
                            <w:fldChar w:fldCharType="separate"/>
                          </w:r>
                          <w:r>
                            <w:rPr>
                              <w:rStyle w:val="30"/>
                            </w:rPr>
                            <w:t>57</w:t>
                          </w:r>
                          <w:r>
                            <w:rPr>
                              <w:rStyle w:val="3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9"/>
                    </w:pPr>
                    <w:r>
                      <w:rPr>
                        <w:rStyle w:val="30"/>
                      </w:rPr>
                      <w:fldChar w:fldCharType="begin"/>
                    </w:r>
                    <w:r>
                      <w:rPr>
                        <w:rStyle w:val="30"/>
                      </w:rPr>
                      <w:instrText xml:space="preserve">Page</w:instrText>
                    </w:r>
                    <w:r>
                      <w:rPr>
                        <w:rStyle w:val="30"/>
                      </w:rPr>
                      <w:fldChar w:fldCharType="separate"/>
                    </w:r>
                    <w:r>
                      <w:rPr>
                        <w:rStyle w:val="30"/>
                      </w:rPr>
                      <w:t>57</w:t>
                    </w:r>
                    <w:r>
                      <w:rPr>
                        <w:rStyle w:val="3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3F677"/>
    <w:multiLevelType w:val="singleLevel"/>
    <w:tmpl w:val="8B13F677"/>
    <w:lvl w:ilvl="0" w:tentative="0">
      <w:start w:val="1"/>
      <w:numFmt w:val="decimal"/>
      <w:suff w:val="nothing"/>
      <w:lvlText w:val="（%1）"/>
      <w:lvlJc w:val="left"/>
    </w:lvl>
  </w:abstractNum>
  <w:abstractNum w:abstractNumId="1">
    <w:nsid w:val="941024DB"/>
    <w:multiLevelType w:val="multilevel"/>
    <w:tmpl w:val="941024DB"/>
    <w:lvl w:ilvl="0" w:tentative="0">
      <w:start w:val="1"/>
      <w:numFmt w:val="decimal"/>
      <w:lvlText w:val="%1、"/>
      <w:legacy w:legacy="1" w:legacySpace="0" w:legacyIndent="360"/>
      <w:lvlJc w:val="left"/>
      <w:pPr>
        <w:ind w:left="360" w:hanging="3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2">
    <w:nsid w:val="9A246570"/>
    <w:multiLevelType w:val="singleLevel"/>
    <w:tmpl w:val="9A246570"/>
    <w:lvl w:ilvl="0" w:tentative="0">
      <w:start w:val="1"/>
      <w:numFmt w:val="decimal"/>
      <w:suff w:val="nothing"/>
      <w:lvlText w:val="（%1）"/>
      <w:lvlJc w:val="left"/>
    </w:lvl>
  </w:abstractNum>
  <w:abstractNum w:abstractNumId="3">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4">
    <w:nsid w:val="C0DADA07"/>
    <w:multiLevelType w:val="multilevel"/>
    <w:tmpl w:val="C0DADA07"/>
    <w:lvl w:ilvl="0" w:tentative="0">
      <w:start w:val="1"/>
      <w:numFmt w:val="decimal"/>
      <w:lvlText w:val="%1."/>
      <w:legacy w:legacy="1" w:legacySpace="0" w:legacyIndent="425"/>
      <w:lvlJc w:val="left"/>
      <w:pPr>
        <w:ind w:left="425" w:hanging="425"/>
      </w:pPr>
    </w:lvl>
    <w:lvl w:ilvl="1" w:tentative="0">
      <w:start w:val="1"/>
      <w:numFmt w:val="decimal"/>
      <w:pStyle w:val="36"/>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5">
    <w:nsid w:val="D0D4FDAD"/>
    <w:multiLevelType w:val="singleLevel"/>
    <w:tmpl w:val="D0D4FDAD"/>
    <w:lvl w:ilvl="0" w:tentative="0">
      <w:start w:val="1"/>
      <w:numFmt w:val="decimal"/>
      <w:suff w:val="nothing"/>
      <w:lvlText w:val="（%1）"/>
      <w:lvlJc w:val="left"/>
    </w:lvl>
  </w:abstractNum>
  <w:abstractNum w:abstractNumId="6">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7">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8">
    <w:nsid w:val="0A24BB42"/>
    <w:multiLevelType w:val="singleLevel"/>
    <w:tmpl w:val="0A24BB42"/>
    <w:lvl w:ilvl="0" w:tentative="0">
      <w:start w:val="1"/>
      <w:numFmt w:val="decimal"/>
      <w:suff w:val="nothing"/>
      <w:lvlText w:val="（%1）"/>
      <w:lvlJc w:val="left"/>
    </w:lvl>
  </w:abstractNum>
  <w:abstractNum w:abstractNumId="9">
    <w:nsid w:val="0FCDE4E0"/>
    <w:multiLevelType w:val="singleLevel"/>
    <w:tmpl w:val="0FCDE4E0"/>
    <w:lvl w:ilvl="0" w:tentative="0">
      <w:start w:val="1"/>
      <w:numFmt w:val="decimal"/>
      <w:suff w:val="nothing"/>
      <w:lvlText w:val="（%1）"/>
      <w:lvlJc w:val="left"/>
    </w:lvl>
  </w:abstractNum>
  <w:abstractNum w:abstractNumId="10">
    <w:nsid w:val="2707A767"/>
    <w:multiLevelType w:val="singleLevel"/>
    <w:tmpl w:val="2707A767"/>
    <w:lvl w:ilvl="0" w:tentative="0">
      <w:start w:val="1"/>
      <w:numFmt w:val="decimal"/>
      <w:pStyle w:val="9"/>
      <w:lvlText w:val="%1、"/>
      <w:lvlJc w:val="left"/>
      <w:pPr>
        <w:tabs>
          <w:tab w:val="left" w:pos="0"/>
        </w:tabs>
        <w:ind w:left="840" w:hanging="420"/>
      </w:pPr>
      <w:rPr>
        <w:rFonts w:ascii="Cambria" w:hAnsi="Cambria" w:eastAsia="微软雅黑" w:cs="Times New Roman"/>
      </w:rPr>
    </w:lvl>
  </w:abstractNum>
  <w:abstractNum w:abstractNumId="11">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2">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3">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10"/>
  </w:num>
  <w:num w:numId="2">
    <w:abstractNumId w:val="4"/>
  </w:num>
  <w:num w:numId="3">
    <w:abstractNumId w:val="3"/>
  </w:num>
  <w:num w:numId="4">
    <w:abstractNumId w:val="2"/>
  </w:num>
  <w:num w:numId="5">
    <w:abstractNumId w:val="12"/>
  </w:num>
  <w:num w:numId="6">
    <w:abstractNumId w:val="8"/>
  </w:num>
  <w:num w:numId="7">
    <w:abstractNumId w:val="5"/>
  </w:num>
  <w:num w:numId="8">
    <w:abstractNumId w:val="0"/>
  </w:num>
  <w:num w:numId="9">
    <w:abstractNumId w:val="9"/>
  </w:num>
  <w:num w:numId="10">
    <w:abstractNumId w:val="6"/>
  </w:num>
  <w:num w:numId="11">
    <w:abstractNumId w:val="7"/>
  </w:num>
  <w:num w:numId="12">
    <w:abstractNumId w:val="11"/>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dit="readOnly" w:enforcement="0"/>
  <w:defaultTabStop w:val="420"/>
  <w:drawingGridHorizontalSpacing w:val="105"/>
  <w:drawingGridVerticalSpacing w:val="156"/>
  <w:displayHorizontalDrawingGridEvery w:val="0"/>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wNzQzMWRkNmU5MTVlZmRlZGM5ZjhjZjlkOGNhYWUifQ=="/>
  </w:docVars>
  <w:rsids>
    <w:rsidRoot w:val="00732D64"/>
    <w:rsid w:val="00050EEF"/>
    <w:rsid w:val="0007279F"/>
    <w:rsid w:val="000E7F36"/>
    <w:rsid w:val="000F6AC3"/>
    <w:rsid w:val="00165A3D"/>
    <w:rsid w:val="00190A95"/>
    <w:rsid w:val="002244E1"/>
    <w:rsid w:val="00351C40"/>
    <w:rsid w:val="00363FE1"/>
    <w:rsid w:val="00367F0A"/>
    <w:rsid w:val="00390121"/>
    <w:rsid w:val="003D5E33"/>
    <w:rsid w:val="004043C0"/>
    <w:rsid w:val="00460637"/>
    <w:rsid w:val="0046118D"/>
    <w:rsid w:val="00482330"/>
    <w:rsid w:val="00550BCA"/>
    <w:rsid w:val="00571911"/>
    <w:rsid w:val="005753F1"/>
    <w:rsid w:val="005A03E4"/>
    <w:rsid w:val="005D30BE"/>
    <w:rsid w:val="006437BA"/>
    <w:rsid w:val="00672D66"/>
    <w:rsid w:val="00674A4E"/>
    <w:rsid w:val="00677FAB"/>
    <w:rsid w:val="00694CCA"/>
    <w:rsid w:val="006C71D7"/>
    <w:rsid w:val="006D60F2"/>
    <w:rsid w:val="00732D64"/>
    <w:rsid w:val="007C2019"/>
    <w:rsid w:val="007C4E7B"/>
    <w:rsid w:val="00821F97"/>
    <w:rsid w:val="00823393"/>
    <w:rsid w:val="00824197"/>
    <w:rsid w:val="008645CE"/>
    <w:rsid w:val="008D65DA"/>
    <w:rsid w:val="0097353E"/>
    <w:rsid w:val="00A928F0"/>
    <w:rsid w:val="00B0371D"/>
    <w:rsid w:val="00B44651"/>
    <w:rsid w:val="00BD7563"/>
    <w:rsid w:val="00C06349"/>
    <w:rsid w:val="00C438DD"/>
    <w:rsid w:val="00C911BB"/>
    <w:rsid w:val="00CD7FDB"/>
    <w:rsid w:val="00D379A2"/>
    <w:rsid w:val="00D629A2"/>
    <w:rsid w:val="00D863CE"/>
    <w:rsid w:val="00DA27CC"/>
    <w:rsid w:val="00E449D5"/>
    <w:rsid w:val="00ED174A"/>
    <w:rsid w:val="00F72749"/>
    <w:rsid w:val="00F85D99"/>
    <w:rsid w:val="00FA6D9D"/>
    <w:rsid w:val="00FD42B5"/>
    <w:rsid w:val="02434EB1"/>
    <w:rsid w:val="07334CB8"/>
    <w:rsid w:val="07CD206E"/>
    <w:rsid w:val="096645F9"/>
    <w:rsid w:val="09E34BDB"/>
    <w:rsid w:val="0A983074"/>
    <w:rsid w:val="0C232D87"/>
    <w:rsid w:val="0F2A39F4"/>
    <w:rsid w:val="0F700123"/>
    <w:rsid w:val="147E276B"/>
    <w:rsid w:val="1693001D"/>
    <w:rsid w:val="1A63428C"/>
    <w:rsid w:val="1C660C85"/>
    <w:rsid w:val="1ECA3840"/>
    <w:rsid w:val="28D03941"/>
    <w:rsid w:val="298E3F12"/>
    <w:rsid w:val="2BC576F6"/>
    <w:rsid w:val="2DC62600"/>
    <w:rsid w:val="2EFC5F4A"/>
    <w:rsid w:val="321C65B4"/>
    <w:rsid w:val="360858DC"/>
    <w:rsid w:val="374145A9"/>
    <w:rsid w:val="391815C9"/>
    <w:rsid w:val="3FE853C9"/>
    <w:rsid w:val="40496B98"/>
    <w:rsid w:val="46D46ADF"/>
    <w:rsid w:val="46D729A5"/>
    <w:rsid w:val="48F50150"/>
    <w:rsid w:val="52D75FAC"/>
    <w:rsid w:val="536F510F"/>
    <w:rsid w:val="5393159C"/>
    <w:rsid w:val="5616536B"/>
    <w:rsid w:val="56D03E0D"/>
    <w:rsid w:val="5C957F91"/>
    <w:rsid w:val="5E341281"/>
    <w:rsid w:val="5EE270CE"/>
    <w:rsid w:val="62A87AF6"/>
    <w:rsid w:val="62E6604F"/>
    <w:rsid w:val="65347E2E"/>
    <w:rsid w:val="67A114D0"/>
    <w:rsid w:val="6972446D"/>
    <w:rsid w:val="6A88233D"/>
    <w:rsid w:val="6ACD4147"/>
    <w:rsid w:val="6D5E733D"/>
    <w:rsid w:val="6F7A6951"/>
    <w:rsid w:val="71596D71"/>
    <w:rsid w:val="777F2B9D"/>
    <w:rsid w:val="7BA75A5B"/>
    <w:rsid w:val="7BFC300C"/>
    <w:rsid w:val="7F782B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before="340" w:after="330" w:line="578" w:lineRule="auto"/>
      <w:jc w:val="center"/>
      <w:outlineLvl w:val="0"/>
    </w:pPr>
    <w:rPr>
      <w:rFonts w:eastAsia="仿宋"/>
      <w:b/>
      <w:kern w:val="44"/>
      <w:sz w:val="44"/>
    </w:rPr>
  </w:style>
  <w:style w:type="paragraph" w:styleId="5">
    <w:name w:val="heading 2"/>
    <w:basedOn w:val="1"/>
    <w:next w:val="1"/>
    <w:qFormat/>
    <w:uiPriority w:val="0"/>
    <w:pPr>
      <w:keepNext/>
      <w:keepLines/>
      <w:spacing w:before="260" w:after="260" w:line="415" w:lineRule="auto"/>
      <w:jc w:val="center"/>
      <w:outlineLvl w:val="1"/>
    </w:pPr>
    <w:rPr>
      <w:rFonts w:ascii="Arial" w:hAnsi="Arial" w:eastAsia="仿宋"/>
      <w:b/>
      <w:sz w:val="32"/>
    </w:rPr>
  </w:style>
  <w:style w:type="paragraph" w:styleId="6">
    <w:name w:val="heading 3"/>
    <w:basedOn w:val="1"/>
    <w:next w:val="1"/>
    <w:qFormat/>
    <w:uiPriority w:val="0"/>
    <w:pPr>
      <w:keepNext/>
      <w:keepLines/>
      <w:spacing w:before="260" w:after="260" w:line="415" w:lineRule="auto"/>
      <w:outlineLvl w:val="2"/>
    </w:pPr>
    <w:rPr>
      <w:b/>
      <w:sz w:val="32"/>
    </w:rPr>
  </w:style>
  <w:style w:type="paragraph" w:styleId="7">
    <w:name w:val="heading 4"/>
    <w:basedOn w:val="1"/>
    <w:next w:val="1"/>
    <w:qFormat/>
    <w:uiPriority w:val="0"/>
    <w:pPr>
      <w:keepNext/>
      <w:keepLines/>
      <w:spacing w:before="280" w:after="290" w:line="377" w:lineRule="auto"/>
      <w:outlineLvl w:val="3"/>
    </w:pPr>
    <w:rPr>
      <w:rFonts w:ascii="Arial" w:hAnsi="Arial" w:eastAsia="黑体"/>
      <w:b/>
      <w:sz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widowControl/>
      <w:ind w:firstLine="420" w:firstLineChars="100"/>
      <w:jc w:val="left"/>
    </w:pPr>
    <w:rPr>
      <w:rFonts w:ascii="Calibri" w:hAnsi="Calibri"/>
    </w:rPr>
  </w:style>
  <w:style w:type="paragraph" w:styleId="3">
    <w:name w:val="Body Text"/>
    <w:basedOn w:val="1"/>
    <w:next w:val="2"/>
    <w:qFormat/>
    <w:uiPriority w:val="0"/>
    <w:pPr>
      <w:spacing w:line="360" w:lineRule="auto"/>
    </w:pPr>
    <w:rPr>
      <w:rFonts w:eastAsia="仿宋_GB2312" w:asciiTheme="minorHAnsi" w:hAnsiTheme="minorHAnsi" w:cstheme="minorBidi"/>
      <w:sz w:val="28"/>
    </w:rPr>
  </w:style>
  <w:style w:type="paragraph" w:styleId="8">
    <w:name w:val="List Number 2"/>
    <w:qFormat/>
    <w:uiPriority w:val="0"/>
    <w:pPr>
      <w:tabs>
        <w:tab w:val="left" w:pos="1697"/>
      </w:tabs>
      <w:spacing w:after="50" w:afterLines="50"/>
      <w:ind w:left="1697" w:hanging="420"/>
    </w:pPr>
    <w:rPr>
      <w:rFonts w:ascii="Times New Roman" w:hAnsi="Times New Roman" w:eastAsia="宋体" w:cs="Times New Roman"/>
      <w:sz w:val="24"/>
      <w:lang w:val="en-US" w:eastAsia="zh-CN" w:bidi="ar-SA"/>
    </w:rPr>
  </w:style>
  <w:style w:type="paragraph" w:styleId="9">
    <w:name w:val="List Number"/>
    <w:qFormat/>
    <w:uiPriority w:val="0"/>
    <w:pPr>
      <w:numPr>
        <w:ilvl w:val="0"/>
        <w:numId w:val="1"/>
      </w:numPr>
      <w:tabs>
        <w:tab w:val="left" w:pos="454"/>
      </w:tabs>
      <w:spacing w:after="50" w:afterLines="50"/>
      <w:ind w:left="454" w:hanging="284"/>
    </w:pPr>
    <w:rPr>
      <w:rFonts w:ascii="Times New Roman" w:hAnsi="Times New Roman" w:eastAsia="宋体" w:cs="Times New Roman"/>
      <w:sz w:val="24"/>
      <w:lang w:val="en-US" w:eastAsia="zh-CN" w:bidi="ar-SA"/>
    </w:rPr>
  </w:style>
  <w:style w:type="paragraph" w:styleId="10">
    <w:name w:val="Normal Indent"/>
    <w:qFormat/>
    <w:uiPriority w:val="0"/>
    <w:pPr>
      <w:widowControl w:val="0"/>
      <w:ind w:firstLine="420"/>
      <w:jc w:val="both"/>
    </w:pPr>
    <w:rPr>
      <w:rFonts w:ascii="Calibri" w:hAnsi="Calibri" w:eastAsia="宋体" w:cs="Times New Roman"/>
      <w:kern w:val="2"/>
      <w:sz w:val="21"/>
      <w:lang w:val="en-US" w:eastAsia="zh-CN" w:bidi="ar-SA"/>
    </w:rPr>
  </w:style>
  <w:style w:type="paragraph" w:styleId="11">
    <w:name w:val="caption"/>
    <w:next w:val="1"/>
    <w:qFormat/>
    <w:uiPriority w:val="0"/>
    <w:pPr>
      <w:widowControl w:val="0"/>
      <w:spacing w:before="152" w:after="160"/>
      <w:jc w:val="both"/>
    </w:pPr>
    <w:rPr>
      <w:rFonts w:ascii="Arial" w:hAnsi="Arial" w:eastAsia="黑体" w:cs="Times New Roman"/>
      <w:kern w:val="2"/>
      <w:lang w:val="en-US" w:eastAsia="zh-CN" w:bidi="ar-SA"/>
    </w:rPr>
  </w:style>
  <w:style w:type="paragraph" w:styleId="12">
    <w:name w:val="annotation text"/>
    <w:basedOn w:val="1"/>
    <w:link w:val="42"/>
    <w:qFormat/>
    <w:uiPriority w:val="0"/>
    <w:pPr>
      <w:jc w:val="left"/>
    </w:pPr>
  </w:style>
  <w:style w:type="paragraph" w:styleId="13">
    <w:name w:val="Body Text 3"/>
    <w:qFormat/>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styleId="14">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5">
    <w:name w:val="toc 5"/>
    <w:basedOn w:val="1"/>
    <w:next w:val="1"/>
    <w:qFormat/>
    <w:uiPriority w:val="0"/>
    <w:pPr>
      <w:ind w:left="1680"/>
    </w:pPr>
  </w:style>
  <w:style w:type="paragraph" w:styleId="16">
    <w:name w:val="toc 3"/>
    <w:basedOn w:val="1"/>
    <w:next w:val="1"/>
    <w:qFormat/>
    <w:uiPriority w:val="0"/>
    <w:pPr>
      <w:ind w:left="840"/>
    </w:pPr>
  </w:style>
  <w:style w:type="paragraph" w:styleId="17">
    <w:name w:val="Plain Text"/>
    <w:qFormat/>
    <w:uiPriority w:val="0"/>
    <w:pPr>
      <w:widowControl w:val="0"/>
      <w:jc w:val="both"/>
    </w:pPr>
    <w:rPr>
      <w:rFonts w:ascii="宋体" w:hAnsi="Times New Roman" w:eastAsia="宋体" w:cs="Times New Roman"/>
      <w:kern w:val="2"/>
      <w:sz w:val="21"/>
      <w:lang w:val="en-US" w:eastAsia="zh-CN" w:bidi="ar-SA"/>
    </w:rPr>
  </w:style>
  <w:style w:type="paragraph" w:styleId="18">
    <w:name w:val="Date"/>
    <w:basedOn w:val="1"/>
    <w:next w:val="1"/>
    <w:qFormat/>
    <w:uiPriority w:val="0"/>
    <w:pPr>
      <w:ind w:left="2500" w:leftChars="2500"/>
    </w:pPr>
  </w:style>
  <w:style w:type="paragraph" w:styleId="19">
    <w:name w:val="footer"/>
    <w:qFormat/>
    <w:uiPriority w:val="0"/>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20">
    <w:name w:val="header"/>
    <w:basedOn w:val="1"/>
    <w:qFormat/>
    <w:uiPriority w:val="0"/>
    <w:pPr>
      <w:pBdr>
        <w:bottom w:val="single" w:color="auto" w:sz="6" w:space="1"/>
      </w:pBdr>
      <w:tabs>
        <w:tab w:val="center" w:pos="4153"/>
        <w:tab w:val="right" w:pos="8307"/>
      </w:tabs>
      <w:snapToGrid w:val="0"/>
      <w:jc w:val="center"/>
    </w:pPr>
    <w:rPr>
      <w:sz w:val="18"/>
    </w:rPr>
  </w:style>
  <w:style w:type="paragraph" w:styleId="21">
    <w:name w:val="toc 1"/>
    <w:basedOn w:val="1"/>
    <w:next w:val="1"/>
    <w:qFormat/>
    <w:uiPriority w:val="0"/>
  </w:style>
  <w:style w:type="paragraph" w:styleId="22">
    <w:name w:val="toc 4"/>
    <w:basedOn w:val="1"/>
    <w:next w:val="1"/>
    <w:qFormat/>
    <w:uiPriority w:val="0"/>
    <w:pPr>
      <w:ind w:left="1260"/>
    </w:pPr>
  </w:style>
  <w:style w:type="paragraph" w:styleId="23">
    <w:name w:val="toc 2"/>
    <w:basedOn w:val="1"/>
    <w:next w:val="1"/>
    <w:qFormat/>
    <w:uiPriority w:val="0"/>
    <w:pPr>
      <w:ind w:left="420"/>
    </w:pPr>
  </w:style>
  <w:style w:type="paragraph" w:styleId="24">
    <w:name w:val="Normal (Web)"/>
    <w:basedOn w:val="1"/>
    <w:qFormat/>
    <w:uiPriority w:val="0"/>
    <w:rPr>
      <w:sz w:val="24"/>
    </w:rPr>
  </w:style>
  <w:style w:type="paragraph" w:styleId="25">
    <w:name w:val="annotation subject"/>
    <w:basedOn w:val="12"/>
    <w:next w:val="12"/>
    <w:qFormat/>
    <w:uiPriority w:val="0"/>
    <w:rPr>
      <w:b/>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0"/>
    <w:rPr>
      <w:b/>
    </w:rPr>
  </w:style>
  <w:style w:type="character" w:styleId="30">
    <w:name w:val="page number"/>
    <w:basedOn w:val="28"/>
    <w:qFormat/>
    <w:uiPriority w:val="0"/>
  </w:style>
  <w:style w:type="character" w:styleId="31">
    <w:name w:val="FollowedHyperlink"/>
    <w:basedOn w:val="28"/>
    <w:qFormat/>
    <w:uiPriority w:val="0"/>
    <w:rPr>
      <w:color w:val="800080"/>
      <w:u w:val="single"/>
    </w:rPr>
  </w:style>
  <w:style w:type="character" w:styleId="32">
    <w:name w:val="Hyperlink"/>
    <w:qFormat/>
    <w:uiPriority w:val="0"/>
    <w:rPr>
      <w:color w:val="0000FF"/>
      <w:u w:val="single"/>
    </w:rPr>
  </w:style>
  <w:style w:type="paragraph" w:customStyle="1" w:styleId="33">
    <w:name w:val="正文段"/>
    <w:qFormat/>
    <w:uiPriority w:val="0"/>
    <w:pPr>
      <w:snapToGrid w:val="0"/>
      <w:spacing w:after="50" w:afterLines="50"/>
      <w:ind w:firstLine="200" w:firstLineChars="200"/>
      <w:jc w:val="both"/>
    </w:pPr>
    <w:rPr>
      <w:rFonts w:ascii="Calibri" w:hAnsi="Calibri" w:eastAsia="宋体" w:cs="Times New Roman"/>
      <w:sz w:val="24"/>
      <w:lang w:val="en-US" w:eastAsia="zh-CN" w:bidi="ar-SA"/>
    </w:rPr>
  </w:style>
  <w:style w:type="paragraph" w:customStyle="1" w:styleId="34">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35">
    <w:name w:val="正文文字 7"/>
    <w:basedOn w:val="1"/>
    <w:next w:val="1"/>
    <w:qFormat/>
    <w:uiPriority w:val="0"/>
    <w:pPr>
      <w:ind w:left="240"/>
    </w:pPr>
    <w:rPr>
      <w:sz w:val="20"/>
    </w:rPr>
  </w:style>
  <w:style w:type="paragraph" w:customStyle="1" w:styleId="36">
    <w:name w:val="正文文字 8"/>
    <w:basedOn w:val="1"/>
    <w:next w:val="1"/>
    <w:qFormat/>
    <w:uiPriority w:val="0"/>
    <w:pPr>
      <w:numPr>
        <w:ilvl w:val="1"/>
        <w:numId w:val="2"/>
      </w:numPr>
      <w:ind w:left="805"/>
    </w:pPr>
    <w:rPr>
      <w:sz w:val="16"/>
    </w:rPr>
  </w:style>
  <w:style w:type="paragraph" w:customStyle="1" w:styleId="37">
    <w:name w:val="列出段落1"/>
    <w:next w:val="35"/>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8">
    <w:name w:val="样式5"/>
    <w:next w:val="36"/>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9">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编号，小四"/>
    <w:basedOn w:val="1"/>
    <w:link w:val="41"/>
    <w:qFormat/>
    <w:uiPriority w:val="0"/>
    <w:pPr>
      <w:spacing w:line="360" w:lineRule="auto"/>
      <w:ind w:firstLine="200" w:firstLineChars="200"/>
    </w:pPr>
    <w:rPr>
      <w:rFonts w:ascii="Arial" w:hAnsi="Arial" w:cs="宋体"/>
      <w:sz w:val="24"/>
    </w:rPr>
  </w:style>
  <w:style w:type="character" w:customStyle="1" w:styleId="41">
    <w:name w:val="编号，小四 Char"/>
    <w:link w:val="40"/>
    <w:qFormat/>
    <w:uiPriority w:val="0"/>
    <w:rPr>
      <w:rFonts w:ascii="Arial" w:hAnsi="Arial" w:cs="宋体"/>
      <w:kern w:val="2"/>
      <w:sz w:val="24"/>
    </w:rPr>
  </w:style>
  <w:style w:type="character" w:customStyle="1" w:styleId="42">
    <w:name w:val="批注文字 字符"/>
    <w:basedOn w:val="28"/>
    <w:link w:val="12"/>
    <w:qFormat/>
    <w:uiPriority w:val="0"/>
    <w:rPr>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73</Pages>
  <Words>38677</Words>
  <Characters>43348</Characters>
  <Lines>364</Lines>
  <Paragraphs>102</Paragraphs>
  <TotalTime>9</TotalTime>
  <ScaleCrop>false</ScaleCrop>
  <LinksUpToDate>false</LinksUpToDate>
  <CharactersWithSpaces>46245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2023-06-29T05:33:00Z</dcterms:created>
  <dc:creator>admin8</dc:creator>
  <cp:lastModifiedBy>GJH</cp:lastModifiedBy>
  <cp:lastPrinted>2020-02-27T03:07:00Z</cp:lastPrinted>
  <dcterms:modified xsi:type="dcterms:W3CDTF">2023-06-30T05:39:40Z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A42D08BF8B9A4050963DAC1CA724C99F_13</vt:lpwstr>
  </property>
</Properties>
</file>