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52"/>
          <w:szCs w:val="52"/>
          <w:lang w:eastAsia="zh-CN"/>
        </w:rPr>
      </w:pPr>
      <w:r>
        <w:rPr>
          <w:rFonts w:hint="eastAsia" w:cs="仿宋_GB2312" w:asciiTheme="minorEastAsia" w:hAnsiTheme="minorEastAsia" w:eastAsiaTheme="minorEastAsia"/>
          <w:b/>
          <w:color w:val="auto"/>
          <w:sz w:val="52"/>
          <w:szCs w:val="52"/>
          <w:lang w:eastAsia="zh-CN"/>
        </w:rPr>
        <w:t>杭州市临安区於潜中学2025年职工疗休养项目</w:t>
      </w:r>
    </w:p>
    <w:p w14:paraId="6C20DC5D">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206DCEE1">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330112251350450000001</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260C1CEB">
      <w:pPr>
        <w:snapToGrid w:val="0"/>
        <w:spacing w:line="360" w:lineRule="auto"/>
        <w:jc w:val="center"/>
        <w:rPr>
          <w:rFonts w:hint="eastAsia" w:cs="仿宋_GB2312" w:asciiTheme="minorEastAsia" w:hAnsiTheme="minorEastAsia" w:eastAsiaTheme="minorEastAsia"/>
          <w:sz w:val="32"/>
          <w:szCs w:val="32"/>
          <w:lang w:eastAsia="zh-CN"/>
        </w:rPr>
      </w:pPr>
      <w:r>
        <w:rPr>
          <w:rFonts w:hint="eastAsia" w:ascii="宋体" w:hAnsi="宋体" w:cs="宋体" w:eastAsiaTheme="minorEastAsia"/>
          <w:sz w:val="32"/>
          <w:szCs w:val="32"/>
          <w:lang w:val="en-US" w:eastAsia="zh-CN"/>
        </w:rPr>
        <w:t>采购人：</w:t>
      </w:r>
      <w:r>
        <w:rPr>
          <w:rFonts w:hint="eastAsia" w:ascii="宋体" w:hAnsi="宋体" w:cs="宋体" w:eastAsiaTheme="minorEastAsia"/>
          <w:sz w:val="32"/>
          <w:szCs w:val="32"/>
          <w:lang w:eastAsia="zh-CN"/>
        </w:rPr>
        <w:t>杭州市临安区於潜中学</w:t>
      </w:r>
    </w:p>
    <w:p w14:paraId="4EBD6EFB">
      <w:pPr>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val="en-US" w:eastAsia="zh-CN"/>
        </w:rPr>
        <w:t>代理机构：浙江天册工程管理有限公司</w:t>
      </w:r>
    </w:p>
    <w:p w14:paraId="2AA1C14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bookmarkEnd w:id="2"/>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lang w:eastAsia="zh-CN"/>
        </w:rPr>
        <w:t>杭州市临安区於潜中学2025年职工疗休养项目</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63CAB586">
      <w:pPr>
        <w:pStyle w:val="3"/>
        <w:numPr>
          <w:ilvl w:val="0"/>
          <w:numId w:val="0"/>
        </w:numPr>
        <w:spacing w:line="360" w:lineRule="auto"/>
        <w:ind w:left="432" w:hanging="432"/>
        <w:rPr>
          <w:rFonts w:hint="eastAsia" w:ascii="宋体" w:hAnsi="宋体" w:eastAsia="宋体" w:cs="宋体"/>
          <w:color w:val="auto"/>
          <w:sz w:val="24"/>
          <w:szCs w:val="24"/>
          <w:highlight w:val="none"/>
        </w:rPr>
      </w:pPr>
      <w:bookmarkStart w:id="10" w:name="_Toc28359012"/>
      <w:bookmarkStart w:id="11" w:name="_Toc28359089"/>
      <w:bookmarkStart w:id="12" w:name="_Toc35393798"/>
      <w:bookmarkStart w:id="13" w:name="_Toc35393629"/>
      <w:r>
        <w:rPr>
          <w:rFonts w:hint="eastAsia" w:ascii="宋体" w:hAnsi="宋体" w:eastAsia="宋体" w:cs="宋体"/>
          <w:color w:val="auto"/>
          <w:sz w:val="24"/>
          <w:szCs w:val="24"/>
          <w:highlight w:val="none"/>
        </w:rPr>
        <w:t>一、项目基本情况</w:t>
      </w:r>
      <w:bookmarkEnd w:id="10"/>
      <w:bookmarkEnd w:id="11"/>
      <w:bookmarkEnd w:id="12"/>
      <w:bookmarkEnd w:id="13"/>
    </w:p>
    <w:p w14:paraId="0B33B5E7">
      <w:pPr>
        <w:spacing w:line="360" w:lineRule="auto"/>
        <w:ind w:firstLine="482"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330112251350450000001</w:t>
      </w:r>
      <w:r>
        <w:rPr>
          <w:rFonts w:hint="eastAsia" w:ascii="宋体" w:hAnsi="宋体" w:eastAsia="宋体" w:cs="宋体"/>
          <w:b w:val="0"/>
          <w:bCs/>
          <w:color w:val="auto"/>
          <w:sz w:val="24"/>
          <w:highlight w:val="none"/>
          <w:lang w:val="en-US" w:eastAsia="zh-CN"/>
        </w:rPr>
        <w:t xml:space="preserve"> </w:t>
      </w:r>
    </w:p>
    <w:p w14:paraId="72B7322E">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杭州市临安区於潜中学2025年职工疗休养项目</w:t>
      </w:r>
    </w:p>
    <w:p w14:paraId="0AAB9A7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6029CDB5">
      <w:pPr>
        <w:spacing w:line="360" w:lineRule="auto"/>
        <w:ind w:firstLine="482" w:firstLineChars="200"/>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 xml:space="preserve">369000 </w:t>
      </w:r>
      <w:r>
        <w:rPr>
          <w:rFonts w:hint="eastAsia" w:ascii="宋体" w:hAnsi="宋体" w:eastAsia="宋体" w:cs="宋体"/>
          <w:b/>
          <w:color w:val="auto"/>
          <w:sz w:val="24"/>
          <w:szCs w:val="24"/>
          <w:highlight w:val="none"/>
          <w:lang w:val="en-US" w:eastAsia="zh-CN"/>
        </w:rPr>
        <w:t xml:space="preserve">  </w:t>
      </w:r>
    </w:p>
    <w:p w14:paraId="6316709C">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369000</w:t>
      </w:r>
    </w:p>
    <w:p w14:paraId="009B20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highlight w:val="none"/>
        </w:rPr>
        <w:t>采购需求：</w:t>
      </w:r>
      <w:r>
        <w:rPr>
          <w:rFonts w:hint="eastAsia" w:ascii="宋体" w:hAnsi="宋体" w:cs="宋体"/>
          <w:b w:val="0"/>
          <w:bCs/>
          <w:color w:val="auto"/>
          <w:sz w:val="24"/>
          <w:highlight w:val="none"/>
          <w:lang w:val="en-US" w:eastAsia="zh-CN"/>
        </w:rPr>
        <w:t>杭州市临安区於潜中学2025年职工疗休养项目</w:t>
      </w:r>
      <w:r>
        <w:rPr>
          <w:rFonts w:hint="eastAsia" w:ascii="宋体" w:hAnsi="宋体" w:eastAsia="宋体" w:cs="宋体"/>
          <w:b w:val="0"/>
          <w:bCs/>
          <w:color w:val="auto"/>
          <w:sz w:val="24"/>
          <w:highlight w:val="none"/>
          <w:lang w:val="en-US" w:eastAsia="zh-CN"/>
        </w:rPr>
        <w:t>主要内容：</w:t>
      </w:r>
      <w:r>
        <w:rPr>
          <w:rFonts w:hint="eastAsia" w:ascii="宋体" w:hAnsi="宋体" w:eastAsia="宋体" w:cs="宋体"/>
          <w:color w:val="auto"/>
          <w:kern w:val="2"/>
          <w:sz w:val="24"/>
          <w:szCs w:val="24"/>
          <w:highlight w:val="none"/>
          <w:lang w:val="en-US" w:eastAsia="zh-CN" w:bidi="ar-SA"/>
        </w:rPr>
        <w:t>为了提高职工疗休养活动品质，现对</w:t>
      </w:r>
      <w:r>
        <w:rPr>
          <w:rFonts w:hint="eastAsia" w:ascii="宋体" w:hAnsi="宋体" w:cs="宋体"/>
          <w:color w:val="auto"/>
          <w:kern w:val="2"/>
          <w:sz w:val="24"/>
          <w:szCs w:val="24"/>
          <w:highlight w:val="none"/>
          <w:lang w:val="en-US" w:eastAsia="zh-CN" w:bidi="ar-SA"/>
        </w:rPr>
        <w:t>杭州市临安区於潜中学</w:t>
      </w:r>
      <w:r>
        <w:rPr>
          <w:rFonts w:hint="eastAsia" w:ascii="宋体" w:hAnsi="宋体" w:eastAsia="宋体" w:cs="宋体"/>
          <w:color w:val="auto"/>
          <w:kern w:val="2"/>
          <w:sz w:val="24"/>
          <w:szCs w:val="24"/>
          <w:highlight w:val="none"/>
          <w:lang w:val="en-US" w:eastAsia="zh-CN" w:bidi="ar-SA"/>
        </w:rPr>
        <w:t>职工疗休养进行招投标，主要包括：</w:t>
      </w:r>
      <w:r>
        <w:rPr>
          <w:rFonts w:hint="eastAsia" w:ascii="宋体" w:hAnsi="宋体" w:cs="宋体"/>
          <w:color w:val="auto"/>
          <w:kern w:val="2"/>
          <w:sz w:val="24"/>
          <w:szCs w:val="24"/>
          <w:highlight w:val="none"/>
          <w:lang w:val="en-US" w:eastAsia="zh-CN" w:bidi="ar-SA"/>
        </w:rPr>
        <w:t>杭州市临安区於潜中学</w:t>
      </w:r>
      <w:r>
        <w:rPr>
          <w:rFonts w:hint="eastAsia" w:ascii="宋体" w:hAnsi="宋体" w:eastAsia="宋体" w:cs="宋体"/>
          <w:color w:val="auto"/>
          <w:kern w:val="2"/>
          <w:sz w:val="24"/>
          <w:szCs w:val="24"/>
          <w:highlight w:val="none"/>
          <w:lang w:val="en-US" w:eastAsia="zh-CN" w:bidi="ar-SA"/>
        </w:rPr>
        <w:t>职工疗休养路线方案设计、路线方案内全程的交通、住宿、餐饮、疗休养项目、景点门票及相关的专职人员服务、保险等全部服务的具体安排，注重疗与休相结合。本项目分</w:t>
      </w:r>
      <w:r>
        <w:rPr>
          <w:rFonts w:hint="eastAsia" w:ascii="宋体" w:hAnsi="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个标项，</w:t>
      </w:r>
      <w:r>
        <w:rPr>
          <w:rFonts w:hint="eastAsia" w:ascii="宋体" w:hAnsi="宋体" w:eastAsia="宋体" w:cs="宋体"/>
          <w:b/>
          <w:bCs/>
          <w:color w:val="auto"/>
          <w:kern w:val="2"/>
          <w:sz w:val="24"/>
          <w:szCs w:val="24"/>
          <w:highlight w:val="none"/>
          <w:lang w:val="en-US" w:eastAsia="zh-CN" w:bidi="ar-SA"/>
        </w:rPr>
        <w:t>供应商每个标项均可响应，但只能中一个标项。</w:t>
      </w:r>
    </w:p>
    <w:p w14:paraId="1F865FB4">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w:t>
      </w:r>
      <w:r>
        <w:rPr>
          <w:rFonts w:hint="eastAsia" w:ascii="宋体" w:hAnsi="宋体" w:cs="宋体"/>
          <w:b/>
          <w:bCs/>
          <w:color w:val="auto"/>
          <w:kern w:val="2"/>
          <w:sz w:val="24"/>
          <w:szCs w:val="24"/>
          <w:highlight w:val="none"/>
          <w:lang w:val="en-US" w:eastAsia="zh-CN" w:bidi="ar-SA"/>
        </w:rPr>
        <w:t>：[2025]969号</w:t>
      </w:r>
    </w:p>
    <w:p w14:paraId="1E40ED41">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标项名称:重庆、涪陵</w:t>
      </w: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cs="宋体"/>
          <w:b/>
          <w:bCs/>
          <w:color w:val="auto"/>
          <w:kern w:val="2"/>
          <w:sz w:val="24"/>
          <w:szCs w:val="24"/>
          <w:highlight w:val="none"/>
          <w:lang w:val="en-US" w:eastAsia="zh-CN" w:bidi="ar-SA"/>
        </w:rPr>
        <w:t>疗休养+吉林长春五日疗休养+临安本地疗休养</w:t>
      </w:r>
    </w:p>
    <w:p w14:paraId="45DEE08A">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105000</w:t>
      </w:r>
      <w:r>
        <w:rPr>
          <w:rFonts w:hint="eastAsia" w:ascii="宋体" w:hAnsi="宋体" w:eastAsia="宋体" w:cs="宋体"/>
          <w:color w:val="auto"/>
          <w:kern w:val="2"/>
          <w:sz w:val="24"/>
          <w:szCs w:val="24"/>
          <w:highlight w:val="none"/>
          <w:lang w:val="en-US" w:eastAsia="zh-CN" w:bidi="ar-SA"/>
        </w:rPr>
        <w:t xml:space="preserve">  </w:t>
      </w:r>
    </w:p>
    <w:p w14:paraId="2CEABE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3BD17028">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二：[2025]970号</w:t>
      </w:r>
    </w:p>
    <w:p w14:paraId="01AB3081">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w:t>
      </w:r>
      <w:r>
        <w:rPr>
          <w:rFonts w:hint="eastAsia" w:ascii="宋体" w:hAnsi="宋体" w:cs="宋体"/>
          <w:b/>
          <w:bCs/>
          <w:color w:val="auto"/>
          <w:kern w:val="2"/>
          <w:sz w:val="24"/>
          <w:szCs w:val="24"/>
          <w:highlight w:val="none"/>
          <w:lang w:val="en-US" w:eastAsia="zh-CN" w:bidi="ar-SA"/>
        </w:rPr>
        <w:t>临安本地疗休养</w:t>
      </w:r>
    </w:p>
    <w:p w14:paraId="7C88E92F">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 xml:space="preserve">105000 </w:t>
      </w:r>
    </w:p>
    <w:p w14:paraId="680454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55E4D00A">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三：[2025]967号</w:t>
      </w:r>
    </w:p>
    <w:p w14:paraId="0986670E">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w:t>
      </w:r>
      <w:r>
        <w:rPr>
          <w:rFonts w:hint="eastAsia" w:ascii="宋体" w:hAnsi="宋体" w:cs="宋体"/>
          <w:b/>
          <w:bCs/>
          <w:color w:val="auto"/>
          <w:kern w:val="2"/>
          <w:sz w:val="24"/>
          <w:szCs w:val="24"/>
          <w:highlight w:val="none"/>
          <w:lang w:val="en-US" w:eastAsia="zh-CN" w:bidi="ar-SA"/>
        </w:rPr>
        <w:t>临安本地疗休养</w:t>
      </w:r>
    </w:p>
    <w:p w14:paraId="11F5BC60">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 xml:space="preserve"> 105000</w:t>
      </w:r>
      <w:r>
        <w:rPr>
          <w:rFonts w:hint="eastAsia" w:ascii="宋体" w:hAnsi="宋体" w:eastAsia="宋体" w:cs="宋体"/>
          <w:color w:val="auto"/>
          <w:kern w:val="2"/>
          <w:sz w:val="24"/>
          <w:szCs w:val="24"/>
          <w:highlight w:val="none"/>
          <w:lang w:val="en-US" w:eastAsia="zh-CN" w:bidi="ar-SA"/>
        </w:rPr>
        <w:t xml:space="preserve"> </w:t>
      </w:r>
    </w:p>
    <w:p w14:paraId="6E2FC5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1AA466F0">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四：[2025]968号</w:t>
      </w:r>
    </w:p>
    <w:p w14:paraId="73FC8F38">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w:t>
      </w:r>
      <w:r>
        <w:rPr>
          <w:rFonts w:hint="eastAsia" w:ascii="宋体" w:hAnsi="宋体" w:cs="宋体"/>
          <w:b/>
          <w:bCs/>
          <w:color w:val="auto"/>
          <w:kern w:val="2"/>
          <w:sz w:val="24"/>
          <w:szCs w:val="24"/>
          <w:highlight w:val="none"/>
          <w:lang w:val="en-US" w:eastAsia="zh-CN" w:bidi="ar-SA"/>
        </w:rPr>
        <w:t>临安本地疗休养</w:t>
      </w:r>
    </w:p>
    <w:p w14:paraId="717B358E">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 xml:space="preserve"> 54000</w:t>
      </w:r>
      <w:r>
        <w:rPr>
          <w:rFonts w:hint="eastAsia" w:ascii="宋体" w:hAnsi="宋体" w:eastAsia="宋体" w:cs="宋体"/>
          <w:color w:val="auto"/>
          <w:kern w:val="2"/>
          <w:sz w:val="24"/>
          <w:szCs w:val="24"/>
          <w:highlight w:val="none"/>
          <w:lang w:val="en-US" w:eastAsia="zh-CN" w:bidi="ar-SA"/>
        </w:rPr>
        <w:t xml:space="preserve"> </w:t>
      </w:r>
    </w:p>
    <w:p w14:paraId="3D7875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03132D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p>
    <w:p w14:paraId="55E1A1C8">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自合同签订之日起至2025年12月31日止</w:t>
      </w:r>
      <w:r>
        <w:rPr>
          <w:rFonts w:hint="eastAsia" w:asciiTheme="minorEastAsia" w:hAnsiTheme="minorEastAsia" w:eastAsiaTheme="minorEastAsia"/>
          <w:color w:val="auto"/>
          <w:sz w:val="24"/>
          <w:u w:val="single"/>
          <w:lang w:eastAsia="zh-CN"/>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4" w:name="_Toc28359090"/>
      <w:bookmarkStart w:id="15" w:name="_Toc35393630"/>
      <w:bookmarkStart w:id="16" w:name="_Toc35393799"/>
      <w:bookmarkStart w:id="17" w:name="_Toc28359013"/>
      <w:r>
        <w:rPr>
          <w:rFonts w:hint="eastAsia" w:cs="宋体" w:asciiTheme="minorEastAsia" w:hAnsiTheme="minorEastAsia" w:eastAsiaTheme="minorEastAsia"/>
          <w:color w:val="auto"/>
          <w:sz w:val="24"/>
        </w:rPr>
        <w:t>二、申请人的资格要求：</w:t>
      </w:r>
      <w:bookmarkEnd w:id="14"/>
      <w:bookmarkEnd w:id="15"/>
      <w:bookmarkEnd w:id="16"/>
      <w:bookmarkEnd w:id="17"/>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《旅行社业务经营许可证》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《中华人民共和国旅游法》、《浙江省旅游条例》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8" w:name="_Toc28359014"/>
      <w:bookmarkStart w:id="19" w:name="_Toc28359091"/>
      <w:bookmarkStart w:id="20" w:name="_Toc35393800"/>
      <w:bookmarkStart w:id="21" w:name="_Toc35393631"/>
      <w:r>
        <w:rPr>
          <w:rFonts w:hint="eastAsia" w:cs="宋体" w:asciiTheme="minorEastAsia" w:hAnsiTheme="minorEastAsia" w:eastAsiaTheme="minorEastAsia"/>
          <w:color w:val="auto"/>
          <w:sz w:val="24"/>
        </w:rPr>
        <w:t>三、获取（下载）采购文件</w:t>
      </w:r>
      <w:bookmarkEnd w:id="18"/>
      <w:bookmarkEnd w:id="19"/>
      <w:bookmarkEnd w:id="20"/>
      <w:bookmarkEnd w:id="21"/>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8</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3"/>
        <w:numPr>
          <w:ilvl w:val="0"/>
          <w:numId w:val="0"/>
        </w:numPr>
        <w:ind w:left="432" w:hanging="432"/>
        <w:rPr>
          <w:rFonts w:cs="宋体" w:asciiTheme="minorEastAsia" w:hAnsiTheme="minorEastAsia" w:eastAsiaTheme="minorEastAsia"/>
          <w:color w:val="auto"/>
          <w:sz w:val="24"/>
          <w:szCs w:val="24"/>
        </w:rPr>
      </w:pPr>
      <w:bookmarkStart w:id="22" w:name="_Toc28359092"/>
      <w:bookmarkStart w:id="23" w:name="_Toc35393801"/>
      <w:bookmarkStart w:id="24" w:name="_Toc28359015"/>
      <w:bookmarkStart w:id="25" w:name="_Toc35393632"/>
      <w:r>
        <w:rPr>
          <w:rFonts w:hint="eastAsia" w:cs="宋体" w:asciiTheme="minorEastAsia" w:hAnsiTheme="minorEastAsia" w:eastAsiaTheme="minorEastAsia"/>
          <w:color w:val="auto"/>
          <w:sz w:val="24"/>
          <w:szCs w:val="24"/>
        </w:rPr>
        <w:t>四、响应文件提交</w:t>
      </w:r>
      <w:bookmarkEnd w:id="22"/>
      <w:bookmarkEnd w:id="23"/>
      <w:bookmarkEnd w:id="24"/>
      <w:bookmarkEnd w:id="25"/>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 xml:space="preserve"> 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3"/>
        <w:numPr>
          <w:ilvl w:val="0"/>
          <w:numId w:val="0"/>
        </w:numPr>
        <w:ind w:left="432" w:hanging="432"/>
        <w:rPr>
          <w:rFonts w:cs="宋体" w:asciiTheme="minorEastAsia" w:hAnsiTheme="minorEastAsia" w:eastAsiaTheme="minorEastAsia"/>
          <w:color w:val="auto"/>
          <w:sz w:val="24"/>
          <w:szCs w:val="24"/>
        </w:rPr>
      </w:pPr>
      <w:bookmarkStart w:id="26" w:name="_Toc35393633"/>
      <w:bookmarkStart w:id="27" w:name="_Toc28359016"/>
      <w:bookmarkStart w:id="28" w:name="_Toc35393802"/>
      <w:bookmarkStart w:id="29" w:name="_Toc28359093"/>
      <w:r>
        <w:rPr>
          <w:rFonts w:hint="eastAsia" w:cs="宋体" w:asciiTheme="minorEastAsia" w:hAnsiTheme="minorEastAsia" w:eastAsiaTheme="minorEastAsia"/>
          <w:color w:val="auto"/>
          <w:sz w:val="24"/>
          <w:szCs w:val="24"/>
        </w:rPr>
        <w:t>五、响应文件开启</w:t>
      </w:r>
      <w:bookmarkEnd w:id="26"/>
      <w:bookmarkEnd w:id="27"/>
      <w:bookmarkEnd w:id="28"/>
      <w:bookmarkEnd w:id="29"/>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地点：杭州市公共资源交易中心第四开标室[杭州市之江路925号（临江金座2号楼）三楼]），</w:t>
      </w:r>
      <w:r>
        <w:rPr>
          <w:rFonts w:hint="eastAsia" w:cs="宋体" w:asciiTheme="minorEastAsia" w:hAnsiTheme="minorEastAsia" w:eastAsiaTheme="minorEastAsia"/>
          <w:color w:val="auto"/>
          <w:sz w:val="24"/>
        </w:rPr>
        <w:t>政采云平台（https://www.zcygov.cn/）。</w:t>
      </w:r>
    </w:p>
    <w:p w14:paraId="15B00E85">
      <w:pPr>
        <w:pStyle w:val="3"/>
        <w:numPr>
          <w:ilvl w:val="0"/>
          <w:numId w:val="0"/>
        </w:numPr>
        <w:ind w:left="432" w:hanging="432"/>
        <w:rPr>
          <w:rFonts w:cs="宋体" w:asciiTheme="minorEastAsia" w:hAnsiTheme="minorEastAsia" w:eastAsiaTheme="minorEastAsia"/>
          <w:color w:val="auto"/>
          <w:sz w:val="24"/>
          <w:szCs w:val="24"/>
        </w:rPr>
      </w:pPr>
      <w:bookmarkStart w:id="30" w:name="_Toc35393634"/>
      <w:bookmarkStart w:id="31" w:name="_Toc35393803"/>
      <w:bookmarkStart w:id="32" w:name="_Toc28359094"/>
      <w:bookmarkStart w:id="33" w:name="_Toc28359017"/>
      <w:r>
        <w:rPr>
          <w:rFonts w:hint="eastAsia" w:cs="宋体" w:asciiTheme="minorEastAsia" w:hAnsiTheme="minorEastAsia" w:eastAsiaTheme="minorEastAsia"/>
          <w:color w:val="auto"/>
          <w:sz w:val="24"/>
          <w:szCs w:val="24"/>
        </w:rPr>
        <w:t>六、公告期限</w:t>
      </w:r>
      <w:bookmarkEnd w:id="30"/>
      <w:bookmarkEnd w:id="31"/>
      <w:bookmarkEnd w:id="32"/>
      <w:bookmarkEnd w:id="33"/>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3"/>
        <w:numPr>
          <w:ilvl w:val="0"/>
          <w:numId w:val="0"/>
        </w:numPr>
        <w:ind w:left="432" w:hanging="432"/>
        <w:rPr>
          <w:rFonts w:cs="宋体" w:asciiTheme="minorEastAsia" w:hAnsiTheme="minorEastAsia" w:eastAsiaTheme="minorEastAsia"/>
          <w:color w:val="auto"/>
          <w:sz w:val="24"/>
          <w:szCs w:val="24"/>
        </w:rPr>
      </w:pPr>
      <w:bookmarkStart w:id="34" w:name="_Toc35393635"/>
      <w:bookmarkStart w:id="35" w:name="_Toc35393804"/>
      <w:r>
        <w:rPr>
          <w:rFonts w:hint="eastAsia" w:cs="宋体" w:asciiTheme="minorEastAsia" w:hAnsiTheme="minorEastAsia" w:eastAsiaTheme="minorEastAsia"/>
          <w:color w:val="auto"/>
          <w:sz w:val="24"/>
          <w:szCs w:val="24"/>
        </w:rPr>
        <w:t>七、其他补充事宜</w:t>
      </w:r>
      <w:bookmarkEnd w:id="34"/>
      <w:bookmarkEnd w:id="35"/>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3"/>
        <w:numPr>
          <w:ilvl w:val="0"/>
          <w:numId w:val="0"/>
        </w:numPr>
        <w:ind w:left="432" w:hanging="432"/>
        <w:rPr>
          <w:rFonts w:cs="宋体" w:asciiTheme="minorEastAsia" w:hAnsiTheme="minorEastAsia" w:eastAsiaTheme="minorEastAsia"/>
          <w:color w:val="auto"/>
          <w:sz w:val="24"/>
          <w:szCs w:val="24"/>
        </w:rPr>
      </w:pPr>
      <w:bookmarkStart w:id="36" w:name="_Toc35393805"/>
      <w:bookmarkStart w:id="37" w:name="_Toc28359095"/>
      <w:bookmarkStart w:id="38" w:name="_Toc35393636"/>
      <w:bookmarkStart w:id="39"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6"/>
      <w:bookmarkEnd w:id="37"/>
      <w:bookmarkEnd w:id="38"/>
      <w:bookmarkEnd w:id="39"/>
    </w:p>
    <w:p w14:paraId="02ADF847">
      <w:pPr>
        <w:pStyle w:val="3"/>
        <w:numPr>
          <w:ilvl w:val="0"/>
          <w:numId w:val="0"/>
        </w:numPr>
        <w:ind w:left="432" w:hanging="432"/>
        <w:rPr>
          <w:rFonts w:hint="eastAsia" w:ascii="宋体" w:hAnsi="宋体" w:eastAsia="宋体" w:cs="宋体"/>
          <w:color w:val="auto"/>
          <w:sz w:val="24"/>
          <w:szCs w:val="24"/>
          <w:highlight w:val="none"/>
        </w:rPr>
      </w:pPr>
      <w:bookmarkStart w:id="40" w:name="_Toc35393806"/>
      <w:bookmarkStart w:id="41" w:name="_Toc28359096"/>
      <w:bookmarkStart w:id="42" w:name="_Toc35393637"/>
      <w:bookmarkStart w:id="43" w:name="_Toc28359019"/>
      <w:bookmarkStart w:id="44" w:name="_Toc28359097"/>
      <w:bookmarkStart w:id="45" w:name="_Toc35393638"/>
      <w:bookmarkStart w:id="46" w:name="_Toc28359020"/>
      <w:bookmarkStart w:id="47" w:name="_Toc35393807"/>
      <w:r>
        <w:rPr>
          <w:rFonts w:hint="eastAsia" w:ascii="宋体" w:hAnsi="宋体" w:eastAsia="宋体" w:cs="宋体"/>
          <w:color w:val="auto"/>
          <w:sz w:val="24"/>
          <w:szCs w:val="24"/>
          <w:highlight w:val="none"/>
        </w:rPr>
        <w:t>1.采购人信息</w:t>
      </w:r>
      <w:bookmarkEnd w:id="40"/>
      <w:bookmarkEnd w:id="41"/>
      <w:bookmarkEnd w:id="42"/>
      <w:bookmarkEnd w:id="43"/>
      <w:r>
        <w:rPr>
          <w:rFonts w:hint="eastAsia" w:ascii="宋体" w:hAnsi="宋体" w:eastAsia="宋体" w:cs="宋体"/>
          <w:color w:val="auto"/>
          <w:sz w:val="24"/>
          <w:szCs w:val="24"/>
          <w:highlight w:val="none"/>
        </w:rPr>
        <w:t>：</w:t>
      </w:r>
    </w:p>
    <w:p w14:paraId="6CBE9F3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杭州市临安区於潜中学</w:t>
      </w:r>
    </w:p>
    <w:p w14:paraId="2910E39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临安市於潜镇潜阳路28号</w:t>
      </w:r>
    </w:p>
    <w:p w14:paraId="0E94A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21B0E4F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杨云</w:t>
      </w:r>
    </w:p>
    <w:p w14:paraId="736B4F8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13819460487  </w:t>
      </w:r>
    </w:p>
    <w:p w14:paraId="0765186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李建平</w:t>
      </w:r>
    </w:p>
    <w:p w14:paraId="6D5F822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63882174</w:t>
      </w:r>
      <w:r>
        <w:rPr>
          <w:rFonts w:hint="eastAsia" w:ascii="宋体" w:hAnsi="宋体" w:eastAsia="宋体" w:cs="宋体"/>
          <w:color w:val="auto"/>
          <w:sz w:val="24"/>
          <w:highlight w:val="none"/>
          <w:lang w:val="en-US" w:eastAsia="zh-CN"/>
        </w:rPr>
        <w:t xml:space="preserve"> </w:t>
      </w:r>
    </w:p>
    <w:p w14:paraId="653A869A">
      <w:pPr>
        <w:pStyle w:val="3"/>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4"/>
      <w:bookmarkEnd w:id="45"/>
      <w:bookmarkEnd w:id="46"/>
      <w:bookmarkEnd w:id="47"/>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val="en-US" w:eastAsia="zh-CN"/>
        </w:rPr>
        <w:t>浙江天册工程管理有限公司</w:t>
      </w:r>
      <w:r>
        <w:rPr>
          <w:rFonts w:hint="eastAsia" w:asciiTheme="minorEastAsia" w:hAnsiTheme="minorEastAsia" w:eastAsiaTheme="minorEastAsia"/>
          <w:color w:val="auto"/>
          <w:sz w:val="24"/>
        </w:rPr>
        <w:t xml:space="preserve">             </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val="en-US" w:eastAsia="zh-CN"/>
        </w:rPr>
        <w:t>杭州市临安区筑镜花园99幢103二楼</w:t>
      </w:r>
      <w:r>
        <w:rPr>
          <w:rFonts w:asciiTheme="minorEastAsia" w:hAnsiTheme="minorEastAsia" w:eastAsiaTheme="minorEastAsia"/>
          <w:color w:val="auto"/>
          <w:sz w:val="24"/>
        </w:rPr>
        <w:t xml:space="preserve"> </w:t>
      </w:r>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9F8648">
      <w:pPr>
        <w:spacing w:line="36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朱琴</w:t>
      </w:r>
    </w:p>
    <w:p w14:paraId="7B567A91">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项目联系方式（询问）： </w:t>
      </w:r>
      <w:r>
        <w:rPr>
          <w:rFonts w:hint="eastAsia" w:asciiTheme="minorEastAsia" w:hAnsiTheme="minorEastAsia" w:eastAsiaTheme="minorEastAsia"/>
          <w:color w:val="auto"/>
          <w:sz w:val="24"/>
          <w:lang w:val="en-US" w:eastAsia="zh-CN"/>
        </w:rPr>
        <w:t>13958157600</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val="en-US" w:eastAsia="zh-CN"/>
        </w:rPr>
        <w:t>阮工</w:t>
      </w:r>
      <w:r>
        <w:rPr>
          <w:rFonts w:hint="eastAsia" w:asciiTheme="minorEastAsia" w:hAnsiTheme="minorEastAsia" w:eastAsiaTheme="minorEastAsia"/>
          <w:color w:val="auto"/>
          <w:sz w:val="24"/>
        </w:rPr>
        <w:t xml:space="preserve">             </w:t>
      </w:r>
    </w:p>
    <w:p w14:paraId="72BFBE29">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lang w:val="en-US" w:eastAsia="zh-CN"/>
        </w:rPr>
        <w:t xml:space="preserve">19266830098  </w:t>
      </w:r>
    </w:p>
    <w:p w14:paraId="5D934F31">
      <w:pPr>
        <w:spacing w:line="360" w:lineRule="auto"/>
        <w:rPr>
          <w:rFonts w:asciiTheme="minorEastAsia" w:hAnsiTheme="minorEastAsia" w:eastAsiaTheme="minorEastAsia"/>
          <w:b/>
          <w:color w:val="auto"/>
          <w:sz w:val="24"/>
        </w:rPr>
      </w:pPr>
      <w:bookmarkStart w:id="48" w:name="_Toc28359021"/>
      <w:bookmarkStart w:id="49" w:name="_Toc28359098"/>
      <w:bookmarkStart w:id="50" w:name="_Toc35393808"/>
      <w:bookmarkStart w:id="51" w:name="_Toc35393639"/>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8"/>
    <w:bookmarkEnd w:id="49"/>
    <w:bookmarkEnd w:id="50"/>
    <w:bookmarkEnd w:id="51"/>
    <w:p w14:paraId="1CAACB11">
      <w:pPr>
        <w:spacing w:line="360" w:lineRule="auto"/>
        <w:ind w:firstLine="480"/>
        <w:rPr>
          <w:rFonts w:hint="eastAsia" w:ascii="宋体" w:hAnsi="宋体" w:cs="宋体"/>
          <w:sz w:val="24"/>
        </w:rPr>
      </w:pPr>
      <w:r>
        <w:rPr>
          <w:rFonts w:hint="eastAsia" w:ascii="宋体" w:hAnsi="宋体" w:cs="宋体"/>
          <w:sz w:val="24"/>
        </w:rPr>
        <w:t>名    称：杭州市临安区财政局政府采购监督管理科</w:t>
      </w:r>
    </w:p>
    <w:p w14:paraId="565EBF5E">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 xml:space="preserve">杭州市临安区锦城街道临天路1950号财政大楼411室 </w:t>
      </w:r>
      <w:r>
        <w:rPr>
          <w:rFonts w:hint="eastAsia" w:ascii="宋体" w:hAnsi="宋体" w:cs="宋体"/>
          <w:sz w:val="24"/>
        </w:rPr>
        <w:t xml:space="preserve">  </w:t>
      </w:r>
    </w:p>
    <w:p w14:paraId="0C7E599C">
      <w:pPr>
        <w:spacing w:line="360" w:lineRule="auto"/>
        <w:ind w:firstLine="480"/>
        <w:rPr>
          <w:rFonts w:hint="eastAsia" w:ascii="宋体" w:hAnsi="宋体" w:cs="宋体"/>
          <w:sz w:val="24"/>
        </w:rPr>
      </w:pPr>
      <w:r>
        <w:rPr>
          <w:rFonts w:hint="eastAsia" w:ascii="宋体" w:hAnsi="宋体" w:cs="宋体"/>
          <w:sz w:val="24"/>
        </w:rPr>
        <w:t>传    真：0571-89541600</w:t>
      </w:r>
    </w:p>
    <w:p w14:paraId="1F1BA53E">
      <w:pPr>
        <w:spacing w:line="360" w:lineRule="auto"/>
        <w:ind w:firstLine="480"/>
        <w:rPr>
          <w:rFonts w:hint="default" w:ascii="宋体" w:hAnsi="宋体" w:eastAsia="宋体" w:cs="宋体"/>
          <w:sz w:val="24"/>
          <w:lang w:val="en-US" w:eastAsia="zh-CN"/>
        </w:rPr>
      </w:pPr>
      <w:r>
        <w:rPr>
          <w:rFonts w:hint="eastAsia" w:ascii="宋体" w:hAnsi="宋体" w:cs="宋体"/>
          <w:sz w:val="24"/>
        </w:rPr>
        <w:t>联系人 ：</w:t>
      </w:r>
      <w:r>
        <w:rPr>
          <w:rFonts w:hint="eastAsia" w:ascii="宋体" w:hAnsi="宋体" w:cs="宋体"/>
          <w:sz w:val="24"/>
          <w:lang w:val="en-US" w:eastAsia="zh-CN"/>
        </w:rPr>
        <w:t>王女士</w:t>
      </w:r>
    </w:p>
    <w:p w14:paraId="65E2BCB7">
      <w:pPr>
        <w:spacing w:line="360" w:lineRule="auto"/>
        <w:ind w:firstLine="480" w:firstLineChars="200"/>
        <w:rPr>
          <w:rFonts w:ascii="宋体" w:hAnsi="宋体" w:cs="宋体"/>
          <w:color w:val="auto"/>
          <w:sz w:val="24"/>
        </w:rPr>
      </w:pPr>
      <w:r>
        <w:rPr>
          <w:rFonts w:hint="eastAsia" w:ascii="宋体" w:hAnsi="宋体" w:cs="宋体"/>
          <w:sz w:val="24"/>
        </w:rPr>
        <w:t>监督投诉电话：89541692、89541691、89541697</w:t>
      </w:r>
    </w:p>
    <w:p w14:paraId="659FE672">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2"/>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2"/>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7"/>
      <w:r>
        <w:rPr>
          <w:rFonts w:hint="eastAsia" w:cs="仿宋_GB2312" w:asciiTheme="minorEastAsia" w:hAnsiTheme="minorEastAsia" w:eastAsiaTheme="minorEastAsia"/>
          <w:b/>
          <w:color w:val="auto"/>
          <w:sz w:val="36"/>
          <w:szCs w:val="20"/>
        </w:rPr>
        <w:t xml:space="preserve">  供应商须知</w:t>
      </w:r>
      <w:bookmarkEnd w:id="8"/>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职工疗休养活动 </w:t>
            </w:r>
            <w:r>
              <w:rPr>
                <w:rFonts w:hint="eastAsia" w:ascii="宋体" w:hAnsi="宋体" w:cs="宋体"/>
                <w:color w:val="auto"/>
                <w:kern w:val="0"/>
                <w:sz w:val="24"/>
              </w:rPr>
              <w:t xml:space="preserve">  ，属于 </w:t>
            </w:r>
            <w:r>
              <w:rPr>
                <w:rFonts w:hint="eastAsia" w:ascii="宋体" w:hAnsi="宋体" w:cs="宋体"/>
                <w:color w:val="auto"/>
                <w:kern w:val="0"/>
                <w:sz w:val="24"/>
                <w:u w:val="single"/>
              </w:rPr>
              <w:t xml:space="preserve"> 租赁和商务服务业 </w:t>
            </w:r>
            <w:r>
              <w:rPr>
                <w:rFonts w:hint="eastAsia" w:ascii="宋体" w:hAnsi="宋体" w:cs="宋体"/>
                <w:color w:val="auto"/>
                <w:kern w:val="0"/>
                <w:sz w:val="24"/>
              </w:rPr>
              <w:t>行业；；</w:t>
            </w:r>
          </w:p>
          <w:p w14:paraId="5D21FD8F">
            <w:pPr>
              <w:pStyle w:val="3"/>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AA733">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712FA">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4"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2"/>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杭州市临安区筑镜花园99幢103二楼</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朱琴13958157600</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每个标段各1家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83127C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代理服务费参照发改价格〔2011〕534号文件、国家发改委计价格〔2002〕1980号文件规定收费,单个采购项目代理服务费不足肆仟元可按肆仟元收取，代理服务收费按差额定率累进法计算。</w:t>
            </w:r>
          </w:p>
          <w:p w14:paraId="76BDEA01">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color w:val="auto"/>
                <w:kern w:val="0"/>
                <w:sz w:val="24"/>
              </w:rPr>
              <w:drawing>
                <wp:inline distT="0" distB="0" distL="114300" distR="114300">
                  <wp:extent cx="3407410" cy="1607820"/>
                  <wp:effectExtent l="0" t="0" r="2540" b="11430"/>
                  <wp:docPr id="20" name="图片 20"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收费标准"/>
                          <pic:cNvPicPr>
                            <a:picLocks noChangeAspect="1"/>
                          </pic:cNvPicPr>
                        </pic:nvPicPr>
                        <pic:blipFill>
                          <a:blip r:embed="rId15"/>
                          <a:stretch>
                            <a:fillRect/>
                          </a:stretch>
                        </pic:blipFill>
                        <pic:spPr>
                          <a:xfrm>
                            <a:off x="0" y="0"/>
                            <a:ext cx="3407410" cy="1607820"/>
                          </a:xfrm>
                          <a:prstGeom prst="rect">
                            <a:avLst/>
                          </a:prstGeom>
                          <a:noFill/>
                          <a:ln>
                            <a:noFill/>
                          </a:ln>
                        </pic:spPr>
                      </pic:pic>
                    </a:graphicData>
                  </a:graphic>
                </wp:inline>
              </w:drawing>
            </w:r>
          </w:p>
          <w:p w14:paraId="01B88F1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收费对象：本项目代理服务费向</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en" w:eastAsia="zh-CN"/>
              </w:rPr>
              <w:t>收取；</w:t>
            </w:r>
          </w:p>
          <w:p w14:paraId="465C1C0A">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缴纳时间：中标(成交)结果公示后5个工作日内一次性付清</w:t>
            </w:r>
          </w:p>
          <w:p w14:paraId="5036980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缴纳形式：汇票/支票/电汇/现金</w:t>
            </w:r>
          </w:p>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备注：放弃中标（成交）资格的供应商，须承担本项目招标代理费和专家评审费等费用。</w:t>
            </w:r>
          </w:p>
        </w:tc>
      </w:tr>
      <w:tr w14:paraId="79EE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9BBF4FF">
            <w:pPr>
              <w:snapToGrid w:val="0"/>
              <w:spacing w:line="360" w:lineRule="auto"/>
              <w:jc w:val="center"/>
              <w:rPr>
                <w:rFonts w:hint="eastAsia" w:ascii="宋体" w:hAnsi="宋体" w:cs="宋体"/>
                <w:sz w:val="24"/>
                <w:lang w:val="en-US" w:eastAsia="zh-CN"/>
              </w:rPr>
            </w:pPr>
          </w:p>
          <w:p w14:paraId="2A89C0D3">
            <w:pPr>
              <w:snapToGrid w:val="0"/>
              <w:spacing w:line="360" w:lineRule="auto"/>
              <w:jc w:val="both"/>
              <w:rPr>
                <w:rFonts w:hint="eastAsia" w:ascii="宋体" w:hAnsi="宋体" w:cs="宋体"/>
                <w:sz w:val="24"/>
                <w:lang w:val="en-US" w:eastAsia="zh-CN"/>
              </w:rPr>
            </w:pPr>
          </w:p>
          <w:p w14:paraId="75CB1C98">
            <w:pPr>
              <w:snapToGrid w:val="0"/>
              <w:spacing w:line="360" w:lineRule="auto"/>
              <w:jc w:val="both"/>
              <w:rPr>
                <w:rFonts w:hint="default"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FD39E8A">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14:paraId="3347C86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份（正本一份，副本</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份）并提供电子投标文件与纸质投标文件内容一致承诺书</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份。</w:t>
            </w:r>
          </w:p>
        </w:tc>
      </w:tr>
    </w:tbl>
    <w:p w14:paraId="0ADF58F7">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2"/>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asciiTheme="minorEastAsia" w:hAnsiTheme="minorEastAsia" w:eastAsiaTheme="minorEastAsia"/>
                <w:color w:val="auto"/>
                <w:sz w:val="24"/>
              </w:rPr>
            </w:pPr>
          </w:p>
        </w:tc>
        <w:tc>
          <w:tcPr>
            <w:tcW w:w="4536" w:type="dxa"/>
            <w:vAlign w:val="center"/>
          </w:tcPr>
          <w:p w14:paraId="494EE5C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2"/>
              <w:spacing w:line="360" w:lineRule="auto"/>
              <w:jc w:val="center"/>
              <w:rPr>
                <w:rFonts w:asciiTheme="minorEastAsia" w:hAnsiTheme="minorEastAsia" w:eastAsiaTheme="minorEastAsia"/>
                <w:color w:val="auto"/>
                <w:sz w:val="24"/>
              </w:rPr>
            </w:pPr>
          </w:p>
        </w:tc>
        <w:tc>
          <w:tcPr>
            <w:tcW w:w="4536" w:type="dxa"/>
            <w:vAlign w:val="center"/>
          </w:tcPr>
          <w:p w14:paraId="4B51CE8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2"/>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2"/>
        <w:spacing w:line="360" w:lineRule="auto"/>
        <w:ind w:firstLine="480" w:firstLineChars="200"/>
        <w:rPr>
          <w:rFonts w:hint="eastAsia" w:ascii="宋体" w:hAnsi="Courier New"/>
          <w:color w:val="auto"/>
          <w:sz w:val="24"/>
          <w:szCs w:val="24"/>
          <w:highlight w:val="none"/>
        </w:rPr>
      </w:pPr>
    </w:p>
    <w:p w14:paraId="1E130716">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2"/>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2"/>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2"/>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2"/>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每个标段1家  </w:t>
      </w:r>
      <w:r>
        <w:rPr>
          <w:rFonts w:hint="eastAsia" w:asciiTheme="minorEastAsia" w:hAnsiTheme="minorEastAsia" w:eastAsiaTheme="minorEastAsia"/>
          <w:color w:val="auto"/>
          <w:sz w:val="24"/>
          <w:szCs w:val="21"/>
          <w:lang w:val="en-US" w:eastAsia="zh-CN"/>
        </w:rPr>
        <w:t>。</w:t>
      </w:r>
    </w:p>
    <w:p w14:paraId="78DF4B50">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rPr>
        <w:t>资格审查情况、评审专家抽取规则、符合性审查情况、</w:t>
      </w:r>
      <w:bookmarkEnd w:id="52"/>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3"/>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74729768"/>
      <w:bookmarkEnd w:id="54"/>
      <w:bookmarkStart w:id="55" w:name="_Hlt75236011"/>
      <w:bookmarkEnd w:id="55"/>
      <w:bookmarkStart w:id="56" w:name="_Hlt68072990"/>
      <w:bookmarkEnd w:id="56"/>
      <w:bookmarkStart w:id="57" w:name="_Hlt75236290"/>
      <w:bookmarkEnd w:id="57"/>
      <w:bookmarkStart w:id="58" w:name="_Hlt68057669"/>
      <w:bookmarkEnd w:id="58"/>
      <w:bookmarkStart w:id="59" w:name="_Hlt74707468"/>
      <w:bookmarkEnd w:id="59"/>
      <w:bookmarkStart w:id="60" w:name="_Hlt74714665"/>
      <w:bookmarkEnd w:id="60"/>
      <w:bookmarkStart w:id="61" w:name="_Hlt75236101"/>
      <w:bookmarkEnd w:id="61"/>
      <w:bookmarkStart w:id="62" w:name="_Toc164416483"/>
      <w:bookmarkStart w:id="63"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4A42D7BD">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一、项目概况</w:t>
      </w:r>
    </w:p>
    <w:p w14:paraId="29B505C4">
      <w:pPr>
        <w:tabs>
          <w:tab w:val="left" w:pos="0"/>
        </w:tabs>
        <w:spacing w:line="360" w:lineRule="auto"/>
        <w:ind w:firstLine="480" w:firstLineChars="20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为了提高职工疗休养活动品质，现对</w:t>
      </w:r>
      <w:r>
        <w:rPr>
          <w:rFonts w:hint="eastAsia" w:ascii="宋体" w:hAnsi="宋体" w:cs="宋体"/>
          <w:kern w:val="0"/>
          <w:sz w:val="24"/>
          <w:szCs w:val="20"/>
          <w:lang w:val="en-US" w:eastAsia="zh-CN" w:bidi="ar-SA"/>
        </w:rPr>
        <w:t>杭州市临安区於潜中学</w:t>
      </w:r>
      <w:r>
        <w:rPr>
          <w:rFonts w:hint="eastAsia" w:ascii="宋体" w:hAnsi="宋体" w:eastAsia="宋体" w:cs="宋体"/>
          <w:kern w:val="0"/>
          <w:sz w:val="24"/>
          <w:szCs w:val="20"/>
          <w:lang w:val="en-US" w:eastAsia="zh-CN" w:bidi="ar-SA"/>
        </w:rPr>
        <w:t>职工疗休养进行</w:t>
      </w:r>
      <w:r>
        <w:rPr>
          <w:rFonts w:hint="eastAsia" w:ascii="宋体" w:hAnsi="宋体" w:cs="宋体"/>
          <w:kern w:val="0"/>
          <w:sz w:val="24"/>
          <w:szCs w:val="20"/>
          <w:lang w:val="en-US" w:eastAsia="zh-CN" w:bidi="ar-SA"/>
        </w:rPr>
        <w:t>服务采购</w:t>
      </w:r>
      <w:r>
        <w:rPr>
          <w:rFonts w:hint="eastAsia" w:ascii="宋体" w:hAnsi="宋体" w:eastAsia="宋体" w:cs="宋体"/>
          <w:kern w:val="0"/>
          <w:sz w:val="24"/>
          <w:szCs w:val="20"/>
          <w:lang w:val="en-US" w:eastAsia="zh-CN" w:bidi="ar-SA"/>
        </w:rPr>
        <w:t>，主要包括：</w:t>
      </w:r>
      <w:r>
        <w:rPr>
          <w:rFonts w:hint="eastAsia" w:ascii="宋体" w:hAnsi="宋体" w:cs="宋体"/>
          <w:kern w:val="0"/>
          <w:sz w:val="24"/>
          <w:szCs w:val="20"/>
          <w:lang w:val="en-US" w:eastAsia="zh-CN" w:bidi="ar-SA"/>
        </w:rPr>
        <w:t>杭州市临安区於潜中学</w:t>
      </w:r>
      <w:r>
        <w:rPr>
          <w:rFonts w:hint="eastAsia" w:ascii="宋体" w:hAnsi="宋体" w:eastAsia="宋体" w:cs="宋体"/>
          <w:kern w:val="0"/>
          <w:sz w:val="24"/>
          <w:szCs w:val="20"/>
          <w:lang w:val="en-US" w:eastAsia="zh-CN" w:bidi="ar-SA"/>
        </w:rPr>
        <w:t>职工疗休养路线方案设计、路线方案内全程的交通、住宿、餐饮、疗休养项目、景点门票及相关的专职人员服务、保险等全部服务的具体安排，注重疗与休相结合。</w:t>
      </w:r>
    </w:p>
    <w:p w14:paraId="2A3BC727">
      <w:pPr>
        <w:tabs>
          <w:tab w:val="left" w:pos="0"/>
        </w:tabs>
        <w:spacing w:line="360" w:lineRule="auto"/>
        <w:ind w:firstLine="482" w:firstLineChars="20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二、疗休养时间</w:t>
      </w:r>
    </w:p>
    <w:p w14:paraId="311109DB">
      <w:pPr>
        <w:tabs>
          <w:tab w:val="left" w:pos="0"/>
        </w:tabs>
        <w:spacing w:line="360" w:lineRule="auto"/>
        <w:ind w:firstLine="480" w:firstLineChars="200"/>
        <w:rPr>
          <w:rFonts w:hint="eastAsia" w:ascii="宋体" w:hAnsi="宋体" w:eastAsia="宋体" w:cs="宋体"/>
          <w:b w:val="0"/>
          <w:bCs w:val="0"/>
          <w:kern w:val="0"/>
          <w:sz w:val="24"/>
          <w:szCs w:val="20"/>
          <w:lang w:val="en-US" w:eastAsia="zh-CN" w:bidi="ar-SA"/>
        </w:rPr>
      </w:pPr>
      <w:r>
        <w:rPr>
          <w:rFonts w:hint="eastAsia" w:ascii="宋体" w:hAnsi="宋体" w:eastAsia="宋体" w:cs="宋体"/>
          <w:b w:val="0"/>
          <w:bCs w:val="0"/>
          <w:kern w:val="0"/>
          <w:sz w:val="24"/>
          <w:szCs w:val="20"/>
          <w:lang w:val="en-US" w:eastAsia="zh-CN" w:bidi="ar-SA"/>
        </w:rPr>
        <w:t>预计参加疗休养人数</w:t>
      </w:r>
      <w:r>
        <w:rPr>
          <w:rFonts w:hint="eastAsia" w:ascii="宋体" w:hAnsi="宋体" w:cs="宋体"/>
          <w:b w:val="0"/>
          <w:bCs w:val="0"/>
          <w:kern w:val="0"/>
          <w:sz w:val="24"/>
          <w:szCs w:val="20"/>
          <w:lang w:val="en-US" w:eastAsia="zh-CN" w:bidi="ar-SA"/>
        </w:rPr>
        <w:t>123</w:t>
      </w:r>
      <w:r>
        <w:rPr>
          <w:rFonts w:hint="eastAsia" w:ascii="宋体" w:hAnsi="宋体" w:eastAsia="宋体" w:cs="宋体"/>
          <w:b w:val="0"/>
          <w:bCs w:val="0"/>
          <w:kern w:val="0"/>
          <w:sz w:val="24"/>
          <w:szCs w:val="20"/>
          <w:lang w:val="en-US" w:eastAsia="zh-CN" w:bidi="ar-SA"/>
        </w:rPr>
        <w:t>人，人员疗养分批进行；具体人员清单由采购人分配，线路双方协商确定。具体批次和出发时间由采购人视情况而定。</w:t>
      </w:r>
    </w:p>
    <w:tbl>
      <w:tblPr>
        <w:tblStyle w:val="634"/>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2946"/>
        <w:gridCol w:w="1800"/>
        <w:gridCol w:w="1650"/>
        <w:gridCol w:w="1241"/>
        <w:gridCol w:w="1241"/>
      </w:tblGrid>
      <w:tr w14:paraId="13517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188" w:type="dxa"/>
            <w:tcBorders>
              <w:bottom w:val="single" w:color="auto" w:sz="4" w:space="0"/>
            </w:tcBorders>
            <w:vAlign w:val="center"/>
          </w:tcPr>
          <w:p w14:paraId="3F1D8A96">
            <w:pPr>
              <w:pStyle w:val="223"/>
              <w:spacing w:before="266" w:line="220" w:lineRule="auto"/>
              <w:ind w:left="274"/>
              <w:jc w:val="center"/>
              <w:rPr>
                <w:sz w:val="24"/>
                <w:szCs w:val="24"/>
              </w:rPr>
            </w:pPr>
            <w:r>
              <w:rPr>
                <w:spacing w:val="-6"/>
                <w:sz w:val="24"/>
                <w:szCs w:val="24"/>
                <w14:textOutline w14:w="4358" w14:cap="sq" w14:cmpd="sng">
                  <w14:solidFill>
                    <w14:srgbClr w14:val="000000"/>
                  </w14:solidFill>
                  <w14:prstDash w14:val="solid"/>
                  <w14:bevel/>
                </w14:textOutline>
              </w:rPr>
              <w:t>标项</w:t>
            </w:r>
          </w:p>
        </w:tc>
        <w:tc>
          <w:tcPr>
            <w:tcW w:w="2946" w:type="dxa"/>
            <w:vAlign w:val="center"/>
          </w:tcPr>
          <w:p w14:paraId="4F2C0EBF">
            <w:pPr>
              <w:pStyle w:val="223"/>
              <w:spacing w:before="266" w:line="219" w:lineRule="auto"/>
              <w:ind w:left="716"/>
              <w:jc w:val="center"/>
              <w:rPr>
                <w:sz w:val="24"/>
                <w:szCs w:val="24"/>
              </w:rPr>
            </w:pPr>
            <w:r>
              <w:rPr>
                <w:spacing w:val="-2"/>
                <w:sz w:val="24"/>
                <w:szCs w:val="24"/>
                <w14:textOutline w14:w="4358" w14:cap="sq" w14:cmpd="sng">
                  <w14:solidFill>
                    <w14:srgbClr w14:val="000000"/>
                  </w14:solidFill>
                  <w14:prstDash w14:val="solid"/>
                  <w14:bevel/>
                </w14:textOutline>
              </w:rPr>
              <w:t>标项内容</w:t>
            </w:r>
          </w:p>
        </w:tc>
        <w:tc>
          <w:tcPr>
            <w:tcW w:w="1800" w:type="dxa"/>
            <w:vAlign w:val="center"/>
          </w:tcPr>
          <w:p w14:paraId="2EC37804">
            <w:pPr>
              <w:pStyle w:val="223"/>
              <w:spacing w:before="40" w:line="452" w:lineRule="exact"/>
              <w:ind w:left="121"/>
              <w:jc w:val="center"/>
              <w:rPr>
                <w:sz w:val="24"/>
                <w:szCs w:val="24"/>
              </w:rPr>
            </w:pPr>
            <w:r>
              <w:rPr>
                <w:spacing w:val="-1"/>
                <w:position w:val="15"/>
                <w:sz w:val="24"/>
                <w:szCs w:val="24"/>
                <w14:textOutline w14:w="4358" w14:cap="sq" w14:cmpd="sng">
                  <w14:solidFill>
                    <w14:srgbClr w14:val="000000"/>
                  </w14:solidFill>
                  <w14:prstDash w14:val="solid"/>
                  <w14:bevel/>
                </w14:textOutline>
              </w:rPr>
              <w:t>疗休养费（元/</w:t>
            </w:r>
          </w:p>
          <w:p w14:paraId="209CC37C">
            <w:pPr>
              <w:pStyle w:val="223"/>
              <w:spacing w:line="219" w:lineRule="auto"/>
              <w:ind w:left="184"/>
              <w:jc w:val="center"/>
              <w:rPr>
                <w:sz w:val="24"/>
                <w:szCs w:val="24"/>
              </w:rPr>
            </w:pPr>
            <w:r>
              <w:rPr>
                <w:spacing w:val="-2"/>
                <w:sz w:val="24"/>
                <w:szCs w:val="24"/>
                <w14:textOutline w14:w="4358" w14:cap="sq" w14:cmpd="sng">
                  <w14:solidFill>
                    <w14:srgbClr w14:val="000000"/>
                  </w14:solidFill>
                  <w14:prstDash w14:val="solid"/>
                  <w14:bevel/>
                </w14:textOutline>
              </w:rPr>
              <w:t>人）不作竞争</w:t>
            </w:r>
          </w:p>
        </w:tc>
        <w:tc>
          <w:tcPr>
            <w:tcW w:w="1650" w:type="dxa"/>
            <w:vAlign w:val="center"/>
          </w:tcPr>
          <w:p w14:paraId="268B6A87">
            <w:pPr>
              <w:pStyle w:val="223"/>
              <w:spacing w:before="40" w:line="452" w:lineRule="exact"/>
              <w:ind w:left="161"/>
              <w:jc w:val="center"/>
              <w:rPr>
                <w:sz w:val="24"/>
                <w:szCs w:val="24"/>
              </w:rPr>
            </w:pPr>
            <w:r>
              <w:rPr>
                <w:spacing w:val="-2"/>
                <w:position w:val="15"/>
                <w:sz w:val="24"/>
                <w:szCs w:val="24"/>
                <w14:textOutline w14:w="4358" w14:cap="sq" w14:cmpd="sng">
                  <w14:solidFill>
                    <w14:srgbClr w14:val="000000"/>
                  </w14:solidFill>
                  <w14:prstDash w14:val="solid"/>
                  <w14:bevel/>
                </w14:textOutline>
              </w:rPr>
              <w:t>交通费（元/</w:t>
            </w:r>
          </w:p>
          <w:p w14:paraId="0DE54FB2">
            <w:pPr>
              <w:pStyle w:val="223"/>
              <w:spacing w:line="219" w:lineRule="auto"/>
              <w:ind w:left="118"/>
              <w:jc w:val="center"/>
              <w:rPr>
                <w:sz w:val="24"/>
                <w:szCs w:val="24"/>
              </w:rPr>
            </w:pPr>
            <w:r>
              <w:rPr>
                <w:spacing w:val="-8"/>
                <w:sz w:val="24"/>
                <w:szCs w:val="24"/>
                <w14:textOutline w14:w="4358" w14:cap="sq" w14:cmpd="sng">
                  <w14:solidFill>
                    <w14:srgbClr w14:val="000000"/>
                  </w14:solidFill>
                  <w14:prstDash w14:val="solid"/>
                  <w14:bevel/>
                </w14:textOutline>
              </w:rPr>
              <w:t>人）不作竞争</w:t>
            </w:r>
          </w:p>
        </w:tc>
        <w:tc>
          <w:tcPr>
            <w:tcW w:w="1241" w:type="dxa"/>
            <w:vAlign w:val="center"/>
          </w:tcPr>
          <w:p w14:paraId="42D855C9">
            <w:pPr>
              <w:pStyle w:val="223"/>
              <w:spacing w:before="266" w:line="219" w:lineRule="auto"/>
              <w:jc w:val="center"/>
              <w:rPr>
                <w:sz w:val="24"/>
                <w:szCs w:val="24"/>
              </w:rPr>
            </w:pPr>
            <w:r>
              <w:rPr>
                <w:spacing w:val="-3"/>
                <w:sz w:val="24"/>
                <w:szCs w:val="24"/>
                <w14:textOutline w14:w="4358" w14:cap="sq" w14:cmpd="sng">
                  <w14:solidFill>
                    <w14:srgbClr w14:val="000000"/>
                  </w14:solidFill>
                  <w14:prstDash w14:val="solid"/>
                  <w14:bevel/>
                </w14:textOutline>
              </w:rPr>
              <w:t>预计</w:t>
            </w:r>
            <w:r>
              <w:rPr>
                <w:rFonts w:hint="eastAsia"/>
                <w:spacing w:val="-3"/>
                <w:sz w:val="24"/>
                <w:szCs w:val="24"/>
                <w:lang w:val="en-US" w:eastAsia="zh-CN"/>
                <w14:textOutline w14:w="4358" w14:cap="sq" w14:cmpd="sng">
                  <w14:solidFill>
                    <w14:srgbClr w14:val="000000"/>
                  </w14:solidFill>
                  <w14:prstDash w14:val="solid"/>
                  <w14:bevel/>
                </w14:textOutline>
              </w:rPr>
              <w:t>金额</w:t>
            </w:r>
          </w:p>
        </w:tc>
        <w:tc>
          <w:tcPr>
            <w:tcW w:w="1241" w:type="dxa"/>
            <w:vAlign w:val="center"/>
          </w:tcPr>
          <w:p w14:paraId="17C1C86E">
            <w:pPr>
              <w:pStyle w:val="223"/>
              <w:spacing w:before="266" w:line="219" w:lineRule="auto"/>
              <w:jc w:val="both"/>
              <w:rPr>
                <w:rFonts w:hint="default" w:eastAsia="宋体"/>
                <w:spacing w:val="-3"/>
                <w:sz w:val="24"/>
                <w:szCs w:val="24"/>
                <w:lang w:val="en-US" w:eastAsia="zh-CN"/>
                <w14:textOutline w14:w="4358" w14:cap="sq" w14:cmpd="sng">
                  <w14:solidFill>
                    <w14:srgbClr w14:val="000000"/>
                  </w14:solidFill>
                  <w14:prstDash w14:val="solid"/>
                  <w14:bevel/>
                </w14:textOutline>
              </w:rPr>
            </w:pPr>
            <w:r>
              <w:rPr>
                <w:rFonts w:hint="eastAsia"/>
                <w:spacing w:val="-3"/>
                <w:sz w:val="24"/>
                <w:szCs w:val="24"/>
                <w:lang w:val="en-US" w:eastAsia="zh-CN"/>
                <w14:textOutline w14:w="4358" w14:cap="sq" w14:cmpd="sng">
                  <w14:solidFill>
                    <w14:srgbClr w14:val="000000"/>
                  </w14:solidFill>
                  <w14:prstDash w14:val="solid"/>
                  <w14:bevel/>
                </w14:textOutline>
              </w:rPr>
              <w:t>预计出发时间</w:t>
            </w:r>
          </w:p>
        </w:tc>
      </w:tr>
      <w:tr w14:paraId="59ECD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88" w:type="dxa"/>
            <w:tcBorders>
              <w:top w:val="single" w:color="auto" w:sz="4" w:space="0"/>
              <w:left w:val="single" w:color="auto" w:sz="4" w:space="0"/>
              <w:bottom w:val="single" w:color="auto" w:sz="4" w:space="0"/>
              <w:right w:val="single" w:color="auto" w:sz="4" w:space="0"/>
            </w:tcBorders>
            <w:vAlign w:val="center"/>
          </w:tcPr>
          <w:p w14:paraId="08F841CB">
            <w:pPr>
              <w:pStyle w:val="223"/>
              <w:spacing w:before="78" w:line="220" w:lineRule="auto"/>
              <w:ind w:left="154"/>
              <w:jc w:val="center"/>
              <w:rPr>
                <w:color w:val="auto"/>
                <w:sz w:val="24"/>
                <w:szCs w:val="24"/>
              </w:rPr>
            </w:pPr>
            <w:r>
              <w:rPr>
                <w:color w:val="auto"/>
                <w:sz w:val="24"/>
                <w:szCs w:val="24"/>
              </w:rPr>
              <w:t>标项一</w:t>
            </w:r>
          </w:p>
        </w:tc>
        <w:tc>
          <w:tcPr>
            <w:tcW w:w="2946" w:type="dxa"/>
            <w:tcBorders>
              <w:left w:val="single" w:color="auto" w:sz="4" w:space="0"/>
            </w:tcBorders>
            <w:shd w:val="clear" w:color="auto" w:fill="auto"/>
            <w:vAlign w:val="center"/>
          </w:tcPr>
          <w:p w14:paraId="0FD5614C">
            <w:pPr>
              <w:pStyle w:val="223"/>
              <w:spacing w:before="36" w:line="230" w:lineRule="auto"/>
              <w:ind w:right="174" w:rightChars="0"/>
              <w:jc w:val="left"/>
              <w:rPr>
                <w:rFonts w:hint="default" w:eastAsia="宋体"/>
                <w:spacing w:val="-2"/>
                <w:sz w:val="24"/>
                <w:szCs w:val="24"/>
                <w:highlight w:val="none"/>
                <w:lang w:val="en-US" w:eastAsia="zh-CN"/>
              </w:rPr>
            </w:pPr>
            <w:r>
              <w:rPr>
                <w:rFonts w:hint="eastAsia"/>
                <w:spacing w:val="-2"/>
                <w:sz w:val="24"/>
                <w:szCs w:val="24"/>
                <w:highlight w:val="none"/>
                <w:lang w:val="en-US" w:eastAsia="zh-CN"/>
              </w:rPr>
              <w:t>路线1：</w:t>
            </w:r>
            <w:r>
              <w:rPr>
                <w:rFonts w:hint="eastAsia"/>
                <w:spacing w:val="-2"/>
                <w:sz w:val="24"/>
                <w:szCs w:val="24"/>
                <w:highlight w:val="none"/>
              </w:rPr>
              <w:t>重庆、涪陵</w:t>
            </w:r>
            <w:r>
              <w:rPr>
                <w:rFonts w:hint="eastAsia"/>
                <w:spacing w:val="-2"/>
                <w:sz w:val="24"/>
                <w:szCs w:val="24"/>
                <w:highlight w:val="none"/>
                <w:lang w:val="en-US" w:eastAsia="zh-CN"/>
              </w:rPr>
              <w:t>五</w:t>
            </w:r>
            <w:r>
              <w:rPr>
                <w:rFonts w:hint="eastAsia"/>
                <w:spacing w:val="-2"/>
                <w:sz w:val="24"/>
                <w:szCs w:val="24"/>
                <w:highlight w:val="none"/>
              </w:rPr>
              <w:t>日疗休养</w:t>
            </w:r>
          </w:p>
          <w:p w14:paraId="4F53BAC0">
            <w:pPr>
              <w:pStyle w:val="223"/>
              <w:spacing w:before="36" w:line="230" w:lineRule="auto"/>
              <w:ind w:right="174" w:rightChars="0"/>
              <w:jc w:val="left"/>
              <w:rPr>
                <w:rFonts w:hint="default"/>
                <w:color w:val="auto"/>
                <w:spacing w:val="-5"/>
                <w:sz w:val="24"/>
                <w:szCs w:val="24"/>
                <w:highlight w:val="none"/>
                <w:lang w:val="en-US" w:eastAsia="zh-CN"/>
              </w:rPr>
            </w:pPr>
            <w:r>
              <w:rPr>
                <w:rFonts w:hint="eastAsia"/>
                <w:color w:val="auto"/>
                <w:spacing w:val="-5"/>
                <w:sz w:val="24"/>
                <w:szCs w:val="24"/>
                <w:highlight w:val="none"/>
                <w:lang w:val="en-US" w:eastAsia="zh-CN"/>
              </w:rPr>
              <w:t>路线2：吉林长春五日疗休养</w:t>
            </w:r>
          </w:p>
          <w:p w14:paraId="1E1F1A39">
            <w:pPr>
              <w:pStyle w:val="223"/>
              <w:spacing w:line="224" w:lineRule="auto"/>
              <w:jc w:val="both"/>
              <w:rPr>
                <w:rFonts w:hint="eastAsia" w:ascii="Times New Roman" w:hAnsi="Times New Roman" w:eastAsia="宋体" w:cs="Times New Roman"/>
                <w:color w:val="auto"/>
                <w:kern w:val="0"/>
                <w:sz w:val="24"/>
                <w:szCs w:val="24"/>
                <w:lang w:val="en-US" w:eastAsia="zh-CN" w:bidi="ar-SA"/>
              </w:rPr>
            </w:pPr>
            <w:r>
              <w:rPr>
                <w:rFonts w:hint="eastAsia"/>
                <w:color w:val="auto"/>
                <w:spacing w:val="-5"/>
                <w:sz w:val="24"/>
                <w:szCs w:val="24"/>
                <w:highlight w:val="none"/>
                <w:lang w:val="en-US" w:eastAsia="zh-CN"/>
              </w:rPr>
              <w:t>路线3：</w:t>
            </w:r>
            <w:r>
              <w:rPr>
                <w:rFonts w:hint="eastAsia" w:ascii="Times New Roman" w:hAnsi="Times New Roman" w:eastAsia="宋体" w:cs="Times New Roman"/>
                <w:color w:val="auto"/>
                <w:spacing w:val="-5"/>
                <w:kern w:val="0"/>
                <w:sz w:val="24"/>
                <w:szCs w:val="24"/>
                <w:highlight w:val="none"/>
                <w:lang w:val="en-US" w:eastAsia="zh-CN" w:bidi="ar-SA"/>
              </w:rPr>
              <w:t>临安本地民宿游</w:t>
            </w:r>
          </w:p>
        </w:tc>
        <w:tc>
          <w:tcPr>
            <w:tcW w:w="1800" w:type="dxa"/>
            <w:shd w:val="clear" w:color="auto" w:fill="auto"/>
            <w:vAlign w:val="center"/>
          </w:tcPr>
          <w:p w14:paraId="0610E019">
            <w:pPr>
              <w:pStyle w:val="223"/>
              <w:spacing w:before="78" w:line="220" w:lineRule="auto"/>
              <w:jc w:val="center"/>
              <w:rPr>
                <w:rFonts w:ascii="Times New Roman" w:hAnsi="Times New Roman" w:eastAsia="宋体" w:cs="Times New Roman"/>
                <w:color w:val="auto"/>
                <w:kern w:val="0"/>
                <w:sz w:val="24"/>
                <w:szCs w:val="24"/>
                <w:lang w:val="en-US" w:eastAsia="zh-CN" w:bidi="ar-SA"/>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4E374CDF">
            <w:pPr>
              <w:pStyle w:val="223"/>
              <w:spacing w:before="78" w:line="184"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w:t>
            </w:r>
          </w:p>
        </w:tc>
        <w:tc>
          <w:tcPr>
            <w:tcW w:w="1241" w:type="dxa"/>
            <w:shd w:val="clear" w:color="auto" w:fill="auto"/>
            <w:vAlign w:val="center"/>
          </w:tcPr>
          <w:p w14:paraId="07F05206">
            <w:pPr>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105000</w:t>
            </w:r>
          </w:p>
        </w:tc>
        <w:tc>
          <w:tcPr>
            <w:tcW w:w="1241" w:type="dxa"/>
            <w:vAlign w:val="center"/>
          </w:tcPr>
          <w:p w14:paraId="15DA40E9">
            <w:pPr>
              <w:pStyle w:val="223"/>
              <w:numPr>
                <w:ilvl w:val="0"/>
                <w:numId w:val="0"/>
              </w:numPr>
              <w:spacing w:before="23" w:line="238" w:lineRule="auto"/>
              <w:ind w:left="122" w:leftChars="0" w:right="26" w:rightChars="0"/>
              <w:jc w:val="center"/>
              <w:rPr>
                <w:rFonts w:hint="default"/>
                <w:color w:val="auto"/>
                <w:sz w:val="24"/>
                <w:szCs w:val="24"/>
                <w:lang w:val="en-US" w:eastAsia="zh-CN"/>
              </w:rPr>
            </w:pPr>
            <w:r>
              <w:rPr>
                <w:rFonts w:hint="eastAsia"/>
                <w:color w:val="auto"/>
                <w:spacing w:val="-10"/>
                <w:sz w:val="24"/>
                <w:szCs w:val="24"/>
                <w:lang w:val="en-US" w:eastAsia="zh-CN"/>
              </w:rPr>
              <w:t>至12月</w:t>
            </w:r>
          </w:p>
        </w:tc>
      </w:tr>
      <w:tr w14:paraId="4E637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88" w:type="dxa"/>
            <w:tcBorders>
              <w:top w:val="single" w:color="auto" w:sz="4" w:space="0"/>
              <w:left w:val="single" w:color="auto" w:sz="4" w:space="0"/>
              <w:bottom w:val="single" w:color="auto" w:sz="4" w:space="0"/>
              <w:right w:val="single" w:color="auto" w:sz="4" w:space="0"/>
            </w:tcBorders>
            <w:vAlign w:val="center"/>
          </w:tcPr>
          <w:p w14:paraId="15E75D00">
            <w:pPr>
              <w:spacing w:line="311" w:lineRule="auto"/>
              <w:jc w:val="center"/>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标项二</w:t>
            </w:r>
          </w:p>
        </w:tc>
        <w:tc>
          <w:tcPr>
            <w:tcW w:w="2946" w:type="dxa"/>
            <w:tcBorders>
              <w:left w:val="single" w:color="auto" w:sz="4" w:space="0"/>
            </w:tcBorders>
            <w:shd w:val="clear" w:color="auto" w:fill="auto"/>
            <w:vAlign w:val="center"/>
          </w:tcPr>
          <w:p w14:paraId="52B7E8CF">
            <w:pPr>
              <w:pStyle w:val="223"/>
              <w:spacing w:line="224" w:lineRule="auto"/>
              <w:ind w:left="154" w:leftChars="0"/>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临安本地疗休养</w:t>
            </w:r>
          </w:p>
        </w:tc>
        <w:tc>
          <w:tcPr>
            <w:tcW w:w="1800" w:type="dxa"/>
            <w:shd w:val="clear" w:color="auto" w:fill="auto"/>
            <w:vAlign w:val="center"/>
          </w:tcPr>
          <w:p w14:paraId="19ECFF9D">
            <w:pPr>
              <w:spacing w:before="213" w:line="220" w:lineRule="auto"/>
              <w:jc w:val="center"/>
              <w:rPr>
                <w:rFonts w:ascii="Times New Roman" w:hAnsi="Times New Roman" w:eastAsia="宋体" w:cs="Times New Roman"/>
                <w:color w:val="auto"/>
                <w:spacing w:val="-4"/>
                <w:kern w:val="2"/>
                <w:sz w:val="24"/>
                <w:szCs w:val="24"/>
                <w:lang w:val="en-US" w:eastAsia="zh-CN" w:bidi="ar-SA"/>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7AE65FD3">
            <w:pPr>
              <w:pStyle w:val="223"/>
              <w:spacing w:before="214" w:line="224" w:lineRule="auto"/>
              <w:jc w:val="center"/>
              <w:rPr>
                <w:rFonts w:hint="default" w:ascii="Times New Roman" w:hAnsi="Times New Roman" w:eastAsia="宋体" w:cs="Times New Roman"/>
                <w:color w:val="auto"/>
                <w:kern w:val="0"/>
                <w:sz w:val="24"/>
                <w:szCs w:val="24"/>
                <w:lang w:val="en-US" w:eastAsia="zh-CN" w:bidi="ar-SA"/>
              </w:rPr>
            </w:pPr>
            <w:r>
              <w:rPr>
                <w:rFonts w:hint="eastAsia" w:eastAsia="宋体"/>
                <w:color w:val="auto"/>
                <w:sz w:val="24"/>
                <w:szCs w:val="24"/>
                <w:lang w:val="en-US" w:eastAsia="zh-CN"/>
              </w:rPr>
              <w:t>/</w:t>
            </w:r>
          </w:p>
        </w:tc>
        <w:tc>
          <w:tcPr>
            <w:tcW w:w="1241" w:type="dxa"/>
            <w:shd w:val="clear" w:color="auto" w:fill="auto"/>
            <w:vAlign w:val="center"/>
          </w:tcPr>
          <w:p w14:paraId="5A571C12">
            <w:pPr>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105000</w:t>
            </w:r>
          </w:p>
        </w:tc>
        <w:tc>
          <w:tcPr>
            <w:tcW w:w="1241" w:type="dxa"/>
            <w:shd w:val="clear" w:color="auto" w:fill="auto"/>
            <w:vAlign w:val="center"/>
          </w:tcPr>
          <w:p w14:paraId="0A26A257">
            <w:pPr>
              <w:jc w:val="center"/>
              <w:rPr>
                <w:rFonts w:hint="default" w:ascii="Times New Roman" w:hAnsi="Times New Roman" w:eastAsia="宋体" w:cs="Times New Roman"/>
                <w:color w:val="auto"/>
                <w:spacing w:val="-10"/>
                <w:kern w:val="2"/>
                <w:sz w:val="24"/>
                <w:szCs w:val="24"/>
                <w:lang w:val="en-US" w:eastAsia="zh-CN" w:bidi="ar-SA"/>
              </w:rPr>
            </w:pPr>
            <w:r>
              <w:rPr>
                <w:rFonts w:hint="eastAsia"/>
                <w:color w:val="auto"/>
                <w:spacing w:val="-10"/>
                <w:sz w:val="24"/>
                <w:szCs w:val="24"/>
                <w:lang w:val="en-US" w:eastAsia="zh-CN"/>
              </w:rPr>
              <w:t>至12月</w:t>
            </w:r>
          </w:p>
        </w:tc>
      </w:tr>
      <w:tr w14:paraId="12647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188" w:type="dxa"/>
            <w:tcBorders>
              <w:top w:val="single" w:color="auto" w:sz="4" w:space="0"/>
              <w:left w:val="single" w:color="auto" w:sz="4" w:space="0"/>
              <w:bottom w:val="single" w:color="auto" w:sz="4" w:space="0"/>
              <w:right w:val="single" w:color="auto" w:sz="4" w:space="0"/>
            </w:tcBorders>
            <w:vAlign w:val="center"/>
          </w:tcPr>
          <w:p w14:paraId="0602150D">
            <w:pPr>
              <w:spacing w:line="311"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标项三</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14:paraId="7E604293">
            <w:pPr>
              <w:pStyle w:val="223"/>
              <w:spacing w:line="219" w:lineRule="auto"/>
              <w:ind w:left="112"/>
              <w:jc w:val="center"/>
              <w:rPr>
                <w:rFonts w:hint="eastAsia" w:ascii="Times New Roman" w:hAnsi="Times New Roman" w:eastAsia="宋体" w:cs="Times New Roman"/>
                <w:color w:val="auto"/>
                <w:kern w:val="0"/>
                <w:sz w:val="24"/>
                <w:szCs w:val="24"/>
                <w:lang w:val="en-US" w:eastAsia="zh-CN" w:bidi="ar-SA"/>
              </w:rPr>
            </w:pPr>
            <w:r>
              <w:rPr>
                <w:color w:val="auto"/>
                <w:spacing w:val="-3"/>
                <w:sz w:val="24"/>
                <w:szCs w:val="24"/>
              </w:rPr>
              <w:t>临安本地疗</w:t>
            </w:r>
            <w:r>
              <w:rPr>
                <w:color w:val="auto"/>
                <w:spacing w:val="-2"/>
                <w:sz w:val="24"/>
                <w:szCs w:val="24"/>
              </w:rPr>
              <w:t>休养</w:t>
            </w:r>
          </w:p>
        </w:tc>
        <w:tc>
          <w:tcPr>
            <w:tcW w:w="1800" w:type="dxa"/>
            <w:tcBorders>
              <w:left w:val="single" w:color="auto" w:sz="4" w:space="0"/>
            </w:tcBorders>
            <w:shd w:val="clear" w:color="auto" w:fill="auto"/>
            <w:vAlign w:val="center"/>
          </w:tcPr>
          <w:p w14:paraId="386668C5">
            <w:pPr>
              <w:pStyle w:val="223"/>
              <w:spacing w:before="261" w:line="220" w:lineRule="auto"/>
              <w:jc w:val="center"/>
              <w:rPr>
                <w:rFonts w:ascii="Times New Roman" w:hAnsi="Times New Roman" w:eastAsia="宋体" w:cs="Times New Roman"/>
                <w:color w:val="auto"/>
                <w:kern w:val="0"/>
                <w:sz w:val="24"/>
                <w:szCs w:val="24"/>
                <w:lang w:val="en-US" w:eastAsia="zh-CN" w:bidi="ar-SA"/>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66A3B6DA">
            <w:pPr>
              <w:pStyle w:val="223"/>
              <w:spacing w:before="299" w:line="183" w:lineRule="auto"/>
              <w:jc w:val="center"/>
              <w:rPr>
                <w:rFonts w:hint="default" w:ascii="Times New Roman" w:hAnsi="Times New Roman" w:eastAsia="宋体" w:cs="Times New Roman"/>
                <w:color w:val="auto"/>
                <w:kern w:val="0"/>
                <w:sz w:val="24"/>
                <w:szCs w:val="24"/>
                <w:lang w:val="en-US" w:eastAsia="zh-CN" w:bidi="ar-SA"/>
              </w:rPr>
            </w:pPr>
            <w:r>
              <w:rPr>
                <w:rFonts w:hint="eastAsia"/>
                <w:color w:val="auto"/>
                <w:sz w:val="24"/>
                <w:szCs w:val="24"/>
                <w:lang w:val="en-US" w:eastAsia="zh-CN"/>
              </w:rPr>
              <w:t>/</w:t>
            </w:r>
          </w:p>
        </w:tc>
        <w:tc>
          <w:tcPr>
            <w:tcW w:w="1241" w:type="dxa"/>
            <w:shd w:val="clear" w:color="auto" w:fill="auto"/>
            <w:vAlign w:val="center"/>
          </w:tcPr>
          <w:p w14:paraId="24DD0C97">
            <w:pPr>
              <w:pStyle w:val="223"/>
              <w:numPr>
                <w:ilvl w:val="0"/>
                <w:numId w:val="0"/>
              </w:numPr>
              <w:spacing w:before="23" w:line="238" w:lineRule="auto"/>
              <w:ind w:right="26" w:rightChars="0"/>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105000</w:t>
            </w:r>
          </w:p>
        </w:tc>
        <w:tc>
          <w:tcPr>
            <w:tcW w:w="1241" w:type="dxa"/>
            <w:shd w:val="clear" w:color="auto" w:fill="auto"/>
            <w:vAlign w:val="center"/>
          </w:tcPr>
          <w:p w14:paraId="0201B8C9">
            <w:pPr>
              <w:jc w:val="center"/>
              <w:rPr>
                <w:rFonts w:hint="default" w:ascii="Times New Roman" w:hAnsi="Times New Roman" w:eastAsia="宋体" w:cs="Times New Roman"/>
                <w:color w:val="auto"/>
                <w:kern w:val="2"/>
                <w:sz w:val="24"/>
                <w:szCs w:val="24"/>
                <w:lang w:val="en-US" w:eastAsia="zh-CN" w:bidi="ar-SA"/>
              </w:rPr>
            </w:pPr>
            <w:r>
              <w:rPr>
                <w:rFonts w:hint="eastAsia"/>
                <w:color w:val="auto"/>
                <w:spacing w:val="-10"/>
                <w:sz w:val="24"/>
                <w:szCs w:val="24"/>
                <w:lang w:val="en-US" w:eastAsia="zh-CN"/>
              </w:rPr>
              <w:t>至12月</w:t>
            </w:r>
          </w:p>
        </w:tc>
      </w:tr>
      <w:tr w14:paraId="345DA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188" w:type="dxa"/>
            <w:tcBorders>
              <w:top w:val="single" w:color="auto" w:sz="4" w:space="0"/>
              <w:left w:val="single" w:color="auto" w:sz="4" w:space="0"/>
              <w:bottom w:val="single" w:color="auto" w:sz="4" w:space="0"/>
              <w:right w:val="single" w:color="auto" w:sz="4" w:space="0"/>
            </w:tcBorders>
            <w:vAlign w:val="center"/>
          </w:tcPr>
          <w:p w14:paraId="15600D48">
            <w:pPr>
              <w:spacing w:line="311"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标项四</w:t>
            </w:r>
          </w:p>
        </w:tc>
        <w:tc>
          <w:tcPr>
            <w:tcW w:w="2946" w:type="dxa"/>
            <w:tcBorders>
              <w:top w:val="single" w:color="auto" w:sz="4" w:space="0"/>
              <w:left w:val="single" w:color="auto" w:sz="4" w:space="0"/>
              <w:bottom w:val="single" w:color="auto" w:sz="4" w:space="0"/>
              <w:right w:val="single" w:color="auto" w:sz="4" w:space="0"/>
            </w:tcBorders>
            <w:shd w:val="clear" w:color="auto" w:fill="auto"/>
            <w:vAlign w:val="center"/>
          </w:tcPr>
          <w:p w14:paraId="6029359B">
            <w:pPr>
              <w:pStyle w:val="223"/>
              <w:spacing w:line="219" w:lineRule="auto"/>
              <w:ind w:left="112"/>
              <w:jc w:val="center"/>
              <w:rPr>
                <w:color w:val="auto"/>
                <w:spacing w:val="-3"/>
                <w:sz w:val="24"/>
                <w:szCs w:val="24"/>
              </w:rPr>
            </w:pPr>
            <w:r>
              <w:rPr>
                <w:color w:val="auto"/>
                <w:spacing w:val="-3"/>
                <w:sz w:val="24"/>
                <w:szCs w:val="24"/>
              </w:rPr>
              <w:t>临安本地疗</w:t>
            </w:r>
            <w:r>
              <w:rPr>
                <w:color w:val="auto"/>
                <w:spacing w:val="-2"/>
                <w:sz w:val="24"/>
                <w:szCs w:val="24"/>
              </w:rPr>
              <w:t>休养</w:t>
            </w:r>
          </w:p>
        </w:tc>
        <w:tc>
          <w:tcPr>
            <w:tcW w:w="1800" w:type="dxa"/>
            <w:tcBorders>
              <w:left w:val="single" w:color="auto" w:sz="4" w:space="0"/>
            </w:tcBorders>
            <w:shd w:val="clear" w:color="auto" w:fill="auto"/>
            <w:vAlign w:val="center"/>
          </w:tcPr>
          <w:p w14:paraId="03DC7D3C">
            <w:pPr>
              <w:pStyle w:val="223"/>
              <w:spacing w:before="261" w:line="220" w:lineRule="auto"/>
              <w:jc w:val="center"/>
              <w:rPr>
                <w:color w:val="auto"/>
                <w:spacing w:val="-4"/>
                <w:sz w:val="24"/>
                <w:szCs w:val="24"/>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7E8200B5">
            <w:pPr>
              <w:pStyle w:val="223"/>
              <w:spacing w:before="299" w:line="183" w:lineRule="auto"/>
              <w:jc w:val="center"/>
              <w:rPr>
                <w:rFonts w:hint="default"/>
                <w:color w:val="auto"/>
                <w:sz w:val="24"/>
                <w:szCs w:val="24"/>
                <w:lang w:val="en-US" w:eastAsia="zh-CN"/>
              </w:rPr>
            </w:pPr>
            <w:r>
              <w:rPr>
                <w:rFonts w:hint="eastAsia"/>
                <w:color w:val="auto"/>
                <w:sz w:val="24"/>
                <w:szCs w:val="24"/>
                <w:lang w:val="en-US" w:eastAsia="zh-CN"/>
              </w:rPr>
              <w:t>/</w:t>
            </w:r>
          </w:p>
        </w:tc>
        <w:tc>
          <w:tcPr>
            <w:tcW w:w="1241" w:type="dxa"/>
            <w:shd w:val="clear" w:color="auto" w:fill="auto"/>
            <w:vAlign w:val="center"/>
          </w:tcPr>
          <w:p w14:paraId="5A4CD5CE">
            <w:pPr>
              <w:pStyle w:val="223"/>
              <w:numPr>
                <w:ilvl w:val="0"/>
                <w:numId w:val="0"/>
              </w:numPr>
              <w:spacing w:before="23" w:line="238" w:lineRule="auto"/>
              <w:ind w:right="26" w:rightChars="0"/>
              <w:jc w:val="center"/>
              <w:rPr>
                <w:rFonts w:hint="default" w:ascii="Arial" w:cs="Times New Roman"/>
                <w:kern w:val="2"/>
                <w:sz w:val="21"/>
                <w:szCs w:val="24"/>
                <w:lang w:val="en-US" w:eastAsia="zh-CN" w:bidi="ar-SA"/>
              </w:rPr>
            </w:pPr>
            <w:r>
              <w:rPr>
                <w:rFonts w:hint="eastAsia" w:ascii="Arial" w:cs="Times New Roman"/>
                <w:kern w:val="2"/>
                <w:sz w:val="21"/>
                <w:szCs w:val="24"/>
                <w:lang w:val="en-US" w:eastAsia="zh-CN" w:bidi="ar-SA"/>
              </w:rPr>
              <w:t>54000</w:t>
            </w:r>
          </w:p>
        </w:tc>
        <w:tc>
          <w:tcPr>
            <w:tcW w:w="1241" w:type="dxa"/>
            <w:shd w:val="clear" w:color="auto" w:fill="auto"/>
            <w:vAlign w:val="center"/>
          </w:tcPr>
          <w:p w14:paraId="62964449">
            <w:pPr>
              <w:jc w:val="center"/>
              <w:rPr>
                <w:rFonts w:hint="eastAsia"/>
                <w:color w:val="auto"/>
                <w:spacing w:val="-10"/>
                <w:sz w:val="24"/>
                <w:szCs w:val="24"/>
                <w:lang w:val="en-US" w:eastAsia="zh-CN"/>
              </w:rPr>
            </w:pPr>
            <w:r>
              <w:rPr>
                <w:rFonts w:hint="eastAsia"/>
                <w:color w:val="auto"/>
                <w:spacing w:val="-10"/>
                <w:sz w:val="24"/>
                <w:szCs w:val="24"/>
                <w:lang w:val="en-US" w:eastAsia="zh-CN"/>
              </w:rPr>
              <w:t>至12月</w:t>
            </w:r>
          </w:p>
        </w:tc>
      </w:tr>
      <w:tr w14:paraId="22E5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0066" w:type="dxa"/>
            <w:gridSpan w:val="6"/>
            <w:tcBorders>
              <w:top w:val="single" w:color="auto" w:sz="4" w:space="0"/>
              <w:left w:val="single" w:color="auto" w:sz="4" w:space="0"/>
            </w:tcBorders>
            <w:vAlign w:val="center"/>
          </w:tcPr>
          <w:p w14:paraId="3A2F2DFC">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（1）省外线路产生的大交通费用，根据政策结算及具体线路方案另行确认个人承担金额，按实际发生费用支付给成交供应商。</w:t>
            </w:r>
          </w:p>
          <w:p w14:paraId="41F6E5D7">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（2）疗养时间以采购人出发时间为准，原则上出发准备时间不得多于5个工作日。</w:t>
            </w:r>
          </w:p>
          <w:p w14:paraId="70A5E9F7">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（3）由于天气等不可抗拒因素，采购人有权调整疗休养路线，成交供应商应积极配合。</w:t>
            </w:r>
          </w:p>
          <w:p w14:paraId="404A21CC">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w:t>
            </w:r>
            <w:r>
              <w:rPr>
                <w:rFonts w:hint="eastAsia" w:ascii="宋体" w:hAnsi="宋体" w:cs="宋体"/>
                <w:kern w:val="0"/>
                <w:sz w:val="24"/>
                <w:szCs w:val="20"/>
                <w:lang w:val="en-US" w:eastAsia="zh-CN" w:bidi="ar-SA"/>
              </w:rPr>
              <w:t>4</w:t>
            </w:r>
            <w:r>
              <w:rPr>
                <w:rFonts w:hint="eastAsia" w:ascii="宋体" w:hAnsi="宋体" w:eastAsia="宋体" w:cs="宋体"/>
                <w:kern w:val="0"/>
                <w:sz w:val="24"/>
                <w:szCs w:val="20"/>
                <w:lang w:val="en-US" w:eastAsia="zh-CN" w:bidi="ar-SA"/>
              </w:rPr>
              <w:t>）每条线路根据工会文件均要为出行者购买人身意外伤害保险。</w:t>
            </w:r>
          </w:p>
          <w:p w14:paraId="762A1FF0">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cs="宋体"/>
                <w:kern w:val="0"/>
                <w:sz w:val="24"/>
                <w:szCs w:val="20"/>
                <w:lang w:val="en-US" w:eastAsia="zh-CN" w:bidi="ar-SA"/>
              </w:rPr>
              <w:t>（5</w:t>
            </w:r>
            <w:r>
              <w:rPr>
                <w:rFonts w:hint="eastAsia" w:ascii="宋体" w:hAnsi="宋体" w:eastAsia="宋体" w:cs="宋体"/>
                <w:kern w:val="0"/>
                <w:sz w:val="24"/>
                <w:szCs w:val="20"/>
                <w:lang w:val="en-US" w:eastAsia="zh-CN" w:bidi="ar-SA"/>
              </w:rPr>
              <w:t>）上表每条线路出行人数为预计人数，出行人数存在不确定性，最终费用按实际出发人数按实结算。</w:t>
            </w:r>
          </w:p>
          <w:p w14:paraId="7885D3EF">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（7）其他根据工会标准进行。</w:t>
            </w:r>
          </w:p>
        </w:tc>
      </w:tr>
    </w:tbl>
    <w:p w14:paraId="53DE26A5">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三、行程线路</w:t>
      </w:r>
    </w:p>
    <w:p w14:paraId="3180A08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1、组织人员活动、参观游览，行程安排符合人员疗养，在确保安全的前提下力求做到动静结合，贴近需求。</w:t>
      </w:r>
    </w:p>
    <w:p w14:paraId="461F1E6C">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2、行程安排及景区参观路线可根据天气等实际情况征得采购方同意后调整。</w:t>
      </w:r>
    </w:p>
    <w:p w14:paraId="4B728D8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3、线路要求：投标单位须按采购需求提供1条线路1种方案供采购人选择，同时此方案不作为采购人最终选定方案。最终方案中标单位须与采购人沟通后再确认的为准。</w:t>
      </w:r>
    </w:p>
    <w:p w14:paraId="3E9DD8B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4、制定协助旅游的服务方案及旅游出行前的说明。</w:t>
      </w:r>
    </w:p>
    <w:p w14:paraId="29747250">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四、服务标准</w:t>
      </w:r>
    </w:p>
    <w:p w14:paraId="5C43854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1、疗休养组织形式：独立组团，达到成团人数后也可根据实际情况进行调整路线。</w:t>
      </w:r>
    </w:p>
    <w:p w14:paraId="66BC2568">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餐饮安排基本要求：应安排具备正规餐饮经营资质，卫生条件和服务质量符合国家相关法律、法规要求的就餐地点，各线路方案从第一天午餐开始到第五天的午餐期间的早中晚餐原则上均包含在疗休养服务范围内，个别线路因路途特殊情况需要疗休养职工自备的应在线路方案设计中明确。早餐以入住酒店或民宿自助餐标准为准，中、晚餐不低于70元/人/餐。</w:t>
      </w:r>
    </w:p>
    <w:p w14:paraId="5F1D334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住宿安排基本要求：不得低于《旅游酒店星级划分及评定》4星酒店或《浙江省民宿评定管理委员会》银宿级民宿（含早）或网评4钻。同批次的疗休养职工应安排在同一酒店，住宿地点的选择应符合线路安排的需要，若团队中出现单男单女，个人不补住房差价，由中标供应商安排并承担，因个人要求单住房，需补交个人房差价（具体以业主需求为准）。</w:t>
      </w:r>
    </w:p>
    <w:p w14:paraId="3DDB466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4、固定景点、收费项目基本要求：固定景点、收费项目的门票、必须的轮渡费用均已含在疗休养总费用内，景点内的二次收费项目、索道等其他费用不含在疗休养总费用内，由职工及家属自行选择消费，但供应商的随团服务人员有责任提前告知或提供咨询，并在行程范围内给予相应的配合。</w:t>
      </w:r>
    </w:p>
    <w:p w14:paraId="7CECFB4A">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5、允许在各路线方案内安排一定的自由活动行程，但不得安排或主动推荐购物和另行付费项目，不得强迫或者变相强迫出行团队成员购物和参加另行付费项目</w:t>
      </w:r>
    </w:p>
    <w:p w14:paraId="531E3D3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6、交通支持基本要求：全程空调旅游车（省外大交通为飞机）。要求车况好，车位充足，空调效果好，司机服务态度好、技术好，确保行程安全。要求三年内新车，按照人数 1：1.2比例配备。每车至少配备 1 名导游，车上需配备矿泉水。</w:t>
      </w:r>
    </w:p>
    <w:p w14:paraId="2AEDBB9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7、导游人员要求：普通话标准清晰，具备导游资格证书，要求具备一定的资历资格和丰富的从业经验，解决旅途中可能出现的突发事件，并给予游客食、宿、行等方面的帮助，不得额外收取小费。</w:t>
      </w:r>
    </w:p>
    <w:p w14:paraId="783F0448">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8、保险保障基本要求：供应商应按国家相关规定投保旅行社责任险，并为疗休养职工及家属代办至少一份全程的旅游意外保险。路线方案全部行程内（包括安排的自由活动、自费项目）的安全保障措施及各项提醒、告知和必要的应急、补救措施均由供应商负责。</w:t>
      </w:r>
    </w:p>
    <w:p w14:paraId="638C49E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9、供应商确定疗休养路线方案后，必须根据《中华人民共和国民法典》、《中华人民共和国旅游法》和《浙江省旅游条例》等有关国内旅游组团的合同范本、旅游服务质量标准等有关法律、规章，与采购人职工及家属签订旅游服务合同，包括但不限于服务承诺、安全承诺等。</w:t>
      </w:r>
    </w:p>
    <w:p w14:paraId="1533755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10、供应商不得以任何理由、任何方式将采购人疗休养职工及家属组团转包给第三方旅游服务机构。</w:t>
      </w:r>
    </w:p>
    <w:p w14:paraId="5D24FA9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11、若有家属随队参加，行前中标供应商须与家属签订协议，相关费用另行与家属方结算。</w:t>
      </w:r>
    </w:p>
    <w:p w14:paraId="2FAA5710">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12、出发前发放《行程安排表》和《注意事项》；</w:t>
      </w:r>
    </w:p>
    <w:p w14:paraId="3458A71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13、参加疗休养人员名单和个人信息不得外泄；</w:t>
      </w:r>
    </w:p>
    <w:p w14:paraId="1E679FEB">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14、特别提醒：报价须包含交通费、住宿费（附住宿星级）、伙食费（提供参考菜单）、保险费、所列景点门票及相关活动费用等。</w:t>
      </w:r>
    </w:p>
    <w:p w14:paraId="5D27503B">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五、服务期限</w:t>
      </w:r>
    </w:p>
    <w:p w14:paraId="29ACADB8">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自合同签订生效之日起至</w:t>
      </w:r>
      <w:r>
        <w:rPr>
          <w:rFonts w:hint="eastAsia" w:ascii="宋体" w:hAnsi="宋体" w:cs="宋体"/>
          <w:kern w:val="0"/>
          <w:sz w:val="24"/>
          <w:szCs w:val="20"/>
          <w:lang w:val="en-US" w:eastAsia="zh-CN" w:bidi="ar-SA"/>
        </w:rPr>
        <w:t>2025</w:t>
      </w:r>
      <w:r>
        <w:rPr>
          <w:rFonts w:hint="eastAsia" w:ascii="宋体" w:hAnsi="宋体" w:eastAsia="宋体" w:cs="宋体"/>
          <w:kern w:val="0"/>
          <w:sz w:val="24"/>
          <w:szCs w:val="20"/>
          <w:lang w:val="en-US" w:eastAsia="zh-CN" w:bidi="ar-SA"/>
        </w:rPr>
        <w:t>年12月31日止。如遇不可抗力等因素，中标单位应根据采购人的要求延续提供1-2个月的服务，费用标准按原合同规定执行。</w:t>
      </w:r>
    </w:p>
    <w:p w14:paraId="37C12DDA">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六、付款方式</w:t>
      </w:r>
    </w:p>
    <w:p w14:paraId="3FADF86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合同履行完成后，经招标人验收合格，根据实际参团人数结算，最终结算价按照实际参加人数*成交单价，按实结算，返程后一个月内付清，具体在合同中明确。</w:t>
      </w:r>
    </w:p>
    <w:p w14:paraId="00B9CF41">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七、补充事项说明</w:t>
      </w:r>
    </w:p>
    <w:p w14:paraId="41AB194C">
      <w:pPr>
        <w:tabs>
          <w:tab w:val="left" w:pos="0"/>
        </w:tabs>
        <w:spacing w:line="360" w:lineRule="auto"/>
        <w:ind w:firstLine="480"/>
        <w:rPr>
          <w:rFonts w:hint="eastAsia" w:ascii="宋体" w:hAnsi="宋体" w:eastAsia="宋体" w:cs="宋体"/>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1、▲</w:t>
      </w:r>
      <w:r>
        <w:rPr>
          <w:rFonts w:hint="eastAsia" w:ascii="宋体" w:hAnsi="宋体" w:eastAsia="宋体" w:cs="宋体"/>
          <w:b/>
          <w:bCs/>
          <w:kern w:val="0"/>
          <w:sz w:val="24"/>
          <w:szCs w:val="20"/>
          <w:highlight w:val="yellow"/>
          <w:lang w:val="en-US" w:eastAsia="zh-CN" w:bidi="ar-SA"/>
        </w:rPr>
        <w:t>投标人可投多个标项，但最终只能中一个标项（按标项顺序评审，若投标人已中标标项一，则该中标人不作为后续标项的中标候选人，以此类推）各标项的评标结果按评审后最终总得分格高到低顺序排列。符合招标文件的具体要求且总分最高的为本项目各标项的第一中标候选人。</w:t>
      </w:r>
    </w:p>
    <w:p w14:paraId="41ED70CC">
      <w:pPr>
        <w:tabs>
          <w:tab w:val="left" w:pos="0"/>
        </w:tabs>
        <w:spacing w:line="360" w:lineRule="auto"/>
        <w:ind w:firstLine="480"/>
        <w:rPr>
          <w:rFonts w:hint="default" w:ascii="宋体" w:hAnsi="宋体" w:eastAsia="宋体" w:cs="宋体"/>
          <w:b/>
          <w:bCs/>
          <w:kern w:val="0"/>
          <w:sz w:val="24"/>
          <w:szCs w:val="20"/>
          <w:highlight w:val="yellow"/>
          <w:lang w:val="en-US" w:eastAsia="zh-CN" w:bidi="ar-SA"/>
        </w:rPr>
      </w:pPr>
      <w:r>
        <w:rPr>
          <w:rFonts w:hint="eastAsia" w:ascii="宋体" w:hAnsi="宋体" w:cs="宋体"/>
          <w:b/>
          <w:bCs/>
          <w:kern w:val="0"/>
          <w:sz w:val="24"/>
          <w:szCs w:val="20"/>
          <w:highlight w:val="yellow"/>
          <w:lang w:val="en-US" w:eastAsia="zh-CN" w:bidi="ar-SA"/>
        </w:rPr>
        <w:t>2、报价要求：本项目报价为固定报价(即：3000元/人)，不做报价竞争，报价金额未按固定报价的其响应文件作无效处理。以上价格包含整条线路的吃、住、行及景点门票、导游费（还包括当地导游费）、保险费（旅游全程保险费）、领队费用及其它相关费用等完成本项目的所有费用。</w:t>
      </w:r>
    </w:p>
    <w:p w14:paraId="7C8FCE22">
      <w:pPr>
        <w:adjustRightInd w:val="0"/>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kern w:val="0"/>
          <w:sz w:val="24"/>
          <w:szCs w:val="20"/>
          <w:lang w:val="en-US" w:eastAsia="zh-CN" w:bidi="ar-SA"/>
        </w:rPr>
        <w:t>八、考核及其他要求</w:t>
      </w:r>
    </w:p>
    <w:p w14:paraId="58FBBA72">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14:paraId="27965294">
      <w:pPr>
        <w:tabs>
          <w:tab w:val="left" w:pos="0"/>
        </w:tabs>
        <w:spacing w:line="360" w:lineRule="auto"/>
        <w:ind w:firstLine="480"/>
        <w:rPr>
          <w:rFonts w:hint="eastAsia" w:ascii="宋体" w:hAnsi="宋体" w:eastAsia="宋体" w:cs="宋体"/>
          <w:kern w:val="0"/>
          <w:sz w:val="24"/>
          <w:szCs w:val="20"/>
          <w:lang w:val="en-US" w:eastAsia="zh-CN" w:bidi="ar-SA"/>
        </w:rPr>
        <w:sectPr>
          <w:headerReference r:id="rId3" w:type="default"/>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4"/>
          <w:szCs w:val="20"/>
          <w:lang w:val="en-US" w:eastAsia="zh-CN" w:bidi="ar-SA"/>
        </w:rPr>
        <w:t>2、考核标准：当次满意度平均分高于85分（含），支付当次疗休养费用的100%；当次满意度平均分高于75分（含）低于85分，扣减当次疗休养费用5%；当次满意度平均分低75分，扣减当次疗休养费用10%。</w:t>
      </w:r>
    </w:p>
    <w:p w14:paraId="4C5D3ED6">
      <w:pPr>
        <w:pStyle w:val="15"/>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napToGrid/>
          <w:color w:val="auto"/>
          <w:kern w:val="0"/>
          <w:sz w:val="24"/>
          <w:szCs w:val="20"/>
          <w:lang w:val="en-US" w:eastAsia="zh-CN" w:bidi="ar-SA"/>
        </w:rPr>
        <w:t>《满意度调查表》</w:t>
      </w:r>
    </w:p>
    <w:p w14:paraId="22560DDC">
      <w:pPr>
        <w:pStyle w:val="15"/>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p>
    <w:p w14:paraId="6FB0EEE4">
      <w:pPr>
        <w:widowControl w:val="0"/>
        <w:wordWrap/>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感谢您对旅行社的服务情况进行评分反馈。希望您能认真、详实地填写。同时为耽误您的宝贵时间表示歉意。</w:t>
      </w:r>
    </w:p>
    <w:p w14:paraId="391B7980">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为您服务的旅行社名称：                         疗休养线路：</w:t>
      </w:r>
    </w:p>
    <w:p w14:paraId="1C66308A">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请根据您的实际感受对以下各项进行评分：</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4484"/>
        <w:gridCol w:w="1285"/>
        <w:gridCol w:w="811"/>
        <w:gridCol w:w="812"/>
        <w:gridCol w:w="938"/>
      </w:tblGrid>
      <w:tr w14:paraId="461B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8C769CE">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评价内容</w:t>
            </w:r>
          </w:p>
        </w:tc>
        <w:tc>
          <w:tcPr>
            <w:tcW w:w="3846" w:type="dxa"/>
            <w:gridSpan w:val="4"/>
            <w:tcBorders>
              <w:top w:val="single" w:color="auto" w:sz="4" w:space="0"/>
              <w:left w:val="nil"/>
              <w:bottom w:val="single" w:color="auto" w:sz="4" w:space="0"/>
              <w:right w:val="single" w:color="auto" w:sz="4" w:space="0"/>
            </w:tcBorders>
            <w:noWrap w:val="0"/>
            <w:vAlign w:val="center"/>
          </w:tcPr>
          <w:p w14:paraId="64D6AC65">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满意度评分（0-100分）</w:t>
            </w:r>
          </w:p>
        </w:tc>
      </w:tr>
      <w:tr w14:paraId="1238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A4619C">
            <w:pPr>
              <w:widowControl/>
              <w:spacing w:before="156"/>
              <w:jc w:val="left"/>
              <w:rPr>
                <w:rFonts w:hint="eastAsia" w:ascii="宋体" w:hAnsi="宋体" w:eastAsia="宋体" w:cs="宋体"/>
                <w:color w:val="auto"/>
                <w:kern w:val="0"/>
                <w:sz w:val="21"/>
                <w:szCs w:val="21"/>
                <w:highlight w:val="none"/>
              </w:rPr>
            </w:pPr>
          </w:p>
        </w:tc>
        <w:tc>
          <w:tcPr>
            <w:tcW w:w="1285" w:type="dxa"/>
            <w:tcBorders>
              <w:top w:val="nil"/>
              <w:left w:val="nil"/>
              <w:bottom w:val="single" w:color="auto" w:sz="4" w:space="0"/>
              <w:right w:val="single" w:color="auto" w:sz="4" w:space="0"/>
            </w:tcBorders>
            <w:noWrap w:val="0"/>
            <w:vAlign w:val="center"/>
          </w:tcPr>
          <w:p w14:paraId="27AB63F1">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非常满意</w:t>
            </w:r>
          </w:p>
        </w:tc>
        <w:tc>
          <w:tcPr>
            <w:tcW w:w="811" w:type="dxa"/>
            <w:tcBorders>
              <w:top w:val="nil"/>
              <w:left w:val="nil"/>
              <w:bottom w:val="single" w:color="auto" w:sz="4" w:space="0"/>
              <w:right w:val="single" w:color="auto" w:sz="4" w:space="0"/>
            </w:tcBorders>
            <w:noWrap w:val="0"/>
            <w:vAlign w:val="center"/>
          </w:tcPr>
          <w:p w14:paraId="7D3F8CC1">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812" w:type="dxa"/>
            <w:tcBorders>
              <w:top w:val="nil"/>
              <w:left w:val="nil"/>
              <w:bottom w:val="single" w:color="auto" w:sz="4" w:space="0"/>
              <w:right w:val="single" w:color="auto" w:sz="4" w:space="0"/>
            </w:tcBorders>
            <w:noWrap w:val="0"/>
            <w:vAlign w:val="center"/>
          </w:tcPr>
          <w:p w14:paraId="11C8F0A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w:t>
            </w:r>
          </w:p>
        </w:tc>
        <w:tc>
          <w:tcPr>
            <w:tcW w:w="938" w:type="dxa"/>
            <w:tcBorders>
              <w:top w:val="nil"/>
              <w:left w:val="nil"/>
              <w:bottom w:val="single" w:color="auto" w:sz="4" w:space="0"/>
              <w:right w:val="single" w:color="auto" w:sz="4" w:space="0"/>
            </w:tcBorders>
            <w:noWrap w:val="0"/>
            <w:vAlign w:val="center"/>
          </w:tcPr>
          <w:p w14:paraId="76B677C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不满意</w:t>
            </w:r>
          </w:p>
        </w:tc>
      </w:tr>
      <w:tr w14:paraId="0E73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tcBorders>
              <w:top w:val="single" w:color="auto" w:sz="4" w:space="0"/>
              <w:left w:val="single" w:color="auto" w:sz="4" w:space="0"/>
              <w:bottom w:val="single" w:color="auto" w:sz="4" w:space="0"/>
              <w:right w:val="single" w:color="auto" w:sz="4" w:space="0"/>
            </w:tcBorders>
            <w:noWrap w:val="0"/>
            <w:vAlign w:val="center"/>
          </w:tcPr>
          <w:p w14:paraId="3A5CAC86">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1285" w:type="dxa"/>
            <w:tcBorders>
              <w:top w:val="nil"/>
              <w:left w:val="nil"/>
              <w:bottom w:val="single" w:color="auto" w:sz="4" w:space="0"/>
              <w:right w:val="single" w:color="auto" w:sz="4" w:space="0"/>
            </w:tcBorders>
            <w:noWrap w:val="0"/>
            <w:vAlign w:val="center"/>
          </w:tcPr>
          <w:p w14:paraId="2AD62A4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11" w:type="dxa"/>
            <w:tcBorders>
              <w:top w:val="nil"/>
              <w:left w:val="nil"/>
              <w:bottom w:val="single" w:color="auto" w:sz="4" w:space="0"/>
              <w:right w:val="single" w:color="auto" w:sz="4" w:space="0"/>
            </w:tcBorders>
            <w:noWrap w:val="0"/>
            <w:vAlign w:val="center"/>
          </w:tcPr>
          <w:p w14:paraId="5C177E9D">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812" w:type="dxa"/>
            <w:tcBorders>
              <w:top w:val="nil"/>
              <w:left w:val="nil"/>
              <w:bottom w:val="single" w:color="auto" w:sz="4" w:space="0"/>
              <w:right w:val="single" w:color="auto" w:sz="4" w:space="0"/>
            </w:tcBorders>
            <w:noWrap w:val="0"/>
            <w:vAlign w:val="center"/>
          </w:tcPr>
          <w:p w14:paraId="71D97B07">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38" w:type="dxa"/>
            <w:tcBorders>
              <w:top w:val="nil"/>
              <w:left w:val="nil"/>
              <w:bottom w:val="single" w:color="auto" w:sz="4" w:space="0"/>
              <w:right w:val="single" w:color="auto" w:sz="4" w:space="0"/>
            </w:tcBorders>
            <w:noWrap w:val="0"/>
            <w:vAlign w:val="center"/>
          </w:tcPr>
          <w:p w14:paraId="292537F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r>
      <w:tr w14:paraId="7370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24A4345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交</w:t>
            </w:r>
          </w:p>
          <w:p w14:paraId="1944D43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通</w:t>
            </w:r>
          </w:p>
          <w:p w14:paraId="7928B42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3B139CDE">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4D62FC5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车况及性能</w:t>
            </w:r>
          </w:p>
        </w:tc>
        <w:tc>
          <w:tcPr>
            <w:tcW w:w="1285" w:type="dxa"/>
            <w:tcBorders>
              <w:top w:val="nil"/>
              <w:left w:val="nil"/>
              <w:bottom w:val="single" w:color="auto" w:sz="4" w:space="0"/>
              <w:right w:val="single" w:color="auto" w:sz="4" w:space="0"/>
            </w:tcBorders>
            <w:noWrap w:val="0"/>
            <w:vAlign w:val="center"/>
          </w:tcPr>
          <w:p w14:paraId="1FA8C5E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68F1D46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6167F84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3C0AA22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B2A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C8613D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33A62BE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到点准时</w:t>
            </w:r>
          </w:p>
        </w:tc>
        <w:tc>
          <w:tcPr>
            <w:tcW w:w="1285" w:type="dxa"/>
            <w:tcBorders>
              <w:top w:val="nil"/>
              <w:left w:val="nil"/>
              <w:bottom w:val="single" w:color="auto" w:sz="4" w:space="0"/>
              <w:right w:val="single" w:color="auto" w:sz="4" w:space="0"/>
            </w:tcBorders>
            <w:noWrap w:val="0"/>
            <w:vAlign w:val="center"/>
          </w:tcPr>
          <w:p w14:paraId="262C9AF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AF3EB4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2B7DD1C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D1A8395">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A18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0CA23131">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4E05D8D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司机态度及技术</w:t>
            </w:r>
          </w:p>
        </w:tc>
        <w:tc>
          <w:tcPr>
            <w:tcW w:w="1285" w:type="dxa"/>
            <w:tcBorders>
              <w:top w:val="nil"/>
              <w:left w:val="nil"/>
              <w:bottom w:val="single" w:color="auto" w:sz="4" w:space="0"/>
              <w:right w:val="single" w:color="auto" w:sz="4" w:space="0"/>
            </w:tcBorders>
            <w:noWrap w:val="0"/>
            <w:vAlign w:val="center"/>
          </w:tcPr>
          <w:p w14:paraId="65B7560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425FCD9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94AAC2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15173FF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29B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3EA7896">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26FB6B8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全程交通衔接及总体满意程度</w:t>
            </w:r>
          </w:p>
        </w:tc>
        <w:tc>
          <w:tcPr>
            <w:tcW w:w="1285" w:type="dxa"/>
            <w:tcBorders>
              <w:top w:val="nil"/>
              <w:left w:val="nil"/>
              <w:bottom w:val="single" w:color="auto" w:sz="4" w:space="0"/>
              <w:right w:val="single" w:color="auto" w:sz="4" w:space="0"/>
            </w:tcBorders>
            <w:noWrap w:val="0"/>
            <w:vAlign w:val="center"/>
          </w:tcPr>
          <w:p w14:paraId="02A7A79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FDDEBB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616CCC4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2F0A096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190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479D4606">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住</w:t>
            </w:r>
          </w:p>
          <w:p w14:paraId="411F198B">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宿</w:t>
            </w:r>
          </w:p>
          <w:p w14:paraId="35A4B56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1C4D298A">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5500834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周边环境安全，客房卫生整洁</w:t>
            </w:r>
          </w:p>
        </w:tc>
        <w:tc>
          <w:tcPr>
            <w:tcW w:w="1285" w:type="dxa"/>
            <w:tcBorders>
              <w:top w:val="nil"/>
              <w:left w:val="nil"/>
              <w:bottom w:val="single" w:color="auto" w:sz="4" w:space="0"/>
              <w:right w:val="single" w:color="auto" w:sz="4" w:space="0"/>
            </w:tcBorders>
            <w:noWrap w:val="0"/>
            <w:vAlign w:val="center"/>
          </w:tcPr>
          <w:p w14:paraId="5541E5A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25F8DF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38852F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2E5D89A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52E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5A79C0FA">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7AED732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住宿地点交通便捷</w:t>
            </w:r>
          </w:p>
        </w:tc>
        <w:tc>
          <w:tcPr>
            <w:tcW w:w="1285" w:type="dxa"/>
            <w:tcBorders>
              <w:top w:val="nil"/>
              <w:left w:val="nil"/>
              <w:bottom w:val="single" w:color="auto" w:sz="4" w:space="0"/>
              <w:right w:val="single" w:color="auto" w:sz="4" w:space="0"/>
            </w:tcBorders>
            <w:noWrap w:val="0"/>
            <w:vAlign w:val="center"/>
          </w:tcPr>
          <w:p w14:paraId="584FEF05">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7B8A37F5">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A83ED9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0B686FD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4AF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97F845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04F3A99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宾馆设施及使用性能</w:t>
            </w:r>
          </w:p>
        </w:tc>
        <w:tc>
          <w:tcPr>
            <w:tcW w:w="1285" w:type="dxa"/>
            <w:tcBorders>
              <w:top w:val="nil"/>
              <w:left w:val="nil"/>
              <w:bottom w:val="single" w:color="auto" w:sz="4" w:space="0"/>
              <w:right w:val="single" w:color="auto" w:sz="4" w:space="0"/>
            </w:tcBorders>
            <w:noWrap w:val="0"/>
            <w:vAlign w:val="center"/>
          </w:tcPr>
          <w:p w14:paraId="738E704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19DD614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783DAF6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579EB3D">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15F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66FA63E9">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6E921E4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服务水平及态度</w:t>
            </w:r>
          </w:p>
        </w:tc>
        <w:tc>
          <w:tcPr>
            <w:tcW w:w="1285" w:type="dxa"/>
            <w:tcBorders>
              <w:top w:val="nil"/>
              <w:left w:val="nil"/>
              <w:bottom w:val="single" w:color="auto" w:sz="4" w:space="0"/>
              <w:right w:val="single" w:color="auto" w:sz="4" w:space="0"/>
            </w:tcBorders>
            <w:noWrap w:val="0"/>
            <w:vAlign w:val="center"/>
          </w:tcPr>
          <w:p w14:paraId="4498A4B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7D3C30C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139297ED">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544C438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2E2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5F32864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695ACAF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住宿安排总体满意程度</w:t>
            </w:r>
          </w:p>
        </w:tc>
        <w:tc>
          <w:tcPr>
            <w:tcW w:w="1285" w:type="dxa"/>
            <w:tcBorders>
              <w:top w:val="nil"/>
              <w:left w:val="nil"/>
              <w:bottom w:val="single" w:color="auto" w:sz="4" w:space="0"/>
              <w:right w:val="single" w:color="auto" w:sz="4" w:space="0"/>
            </w:tcBorders>
            <w:noWrap w:val="0"/>
            <w:vAlign w:val="center"/>
          </w:tcPr>
          <w:p w14:paraId="36D1804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64C28CD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4FAA9B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19B63C4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833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7786A392">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餐</w:t>
            </w:r>
          </w:p>
          <w:p w14:paraId="7B69DD76">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饮</w:t>
            </w:r>
          </w:p>
          <w:p w14:paraId="39DB84D0">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56626CB3">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5D040F1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就餐环境</w:t>
            </w:r>
          </w:p>
        </w:tc>
        <w:tc>
          <w:tcPr>
            <w:tcW w:w="1285" w:type="dxa"/>
            <w:tcBorders>
              <w:top w:val="nil"/>
              <w:left w:val="nil"/>
              <w:bottom w:val="single" w:color="auto" w:sz="4" w:space="0"/>
              <w:right w:val="single" w:color="auto" w:sz="4" w:space="0"/>
            </w:tcBorders>
            <w:noWrap w:val="0"/>
            <w:vAlign w:val="center"/>
          </w:tcPr>
          <w:p w14:paraId="3C6044A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7BA9E9D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2EC5F6B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815C7C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2F8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269AEE1F">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5F68D95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菜肴卫生</w:t>
            </w:r>
          </w:p>
        </w:tc>
        <w:tc>
          <w:tcPr>
            <w:tcW w:w="1285" w:type="dxa"/>
            <w:tcBorders>
              <w:top w:val="nil"/>
              <w:left w:val="nil"/>
              <w:bottom w:val="single" w:color="auto" w:sz="4" w:space="0"/>
              <w:right w:val="single" w:color="auto" w:sz="4" w:space="0"/>
            </w:tcBorders>
            <w:noWrap w:val="0"/>
            <w:vAlign w:val="center"/>
          </w:tcPr>
          <w:p w14:paraId="3C33EA8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F260E9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130BDCF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4CE03CD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A71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45F873FE">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44B6872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餐饮安排总体满意程度</w:t>
            </w:r>
          </w:p>
        </w:tc>
        <w:tc>
          <w:tcPr>
            <w:tcW w:w="1285" w:type="dxa"/>
            <w:tcBorders>
              <w:top w:val="nil"/>
              <w:left w:val="nil"/>
              <w:bottom w:val="single" w:color="auto" w:sz="4" w:space="0"/>
              <w:right w:val="single" w:color="auto" w:sz="4" w:space="0"/>
            </w:tcBorders>
            <w:noWrap w:val="0"/>
            <w:vAlign w:val="center"/>
          </w:tcPr>
          <w:p w14:paraId="7937B90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1BEDDA5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1A0D1CE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3545B16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6B2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0AC7B5C4">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景</w:t>
            </w:r>
          </w:p>
          <w:p w14:paraId="4E491B45">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点</w:t>
            </w:r>
          </w:p>
          <w:p w14:paraId="1C5F1520">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772A41C4">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65B7D5F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景点地方特色</w:t>
            </w:r>
          </w:p>
        </w:tc>
        <w:tc>
          <w:tcPr>
            <w:tcW w:w="1285" w:type="dxa"/>
            <w:tcBorders>
              <w:top w:val="nil"/>
              <w:left w:val="nil"/>
              <w:bottom w:val="single" w:color="auto" w:sz="4" w:space="0"/>
              <w:right w:val="single" w:color="auto" w:sz="4" w:space="0"/>
            </w:tcBorders>
            <w:noWrap w:val="0"/>
            <w:vAlign w:val="center"/>
          </w:tcPr>
          <w:p w14:paraId="5CE7F47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30C6827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7A5A57C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6EA617B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D28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63F810F">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486E455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讲解内容完整</w:t>
            </w:r>
          </w:p>
        </w:tc>
        <w:tc>
          <w:tcPr>
            <w:tcW w:w="1285" w:type="dxa"/>
            <w:tcBorders>
              <w:top w:val="nil"/>
              <w:left w:val="nil"/>
              <w:bottom w:val="single" w:color="auto" w:sz="4" w:space="0"/>
              <w:right w:val="single" w:color="auto" w:sz="4" w:space="0"/>
            </w:tcBorders>
            <w:noWrap w:val="0"/>
            <w:vAlign w:val="center"/>
          </w:tcPr>
          <w:p w14:paraId="6B45C06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CE0649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01AEB14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0F82629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6D4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0C96694C">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142C315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讲解语言美感</w:t>
            </w:r>
          </w:p>
        </w:tc>
        <w:tc>
          <w:tcPr>
            <w:tcW w:w="1285" w:type="dxa"/>
            <w:tcBorders>
              <w:top w:val="nil"/>
              <w:left w:val="nil"/>
              <w:bottom w:val="single" w:color="auto" w:sz="4" w:space="0"/>
              <w:right w:val="single" w:color="auto" w:sz="4" w:space="0"/>
            </w:tcBorders>
            <w:noWrap w:val="0"/>
            <w:vAlign w:val="center"/>
          </w:tcPr>
          <w:p w14:paraId="6BB3C30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1550AD2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01E7EE0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10A592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DDA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5C4AAF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nil"/>
              <w:right w:val="single" w:color="auto" w:sz="4" w:space="0"/>
            </w:tcBorders>
            <w:noWrap w:val="0"/>
            <w:vAlign w:val="center"/>
          </w:tcPr>
          <w:p w14:paraId="42FDB4B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景点内时间安排合理</w:t>
            </w:r>
          </w:p>
        </w:tc>
        <w:tc>
          <w:tcPr>
            <w:tcW w:w="1285" w:type="dxa"/>
            <w:tcBorders>
              <w:top w:val="nil"/>
              <w:left w:val="nil"/>
              <w:bottom w:val="nil"/>
              <w:right w:val="single" w:color="auto" w:sz="4" w:space="0"/>
            </w:tcBorders>
            <w:noWrap w:val="0"/>
            <w:vAlign w:val="center"/>
          </w:tcPr>
          <w:p w14:paraId="63327E7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nil"/>
              <w:right w:val="single" w:color="auto" w:sz="4" w:space="0"/>
            </w:tcBorders>
            <w:noWrap w:val="0"/>
            <w:vAlign w:val="center"/>
          </w:tcPr>
          <w:p w14:paraId="7C6D92B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nil"/>
              <w:right w:val="single" w:color="auto" w:sz="4" w:space="0"/>
            </w:tcBorders>
            <w:noWrap w:val="0"/>
            <w:vAlign w:val="center"/>
          </w:tcPr>
          <w:p w14:paraId="58D8298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nil"/>
              <w:right w:val="single" w:color="auto" w:sz="4" w:space="0"/>
            </w:tcBorders>
            <w:noWrap w:val="0"/>
            <w:vAlign w:val="center"/>
          </w:tcPr>
          <w:p w14:paraId="0BB5314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165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00C16373">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导</w:t>
            </w:r>
          </w:p>
          <w:p w14:paraId="5808E236">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游</w:t>
            </w:r>
          </w:p>
          <w:p w14:paraId="350305DB">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服</w:t>
            </w:r>
          </w:p>
          <w:p w14:paraId="11E6ECE2">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务</w:t>
            </w:r>
          </w:p>
        </w:tc>
        <w:tc>
          <w:tcPr>
            <w:tcW w:w="4484" w:type="dxa"/>
            <w:tcBorders>
              <w:top w:val="single" w:color="auto" w:sz="4" w:space="0"/>
              <w:left w:val="nil"/>
              <w:bottom w:val="single" w:color="auto" w:sz="4" w:space="0"/>
              <w:right w:val="single" w:color="auto" w:sz="4" w:space="0"/>
            </w:tcBorders>
            <w:noWrap w:val="0"/>
            <w:vAlign w:val="center"/>
          </w:tcPr>
          <w:p w14:paraId="5D5E025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佩带有效证件上岗，全程服务不迟到早退</w:t>
            </w:r>
          </w:p>
        </w:tc>
        <w:tc>
          <w:tcPr>
            <w:tcW w:w="1285" w:type="dxa"/>
            <w:tcBorders>
              <w:top w:val="single" w:color="auto" w:sz="4" w:space="0"/>
              <w:left w:val="nil"/>
              <w:bottom w:val="single" w:color="auto" w:sz="4" w:space="0"/>
              <w:right w:val="single" w:color="auto" w:sz="4" w:space="0"/>
            </w:tcBorders>
            <w:noWrap w:val="0"/>
            <w:vAlign w:val="center"/>
          </w:tcPr>
          <w:p w14:paraId="6139556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single" w:color="auto" w:sz="4" w:space="0"/>
              <w:left w:val="nil"/>
              <w:bottom w:val="single" w:color="auto" w:sz="4" w:space="0"/>
              <w:right w:val="single" w:color="auto" w:sz="4" w:space="0"/>
            </w:tcBorders>
            <w:noWrap w:val="0"/>
            <w:vAlign w:val="center"/>
          </w:tcPr>
          <w:p w14:paraId="6DE6E49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single" w:color="auto" w:sz="4" w:space="0"/>
              <w:left w:val="nil"/>
              <w:bottom w:val="single" w:color="auto" w:sz="4" w:space="0"/>
              <w:right w:val="single" w:color="auto" w:sz="4" w:space="0"/>
            </w:tcBorders>
            <w:noWrap w:val="0"/>
            <w:vAlign w:val="center"/>
          </w:tcPr>
          <w:p w14:paraId="2F454AF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single" w:color="auto" w:sz="4" w:space="0"/>
              <w:left w:val="nil"/>
              <w:bottom w:val="single" w:color="auto" w:sz="4" w:space="0"/>
              <w:right w:val="single" w:color="auto" w:sz="4" w:space="0"/>
            </w:tcBorders>
            <w:noWrap w:val="0"/>
            <w:vAlign w:val="center"/>
          </w:tcPr>
          <w:p w14:paraId="572E337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C07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AE004B5">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292D2CC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无擅自增减旅游项目或擅自终止导游活动</w:t>
            </w:r>
          </w:p>
        </w:tc>
        <w:tc>
          <w:tcPr>
            <w:tcW w:w="1285" w:type="dxa"/>
            <w:tcBorders>
              <w:top w:val="nil"/>
              <w:left w:val="nil"/>
              <w:bottom w:val="single" w:color="auto" w:sz="4" w:space="0"/>
              <w:right w:val="single" w:color="auto" w:sz="4" w:space="0"/>
            </w:tcBorders>
            <w:noWrap w:val="0"/>
            <w:vAlign w:val="center"/>
          </w:tcPr>
          <w:p w14:paraId="20F96BD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BD2CE8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0228A76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68AB51C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4F5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1915E4F7">
            <w:pPr>
              <w:widowControl/>
              <w:spacing w:before="156"/>
              <w:jc w:val="left"/>
              <w:rPr>
                <w:rFonts w:hint="eastAsia" w:ascii="宋体" w:hAnsi="宋体" w:eastAsia="宋体" w:cs="宋体"/>
                <w:color w:val="auto"/>
                <w:kern w:val="0"/>
                <w:sz w:val="21"/>
                <w:szCs w:val="21"/>
                <w:highlight w:val="none"/>
              </w:rPr>
            </w:pPr>
          </w:p>
        </w:tc>
        <w:tc>
          <w:tcPr>
            <w:tcW w:w="4484" w:type="dxa"/>
            <w:tcBorders>
              <w:top w:val="single" w:color="auto" w:sz="4" w:space="0"/>
              <w:left w:val="single" w:color="auto" w:sz="4" w:space="0"/>
              <w:bottom w:val="single" w:color="auto" w:sz="4" w:space="0"/>
              <w:right w:val="single" w:color="auto" w:sz="4" w:space="0"/>
            </w:tcBorders>
            <w:noWrap w:val="0"/>
            <w:vAlign w:val="center"/>
          </w:tcPr>
          <w:p w14:paraId="53C721A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对可预见的情况有警示说明及防范措施</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200758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1DA15A9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071F271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3C6EF9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22A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3F94B42E">
            <w:pPr>
              <w:widowControl/>
              <w:spacing w:before="156"/>
              <w:jc w:val="left"/>
              <w:rPr>
                <w:rFonts w:hint="eastAsia" w:ascii="宋体" w:hAnsi="宋体" w:eastAsia="宋体" w:cs="宋体"/>
                <w:color w:val="auto"/>
                <w:kern w:val="0"/>
                <w:sz w:val="21"/>
                <w:szCs w:val="21"/>
                <w:highlight w:val="none"/>
              </w:rPr>
            </w:pPr>
          </w:p>
        </w:tc>
        <w:tc>
          <w:tcPr>
            <w:tcW w:w="4484" w:type="dxa"/>
            <w:tcBorders>
              <w:top w:val="single" w:color="auto" w:sz="4" w:space="0"/>
              <w:left w:val="single" w:color="auto" w:sz="4" w:space="0"/>
              <w:bottom w:val="single" w:color="auto" w:sz="4" w:space="0"/>
              <w:right w:val="single" w:color="auto" w:sz="4" w:space="0"/>
            </w:tcBorders>
            <w:noWrap w:val="0"/>
            <w:vAlign w:val="center"/>
          </w:tcPr>
          <w:p w14:paraId="49B5155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语言表达能力、沟通能力及专业知识掌握</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E2DF6E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22406A0D">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5F62F08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F205B5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6B5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999" w:type="dxa"/>
            <w:gridSpan w:val="6"/>
            <w:tcBorders>
              <w:top w:val="single" w:color="auto" w:sz="4" w:space="0"/>
              <w:left w:val="single" w:color="auto" w:sz="4" w:space="0"/>
              <w:bottom w:val="single" w:color="auto" w:sz="4" w:space="0"/>
              <w:right w:val="single" w:color="auto" w:sz="4" w:space="0"/>
            </w:tcBorders>
            <w:noWrap w:val="0"/>
            <w:vAlign w:val="top"/>
          </w:tcPr>
          <w:p w14:paraId="13108C1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您需要补充的意见和建议：</w:t>
            </w:r>
          </w:p>
        </w:tc>
      </w:tr>
    </w:tbl>
    <w:p w14:paraId="5AA449B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EA28FE7">
      <w:pPr>
        <w:widowControl/>
        <w:adjustRightInd/>
        <w:jc w:val="left"/>
        <w:rPr>
          <w:rFonts w:hint="eastAsia" w:ascii="宋体" w:hAnsi="宋体" w:eastAsia="宋体" w:cs="宋体"/>
          <w:b/>
          <w:sz w:val="24"/>
          <w:szCs w:val="24"/>
        </w:rPr>
      </w:pPr>
    </w:p>
    <w:p w14:paraId="33FDC414">
      <w:pPr>
        <w:widowControl/>
        <w:adjustRightInd/>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937"/>
        <w:gridCol w:w="1268"/>
        <w:gridCol w:w="1679"/>
      </w:tblGrid>
      <w:tr w14:paraId="56F9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567A31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5265" w:type="dxa"/>
            <w:noWrap w:val="0"/>
            <w:vAlign w:val="center"/>
          </w:tcPr>
          <w:p w14:paraId="15F3E37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评审标准</w:t>
            </w:r>
          </w:p>
        </w:tc>
        <w:tc>
          <w:tcPr>
            <w:tcW w:w="937" w:type="dxa"/>
            <w:noWrap w:val="0"/>
            <w:vAlign w:val="center"/>
          </w:tcPr>
          <w:p w14:paraId="3C80854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权重</w:t>
            </w:r>
          </w:p>
        </w:tc>
        <w:tc>
          <w:tcPr>
            <w:tcW w:w="1268" w:type="dxa"/>
            <w:noWrap w:val="0"/>
            <w:vAlign w:val="center"/>
          </w:tcPr>
          <w:p w14:paraId="2B04411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679" w:type="dxa"/>
            <w:noWrap w:val="0"/>
            <w:vAlign w:val="center"/>
          </w:tcPr>
          <w:p w14:paraId="3BE9657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磋商文件中评审标准相应的商务技术资料目录</w:t>
            </w:r>
            <w:r>
              <w:rPr>
                <w:rFonts w:hint="eastAsia" w:ascii="宋体" w:hAnsi="宋体" w:eastAsia="宋体" w:cs="宋体"/>
                <w:color w:val="auto"/>
                <w:kern w:val="2"/>
                <w:sz w:val="24"/>
                <w:szCs w:val="24"/>
                <w:highlight w:val="none"/>
                <w:shd w:val="clear" w:color="auto" w:fill="FFFFFF"/>
                <w:lang w:val="en-US" w:eastAsia="zh-CN" w:bidi="ar-SA"/>
              </w:rPr>
              <w:t> *</w:t>
            </w:r>
          </w:p>
        </w:tc>
      </w:tr>
      <w:tr w14:paraId="2DE9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4573F6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5265" w:type="dxa"/>
            <w:noWrap w:val="0"/>
            <w:vAlign w:val="center"/>
          </w:tcPr>
          <w:p w14:paraId="3639055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供应商自202</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eastAsia="zh-CN"/>
              </w:rPr>
              <w:t>年1月1日以来（以签订合同时间为准），完成过政府机关事业单位疗休养项目的每个得</w:t>
            </w:r>
            <w:r>
              <w:rPr>
                <w:rFonts w:hint="eastAsia" w:ascii="宋体" w:hAnsi="宋体" w:eastAsia="宋体" w:cs="宋体"/>
                <w:color w:val="auto"/>
                <w:szCs w:val="24"/>
                <w:highlight w:val="none"/>
                <w:lang w:val="en-US" w:eastAsia="zh-CN"/>
              </w:rPr>
              <w:t>0.5</w:t>
            </w:r>
            <w:r>
              <w:rPr>
                <w:rFonts w:hint="eastAsia" w:ascii="宋体" w:hAnsi="宋体" w:eastAsia="宋体" w:cs="宋体"/>
                <w:color w:val="auto"/>
                <w:szCs w:val="24"/>
                <w:highlight w:val="none"/>
                <w:lang w:eastAsia="zh-CN"/>
              </w:rPr>
              <w:t>分，最高得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分。</w:t>
            </w:r>
          </w:p>
          <w:p w14:paraId="143C685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eastAsia="zh-CN"/>
              </w:rPr>
              <w:t>（须提供合同</w:t>
            </w:r>
            <w:r>
              <w:rPr>
                <w:rFonts w:hint="eastAsia" w:ascii="宋体" w:hAnsi="宋体" w:eastAsia="宋体" w:cs="宋体"/>
                <w:b/>
                <w:bCs/>
                <w:color w:val="auto"/>
                <w:kern w:val="2"/>
                <w:sz w:val="24"/>
                <w:szCs w:val="24"/>
                <w:highlight w:val="none"/>
                <w:lang w:val="en-US" w:eastAsia="zh-CN" w:bidi="ar-SA"/>
              </w:rPr>
              <w:t>原件扫描</w:t>
            </w:r>
            <w:r>
              <w:rPr>
                <w:rFonts w:hint="eastAsia" w:ascii="宋体" w:hAnsi="宋体" w:eastAsia="宋体" w:cs="宋体"/>
                <w:b/>
                <w:bCs/>
                <w:color w:val="auto"/>
                <w:szCs w:val="24"/>
                <w:highlight w:val="none"/>
                <w:lang w:eastAsia="zh-CN"/>
              </w:rPr>
              <w:t>件，至少包括首页、盖章页，并须能体现相关评审因素，未提供不得分）</w:t>
            </w:r>
          </w:p>
        </w:tc>
        <w:tc>
          <w:tcPr>
            <w:tcW w:w="937" w:type="dxa"/>
            <w:noWrap w:val="0"/>
            <w:vAlign w:val="center"/>
          </w:tcPr>
          <w:p w14:paraId="07D7620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w:t>
            </w:r>
          </w:p>
        </w:tc>
        <w:tc>
          <w:tcPr>
            <w:tcW w:w="1268" w:type="dxa"/>
            <w:noWrap w:val="0"/>
            <w:vAlign w:val="center"/>
          </w:tcPr>
          <w:p w14:paraId="03F0323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4AEFCB9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类似项目业绩</w:t>
            </w:r>
          </w:p>
        </w:tc>
      </w:tr>
      <w:tr w14:paraId="6355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0EEFC4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265" w:type="dxa"/>
            <w:noWrap w:val="0"/>
            <w:vAlign w:val="center"/>
          </w:tcPr>
          <w:p w14:paraId="58538575">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1、企业管理制度（0-5分）：根据供应商提供的企业管理制度进行打分，包括经营管理制度、投诉管理制度、危机管理制度等情况进行评分（5/4/3/2/1/0）分</w:t>
            </w:r>
            <w:r>
              <w:rPr>
                <w:rFonts w:hint="eastAsia" w:ascii="宋体" w:hAnsi="宋体" w:eastAsia="宋体" w:cs="宋体"/>
                <w:color w:val="auto"/>
                <w:kern w:val="2"/>
                <w:sz w:val="24"/>
                <w:szCs w:val="24"/>
                <w:highlight w:val="none"/>
                <w:lang w:val="en-US" w:eastAsia="zh-CN" w:bidi="ar-SA"/>
              </w:rPr>
              <w:t>。</w:t>
            </w:r>
          </w:p>
          <w:p w14:paraId="0E6EE465">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内部管理制度（0-5分）：根据供应商提供的内部管理制度进行打分，包括财务管理制度、员工管理制度、合同管理制度等情况进行评分（5/4/3/2/1/0）分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303D56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w:t>
            </w:r>
          </w:p>
        </w:tc>
        <w:tc>
          <w:tcPr>
            <w:tcW w:w="1268" w:type="dxa"/>
            <w:noWrap w:val="0"/>
            <w:vAlign w:val="center"/>
          </w:tcPr>
          <w:p w14:paraId="2F51F42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主</w:t>
            </w:r>
            <w:r>
              <w:rPr>
                <w:rFonts w:hint="eastAsia" w:ascii="宋体" w:hAnsi="宋体" w:eastAsia="宋体" w:cs="宋体"/>
                <w:bCs/>
                <w:color w:val="auto"/>
                <w:kern w:val="2"/>
                <w:sz w:val="24"/>
                <w:szCs w:val="24"/>
                <w:highlight w:val="none"/>
                <w:lang w:val="en-US" w:eastAsia="zh-CN" w:bidi="ar-SA"/>
              </w:rPr>
              <w:t>观分</w:t>
            </w:r>
          </w:p>
        </w:tc>
        <w:tc>
          <w:tcPr>
            <w:tcW w:w="1679" w:type="dxa"/>
            <w:noWrap w:val="0"/>
            <w:vAlign w:val="center"/>
          </w:tcPr>
          <w:p w14:paraId="3096391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、管理制度</w:t>
            </w:r>
          </w:p>
        </w:tc>
      </w:tr>
      <w:tr w14:paraId="6E65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818D34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265" w:type="dxa"/>
            <w:noWrap w:val="0"/>
            <w:vAlign w:val="center"/>
          </w:tcPr>
          <w:p w14:paraId="71F5597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根据供应商针对本项目提出的质量保障方案进行打分，包括质量管理组织架构、质量监督体系和质量保证措施，确保服务期和服务质量的承诺、接待业务流程及服务操作规范</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9CC26C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268" w:type="dxa"/>
            <w:noWrap w:val="0"/>
            <w:vAlign w:val="center"/>
          </w:tcPr>
          <w:p w14:paraId="07C94A1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B37D3A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、质量保障方案</w:t>
            </w:r>
          </w:p>
        </w:tc>
      </w:tr>
      <w:tr w14:paraId="102A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3D5A60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265" w:type="dxa"/>
            <w:noWrap w:val="0"/>
            <w:vAlign w:val="center"/>
          </w:tcPr>
          <w:p w14:paraId="7B264F7A">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Cs w:val="24"/>
                <w:highlight w:val="none"/>
                <w:lang w:eastAsia="zh-CN"/>
              </w:rPr>
              <w:t>疗休养线路策划方案</w:t>
            </w:r>
            <w:r>
              <w:rPr>
                <w:rFonts w:hint="eastAsia" w:ascii="宋体" w:hAnsi="宋体" w:eastAsia="宋体" w:cs="宋体"/>
                <w:color w:val="auto"/>
                <w:kern w:val="2"/>
                <w:sz w:val="24"/>
                <w:szCs w:val="24"/>
                <w:highlight w:val="none"/>
                <w:lang w:val="en-US" w:eastAsia="zh-CN" w:bidi="ar-SA"/>
              </w:rPr>
              <w:t>进行打分，包括每条线路的景点介绍、景点特色、行程安排、游玩时间、景点与宾馆之间的车程时间、付费游玩项目</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46B725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2137061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5BA7E4B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、疗休养线路策划方案</w:t>
            </w:r>
          </w:p>
        </w:tc>
      </w:tr>
      <w:tr w14:paraId="2764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D2FB12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265" w:type="dxa"/>
            <w:noWrap w:val="0"/>
            <w:vAlign w:val="center"/>
          </w:tcPr>
          <w:p w14:paraId="160A806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提供的住宿</w:t>
            </w:r>
            <w:r>
              <w:rPr>
                <w:rFonts w:hint="eastAsia" w:ascii="宋体" w:hAnsi="宋体" w:eastAsia="宋体" w:cs="宋体"/>
                <w:color w:val="auto"/>
                <w:szCs w:val="24"/>
                <w:highlight w:val="none"/>
                <w:lang w:eastAsia="zh-CN"/>
              </w:rPr>
              <w:t>策划方案</w:t>
            </w:r>
            <w:r>
              <w:rPr>
                <w:rFonts w:hint="eastAsia" w:ascii="宋体" w:hAnsi="宋体" w:eastAsia="宋体" w:cs="宋体"/>
                <w:color w:val="auto"/>
                <w:kern w:val="2"/>
                <w:sz w:val="24"/>
                <w:szCs w:val="24"/>
                <w:highlight w:val="none"/>
                <w:lang w:val="en-US" w:eastAsia="zh-CN" w:bidi="ar-SA"/>
              </w:rPr>
              <w:t>进行打分，包括住宿酒店星级标准、接待能力、房间（房型、朝向、服务、配套设施）、交通条件、周边环境</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EB4C7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776FFF8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194ED6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、住宿策划方案</w:t>
            </w:r>
          </w:p>
        </w:tc>
      </w:tr>
      <w:tr w14:paraId="4D8E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FA721F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5265" w:type="dxa"/>
            <w:noWrap w:val="0"/>
            <w:vAlign w:val="center"/>
          </w:tcPr>
          <w:p w14:paraId="28B1B65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提供的餐饮策划方案进行打分，包括用餐标准、用餐环境、菜肴搭配及当地特色</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488CAD0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225B31F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278A55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、餐饮策划方案</w:t>
            </w:r>
          </w:p>
        </w:tc>
      </w:tr>
      <w:tr w14:paraId="11C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984E95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265" w:type="dxa"/>
            <w:noWrap w:val="0"/>
            <w:vAlign w:val="center"/>
          </w:tcPr>
          <w:p w14:paraId="773BA5D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eastAsia="zh-CN"/>
              </w:rPr>
              <w:t>根据供应商</w:t>
            </w:r>
            <w:r>
              <w:rPr>
                <w:rFonts w:hint="eastAsia" w:ascii="宋体" w:hAnsi="宋体" w:eastAsia="宋体" w:cs="宋体"/>
                <w:color w:val="auto"/>
                <w:szCs w:val="24"/>
                <w:highlight w:val="none"/>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Cs w:val="24"/>
                <w:highlight w:val="none"/>
                <w:lang w:eastAsia="zh-CN"/>
              </w:rPr>
              <w:t>交通策划方案进行打分，包括交通工具配置（车型、座位比、使用年限、外观、内设等）、司机驾龄、车队服务能力、往返接送时间安排及目的地交通方案</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p w14:paraId="441933F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注：供应商可提供交通工具图片、行驶证、购置发票（租赁车辆提供租赁协议或合同）、司机驾驶证等辅助资料。</w:t>
            </w:r>
          </w:p>
        </w:tc>
        <w:tc>
          <w:tcPr>
            <w:tcW w:w="937" w:type="dxa"/>
            <w:noWrap w:val="0"/>
            <w:vAlign w:val="center"/>
          </w:tcPr>
          <w:p w14:paraId="3A0F395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7F7B75C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74A7D2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sz w:val="24"/>
                <w:szCs w:val="24"/>
                <w:highlight w:val="none"/>
              </w:rPr>
              <w:t>交通策划方案</w:t>
            </w:r>
          </w:p>
        </w:tc>
      </w:tr>
      <w:tr w14:paraId="07DA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67C266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265" w:type="dxa"/>
            <w:noWrap w:val="0"/>
            <w:vAlign w:val="center"/>
          </w:tcPr>
          <w:p w14:paraId="6DAAFCC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1、日常投诉处理方案（0-4分）：</w:t>
            </w:r>
            <w:r>
              <w:rPr>
                <w:rFonts w:hint="eastAsia" w:ascii="宋体" w:hAnsi="宋体" w:eastAsia="宋体" w:cs="宋体"/>
                <w:color w:val="auto"/>
                <w:szCs w:val="24"/>
                <w:highlight w:val="none"/>
                <w:lang w:eastAsia="zh-CN"/>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szCs w:val="24"/>
                <w:highlight w:val="none"/>
                <w:lang w:eastAsia="zh-CN"/>
              </w:rPr>
              <w:t>提供的</w:t>
            </w:r>
            <w:r>
              <w:rPr>
                <w:rFonts w:hint="eastAsia" w:ascii="宋体" w:hAnsi="宋体" w:eastAsia="宋体" w:cs="宋体"/>
                <w:color w:val="auto"/>
                <w:szCs w:val="24"/>
                <w:highlight w:val="none"/>
                <w:lang w:val="en-US" w:eastAsia="zh-CN"/>
              </w:rPr>
              <w:t>日常投诉处理方案进行打分</w:t>
            </w:r>
            <w:r>
              <w:rPr>
                <w:rFonts w:hint="eastAsia" w:ascii="宋体" w:hAnsi="宋体" w:eastAsia="宋体" w:cs="宋体"/>
                <w:color w:val="auto"/>
                <w:sz w:val="24"/>
                <w:szCs w:val="24"/>
                <w:highlight w:val="none"/>
                <w:lang w:val="en-US" w:eastAsia="zh-CN"/>
              </w:rPr>
              <w:t>（4/3/2/1/0）分</w:t>
            </w:r>
            <w:r>
              <w:rPr>
                <w:rFonts w:hint="eastAsia" w:ascii="宋体" w:hAnsi="宋体" w:eastAsia="宋体" w:cs="宋体"/>
                <w:color w:val="auto"/>
                <w:kern w:val="2"/>
                <w:sz w:val="24"/>
                <w:szCs w:val="24"/>
                <w:highlight w:val="none"/>
                <w:lang w:val="en-US" w:eastAsia="zh-CN" w:bidi="ar-SA"/>
              </w:rPr>
              <w:t>。</w:t>
            </w:r>
          </w:p>
          <w:p w14:paraId="6F0CACEB">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2、日常纠纷处理方案</w:t>
            </w:r>
            <w:r>
              <w:rPr>
                <w:rFonts w:hint="eastAsia" w:ascii="宋体" w:hAnsi="宋体" w:eastAsia="宋体" w:cs="宋体"/>
                <w:color w:val="auto"/>
                <w:szCs w:val="24"/>
                <w:highlight w:val="none"/>
                <w:lang w:val="en-US" w:eastAsia="zh-CN"/>
              </w:rPr>
              <w:t>（0-4分）：</w:t>
            </w:r>
            <w:r>
              <w:rPr>
                <w:rFonts w:hint="eastAsia" w:ascii="宋体" w:hAnsi="宋体" w:eastAsia="宋体" w:cs="宋体"/>
                <w:color w:val="auto"/>
                <w:kern w:val="2"/>
                <w:sz w:val="24"/>
                <w:szCs w:val="24"/>
                <w:highlight w:val="none"/>
                <w:lang w:val="en-US" w:eastAsia="zh-CN" w:bidi="ar-SA"/>
              </w:rPr>
              <w:t>根据供应商针对本项目提供的日常纠纷处理方案进行</w:t>
            </w:r>
            <w:bookmarkStart w:id="179" w:name="_GoBack"/>
            <w:bookmarkEnd w:id="179"/>
            <w:r>
              <w:rPr>
                <w:rFonts w:hint="eastAsia" w:ascii="宋体" w:hAnsi="宋体" w:eastAsia="宋体" w:cs="宋体"/>
                <w:color w:val="auto"/>
                <w:kern w:val="2"/>
                <w:sz w:val="24"/>
                <w:szCs w:val="24"/>
                <w:highlight w:val="none"/>
                <w:lang w:val="en-US" w:eastAsia="zh-CN" w:bidi="ar-SA"/>
              </w:rPr>
              <w:t>打分</w:t>
            </w:r>
            <w:r>
              <w:rPr>
                <w:rFonts w:hint="eastAsia" w:ascii="宋体" w:hAnsi="宋体" w:eastAsia="宋体" w:cs="宋体"/>
                <w:color w:val="auto"/>
                <w:sz w:val="24"/>
                <w:szCs w:val="24"/>
                <w:highlight w:val="none"/>
                <w:lang w:val="en-US" w:eastAsia="zh-CN"/>
              </w:rPr>
              <w:t>（4/3/2/1/0）分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68C3718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p>
        </w:tc>
        <w:tc>
          <w:tcPr>
            <w:tcW w:w="1268" w:type="dxa"/>
            <w:noWrap w:val="0"/>
            <w:vAlign w:val="center"/>
          </w:tcPr>
          <w:p w14:paraId="45CD44D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34697CC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en-US" w:eastAsia="zh-CN"/>
              </w:rPr>
              <w:t>、日常投诉纠纷处理</w:t>
            </w:r>
          </w:p>
        </w:tc>
      </w:tr>
      <w:tr w14:paraId="7A7B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56CC88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265" w:type="dxa"/>
            <w:noWrap w:val="0"/>
            <w:vAlign w:val="center"/>
          </w:tcPr>
          <w:p w14:paraId="4688E9F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根据</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针对本项目</w:t>
            </w:r>
            <w:r>
              <w:rPr>
                <w:rFonts w:hint="eastAsia" w:ascii="宋体" w:hAnsi="宋体" w:eastAsia="宋体" w:cs="宋体"/>
                <w:color w:val="auto"/>
                <w:szCs w:val="24"/>
                <w:highlight w:val="none"/>
                <w:lang w:eastAsia="zh-CN"/>
              </w:rPr>
              <w:t>提供的</w:t>
            </w:r>
            <w:r>
              <w:rPr>
                <w:rFonts w:hint="eastAsia" w:ascii="宋体" w:hAnsi="宋体" w:eastAsia="宋体" w:cs="宋体"/>
                <w:color w:val="auto"/>
                <w:szCs w:val="24"/>
                <w:highlight w:val="none"/>
              </w:rPr>
              <w:t>人员配置</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进行打分，包括岗位职责、上岗标准、工作规范、人员素质</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7669BBC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5</w:t>
            </w:r>
          </w:p>
        </w:tc>
        <w:tc>
          <w:tcPr>
            <w:tcW w:w="1268" w:type="dxa"/>
            <w:noWrap w:val="0"/>
            <w:vAlign w:val="center"/>
          </w:tcPr>
          <w:p w14:paraId="36604A9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05EFBDE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lang w:val="en-US" w:eastAsia="zh-CN"/>
              </w:rPr>
              <w:t>、人员配置情况</w:t>
            </w:r>
          </w:p>
        </w:tc>
      </w:tr>
      <w:tr w14:paraId="084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654268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5" w:type="dxa"/>
            <w:noWrap w:val="0"/>
            <w:vAlign w:val="center"/>
          </w:tcPr>
          <w:p w14:paraId="604023B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1、售后服务方案（</w:t>
            </w:r>
            <w:r>
              <w:rPr>
                <w:rFonts w:hint="eastAsia" w:ascii="宋体" w:hAnsi="宋体" w:eastAsia="宋体" w:cs="宋体"/>
                <w:color w:val="auto"/>
                <w:szCs w:val="24"/>
                <w:highlight w:val="none"/>
                <w:lang w:val="en-US" w:eastAsia="zh-CN"/>
              </w:rPr>
              <w:t>0-5分</w:t>
            </w:r>
            <w:r>
              <w:rPr>
                <w:rFonts w:hint="eastAsia" w:ascii="宋体" w:hAnsi="宋体" w:eastAsia="宋体" w:cs="宋体"/>
                <w:color w:val="auto"/>
                <w:szCs w:val="24"/>
                <w:highlight w:val="none"/>
                <w:lang w:eastAsia="zh-CN"/>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szCs w:val="24"/>
                <w:highlight w:val="none"/>
                <w:lang w:eastAsia="zh-CN"/>
              </w:rPr>
              <w:t>提供的售后服务方案进行打分，包括服务能力、技术支持能力、售后服务承诺</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p w14:paraId="79353EE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2、服务响应方案（0-</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分</w:t>
            </w:r>
            <w:r>
              <w:rPr>
                <w:rFonts w:hint="eastAsia" w:ascii="宋体" w:hAnsi="宋体" w:eastAsia="宋体" w:cs="宋体"/>
                <w:color w:val="auto"/>
                <w:szCs w:val="24"/>
                <w:highlight w:val="none"/>
                <w:lang w:eastAsia="zh-CN"/>
              </w:rPr>
              <w:t>）：根据供应商是否能够提供完善、快速的服务，满足采购人相关要求，实现“全方位、高品质、快速度”的服务标准</w:t>
            </w:r>
            <w:r>
              <w:rPr>
                <w:rFonts w:hint="eastAsia" w:ascii="宋体" w:hAnsi="宋体" w:eastAsia="宋体" w:cs="宋体"/>
                <w:color w:val="auto"/>
                <w:sz w:val="24"/>
                <w:szCs w:val="24"/>
                <w:highlight w:val="none"/>
                <w:lang w:val="en-US" w:eastAsia="zh-CN"/>
              </w:rPr>
              <w:t>等情况进行评分（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067F1DF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68" w:type="dxa"/>
            <w:noWrap w:val="0"/>
            <w:vAlign w:val="center"/>
          </w:tcPr>
          <w:p w14:paraId="3AEEDBD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536CF42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十、售后服务方案</w:t>
            </w:r>
          </w:p>
        </w:tc>
      </w:tr>
      <w:tr w14:paraId="0B76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0"/>
            <w:vAlign w:val="center"/>
          </w:tcPr>
          <w:p w14:paraId="6B24741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265" w:type="dxa"/>
            <w:noWrap w:val="0"/>
            <w:vAlign w:val="center"/>
          </w:tcPr>
          <w:p w14:paraId="01D5DDE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服务承诺</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分）：根据</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针对本项目</w:t>
            </w:r>
            <w:r>
              <w:rPr>
                <w:rFonts w:hint="eastAsia" w:ascii="宋体" w:hAnsi="宋体" w:eastAsia="宋体" w:cs="宋体"/>
                <w:color w:val="auto"/>
                <w:szCs w:val="24"/>
                <w:highlight w:val="none"/>
                <w:lang w:eastAsia="zh-CN"/>
              </w:rPr>
              <w:t>提供</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服务承诺</w:t>
            </w:r>
            <w:r>
              <w:rPr>
                <w:rFonts w:hint="eastAsia" w:ascii="宋体" w:hAnsi="宋体" w:eastAsia="宋体" w:cs="宋体"/>
                <w:color w:val="auto"/>
                <w:szCs w:val="24"/>
                <w:highlight w:val="none"/>
              </w:rPr>
              <w:t>进行打分,包括增值（特色）服务、优惠措施</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p w14:paraId="3B060F91">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2、承诺全程不进购物点（0-2分）：供应商针对各线路承诺全程不进购物点的，得2分。</w:t>
            </w:r>
            <w:r>
              <w:rPr>
                <w:rFonts w:hint="eastAsia" w:ascii="宋体" w:hAnsi="宋体" w:eastAsia="宋体" w:cs="宋体"/>
                <w:b/>
                <w:bCs/>
                <w:color w:val="auto"/>
                <w:szCs w:val="24"/>
                <w:highlight w:val="none"/>
                <w:lang w:val="en-US" w:eastAsia="zh-CN"/>
              </w:rPr>
              <w:t>（须提供承诺函，格式自拟，未提供不得分）</w:t>
            </w:r>
          </w:p>
        </w:tc>
        <w:tc>
          <w:tcPr>
            <w:tcW w:w="937" w:type="dxa"/>
            <w:noWrap w:val="0"/>
            <w:vAlign w:val="center"/>
          </w:tcPr>
          <w:p w14:paraId="7E2997C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7</w:t>
            </w:r>
          </w:p>
        </w:tc>
        <w:tc>
          <w:tcPr>
            <w:tcW w:w="1268" w:type="dxa"/>
            <w:noWrap w:val="0"/>
            <w:vAlign w:val="center"/>
          </w:tcPr>
          <w:p w14:paraId="4AA1A20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79" w:type="dxa"/>
            <w:noWrap w:val="0"/>
            <w:vAlign w:val="center"/>
          </w:tcPr>
          <w:p w14:paraId="0987B276">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、服务承诺</w:t>
            </w:r>
          </w:p>
        </w:tc>
      </w:tr>
      <w:tr w14:paraId="597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5FDB554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5265" w:type="dxa"/>
            <w:noWrap w:val="0"/>
            <w:vAlign w:val="center"/>
          </w:tcPr>
          <w:p w14:paraId="4629BC0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（1）承诺本旅游单位的企业责任保险保额400万及以上的得2分</w:t>
            </w:r>
            <w:r>
              <w:rPr>
                <w:rFonts w:hint="eastAsia" w:ascii="宋体" w:hAnsi="宋体" w:eastAsia="宋体" w:cs="宋体"/>
                <w:b/>
                <w:bCs/>
                <w:color w:val="auto"/>
                <w:sz w:val="24"/>
                <w:lang w:val="en-US" w:eastAsia="zh-CN"/>
              </w:rPr>
              <w:t>（须提供承诺书，格式自拟，未提供不得分）</w:t>
            </w:r>
            <w:r>
              <w:rPr>
                <w:rFonts w:hint="eastAsia" w:ascii="宋体" w:hAnsi="宋体" w:eastAsia="宋体" w:cs="宋体"/>
                <w:color w:val="auto"/>
                <w:sz w:val="24"/>
                <w:lang w:val="en-US" w:eastAsia="zh-CN"/>
              </w:rPr>
              <w:t xml:space="preserve">； </w:t>
            </w:r>
          </w:p>
          <w:p w14:paraId="2C8EF94F">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（2）承诺为游客提供人身意外伤害保险，每人保额在100万元以上的得2分。</w:t>
            </w:r>
            <w:r>
              <w:rPr>
                <w:rFonts w:hint="eastAsia" w:ascii="宋体" w:hAnsi="宋体" w:eastAsia="宋体" w:cs="宋体"/>
                <w:b/>
                <w:bCs/>
                <w:color w:val="auto"/>
                <w:sz w:val="24"/>
                <w:lang w:val="en-US" w:eastAsia="zh-CN"/>
              </w:rPr>
              <w:t>（须提供承诺书，格式自拟，未提供不得分）</w:t>
            </w:r>
            <w:r>
              <w:rPr>
                <w:rFonts w:hint="eastAsia" w:ascii="宋体" w:hAnsi="宋体" w:eastAsia="宋体" w:cs="宋体"/>
                <w:color w:val="auto"/>
                <w:sz w:val="24"/>
                <w:lang w:val="en-US" w:eastAsia="zh-CN"/>
              </w:rPr>
              <w:t xml:space="preserve">； </w:t>
            </w:r>
          </w:p>
          <w:p w14:paraId="428898D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（3）承诺小额赔款先行赔付的（200元及以下）得2分；（</w:t>
            </w:r>
            <w:r>
              <w:rPr>
                <w:rFonts w:hint="eastAsia" w:ascii="宋体" w:hAnsi="宋体" w:eastAsia="宋体" w:cs="宋体"/>
                <w:b/>
                <w:bCs/>
                <w:color w:val="auto"/>
                <w:sz w:val="24"/>
                <w:lang w:val="en-US" w:eastAsia="zh-CN"/>
              </w:rPr>
              <w:t xml:space="preserve">须提供承诺书，格式自拟，未提供不得分） </w:t>
            </w:r>
          </w:p>
          <w:p w14:paraId="49B5411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lang w:val="en-US" w:eastAsia="zh-CN"/>
              </w:rPr>
              <w:t>注：每个承诺得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分，最多得</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分，不承诺不得分。</w:t>
            </w:r>
          </w:p>
        </w:tc>
        <w:tc>
          <w:tcPr>
            <w:tcW w:w="937" w:type="dxa"/>
            <w:noWrap w:val="0"/>
            <w:vAlign w:val="center"/>
          </w:tcPr>
          <w:p w14:paraId="468F254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6</w:t>
            </w:r>
          </w:p>
        </w:tc>
        <w:tc>
          <w:tcPr>
            <w:tcW w:w="1268" w:type="dxa"/>
            <w:noWrap w:val="0"/>
            <w:vAlign w:val="center"/>
          </w:tcPr>
          <w:p w14:paraId="76F5095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4B27635F">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保险保障</w:t>
            </w:r>
          </w:p>
        </w:tc>
      </w:tr>
      <w:tr w14:paraId="386F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8" w:type="dxa"/>
            <w:noWrap w:val="0"/>
            <w:vAlign w:val="center"/>
          </w:tcPr>
          <w:p w14:paraId="32CC057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5265" w:type="dxa"/>
            <w:noWrap w:val="0"/>
            <w:vAlign w:val="center"/>
          </w:tcPr>
          <w:p w14:paraId="6836B36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1、自然灾害应急预案（0-4分）：根据供应商针对本项目提供的自然灾害应急预案进行打分，包括服务过程中临时性、突发性、特殊性、紧急性等应急事件的应急处理方案和措施</w:t>
            </w:r>
            <w:r>
              <w:rPr>
                <w:rFonts w:hint="eastAsia" w:ascii="宋体" w:hAnsi="宋体" w:eastAsia="宋体" w:cs="宋体"/>
                <w:color w:val="auto"/>
                <w:sz w:val="24"/>
                <w:szCs w:val="24"/>
                <w:highlight w:val="none"/>
                <w:lang w:val="en-US" w:eastAsia="zh-CN"/>
              </w:rPr>
              <w:t>等情况进行评分（4/3/2/1/0）分</w:t>
            </w:r>
            <w:r>
              <w:rPr>
                <w:rFonts w:hint="eastAsia" w:ascii="宋体" w:hAnsi="宋体" w:eastAsia="宋体" w:cs="宋体"/>
                <w:color w:val="auto"/>
                <w:szCs w:val="24"/>
                <w:highlight w:val="none"/>
                <w:lang w:val="en-US" w:eastAsia="zh-CN"/>
              </w:rPr>
              <w:t>。</w:t>
            </w:r>
          </w:p>
          <w:p w14:paraId="3486350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2、疾病应急预案（0-4分）：根据供应商针对本项目提供的疾病应急预案进行打分，包括服务过程中临时性、突发性、特殊性、紧急性等应急事件的应急处理方案和措施</w:t>
            </w:r>
            <w:r>
              <w:rPr>
                <w:rFonts w:hint="eastAsia" w:ascii="宋体" w:hAnsi="宋体" w:eastAsia="宋体" w:cs="宋体"/>
                <w:color w:val="auto"/>
                <w:sz w:val="24"/>
                <w:szCs w:val="24"/>
                <w:highlight w:val="none"/>
                <w:lang w:val="en-US" w:eastAsia="zh-CN"/>
              </w:rPr>
              <w:t>等情况进行评分（4/3/2/1/0）分</w:t>
            </w:r>
            <w:r>
              <w:rPr>
                <w:rFonts w:hint="eastAsia" w:ascii="宋体" w:hAnsi="宋体" w:eastAsia="宋体" w:cs="宋体"/>
                <w:color w:val="auto"/>
                <w:kern w:val="2"/>
                <w:sz w:val="24"/>
                <w:szCs w:val="24"/>
                <w:highlight w:val="none"/>
                <w:lang w:val="en-US" w:eastAsia="zh-CN" w:bidi="ar-SA"/>
              </w:rPr>
              <w:t>。</w:t>
            </w:r>
          </w:p>
          <w:p w14:paraId="2489558F">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Cs w:val="24"/>
                <w:highlight w:val="none"/>
                <w:lang w:val="en-US" w:eastAsia="zh-CN"/>
              </w:rPr>
              <w:t>3、交通突发状况应急预案（0-4分）：根据供应商针对本项目提供的交通突发状况应急预案进行打分，包括服务过程中临时性、突发性、特殊性、紧急性等应急事件的应急处理方案和措施</w:t>
            </w:r>
            <w:r>
              <w:rPr>
                <w:rFonts w:hint="eastAsia" w:ascii="宋体" w:hAnsi="宋体" w:eastAsia="宋体" w:cs="宋体"/>
                <w:color w:val="auto"/>
                <w:sz w:val="24"/>
                <w:szCs w:val="24"/>
                <w:highlight w:val="none"/>
                <w:lang w:val="en-US" w:eastAsia="zh-CN"/>
              </w:rPr>
              <w:t>等情况进行评分（4/3/2/1/0）分</w:t>
            </w:r>
            <w:r>
              <w:rPr>
                <w:rFonts w:hint="eastAsia" w:ascii="宋体" w:hAnsi="宋体" w:eastAsia="宋体" w:cs="宋体"/>
                <w:color w:val="auto"/>
                <w:szCs w:val="24"/>
                <w:highlight w:val="none"/>
                <w:lang w:val="en-US" w:eastAsia="zh-CN"/>
              </w:rPr>
              <w:t>。</w:t>
            </w:r>
          </w:p>
        </w:tc>
        <w:tc>
          <w:tcPr>
            <w:tcW w:w="937" w:type="dxa"/>
            <w:noWrap w:val="0"/>
            <w:vAlign w:val="center"/>
          </w:tcPr>
          <w:p w14:paraId="2C39FBA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w:t>
            </w:r>
          </w:p>
        </w:tc>
        <w:tc>
          <w:tcPr>
            <w:tcW w:w="1268" w:type="dxa"/>
            <w:noWrap w:val="0"/>
            <w:vAlign w:val="center"/>
          </w:tcPr>
          <w:p w14:paraId="7C56C8C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59D3E61">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、应急处理方案</w:t>
            </w:r>
          </w:p>
        </w:tc>
      </w:tr>
      <w:tr w14:paraId="41B0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74C0465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5265" w:type="dxa"/>
            <w:noWrap w:val="0"/>
            <w:vAlign w:val="center"/>
          </w:tcPr>
          <w:p w14:paraId="3F09E3D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Cs w:val="24"/>
                <w:highlight w:val="none"/>
                <w:lang w:val="en-US" w:eastAsia="zh-CN"/>
              </w:rPr>
              <w:t>根据供应商针对本项目提供的培训方案进行打分，包括完善的培训方案、培训计划、培训内容、培训计划落实的保障措施</w:t>
            </w:r>
            <w:r>
              <w:rPr>
                <w:rFonts w:hint="eastAsia" w:ascii="宋体" w:hAnsi="宋体" w:eastAsia="宋体" w:cs="宋体"/>
                <w:color w:val="auto"/>
                <w:sz w:val="24"/>
                <w:szCs w:val="24"/>
                <w:highlight w:val="none"/>
                <w:lang w:val="en-US" w:eastAsia="zh-CN"/>
              </w:rPr>
              <w:t>等情况进行评分（3/2/1/0）分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F17C18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268" w:type="dxa"/>
            <w:noWrap w:val="0"/>
            <w:vAlign w:val="center"/>
          </w:tcPr>
          <w:p w14:paraId="365F407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4EA7B07">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、人员培训方案</w:t>
            </w:r>
          </w:p>
        </w:tc>
      </w:tr>
      <w:tr w14:paraId="2D2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4146D8C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265" w:type="dxa"/>
            <w:noWrap w:val="0"/>
            <w:vAlign w:val="center"/>
          </w:tcPr>
          <w:p w14:paraId="171DAA5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1、重点和难点分析（0-2分）：根据供应商针对本项目实施过程中可能遇到的重点和难点分析进行打分</w:t>
            </w:r>
            <w:r>
              <w:rPr>
                <w:rFonts w:hint="eastAsia" w:ascii="宋体" w:hAnsi="宋体" w:eastAsia="宋体" w:cs="宋体"/>
                <w:color w:val="auto"/>
                <w:sz w:val="24"/>
                <w:szCs w:val="24"/>
                <w:highlight w:val="none"/>
                <w:lang w:val="en-US" w:eastAsia="zh-CN"/>
              </w:rPr>
              <w:t>（2/1/0）分</w:t>
            </w:r>
            <w:r>
              <w:rPr>
                <w:rFonts w:hint="eastAsia" w:ascii="宋体" w:hAnsi="宋体" w:eastAsia="宋体" w:cs="宋体"/>
                <w:color w:val="auto"/>
                <w:kern w:val="2"/>
                <w:sz w:val="24"/>
                <w:szCs w:val="24"/>
                <w:highlight w:val="none"/>
                <w:lang w:val="en-US" w:eastAsia="zh-CN" w:bidi="ar-SA"/>
              </w:rPr>
              <w:t>。</w:t>
            </w:r>
          </w:p>
          <w:p w14:paraId="282622C1">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2、解决措施（0-2分）：根据供应商针对重点和难点分析提供的解决措施进行打分</w:t>
            </w:r>
            <w:r>
              <w:rPr>
                <w:rFonts w:hint="eastAsia" w:ascii="宋体" w:hAnsi="宋体" w:eastAsia="宋体" w:cs="宋体"/>
                <w:color w:val="auto"/>
                <w:sz w:val="24"/>
                <w:szCs w:val="24"/>
                <w:highlight w:val="none"/>
                <w:lang w:val="en-US" w:eastAsia="zh-CN"/>
              </w:rPr>
              <w:t>（2/1/0）分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408EE9A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4</w:t>
            </w:r>
          </w:p>
        </w:tc>
        <w:tc>
          <w:tcPr>
            <w:tcW w:w="1268" w:type="dxa"/>
            <w:noWrap w:val="0"/>
            <w:vAlign w:val="center"/>
          </w:tcPr>
          <w:p w14:paraId="3DECC51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8F220DA">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、重难点分析及解决措施</w:t>
            </w:r>
          </w:p>
        </w:tc>
      </w:tr>
      <w:tr w14:paraId="6211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591B330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5265" w:type="dxa"/>
            <w:noWrap w:val="0"/>
            <w:vAlign w:val="center"/>
          </w:tcPr>
          <w:p w14:paraId="1354EB3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根据供应商针对本项目提供的供应商与地接社的合作计划方案进行打分</w:t>
            </w:r>
            <w:r>
              <w:rPr>
                <w:rFonts w:hint="eastAsia" w:ascii="宋体" w:hAnsi="宋体" w:eastAsia="宋体" w:cs="宋体"/>
                <w:color w:val="auto"/>
                <w:sz w:val="24"/>
                <w:szCs w:val="24"/>
                <w:highlight w:val="none"/>
                <w:lang w:val="en-US" w:eastAsia="zh-CN"/>
              </w:rPr>
              <w:t>（3/2/1/0）分。</w:t>
            </w:r>
          </w:p>
        </w:tc>
        <w:tc>
          <w:tcPr>
            <w:tcW w:w="937" w:type="dxa"/>
            <w:noWrap w:val="0"/>
            <w:vAlign w:val="center"/>
          </w:tcPr>
          <w:p w14:paraId="2A24230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268" w:type="dxa"/>
            <w:noWrap w:val="0"/>
            <w:vAlign w:val="center"/>
          </w:tcPr>
          <w:p w14:paraId="44E72AC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638A339F">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、地接社的合作计划方案</w:t>
            </w:r>
          </w:p>
        </w:tc>
      </w:tr>
      <w:tr w14:paraId="2520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4F71314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265" w:type="dxa"/>
            <w:noWrap w:val="0"/>
            <w:vAlign w:val="center"/>
          </w:tcPr>
          <w:p w14:paraId="234EA13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根据供应商提供的针对本项目的配套增值服务进行打分，</w:t>
            </w:r>
            <w:r>
              <w:rPr>
                <w:rFonts w:hint="eastAsia" w:ascii="宋体" w:hAnsi="宋体" w:cs="宋体"/>
                <w:color w:val="auto"/>
                <w:szCs w:val="24"/>
                <w:highlight w:val="none"/>
                <w:lang w:val="en-US" w:eastAsia="zh-CN"/>
              </w:rPr>
              <w:t>要求在原本套餐以外的增值服务内容，</w:t>
            </w:r>
            <w:r>
              <w:rPr>
                <w:rFonts w:hint="eastAsia" w:ascii="宋体" w:hAnsi="宋体" w:eastAsia="宋体" w:cs="宋体"/>
                <w:color w:val="auto"/>
                <w:szCs w:val="24"/>
                <w:highlight w:val="none"/>
                <w:lang w:val="en-US" w:eastAsia="zh-CN"/>
              </w:rPr>
              <w:t>每提供一条得1分，本项最高3分。</w:t>
            </w:r>
          </w:p>
        </w:tc>
        <w:tc>
          <w:tcPr>
            <w:tcW w:w="937" w:type="dxa"/>
            <w:noWrap w:val="0"/>
            <w:vAlign w:val="center"/>
          </w:tcPr>
          <w:p w14:paraId="428E18F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68" w:type="dxa"/>
            <w:noWrap w:val="0"/>
            <w:vAlign w:val="center"/>
          </w:tcPr>
          <w:p w14:paraId="5C94F9D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38E127EE">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十七、增值服务</w:t>
            </w:r>
          </w:p>
        </w:tc>
      </w:tr>
      <w:tr w14:paraId="7785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5008C53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5265" w:type="dxa"/>
            <w:noWrap w:val="0"/>
            <w:vAlign w:val="center"/>
          </w:tcPr>
          <w:p w14:paraId="4D1DA7B9">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本项目执行国家统一定价标准和采用固定价格，其价格不列为评审因素，各供应商</w:t>
            </w:r>
            <w:r>
              <w:rPr>
                <w:rFonts w:hint="eastAsia" w:ascii="宋体" w:hAnsi="宋体" w:cs="宋体"/>
                <w:color w:val="auto"/>
                <w:kern w:val="2"/>
                <w:sz w:val="24"/>
                <w:szCs w:val="24"/>
                <w:highlight w:val="none"/>
                <w:lang w:val="en-US" w:eastAsia="zh-CN" w:bidi="ar-SA"/>
              </w:rPr>
              <w:t>根据采购需求中各标项预算金额，足额填报此项</w:t>
            </w:r>
            <w:r>
              <w:rPr>
                <w:rFonts w:hint="eastAsia" w:ascii="宋体" w:hAnsi="宋体" w:eastAsia="宋体" w:cs="宋体"/>
                <w:color w:val="auto"/>
                <w:kern w:val="2"/>
                <w:sz w:val="24"/>
                <w:szCs w:val="24"/>
                <w:highlight w:val="none"/>
                <w:lang w:val="en-US" w:eastAsia="zh-CN" w:bidi="ar-SA"/>
              </w:rPr>
              <w:t>报价，价格不作竞争。</w:t>
            </w:r>
          </w:p>
        </w:tc>
        <w:tc>
          <w:tcPr>
            <w:tcW w:w="937" w:type="dxa"/>
            <w:noWrap w:val="0"/>
            <w:vAlign w:val="center"/>
          </w:tcPr>
          <w:p w14:paraId="054C50F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0</w:t>
            </w:r>
          </w:p>
        </w:tc>
        <w:tc>
          <w:tcPr>
            <w:tcW w:w="1268" w:type="dxa"/>
            <w:noWrap w:val="0"/>
            <w:vAlign w:val="center"/>
          </w:tcPr>
          <w:p w14:paraId="51ABBCA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c>
          <w:tcPr>
            <w:tcW w:w="1679" w:type="dxa"/>
            <w:noWrap w:val="0"/>
            <w:vAlign w:val="center"/>
          </w:tcPr>
          <w:p w14:paraId="6E77DC85">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4"/>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5" w:name="第五部分"/>
      <w:bookmarkStart w:id="66"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7" w:name="_Toc19273"/>
      <w:bookmarkStart w:id="68" w:name="_Toc22967"/>
      <w:bookmarkStart w:id="69" w:name="_Toc15367"/>
      <w:bookmarkStart w:id="70" w:name="_Toc20421"/>
      <w:bookmarkStart w:id="71" w:name="_Toc28855"/>
      <w:r>
        <w:rPr>
          <w:rFonts w:ascii="宋体" w:hAnsi="宋体"/>
          <w:b/>
          <w:color w:val="auto"/>
          <w:sz w:val="24"/>
        </w:rPr>
        <w:t xml:space="preserve">1.1 </w:t>
      </w:r>
      <w:r>
        <w:rPr>
          <w:rFonts w:hint="eastAsia" w:ascii="宋体" w:hAnsi="宋体"/>
          <w:b/>
          <w:color w:val="auto"/>
          <w:sz w:val="24"/>
        </w:rPr>
        <w:t>合同组成部分</w:t>
      </w:r>
      <w:bookmarkEnd w:id="67"/>
      <w:bookmarkEnd w:id="68"/>
      <w:bookmarkEnd w:id="69"/>
      <w:bookmarkEnd w:id="70"/>
      <w:bookmarkEnd w:id="71"/>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2" w:name="_Toc6773"/>
      <w:bookmarkStart w:id="73" w:name="_Toc18585"/>
      <w:bookmarkStart w:id="74" w:name="_Toc2918"/>
      <w:bookmarkStart w:id="75" w:name="_Toc6311"/>
      <w:bookmarkStart w:id="76" w:name="_Toc22185"/>
      <w:r>
        <w:rPr>
          <w:rFonts w:ascii="宋体" w:hAnsi="宋体"/>
          <w:b/>
          <w:color w:val="auto"/>
          <w:sz w:val="24"/>
        </w:rPr>
        <w:t xml:space="preserve">1.2 </w:t>
      </w:r>
      <w:r>
        <w:rPr>
          <w:rFonts w:hint="eastAsia" w:ascii="宋体" w:hAnsi="宋体"/>
          <w:b/>
          <w:color w:val="auto"/>
          <w:sz w:val="24"/>
        </w:rPr>
        <w:t>标的</w:t>
      </w:r>
      <w:bookmarkEnd w:id="72"/>
      <w:bookmarkEnd w:id="73"/>
      <w:bookmarkEnd w:id="74"/>
      <w:bookmarkEnd w:id="75"/>
      <w:bookmarkEnd w:id="76"/>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7" w:name="_Toc13918"/>
      <w:bookmarkStart w:id="78" w:name="_Toc21124"/>
      <w:bookmarkStart w:id="79" w:name="_Toc5635"/>
      <w:bookmarkStart w:id="80" w:name="_Toc1386"/>
      <w:bookmarkStart w:id="81"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7"/>
      <w:bookmarkEnd w:id="78"/>
      <w:bookmarkEnd w:id="79"/>
      <w:bookmarkEnd w:id="80"/>
      <w:bookmarkEnd w:id="81"/>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2" w:name="_Toc30506"/>
      <w:bookmarkStart w:id="83" w:name="_Toc26916"/>
      <w:bookmarkStart w:id="84" w:name="_Toc30158"/>
      <w:bookmarkStart w:id="85" w:name="_Toc3654"/>
      <w:bookmarkStart w:id="86"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2"/>
    <w:bookmarkEnd w:id="83"/>
    <w:bookmarkEnd w:id="84"/>
    <w:bookmarkEnd w:id="85"/>
    <w:bookmarkEnd w:id="86"/>
    <w:p w14:paraId="028AAC60">
      <w:pPr>
        <w:pStyle w:val="630"/>
        <w:spacing w:before="0" w:beforeAutospacing="0" w:after="0" w:afterAutospacing="0" w:line="360" w:lineRule="auto"/>
        <w:ind w:firstLine="480"/>
        <w:rPr>
          <w:b/>
          <w:color w:val="auto"/>
        </w:rPr>
      </w:pPr>
      <w:bookmarkStart w:id="87" w:name="_Toc10340"/>
      <w:bookmarkStart w:id="88" w:name="_Toc1814"/>
      <w:bookmarkStart w:id="89" w:name="_Toc22618"/>
      <w:bookmarkStart w:id="90" w:name="_Toc31421"/>
      <w:bookmarkStart w:id="91" w:name="_Toc4760"/>
      <w:bookmarkStart w:id="92" w:name="_Toc8772"/>
      <w:bookmarkStart w:id="93" w:name="_Toc11108"/>
      <w:bookmarkStart w:id="94" w:name="_Toc3625"/>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7"/>
      <w:bookmarkEnd w:id="88"/>
      <w:bookmarkEnd w:id="89"/>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0"/>
      <w:bookmarkEnd w:id="91"/>
      <w:bookmarkEnd w:id="92"/>
      <w:bookmarkEnd w:id="93"/>
      <w:bookmarkEnd w:id="94"/>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5" w:name="_Toc2375"/>
      <w:bookmarkStart w:id="96" w:name="_Toc8586"/>
      <w:bookmarkStart w:id="97" w:name="_Toc5698"/>
      <w:bookmarkStart w:id="98" w:name="_Toc3079"/>
      <w:bookmarkStart w:id="99" w:name="_Toc24662"/>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5"/>
      <w:bookmarkEnd w:id="96"/>
      <w:bookmarkEnd w:id="97"/>
      <w:bookmarkEnd w:id="98"/>
      <w:bookmarkEnd w:id="99"/>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0" w:name="_Toc18683"/>
      <w:bookmarkStart w:id="101" w:name="_Toc30329"/>
      <w:bookmarkStart w:id="102" w:name="_Toc26807"/>
      <w:bookmarkStart w:id="103" w:name="_Toc32454"/>
      <w:bookmarkStart w:id="104"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0"/>
    <w:bookmarkEnd w:id="101"/>
    <w:bookmarkEnd w:id="102"/>
    <w:bookmarkEnd w:id="103"/>
    <w:bookmarkEnd w:id="104"/>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5" w:name="_Toc25079"/>
      <w:bookmarkStart w:id="106" w:name="_Toc5228"/>
      <w:bookmarkStart w:id="107" w:name="_Toc19680"/>
      <w:bookmarkStart w:id="108" w:name="_Toc14021"/>
      <w:bookmarkStart w:id="109" w:name="_Toc31297"/>
      <w:r>
        <w:rPr>
          <w:rFonts w:ascii="宋体" w:hAnsi="宋体"/>
          <w:b/>
          <w:color w:val="auto"/>
          <w:sz w:val="24"/>
        </w:rPr>
        <w:t>2.1 定义</w:t>
      </w:r>
      <w:bookmarkEnd w:id="105"/>
      <w:bookmarkEnd w:id="106"/>
      <w:bookmarkEnd w:id="107"/>
      <w:bookmarkEnd w:id="108"/>
      <w:bookmarkEnd w:id="109"/>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0" w:name="_Toc3769"/>
      <w:bookmarkStart w:id="111" w:name="_Toc31402"/>
      <w:bookmarkStart w:id="112" w:name="_Toc23289"/>
      <w:bookmarkStart w:id="113" w:name="_Toc16752"/>
      <w:bookmarkStart w:id="114" w:name="_Toc19539"/>
      <w:r>
        <w:rPr>
          <w:rFonts w:ascii="宋体" w:hAnsi="宋体"/>
          <w:b/>
          <w:color w:val="auto"/>
          <w:sz w:val="24"/>
        </w:rPr>
        <w:t>2.2 技术规范</w:t>
      </w:r>
      <w:bookmarkEnd w:id="110"/>
      <w:bookmarkEnd w:id="111"/>
      <w:bookmarkEnd w:id="112"/>
      <w:bookmarkEnd w:id="113"/>
      <w:bookmarkEnd w:id="114"/>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5" w:name="_Toc12412"/>
      <w:bookmarkStart w:id="116" w:name="_Toc4133"/>
      <w:bookmarkStart w:id="117" w:name="_Toc9161"/>
      <w:bookmarkStart w:id="118" w:name="_Toc27945"/>
      <w:bookmarkStart w:id="119" w:name="_Toc13673"/>
      <w:r>
        <w:rPr>
          <w:rFonts w:ascii="宋体" w:hAnsi="宋体"/>
          <w:b/>
          <w:color w:val="auto"/>
          <w:sz w:val="24"/>
        </w:rPr>
        <w:t>2.3 知识产权</w:t>
      </w:r>
      <w:bookmarkEnd w:id="115"/>
      <w:bookmarkEnd w:id="116"/>
      <w:bookmarkEnd w:id="117"/>
      <w:bookmarkEnd w:id="118"/>
      <w:bookmarkEnd w:id="119"/>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0" w:name="_Toc32670"/>
      <w:bookmarkStart w:id="121" w:name="_Toc15447"/>
      <w:bookmarkStart w:id="122" w:name="_Toc22011"/>
      <w:bookmarkStart w:id="123" w:name="_Toc26555"/>
      <w:bookmarkStart w:id="124" w:name="_Toc31233"/>
      <w:r>
        <w:rPr>
          <w:rFonts w:ascii="宋体" w:hAnsi="宋体"/>
          <w:b/>
          <w:color w:val="auto"/>
          <w:sz w:val="24"/>
        </w:rPr>
        <w:t>2.5 结算方式和付款条件</w:t>
      </w:r>
      <w:bookmarkEnd w:id="120"/>
      <w:bookmarkEnd w:id="121"/>
      <w:bookmarkEnd w:id="122"/>
      <w:bookmarkEnd w:id="123"/>
      <w:bookmarkEnd w:id="124"/>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5" w:name="_Toc30507"/>
      <w:bookmarkStart w:id="126" w:name="_Toc18990"/>
      <w:bookmarkStart w:id="127" w:name="_Toc16163"/>
      <w:bookmarkStart w:id="128" w:name="_Toc13154"/>
      <w:bookmarkStart w:id="129" w:name="_Toc13467"/>
      <w:r>
        <w:rPr>
          <w:rFonts w:ascii="宋体" w:hAnsi="宋体"/>
          <w:b/>
          <w:color w:val="auto"/>
          <w:sz w:val="24"/>
        </w:rPr>
        <w:t>2.6 技术资料和保密义务</w:t>
      </w:r>
      <w:bookmarkEnd w:id="125"/>
      <w:bookmarkEnd w:id="126"/>
      <w:bookmarkEnd w:id="127"/>
      <w:bookmarkEnd w:id="128"/>
      <w:bookmarkEnd w:id="129"/>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0" w:name="_Toc19069"/>
      <w:r>
        <w:rPr>
          <w:rFonts w:ascii="宋体" w:hAnsi="宋体"/>
          <w:b/>
          <w:color w:val="auto"/>
          <w:sz w:val="24"/>
        </w:rPr>
        <w:t xml:space="preserve">2.7 </w:t>
      </w:r>
      <w:r>
        <w:rPr>
          <w:rFonts w:hint="eastAsia" w:ascii="宋体" w:hAnsi="宋体"/>
          <w:b/>
          <w:color w:val="auto"/>
          <w:sz w:val="24"/>
        </w:rPr>
        <w:t>质量保证</w:t>
      </w:r>
      <w:bookmarkEnd w:id="130"/>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1" w:name="_Toc22267"/>
      <w:r>
        <w:rPr>
          <w:rFonts w:ascii="宋体" w:hAnsi="宋体"/>
          <w:b/>
          <w:color w:val="auto"/>
          <w:sz w:val="24"/>
        </w:rPr>
        <w:t xml:space="preserve">2.8 </w:t>
      </w:r>
      <w:r>
        <w:rPr>
          <w:rFonts w:hint="eastAsia" w:ascii="宋体" w:hAnsi="宋体"/>
          <w:b/>
          <w:color w:val="auto"/>
          <w:sz w:val="24"/>
        </w:rPr>
        <w:t>延迟履行</w:t>
      </w:r>
      <w:bookmarkEnd w:id="131"/>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2" w:name="_Toc10611"/>
      <w:r>
        <w:rPr>
          <w:rFonts w:ascii="宋体" w:hAnsi="宋体"/>
          <w:b/>
          <w:color w:val="auto"/>
          <w:sz w:val="24"/>
        </w:rPr>
        <w:t xml:space="preserve">2.9 </w:t>
      </w:r>
      <w:r>
        <w:rPr>
          <w:rFonts w:hint="eastAsia" w:ascii="宋体" w:hAnsi="宋体"/>
          <w:b/>
          <w:color w:val="auto"/>
          <w:sz w:val="24"/>
        </w:rPr>
        <w:t>合同变更</w:t>
      </w:r>
      <w:bookmarkEnd w:id="132"/>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3" w:name="_Toc42"/>
      <w:bookmarkStart w:id="134" w:name="_Toc23368"/>
      <w:bookmarkStart w:id="135" w:name="_Toc26689"/>
      <w:bookmarkStart w:id="136" w:name="_Toc10663"/>
      <w:bookmarkStart w:id="137" w:name="_Toc21830"/>
      <w:r>
        <w:rPr>
          <w:rFonts w:ascii="宋体" w:hAnsi="宋体"/>
          <w:b/>
          <w:color w:val="auto"/>
          <w:sz w:val="24"/>
        </w:rPr>
        <w:t>2.10 合同转让和分包</w:t>
      </w:r>
      <w:bookmarkEnd w:id="133"/>
      <w:bookmarkEnd w:id="134"/>
      <w:bookmarkEnd w:id="135"/>
      <w:bookmarkEnd w:id="136"/>
      <w:bookmarkEnd w:id="137"/>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8" w:name="_Toc4720"/>
      <w:bookmarkStart w:id="139" w:name="_Toc32494"/>
      <w:bookmarkStart w:id="140" w:name="_Toc26633"/>
      <w:bookmarkStart w:id="141" w:name="_Toc14371"/>
      <w:bookmarkStart w:id="142" w:name="_Toc25571"/>
      <w:r>
        <w:rPr>
          <w:rFonts w:ascii="宋体" w:hAnsi="宋体"/>
          <w:b/>
          <w:color w:val="auto"/>
          <w:sz w:val="24"/>
        </w:rPr>
        <w:t>2.11 不可抗力</w:t>
      </w:r>
      <w:bookmarkEnd w:id="138"/>
      <w:bookmarkEnd w:id="139"/>
      <w:bookmarkEnd w:id="140"/>
      <w:bookmarkEnd w:id="141"/>
      <w:bookmarkEnd w:id="142"/>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3" w:name="_Toc3638"/>
      <w:bookmarkStart w:id="144" w:name="_Toc25783"/>
      <w:bookmarkStart w:id="145" w:name="_Toc14115"/>
      <w:bookmarkStart w:id="146" w:name="_Toc23854"/>
      <w:bookmarkStart w:id="147" w:name="_Toc24465"/>
      <w:r>
        <w:rPr>
          <w:rFonts w:ascii="宋体" w:hAnsi="宋体"/>
          <w:b/>
          <w:color w:val="auto"/>
          <w:sz w:val="24"/>
        </w:rPr>
        <w:t>2.12 税费</w:t>
      </w:r>
      <w:bookmarkEnd w:id="143"/>
      <w:bookmarkEnd w:id="144"/>
      <w:bookmarkEnd w:id="145"/>
      <w:bookmarkEnd w:id="146"/>
      <w:bookmarkEnd w:id="147"/>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8" w:name="_Toc25525"/>
      <w:bookmarkStart w:id="149" w:name="_Toc7315"/>
      <w:bookmarkStart w:id="150" w:name="_Toc26883"/>
      <w:bookmarkStart w:id="151" w:name="_Toc14814"/>
      <w:bookmarkStart w:id="152" w:name="_Toc30105"/>
      <w:r>
        <w:rPr>
          <w:rFonts w:ascii="宋体" w:hAnsi="宋体"/>
          <w:b/>
          <w:color w:val="auto"/>
          <w:sz w:val="24"/>
        </w:rPr>
        <w:t>2.13 乙方破产</w:t>
      </w:r>
      <w:bookmarkEnd w:id="148"/>
      <w:bookmarkEnd w:id="149"/>
      <w:bookmarkEnd w:id="150"/>
      <w:bookmarkEnd w:id="151"/>
      <w:bookmarkEnd w:id="152"/>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3" w:name="_Toc1123"/>
      <w:bookmarkStart w:id="154" w:name="_Toc2016"/>
      <w:bookmarkStart w:id="155" w:name="_Toc23323"/>
      <w:r>
        <w:rPr>
          <w:rFonts w:ascii="宋体" w:hAnsi="宋体"/>
          <w:b/>
          <w:color w:val="auto"/>
          <w:sz w:val="24"/>
        </w:rPr>
        <w:t>2.14 合同中止、终止</w:t>
      </w:r>
      <w:bookmarkEnd w:id="153"/>
      <w:bookmarkEnd w:id="154"/>
      <w:bookmarkEnd w:id="155"/>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6" w:name="_Toc14525"/>
      <w:bookmarkStart w:id="157" w:name="_Toc1969"/>
      <w:bookmarkStart w:id="158" w:name="_Toc17363"/>
      <w:r>
        <w:rPr>
          <w:rFonts w:ascii="宋体" w:hAnsi="宋体"/>
          <w:b/>
          <w:color w:val="auto"/>
          <w:sz w:val="24"/>
        </w:rPr>
        <w:t>2.15 检验和验收</w:t>
      </w:r>
      <w:bookmarkEnd w:id="156"/>
      <w:bookmarkEnd w:id="157"/>
      <w:bookmarkEnd w:id="158"/>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59" w:name="_Toc2308"/>
      <w:bookmarkStart w:id="160" w:name="_Toc25198"/>
      <w:bookmarkStart w:id="161" w:name="_Toc31892"/>
      <w:bookmarkStart w:id="162" w:name="_Toc9808"/>
      <w:bookmarkStart w:id="163" w:name="_Toc12666"/>
      <w:r>
        <w:rPr>
          <w:rFonts w:ascii="宋体" w:hAnsi="宋体"/>
          <w:b/>
          <w:color w:val="auto"/>
          <w:sz w:val="24"/>
        </w:rPr>
        <w:t>2.16 通知和送达</w:t>
      </w:r>
      <w:bookmarkEnd w:id="159"/>
      <w:bookmarkEnd w:id="160"/>
      <w:bookmarkEnd w:id="161"/>
      <w:bookmarkEnd w:id="162"/>
      <w:bookmarkEnd w:id="163"/>
    </w:p>
    <w:p w14:paraId="53F924AC">
      <w:pPr>
        <w:spacing w:line="560" w:lineRule="exact"/>
        <w:ind w:firstLine="480" w:firstLineChars="200"/>
        <w:rPr>
          <w:rFonts w:ascii="宋体" w:hAnsi="宋体"/>
          <w:color w:val="auto"/>
          <w:sz w:val="24"/>
        </w:rPr>
      </w:pPr>
      <w:bookmarkStart w:id="164" w:name="_Toc18401"/>
      <w:bookmarkStart w:id="165"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4"/>
      <w:bookmarkEnd w:id="165"/>
    </w:p>
    <w:p w14:paraId="6CB0F3AB">
      <w:pPr>
        <w:spacing w:line="560" w:lineRule="exact"/>
        <w:ind w:firstLine="482" w:firstLineChars="200"/>
        <w:outlineLvl w:val="0"/>
        <w:rPr>
          <w:rFonts w:ascii="宋体" w:hAnsi="宋体"/>
          <w:b/>
          <w:color w:val="auto"/>
          <w:sz w:val="24"/>
        </w:rPr>
      </w:pPr>
      <w:bookmarkStart w:id="166" w:name="_Toc5063"/>
      <w:bookmarkStart w:id="167" w:name="_Toc12254"/>
      <w:bookmarkStart w:id="168" w:name="_Toc28906"/>
      <w:bookmarkStart w:id="169" w:name="_Toc27644"/>
      <w:bookmarkStart w:id="170"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6"/>
      <w:bookmarkEnd w:id="167"/>
      <w:bookmarkEnd w:id="168"/>
      <w:bookmarkEnd w:id="169"/>
      <w:bookmarkEnd w:id="170"/>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shd w:val="clear" w:color="auto" w:fill="auto"/>
            <w:vAlign w:val="center"/>
          </w:tcPr>
          <w:p w14:paraId="51DEF471">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shd w:val="clear" w:color="auto" w:fill="auto"/>
            <w:vAlign w:val="center"/>
          </w:tcPr>
          <w:p w14:paraId="07CACE8D">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shd w:val="clear" w:color="auto" w:fill="auto"/>
            <w:vAlign w:val="center"/>
          </w:tcPr>
          <w:p w14:paraId="1548CB24">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shd w:val="clear" w:color="auto" w:fill="auto"/>
            <w:vAlign w:val="center"/>
          </w:tcPr>
          <w:p w14:paraId="5E59728A">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shd w:val="clear" w:color="auto" w:fill="auto"/>
            <w:vAlign w:val="center"/>
          </w:tcPr>
          <w:p w14:paraId="0375C90C">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shd w:val="clear" w:color="auto" w:fill="auto"/>
            <w:vAlign w:val="center"/>
          </w:tcPr>
          <w:p w14:paraId="167459D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付款方式：</w:t>
            </w:r>
            <w:r>
              <w:rPr>
                <w:rFonts w:hint="eastAsia" w:ascii="宋体" w:hAnsi="宋体" w:eastAsia="宋体" w:cs="宋体"/>
                <w:color w:val="auto"/>
                <w:sz w:val="24"/>
                <w:highlight w:val="none"/>
              </w:rPr>
              <w:t>合同履行完成后，经招标人验收合格，根据实际参团人数结算，最终结算价按照实际参加人数*成交单价，按实结算，返程后一个月内付清，具体在合同中明确。</w:t>
            </w: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shd w:val="clear" w:color="auto" w:fill="auto"/>
            <w:vAlign w:val="center"/>
          </w:tcPr>
          <w:p w14:paraId="405C4C9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自合同签订生效之日起至 </w:t>
            </w:r>
            <w:r>
              <w:rPr>
                <w:rFonts w:hint="eastAsia" w:ascii="宋体" w:hAnsi="宋体" w:cs="宋体"/>
                <w:color w:val="auto"/>
                <w:sz w:val="24"/>
                <w:highlight w:val="none"/>
                <w:lang w:eastAsia="zh-CN"/>
              </w:rPr>
              <w:t>2025</w:t>
            </w:r>
            <w:r>
              <w:rPr>
                <w:rFonts w:hint="eastAsia" w:ascii="宋体" w:hAnsi="宋体" w:eastAsia="宋体" w:cs="宋体"/>
                <w:color w:val="auto"/>
                <w:sz w:val="24"/>
                <w:highlight w:val="none"/>
              </w:rPr>
              <w:t xml:space="preserve"> 年 12 月 31 日止或（分批）完成约定疗休养人数</w:t>
            </w:r>
            <w:r>
              <w:rPr>
                <w:rFonts w:hint="eastAsia" w:ascii="宋体" w:hAnsi="宋体" w:cs="宋体"/>
                <w:color w:val="auto"/>
                <w:sz w:val="24"/>
                <w:highlight w:val="none"/>
                <w:lang w:eastAsia="zh-CN"/>
              </w:rPr>
              <w:t>。</w:t>
            </w: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shd w:val="clear" w:color="auto" w:fill="auto"/>
            <w:vAlign w:val="center"/>
          </w:tcPr>
          <w:p w14:paraId="578488E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指定疗休养线路</w:t>
            </w: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shd w:val="clear" w:color="auto" w:fill="auto"/>
            <w:vAlign w:val="center"/>
          </w:tcPr>
          <w:p w14:paraId="3F76D27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提供现场服务</w:t>
            </w: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shd w:val="clear" w:color="auto" w:fill="auto"/>
            <w:vAlign w:val="center"/>
          </w:tcPr>
          <w:p w14:paraId="719D975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shd w:val="clear" w:color="auto" w:fill="auto"/>
            <w:vAlign w:val="center"/>
          </w:tcPr>
          <w:p w14:paraId="1FE5A67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shd w:val="clear" w:color="auto" w:fill="auto"/>
            <w:vAlign w:val="center"/>
          </w:tcPr>
          <w:p w14:paraId="7AE1023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shd w:val="clear" w:color="auto" w:fill="auto"/>
            <w:vAlign w:val="center"/>
          </w:tcPr>
          <w:p w14:paraId="6D9C784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shd w:val="clear" w:color="auto" w:fill="auto"/>
            <w:vAlign w:val="center"/>
          </w:tcPr>
          <w:p w14:paraId="6886BC0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shd w:val="clear" w:color="auto" w:fill="auto"/>
            <w:vAlign w:val="center"/>
          </w:tcPr>
          <w:p w14:paraId="14C9B31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shd w:val="clear" w:color="auto" w:fill="auto"/>
            <w:vAlign w:val="center"/>
          </w:tcPr>
          <w:p w14:paraId="3FE4007C">
            <w:pPr>
              <w:spacing w:line="360" w:lineRule="auto"/>
              <w:ind w:left="-420" w:leftChars="-200" w:right="-420" w:righ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shd w:val="clear" w:color="auto" w:fill="auto"/>
            <w:vAlign w:val="center"/>
          </w:tcPr>
          <w:p w14:paraId="581ADA4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结算方式和付款条件：合同履行完成后，经招标人验收合格，根据实际参团人数结算，最终结算价按照实际参加人数*成交单价，按实结算，返程后一个月内付清，具体在合同中明确。。</w:t>
            </w: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shd w:val="clear" w:color="auto" w:fill="auto"/>
            <w:vAlign w:val="center"/>
          </w:tcPr>
          <w:p w14:paraId="55B17D6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因不可抗力致使合同有变更必要的，双方当事人应在 30 日内以书面形式变更合同</w:t>
            </w: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shd w:val="clear" w:color="auto" w:fill="auto"/>
            <w:vAlign w:val="top"/>
          </w:tcPr>
          <w:p w14:paraId="6C6C13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 15 日内以书面形式通知对方</w:t>
            </w:r>
          </w:p>
          <w:p w14:paraId="7F3E255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当事人，并在 15 日内，将有关部门出具的证明文件送达对方当事人。</w:t>
            </w: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shd w:val="clear" w:color="auto" w:fill="auto"/>
            <w:vAlign w:val="center"/>
          </w:tcPr>
          <w:p w14:paraId="1A53CF9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shd w:val="clear" w:color="auto" w:fill="auto"/>
            <w:vAlign w:val="center"/>
          </w:tcPr>
          <w:p w14:paraId="7655793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考核标准：当次满意度平均分高于85分（含），支付当次疗休养费用的100%；当次满意度平均分高于75分（含）低于85分，扣减当次疗休养费用5%；当次满意度平均分低75分，扣减当次疗休养费用10%。</w:t>
            </w: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shd w:val="clear" w:color="auto" w:fill="auto"/>
            <w:vAlign w:val="top"/>
          </w:tcPr>
          <w:p w14:paraId="499456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本合同一式四份，双方各执二份</w:t>
            </w:r>
          </w:p>
        </w:tc>
      </w:tr>
    </w:tbl>
    <w:p w14:paraId="2B14D196">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5A5C4EDB">
      <w:pPr>
        <w:snapToGrid w:val="0"/>
        <w:spacing w:line="360" w:lineRule="auto"/>
        <w:jc w:val="center"/>
        <w:outlineLvl w:val="0"/>
        <w:rPr>
          <w:rFonts w:hint="eastAsia" w:cs="仿宋_GB2312" w:asciiTheme="minorEastAsia" w:hAnsiTheme="minorEastAsia" w:eastAsiaTheme="minorEastAsia"/>
          <w:b/>
          <w:color w:val="auto"/>
          <w:sz w:val="36"/>
          <w:szCs w:val="20"/>
        </w:rPr>
      </w:pPr>
    </w:p>
    <w:p w14:paraId="1AC65889">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5"/>
      <w:r>
        <w:rPr>
          <w:rFonts w:hint="eastAsia" w:cs="仿宋_GB2312" w:asciiTheme="minorEastAsia" w:hAnsiTheme="minorEastAsia" w:eastAsiaTheme="minorEastAsia"/>
          <w:b/>
          <w:color w:val="auto"/>
          <w:sz w:val="36"/>
          <w:szCs w:val="20"/>
        </w:rPr>
        <w:t xml:space="preserve">  </w:t>
      </w:r>
      <w:bookmarkEnd w:id="66"/>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1"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1"/>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2"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2"/>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3"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3"/>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3"/>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2"/>
              <w:spacing w:line="360" w:lineRule="auto"/>
              <w:jc w:val="center"/>
              <w:rPr>
                <w:rFonts w:cs="仿宋_GB2312" w:asciiTheme="minorEastAsia" w:hAnsiTheme="minorEastAsia" w:eastAsiaTheme="minorEastAsia"/>
                <w:color w:val="auto"/>
                <w:sz w:val="24"/>
              </w:rPr>
            </w:pPr>
          </w:p>
        </w:tc>
        <w:tc>
          <w:tcPr>
            <w:tcW w:w="1900" w:type="dxa"/>
          </w:tcPr>
          <w:p w14:paraId="4F3E0BEE">
            <w:pPr>
              <w:pStyle w:val="32"/>
              <w:spacing w:line="360" w:lineRule="auto"/>
              <w:jc w:val="center"/>
              <w:rPr>
                <w:rFonts w:cs="仿宋_GB2312" w:asciiTheme="minorEastAsia" w:hAnsiTheme="minorEastAsia" w:eastAsiaTheme="minorEastAsia"/>
                <w:color w:val="auto"/>
                <w:sz w:val="24"/>
              </w:rPr>
            </w:pPr>
          </w:p>
        </w:tc>
        <w:tc>
          <w:tcPr>
            <w:tcW w:w="1800" w:type="dxa"/>
          </w:tcPr>
          <w:p w14:paraId="34E051D9">
            <w:pPr>
              <w:pStyle w:val="32"/>
              <w:spacing w:line="360" w:lineRule="auto"/>
              <w:jc w:val="center"/>
              <w:rPr>
                <w:rFonts w:cs="仿宋_GB2312" w:asciiTheme="minorEastAsia" w:hAnsiTheme="minorEastAsia" w:eastAsiaTheme="minorEastAsia"/>
                <w:color w:val="auto"/>
                <w:sz w:val="24"/>
              </w:rPr>
            </w:pPr>
          </w:p>
        </w:tc>
        <w:tc>
          <w:tcPr>
            <w:tcW w:w="2880" w:type="dxa"/>
          </w:tcPr>
          <w:p w14:paraId="2BC47641">
            <w:pPr>
              <w:pStyle w:val="32"/>
              <w:spacing w:line="360" w:lineRule="auto"/>
              <w:jc w:val="center"/>
              <w:rPr>
                <w:rFonts w:cs="仿宋_GB2312" w:asciiTheme="minorEastAsia" w:hAnsiTheme="minorEastAsia" w:eastAsiaTheme="minorEastAsia"/>
                <w:color w:val="auto"/>
                <w:sz w:val="24"/>
              </w:rPr>
            </w:pPr>
          </w:p>
        </w:tc>
        <w:tc>
          <w:tcPr>
            <w:tcW w:w="1332" w:type="dxa"/>
          </w:tcPr>
          <w:p w14:paraId="6B34937C">
            <w:pPr>
              <w:pStyle w:val="32"/>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2"/>
              <w:spacing w:line="360" w:lineRule="auto"/>
              <w:jc w:val="center"/>
              <w:rPr>
                <w:rFonts w:cs="仿宋_GB2312" w:asciiTheme="minorEastAsia" w:hAnsiTheme="minorEastAsia" w:eastAsiaTheme="minorEastAsia"/>
                <w:color w:val="auto"/>
                <w:sz w:val="24"/>
              </w:rPr>
            </w:pPr>
          </w:p>
        </w:tc>
        <w:tc>
          <w:tcPr>
            <w:tcW w:w="1900" w:type="dxa"/>
          </w:tcPr>
          <w:p w14:paraId="45455C94">
            <w:pPr>
              <w:pStyle w:val="32"/>
              <w:spacing w:line="360" w:lineRule="auto"/>
              <w:jc w:val="center"/>
              <w:rPr>
                <w:rFonts w:cs="仿宋_GB2312" w:asciiTheme="minorEastAsia" w:hAnsiTheme="minorEastAsia" w:eastAsiaTheme="minorEastAsia"/>
                <w:color w:val="auto"/>
                <w:sz w:val="24"/>
              </w:rPr>
            </w:pPr>
          </w:p>
        </w:tc>
        <w:tc>
          <w:tcPr>
            <w:tcW w:w="1800" w:type="dxa"/>
          </w:tcPr>
          <w:p w14:paraId="5D93ADB1">
            <w:pPr>
              <w:pStyle w:val="32"/>
              <w:spacing w:line="360" w:lineRule="auto"/>
              <w:jc w:val="center"/>
              <w:rPr>
                <w:rFonts w:cs="仿宋_GB2312" w:asciiTheme="minorEastAsia" w:hAnsiTheme="minorEastAsia" w:eastAsiaTheme="minorEastAsia"/>
                <w:color w:val="auto"/>
                <w:sz w:val="24"/>
              </w:rPr>
            </w:pPr>
          </w:p>
        </w:tc>
        <w:tc>
          <w:tcPr>
            <w:tcW w:w="2880" w:type="dxa"/>
          </w:tcPr>
          <w:p w14:paraId="6A070FEB">
            <w:pPr>
              <w:pStyle w:val="32"/>
              <w:spacing w:line="360" w:lineRule="auto"/>
              <w:jc w:val="center"/>
              <w:rPr>
                <w:rFonts w:cs="仿宋_GB2312" w:asciiTheme="minorEastAsia" w:hAnsiTheme="minorEastAsia" w:eastAsiaTheme="minorEastAsia"/>
                <w:color w:val="auto"/>
                <w:sz w:val="24"/>
              </w:rPr>
            </w:pPr>
          </w:p>
        </w:tc>
        <w:tc>
          <w:tcPr>
            <w:tcW w:w="1332" w:type="dxa"/>
          </w:tcPr>
          <w:p w14:paraId="7B10F6F5">
            <w:pPr>
              <w:pStyle w:val="32"/>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2"/>
              <w:spacing w:line="360" w:lineRule="auto"/>
              <w:jc w:val="center"/>
              <w:rPr>
                <w:rFonts w:cs="仿宋_GB2312" w:asciiTheme="minorEastAsia" w:hAnsiTheme="minorEastAsia" w:eastAsiaTheme="minorEastAsia"/>
                <w:color w:val="auto"/>
                <w:sz w:val="24"/>
              </w:rPr>
            </w:pPr>
          </w:p>
        </w:tc>
        <w:tc>
          <w:tcPr>
            <w:tcW w:w="1900" w:type="dxa"/>
          </w:tcPr>
          <w:p w14:paraId="288D92EB">
            <w:pPr>
              <w:pStyle w:val="32"/>
              <w:spacing w:line="360" w:lineRule="auto"/>
              <w:jc w:val="center"/>
              <w:rPr>
                <w:rFonts w:cs="仿宋_GB2312" w:asciiTheme="minorEastAsia" w:hAnsiTheme="minorEastAsia" w:eastAsiaTheme="minorEastAsia"/>
                <w:color w:val="auto"/>
                <w:sz w:val="24"/>
              </w:rPr>
            </w:pPr>
          </w:p>
        </w:tc>
        <w:tc>
          <w:tcPr>
            <w:tcW w:w="1800" w:type="dxa"/>
          </w:tcPr>
          <w:p w14:paraId="585357CB">
            <w:pPr>
              <w:pStyle w:val="32"/>
              <w:spacing w:line="360" w:lineRule="auto"/>
              <w:jc w:val="center"/>
              <w:rPr>
                <w:rFonts w:cs="仿宋_GB2312" w:asciiTheme="minorEastAsia" w:hAnsiTheme="minorEastAsia" w:eastAsiaTheme="minorEastAsia"/>
                <w:color w:val="auto"/>
                <w:sz w:val="24"/>
              </w:rPr>
            </w:pPr>
          </w:p>
        </w:tc>
        <w:tc>
          <w:tcPr>
            <w:tcW w:w="2880" w:type="dxa"/>
          </w:tcPr>
          <w:p w14:paraId="573D3395">
            <w:pPr>
              <w:pStyle w:val="32"/>
              <w:spacing w:line="360" w:lineRule="auto"/>
              <w:jc w:val="center"/>
              <w:rPr>
                <w:rFonts w:cs="仿宋_GB2312" w:asciiTheme="minorEastAsia" w:hAnsiTheme="minorEastAsia" w:eastAsiaTheme="minorEastAsia"/>
                <w:color w:val="auto"/>
                <w:sz w:val="24"/>
              </w:rPr>
            </w:pPr>
          </w:p>
        </w:tc>
        <w:tc>
          <w:tcPr>
            <w:tcW w:w="1332" w:type="dxa"/>
          </w:tcPr>
          <w:p w14:paraId="5BFCE30E">
            <w:pPr>
              <w:pStyle w:val="32"/>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2"/>
              <w:spacing w:line="360" w:lineRule="auto"/>
              <w:jc w:val="center"/>
              <w:rPr>
                <w:rFonts w:cs="仿宋_GB2312" w:asciiTheme="minorEastAsia" w:hAnsiTheme="minorEastAsia" w:eastAsiaTheme="minorEastAsia"/>
                <w:color w:val="auto"/>
                <w:sz w:val="24"/>
              </w:rPr>
            </w:pPr>
          </w:p>
        </w:tc>
        <w:tc>
          <w:tcPr>
            <w:tcW w:w="1900" w:type="dxa"/>
          </w:tcPr>
          <w:p w14:paraId="23194971">
            <w:pPr>
              <w:pStyle w:val="32"/>
              <w:spacing w:line="360" w:lineRule="auto"/>
              <w:jc w:val="center"/>
              <w:rPr>
                <w:rFonts w:cs="仿宋_GB2312" w:asciiTheme="minorEastAsia" w:hAnsiTheme="minorEastAsia" w:eastAsiaTheme="minorEastAsia"/>
                <w:color w:val="auto"/>
                <w:sz w:val="24"/>
              </w:rPr>
            </w:pPr>
          </w:p>
        </w:tc>
        <w:tc>
          <w:tcPr>
            <w:tcW w:w="1800" w:type="dxa"/>
          </w:tcPr>
          <w:p w14:paraId="6BFDB07E">
            <w:pPr>
              <w:pStyle w:val="32"/>
              <w:spacing w:line="360" w:lineRule="auto"/>
              <w:jc w:val="center"/>
              <w:rPr>
                <w:rFonts w:cs="仿宋_GB2312" w:asciiTheme="minorEastAsia" w:hAnsiTheme="minorEastAsia" w:eastAsiaTheme="minorEastAsia"/>
                <w:color w:val="auto"/>
                <w:sz w:val="24"/>
              </w:rPr>
            </w:pPr>
          </w:p>
        </w:tc>
        <w:tc>
          <w:tcPr>
            <w:tcW w:w="2880" w:type="dxa"/>
          </w:tcPr>
          <w:p w14:paraId="06A284D4">
            <w:pPr>
              <w:pStyle w:val="32"/>
              <w:spacing w:line="360" w:lineRule="auto"/>
              <w:jc w:val="center"/>
              <w:rPr>
                <w:rFonts w:cs="仿宋_GB2312" w:asciiTheme="minorEastAsia" w:hAnsiTheme="minorEastAsia" w:eastAsiaTheme="minorEastAsia"/>
                <w:color w:val="auto"/>
                <w:sz w:val="24"/>
              </w:rPr>
            </w:pPr>
          </w:p>
        </w:tc>
        <w:tc>
          <w:tcPr>
            <w:tcW w:w="1332" w:type="dxa"/>
          </w:tcPr>
          <w:p w14:paraId="0E226CE9">
            <w:pPr>
              <w:pStyle w:val="32"/>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2"/>
              <w:spacing w:line="360" w:lineRule="auto"/>
              <w:jc w:val="center"/>
              <w:rPr>
                <w:rFonts w:cs="仿宋_GB2312" w:asciiTheme="minorEastAsia" w:hAnsiTheme="minorEastAsia" w:eastAsiaTheme="minorEastAsia"/>
                <w:color w:val="auto"/>
                <w:sz w:val="24"/>
              </w:rPr>
            </w:pPr>
          </w:p>
        </w:tc>
        <w:tc>
          <w:tcPr>
            <w:tcW w:w="1900" w:type="dxa"/>
          </w:tcPr>
          <w:p w14:paraId="7CDA8FDA">
            <w:pPr>
              <w:pStyle w:val="32"/>
              <w:spacing w:line="360" w:lineRule="auto"/>
              <w:jc w:val="center"/>
              <w:rPr>
                <w:rFonts w:cs="仿宋_GB2312" w:asciiTheme="minorEastAsia" w:hAnsiTheme="minorEastAsia" w:eastAsiaTheme="minorEastAsia"/>
                <w:color w:val="auto"/>
                <w:sz w:val="24"/>
              </w:rPr>
            </w:pPr>
          </w:p>
        </w:tc>
        <w:tc>
          <w:tcPr>
            <w:tcW w:w="1800" w:type="dxa"/>
          </w:tcPr>
          <w:p w14:paraId="04467D2A">
            <w:pPr>
              <w:pStyle w:val="32"/>
              <w:spacing w:line="360" w:lineRule="auto"/>
              <w:jc w:val="center"/>
              <w:rPr>
                <w:rFonts w:cs="仿宋_GB2312" w:asciiTheme="minorEastAsia" w:hAnsiTheme="minorEastAsia" w:eastAsiaTheme="minorEastAsia"/>
                <w:color w:val="auto"/>
                <w:sz w:val="24"/>
              </w:rPr>
            </w:pPr>
          </w:p>
        </w:tc>
        <w:tc>
          <w:tcPr>
            <w:tcW w:w="2880" w:type="dxa"/>
          </w:tcPr>
          <w:p w14:paraId="377B2673">
            <w:pPr>
              <w:pStyle w:val="32"/>
              <w:spacing w:line="360" w:lineRule="auto"/>
              <w:jc w:val="center"/>
              <w:rPr>
                <w:rFonts w:cs="仿宋_GB2312" w:asciiTheme="minorEastAsia" w:hAnsiTheme="minorEastAsia" w:eastAsiaTheme="minorEastAsia"/>
                <w:color w:val="auto"/>
                <w:sz w:val="24"/>
              </w:rPr>
            </w:pPr>
          </w:p>
        </w:tc>
        <w:tc>
          <w:tcPr>
            <w:tcW w:w="1332" w:type="dxa"/>
          </w:tcPr>
          <w:p w14:paraId="3BE51CF0">
            <w:pPr>
              <w:pStyle w:val="32"/>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2"/>
              <w:spacing w:line="360" w:lineRule="auto"/>
              <w:rPr>
                <w:rFonts w:cs="仿宋_GB2312" w:asciiTheme="minorEastAsia" w:hAnsiTheme="minorEastAsia" w:eastAsiaTheme="minorEastAsia"/>
                <w:color w:val="auto"/>
                <w:sz w:val="24"/>
              </w:rPr>
            </w:pPr>
          </w:p>
        </w:tc>
        <w:tc>
          <w:tcPr>
            <w:tcW w:w="1900" w:type="dxa"/>
          </w:tcPr>
          <w:p w14:paraId="43EEAD2E">
            <w:pPr>
              <w:pStyle w:val="32"/>
              <w:spacing w:line="360" w:lineRule="auto"/>
              <w:jc w:val="center"/>
              <w:rPr>
                <w:rFonts w:cs="仿宋_GB2312" w:asciiTheme="minorEastAsia" w:hAnsiTheme="minorEastAsia" w:eastAsiaTheme="minorEastAsia"/>
                <w:color w:val="auto"/>
                <w:sz w:val="24"/>
              </w:rPr>
            </w:pPr>
          </w:p>
        </w:tc>
        <w:tc>
          <w:tcPr>
            <w:tcW w:w="1800" w:type="dxa"/>
          </w:tcPr>
          <w:p w14:paraId="2633FF68">
            <w:pPr>
              <w:pStyle w:val="32"/>
              <w:spacing w:line="360" w:lineRule="auto"/>
              <w:jc w:val="center"/>
              <w:rPr>
                <w:rFonts w:cs="仿宋_GB2312" w:asciiTheme="minorEastAsia" w:hAnsiTheme="minorEastAsia" w:eastAsiaTheme="minorEastAsia"/>
                <w:color w:val="auto"/>
                <w:sz w:val="24"/>
              </w:rPr>
            </w:pPr>
          </w:p>
        </w:tc>
        <w:tc>
          <w:tcPr>
            <w:tcW w:w="2880" w:type="dxa"/>
          </w:tcPr>
          <w:p w14:paraId="566C5169">
            <w:pPr>
              <w:pStyle w:val="32"/>
              <w:spacing w:line="360" w:lineRule="auto"/>
              <w:jc w:val="center"/>
              <w:rPr>
                <w:rFonts w:cs="仿宋_GB2312" w:asciiTheme="minorEastAsia" w:hAnsiTheme="minorEastAsia" w:eastAsiaTheme="minorEastAsia"/>
                <w:color w:val="auto"/>
                <w:sz w:val="24"/>
              </w:rPr>
            </w:pPr>
          </w:p>
        </w:tc>
        <w:tc>
          <w:tcPr>
            <w:tcW w:w="1332" w:type="dxa"/>
          </w:tcPr>
          <w:p w14:paraId="680771E7">
            <w:pPr>
              <w:pStyle w:val="32"/>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2"/>
              <w:spacing w:line="360" w:lineRule="auto"/>
              <w:jc w:val="center"/>
              <w:rPr>
                <w:rFonts w:cs="仿宋_GB2312" w:asciiTheme="minorEastAsia" w:hAnsiTheme="minorEastAsia" w:eastAsiaTheme="minorEastAsia"/>
                <w:color w:val="auto"/>
                <w:sz w:val="24"/>
              </w:rPr>
            </w:pPr>
          </w:p>
        </w:tc>
        <w:tc>
          <w:tcPr>
            <w:tcW w:w="1900" w:type="dxa"/>
          </w:tcPr>
          <w:p w14:paraId="73C593D1">
            <w:pPr>
              <w:pStyle w:val="32"/>
              <w:spacing w:line="360" w:lineRule="auto"/>
              <w:jc w:val="center"/>
              <w:rPr>
                <w:rFonts w:cs="仿宋_GB2312" w:asciiTheme="minorEastAsia" w:hAnsiTheme="minorEastAsia" w:eastAsiaTheme="minorEastAsia"/>
                <w:color w:val="auto"/>
                <w:sz w:val="24"/>
              </w:rPr>
            </w:pPr>
          </w:p>
        </w:tc>
        <w:tc>
          <w:tcPr>
            <w:tcW w:w="1800" w:type="dxa"/>
          </w:tcPr>
          <w:p w14:paraId="50F516DE">
            <w:pPr>
              <w:pStyle w:val="32"/>
              <w:spacing w:line="360" w:lineRule="auto"/>
              <w:jc w:val="center"/>
              <w:rPr>
                <w:rFonts w:cs="仿宋_GB2312" w:asciiTheme="minorEastAsia" w:hAnsiTheme="minorEastAsia" w:eastAsiaTheme="minorEastAsia"/>
                <w:color w:val="auto"/>
                <w:sz w:val="24"/>
              </w:rPr>
            </w:pPr>
          </w:p>
        </w:tc>
        <w:tc>
          <w:tcPr>
            <w:tcW w:w="2880" w:type="dxa"/>
          </w:tcPr>
          <w:p w14:paraId="17FB997C">
            <w:pPr>
              <w:pStyle w:val="32"/>
              <w:spacing w:line="360" w:lineRule="auto"/>
              <w:jc w:val="center"/>
              <w:rPr>
                <w:rFonts w:cs="仿宋_GB2312" w:asciiTheme="minorEastAsia" w:hAnsiTheme="minorEastAsia" w:eastAsiaTheme="minorEastAsia"/>
                <w:color w:val="auto"/>
                <w:sz w:val="24"/>
              </w:rPr>
            </w:pPr>
          </w:p>
        </w:tc>
        <w:tc>
          <w:tcPr>
            <w:tcW w:w="1332" w:type="dxa"/>
          </w:tcPr>
          <w:p w14:paraId="51DBF068">
            <w:pPr>
              <w:pStyle w:val="32"/>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4"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4"/>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506020202030204"/>
    <w:charset w:val="00"/>
    <w:family w:val="swiss"/>
    <w:pitch w:val="default"/>
    <w:sig w:usb0="00000287"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MGD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AMGD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8"/>
      <w:framePr w:wrap="around" w:vAnchor="text" w:hAnchor="margin" w:xAlign="right" w:y="1"/>
      <w:rPr>
        <w:rStyle w:val="64"/>
      </w:rPr>
    </w:pPr>
    <w:r>
      <w:fldChar w:fldCharType="begin"/>
    </w:r>
    <w:r>
      <w:rPr>
        <w:rStyle w:val="64"/>
      </w:rPr>
      <w:instrText xml:space="preserve">PAGE  </w:instrText>
    </w:r>
    <w:r>
      <w:fldChar w:fldCharType="end"/>
    </w:r>
  </w:p>
  <w:p w14:paraId="49CD9CF1">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5" w:name="_Toc131845147"/>
    <w:bookmarkStart w:id="176" w:name="_Toc164085800"/>
    <w:bookmarkStart w:id="177" w:name="_Toc91899912"/>
    <w:bookmarkStart w:id="178" w:name="_Toc36110187"/>
    <w:r>
      <w:rPr>
        <w:rFonts w:hint="eastAsia" w:ascii="仿宋_GB2312" w:eastAsia="仿宋_GB2312"/>
        <w:kern w:val="0"/>
        <w:szCs w:val="21"/>
      </w:rPr>
      <w:t xml:space="preserve"> 页</w:t>
    </w:r>
    <w:bookmarkEnd w:id="175"/>
    <w:bookmarkEnd w:id="176"/>
    <w:bookmarkEnd w:id="177"/>
    <w:bookmarkEnd w:id="1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BD6E">
    <w:pPr>
      <w:pStyle w:val="39"/>
      <w:jc w:val="right"/>
    </w:pPr>
    <w:r>
      <w:rPr>
        <w:rFonts w:hint="eastAsia" w:ascii="仿宋" w:hAnsi="仿宋" w:eastAsia="仿宋" w:cs="仿宋"/>
        <w:b w:val="0"/>
        <w:bCs/>
        <w:kern w:val="2"/>
        <w:sz w:val="20"/>
        <w:szCs w:val="20"/>
        <w:u w:val="none"/>
        <w:lang w:val="en-US" w:eastAsia="zh-CN" w:bidi="ar-SA"/>
      </w:rPr>
      <w:t>杭州市临安区於潜中学2025年职工疗休养项目竞争性磋商文件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rPr>
    </w:pPr>
    <w:r>
      <w:rPr>
        <w:rFonts w:hint="eastAsia" w:eastAsia="仿宋_GB2312"/>
        <w:i/>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9"/>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757B17"/>
    <w:rsid w:val="02DA0C0E"/>
    <w:rsid w:val="03DD35E4"/>
    <w:rsid w:val="057E1A70"/>
    <w:rsid w:val="063D27B5"/>
    <w:rsid w:val="065A6178"/>
    <w:rsid w:val="074E5106"/>
    <w:rsid w:val="075562B7"/>
    <w:rsid w:val="078202B8"/>
    <w:rsid w:val="07841109"/>
    <w:rsid w:val="07F6164B"/>
    <w:rsid w:val="087A1B7A"/>
    <w:rsid w:val="096B2097"/>
    <w:rsid w:val="0A5B7E63"/>
    <w:rsid w:val="0ACD4199"/>
    <w:rsid w:val="0C87121B"/>
    <w:rsid w:val="0CF85DDF"/>
    <w:rsid w:val="0DF702FE"/>
    <w:rsid w:val="0E3F698B"/>
    <w:rsid w:val="0F21508F"/>
    <w:rsid w:val="0F816ACD"/>
    <w:rsid w:val="0FB94501"/>
    <w:rsid w:val="10B047CF"/>
    <w:rsid w:val="10FC16EA"/>
    <w:rsid w:val="118963A1"/>
    <w:rsid w:val="123B251C"/>
    <w:rsid w:val="127723A9"/>
    <w:rsid w:val="13072A44"/>
    <w:rsid w:val="132F6A72"/>
    <w:rsid w:val="13A61E65"/>
    <w:rsid w:val="145044FA"/>
    <w:rsid w:val="186742B0"/>
    <w:rsid w:val="1B2A271F"/>
    <w:rsid w:val="1B890139"/>
    <w:rsid w:val="1D266CE1"/>
    <w:rsid w:val="1D3963AF"/>
    <w:rsid w:val="1E714A66"/>
    <w:rsid w:val="1FE868A9"/>
    <w:rsid w:val="211E26D6"/>
    <w:rsid w:val="21283D08"/>
    <w:rsid w:val="25B440B3"/>
    <w:rsid w:val="25BD776E"/>
    <w:rsid w:val="25DF1DCD"/>
    <w:rsid w:val="26355A5B"/>
    <w:rsid w:val="2AA1365A"/>
    <w:rsid w:val="2C74353F"/>
    <w:rsid w:val="2DC46415"/>
    <w:rsid w:val="2DD15014"/>
    <w:rsid w:val="2FB44A0F"/>
    <w:rsid w:val="2FD25781"/>
    <w:rsid w:val="307C3A1B"/>
    <w:rsid w:val="319C6071"/>
    <w:rsid w:val="31A905EB"/>
    <w:rsid w:val="322E1CFE"/>
    <w:rsid w:val="326A47D9"/>
    <w:rsid w:val="32DB72BE"/>
    <w:rsid w:val="342E63AB"/>
    <w:rsid w:val="343D0FE8"/>
    <w:rsid w:val="345D260B"/>
    <w:rsid w:val="34D643A8"/>
    <w:rsid w:val="365302AE"/>
    <w:rsid w:val="37F142D2"/>
    <w:rsid w:val="39A13F14"/>
    <w:rsid w:val="3B6608BD"/>
    <w:rsid w:val="3B6A5AD3"/>
    <w:rsid w:val="3B79C5FC"/>
    <w:rsid w:val="3C5F759A"/>
    <w:rsid w:val="3D5C78D4"/>
    <w:rsid w:val="3FFF72A6"/>
    <w:rsid w:val="418720A1"/>
    <w:rsid w:val="42103979"/>
    <w:rsid w:val="42E1381E"/>
    <w:rsid w:val="43FB717C"/>
    <w:rsid w:val="451E447A"/>
    <w:rsid w:val="45345B76"/>
    <w:rsid w:val="45B44352"/>
    <w:rsid w:val="47307808"/>
    <w:rsid w:val="486F747C"/>
    <w:rsid w:val="4AC62A0B"/>
    <w:rsid w:val="4D861CF6"/>
    <w:rsid w:val="4E4D5946"/>
    <w:rsid w:val="4EDD03B5"/>
    <w:rsid w:val="51A0432A"/>
    <w:rsid w:val="527140E5"/>
    <w:rsid w:val="5292508F"/>
    <w:rsid w:val="52A96B6F"/>
    <w:rsid w:val="536B0DBB"/>
    <w:rsid w:val="545735C7"/>
    <w:rsid w:val="54DD7412"/>
    <w:rsid w:val="550764A4"/>
    <w:rsid w:val="551926E0"/>
    <w:rsid w:val="553D0290"/>
    <w:rsid w:val="561279B9"/>
    <w:rsid w:val="56515F3B"/>
    <w:rsid w:val="5676E2BD"/>
    <w:rsid w:val="572B71CA"/>
    <w:rsid w:val="57E958DA"/>
    <w:rsid w:val="58AE4F0C"/>
    <w:rsid w:val="5A2A7C7B"/>
    <w:rsid w:val="5A673865"/>
    <w:rsid w:val="5BE02A4F"/>
    <w:rsid w:val="5C80234E"/>
    <w:rsid w:val="5E261785"/>
    <w:rsid w:val="5FCC5339"/>
    <w:rsid w:val="5FE70807"/>
    <w:rsid w:val="60E53485"/>
    <w:rsid w:val="61054A27"/>
    <w:rsid w:val="611D2366"/>
    <w:rsid w:val="612A3574"/>
    <w:rsid w:val="62885958"/>
    <w:rsid w:val="63053881"/>
    <w:rsid w:val="64CE2EAA"/>
    <w:rsid w:val="662E75B1"/>
    <w:rsid w:val="66342C2E"/>
    <w:rsid w:val="663E784C"/>
    <w:rsid w:val="67500FDF"/>
    <w:rsid w:val="685867EC"/>
    <w:rsid w:val="6CC70A2D"/>
    <w:rsid w:val="6E8E12EF"/>
    <w:rsid w:val="71830048"/>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7FDB0D0F"/>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TOC1"/>
    <w:basedOn w:val="1"/>
    <w:next w:val="1"/>
    <w:autoRedefine/>
    <w:qFormat/>
    <w:uiPriority w:val="0"/>
    <w:pPr>
      <w:widowControl/>
      <w:autoSpaceDE/>
      <w:autoSpaceDN/>
      <w:spacing w:after="100" w:line="259" w:lineRule="auto"/>
      <w:jc w:val="both"/>
      <w:textAlignment w:val="baseline"/>
    </w:pPr>
    <w:rPr>
      <w:rFonts w:ascii="等线" w:hAnsi="等线" w:eastAsia="等线"/>
      <w:kern w:val="2"/>
      <w:sz w:val="22"/>
      <w:szCs w:val="22"/>
      <w:lang w:val="en-US" w:eastAsia="zh-CN" w:bidi="ar-SA"/>
    </w:rPr>
  </w:style>
  <w:style w:type="table" w:customStyle="1" w:styleId="6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11412</Words>
  <Characters>12243</Characters>
  <Lines>379</Lines>
  <Paragraphs>106</Paragraphs>
  <TotalTime>43</TotalTime>
  <ScaleCrop>false</ScaleCrop>
  <LinksUpToDate>false</LinksUpToDate>
  <CharactersWithSpaces>12629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朱琴</cp:lastModifiedBy>
  <cp:lastPrinted>2021-10-23T18:37:00Z</cp:lastPrinted>
  <dcterms:modified xsi:type="dcterms:W3CDTF">2025-06-25T07:46:44Z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2C60FEEB360847829306A427EF63868B_13</vt:lpwstr>
  </property>
  <property fmtid="{D5CDD505-2E9C-101B-9397-08002B2CF9AE}" pid="4" name="KSOTemplateDocerSaveRecord">
    <vt:lpwstr>eyJoZGlkIjoiZTk1NDUzMmY2OTQ0Y2RmNjM5YjY3ZGU5NGJlMzQ3OGYiLCJ1c2VySWQiOiIxNTExMzQ0NTc0In0=</vt:lpwstr>
  </property>
</Properties>
</file>