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rPr>
          <w:b/>
          <w:color w:val="000000"/>
          <w:sz w:val="48"/>
          <w:szCs w:val="48"/>
          <w:highlight w:val="none"/>
          <w:u w:color="000000"/>
        </w:rPr>
      </w:pPr>
    </w:p>
    <w:p>
      <w:pPr>
        <w:pStyle w:val="29"/>
        <w:ind w:firstLine="420"/>
        <w:rPr>
          <w:color w:val="000000"/>
          <w:highlight w:val="none"/>
        </w:rPr>
      </w:pPr>
    </w:p>
    <w:p>
      <w:pPr>
        <w:pStyle w:val="29"/>
        <w:ind w:firstLine="420"/>
        <w:rPr>
          <w:color w:val="000000"/>
          <w:highlight w:val="none"/>
        </w:rPr>
      </w:pPr>
    </w:p>
    <w:p>
      <w:pPr>
        <w:pStyle w:val="29"/>
        <w:ind w:firstLine="420"/>
        <w:rPr>
          <w:color w:val="000000"/>
          <w:highlight w:val="none"/>
        </w:rPr>
      </w:pPr>
    </w:p>
    <w:p>
      <w:pPr>
        <w:ind w:left="-210" w:leftChars="-100" w:right="-291" w:rightChars="-139" w:firstLine="0" w:firstLineChars="0"/>
        <w:jc w:val="center"/>
        <w:rPr>
          <w:rFonts w:ascii="宋体" w:hAnsi="宋体" w:eastAsia="宋体"/>
          <w:color w:val="000000"/>
          <w:sz w:val="48"/>
          <w:szCs w:val="48"/>
          <w:highlight w:val="none"/>
        </w:rPr>
      </w:pPr>
      <w:r>
        <w:rPr>
          <w:rFonts w:hint="eastAsia" w:ascii="宋体" w:hAnsi="宋体" w:eastAsia="宋体"/>
          <w:b/>
          <w:bCs/>
          <w:color w:val="000000"/>
          <w:sz w:val="48"/>
          <w:szCs w:val="48"/>
          <w:highlight w:val="none"/>
        </w:rPr>
        <w:t>杭州科技职业学院翠苑校区教学及辅助设施修缮工程</w:t>
      </w:r>
    </w:p>
    <w:p>
      <w:pPr>
        <w:ind w:firstLine="0" w:firstLineChars="0"/>
        <w:rPr>
          <w:highlight w:val="none"/>
        </w:rPr>
      </w:pPr>
    </w:p>
    <w:p>
      <w:pPr>
        <w:pStyle w:val="32"/>
        <w:ind w:left="840" w:hanging="420"/>
        <w:rPr>
          <w:highlight w:val="none"/>
        </w:rPr>
      </w:pPr>
    </w:p>
    <w:p>
      <w:pPr>
        <w:pStyle w:val="32"/>
        <w:ind w:left="840" w:hanging="420"/>
        <w:rPr>
          <w:highlight w:val="none"/>
        </w:rPr>
      </w:pPr>
    </w:p>
    <w:p>
      <w:pPr>
        <w:ind w:firstLine="0" w:firstLineChars="0"/>
        <w:rPr>
          <w:color w:val="000000"/>
          <w:highlight w:val="none"/>
        </w:rPr>
      </w:pPr>
    </w:p>
    <w:p>
      <w:pPr>
        <w:pStyle w:val="424"/>
        <w:widowControl w:val="0"/>
        <w:snapToGrid w:val="0"/>
        <w:spacing w:line="360" w:lineRule="auto"/>
        <w:ind w:firstLine="0" w:firstLineChars="0"/>
        <w:jc w:val="center"/>
        <w:rPr>
          <w:sz w:val="48"/>
          <w:szCs w:val="48"/>
          <w:highlight w:val="none"/>
        </w:rPr>
      </w:pPr>
      <w:r>
        <w:rPr>
          <w:rFonts w:hint="eastAsia"/>
          <w:sz w:val="48"/>
          <w:szCs w:val="48"/>
          <w:highlight w:val="none"/>
        </w:rPr>
        <w:t>竞争性磋商文件</w:t>
      </w:r>
    </w:p>
    <w:p>
      <w:pPr>
        <w:autoSpaceDE w:val="0"/>
        <w:autoSpaceDN w:val="0"/>
        <w:adjustRightInd w:val="0"/>
        <w:ind w:firstLine="0" w:firstLineChars="0"/>
        <w:rPr>
          <w:bCs/>
          <w:color w:val="000000"/>
          <w:sz w:val="44"/>
          <w:szCs w:val="44"/>
          <w:highlight w:val="none"/>
        </w:rPr>
      </w:pPr>
    </w:p>
    <w:p>
      <w:pPr>
        <w:autoSpaceDE w:val="0"/>
        <w:autoSpaceDN w:val="0"/>
        <w:adjustRightInd w:val="0"/>
        <w:ind w:firstLine="0" w:firstLineChars="0"/>
        <w:jc w:val="center"/>
        <w:rPr>
          <w:bCs/>
          <w:color w:val="000000"/>
          <w:sz w:val="32"/>
          <w:szCs w:val="32"/>
          <w:highlight w:val="none"/>
          <w:lang w:val="zh-CN"/>
        </w:rPr>
      </w:pPr>
      <w:r>
        <w:rPr>
          <w:bCs/>
          <w:color w:val="000000"/>
          <w:sz w:val="32"/>
          <w:szCs w:val="32"/>
          <w:highlight w:val="none"/>
          <w:lang w:val="zh-CN"/>
        </w:rPr>
        <w:t>项目编号：</w:t>
      </w:r>
      <w:r>
        <w:rPr>
          <w:rFonts w:hint="eastAsia"/>
          <w:bCs/>
          <w:color w:val="000000"/>
          <w:sz w:val="32"/>
          <w:szCs w:val="32"/>
          <w:highlight w:val="none"/>
          <w:lang w:val="zh-CN"/>
        </w:rPr>
        <w:t>DLLH-Z（G）-HKY2025006</w:t>
      </w:r>
    </w:p>
    <w:p>
      <w:pPr>
        <w:autoSpaceDE w:val="0"/>
        <w:autoSpaceDN w:val="0"/>
        <w:adjustRightInd w:val="0"/>
        <w:ind w:firstLine="0" w:firstLineChars="0"/>
        <w:jc w:val="center"/>
        <w:rPr>
          <w:bCs/>
          <w:color w:val="000000"/>
          <w:sz w:val="32"/>
          <w:szCs w:val="32"/>
          <w:highlight w:val="none"/>
          <w:lang w:val="zh-CN"/>
        </w:rPr>
      </w:pPr>
      <w:r>
        <w:rPr>
          <w:rFonts w:hint="eastAsia"/>
          <w:bCs/>
          <w:color w:val="000000"/>
          <w:sz w:val="32"/>
          <w:szCs w:val="32"/>
          <w:highlight w:val="none"/>
          <w:lang w:val="zh-CN"/>
        </w:rPr>
        <w:t>采购方式：竞争性磋商</w:t>
      </w:r>
    </w:p>
    <w:p>
      <w:pPr>
        <w:pStyle w:val="424"/>
        <w:spacing w:line="360" w:lineRule="auto"/>
        <w:ind w:firstLine="0" w:firstLineChars="0"/>
        <w:rPr>
          <w:b w:val="0"/>
          <w:bCs/>
          <w:kern w:val="2"/>
          <w:sz w:val="52"/>
          <w:szCs w:val="24"/>
          <w:highlight w:val="none"/>
        </w:rPr>
      </w:pPr>
    </w:p>
    <w:p>
      <w:pPr>
        <w:pStyle w:val="424"/>
        <w:spacing w:line="360" w:lineRule="auto"/>
        <w:ind w:firstLine="0" w:firstLineChars="0"/>
        <w:rPr>
          <w:b w:val="0"/>
          <w:bCs/>
          <w:kern w:val="2"/>
          <w:sz w:val="52"/>
          <w:szCs w:val="24"/>
          <w:highlight w:val="none"/>
        </w:rPr>
      </w:pPr>
    </w:p>
    <w:tbl>
      <w:tblPr>
        <w:tblStyle w:val="67"/>
        <w:tblW w:w="0" w:type="auto"/>
        <w:jc w:val="center"/>
        <w:tblLayout w:type="fixed"/>
        <w:tblCellMar>
          <w:top w:w="0" w:type="dxa"/>
          <w:left w:w="108" w:type="dxa"/>
          <w:bottom w:w="0" w:type="dxa"/>
          <w:right w:w="108" w:type="dxa"/>
        </w:tblCellMar>
      </w:tblPr>
      <w:tblGrid>
        <w:gridCol w:w="2120"/>
        <w:gridCol w:w="346"/>
        <w:gridCol w:w="3574"/>
      </w:tblGrid>
      <w:tr>
        <w:tblPrEx>
          <w:tblCellMar>
            <w:top w:w="0" w:type="dxa"/>
            <w:left w:w="108" w:type="dxa"/>
            <w:bottom w:w="0" w:type="dxa"/>
            <w:right w:w="108" w:type="dxa"/>
          </w:tblCellMar>
        </w:tblPrEx>
        <w:trPr>
          <w:trHeight w:val="680" w:hRule="atLeast"/>
          <w:jc w:val="center"/>
        </w:trPr>
        <w:tc>
          <w:tcPr>
            <w:tcW w:w="2120" w:type="dxa"/>
            <w:vAlign w:val="center"/>
          </w:tcPr>
          <w:p>
            <w:pPr>
              <w:pStyle w:val="38"/>
              <w:ind w:firstLine="0" w:firstLineChars="0"/>
              <w:jc w:val="distribute"/>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采购人</w:t>
            </w:r>
          </w:p>
        </w:tc>
        <w:tc>
          <w:tcPr>
            <w:tcW w:w="346"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w:t>
            </w:r>
          </w:p>
        </w:tc>
        <w:tc>
          <w:tcPr>
            <w:tcW w:w="3574" w:type="dxa"/>
            <w:vAlign w:val="center"/>
          </w:tcPr>
          <w:p>
            <w:pPr>
              <w:pStyle w:val="38"/>
              <w:ind w:firstLine="0" w:firstLineChars="0"/>
              <w:rPr>
                <w:rFonts w:ascii="Times New Roman" w:hAnsi="Times New Roman" w:cs="Times New Roman"/>
                <w:b/>
                <w:bCs/>
                <w:color w:val="000000"/>
                <w:w w:val="80"/>
                <w:kern w:val="0"/>
                <w:sz w:val="32"/>
                <w:szCs w:val="32"/>
                <w:highlight w:val="none"/>
                <w:lang w:bidi="th-TH"/>
              </w:rPr>
            </w:pPr>
            <w:r>
              <w:rPr>
                <w:rFonts w:hint="eastAsia" w:ascii="Times New Roman" w:hAnsi="Times New Roman" w:cs="Times New Roman"/>
                <w:b/>
                <w:bCs/>
                <w:color w:val="000000"/>
                <w:w w:val="80"/>
                <w:kern w:val="0"/>
                <w:sz w:val="32"/>
                <w:szCs w:val="32"/>
                <w:highlight w:val="none"/>
                <w:lang w:bidi="th-TH"/>
              </w:rPr>
              <w:t>杭州科技职业技术学院</w:t>
            </w:r>
          </w:p>
        </w:tc>
      </w:tr>
      <w:tr>
        <w:tblPrEx>
          <w:tblCellMar>
            <w:top w:w="0" w:type="dxa"/>
            <w:left w:w="108" w:type="dxa"/>
            <w:bottom w:w="0" w:type="dxa"/>
            <w:right w:w="108" w:type="dxa"/>
          </w:tblCellMar>
        </w:tblPrEx>
        <w:trPr>
          <w:trHeight w:val="680" w:hRule="atLeast"/>
          <w:jc w:val="center"/>
        </w:trPr>
        <w:tc>
          <w:tcPr>
            <w:tcW w:w="2120" w:type="dxa"/>
            <w:vAlign w:val="center"/>
          </w:tcPr>
          <w:p>
            <w:pPr>
              <w:pStyle w:val="38"/>
              <w:ind w:firstLine="0" w:firstLineChars="0"/>
              <w:jc w:val="distribute"/>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采购代理机构</w:t>
            </w:r>
          </w:p>
        </w:tc>
        <w:tc>
          <w:tcPr>
            <w:tcW w:w="346"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w:t>
            </w:r>
          </w:p>
        </w:tc>
        <w:tc>
          <w:tcPr>
            <w:tcW w:w="3574"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hint="eastAsia" w:ascii="Times New Roman" w:hAnsi="Times New Roman" w:cs="Times New Roman"/>
                <w:b/>
                <w:bCs/>
                <w:color w:val="000000"/>
                <w:w w:val="80"/>
                <w:kern w:val="0"/>
                <w:sz w:val="32"/>
                <w:szCs w:val="32"/>
                <w:highlight w:val="none"/>
                <w:lang w:bidi="th-TH"/>
              </w:rPr>
              <w:t>德邻联合工程有限公司</w:t>
            </w:r>
          </w:p>
        </w:tc>
      </w:tr>
      <w:tr>
        <w:tblPrEx>
          <w:tblCellMar>
            <w:top w:w="0" w:type="dxa"/>
            <w:left w:w="108" w:type="dxa"/>
            <w:bottom w:w="0" w:type="dxa"/>
            <w:right w:w="108" w:type="dxa"/>
          </w:tblCellMar>
        </w:tblPrEx>
        <w:trPr>
          <w:trHeight w:val="680" w:hRule="atLeast"/>
          <w:jc w:val="center"/>
        </w:trPr>
        <w:tc>
          <w:tcPr>
            <w:tcW w:w="6040" w:type="dxa"/>
            <w:gridSpan w:val="3"/>
            <w:vAlign w:val="bottom"/>
          </w:tcPr>
          <w:p>
            <w:pPr>
              <w:pStyle w:val="38"/>
              <w:ind w:firstLine="0" w:firstLineChars="0"/>
              <w:jc w:val="center"/>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二〇二</w:t>
            </w:r>
            <w:r>
              <w:rPr>
                <w:rFonts w:hint="eastAsia" w:ascii="Times New Roman" w:hAnsi="Times New Roman" w:cs="Times New Roman"/>
                <w:b/>
                <w:bCs/>
                <w:color w:val="000000"/>
                <w:w w:val="80"/>
                <w:kern w:val="0"/>
                <w:sz w:val="32"/>
                <w:szCs w:val="32"/>
                <w:highlight w:val="none"/>
                <w:lang w:bidi="th-TH"/>
              </w:rPr>
              <w:t>五</w:t>
            </w:r>
            <w:r>
              <w:rPr>
                <w:rFonts w:ascii="Times New Roman" w:hAnsi="Times New Roman" w:cs="Times New Roman"/>
                <w:b/>
                <w:bCs/>
                <w:color w:val="000000"/>
                <w:w w:val="80"/>
                <w:kern w:val="0"/>
                <w:sz w:val="32"/>
                <w:szCs w:val="32"/>
                <w:highlight w:val="none"/>
                <w:lang w:bidi="th-TH"/>
              </w:rPr>
              <w:t>年</w:t>
            </w:r>
            <w:r>
              <w:rPr>
                <w:rFonts w:hint="eastAsia" w:ascii="Times New Roman" w:hAnsi="Times New Roman" w:cs="Times New Roman"/>
                <w:b/>
                <w:bCs/>
                <w:color w:val="000000"/>
                <w:w w:val="80"/>
                <w:kern w:val="0"/>
                <w:sz w:val="32"/>
                <w:szCs w:val="32"/>
                <w:highlight w:val="none"/>
                <w:lang w:val="en-US" w:eastAsia="zh-CN" w:bidi="th-TH"/>
              </w:rPr>
              <w:t>六</w:t>
            </w:r>
            <w:r>
              <w:rPr>
                <w:rFonts w:hint="eastAsia" w:ascii="Times New Roman" w:hAnsi="Times New Roman" w:cs="Times New Roman"/>
                <w:b/>
                <w:bCs/>
                <w:color w:val="000000"/>
                <w:w w:val="80"/>
                <w:kern w:val="0"/>
                <w:sz w:val="32"/>
                <w:szCs w:val="32"/>
                <w:highlight w:val="none"/>
                <w:lang w:bidi="th-TH"/>
              </w:rPr>
              <w:t>月</w:t>
            </w:r>
          </w:p>
        </w:tc>
      </w:tr>
    </w:tbl>
    <w:p>
      <w:pPr>
        <w:ind w:firstLine="0" w:firstLineChars="0"/>
        <w:rPr>
          <w:color w:val="000000"/>
          <w:sz w:val="32"/>
          <w:highlight w:val="none"/>
        </w:rPr>
      </w:pPr>
    </w:p>
    <w:p>
      <w:pPr>
        <w:adjustRightInd w:val="0"/>
        <w:ind w:firstLine="643"/>
        <w:rPr>
          <w:b/>
          <w:color w:val="00000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31" w:footer="680" w:gutter="0"/>
          <w:pgNumType w:fmt="numberInDash" w:start="1"/>
          <w:cols w:space="720" w:num="1"/>
          <w:docGrid w:type="linesAndChars" w:linePitch="312" w:charSpace="0"/>
        </w:sectPr>
      </w:pPr>
    </w:p>
    <w:p>
      <w:pPr>
        <w:adjustRightInd w:val="0"/>
        <w:ind w:firstLine="0" w:firstLineChars="0"/>
        <w:jc w:val="center"/>
        <w:rPr>
          <w:b/>
          <w:color w:val="000000"/>
          <w:sz w:val="32"/>
          <w:szCs w:val="32"/>
          <w:highlight w:val="none"/>
        </w:rPr>
      </w:pPr>
      <w:r>
        <w:rPr>
          <w:b/>
          <w:color w:val="000000"/>
          <w:sz w:val="32"/>
          <w:szCs w:val="32"/>
          <w:highlight w:val="none"/>
        </w:rPr>
        <w:t>目    录</w:t>
      </w:r>
    </w:p>
    <w:p>
      <w:pPr>
        <w:pStyle w:val="2"/>
        <w:tabs>
          <w:tab w:val="right" w:leader="dot" w:pos="8306"/>
        </w:tabs>
        <w:ind w:firstLine="0" w:firstLineChars="0"/>
        <w:rPr>
          <w:highlight w:val="none"/>
        </w:rPr>
      </w:pPr>
      <w:bookmarkStart w:id="0" w:name="_Toc15371"/>
      <w:bookmarkStart w:id="1" w:name="_Toc272129957"/>
      <w:r>
        <w:rPr>
          <w:rFonts w:hint="eastAsia" w:ascii="仿宋" w:cs="仿宋"/>
          <w:b w:val="0"/>
          <w:bCs w:val="0"/>
          <w:color w:val="000000"/>
          <w:szCs w:val="24"/>
          <w:highlight w:val="none"/>
        </w:rPr>
        <w:fldChar w:fldCharType="begin"/>
      </w:r>
      <w:r>
        <w:rPr>
          <w:rFonts w:hint="eastAsia" w:ascii="仿宋" w:cs="仿宋"/>
          <w:b w:val="0"/>
          <w:bCs w:val="0"/>
          <w:color w:val="000000"/>
          <w:szCs w:val="24"/>
          <w:highlight w:val="none"/>
        </w:rPr>
        <w:instrText xml:space="preserve"> TOC \o "1-2" \h \z \u </w:instrText>
      </w:r>
      <w:r>
        <w:rPr>
          <w:rFonts w:hint="eastAsia" w:ascii="仿宋" w:cs="仿宋"/>
          <w:b w:val="0"/>
          <w:bCs w:val="0"/>
          <w:color w:val="000000"/>
          <w:szCs w:val="24"/>
          <w:highlight w:val="none"/>
        </w:rPr>
        <w:fldChar w:fldCharType="separate"/>
      </w:r>
      <w:r>
        <w:rPr>
          <w:highlight w:val="none"/>
        </w:rPr>
        <w:fldChar w:fldCharType="begin"/>
      </w:r>
      <w:r>
        <w:rPr>
          <w:highlight w:val="none"/>
        </w:rPr>
        <w:instrText xml:space="preserve"> HYPERLINK \l "_Toc22640" </w:instrText>
      </w:r>
      <w:r>
        <w:rPr>
          <w:highlight w:val="none"/>
        </w:rPr>
        <w:fldChar w:fldCharType="separate"/>
      </w:r>
      <w:r>
        <w:rPr>
          <w:highlight w:val="none"/>
        </w:rPr>
        <w:t xml:space="preserve">第一部分  </w:t>
      </w:r>
      <w:r>
        <w:rPr>
          <w:rFonts w:hint="eastAsia"/>
          <w:highlight w:val="none"/>
        </w:rPr>
        <w:t>竞争性磋商</w:t>
      </w:r>
      <w:r>
        <w:rPr>
          <w:highlight w:val="none"/>
        </w:rPr>
        <w:t>公告</w:t>
      </w:r>
      <w:r>
        <w:rPr>
          <w:highlight w:val="none"/>
        </w:rPr>
        <w:tab/>
      </w:r>
      <w:r>
        <w:rPr>
          <w:highlight w:val="none"/>
        </w:rPr>
        <w:fldChar w:fldCharType="begin"/>
      </w:r>
      <w:r>
        <w:rPr>
          <w:highlight w:val="none"/>
        </w:rPr>
        <w:instrText xml:space="preserve"> PAGEREF _Toc22640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"_Toc10253" </w:instrText>
      </w:r>
      <w:r>
        <w:rPr>
          <w:highlight w:val="none"/>
        </w:rPr>
        <w:fldChar w:fldCharType="separate"/>
      </w:r>
      <w:r>
        <w:rPr>
          <w:rFonts w:hint="eastAsia"/>
          <w:highlight w:val="none"/>
        </w:rPr>
        <w:t>一、项目基本情况</w:t>
      </w:r>
      <w:r>
        <w:rPr>
          <w:highlight w:val="none"/>
        </w:rPr>
        <w:tab/>
      </w:r>
      <w:r>
        <w:rPr>
          <w:highlight w:val="none"/>
        </w:rPr>
        <w:fldChar w:fldCharType="begin"/>
      </w:r>
      <w:r>
        <w:rPr>
          <w:highlight w:val="none"/>
        </w:rPr>
        <w:instrText xml:space="preserve"> PAGEREF _Toc10253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"_Toc17354" </w:instrText>
      </w:r>
      <w:r>
        <w:rPr>
          <w:highlight w:val="none"/>
        </w:rPr>
        <w:fldChar w:fldCharType="separate"/>
      </w:r>
      <w:r>
        <w:rPr>
          <w:rFonts w:hint="eastAsia"/>
          <w:highlight w:val="none"/>
        </w:rPr>
        <w:t>二、申请人的资格要求</w:t>
      </w:r>
      <w:r>
        <w:rPr>
          <w:highlight w:val="none"/>
        </w:rPr>
        <w:tab/>
      </w:r>
      <w:r>
        <w:rPr>
          <w:highlight w:val="none"/>
        </w:rPr>
        <w:fldChar w:fldCharType="begin"/>
      </w:r>
      <w:r>
        <w:rPr>
          <w:highlight w:val="none"/>
        </w:rPr>
        <w:instrText xml:space="preserve"> PAGEREF _Toc17354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"_Toc30473" </w:instrText>
      </w:r>
      <w:r>
        <w:rPr>
          <w:highlight w:val="none"/>
        </w:rPr>
        <w:fldChar w:fldCharType="separate"/>
      </w:r>
      <w:r>
        <w:rPr>
          <w:rFonts w:hint="eastAsia"/>
          <w:highlight w:val="none"/>
        </w:rPr>
        <w:t>三、获取采购文件</w:t>
      </w:r>
      <w:r>
        <w:rPr>
          <w:highlight w:val="none"/>
        </w:rPr>
        <w:tab/>
      </w:r>
      <w:r>
        <w:rPr>
          <w:highlight w:val="none"/>
        </w:rPr>
        <w:fldChar w:fldCharType="begin"/>
      </w:r>
      <w:r>
        <w:rPr>
          <w:highlight w:val="none"/>
        </w:rPr>
        <w:instrText xml:space="preserve"> PAGEREF _Toc30473 \h </w:instrText>
      </w:r>
      <w:r>
        <w:rPr>
          <w:highlight w:val="none"/>
        </w:rPr>
        <w:fldChar w:fldCharType="separate"/>
      </w:r>
      <w:r>
        <w:rPr>
          <w:highlight w:val="none"/>
        </w:rPr>
        <w:t>- 2 -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"_Toc5981" </w:instrText>
      </w:r>
      <w:r>
        <w:rPr>
          <w:highlight w:val="none"/>
        </w:rPr>
        <w:fldChar w:fldCharType="separate"/>
      </w:r>
      <w:r>
        <w:rPr>
          <w:rFonts w:hint="eastAsia"/>
          <w:highlight w:val="none"/>
        </w:rPr>
        <w:t>四、提交响应文件截止时间、开标时间和地点</w:t>
      </w:r>
      <w:r>
        <w:rPr>
          <w:highlight w:val="none"/>
        </w:rPr>
        <w:tab/>
      </w:r>
      <w:r>
        <w:rPr>
          <w:highlight w:val="none"/>
        </w:rPr>
        <w:fldChar w:fldCharType="begin"/>
      </w:r>
      <w:r>
        <w:rPr>
          <w:highlight w:val="none"/>
        </w:rPr>
        <w:instrText xml:space="preserve"> PAGEREF _Toc5981 \h </w:instrText>
      </w:r>
      <w:r>
        <w:rPr>
          <w:highlight w:val="none"/>
        </w:rPr>
        <w:fldChar w:fldCharType="separate"/>
      </w:r>
      <w:r>
        <w:rPr>
          <w:highlight w:val="none"/>
        </w:rPr>
        <w:t>- 2 -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"_Toc24537" </w:instrText>
      </w:r>
      <w:r>
        <w:rPr>
          <w:highlight w:val="none"/>
        </w:rPr>
        <w:fldChar w:fldCharType="separate"/>
      </w:r>
      <w:r>
        <w:rPr>
          <w:rFonts w:hint="eastAsia"/>
          <w:highlight w:val="none"/>
        </w:rPr>
        <w:t>五、公告期限</w:t>
      </w:r>
      <w:r>
        <w:rPr>
          <w:highlight w:val="none"/>
        </w:rPr>
        <w:tab/>
      </w:r>
      <w:r>
        <w:rPr>
          <w:highlight w:val="none"/>
        </w:rPr>
        <w:fldChar w:fldCharType="begin"/>
      </w:r>
      <w:r>
        <w:rPr>
          <w:highlight w:val="none"/>
        </w:rPr>
        <w:instrText xml:space="preserve"> PAGEREF _Toc24537 \h </w:instrText>
      </w:r>
      <w:r>
        <w:rPr>
          <w:highlight w:val="none"/>
        </w:rPr>
        <w:fldChar w:fldCharType="separate"/>
      </w:r>
      <w:r>
        <w:rPr>
          <w:highlight w:val="none"/>
        </w:rPr>
        <w:t>- 3 -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"_Toc17130" </w:instrText>
      </w:r>
      <w:r>
        <w:rPr>
          <w:highlight w:val="none"/>
        </w:rPr>
        <w:fldChar w:fldCharType="separate"/>
      </w:r>
      <w:r>
        <w:rPr>
          <w:rFonts w:hint="eastAsia"/>
          <w:highlight w:val="none"/>
        </w:rPr>
        <w:t>六、其他补充事宜</w:t>
      </w:r>
      <w:r>
        <w:rPr>
          <w:highlight w:val="none"/>
        </w:rPr>
        <w:tab/>
      </w:r>
      <w:r>
        <w:rPr>
          <w:highlight w:val="none"/>
        </w:rPr>
        <w:fldChar w:fldCharType="begin"/>
      </w:r>
      <w:r>
        <w:rPr>
          <w:highlight w:val="none"/>
        </w:rPr>
        <w:instrText xml:space="preserve"> PAGEREF _Toc17130 \h </w:instrText>
      </w:r>
      <w:r>
        <w:rPr>
          <w:highlight w:val="none"/>
        </w:rPr>
        <w:fldChar w:fldCharType="separate"/>
      </w:r>
      <w:r>
        <w:rPr>
          <w:highlight w:val="none"/>
        </w:rPr>
        <w:t>- 3 -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"_Toc31067" </w:instrText>
      </w:r>
      <w:r>
        <w:rPr>
          <w:highlight w:val="none"/>
        </w:rPr>
        <w:fldChar w:fldCharType="separate"/>
      </w:r>
      <w:r>
        <w:rPr>
          <w:rFonts w:hint="eastAsia"/>
          <w:highlight w:val="none"/>
        </w:rPr>
        <w:t>七、对本次采购提出询问、质疑、投诉，请按以下方式联系</w:t>
      </w:r>
      <w:r>
        <w:rPr>
          <w:highlight w:val="none"/>
        </w:rPr>
        <w:tab/>
      </w:r>
      <w:r>
        <w:rPr>
          <w:highlight w:val="none"/>
        </w:rPr>
        <w:fldChar w:fldCharType="begin"/>
      </w:r>
      <w:r>
        <w:rPr>
          <w:highlight w:val="none"/>
        </w:rPr>
        <w:instrText xml:space="preserve"> PAGEREF _Toc31067 \h </w:instrText>
      </w:r>
      <w:r>
        <w:rPr>
          <w:highlight w:val="none"/>
        </w:rPr>
        <w:fldChar w:fldCharType="separate"/>
      </w:r>
      <w:r>
        <w:rPr>
          <w:highlight w:val="none"/>
        </w:rPr>
        <w:t>- 4 -</w:t>
      </w:r>
      <w:r>
        <w:rPr>
          <w:highlight w:val="none"/>
        </w:rPr>
        <w:fldChar w:fldCharType="end"/>
      </w:r>
      <w:r>
        <w:rPr>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"_Toc14217" </w:instrText>
      </w:r>
      <w:r>
        <w:rPr>
          <w:highlight w:val="none"/>
        </w:rPr>
        <w:fldChar w:fldCharType="separate"/>
      </w:r>
      <w:r>
        <w:rPr>
          <w:highlight w:val="none"/>
        </w:rPr>
        <w:t xml:space="preserve">第二部分  </w:t>
      </w:r>
      <w:r>
        <w:rPr>
          <w:rFonts w:hint="eastAsia"/>
          <w:highlight w:val="none"/>
        </w:rPr>
        <w:t>磋商</w:t>
      </w:r>
      <w:r>
        <w:rPr>
          <w:highlight w:val="none"/>
        </w:rPr>
        <w:t>须知</w:t>
      </w:r>
      <w:r>
        <w:rPr>
          <w:highlight w:val="none"/>
        </w:rPr>
        <w:tab/>
      </w:r>
      <w:r>
        <w:rPr>
          <w:highlight w:val="none"/>
        </w:rPr>
        <w:fldChar w:fldCharType="begin"/>
      </w:r>
      <w:r>
        <w:rPr>
          <w:highlight w:val="none"/>
        </w:rPr>
        <w:instrText xml:space="preserve"> PAGEREF _Toc14217 \h </w:instrText>
      </w:r>
      <w:r>
        <w:rPr>
          <w:highlight w:val="none"/>
        </w:rPr>
        <w:fldChar w:fldCharType="separate"/>
      </w:r>
      <w:r>
        <w:rPr>
          <w:highlight w:val="none"/>
        </w:rPr>
        <w:t>- 6 -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"_Toc5935" </w:instrText>
      </w:r>
      <w:r>
        <w:rPr>
          <w:highlight w:val="none"/>
        </w:rPr>
        <w:fldChar w:fldCharType="separate"/>
      </w:r>
      <w:r>
        <w:rPr>
          <w:rFonts w:hint="eastAsia" w:ascii="仿宋" w:cs="仿宋"/>
          <w:szCs w:val="24"/>
          <w:highlight w:val="none"/>
        </w:rPr>
        <w:t>前 附 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_Toc5935 \h </w:instrText>
      </w:r>
      <w:r>
        <w:rPr>
          <w:rFonts w:hint="eastAsia" w:ascii="仿宋" w:cs="仿宋"/>
          <w:szCs w:val="24"/>
          <w:highlight w:val="none"/>
        </w:rPr>
        <w:fldChar w:fldCharType="separate"/>
      </w:r>
      <w:r>
        <w:rPr>
          <w:rFonts w:ascii="仿宋" w:cs="仿宋"/>
          <w:szCs w:val="24"/>
          <w:highlight w:val="none"/>
        </w:rPr>
        <w:t>- 6 -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"_Toc11676" </w:instrText>
      </w:r>
      <w:r>
        <w:rPr>
          <w:highlight w:val="none"/>
        </w:rPr>
        <w:fldChar w:fldCharType="separate"/>
      </w:r>
      <w:r>
        <w:rPr>
          <w:rFonts w:hint="eastAsia" w:ascii="仿宋" w:cs="仿宋"/>
          <w:szCs w:val="24"/>
          <w:highlight w:val="none"/>
        </w:rPr>
        <w:t>一、总则</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_Toc11676 \h </w:instrText>
      </w:r>
      <w:r>
        <w:rPr>
          <w:rFonts w:hint="eastAsia" w:ascii="仿宋" w:cs="仿宋"/>
          <w:szCs w:val="24"/>
          <w:highlight w:val="none"/>
        </w:rPr>
        <w:fldChar w:fldCharType="separate"/>
      </w:r>
      <w:r>
        <w:rPr>
          <w:rFonts w:ascii="仿宋" w:cs="仿宋"/>
          <w:szCs w:val="24"/>
          <w:highlight w:val="none"/>
        </w:rPr>
        <w:t>- 11 -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"_Toc32361" </w:instrText>
      </w:r>
      <w:r>
        <w:rPr>
          <w:highlight w:val="none"/>
        </w:rPr>
        <w:fldChar w:fldCharType="separate"/>
      </w:r>
      <w:r>
        <w:rPr>
          <w:rFonts w:hint="eastAsia" w:ascii="仿宋" w:cs="仿宋"/>
          <w:szCs w:val="24"/>
          <w:highlight w:val="none"/>
        </w:rPr>
        <w:t>二、采购文件的构成、澄清、修改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_Toc32361 \h </w:instrText>
      </w:r>
      <w:r>
        <w:rPr>
          <w:rFonts w:hint="eastAsia" w:ascii="仿宋" w:cs="仿宋"/>
          <w:szCs w:val="24"/>
          <w:highlight w:val="none"/>
        </w:rPr>
        <w:fldChar w:fldCharType="separate"/>
      </w:r>
      <w:r>
        <w:rPr>
          <w:rFonts w:ascii="仿宋" w:cs="仿宋"/>
          <w:szCs w:val="24"/>
          <w:highlight w:val="none"/>
        </w:rPr>
        <w:t>- 15 -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"_Toc29499" </w:instrText>
      </w:r>
      <w:r>
        <w:rPr>
          <w:highlight w:val="none"/>
        </w:rPr>
        <w:fldChar w:fldCharType="separate"/>
      </w:r>
      <w:r>
        <w:rPr>
          <w:rFonts w:hint="eastAsia" w:ascii="仿宋" w:cs="仿宋"/>
          <w:szCs w:val="24"/>
          <w:highlight w:val="none"/>
        </w:rPr>
        <w:t>三、提交响应文件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_Toc29499 \h </w:instrText>
      </w:r>
      <w:r>
        <w:rPr>
          <w:rFonts w:hint="eastAsia" w:ascii="仿宋" w:cs="仿宋"/>
          <w:szCs w:val="24"/>
          <w:highlight w:val="none"/>
        </w:rPr>
        <w:fldChar w:fldCharType="separate"/>
      </w:r>
      <w:r>
        <w:rPr>
          <w:rFonts w:ascii="仿宋" w:cs="仿宋"/>
          <w:szCs w:val="24"/>
          <w:highlight w:val="none"/>
        </w:rPr>
        <w:t>- 16 -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"_Toc13512" </w:instrText>
      </w:r>
      <w:r>
        <w:rPr>
          <w:highlight w:val="none"/>
        </w:rPr>
        <w:fldChar w:fldCharType="separate"/>
      </w:r>
      <w:r>
        <w:rPr>
          <w:rFonts w:hint="eastAsia" w:ascii="仿宋" w:cs="仿宋"/>
          <w:szCs w:val="24"/>
          <w:highlight w:val="none"/>
        </w:rPr>
        <w:t>四、响应文件开启、资格审查与信用信息查询</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_Toc13512 \h </w:instrText>
      </w:r>
      <w:r>
        <w:rPr>
          <w:rFonts w:hint="eastAsia" w:ascii="仿宋" w:cs="仿宋"/>
          <w:szCs w:val="24"/>
          <w:highlight w:val="none"/>
        </w:rPr>
        <w:fldChar w:fldCharType="separate"/>
      </w:r>
      <w:r>
        <w:rPr>
          <w:rFonts w:ascii="仿宋" w:cs="仿宋"/>
          <w:szCs w:val="24"/>
          <w:highlight w:val="none"/>
        </w:rPr>
        <w:t>- 19 -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"_Toc20230" </w:instrText>
      </w:r>
      <w:r>
        <w:rPr>
          <w:highlight w:val="none"/>
        </w:rPr>
        <w:fldChar w:fldCharType="separate"/>
      </w:r>
      <w:r>
        <w:rPr>
          <w:rFonts w:hint="eastAsia" w:ascii="仿宋" w:cs="仿宋"/>
          <w:szCs w:val="24"/>
          <w:highlight w:val="none"/>
        </w:rPr>
        <w:t>五、评审</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_Toc20230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"_Toc26310" </w:instrText>
      </w:r>
      <w:r>
        <w:rPr>
          <w:highlight w:val="none"/>
        </w:rPr>
        <w:fldChar w:fldCharType="separate"/>
      </w:r>
      <w:r>
        <w:rPr>
          <w:rFonts w:hint="eastAsia" w:ascii="仿宋" w:cs="仿宋"/>
          <w:szCs w:val="24"/>
          <w:highlight w:val="none"/>
        </w:rPr>
        <w:t>六、成交供应商确定</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_Toc26310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"_Toc8838" </w:instrText>
      </w:r>
      <w:r>
        <w:rPr>
          <w:highlight w:val="none"/>
        </w:rPr>
        <w:fldChar w:fldCharType="separate"/>
      </w:r>
      <w:r>
        <w:rPr>
          <w:rFonts w:hint="eastAsia" w:ascii="仿宋" w:cs="仿宋"/>
          <w:szCs w:val="24"/>
          <w:highlight w:val="none"/>
        </w:rPr>
        <w:t>七、合同授予</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_Toc8838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"_Toc761" </w:instrText>
      </w:r>
      <w:r>
        <w:rPr>
          <w:highlight w:val="none"/>
        </w:rPr>
        <w:fldChar w:fldCharType="separate"/>
      </w:r>
      <w:r>
        <w:rPr>
          <w:rFonts w:hint="eastAsia" w:ascii="仿宋" w:cs="仿宋"/>
          <w:szCs w:val="24"/>
          <w:highlight w:val="none"/>
        </w:rPr>
        <w:t>八、电子交易活动的中止</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_Toc761 \h </w:instrText>
      </w:r>
      <w:r>
        <w:rPr>
          <w:rFonts w:hint="eastAsia" w:ascii="仿宋" w:cs="仿宋"/>
          <w:szCs w:val="24"/>
          <w:highlight w:val="none"/>
        </w:rPr>
        <w:fldChar w:fldCharType="separate"/>
      </w:r>
      <w:r>
        <w:rPr>
          <w:rFonts w:ascii="仿宋" w:cs="仿宋"/>
          <w:szCs w:val="24"/>
          <w:highlight w:val="none"/>
        </w:rPr>
        <w:t>- 22 -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"_Toc4218" </w:instrText>
      </w:r>
      <w:r>
        <w:rPr>
          <w:highlight w:val="none"/>
        </w:rPr>
        <w:fldChar w:fldCharType="separate"/>
      </w:r>
      <w:r>
        <w:rPr>
          <w:rFonts w:hint="eastAsia" w:ascii="仿宋" w:cs="仿宋"/>
          <w:szCs w:val="24"/>
          <w:highlight w:val="none"/>
        </w:rPr>
        <w:t>九、验收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_Toc4218 \h </w:instrText>
      </w:r>
      <w:r>
        <w:rPr>
          <w:rFonts w:hint="eastAsia" w:ascii="仿宋" w:cs="仿宋"/>
          <w:szCs w:val="24"/>
          <w:highlight w:val="none"/>
        </w:rPr>
        <w:fldChar w:fldCharType="separate"/>
      </w:r>
      <w:r>
        <w:rPr>
          <w:rFonts w:ascii="仿宋" w:cs="仿宋"/>
          <w:szCs w:val="24"/>
          <w:highlight w:val="none"/>
        </w:rPr>
        <w:t>- 22 -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"_Toc23960" </w:instrText>
      </w:r>
      <w:r>
        <w:rPr>
          <w:highlight w:val="none"/>
        </w:rPr>
        <w:fldChar w:fldCharType="separate"/>
      </w:r>
      <w:r>
        <w:rPr>
          <w:highlight w:val="none"/>
        </w:rPr>
        <w:t>第</w:t>
      </w:r>
      <w:r>
        <w:rPr>
          <w:rFonts w:hint="eastAsia"/>
          <w:highlight w:val="none"/>
        </w:rPr>
        <w:t>三</w:t>
      </w:r>
      <w:r>
        <w:rPr>
          <w:highlight w:val="none"/>
        </w:rPr>
        <w:t xml:space="preserve">部分  </w:t>
      </w:r>
      <w:r>
        <w:rPr>
          <w:rFonts w:hint="eastAsia"/>
          <w:highlight w:val="none"/>
        </w:rPr>
        <w:t>采购需求</w:t>
      </w:r>
      <w:r>
        <w:rPr>
          <w:highlight w:val="none"/>
        </w:rPr>
        <w:tab/>
      </w:r>
      <w:r>
        <w:rPr>
          <w:highlight w:val="none"/>
        </w:rPr>
        <w:fldChar w:fldCharType="begin"/>
      </w:r>
      <w:r>
        <w:rPr>
          <w:highlight w:val="none"/>
        </w:rPr>
        <w:instrText xml:space="preserve"> PAGEREF _Toc23960 \h </w:instrText>
      </w:r>
      <w:r>
        <w:rPr>
          <w:highlight w:val="none"/>
        </w:rPr>
        <w:fldChar w:fldCharType="separate"/>
      </w:r>
      <w:r>
        <w:rPr>
          <w:highlight w:val="none"/>
        </w:rPr>
        <w:t>- 24 -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"_Toc20173" </w:instrText>
      </w:r>
      <w:r>
        <w:rPr>
          <w:highlight w:val="none"/>
        </w:rPr>
        <w:fldChar w:fldCharType="separate"/>
      </w:r>
      <w:r>
        <w:rPr>
          <w:rFonts w:hint="eastAsia" w:ascii="仿宋" w:cs="仿宋"/>
          <w:szCs w:val="24"/>
          <w:highlight w:val="none"/>
        </w:rPr>
        <w:t>一、项目概况</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_Toc20173 \h </w:instrText>
      </w:r>
      <w:r>
        <w:rPr>
          <w:rFonts w:hint="eastAsia" w:ascii="仿宋" w:cs="仿宋"/>
          <w:szCs w:val="24"/>
          <w:highlight w:val="none"/>
        </w:rPr>
        <w:fldChar w:fldCharType="separate"/>
      </w:r>
      <w:r>
        <w:rPr>
          <w:rFonts w:ascii="仿宋" w:cs="仿宋"/>
          <w:szCs w:val="24"/>
          <w:highlight w:val="none"/>
        </w:rPr>
        <w:t>- 24 -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"_Toc1323" </w:instrText>
      </w:r>
      <w:r>
        <w:rPr>
          <w:highlight w:val="none"/>
        </w:rPr>
        <w:fldChar w:fldCharType="separate"/>
      </w:r>
      <w:r>
        <w:rPr>
          <w:rFonts w:hint="eastAsia" w:ascii="仿宋" w:cs="仿宋"/>
          <w:szCs w:val="24"/>
          <w:highlight w:val="none"/>
        </w:rPr>
        <w:t>二、工程内容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_Toc1323 \h </w:instrText>
      </w:r>
      <w:r>
        <w:rPr>
          <w:rFonts w:hint="eastAsia" w:ascii="仿宋" w:cs="仿宋"/>
          <w:szCs w:val="24"/>
          <w:highlight w:val="none"/>
        </w:rPr>
        <w:fldChar w:fldCharType="separate"/>
      </w:r>
      <w:r>
        <w:rPr>
          <w:rFonts w:ascii="仿宋" w:cs="仿宋"/>
          <w:szCs w:val="24"/>
          <w:highlight w:val="none"/>
        </w:rPr>
        <w:t>- 24 -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"_Toc18701" </w:instrText>
      </w:r>
      <w:r>
        <w:rPr>
          <w:highlight w:val="none"/>
        </w:rPr>
        <w:fldChar w:fldCharType="separate"/>
      </w:r>
      <w:r>
        <w:rPr>
          <w:rFonts w:hint="eastAsia" w:ascii="仿宋" w:cs="仿宋"/>
          <w:szCs w:val="24"/>
          <w:highlight w:val="none"/>
        </w:rPr>
        <w:t>三、商务要求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_Toc18701 \h </w:instrText>
      </w:r>
      <w:r>
        <w:rPr>
          <w:rFonts w:hint="eastAsia" w:ascii="仿宋" w:cs="仿宋"/>
          <w:szCs w:val="24"/>
          <w:highlight w:val="none"/>
        </w:rPr>
        <w:fldChar w:fldCharType="separate"/>
      </w:r>
      <w:r>
        <w:rPr>
          <w:rFonts w:ascii="仿宋" w:cs="仿宋"/>
          <w:szCs w:val="24"/>
          <w:highlight w:val="none"/>
        </w:rPr>
        <w:t>- 29 -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"_Toc31143" </w:instrText>
      </w:r>
      <w:r>
        <w:rPr>
          <w:highlight w:val="none"/>
        </w:rPr>
        <w:fldChar w:fldCharType="separate"/>
      </w:r>
      <w:r>
        <w:rPr>
          <w:rFonts w:hint="eastAsia" w:ascii="仿宋" w:cs="仿宋"/>
          <w:szCs w:val="24"/>
          <w:highlight w:val="none"/>
        </w:rPr>
        <w:t>四、技术响应要求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_Toc31143 \h </w:instrText>
      </w:r>
      <w:r>
        <w:rPr>
          <w:rFonts w:hint="eastAsia" w:ascii="仿宋" w:cs="仿宋"/>
          <w:szCs w:val="24"/>
          <w:highlight w:val="none"/>
        </w:rPr>
        <w:fldChar w:fldCharType="separate"/>
      </w:r>
      <w:r>
        <w:rPr>
          <w:rFonts w:ascii="仿宋" w:cs="仿宋"/>
          <w:szCs w:val="24"/>
          <w:highlight w:val="none"/>
        </w:rPr>
        <w:t>- 30 -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"_Toc8071" </w:instrText>
      </w:r>
      <w:r>
        <w:rPr>
          <w:highlight w:val="none"/>
        </w:rPr>
        <w:fldChar w:fldCharType="separate"/>
      </w:r>
      <w:r>
        <w:rPr>
          <w:rFonts w:hint="eastAsia" w:ascii="仿宋" w:cs="仿宋"/>
          <w:szCs w:val="24"/>
          <w:highlight w:val="none"/>
        </w:rPr>
        <w:t>五、其他要求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_Toc8071 \h </w:instrText>
      </w:r>
      <w:r>
        <w:rPr>
          <w:rFonts w:hint="eastAsia" w:ascii="仿宋" w:cs="仿宋"/>
          <w:szCs w:val="24"/>
          <w:highlight w:val="none"/>
        </w:rPr>
        <w:fldChar w:fldCharType="separate"/>
      </w:r>
      <w:r>
        <w:rPr>
          <w:rFonts w:ascii="仿宋" w:cs="仿宋"/>
          <w:szCs w:val="24"/>
          <w:highlight w:val="none"/>
        </w:rPr>
        <w:t>- 32 -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"_Toc16779" </w:instrText>
      </w:r>
      <w:r>
        <w:rPr>
          <w:highlight w:val="none"/>
        </w:rPr>
        <w:fldChar w:fldCharType="separate"/>
      </w:r>
      <w:r>
        <w:rPr>
          <w:highlight w:val="none"/>
        </w:rPr>
        <w:t>第</w:t>
      </w:r>
      <w:r>
        <w:rPr>
          <w:rFonts w:hint="eastAsia"/>
          <w:highlight w:val="none"/>
        </w:rPr>
        <w:t>四</w:t>
      </w:r>
      <w:r>
        <w:rPr>
          <w:highlight w:val="none"/>
        </w:rPr>
        <w:t>部分</w:t>
      </w:r>
      <w:r>
        <w:rPr>
          <w:rFonts w:hint="eastAsia"/>
          <w:highlight w:val="none"/>
        </w:rPr>
        <w:t xml:space="preserve">  评标办法</w:t>
      </w:r>
      <w:r>
        <w:rPr>
          <w:highlight w:val="none"/>
        </w:rPr>
        <w:tab/>
      </w:r>
      <w:r>
        <w:rPr>
          <w:highlight w:val="none"/>
        </w:rPr>
        <w:fldChar w:fldCharType="begin"/>
      </w:r>
      <w:r>
        <w:rPr>
          <w:highlight w:val="none"/>
        </w:rPr>
        <w:instrText xml:space="preserve"> PAGEREF _Toc16779 \h </w:instrText>
      </w:r>
      <w:r>
        <w:rPr>
          <w:highlight w:val="none"/>
        </w:rPr>
        <w:fldChar w:fldCharType="separate"/>
      </w:r>
      <w:r>
        <w:rPr>
          <w:highlight w:val="none"/>
        </w:rPr>
        <w:t>- 34 -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"_Toc12421" </w:instrText>
      </w:r>
      <w:r>
        <w:rPr>
          <w:highlight w:val="none"/>
        </w:rPr>
        <w:fldChar w:fldCharType="separate"/>
      </w:r>
      <w:r>
        <w:rPr>
          <w:rFonts w:hint="eastAsia" w:ascii="仿宋" w:cs="仿宋"/>
          <w:szCs w:val="24"/>
          <w:highlight w:val="none"/>
        </w:rPr>
        <w:t>评审办法前附表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_Toc12421 \h </w:instrText>
      </w:r>
      <w:r>
        <w:rPr>
          <w:rFonts w:hint="eastAsia" w:ascii="仿宋" w:cs="仿宋"/>
          <w:szCs w:val="24"/>
          <w:highlight w:val="none"/>
        </w:rPr>
        <w:fldChar w:fldCharType="separate"/>
      </w:r>
      <w:r>
        <w:rPr>
          <w:rFonts w:ascii="仿宋" w:cs="仿宋"/>
          <w:szCs w:val="24"/>
          <w:highlight w:val="none"/>
        </w:rPr>
        <w:t>- 34 -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"_Toc29876" </w:instrText>
      </w:r>
      <w:r>
        <w:rPr>
          <w:highlight w:val="none"/>
        </w:rPr>
        <w:fldChar w:fldCharType="separate"/>
      </w:r>
      <w:r>
        <w:rPr>
          <w:rFonts w:hint="eastAsia" w:ascii="仿宋" w:cs="仿宋"/>
          <w:szCs w:val="24"/>
          <w:highlight w:val="none"/>
        </w:rPr>
        <w:t>一、评分办法</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_Toc29876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"_Toc1088" </w:instrText>
      </w:r>
      <w:r>
        <w:rPr>
          <w:highlight w:val="none"/>
        </w:rPr>
        <w:fldChar w:fldCharType="separate"/>
      </w:r>
      <w:r>
        <w:rPr>
          <w:rFonts w:hint="eastAsia" w:ascii="仿宋" w:cs="仿宋"/>
          <w:szCs w:val="24"/>
          <w:highlight w:val="none"/>
        </w:rPr>
        <w:t>二、评审标准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_Toc1088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"_Toc21251" </w:instrText>
      </w:r>
      <w:r>
        <w:rPr>
          <w:highlight w:val="none"/>
        </w:rPr>
        <w:fldChar w:fldCharType="separate"/>
      </w:r>
      <w:r>
        <w:rPr>
          <w:rFonts w:hint="eastAsia" w:ascii="仿宋" w:cs="仿宋"/>
          <w:szCs w:val="24"/>
          <w:highlight w:val="none"/>
        </w:rPr>
        <w:t>三、评审程序</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_Toc21251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"_Toc31097" </w:instrText>
      </w:r>
      <w:r>
        <w:rPr>
          <w:highlight w:val="none"/>
        </w:rPr>
        <w:fldChar w:fldCharType="separate"/>
      </w:r>
      <w:r>
        <w:rPr>
          <w:rFonts w:hint="eastAsia" w:ascii="仿宋" w:cs="仿宋"/>
          <w:szCs w:val="24"/>
          <w:highlight w:val="none"/>
        </w:rPr>
        <w:t>四、评审中的其他事项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_Toc31097 \h </w:instrText>
      </w:r>
      <w:r>
        <w:rPr>
          <w:rFonts w:hint="eastAsia" w:ascii="仿宋" w:cs="仿宋"/>
          <w:szCs w:val="24"/>
          <w:highlight w:val="none"/>
        </w:rPr>
        <w:fldChar w:fldCharType="separate"/>
      </w:r>
      <w:r>
        <w:rPr>
          <w:rFonts w:ascii="仿宋" w:cs="仿宋"/>
          <w:szCs w:val="24"/>
          <w:highlight w:val="none"/>
        </w:rPr>
        <w:t>- 39 -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"_Toc27916" </w:instrText>
      </w:r>
      <w:r>
        <w:rPr>
          <w:highlight w:val="none"/>
        </w:rPr>
        <w:fldChar w:fldCharType="separate"/>
      </w:r>
      <w:r>
        <w:rPr>
          <w:rFonts w:hint="eastAsia"/>
          <w:kern w:val="2"/>
          <w:szCs w:val="24"/>
          <w:highlight w:val="none"/>
        </w:rPr>
        <w:t xml:space="preserve">第五部分 </w:t>
      </w:r>
      <w:r>
        <w:rPr>
          <w:kern w:val="2"/>
          <w:szCs w:val="24"/>
          <w:highlight w:val="none"/>
        </w:rPr>
        <w:t xml:space="preserve"> </w:t>
      </w:r>
      <w:r>
        <w:rPr>
          <w:rFonts w:hint="eastAsia"/>
          <w:highlight w:val="none"/>
        </w:rPr>
        <w:t>拟签订的合同文本</w:t>
      </w:r>
      <w:r>
        <w:rPr>
          <w:highlight w:val="none"/>
        </w:rPr>
        <w:tab/>
      </w:r>
      <w:r>
        <w:rPr>
          <w:highlight w:val="none"/>
        </w:rPr>
        <w:fldChar w:fldCharType="begin"/>
      </w:r>
      <w:r>
        <w:rPr>
          <w:highlight w:val="none"/>
        </w:rPr>
        <w:instrText xml:space="preserve"> PAGEREF _Toc27916 \h </w:instrText>
      </w:r>
      <w:r>
        <w:rPr>
          <w:highlight w:val="none"/>
        </w:rPr>
        <w:fldChar w:fldCharType="separate"/>
      </w:r>
      <w:r>
        <w:rPr>
          <w:highlight w:val="none"/>
        </w:rPr>
        <w:t>- 41 -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"_Toc16352" </w:instrText>
      </w:r>
      <w:r>
        <w:rPr>
          <w:highlight w:val="none"/>
        </w:rPr>
        <w:fldChar w:fldCharType="separate"/>
      </w:r>
      <w:r>
        <w:rPr>
          <w:rFonts w:hint="eastAsia" w:ascii="仿宋" w:cs="仿宋"/>
          <w:szCs w:val="24"/>
          <w:highlight w:val="none"/>
        </w:rPr>
        <w:t>第一部分  合同协议书</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_Toc16352 \h </w:instrText>
      </w:r>
      <w:r>
        <w:rPr>
          <w:rFonts w:hint="eastAsia" w:ascii="仿宋" w:cs="仿宋"/>
          <w:szCs w:val="24"/>
          <w:highlight w:val="none"/>
        </w:rPr>
        <w:fldChar w:fldCharType="separate"/>
      </w:r>
      <w:r>
        <w:rPr>
          <w:rFonts w:ascii="仿宋" w:cs="仿宋"/>
          <w:szCs w:val="24"/>
          <w:highlight w:val="none"/>
        </w:rPr>
        <w:t>- 42 -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"_Toc22376" </w:instrText>
      </w:r>
      <w:r>
        <w:rPr>
          <w:highlight w:val="none"/>
        </w:rPr>
        <w:fldChar w:fldCharType="separate"/>
      </w:r>
      <w:r>
        <w:rPr>
          <w:rFonts w:hint="eastAsia" w:ascii="仿宋" w:cs="仿宋"/>
          <w:szCs w:val="24"/>
          <w:highlight w:val="none"/>
        </w:rPr>
        <w:t>第二部分  通用合同条款（略）使用时按（GF-2013-0201）</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_Toc22376 \h </w:instrText>
      </w:r>
      <w:r>
        <w:rPr>
          <w:rFonts w:hint="eastAsia" w:ascii="仿宋" w:cs="仿宋"/>
          <w:szCs w:val="24"/>
          <w:highlight w:val="none"/>
        </w:rPr>
        <w:fldChar w:fldCharType="separate"/>
      </w:r>
      <w:r>
        <w:rPr>
          <w:rFonts w:ascii="仿宋" w:cs="仿宋"/>
          <w:szCs w:val="24"/>
          <w:highlight w:val="none"/>
        </w:rPr>
        <w:t>- 45 -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"_Toc22195" </w:instrText>
      </w:r>
      <w:r>
        <w:rPr>
          <w:highlight w:val="none"/>
        </w:rPr>
        <w:fldChar w:fldCharType="separate"/>
      </w:r>
      <w:r>
        <w:rPr>
          <w:rFonts w:hint="eastAsia" w:ascii="仿宋" w:cs="仿宋"/>
          <w:szCs w:val="24"/>
          <w:highlight w:val="none"/>
        </w:rPr>
        <w:t>第三部分  专用合同条款</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_Toc22195 \h </w:instrText>
      </w:r>
      <w:r>
        <w:rPr>
          <w:rFonts w:hint="eastAsia" w:ascii="仿宋" w:cs="仿宋"/>
          <w:szCs w:val="24"/>
          <w:highlight w:val="none"/>
        </w:rPr>
        <w:fldChar w:fldCharType="separate"/>
      </w:r>
      <w:r>
        <w:rPr>
          <w:rFonts w:ascii="仿宋" w:cs="仿宋"/>
          <w:szCs w:val="24"/>
          <w:highlight w:val="none"/>
        </w:rPr>
        <w:t>- 45 -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"_Toc25949" </w:instrText>
      </w:r>
      <w:r>
        <w:rPr>
          <w:highlight w:val="none"/>
        </w:rPr>
        <w:fldChar w:fldCharType="separate"/>
      </w:r>
      <w:r>
        <w:rPr>
          <w:highlight w:val="none"/>
        </w:rPr>
        <w:t>第</w:t>
      </w:r>
      <w:r>
        <w:rPr>
          <w:rFonts w:hint="eastAsia"/>
          <w:highlight w:val="none"/>
        </w:rPr>
        <w:t>六</w:t>
      </w:r>
      <w:r>
        <w:rPr>
          <w:highlight w:val="none"/>
        </w:rPr>
        <w:t xml:space="preserve">部分  </w:t>
      </w:r>
      <w:r>
        <w:rPr>
          <w:rFonts w:hint="eastAsia"/>
          <w:highlight w:val="none"/>
        </w:rPr>
        <w:t>应提交的有关格式范例</w:t>
      </w:r>
      <w:r>
        <w:rPr>
          <w:highlight w:val="none"/>
        </w:rPr>
        <w:tab/>
      </w:r>
      <w:r>
        <w:rPr>
          <w:highlight w:val="none"/>
        </w:rPr>
        <w:fldChar w:fldCharType="begin"/>
      </w:r>
      <w:r>
        <w:rPr>
          <w:highlight w:val="none"/>
        </w:rPr>
        <w:instrText xml:space="preserve"> PAGEREF _Toc25949 \h </w:instrText>
      </w:r>
      <w:r>
        <w:rPr>
          <w:highlight w:val="none"/>
        </w:rPr>
        <w:fldChar w:fldCharType="separate"/>
      </w:r>
      <w:r>
        <w:rPr>
          <w:highlight w:val="none"/>
        </w:rPr>
        <w:t>- 67 -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"_Toc14640" </w:instrText>
      </w:r>
      <w:r>
        <w:rPr>
          <w:highlight w:val="none"/>
        </w:rPr>
        <w:fldChar w:fldCharType="separate"/>
      </w:r>
      <w:r>
        <w:rPr>
          <w:rFonts w:hint="eastAsia" w:ascii="仿宋" w:cs="仿宋"/>
          <w:szCs w:val="24"/>
          <w:highlight w:val="none"/>
        </w:rPr>
        <w:t>资格文件部分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_Toc14640 \h </w:instrText>
      </w:r>
      <w:r>
        <w:rPr>
          <w:rFonts w:hint="eastAsia" w:ascii="仿宋" w:cs="仿宋"/>
          <w:szCs w:val="24"/>
          <w:highlight w:val="none"/>
        </w:rPr>
        <w:fldChar w:fldCharType="separate"/>
      </w:r>
      <w:r>
        <w:rPr>
          <w:rFonts w:ascii="仿宋" w:cs="仿宋"/>
          <w:szCs w:val="24"/>
          <w:highlight w:val="none"/>
        </w:rPr>
        <w:t>- 68 -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"_Toc3573" </w:instrText>
      </w:r>
      <w:r>
        <w:rPr>
          <w:highlight w:val="none"/>
        </w:rPr>
        <w:fldChar w:fldCharType="separate"/>
      </w:r>
      <w:r>
        <w:rPr>
          <w:rFonts w:hint="eastAsia" w:ascii="仿宋" w:cs="仿宋"/>
          <w:szCs w:val="24"/>
          <w:highlight w:val="none"/>
        </w:rPr>
        <w:t>商务技术文件部分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_Toc3573 \h </w:instrText>
      </w:r>
      <w:r>
        <w:rPr>
          <w:rFonts w:hint="eastAsia" w:ascii="仿宋" w:cs="仿宋"/>
          <w:szCs w:val="24"/>
          <w:highlight w:val="none"/>
        </w:rPr>
        <w:fldChar w:fldCharType="separate"/>
      </w:r>
      <w:r>
        <w:rPr>
          <w:rFonts w:ascii="仿宋" w:cs="仿宋"/>
          <w:szCs w:val="24"/>
          <w:highlight w:val="none"/>
        </w:rPr>
        <w:t>- 73 -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"_Toc28633" </w:instrText>
      </w:r>
      <w:r>
        <w:rPr>
          <w:highlight w:val="none"/>
        </w:rPr>
        <w:fldChar w:fldCharType="separate"/>
      </w:r>
      <w:r>
        <w:rPr>
          <w:rFonts w:hint="eastAsia" w:ascii="仿宋" w:cs="仿宋"/>
          <w:szCs w:val="24"/>
          <w:highlight w:val="none"/>
        </w:rPr>
        <w:t>报价文件部分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_Toc28633 \h </w:instrText>
      </w:r>
      <w:r>
        <w:rPr>
          <w:rFonts w:hint="eastAsia" w:ascii="仿宋" w:cs="仿宋"/>
          <w:szCs w:val="24"/>
          <w:highlight w:val="none"/>
        </w:rPr>
        <w:fldChar w:fldCharType="separate"/>
      </w:r>
      <w:r>
        <w:rPr>
          <w:rFonts w:ascii="仿宋" w:cs="仿宋"/>
          <w:szCs w:val="24"/>
          <w:highlight w:val="none"/>
        </w:rPr>
        <w:t>- 91 -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"_Toc30407" </w:instrText>
      </w:r>
      <w:r>
        <w:rPr>
          <w:highlight w:val="none"/>
        </w:rPr>
        <w:fldChar w:fldCharType="separate"/>
      </w:r>
      <w:r>
        <w:rPr>
          <w:rFonts w:hint="eastAsia" w:ascii="仿宋" w:cs="仿宋"/>
          <w:szCs w:val="24"/>
          <w:highlight w:val="none"/>
        </w:rPr>
        <w:t>附件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_Toc30407 \h </w:instrText>
      </w:r>
      <w:r>
        <w:rPr>
          <w:rFonts w:hint="eastAsia" w:ascii="仿宋" w:cs="仿宋"/>
          <w:szCs w:val="24"/>
          <w:highlight w:val="none"/>
        </w:rPr>
        <w:fldChar w:fldCharType="separate"/>
      </w:r>
      <w:r>
        <w:rPr>
          <w:rFonts w:ascii="仿宋" w:cs="仿宋"/>
          <w:szCs w:val="24"/>
          <w:highlight w:val="none"/>
        </w:rPr>
        <w:t>- 96 -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"_Toc13466" </w:instrText>
      </w:r>
      <w:r>
        <w:rPr>
          <w:highlight w:val="none"/>
        </w:rPr>
        <w:fldChar w:fldCharType="separate"/>
      </w:r>
      <w:r>
        <w:rPr>
          <w:rFonts w:hint="eastAsia"/>
          <w:highlight w:val="none"/>
        </w:rPr>
        <w:t>第七部分 最终报价格式</w:t>
      </w:r>
      <w:r>
        <w:rPr>
          <w:highlight w:val="none"/>
        </w:rPr>
        <w:tab/>
      </w:r>
      <w:r>
        <w:rPr>
          <w:highlight w:val="none"/>
        </w:rPr>
        <w:fldChar w:fldCharType="begin"/>
      </w:r>
      <w:r>
        <w:rPr>
          <w:highlight w:val="none"/>
        </w:rPr>
        <w:instrText xml:space="preserve"> PAGEREF _Toc13466 \h </w:instrText>
      </w:r>
      <w:r>
        <w:rPr>
          <w:highlight w:val="none"/>
        </w:rPr>
        <w:fldChar w:fldCharType="separate"/>
      </w:r>
      <w:r>
        <w:rPr>
          <w:highlight w:val="none"/>
        </w:rPr>
        <w:t>- 110 -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"_Toc14840" </w:instrText>
      </w:r>
      <w:r>
        <w:rPr>
          <w:highlight w:val="none"/>
        </w:rPr>
        <w:fldChar w:fldCharType="separate"/>
      </w:r>
      <w:r>
        <w:rPr>
          <w:rFonts w:hint="eastAsia" w:ascii="仿宋" w:cs="仿宋"/>
          <w:szCs w:val="24"/>
          <w:highlight w:val="none"/>
        </w:rPr>
        <w:t>一、最终报价一览表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_Toc14840 \h </w:instrText>
      </w:r>
      <w:r>
        <w:rPr>
          <w:rFonts w:hint="eastAsia" w:ascii="仿宋" w:cs="仿宋"/>
          <w:szCs w:val="24"/>
          <w:highlight w:val="none"/>
        </w:rPr>
        <w:fldChar w:fldCharType="separate"/>
      </w:r>
      <w:r>
        <w:rPr>
          <w:rFonts w:ascii="仿宋" w:cs="仿宋"/>
          <w:szCs w:val="24"/>
          <w:highlight w:val="none"/>
        </w:rPr>
        <w:t>- 110 -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"_Toc2381" </w:instrText>
      </w:r>
      <w:r>
        <w:rPr>
          <w:highlight w:val="none"/>
        </w:rPr>
        <w:fldChar w:fldCharType="separate"/>
      </w:r>
      <w:r>
        <w:rPr>
          <w:rFonts w:hint="eastAsia" w:ascii="仿宋" w:cs="仿宋"/>
          <w:szCs w:val="24"/>
          <w:highlight w:val="none"/>
        </w:rPr>
        <w:t>二、最终已标价工程量清单或承诺书</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_Toc2381 \h </w:instrText>
      </w:r>
      <w:r>
        <w:rPr>
          <w:rFonts w:hint="eastAsia" w:ascii="仿宋" w:cs="仿宋"/>
          <w:szCs w:val="24"/>
          <w:highlight w:val="none"/>
        </w:rPr>
        <w:fldChar w:fldCharType="separate"/>
      </w:r>
      <w:r>
        <w:rPr>
          <w:rFonts w:ascii="仿宋" w:cs="仿宋"/>
          <w:szCs w:val="24"/>
          <w:highlight w:val="none"/>
        </w:rPr>
        <w:t>- 112 -</w:t>
      </w:r>
      <w:r>
        <w:rPr>
          <w:rFonts w:hint="eastAsia" w:ascii="仿宋" w:cs="仿宋"/>
          <w:szCs w:val="24"/>
          <w:highlight w:val="none"/>
        </w:rPr>
        <w:fldChar w:fldCharType="end"/>
      </w:r>
      <w:r>
        <w:rPr>
          <w:rFonts w:hint="eastAsia" w:ascii="仿宋" w:cs="仿宋"/>
          <w:szCs w:val="24"/>
          <w:highlight w:val="none"/>
        </w:rPr>
        <w:fldChar w:fldCharType="end"/>
      </w:r>
    </w:p>
    <w:p>
      <w:pPr>
        <w:ind w:firstLine="0" w:firstLineChars="0"/>
        <w:rPr>
          <w:highlight w:val="none"/>
        </w:rPr>
        <w:sectPr>
          <w:headerReference r:id="rId11" w:type="default"/>
          <w:footerReference r:id="rId12" w:type="default"/>
          <w:pgSz w:w="11906" w:h="16838"/>
          <w:pgMar w:top="1440" w:right="1800" w:bottom="1440" w:left="1800" w:header="426" w:footer="541" w:gutter="0"/>
          <w:pgNumType w:fmt="numberInDash" w:start="1"/>
          <w:cols w:space="720" w:num="1"/>
          <w:docGrid w:type="linesAndChars" w:linePitch="326" w:charSpace="0"/>
        </w:sectPr>
      </w:pPr>
      <w:r>
        <w:rPr>
          <w:rFonts w:hint="eastAsia" w:cs="仿宋"/>
          <w:szCs w:val="24"/>
          <w:highlight w:val="none"/>
        </w:rPr>
        <w:fldChar w:fldCharType="end"/>
      </w:r>
    </w:p>
    <w:p>
      <w:pPr>
        <w:pStyle w:val="3"/>
        <w:rPr>
          <w:highlight w:val="none"/>
        </w:rPr>
      </w:pPr>
      <w:bookmarkStart w:id="2" w:name="_Toc22640"/>
      <w:r>
        <w:rPr>
          <w:highlight w:val="none"/>
        </w:rPr>
        <w:t xml:space="preserve">第一部分  </w:t>
      </w:r>
      <w:bookmarkStart w:id="3" w:name="_Hlk80091261"/>
      <w:r>
        <w:rPr>
          <w:rFonts w:hint="eastAsia"/>
          <w:highlight w:val="none"/>
        </w:rPr>
        <w:t>竞争性磋商</w:t>
      </w:r>
      <w:r>
        <w:rPr>
          <w:highlight w:val="none"/>
        </w:rPr>
        <w:t>公告</w:t>
      </w:r>
      <w:bookmarkEnd w:id="0"/>
      <w:bookmarkEnd w:id="1"/>
      <w:bookmarkEnd w:id="2"/>
    </w:p>
    <w:p>
      <w:pPr>
        <w:pBdr>
          <w:top w:val="single" w:color="auto" w:sz="12" w:space="1"/>
          <w:left w:val="single" w:color="auto" w:sz="12" w:space="4"/>
          <w:bottom w:val="single" w:color="auto" w:sz="12" w:space="1"/>
          <w:right w:val="single" w:color="auto" w:sz="12" w:space="4"/>
        </w:pBdr>
        <w:ind w:firstLine="0" w:firstLineChars="0"/>
        <w:rPr>
          <w:color w:val="000000"/>
          <w:highlight w:val="none"/>
        </w:rPr>
      </w:pPr>
      <w:r>
        <w:rPr>
          <w:rFonts w:hint="eastAsia"/>
          <w:color w:val="000000"/>
          <w:highlight w:val="none"/>
        </w:rPr>
        <w:t>项目概况</w:t>
      </w:r>
    </w:p>
    <w:p>
      <w:pPr>
        <w:pBdr>
          <w:top w:val="single" w:color="auto" w:sz="12" w:space="1"/>
          <w:left w:val="single" w:color="auto" w:sz="12" w:space="4"/>
          <w:bottom w:val="single" w:color="auto" w:sz="12" w:space="1"/>
          <w:right w:val="single" w:color="auto" w:sz="12" w:space="4"/>
        </w:pBdr>
        <w:ind w:firstLine="428"/>
        <w:rPr>
          <w:rFonts w:hAnsi="宋体" w:cs="宋体"/>
          <w:color w:val="000000"/>
          <w:szCs w:val="24"/>
          <w:highlight w:val="none"/>
        </w:rPr>
      </w:pPr>
      <w:r>
        <w:rPr>
          <w:rFonts w:hint="eastAsia"/>
          <w:b/>
          <w:color w:val="000000"/>
          <w:highlight w:val="none"/>
          <w:u w:val="single"/>
        </w:rPr>
        <w:t>杭州科技职业学院翠苑校区教学及辅助设施修缮工程</w:t>
      </w:r>
      <w:r>
        <w:rPr>
          <w:rFonts w:hint="eastAsia" w:hAnsi="宋体" w:cs="宋体"/>
          <w:color w:val="000000"/>
          <w:szCs w:val="24"/>
          <w:highlight w:val="none"/>
        </w:rPr>
        <w:t>采购项目的潜在供应商应在</w:t>
      </w:r>
      <w:r>
        <w:rPr>
          <w:rFonts w:hint="eastAsia" w:hAnsi="宋体" w:cs="宋体"/>
          <w:color w:val="000000"/>
          <w:szCs w:val="24"/>
          <w:highlight w:val="none"/>
          <w:u w:val="single"/>
        </w:rPr>
        <w:t xml:space="preserve"> 政采云平台（</w:t>
      </w:r>
      <w:r>
        <w:rPr>
          <w:highlight w:val="none"/>
        </w:rPr>
        <w:fldChar w:fldCharType="begin"/>
      </w:r>
      <w:r>
        <w:rPr>
          <w:highlight w:val="none"/>
        </w:rPr>
        <w:instrText xml:space="preserve"> HYPERLINK "https://www.zcygov.cn/" </w:instrText>
      </w:r>
      <w:r>
        <w:rPr>
          <w:highlight w:val="none"/>
        </w:rPr>
        <w:fldChar w:fldCharType="separate"/>
      </w:r>
      <w:r>
        <w:rPr>
          <w:rStyle w:val="75"/>
          <w:rFonts w:hint="eastAsia" w:hAnsi="宋体" w:cs="宋体"/>
          <w:color w:val="000000"/>
          <w:szCs w:val="24"/>
          <w:highlight w:val="none"/>
        </w:rPr>
        <w:t>https://www.zcygov.cn/</w:t>
      </w:r>
      <w:r>
        <w:rPr>
          <w:rStyle w:val="75"/>
          <w:rFonts w:hint="eastAsia" w:hAnsi="宋体" w:cs="宋体"/>
          <w:color w:val="000000"/>
          <w:szCs w:val="24"/>
          <w:highlight w:val="none"/>
        </w:rPr>
        <w:fldChar w:fldCharType="end"/>
      </w:r>
      <w:r>
        <w:rPr>
          <w:rFonts w:hAnsi="宋体" w:cs="宋体"/>
          <w:color w:val="000000"/>
          <w:szCs w:val="24"/>
          <w:highlight w:val="none"/>
          <w:u w:val="single"/>
        </w:rPr>
        <w:t xml:space="preserve"> </w:t>
      </w:r>
      <w:r>
        <w:rPr>
          <w:rFonts w:hint="eastAsia" w:hAnsi="宋体" w:cs="宋体"/>
          <w:color w:val="000000"/>
          <w:szCs w:val="24"/>
          <w:highlight w:val="none"/>
        </w:rPr>
        <w:t>获取（下载）竞争性磋商文件，并于</w:t>
      </w:r>
      <w:r>
        <w:rPr>
          <w:rFonts w:hint="eastAsia" w:hAnsi="宋体" w:cs="宋体"/>
          <w:color w:val="000000"/>
          <w:szCs w:val="24"/>
          <w:highlight w:val="none"/>
          <w:u w:val="single"/>
          <w:lang w:eastAsia="zh-CN"/>
        </w:rPr>
        <w:t>2025年06月30日</w:t>
      </w:r>
      <w:r>
        <w:rPr>
          <w:rFonts w:hint="eastAsia" w:hAnsi="宋体" w:cs="宋体"/>
          <w:color w:val="000000"/>
          <w:szCs w:val="24"/>
          <w:highlight w:val="none"/>
          <w:u w:val="single"/>
        </w:rPr>
        <w:t>13时30分</w:t>
      </w:r>
      <w:r>
        <w:rPr>
          <w:rFonts w:hint="eastAsia" w:hAnsi="宋体" w:cs="宋体"/>
          <w:color w:val="000000"/>
          <w:szCs w:val="24"/>
          <w:highlight w:val="none"/>
        </w:rPr>
        <w:t>（北京时间）前递交（上传）磋商响应文件。</w:t>
      </w:r>
    </w:p>
    <w:bookmarkEnd w:id="3"/>
    <w:p>
      <w:pPr>
        <w:ind w:firstLine="426"/>
        <w:rPr>
          <w:highlight w:val="none"/>
        </w:rPr>
      </w:pPr>
      <w:bookmarkStart w:id="208" w:name="_GoBack"/>
      <w:bookmarkEnd w:id="208"/>
      <w:bookmarkStart w:id="4" w:name="_Toc32182"/>
      <w:bookmarkStart w:id="5" w:name="_Toc362940020"/>
      <w:bookmarkStart w:id="6" w:name="_Toc272129958"/>
    </w:p>
    <w:p>
      <w:pPr>
        <w:pStyle w:val="4"/>
        <w:rPr>
          <w:highlight w:val="none"/>
        </w:rPr>
      </w:pPr>
      <w:bookmarkStart w:id="7" w:name="_Toc10253"/>
      <w:r>
        <w:rPr>
          <w:rFonts w:hint="eastAsia"/>
          <w:highlight w:val="none"/>
        </w:rPr>
        <w:t>一、项目基本情况</w:t>
      </w:r>
      <w:bookmarkEnd w:id="7"/>
    </w:p>
    <w:p>
      <w:pPr>
        <w:ind w:firstLine="428"/>
        <w:rPr>
          <w:highlight w:val="none"/>
        </w:rPr>
      </w:pPr>
      <w:r>
        <w:rPr>
          <w:rFonts w:hint="eastAsia"/>
          <w:b/>
          <w:bCs/>
          <w:highlight w:val="none"/>
        </w:rPr>
        <w:t>项目编号：</w:t>
      </w:r>
      <w:bookmarkStart w:id="8" w:name="OLE_LINK7"/>
      <w:r>
        <w:rPr>
          <w:rFonts w:hint="eastAsia"/>
          <w:highlight w:val="none"/>
        </w:rPr>
        <w:t>DLLH-Z（G）-HKY2025006</w:t>
      </w:r>
      <w:bookmarkEnd w:id="8"/>
    </w:p>
    <w:p>
      <w:pPr>
        <w:ind w:firstLine="428"/>
        <w:rPr>
          <w:highlight w:val="none"/>
        </w:rPr>
      </w:pPr>
      <w:r>
        <w:rPr>
          <w:rFonts w:hint="eastAsia"/>
          <w:b/>
          <w:bCs/>
          <w:highlight w:val="none"/>
        </w:rPr>
        <w:t>项目名称：</w:t>
      </w:r>
      <w:r>
        <w:rPr>
          <w:rFonts w:hint="eastAsia"/>
          <w:highlight w:val="none"/>
        </w:rPr>
        <w:t>杭州科技职业学院翠苑校区教学及辅助设施修缮工程</w:t>
      </w:r>
    </w:p>
    <w:p>
      <w:pPr>
        <w:ind w:firstLine="428"/>
        <w:rPr>
          <w:highlight w:val="none"/>
        </w:rPr>
      </w:pPr>
      <w:r>
        <w:rPr>
          <w:rFonts w:hint="eastAsia"/>
          <w:b/>
          <w:bCs/>
          <w:highlight w:val="none"/>
        </w:rPr>
        <w:t>预算金额（元）：</w:t>
      </w:r>
      <w:r>
        <w:rPr>
          <w:rFonts w:hint="eastAsia"/>
          <w:highlight w:val="none"/>
        </w:rPr>
        <w:t>1605214.00元</w:t>
      </w:r>
    </w:p>
    <w:p>
      <w:pPr>
        <w:ind w:firstLine="428"/>
        <w:rPr>
          <w:highlight w:val="none"/>
        </w:rPr>
      </w:pPr>
      <w:r>
        <w:rPr>
          <w:rFonts w:hint="eastAsia"/>
          <w:b/>
          <w:bCs/>
          <w:highlight w:val="none"/>
        </w:rPr>
        <w:t>最高限价（元）：</w:t>
      </w:r>
      <w:r>
        <w:rPr>
          <w:rFonts w:hint="eastAsia"/>
          <w:highlight w:val="none"/>
        </w:rPr>
        <w:t>1605214.00元</w:t>
      </w:r>
    </w:p>
    <w:p>
      <w:pPr>
        <w:ind w:firstLine="428"/>
        <w:rPr>
          <w:highlight w:val="none"/>
        </w:rPr>
      </w:pPr>
      <w:r>
        <w:rPr>
          <w:rFonts w:hint="eastAsia"/>
          <w:b/>
          <w:bCs/>
          <w:highlight w:val="none"/>
        </w:rPr>
        <w:t>采购需求：</w:t>
      </w:r>
      <w:r>
        <w:rPr>
          <w:rFonts w:hint="eastAsia"/>
          <w:highlight w:val="none"/>
        </w:rPr>
        <w:t>详见第三部分采购需求</w:t>
      </w:r>
    </w:p>
    <w:p>
      <w:pPr>
        <w:ind w:firstLine="428"/>
        <w:rPr>
          <w:highlight w:val="none"/>
        </w:rPr>
      </w:pPr>
      <w:r>
        <w:rPr>
          <w:rFonts w:hint="eastAsia"/>
          <w:b/>
          <w:bCs/>
          <w:highlight w:val="none"/>
        </w:rPr>
        <w:t>标项名称：</w:t>
      </w:r>
      <w:r>
        <w:rPr>
          <w:rFonts w:hint="eastAsia"/>
          <w:highlight w:val="none"/>
        </w:rPr>
        <w:t>杭州科技职业学院翠苑校区教学及辅助设施修缮工程</w:t>
      </w:r>
    </w:p>
    <w:p>
      <w:pPr>
        <w:ind w:firstLine="428"/>
        <w:rPr>
          <w:highlight w:val="none"/>
        </w:rPr>
      </w:pPr>
      <w:r>
        <w:rPr>
          <w:rFonts w:hint="eastAsia"/>
          <w:b/>
          <w:bCs/>
          <w:highlight w:val="none"/>
        </w:rPr>
        <w:t>数量：</w:t>
      </w:r>
      <w:r>
        <w:rPr>
          <w:rFonts w:hint="eastAsia"/>
          <w:highlight w:val="none"/>
        </w:rPr>
        <w:t>不限</w:t>
      </w:r>
    </w:p>
    <w:p>
      <w:pPr>
        <w:ind w:firstLine="428"/>
        <w:rPr>
          <w:highlight w:val="none"/>
        </w:rPr>
      </w:pPr>
      <w:r>
        <w:rPr>
          <w:rFonts w:hint="eastAsia"/>
          <w:b/>
          <w:bCs/>
          <w:highlight w:val="none"/>
        </w:rPr>
        <w:t>预算金额（元）：</w:t>
      </w:r>
      <w:r>
        <w:rPr>
          <w:rFonts w:hint="eastAsia"/>
          <w:highlight w:val="none"/>
        </w:rPr>
        <w:t>1605214.00元</w:t>
      </w:r>
    </w:p>
    <w:p>
      <w:pPr>
        <w:ind w:firstLine="428"/>
        <w:rPr>
          <w:highlight w:val="none"/>
        </w:rPr>
      </w:pPr>
      <w:r>
        <w:rPr>
          <w:rFonts w:hint="eastAsia"/>
          <w:b/>
          <w:bCs/>
          <w:highlight w:val="none"/>
        </w:rPr>
        <w:t>简要规格描述或项目基本概况介绍、用途：</w:t>
      </w:r>
      <w:r>
        <w:rPr>
          <w:rFonts w:hint="eastAsia"/>
          <w:highlight w:val="none"/>
        </w:rPr>
        <w:t>具体以磋商文件第三部分采购需求为准，供应商可点击本公告下方“浏览采购文件”查看采购需求。</w:t>
      </w:r>
    </w:p>
    <w:p>
      <w:pPr>
        <w:ind w:firstLine="428"/>
        <w:rPr>
          <w:highlight w:val="none"/>
        </w:rPr>
      </w:pPr>
      <w:r>
        <w:rPr>
          <w:rFonts w:hint="eastAsia"/>
          <w:b/>
          <w:bCs/>
          <w:highlight w:val="none"/>
        </w:rPr>
        <w:t>备注：</w:t>
      </w:r>
    </w:p>
    <w:p>
      <w:pPr>
        <w:ind w:firstLine="428"/>
        <w:rPr>
          <w:highlight w:val="none"/>
        </w:rPr>
      </w:pPr>
      <w:r>
        <w:rPr>
          <w:rFonts w:hint="eastAsia"/>
          <w:b/>
          <w:bCs/>
          <w:highlight w:val="none"/>
        </w:rPr>
        <w:t>合同履约期限：</w:t>
      </w:r>
      <w:r>
        <w:rPr>
          <w:highlight w:val="none"/>
        </w:rPr>
        <w:t>60</w:t>
      </w:r>
      <w:r>
        <w:rPr>
          <w:rFonts w:hint="eastAsia"/>
          <w:highlight w:val="none"/>
        </w:rPr>
        <w:t>日历天完成。</w:t>
      </w:r>
    </w:p>
    <w:p>
      <w:pPr>
        <w:ind w:firstLine="428"/>
        <w:rPr>
          <w:b/>
          <w:bCs/>
          <w:highlight w:val="none"/>
        </w:rPr>
      </w:pPr>
      <w:r>
        <w:rPr>
          <w:rFonts w:hint="eastAsia"/>
          <w:b/>
          <w:bCs/>
          <w:highlight w:val="none"/>
        </w:rPr>
        <w:t>本项目接受联合体投标：</w:t>
      </w:r>
    </w:p>
    <w:p>
      <w:pPr>
        <w:ind w:firstLine="428"/>
        <w:rPr>
          <w:highlight w:val="none"/>
        </w:rPr>
      </w:pPr>
      <w:r>
        <w:rPr>
          <w:rFonts w:hint="eastAsia"/>
          <w:b/>
          <w:bCs/>
          <w:highlight w:val="none"/>
        </w:rPr>
        <w:sym w:font="Wingdings 2" w:char="0052"/>
      </w:r>
      <w:r>
        <w:rPr>
          <w:rFonts w:hint="eastAsia"/>
          <w:b/>
          <w:bCs/>
          <w:highlight w:val="none"/>
        </w:rPr>
        <w:t>是</w:t>
      </w:r>
      <w:r>
        <w:rPr>
          <w:rFonts w:hint="eastAsia"/>
          <w:highlight w:val="none"/>
        </w:rPr>
        <w:t xml:space="preserve">  </w:t>
      </w:r>
      <w:r>
        <w:rPr>
          <w:rFonts w:hint="eastAsia"/>
          <w:highlight w:val="none"/>
        </w:rPr>
        <w:sym w:font="Wingdings 2" w:char="00A3"/>
      </w:r>
      <w:r>
        <w:rPr>
          <w:rFonts w:hint="eastAsia"/>
          <w:highlight w:val="none"/>
        </w:rPr>
        <w:t>否，不接受联合体理由：</w:t>
      </w:r>
      <w:r>
        <w:rPr>
          <w:rFonts w:hint="eastAsia"/>
          <w:highlight w:val="none"/>
          <w:u w:val="single"/>
        </w:rPr>
        <w:t xml:space="preserve">              </w:t>
      </w:r>
      <w:r>
        <w:rPr>
          <w:rFonts w:hint="eastAsia"/>
          <w:highlight w:val="none"/>
        </w:rPr>
        <w:t>。</w:t>
      </w:r>
    </w:p>
    <w:p>
      <w:pPr>
        <w:ind w:firstLine="426"/>
        <w:rPr>
          <w:highlight w:val="none"/>
        </w:rPr>
      </w:pPr>
      <w:r>
        <w:rPr>
          <w:rFonts w:hint="eastAsia"/>
          <w:highlight w:val="none"/>
        </w:rPr>
        <w:t>注：不得限制大中型企业与小微企业组成联合体参与。</w:t>
      </w:r>
    </w:p>
    <w:p>
      <w:pPr>
        <w:pStyle w:val="4"/>
        <w:rPr>
          <w:highlight w:val="none"/>
        </w:rPr>
      </w:pPr>
      <w:bookmarkStart w:id="9" w:name="_Toc17354"/>
      <w:r>
        <w:rPr>
          <w:rFonts w:hint="eastAsia"/>
          <w:highlight w:val="none"/>
        </w:rPr>
        <w:t>二、申请人的资格要求</w:t>
      </w:r>
      <w:bookmarkEnd w:id="9"/>
    </w:p>
    <w:p>
      <w:pPr>
        <w:ind w:firstLine="426"/>
        <w:rPr>
          <w:highlight w:val="none"/>
        </w:rPr>
      </w:pPr>
      <w:r>
        <w:rPr>
          <w:rFonts w:hint="eastAsia"/>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6"/>
        <w:rPr>
          <w:highlight w:val="none"/>
        </w:rPr>
      </w:pPr>
      <w:r>
        <w:rPr>
          <w:rFonts w:hint="eastAsia"/>
          <w:highlight w:val="none"/>
        </w:rPr>
        <w:t>2.以联合体形式投标的，提供联合协议（本项目不接受联合体投标或者投标人不以联合体形式投标的，则不需要提供）；</w:t>
      </w:r>
    </w:p>
    <w:p>
      <w:pPr>
        <w:ind w:firstLine="426"/>
        <w:rPr>
          <w:highlight w:val="none"/>
        </w:rPr>
      </w:pPr>
      <w:r>
        <w:rPr>
          <w:rFonts w:hint="eastAsia"/>
          <w:highlight w:val="none"/>
        </w:rPr>
        <w:t>3.落实政府采购政策需满足的资格要求：</w:t>
      </w:r>
      <w:r>
        <w:rPr>
          <w:rFonts w:hint="eastAsia"/>
          <w:b/>
          <w:bCs/>
          <w:highlight w:val="none"/>
        </w:rPr>
        <w:t>标项1：专门面向中小企业，工程全部由符合政策要求的中小企业承建，提供中小企业声明函。本项目对应的中小企业划分标准所属行业为建筑业行业。</w:t>
      </w:r>
    </w:p>
    <w:p>
      <w:pPr>
        <w:ind w:firstLine="426"/>
        <w:rPr>
          <w:highlight w:val="none"/>
        </w:rPr>
      </w:pPr>
      <w:r>
        <w:rPr>
          <w:rFonts w:hint="eastAsia"/>
          <w:highlight w:val="none"/>
        </w:rPr>
        <w:t>4.本项目的特定资格要求：</w:t>
      </w:r>
      <w:bookmarkStart w:id="10" w:name="OLE_LINK1"/>
    </w:p>
    <w:p>
      <w:pPr>
        <w:ind w:firstLine="426"/>
        <w:rPr>
          <w:highlight w:val="none"/>
        </w:rPr>
      </w:pPr>
      <w:r>
        <w:rPr>
          <w:rFonts w:hint="eastAsia"/>
          <w:highlight w:val="none"/>
        </w:rPr>
        <w:t>（1）</w:t>
      </w:r>
      <w:bookmarkEnd w:id="10"/>
      <w:r>
        <w:rPr>
          <w:rFonts w:hint="eastAsia"/>
          <w:highlight w:val="none"/>
        </w:rPr>
        <w:t>具有施工总承包三级及以上资质（依据：《中华人民共和国建筑法》、《建设工程质量管理条例》、《建筑业企业资质管理规定》）；</w:t>
      </w:r>
    </w:p>
    <w:p>
      <w:pPr>
        <w:ind w:firstLine="426"/>
        <w:rPr>
          <w:highlight w:val="none"/>
        </w:rPr>
      </w:pPr>
      <w:r>
        <w:rPr>
          <w:rFonts w:hint="eastAsia"/>
          <w:highlight w:val="none"/>
        </w:rPr>
        <w:t>（2）具有有效期内的企业安全生产许可证。（法律依据：《安全生产许可证条例》(国务院令第397号)）；</w:t>
      </w:r>
    </w:p>
    <w:p>
      <w:pPr>
        <w:ind w:firstLine="426"/>
        <w:rPr>
          <w:highlight w:val="none"/>
        </w:rPr>
      </w:pPr>
      <w:r>
        <w:rPr>
          <w:rFonts w:hint="eastAsia"/>
          <w:highlight w:val="none"/>
        </w:rPr>
        <w:t>（3）如为省外企业，必须提供有效的《省外企业进浙承接业务备案证明》或由浙江省建筑市场监管公共服务系统发布的进浙备案网页打印件（带网址）。（法律依据：住房城乡建设部《关于做好建筑企业跨省承揽业务监督管理工作的通知》、《浙江省省外建筑业企业和中介服务机构备案管理暂行办法》、《关于省外建筑业企业和中介服务机构入浙备案实行网上办理的通知》）</w:t>
      </w:r>
    </w:p>
    <w:p>
      <w:pPr>
        <w:ind w:firstLine="426"/>
        <w:rPr>
          <w:highlight w:val="none"/>
        </w:rPr>
      </w:pPr>
      <w:r>
        <w:rPr>
          <w:rFonts w:hint="eastAsia"/>
          <w:highlight w:val="none"/>
        </w:rPr>
        <w:t>如为联合体投标，则联合体各方均须具有本标项所对应的相关资质。</w:t>
      </w:r>
    </w:p>
    <w:p>
      <w:pPr>
        <w:ind w:firstLine="426"/>
        <w:rPr>
          <w:highlight w:val="none"/>
        </w:rPr>
      </w:pPr>
      <w:r>
        <w:rPr>
          <w:rFonts w:hint="eastAsia"/>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rPr>
          <w:highlight w:val="none"/>
        </w:rPr>
      </w:pPr>
      <w:bookmarkStart w:id="11" w:name="_Toc30473"/>
      <w:r>
        <w:rPr>
          <w:rFonts w:hint="eastAsia"/>
          <w:highlight w:val="none"/>
        </w:rPr>
        <w:t>三、获取采购文件</w:t>
      </w:r>
      <w:bookmarkEnd w:id="11"/>
    </w:p>
    <w:p>
      <w:pPr>
        <w:ind w:firstLine="426"/>
        <w:rPr>
          <w:highlight w:val="none"/>
        </w:rPr>
      </w:pPr>
      <w:r>
        <w:rPr>
          <w:rFonts w:hint="eastAsia"/>
          <w:highlight w:val="none"/>
        </w:rPr>
        <w:t>时间：/至</w:t>
      </w:r>
      <w:r>
        <w:rPr>
          <w:rFonts w:hint="eastAsia"/>
          <w:highlight w:val="none"/>
          <w:lang w:eastAsia="zh-CN"/>
        </w:rPr>
        <w:t>2025年06月30日</w:t>
      </w:r>
      <w:r>
        <w:rPr>
          <w:rFonts w:hint="eastAsia"/>
          <w:highlight w:val="none"/>
        </w:rPr>
        <w:t>，每天上午00:00至12:00，下午12:00至23:59（北京时间，线上获取法定节假日均可，线下获取文件法定节假日除外）。</w:t>
      </w:r>
    </w:p>
    <w:p>
      <w:pPr>
        <w:ind w:firstLine="426"/>
        <w:rPr>
          <w:highlight w:val="none"/>
        </w:rPr>
      </w:pPr>
      <w:r>
        <w:rPr>
          <w:rFonts w:hint="eastAsia"/>
          <w:highlight w:val="none"/>
        </w:rPr>
        <w:t>地点（网址）：</w:t>
      </w:r>
      <w:bookmarkStart w:id="12" w:name="OLE_LINK8"/>
      <w:r>
        <w:rPr>
          <w:rFonts w:hint="eastAsia"/>
          <w:highlight w:val="none"/>
        </w:rPr>
        <w:t>政采云平台（https://www.zcygov.cn/）</w:t>
      </w:r>
      <w:bookmarkEnd w:id="12"/>
      <w:r>
        <w:rPr>
          <w:rFonts w:hint="eastAsia"/>
          <w:highlight w:val="none"/>
        </w:rPr>
        <w:t>。</w:t>
      </w:r>
    </w:p>
    <w:p>
      <w:pPr>
        <w:ind w:firstLine="426"/>
        <w:rPr>
          <w:highlight w:val="none"/>
        </w:rPr>
      </w:pPr>
      <w:r>
        <w:rPr>
          <w:rFonts w:hint="eastAsia"/>
          <w:highlight w:val="none"/>
        </w:rPr>
        <w:t xml:space="preserve">方式：供应商登录政采云平台https://www.zcygov.cn/在线申请获取采购文件（进入“项目采购”应用，在获取采购文件菜单中选择项目，申请获取采购文件）。 </w:t>
      </w:r>
    </w:p>
    <w:p>
      <w:pPr>
        <w:ind w:firstLine="426"/>
        <w:rPr>
          <w:highlight w:val="none"/>
        </w:rPr>
      </w:pPr>
      <w:r>
        <w:rPr>
          <w:rFonts w:hint="eastAsia"/>
          <w:highlight w:val="none"/>
        </w:rPr>
        <w:t>售价（元）：0</w:t>
      </w:r>
    </w:p>
    <w:p>
      <w:pPr>
        <w:pStyle w:val="4"/>
        <w:rPr>
          <w:highlight w:val="none"/>
        </w:rPr>
      </w:pPr>
      <w:bookmarkStart w:id="13" w:name="_Toc5981"/>
      <w:r>
        <w:rPr>
          <w:rFonts w:hint="eastAsia"/>
          <w:highlight w:val="none"/>
        </w:rPr>
        <w:t>四、提交响应文件截止时间、开标时间和地点</w:t>
      </w:r>
      <w:bookmarkEnd w:id="13"/>
    </w:p>
    <w:p>
      <w:pPr>
        <w:ind w:firstLine="426"/>
        <w:rPr>
          <w:highlight w:val="none"/>
        </w:rPr>
      </w:pPr>
      <w:r>
        <w:rPr>
          <w:rFonts w:hint="eastAsia"/>
          <w:highlight w:val="none"/>
        </w:rPr>
        <w:t>提交响应文件截止时间：</w:t>
      </w:r>
      <w:r>
        <w:rPr>
          <w:rFonts w:hint="eastAsia"/>
          <w:highlight w:val="none"/>
          <w:lang w:eastAsia="zh-CN"/>
        </w:rPr>
        <w:t>2025年06月30日</w:t>
      </w:r>
      <w:r>
        <w:rPr>
          <w:rFonts w:hint="eastAsia"/>
          <w:highlight w:val="none"/>
        </w:rPr>
        <w:t>13时30分（北京时间）</w:t>
      </w:r>
    </w:p>
    <w:p>
      <w:pPr>
        <w:ind w:firstLine="426"/>
        <w:rPr>
          <w:highlight w:val="none"/>
        </w:rPr>
      </w:pPr>
      <w:r>
        <w:rPr>
          <w:rFonts w:hint="eastAsia"/>
          <w:highlight w:val="none"/>
        </w:rPr>
        <w:t>投标地点（网址）：</w:t>
      </w:r>
      <w:bookmarkStart w:id="14" w:name="OLE_LINK2"/>
      <w:r>
        <w:rPr>
          <w:rFonts w:hint="eastAsia"/>
          <w:highlight w:val="none"/>
        </w:rPr>
        <w:t>政采云平台（https://www.zcygov.cn/）</w:t>
      </w:r>
    </w:p>
    <w:bookmarkEnd w:id="14"/>
    <w:p>
      <w:pPr>
        <w:ind w:firstLine="426"/>
        <w:rPr>
          <w:highlight w:val="none"/>
        </w:rPr>
      </w:pPr>
      <w:r>
        <w:rPr>
          <w:rFonts w:hint="eastAsia"/>
          <w:highlight w:val="none"/>
        </w:rPr>
        <w:t>开标时间：</w:t>
      </w:r>
      <w:r>
        <w:rPr>
          <w:rFonts w:hint="eastAsia"/>
          <w:highlight w:val="none"/>
          <w:lang w:eastAsia="zh-CN"/>
        </w:rPr>
        <w:t>2025年06月30日</w:t>
      </w:r>
      <w:r>
        <w:rPr>
          <w:rFonts w:hint="eastAsia"/>
          <w:highlight w:val="none"/>
        </w:rPr>
        <w:t>13时30分</w:t>
      </w:r>
    </w:p>
    <w:p>
      <w:pPr>
        <w:ind w:firstLine="426"/>
        <w:rPr>
          <w:highlight w:val="none"/>
        </w:rPr>
      </w:pPr>
      <w:r>
        <w:rPr>
          <w:rFonts w:hint="eastAsia"/>
          <w:highlight w:val="none"/>
        </w:rPr>
        <w:t>开标地点（网址）：</w:t>
      </w:r>
      <w:bookmarkStart w:id="15" w:name="OLE_LINK11"/>
      <w:r>
        <w:rPr>
          <w:rFonts w:hint="eastAsia"/>
          <w:highlight w:val="none"/>
        </w:rPr>
        <w:t>政采云平台（https://www.zcygov.cn/）</w:t>
      </w:r>
      <w:bookmarkEnd w:id="15"/>
      <w:r>
        <w:rPr>
          <w:rFonts w:hint="eastAsia"/>
          <w:highlight w:val="none"/>
        </w:rPr>
        <w:t>/杭州市萧山区钱江世纪城保亿中心A幢10楼</w:t>
      </w:r>
    </w:p>
    <w:p>
      <w:pPr>
        <w:pStyle w:val="4"/>
        <w:rPr>
          <w:highlight w:val="none"/>
        </w:rPr>
      </w:pPr>
      <w:bookmarkStart w:id="16" w:name="_Toc24537"/>
      <w:r>
        <w:rPr>
          <w:rFonts w:hint="eastAsia"/>
          <w:highlight w:val="none"/>
        </w:rPr>
        <w:t>五、公告期限</w:t>
      </w:r>
      <w:bookmarkEnd w:id="16"/>
    </w:p>
    <w:p>
      <w:pPr>
        <w:ind w:firstLine="426"/>
        <w:rPr>
          <w:highlight w:val="none"/>
        </w:rPr>
      </w:pPr>
      <w:r>
        <w:rPr>
          <w:rFonts w:hint="eastAsia"/>
          <w:highlight w:val="none"/>
        </w:rPr>
        <w:t>自本公告发布之日起3个工作日。</w:t>
      </w:r>
    </w:p>
    <w:p>
      <w:pPr>
        <w:pStyle w:val="4"/>
        <w:rPr>
          <w:highlight w:val="none"/>
        </w:rPr>
      </w:pPr>
      <w:bookmarkStart w:id="17" w:name="_Toc17130"/>
      <w:r>
        <w:rPr>
          <w:rFonts w:hint="eastAsia"/>
          <w:highlight w:val="none"/>
        </w:rPr>
        <w:t>六、其他补充事宜</w:t>
      </w:r>
      <w:bookmarkEnd w:id="17"/>
    </w:p>
    <w:p>
      <w:pPr>
        <w:ind w:firstLine="426"/>
        <w:rPr>
          <w:highlight w:val="none"/>
        </w:rPr>
      </w:pPr>
      <w:bookmarkStart w:id="18" w:name="OLE_LINK9"/>
      <w:r>
        <w:rPr>
          <w:rFonts w:hint="eastAsia"/>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ind w:firstLine="426"/>
        <w:rPr>
          <w:highlight w:val="none"/>
        </w:rPr>
      </w:pPr>
      <w:r>
        <w:rPr>
          <w:rFonts w:hint="eastAsia"/>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26"/>
        <w:rPr>
          <w:highlight w:val="none"/>
        </w:rPr>
      </w:pPr>
      <w:r>
        <w:rPr>
          <w:rFonts w:hint="eastAsia"/>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6"/>
        <w:rPr>
          <w:highlight w:val="none"/>
        </w:rPr>
      </w:pPr>
      <w:r>
        <w:rPr>
          <w:rFonts w:hint="eastAsia"/>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bookmarkEnd w:id="18"/>
    </w:p>
    <w:p>
      <w:pPr>
        <w:pStyle w:val="4"/>
        <w:rPr>
          <w:highlight w:val="none"/>
        </w:rPr>
      </w:pPr>
      <w:bookmarkStart w:id="19" w:name="_Toc31067"/>
      <w:r>
        <w:rPr>
          <w:rFonts w:hint="eastAsia"/>
          <w:highlight w:val="none"/>
        </w:rPr>
        <w:t>七、对本次采购提出询问、质疑、投诉，请按以下方式联系</w:t>
      </w:r>
      <w:bookmarkEnd w:id="19"/>
    </w:p>
    <w:p>
      <w:pPr>
        <w:ind w:firstLine="426"/>
        <w:rPr>
          <w:highlight w:val="none"/>
        </w:rPr>
      </w:pPr>
      <w:r>
        <w:rPr>
          <w:rFonts w:hint="eastAsia"/>
          <w:highlight w:val="none"/>
        </w:rPr>
        <w:t>1.采购人信息</w:t>
      </w:r>
    </w:p>
    <w:p>
      <w:pPr>
        <w:ind w:firstLine="426"/>
        <w:rPr>
          <w:highlight w:val="none"/>
        </w:rPr>
      </w:pPr>
      <w:r>
        <w:rPr>
          <w:rFonts w:hint="eastAsia"/>
          <w:highlight w:val="none"/>
        </w:rPr>
        <w:t>名    称：杭州科技职业技术学院</w:t>
      </w:r>
    </w:p>
    <w:p>
      <w:pPr>
        <w:ind w:firstLine="426"/>
        <w:rPr>
          <w:highlight w:val="none"/>
        </w:rPr>
      </w:pPr>
      <w:r>
        <w:rPr>
          <w:rFonts w:hint="eastAsia"/>
          <w:highlight w:val="none"/>
        </w:rPr>
        <w:t>地    址：杭州富阳高科路198号</w:t>
      </w:r>
    </w:p>
    <w:p>
      <w:pPr>
        <w:ind w:firstLine="426"/>
        <w:rPr>
          <w:highlight w:val="none"/>
        </w:rPr>
      </w:pPr>
      <w:r>
        <w:rPr>
          <w:rFonts w:hint="eastAsia"/>
          <w:highlight w:val="none"/>
        </w:rPr>
        <w:t xml:space="preserve">传    真：   /  </w:t>
      </w:r>
    </w:p>
    <w:p>
      <w:pPr>
        <w:ind w:firstLine="426"/>
        <w:rPr>
          <w:highlight w:val="none"/>
        </w:rPr>
      </w:pPr>
      <w:r>
        <w:rPr>
          <w:rFonts w:hint="eastAsia"/>
          <w:highlight w:val="none"/>
        </w:rPr>
        <w:t>项目联系人（询问）：宓老师</w:t>
      </w:r>
    </w:p>
    <w:p>
      <w:pPr>
        <w:ind w:firstLine="426"/>
        <w:rPr>
          <w:highlight w:val="none"/>
        </w:rPr>
      </w:pPr>
      <w:r>
        <w:rPr>
          <w:rFonts w:hint="eastAsia"/>
          <w:highlight w:val="none"/>
        </w:rPr>
        <w:t>项目联系方式（询问）：0571-28287766</w:t>
      </w:r>
    </w:p>
    <w:p>
      <w:pPr>
        <w:ind w:firstLine="426"/>
        <w:rPr>
          <w:highlight w:val="none"/>
        </w:rPr>
      </w:pPr>
      <w:r>
        <w:rPr>
          <w:rFonts w:hint="eastAsia"/>
          <w:highlight w:val="none"/>
        </w:rPr>
        <w:t>质疑联系人：陈老师</w:t>
      </w:r>
    </w:p>
    <w:p>
      <w:pPr>
        <w:ind w:firstLine="426"/>
        <w:rPr>
          <w:highlight w:val="none"/>
        </w:rPr>
      </w:pPr>
      <w:r>
        <w:rPr>
          <w:rFonts w:hint="eastAsia"/>
          <w:highlight w:val="none"/>
        </w:rPr>
        <w:t>质疑联系方式：</w:t>
      </w:r>
      <w:bookmarkStart w:id="20" w:name="OLE_LINK12"/>
      <w:r>
        <w:rPr>
          <w:rFonts w:hint="eastAsia"/>
          <w:highlight w:val="none"/>
        </w:rPr>
        <w:t>0571-28287780</w:t>
      </w:r>
      <w:bookmarkEnd w:id="20"/>
      <w:r>
        <w:rPr>
          <w:rFonts w:hint="eastAsia"/>
          <w:highlight w:val="none"/>
        </w:rPr>
        <w:t>（请通过以下路径在线提起质疑</w:t>
      </w:r>
      <w:r>
        <w:rPr>
          <w:rFonts w:hint="eastAsia"/>
          <w:highlight w:val="none"/>
          <w:lang w:val="zh-CN"/>
        </w:rPr>
        <w:t>：政采云－项目采购－询问质疑投诉－质疑列表</w:t>
      </w:r>
      <w:r>
        <w:rPr>
          <w:rFonts w:hint="eastAsia"/>
          <w:highlight w:val="none"/>
        </w:rPr>
        <w:t>）</w:t>
      </w:r>
    </w:p>
    <w:p>
      <w:pPr>
        <w:ind w:firstLine="426"/>
        <w:rPr>
          <w:highlight w:val="none"/>
        </w:rPr>
      </w:pPr>
      <w:r>
        <w:rPr>
          <w:rFonts w:hint="eastAsia"/>
          <w:highlight w:val="none"/>
        </w:rPr>
        <w:t>2.采购代理机构信息</w:t>
      </w:r>
    </w:p>
    <w:p>
      <w:pPr>
        <w:ind w:firstLine="426"/>
        <w:rPr>
          <w:highlight w:val="none"/>
        </w:rPr>
      </w:pPr>
      <w:r>
        <w:rPr>
          <w:rFonts w:hint="eastAsia"/>
          <w:highlight w:val="none"/>
        </w:rPr>
        <w:t>名称：德邻联合工程有限公司</w:t>
      </w:r>
    </w:p>
    <w:p>
      <w:pPr>
        <w:ind w:firstLine="426"/>
        <w:rPr>
          <w:highlight w:val="none"/>
        </w:rPr>
      </w:pPr>
      <w:r>
        <w:rPr>
          <w:rFonts w:hint="eastAsia"/>
          <w:highlight w:val="none"/>
        </w:rPr>
        <w:t>地址：杭州市萧山区钱江世纪城保亿中心A幢10楼</w:t>
      </w:r>
    </w:p>
    <w:p>
      <w:pPr>
        <w:ind w:firstLine="426"/>
        <w:rPr>
          <w:highlight w:val="none"/>
        </w:rPr>
      </w:pPr>
      <w:r>
        <w:rPr>
          <w:rFonts w:hint="eastAsia"/>
          <w:highlight w:val="none"/>
        </w:rPr>
        <w:t>项目联系人（询问）：所璐</w:t>
      </w:r>
    </w:p>
    <w:p>
      <w:pPr>
        <w:ind w:firstLine="426"/>
        <w:rPr>
          <w:highlight w:val="none"/>
        </w:rPr>
      </w:pPr>
      <w:r>
        <w:rPr>
          <w:rFonts w:hint="eastAsia"/>
          <w:highlight w:val="none"/>
        </w:rPr>
        <w:t>项目联系方式（询问）：0571-86978737、18967106719</w:t>
      </w:r>
    </w:p>
    <w:p>
      <w:pPr>
        <w:ind w:firstLine="426"/>
        <w:rPr>
          <w:highlight w:val="none"/>
        </w:rPr>
      </w:pPr>
      <w:r>
        <w:rPr>
          <w:rFonts w:hint="eastAsia"/>
          <w:highlight w:val="none"/>
        </w:rPr>
        <w:t>质疑联系人：陈翟飞</w:t>
      </w:r>
    </w:p>
    <w:p>
      <w:pPr>
        <w:ind w:firstLine="426"/>
        <w:rPr>
          <w:highlight w:val="none"/>
        </w:rPr>
      </w:pPr>
      <w:r>
        <w:rPr>
          <w:rFonts w:hint="eastAsia"/>
          <w:highlight w:val="none"/>
        </w:rPr>
        <w:t>质疑联系方式：0571-</w:t>
      </w:r>
      <w:r>
        <w:rPr>
          <w:highlight w:val="none"/>
        </w:rPr>
        <w:t>88858999</w:t>
      </w:r>
    </w:p>
    <w:p>
      <w:pPr>
        <w:ind w:firstLine="426"/>
        <w:rPr>
          <w:highlight w:val="none"/>
        </w:rPr>
      </w:pPr>
      <w:r>
        <w:rPr>
          <w:rFonts w:hint="eastAsia"/>
          <w:highlight w:val="none"/>
        </w:rPr>
        <w:t>3.同级政府采购监督管理部门</w:t>
      </w:r>
    </w:p>
    <w:p>
      <w:pPr>
        <w:ind w:firstLine="426"/>
        <w:rPr>
          <w:highlight w:val="none"/>
        </w:rPr>
      </w:pPr>
      <w:r>
        <w:rPr>
          <w:rFonts w:hint="eastAsia"/>
          <w:highlight w:val="none"/>
        </w:rPr>
        <w:t>名称：浙江省财政厅政府采购监管处、浙江省政府采购行政裁决服务中心（杭州）</w:t>
      </w:r>
    </w:p>
    <w:p>
      <w:pPr>
        <w:ind w:firstLine="426"/>
        <w:rPr>
          <w:highlight w:val="none"/>
        </w:rPr>
      </w:pPr>
      <w:r>
        <w:rPr>
          <w:rFonts w:hint="eastAsia"/>
          <w:highlight w:val="none"/>
        </w:rPr>
        <w:t>地址：杭州市上城区清泰街549号城建综合大楼11楼（快递仅限ems或顺丰）</w:t>
      </w:r>
    </w:p>
    <w:p>
      <w:pPr>
        <w:ind w:firstLine="426"/>
        <w:rPr>
          <w:highlight w:val="none"/>
        </w:rPr>
      </w:pPr>
      <w:r>
        <w:rPr>
          <w:rFonts w:hint="eastAsia"/>
          <w:highlight w:val="none"/>
        </w:rPr>
        <w:t>传真：/</w:t>
      </w:r>
    </w:p>
    <w:p>
      <w:pPr>
        <w:ind w:firstLine="426"/>
        <w:rPr>
          <w:highlight w:val="none"/>
        </w:rPr>
      </w:pPr>
      <w:r>
        <w:rPr>
          <w:rFonts w:hint="eastAsia"/>
          <w:highlight w:val="none"/>
        </w:rPr>
        <w:t>联系人：朱老师、王老师、匡老师</w:t>
      </w:r>
    </w:p>
    <w:p>
      <w:pPr>
        <w:ind w:firstLine="426"/>
        <w:rPr>
          <w:highlight w:val="none"/>
        </w:rPr>
      </w:pPr>
      <w:r>
        <w:rPr>
          <w:rFonts w:hint="eastAsia"/>
          <w:highlight w:val="none"/>
        </w:rPr>
        <w:t>监督投诉电话：0571-87800218，0571-87227671</w:t>
      </w:r>
    </w:p>
    <w:p>
      <w:pPr>
        <w:ind w:firstLine="426"/>
        <w:rPr>
          <w:highlight w:val="none"/>
        </w:rPr>
      </w:pPr>
    </w:p>
    <w:p>
      <w:pPr>
        <w:ind w:firstLine="426"/>
        <w:rPr>
          <w:highlight w:val="none"/>
        </w:rPr>
      </w:pPr>
      <w:r>
        <w:rPr>
          <w:rFonts w:hint="eastAsia"/>
          <w:highlight w:val="none"/>
        </w:rPr>
        <w:t>政策咨询：何一平、冯华，0571-87058424、87055741</w:t>
      </w:r>
    </w:p>
    <w:p>
      <w:pPr>
        <w:ind w:firstLine="426"/>
        <w:rPr>
          <w:highlight w:val="none"/>
        </w:rPr>
      </w:pPr>
    </w:p>
    <w:p>
      <w:pPr>
        <w:ind w:firstLine="426"/>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pPr>
        <w:ind w:firstLine="426"/>
        <w:rPr>
          <w:highlight w:val="none"/>
        </w:rPr>
      </w:pPr>
      <w:r>
        <w:rPr>
          <w:rFonts w:hint="eastAsia"/>
          <w:highlight w:val="none"/>
        </w:rPr>
        <w:t>CA问题联系电话（人工）：汇信CA 400-888-4636；天谷CA 400-087-8198。</w:t>
      </w:r>
    </w:p>
    <w:p>
      <w:pPr>
        <w:pStyle w:val="3"/>
        <w:rPr>
          <w:color w:val="000000"/>
          <w:highlight w:val="none"/>
        </w:rPr>
      </w:pPr>
      <w:r>
        <w:rPr>
          <w:color w:val="000000"/>
          <w:highlight w:val="none"/>
        </w:rPr>
        <w:br w:type="page"/>
      </w:r>
      <w:bookmarkStart w:id="21" w:name="_Toc14217"/>
      <w:r>
        <w:rPr>
          <w:color w:val="000000"/>
          <w:highlight w:val="none"/>
        </w:rPr>
        <w:t xml:space="preserve">第二部分  </w:t>
      </w:r>
      <w:r>
        <w:rPr>
          <w:rFonts w:hint="eastAsia"/>
          <w:color w:val="000000"/>
          <w:highlight w:val="none"/>
        </w:rPr>
        <w:t>磋商</w:t>
      </w:r>
      <w:r>
        <w:rPr>
          <w:color w:val="000000"/>
          <w:highlight w:val="none"/>
        </w:rPr>
        <w:t>须知</w:t>
      </w:r>
      <w:bookmarkEnd w:id="4"/>
      <w:bookmarkEnd w:id="5"/>
      <w:bookmarkEnd w:id="21"/>
    </w:p>
    <w:p>
      <w:pPr>
        <w:pStyle w:val="4"/>
        <w:rPr>
          <w:highlight w:val="none"/>
        </w:rPr>
      </w:pPr>
      <w:bookmarkStart w:id="22" w:name="_Toc5935"/>
      <w:bookmarkStart w:id="23" w:name="_Toc443687327"/>
      <w:bookmarkStart w:id="24" w:name="_Toc28104"/>
      <w:bookmarkStart w:id="25" w:name="_Toc18573"/>
      <w:bookmarkStart w:id="26" w:name="_Toc9250"/>
      <w:bookmarkStart w:id="27" w:name="_Toc19804160"/>
      <w:r>
        <w:rPr>
          <w:highlight w:val="none"/>
        </w:rPr>
        <w:t>前 附 表</w:t>
      </w:r>
      <w:bookmarkEnd w:id="22"/>
    </w:p>
    <w:tbl>
      <w:tblPr>
        <w:tblStyle w:val="6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598"/>
        <w:gridCol w:w="1815"/>
        <w:gridCol w:w="60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0" w:hRule="atLeast"/>
          <w:tblHeader/>
        </w:trPr>
        <w:tc>
          <w:tcPr>
            <w:tcW w:w="355"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序号</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事项</w:t>
            </w:r>
          </w:p>
        </w:tc>
        <w:tc>
          <w:tcPr>
            <w:tcW w:w="3566"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4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项目属性</w:t>
            </w:r>
          </w:p>
        </w:tc>
        <w:tc>
          <w:tcPr>
            <w:tcW w:w="3566" w:type="pct"/>
            <w:tcBorders>
              <w:tl2br w:val="nil"/>
              <w:tr2bl w:val="nil"/>
            </w:tcBorders>
            <w:vAlign w:val="center"/>
          </w:tcPr>
          <w:p>
            <w:pPr>
              <w:ind w:firstLine="0" w:firstLineChars="0"/>
              <w:rPr>
                <w:rFonts w:cs="仿宋"/>
                <w:highlight w:val="none"/>
              </w:rPr>
            </w:pPr>
            <w:r>
              <w:rPr>
                <w:rFonts w:hint="eastAsia" w:cs="仿宋"/>
                <w:highlight w:val="none"/>
              </w:rPr>
              <w:t>工程类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2</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采购标的对应的中小企业划分标准所属行业</w:t>
            </w:r>
          </w:p>
        </w:tc>
        <w:tc>
          <w:tcPr>
            <w:tcW w:w="3566" w:type="pct"/>
            <w:tcBorders>
              <w:tl2br w:val="nil"/>
              <w:tr2bl w:val="nil"/>
            </w:tcBorders>
            <w:vAlign w:val="center"/>
          </w:tcPr>
          <w:p>
            <w:pPr>
              <w:adjustRightInd w:val="0"/>
              <w:spacing w:before="0" w:after="0" w:line="264" w:lineRule="auto"/>
              <w:ind w:firstLine="0" w:firstLineChars="0"/>
              <w:rPr>
                <w:rFonts w:cs="仿宋"/>
                <w:highlight w:val="none"/>
              </w:rPr>
            </w:pPr>
            <w:r>
              <w:rPr>
                <w:rFonts w:hint="eastAsia" w:cs="仿宋"/>
                <w:highlight w:val="none"/>
              </w:rPr>
              <w:t>标的：</w:t>
            </w:r>
            <w:r>
              <w:rPr>
                <w:rFonts w:hint="eastAsia" w:cs="仿宋"/>
                <w:b/>
                <w:bCs/>
                <w:highlight w:val="none"/>
                <w:u w:val="single"/>
              </w:rPr>
              <w:t xml:space="preserve"> 翠苑校区教学及辅助设施修缮工程 </w:t>
            </w:r>
            <w:r>
              <w:rPr>
                <w:rFonts w:hint="eastAsia" w:cs="仿宋"/>
                <w:highlight w:val="none"/>
              </w:rPr>
              <w:t>，属于</w:t>
            </w:r>
            <w:r>
              <w:rPr>
                <w:rFonts w:hint="eastAsia" w:cs="仿宋"/>
                <w:b/>
                <w:bCs/>
                <w:highlight w:val="none"/>
                <w:u w:val="single"/>
              </w:rPr>
              <w:t xml:space="preserve"> 建筑业 </w:t>
            </w:r>
            <w:r>
              <w:rPr>
                <w:rFonts w:hint="eastAsia" w:cs="仿宋"/>
                <w:highlight w:val="none"/>
              </w:rPr>
              <w:t>行业</w:t>
            </w:r>
          </w:p>
          <w:p>
            <w:pPr>
              <w:adjustRightInd w:val="0"/>
              <w:spacing w:before="0" w:after="0" w:line="264" w:lineRule="auto"/>
              <w:ind w:firstLine="0" w:firstLineChars="0"/>
              <w:rPr>
                <w:rFonts w:cs="仿宋"/>
                <w:highlight w:val="none"/>
              </w:rPr>
            </w:pPr>
            <w:r>
              <w:rPr>
                <w:rFonts w:hint="eastAsia" w:cs="仿宋"/>
                <w:highlight w:val="none"/>
              </w:rPr>
              <w:t>注：根据《关于印发中小企业划型标准规定的通知》（工信部联企业〔2011〕300）第四条第（二）项规定，</w:t>
            </w:r>
            <w:r>
              <w:rPr>
                <w:rFonts w:hint="eastAsia" w:cs="仿宋"/>
                <w:b/>
                <w:bCs/>
                <w:highlight w:val="none"/>
              </w:rPr>
              <w:t>建筑业行业划型标准为：营业收入80000万元以下的为中小微型企业。其中，营业收入6000万元及以上的为中型企业，营业收入300万元及以上的为小型企业，营业收入300万元以下的为微型企业；资产总额80000万元以下的为中小微型企业。其中，资产总额5000万元及以上的为中型企业，资产总额300万元及以上的为小型企业，资产总额300万元以下的为微型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4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3</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是否允许采购进口产品</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本项目不允许采购进口产品</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☐可以就    采购进口产品。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4</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分包</w:t>
            </w:r>
          </w:p>
        </w:tc>
        <w:tc>
          <w:tcPr>
            <w:tcW w:w="3566" w:type="pct"/>
            <w:tcBorders>
              <w:tl2br w:val="nil"/>
              <w:tr2bl w:val="nil"/>
            </w:tcBorders>
            <w:vAlign w:val="center"/>
          </w:tcPr>
          <w:p>
            <w:pPr>
              <w:adjustRightInd w:val="0"/>
              <w:spacing w:before="0" w:after="0" w:line="264" w:lineRule="auto"/>
              <w:ind w:firstLine="0" w:firstLineChars="0"/>
              <w:rPr>
                <w:rFonts w:cs="仿宋"/>
                <w:b/>
                <w:bCs/>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A同意将非主体、非关键性的</w:t>
            </w:r>
            <w:r>
              <w:rPr>
                <w:rFonts w:hint="eastAsia" w:cs="仿宋"/>
                <w:b/>
                <w:bCs/>
                <w:kern w:val="2"/>
                <w:szCs w:val="21"/>
                <w:highlight w:val="none"/>
                <w:u w:val="single"/>
              </w:rPr>
              <w:t xml:space="preserve"> 材料运输 </w:t>
            </w:r>
            <w:r>
              <w:rPr>
                <w:rFonts w:hint="eastAsia" w:cs="仿宋"/>
                <w:b/>
                <w:bCs/>
                <w:kern w:val="2"/>
                <w:szCs w:val="21"/>
                <w:highlight w:val="none"/>
              </w:rPr>
              <w:t>工作分包。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☐B不同意分包。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5</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开标前答疑会或现场考察</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kern w:val="2"/>
                <w:szCs w:val="21"/>
                <w:highlight w:val="none"/>
              </w:rPr>
              <w:t>A不组织</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☐B组织，时间：      ，地点：      ，联系人：      ，联系方式：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19"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6</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样品提供</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A不要求提供</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☐B要求提供：</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(1)样品：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(2)样品制作的标准和要求：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(3)样品的评审方法以及评审标准：</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☐样品分未超过价格分的50%；</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☐样品分超过价格分的50%，理由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详见招标文件第四部分评标办法；</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(1)是否需要随样品提交检测报告：☐否；☐是，检测机构的要求：    ；检测内容：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(2)提供样品的时间：    ；地点：    ；联系人：   ，联系电话：    。请投标人在上述时间内提供样品并按规定位置安装完毕。超过截止时间的，采购人或采购代理机构将不予接收，并将清场并封闭样品现场。</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92"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7</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方案讲解演示</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A不组织</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B组织。</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（1）在评标时安排每个投标人进行方案讲解演示。每个投标人时间不超过  分钟，讲解次序以投标文件解密时间先后次序为准，讲解演示人员不超过  人。讲解演示结束后按要求解答评标委员会提问。</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（2）方案讲解演示可选择以下其中一种方式：</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☐方式一：政采云平台在线讲解演示。政采云平台在线讲解需投标人根据政采云平台操作要求做好准备工作，提前完善软硬件配置环境。</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☐方式二：采购代理机构现场讲解演示。现场讲解地点为    ，讲解演示所用电脑等设备由投标人自备。现场讲解演示人员进场时提供讲解人员名单（加盖公章或授权代表签名）及身份证明，否则不得讲解演示。</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详见第三章采购需求）</w:t>
            </w:r>
          </w:p>
          <w:p>
            <w:pPr>
              <w:adjustRightInd w:val="0"/>
              <w:spacing w:before="0" w:after="0" w:line="264" w:lineRule="auto"/>
              <w:ind w:firstLine="0" w:firstLineChars="0"/>
              <w:rPr>
                <w:rFonts w:cs="仿宋"/>
                <w:kern w:val="2"/>
                <w:szCs w:val="21"/>
                <w:highlight w:val="none"/>
                <w:lang w:val="zh-CN"/>
              </w:rPr>
            </w:pPr>
            <w:r>
              <w:rPr>
                <w:rFonts w:hint="eastAsia" w:cs="仿宋"/>
                <w:b/>
                <w:bCs/>
                <w:kern w:val="2"/>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61"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8</w:t>
            </w:r>
          </w:p>
        </w:tc>
        <w:tc>
          <w:tcPr>
            <w:tcW w:w="1078" w:type="pct"/>
            <w:vMerge w:val="restart"/>
            <w:tcBorders>
              <w:tl2br w:val="nil"/>
              <w:tr2bl w:val="nil"/>
            </w:tcBorders>
            <w:vAlign w:val="center"/>
          </w:tcPr>
          <w:p>
            <w:pPr>
              <w:ind w:firstLine="0" w:firstLineChars="0"/>
              <w:jc w:val="center"/>
              <w:rPr>
                <w:rFonts w:cs="仿宋"/>
                <w:b/>
                <w:bCs/>
                <w:highlight w:val="none"/>
              </w:rPr>
            </w:pPr>
            <w:r>
              <w:rPr>
                <w:rFonts w:hint="eastAsia" w:cs="仿宋"/>
                <w:b/>
                <w:bCs/>
                <w:highlight w:val="none"/>
              </w:rPr>
              <w:t>供应商应当提供的资格、资信证明文件</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（1）资格证明文件：见采购文件第二部分11.1。</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供应商未提供有效的资格证明文件的，视为供应商不具备采购文件中规定的资格要求，响应文件无效。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324"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b/>
                <w:bCs/>
                <w:highlight w:val="none"/>
              </w:rPr>
            </w:pP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（2）资信证明文件：根据采购文件第四部分评审标准提供。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9</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节能产品、环境标志产品</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□强制采购。产品：</w:t>
            </w:r>
            <w:r>
              <w:rPr>
                <w:rFonts w:cs="仿宋"/>
                <w:kern w:val="2"/>
                <w:szCs w:val="21"/>
                <w:highlight w:val="none"/>
              </w:rPr>
              <w:t xml:space="preserve"> </w:t>
            </w:r>
          </w:p>
          <w:p>
            <w:pPr>
              <w:adjustRightInd w:val="0"/>
              <w:spacing w:before="0" w:after="0" w:line="264" w:lineRule="auto"/>
              <w:ind w:firstLine="0" w:firstLineChars="0"/>
              <w:rPr>
                <w:rFonts w:cs="仿宋"/>
                <w:kern w:val="2"/>
                <w:szCs w:val="21"/>
                <w:highlight w:val="none"/>
              </w:rPr>
            </w:pPr>
            <w:bookmarkStart w:id="28" w:name="OLE_LINK3"/>
            <w:bookmarkStart w:id="29" w:name="OLE_LINK4"/>
            <w:r>
              <w:rPr>
                <w:rFonts w:hint="eastAsia" w:cs="仿宋"/>
                <w:kern w:val="2"/>
                <w:szCs w:val="21"/>
                <w:highlight w:val="none"/>
              </w:rPr>
              <w:t>□</w:t>
            </w:r>
            <w:bookmarkEnd w:id="28"/>
            <w:bookmarkEnd w:id="29"/>
            <w:r>
              <w:rPr>
                <w:rFonts w:hint="eastAsia" w:cs="仿宋"/>
                <w:kern w:val="2"/>
                <w:szCs w:val="21"/>
                <w:highlight w:val="none"/>
              </w:rPr>
              <w:t xml:space="preserve">优先采购节能产品。产品：    </w:t>
            </w:r>
          </w:p>
          <w:p>
            <w:pPr>
              <w:adjustRightInd w:val="0"/>
              <w:spacing w:before="0" w:after="0" w:line="264" w:lineRule="auto"/>
              <w:ind w:firstLine="0" w:firstLineChars="0"/>
              <w:rPr>
                <w:rFonts w:cs="仿宋"/>
                <w:kern w:val="2"/>
                <w:szCs w:val="21"/>
                <w:highlight w:val="none"/>
              </w:rPr>
            </w:pPr>
            <w:bookmarkStart w:id="30" w:name="OLE_LINK5"/>
            <w:bookmarkStart w:id="31" w:name="OLE_LINK6"/>
            <w:r>
              <w:rPr>
                <w:rFonts w:hint="eastAsia" w:cs="仿宋"/>
                <w:kern w:val="2"/>
                <w:szCs w:val="21"/>
                <w:highlight w:val="none"/>
              </w:rPr>
              <w:t>□</w:t>
            </w:r>
            <w:bookmarkEnd w:id="30"/>
            <w:bookmarkEnd w:id="31"/>
            <w:r>
              <w:rPr>
                <w:rFonts w:hint="eastAsia" w:cs="仿宋"/>
                <w:kern w:val="2"/>
                <w:szCs w:val="21"/>
                <w:highlight w:val="none"/>
              </w:rPr>
              <w:t xml:space="preserve">优先采购环保产品。产品：    </w:t>
            </w:r>
          </w:p>
          <w:p>
            <w:pPr>
              <w:adjustRightInd w:val="0"/>
              <w:spacing w:before="0" w:after="0" w:line="264" w:lineRule="auto"/>
              <w:ind w:firstLine="0" w:firstLineChars="0"/>
              <w:rPr>
                <w:rFonts w:cs="仿宋"/>
                <w:kern w:val="2"/>
                <w:szCs w:val="21"/>
                <w:highlight w:val="none"/>
              </w:rPr>
            </w:pPr>
            <w:r>
              <w:rPr>
                <w:rFonts w:ascii="Segoe UI Symbol" w:hAnsi="Segoe UI Symbol" w:cs="Segoe UI Symbol"/>
                <w:kern w:val="2"/>
                <w:szCs w:val="21"/>
                <w:highlight w:val="none"/>
              </w:rPr>
              <w:t>☑</w:t>
            </w:r>
            <w:r>
              <w:rPr>
                <w:rFonts w:hint="eastAsia" w:cs="仿宋"/>
                <w:kern w:val="2"/>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10</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报价要求</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lang w:val="zh-CN"/>
              </w:rPr>
              <w:t>有关本项目实施所需的所有费用（含税费）均计入报价。</w:t>
            </w:r>
            <w:r>
              <w:rPr>
                <w:rFonts w:hint="eastAsia" w:cs="仿宋"/>
                <w:kern w:val="2"/>
                <w:szCs w:val="21"/>
                <w:highlight w:val="none"/>
              </w:rPr>
              <w:t>开标一览表（报价表）是报价的唯一载体</w:t>
            </w:r>
            <w:r>
              <w:rPr>
                <w:rFonts w:hint="eastAsia" w:cs="仿宋"/>
                <w:kern w:val="2"/>
                <w:szCs w:val="21"/>
                <w:highlight w:val="none"/>
                <w:lang w:val="zh-CN"/>
              </w:rPr>
              <w:t>。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lang w:val="zh-CN"/>
              </w:rPr>
              <w:t>投标报价出现下列情形的，投标无效：</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rPr>
              <w:t>(1)</w:t>
            </w:r>
            <w:r>
              <w:rPr>
                <w:rFonts w:hint="eastAsia" w:cs="仿宋"/>
                <w:kern w:val="2"/>
                <w:szCs w:val="21"/>
                <w:highlight w:val="none"/>
                <w:lang w:val="zh-CN"/>
              </w:rPr>
              <w:t>投标文件出现不是唯一的、有选择性投标报价的；</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rPr>
              <w:t>(2)</w:t>
            </w:r>
            <w:r>
              <w:rPr>
                <w:rFonts w:hint="eastAsia" w:cs="仿宋"/>
                <w:kern w:val="2"/>
                <w:szCs w:val="21"/>
                <w:highlight w:val="none"/>
                <w:lang w:val="zh-CN"/>
              </w:rPr>
              <w:t>投标报价超过招标文件中规定的预算金额或者最高限价的；</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(3)报价明显低于其他通过符合性审查投标人的报价，有可能影响产品质量或者不能诚信履约的，未能按要求提供书面说明或者提交相关证明材料证明其报价合理性的；</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11</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中小企业信用融资</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45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12</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备份投标文件送达地点和签收人员</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备份投标文件送达地点：</w:t>
            </w:r>
            <w:r>
              <w:rPr>
                <w:rFonts w:hint="eastAsia" w:cs="仿宋"/>
                <w:kern w:val="2"/>
                <w:szCs w:val="21"/>
                <w:highlight w:val="none"/>
                <w:u w:val="single"/>
              </w:rPr>
              <w:t>杭州市萧山区钱江世纪城保亿中心A幢10楼</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备份投标文件签收联系人：</w:t>
            </w:r>
            <w:r>
              <w:rPr>
                <w:rFonts w:hint="eastAsia" w:cs="仿宋"/>
                <w:kern w:val="2"/>
                <w:szCs w:val="21"/>
                <w:highlight w:val="none"/>
                <w:u w:val="single"/>
              </w:rPr>
              <w:t>所璐</w:t>
            </w:r>
            <w:r>
              <w:rPr>
                <w:rFonts w:hint="eastAsia" w:cs="仿宋"/>
                <w:kern w:val="2"/>
                <w:szCs w:val="21"/>
                <w:highlight w:val="none"/>
              </w:rPr>
              <w:t>；联系电话：</w:t>
            </w:r>
            <w:r>
              <w:rPr>
                <w:rFonts w:hint="eastAsia" w:cs="仿宋"/>
                <w:kern w:val="2"/>
                <w:szCs w:val="21"/>
                <w:highlight w:val="none"/>
                <w:u w:val="single"/>
              </w:rPr>
              <w:t>18967106719</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69"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13</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中标服务费</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1、本项目的中标服务费由成交供应商支付。</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采购代理服务费收费标准参照国家计委《招标代理服务收费管理暂行办法》（计价格[2002]1980号）文件及国家发改委下发的《关于降低部分建设项目收费标准规范收费行为等有关问题的通知》（发改价格[2011]534号）规定计取，以每个标段为一个计费单位，以中标价为收费基数不足3000元时按3000元收取。（各标项分别计取）</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3、结算方式及时间为：在领取成交通知书时由成交供应商一次性向采购代理机构付清。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4、收款账户信息：</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户    名：德邻联合工程有限公司</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银行账号：571907151310701</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开 户 行：招行杭州之江支行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29"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14</w:t>
            </w:r>
          </w:p>
        </w:tc>
        <w:tc>
          <w:tcPr>
            <w:tcW w:w="1078" w:type="pct"/>
            <w:vMerge w:val="restart"/>
            <w:tcBorders>
              <w:tl2br w:val="nil"/>
              <w:tr2bl w:val="nil"/>
            </w:tcBorders>
            <w:vAlign w:val="center"/>
          </w:tcPr>
          <w:p>
            <w:pPr>
              <w:ind w:firstLine="0" w:firstLineChars="0"/>
              <w:jc w:val="center"/>
              <w:rPr>
                <w:rFonts w:cs="仿宋"/>
                <w:b/>
                <w:bCs/>
                <w:highlight w:val="none"/>
              </w:rPr>
            </w:pPr>
            <w:r>
              <w:rPr>
                <w:rFonts w:hint="eastAsia" w:cs="仿宋"/>
                <w:b/>
                <w:bCs/>
                <w:highlight w:val="none"/>
              </w:rPr>
              <w:t>联合体投标说明</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业绩证明材料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联合体投标的，按联合体协议约定的分工内容出具相应的业绩证明材料。承担相同工作的各方或工作内容存在部分相同的，业绩数量以提供材料较少的一方为准。</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52"/>
            </w:r>
            <w:r>
              <w:rPr>
                <w:rFonts w:hint="eastAsia" w:cs="仿宋"/>
                <w:kern w:val="2"/>
                <w:szCs w:val="21"/>
                <w:highlight w:val="none"/>
              </w:rPr>
              <w:t>联合体投标的，由联合体牵头方出具相应的业绩证明材料。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 xml:space="preserve">其他规定：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69"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b/>
                <w:bCs/>
                <w:highlight w:val="none"/>
              </w:rPr>
            </w:pP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其他资信证明材料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联合体投标的，联合体各方均需按招标文件第四部分评标标准要求提供资信证明文件，否则视为不符合相关要求。</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52"/>
            </w:r>
            <w:r>
              <w:rPr>
                <w:rFonts w:hint="eastAsia" w:cs="仿宋"/>
                <w:kern w:val="2"/>
                <w:szCs w:val="21"/>
                <w:highlight w:val="none"/>
              </w:rPr>
              <w:t>联合体投标的，联合体中有一方或者联合体成员根据分工按招标文件第四部分评标标准要求提供资信证明文件的，视为符合相关要求。</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 xml:space="preserve">其他规定：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24"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15</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特别说明</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有</w:t>
            </w:r>
            <w:r>
              <w:rPr>
                <w:rFonts w:hint="eastAsia" w:cs="仿宋"/>
                <w:kern w:val="2"/>
                <w:szCs w:val="21"/>
                <w:highlight w:val="none"/>
              </w:rPr>
              <w:t>，（1）招标文件中“复制件”系指复印件、扫描件。（2）如以联合体形式中标的，要求：联合体牵头人统一与采购人对接工作。</w:t>
            </w:r>
            <w:r>
              <w:rPr>
                <w:rFonts w:hint="eastAsia" w:cs="仿宋"/>
                <w:b/>
                <w:bCs/>
                <w:kern w:val="2"/>
                <w:szCs w:val="21"/>
                <w:highlight w:val="none"/>
              </w:rPr>
              <w:t>（3）</w:t>
            </w:r>
            <w:r>
              <w:rPr>
                <w:rFonts w:hint="eastAsia" w:cs="仿宋"/>
                <w:b/>
                <w:bCs/>
                <w:snapToGrid w:val="0"/>
                <w:kern w:val="28"/>
                <w:highlight w:val="none"/>
              </w:rPr>
              <w:t>中标供应商放弃中标资格导致重新采购的，应当承担支付代理费和专家评审费等费用在内的赔偿责任。</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16</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造价人员签字盖章要求</w:t>
            </w:r>
          </w:p>
        </w:tc>
        <w:tc>
          <w:tcPr>
            <w:tcW w:w="3566" w:type="pct"/>
            <w:tcBorders>
              <w:tl2br w:val="nil"/>
              <w:tr2bl w:val="nil"/>
            </w:tcBorders>
            <w:vAlign w:val="center"/>
          </w:tcPr>
          <w:p>
            <w:pPr>
              <w:adjustRightInd w:val="0"/>
              <w:spacing w:before="0" w:after="0" w:line="264" w:lineRule="auto"/>
              <w:ind w:firstLine="0" w:firstLineChars="0"/>
              <w:rPr>
                <w:highlight w:val="none"/>
              </w:rPr>
            </w:pPr>
            <w:r>
              <w:rPr>
                <w:rFonts w:hint="eastAsia"/>
                <w:highlight w:val="none"/>
              </w:rPr>
              <w:t>根据国家住建部、省级造价主管部门对造价从业人员执业管理的相关法律法规规定以及国标计价规范的规定，报价的编制必须遵守以下规定：</w:t>
            </w:r>
          </w:p>
          <w:p>
            <w:pPr>
              <w:adjustRightInd w:val="0"/>
              <w:spacing w:before="0" w:after="0" w:line="264" w:lineRule="auto"/>
              <w:ind w:firstLine="0" w:firstLineChars="0"/>
              <w:rPr>
                <w:highlight w:val="none"/>
              </w:rPr>
            </w:pPr>
            <w:r>
              <w:rPr>
                <w:rFonts w:hint="eastAsia"/>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adjustRightInd w:val="0"/>
              <w:spacing w:before="0" w:after="0" w:line="264" w:lineRule="auto"/>
              <w:ind w:firstLine="0" w:firstLineChars="0"/>
              <w:rPr>
                <w:highlight w:val="none"/>
              </w:rPr>
            </w:pPr>
            <w:r>
              <w:rPr>
                <w:rFonts w:hint="eastAsia"/>
                <w:highlight w:val="none"/>
              </w:rPr>
              <w:t>（2）如报价由供应商编制，编制人员必须是在编制单位注册的造价工程师，并由其签字并盖执业专用章；</w:t>
            </w:r>
          </w:p>
          <w:p>
            <w:pPr>
              <w:adjustRightInd w:val="0"/>
              <w:spacing w:before="0" w:after="0" w:line="264" w:lineRule="auto"/>
              <w:ind w:firstLine="0" w:firstLineChars="0"/>
              <w:rPr>
                <w:highlight w:val="none"/>
              </w:rPr>
            </w:pPr>
            <w:r>
              <w:rPr>
                <w:rFonts w:hint="eastAsia"/>
                <w:highlight w:val="none"/>
              </w:rPr>
              <w:t>（3）如报价由供应商委托具有相应资质的工程造价咨询人编制的，编制人员必须是在编制单位注册的造价工程师，并由编制人员签字和盖执业专用章；</w:t>
            </w:r>
          </w:p>
          <w:p>
            <w:pPr>
              <w:adjustRightInd w:val="0"/>
              <w:spacing w:before="0" w:after="0" w:line="264" w:lineRule="auto"/>
              <w:ind w:firstLine="0" w:firstLineChars="0"/>
              <w:rPr>
                <w:highlight w:val="none"/>
              </w:rPr>
            </w:pPr>
            <w:r>
              <w:rPr>
                <w:rFonts w:hint="eastAsia"/>
                <w:highlight w:val="none"/>
              </w:rPr>
              <w:t>（4）报价文件不得由供应商的造价人员和受委托的咨询公司的造价人员混合编审，报价文件封面所盖的造价工程师只能是同一单位人员；</w:t>
            </w:r>
          </w:p>
          <w:p>
            <w:pPr>
              <w:adjustRightInd w:val="0"/>
              <w:spacing w:before="0" w:after="0" w:line="264" w:lineRule="auto"/>
              <w:ind w:firstLine="0" w:firstLineChars="0"/>
              <w:rPr>
                <w:rFonts w:hint="eastAsia"/>
                <w:highlight w:val="none"/>
              </w:rPr>
            </w:pPr>
            <w:r>
              <w:rPr>
                <w:rFonts w:hint="eastAsia"/>
                <w:highlight w:val="none"/>
              </w:rPr>
              <w:t>工程造价咨询人不得同时接受采购人和供应商对同一工程的控制价和报价的编制。</w:t>
            </w:r>
          </w:p>
          <w:p>
            <w:pPr>
              <w:pStyle w:val="2"/>
              <w:ind w:left="0" w:leftChars="0" w:firstLine="0" w:firstLineChars="0"/>
              <w:rPr>
                <w:rFonts w:hint="default" w:eastAsia="仿宋"/>
                <w:highlight w:val="none"/>
                <w:lang w:val="en-US" w:eastAsia="zh-CN"/>
              </w:rPr>
            </w:pPr>
            <w:r>
              <w:rPr>
                <w:rFonts w:hint="eastAsia" w:ascii="仿宋" w:hAnsi="仿宋" w:eastAsia="仿宋" w:cs="Times New Roman"/>
                <w:b w:val="0"/>
                <w:bCs w:val="0"/>
                <w:caps w:val="0"/>
                <w:sz w:val="21"/>
                <w:highlight w:val="none"/>
                <w:lang w:val="en-US" w:eastAsia="zh-CN" w:bidi="ar-SA"/>
              </w:rPr>
              <w:t>否则投标无效。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17</w:t>
            </w:r>
          </w:p>
        </w:tc>
        <w:tc>
          <w:tcPr>
            <w:tcW w:w="1078" w:type="pct"/>
            <w:vMerge w:val="restart"/>
            <w:tcBorders>
              <w:tl2br w:val="nil"/>
              <w:tr2bl w:val="nil"/>
            </w:tcBorders>
            <w:vAlign w:val="center"/>
          </w:tcPr>
          <w:p>
            <w:pPr>
              <w:ind w:firstLine="0" w:firstLineChars="0"/>
              <w:jc w:val="center"/>
              <w:rPr>
                <w:rFonts w:cs="仿宋"/>
                <w:color w:val="FF0000"/>
                <w:highlight w:val="none"/>
              </w:rPr>
            </w:pPr>
            <w:r>
              <w:rPr>
                <w:rFonts w:hint="eastAsia" w:cs="仿宋"/>
                <w:color w:val="FF0000"/>
                <w:highlight w:val="none"/>
              </w:rPr>
              <w:t>特别提醒</w:t>
            </w:r>
          </w:p>
        </w:tc>
        <w:tc>
          <w:tcPr>
            <w:tcW w:w="3566" w:type="pct"/>
            <w:tcBorders>
              <w:tl2br w:val="nil"/>
              <w:tr2bl w:val="nil"/>
            </w:tcBorders>
            <w:vAlign w:val="center"/>
          </w:tcPr>
          <w:p>
            <w:pPr>
              <w:pStyle w:val="27"/>
              <w:spacing w:line="288" w:lineRule="auto"/>
              <w:ind w:firstLine="0" w:firstLineChars="0"/>
              <w:rPr>
                <w:rFonts w:ascii="仿宋" w:hAnsi="仿宋" w:cs="仿宋"/>
                <w:color w:val="FF0000"/>
                <w:szCs w:val="21"/>
                <w:highlight w:val="none"/>
              </w:rPr>
            </w:pPr>
            <w:r>
              <w:rPr>
                <w:rFonts w:hint="eastAsia" w:ascii="仿宋" w:hAnsi="仿宋" w:cs="仿宋"/>
                <w:color w:val="FF0000"/>
                <w:kern w:val="0"/>
                <w:highlight w:val="none"/>
              </w:rPr>
              <w:t>如经过系统判别发现供应商之间IP地址、网卡MAC地址、CPU序列号和硬盘序列号等硬件信息相同或有异常提醒的，相关供应商均投标无效。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color w:val="FF0000"/>
                <w:highlight w:val="none"/>
              </w:rPr>
            </w:pPr>
          </w:p>
        </w:tc>
        <w:tc>
          <w:tcPr>
            <w:tcW w:w="3566" w:type="pct"/>
            <w:tcBorders>
              <w:tl2br w:val="nil"/>
              <w:tr2bl w:val="nil"/>
            </w:tcBorders>
            <w:vAlign w:val="center"/>
          </w:tcPr>
          <w:p>
            <w:pPr>
              <w:pStyle w:val="27"/>
              <w:spacing w:line="288" w:lineRule="auto"/>
              <w:ind w:firstLine="0" w:firstLineChars="0"/>
              <w:rPr>
                <w:rFonts w:ascii="仿宋" w:hAnsi="仿宋" w:cs="仿宋"/>
                <w:color w:val="FF0000"/>
                <w:kern w:val="0"/>
                <w:highlight w:val="none"/>
              </w:rPr>
            </w:pPr>
            <w:r>
              <w:rPr>
                <w:rFonts w:hint="eastAsia" w:ascii="仿宋" w:hAnsi="仿宋" w:cs="仿宋"/>
                <w:color w:val="FF0000"/>
                <w:kern w:val="0"/>
                <w:highlight w:val="none"/>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pStyle w:val="4"/>
        <w:rPr>
          <w:highlight w:val="none"/>
        </w:rPr>
      </w:pPr>
      <w:r>
        <w:rPr>
          <w:highlight w:val="none"/>
        </w:rPr>
        <w:br w:type="page"/>
      </w:r>
      <w:bookmarkEnd w:id="6"/>
      <w:bookmarkEnd w:id="23"/>
      <w:bookmarkEnd w:id="24"/>
      <w:bookmarkEnd w:id="25"/>
      <w:bookmarkEnd w:id="26"/>
      <w:bookmarkEnd w:id="27"/>
      <w:bookmarkStart w:id="32" w:name="_Toc2503"/>
      <w:bookmarkStart w:id="33" w:name="_Toc183786415"/>
      <w:bookmarkStart w:id="34" w:name="_Toc11048"/>
      <w:bookmarkStart w:id="35" w:name="_Toc1832"/>
      <w:bookmarkStart w:id="36" w:name="_Toc338147400"/>
      <w:bookmarkStart w:id="37" w:name="_Toc11676"/>
      <w:bookmarkStart w:id="38" w:name="_Toc19804158"/>
      <w:bookmarkStart w:id="39" w:name="_Toc21763"/>
      <w:bookmarkStart w:id="40" w:name="_Toc183786420"/>
      <w:bookmarkStart w:id="41" w:name="_Toc9096"/>
      <w:bookmarkStart w:id="42" w:name="_Toc207550888"/>
      <w:bookmarkStart w:id="43" w:name="_Toc443687333"/>
      <w:bookmarkStart w:id="44" w:name="_Toc7974"/>
      <w:bookmarkStart w:id="45" w:name="_Toc19804167"/>
      <w:r>
        <w:rPr>
          <w:highlight w:val="none"/>
        </w:rPr>
        <w:t>一、总则</w:t>
      </w:r>
      <w:bookmarkEnd w:id="32"/>
      <w:bookmarkEnd w:id="33"/>
      <w:bookmarkEnd w:id="34"/>
      <w:bookmarkEnd w:id="35"/>
      <w:bookmarkEnd w:id="36"/>
      <w:bookmarkEnd w:id="37"/>
      <w:bookmarkEnd w:id="38"/>
      <w:bookmarkEnd w:id="39"/>
    </w:p>
    <w:p>
      <w:pPr>
        <w:pStyle w:val="5"/>
        <w:rPr>
          <w:highlight w:val="none"/>
        </w:rPr>
      </w:pPr>
      <w:r>
        <w:rPr>
          <w:highlight w:val="none"/>
        </w:rPr>
        <w:t>1</w:t>
      </w:r>
      <w:r>
        <w:rPr>
          <w:rFonts w:hint="eastAsia"/>
          <w:highlight w:val="none"/>
        </w:rPr>
        <w:t>、</w:t>
      </w:r>
      <w:r>
        <w:rPr>
          <w:highlight w:val="none"/>
        </w:rPr>
        <w:t>适用范围</w:t>
      </w:r>
    </w:p>
    <w:p>
      <w:pPr>
        <w:adjustRightInd w:val="0"/>
        <w:ind w:firstLine="426"/>
        <w:rPr>
          <w:color w:val="000000"/>
          <w:highlight w:val="none"/>
        </w:rPr>
      </w:pPr>
      <w:r>
        <w:rPr>
          <w:rFonts w:hint="eastAsia"/>
          <w:color w:val="000000"/>
          <w:highlight w:val="none"/>
        </w:rPr>
        <w:t>本采购文件适用于该项目的采购邀请、响应文件提交、响应文件开启、资格审查及信用信息查询、磋商、评审、成交供应商确定、合同、验收等行为（法律、法规另有规定的，从其规定）。</w:t>
      </w:r>
    </w:p>
    <w:p>
      <w:pPr>
        <w:pStyle w:val="5"/>
        <w:rPr>
          <w:highlight w:val="none"/>
        </w:rPr>
      </w:pPr>
      <w:r>
        <w:rPr>
          <w:highlight w:val="none"/>
        </w:rPr>
        <w:t>2</w:t>
      </w:r>
      <w:r>
        <w:rPr>
          <w:rFonts w:hint="eastAsia"/>
          <w:highlight w:val="none"/>
        </w:rPr>
        <w:t>、</w:t>
      </w:r>
      <w:r>
        <w:rPr>
          <w:highlight w:val="none"/>
        </w:rPr>
        <w:t>定义</w:t>
      </w:r>
    </w:p>
    <w:p>
      <w:pPr>
        <w:ind w:firstLine="426"/>
        <w:rPr>
          <w:highlight w:val="none"/>
        </w:rPr>
      </w:pPr>
      <w:r>
        <w:rPr>
          <w:rFonts w:hint="eastAsia"/>
          <w:highlight w:val="none"/>
        </w:rPr>
        <w:t>2.1“采购人”系指竞争性磋商公告中载明的本项目的采购人。</w:t>
      </w:r>
    </w:p>
    <w:p>
      <w:pPr>
        <w:ind w:firstLine="426"/>
        <w:rPr>
          <w:highlight w:val="none"/>
        </w:rPr>
      </w:pPr>
      <w:r>
        <w:rPr>
          <w:rFonts w:hint="eastAsia"/>
          <w:highlight w:val="none"/>
        </w:rPr>
        <w:t>2.2“采购代理机构”系指竞争性磋商公告中载明的本项目的采购代理机构。</w:t>
      </w:r>
    </w:p>
    <w:p>
      <w:pPr>
        <w:ind w:firstLine="426"/>
        <w:rPr>
          <w:highlight w:val="none"/>
        </w:rPr>
      </w:pPr>
      <w:r>
        <w:rPr>
          <w:rFonts w:hint="eastAsia"/>
          <w:highlight w:val="none"/>
        </w:rPr>
        <w:t>2.3“供应商”系指是指提交响应文件和报价、参与竞争性磋商采购活动的法人、其他组织或者自然人。</w:t>
      </w:r>
    </w:p>
    <w:p>
      <w:pPr>
        <w:ind w:firstLine="426"/>
        <w:rPr>
          <w:highlight w:val="none"/>
        </w:rPr>
      </w:pPr>
      <w:r>
        <w:rPr>
          <w:rFonts w:hint="eastAsia"/>
          <w:highlight w:val="none"/>
        </w:rPr>
        <w:t>2.4“负责人”系指法人企业的法定负责人，或其他组织为法律、行政法规规定代表单位行使职权的主要负责人，或自然人本人。</w:t>
      </w:r>
    </w:p>
    <w:p>
      <w:pPr>
        <w:ind w:firstLine="426"/>
        <w:rPr>
          <w:highlight w:val="none"/>
        </w:rPr>
      </w:pPr>
      <w:r>
        <w:rPr>
          <w:rFonts w:hint="eastAsia"/>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ind w:firstLine="426"/>
        <w:rPr>
          <w:highlight w:val="none"/>
        </w:rPr>
      </w:pPr>
      <w:r>
        <w:rPr>
          <w:rFonts w:hint="eastAsia"/>
          <w:highlight w:val="none"/>
        </w:rPr>
        <w:t>2.6“电子交易平台”系指本项目政府采购活动所依托的政府采购云平台（https://www.zcygov.cn/）。</w:t>
      </w:r>
    </w:p>
    <w:p>
      <w:pPr>
        <w:ind w:firstLine="426"/>
        <w:rPr>
          <w:highlight w:val="none"/>
        </w:rPr>
      </w:pPr>
      <w:r>
        <w:rPr>
          <w:rFonts w:hint="eastAsia"/>
          <w:highlight w:val="none"/>
        </w:rPr>
        <w:t>2.7“▲”系指实质性要求条款，</w:t>
      </w:r>
      <w:r>
        <w:rPr>
          <w:rFonts w:hint="eastAsia" w:cs="仿宋"/>
          <w:highlight w:val="none"/>
        </w:rPr>
        <w:t>“</w:t>
      </w:r>
      <w:r>
        <w:rPr>
          <w:rFonts w:ascii="Wingdings" w:hAnsi="Wingdings" w:eastAsia="仿宋_GB2312" w:cs="Arial"/>
          <w:b/>
          <w:bCs/>
          <w:highlight w:val="none"/>
        </w:rPr>
        <w:t></w:t>
      </w:r>
      <w:r>
        <w:rPr>
          <w:rFonts w:hint="eastAsia" w:cs="仿宋"/>
          <w:highlight w:val="none"/>
        </w:rPr>
        <w:t>”</w:t>
      </w:r>
      <w:r>
        <w:rPr>
          <w:rFonts w:hint="eastAsia"/>
          <w:highlight w:val="none"/>
        </w:rPr>
        <w:t>系指适用本项目的要求，</w:t>
      </w:r>
      <w:r>
        <w:rPr>
          <w:rFonts w:hint="eastAsia" w:cs="仿宋"/>
          <w:highlight w:val="none"/>
        </w:rPr>
        <w:t>“☐”</w:t>
      </w:r>
      <w:r>
        <w:rPr>
          <w:rFonts w:hint="eastAsia"/>
          <w:highlight w:val="none"/>
        </w:rPr>
        <w:t>系指不适用本项目的要求，“※”系指磋商过程中可能实质性变动的内容。</w:t>
      </w:r>
    </w:p>
    <w:p>
      <w:pPr>
        <w:pStyle w:val="5"/>
        <w:rPr>
          <w:highlight w:val="none"/>
        </w:rPr>
      </w:pPr>
      <w:r>
        <w:rPr>
          <w:rFonts w:hint="eastAsia"/>
          <w:highlight w:val="none"/>
        </w:rPr>
        <w:t>3.采购项目需要落实的政府采购政策</w:t>
      </w:r>
    </w:p>
    <w:p>
      <w:pPr>
        <w:ind w:firstLine="426"/>
        <w:rPr>
          <w:highlight w:val="none"/>
        </w:rPr>
      </w:pPr>
      <w:r>
        <w:rPr>
          <w:rFonts w:hint="eastAsia"/>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ind w:firstLine="426"/>
        <w:rPr>
          <w:highlight w:val="none"/>
        </w:rPr>
      </w:pPr>
      <w:r>
        <w:rPr>
          <w:rFonts w:hint="eastAsia"/>
          <w:highlight w:val="none"/>
        </w:rPr>
        <w:t>3.2支持绿色发展</w:t>
      </w:r>
    </w:p>
    <w:p>
      <w:pPr>
        <w:ind w:firstLine="426"/>
        <w:rPr>
          <w:highlight w:val="none"/>
        </w:rPr>
      </w:pPr>
      <w:r>
        <w:rPr>
          <w:rFonts w:hint="eastAsia"/>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b/>
          <w:bCs/>
          <w:highlight w:val="none"/>
        </w:rPr>
        <w:t>▲采购人拟采购的产品属于政府强制采购的节能产品品目清单范围的，供应商未按采购文件要求提供国家确定的认证机构出具的、处于有效期之内的节能产品认证证书的，响应文件无效。</w:t>
      </w:r>
    </w:p>
    <w:p>
      <w:pPr>
        <w:ind w:firstLine="426"/>
        <w:rPr>
          <w:highlight w:val="none"/>
        </w:rPr>
      </w:pPr>
      <w:r>
        <w:rPr>
          <w:rFonts w:hint="eastAsia"/>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ind w:firstLine="426"/>
        <w:rPr>
          <w:highlight w:val="none"/>
        </w:rPr>
      </w:pPr>
      <w:r>
        <w:rPr>
          <w:rFonts w:hint="eastAsia"/>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ind w:firstLine="426"/>
        <w:rPr>
          <w:highlight w:val="none"/>
        </w:rPr>
      </w:pPr>
      <w:r>
        <w:rPr>
          <w:rFonts w:hint="eastAsia"/>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ind w:firstLine="426"/>
        <w:rPr>
          <w:highlight w:val="none"/>
        </w:rPr>
      </w:pPr>
      <w:r>
        <w:rPr>
          <w:rFonts w:hint="eastAsia"/>
          <w:highlight w:val="none"/>
        </w:rPr>
        <w:t>3.3支持中小企业发展</w:t>
      </w:r>
    </w:p>
    <w:p>
      <w:pPr>
        <w:ind w:firstLine="426"/>
        <w:rPr>
          <w:highlight w:val="none"/>
        </w:rPr>
      </w:pPr>
      <w:r>
        <w:rPr>
          <w:rFonts w:hint="eastAsia"/>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26"/>
        <w:rPr>
          <w:highlight w:val="none"/>
        </w:rPr>
      </w:pPr>
      <w:r>
        <w:rPr>
          <w:rFonts w:hint="eastAsia"/>
          <w:highlight w:val="none"/>
        </w:rPr>
        <w:t>符合中小企业划分标准的个体工商户，在政府采购活动中视同中小企业。</w:t>
      </w:r>
    </w:p>
    <w:p>
      <w:pPr>
        <w:ind w:firstLine="426"/>
        <w:rPr>
          <w:highlight w:val="none"/>
        </w:rPr>
      </w:pPr>
      <w:r>
        <w:rPr>
          <w:rFonts w:hint="eastAsia"/>
          <w:highlight w:val="none"/>
        </w:rPr>
        <w:t>3.3.2在政府采购活动中，供应商提供的工程符合下列情形的，享受中小企业扶持政策：在工程采购项目中，工程由中小企业承建，即工程施工单位为中小企业。</w:t>
      </w:r>
    </w:p>
    <w:p>
      <w:pPr>
        <w:ind w:firstLine="426"/>
        <w:rPr>
          <w:highlight w:val="none"/>
        </w:rPr>
      </w:pPr>
      <w:r>
        <w:rPr>
          <w:rFonts w:hint="eastAsia"/>
          <w:highlight w:val="none"/>
        </w:rPr>
        <w:t>以联合体形式参加政府采购活动，联合体各方均为中小企业的，联合体视同中小企业。其中，联合体各方均为小微企业的，联合体视同小微企业。</w:t>
      </w:r>
    </w:p>
    <w:p>
      <w:pPr>
        <w:ind w:firstLine="426"/>
        <w:rPr>
          <w:highlight w:val="none"/>
        </w:rPr>
      </w:pPr>
      <w:r>
        <w:rPr>
          <w:rFonts w:hint="eastAsia"/>
          <w:highlight w:val="none"/>
        </w:rPr>
        <w:t>3.3.3对于未预留份额专门面向中小企业的政府采购工程项目，以及预留份额政府采购工程项目中的非预留部分标项，对小型和微型企业的最后报价给予</w:t>
      </w:r>
      <w:r>
        <w:rPr>
          <w:rFonts w:hint="eastAsia"/>
          <w:b/>
          <w:bCs/>
          <w:highlight w:val="none"/>
        </w:rPr>
        <w:t>5%</w:t>
      </w:r>
      <w:r>
        <w:rPr>
          <w:rFonts w:hint="eastAsia"/>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b/>
          <w:bCs/>
          <w:highlight w:val="none"/>
        </w:rPr>
        <w:t>2%</w:t>
      </w:r>
      <w:r>
        <w:rPr>
          <w:rFonts w:hint="eastAsia"/>
          <w:highlight w:val="none"/>
        </w:rPr>
        <w:t>的扣除，用扣除后的价格参加评审。组成联合体或者接受分包的小微企业与联合体内其他企业、分包企业之间存在直接控股、管理关系的，不享受价格扣除优惠政策。</w:t>
      </w:r>
    </w:p>
    <w:p>
      <w:pPr>
        <w:ind w:firstLine="426"/>
        <w:rPr>
          <w:highlight w:val="none"/>
        </w:rPr>
      </w:pPr>
      <w:r>
        <w:rPr>
          <w:rFonts w:hint="eastAsia"/>
          <w:highlight w:val="none"/>
        </w:rPr>
        <w:t>3.3.4符合《关于促进残疾人就业政府采购政策的通知》（财库〔2017〕141号）规定的条件并提供《残疾人福利性单位声明函》（附件1）的残疾人福利性单位视同小型、微型企业；</w:t>
      </w:r>
    </w:p>
    <w:p>
      <w:pPr>
        <w:ind w:firstLine="426"/>
        <w:rPr>
          <w:highlight w:val="none"/>
        </w:rPr>
      </w:pPr>
      <w:r>
        <w:rPr>
          <w:rFonts w:hint="eastAsia"/>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26"/>
        <w:rPr>
          <w:highlight w:val="none"/>
        </w:rPr>
      </w:pPr>
      <w:r>
        <w:rPr>
          <w:rFonts w:hint="eastAsia"/>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ind w:firstLine="426"/>
        <w:rPr>
          <w:highlight w:val="none"/>
        </w:rPr>
      </w:pPr>
      <w:r>
        <w:rPr>
          <w:rFonts w:hint="eastAsia"/>
          <w:highlight w:val="none"/>
        </w:rPr>
        <w:t>3.3.7中小企业享受扶持政策获得政府采购合同的，小微企业不得将合同分包给大中型企业，中型企业不得将合同分包给大型企业。</w:t>
      </w:r>
    </w:p>
    <w:p>
      <w:pPr>
        <w:ind w:firstLine="426"/>
        <w:rPr>
          <w:highlight w:val="none"/>
        </w:rPr>
      </w:pPr>
      <w:r>
        <w:rPr>
          <w:rFonts w:hint="eastAsia"/>
          <w:highlight w:val="none"/>
        </w:rPr>
        <w:t>3.4支持创新发展</w:t>
      </w:r>
    </w:p>
    <w:p>
      <w:pPr>
        <w:ind w:firstLine="426"/>
        <w:rPr>
          <w:highlight w:val="none"/>
        </w:rPr>
      </w:pPr>
      <w:r>
        <w:rPr>
          <w:rFonts w:hint="eastAsia"/>
          <w:highlight w:val="none"/>
        </w:rPr>
        <w:t>3.4.1采购人优先采购被认定为首台套产品和“制造精品”的自主创新产品。</w:t>
      </w:r>
    </w:p>
    <w:p>
      <w:pPr>
        <w:ind w:firstLine="426"/>
        <w:rPr>
          <w:highlight w:val="none"/>
        </w:rPr>
      </w:pPr>
      <w:r>
        <w:rPr>
          <w:rFonts w:hint="eastAsia"/>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ind w:firstLine="426"/>
        <w:rPr>
          <w:highlight w:val="none"/>
        </w:rPr>
      </w:pPr>
      <w:r>
        <w:rPr>
          <w:rFonts w:hint="eastAsia"/>
          <w:highlight w:val="none"/>
        </w:rPr>
        <w:t>3.5平等对待内外资企业和符合条件的破产重整企业：</w:t>
      </w:r>
    </w:p>
    <w:p>
      <w:pPr>
        <w:ind w:firstLine="426"/>
        <w:rPr>
          <w:highlight w:val="none"/>
        </w:rPr>
      </w:pPr>
      <w:r>
        <w:rPr>
          <w:rFonts w:hint="eastAsia"/>
          <w:highlight w:val="none"/>
        </w:rPr>
        <w:t>平等对待内外资企业和符合条件的破产重整企业，切实保障企业公平竞争，平等维护企业的合法利益。</w:t>
      </w:r>
    </w:p>
    <w:p>
      <w:pPr>
        <w:pStyle w:val="5"/>
        <w:rPr>
          <w:highlight w:val="none"/>
        </w:rPr>
      </w:pPr>
      <w:r>
        <w:rPr>
          <w:rFonts w:hint="eastAsia"/>
          <w:highlight w:val="none"/>
        </w:rPr>
        <w:t>4.询问、质疑、投诉</w:t>
      </w:r>
    </w:p>
    <w:p>
      <w:pPr>
        <w:ind w:firstLine="426"/>
        <w:rPr>
          <w:highlight w:val="none"/>
        </w:rPr>
      </w:pPr>
      <w:r>
        <w:rPr>
          <w:rFonts w:hint="eastAsia"/>
          <w:highlight w:val="none"/>
        </w:rPr>
        <w:t>4.1在线询问、质疑、投诉</w:t>
      </w:r>
    </w:p>
    <w:p>
      <w:pPr>
        <w:ind w:firstLine="426"/>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26"/>
        <w:rPr>
          <w:highlight w:val="none"/>
        </w:rPr>
      </w:pPr>
      <w:r>
        <w:rPr>
          <w:rFonts w:hint="eastAsia"/>
          <w:highlight w:val="none"/>
        </w:rPr>
        <w:t>4.2供应商询问</w:t>
      </w:r>
    </w:p>
    <w:p>
      <w:pPr>
        <w:ind w:firstLine="426"/>
        <w:rPr>
          <w:highlight w:val="none"/>
        </w:rPr>
      </w:pPr>
      <w:r>
        <w:rPr>
          <w:rFonts w:hint="eastAsia"/>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26"/>
        <w:rPr>
          <w:highlight w:val="none"/>
        </w:rPr>
      </w:pPr>
      <w:r>
        <w:rPr>
          <w:rFonts w:hint="eastAsia"/>
          <w:highlight w:val="none"/>
        </w:rPr>
        <w:t>4.3供应商质疑</w:t>
      </w:r>
    </w:p>
    <w:p>
      <w:pPr>
        <w:ind w:firstLine="426"/>
        <w:rPr>
          <w:highlight w:val="none"/>
        </w:rPr>
      </w:pPr>
      <w:r>
        <w:rPr>
          <w:rFonts w:hint="eastAsia"/>
          <w:highlight w:val="none"/>
        </w:rPr>
        <w:t>4.3.1提出质疑的供应商应当是参与所质疑项目采购活动的供应商。潜在供应商已依法获取其可质疑的采购文件的，可以对该文件提出质疑。</w:t>
      </w:r>
    </w:p>
    <w:p>
      <w:pPr>
        <w:ind w:firstLine="426"/>
        <w:rPr>
          <w:highlight w:val="none"/>
        </w:rPr>
      </w:pPr>
      <w:r>
        <w:rPr>
          <w:rFonts w:hint="eastAsia"/>
          <w:highlight w:val="none"/>
        </w:rPr>
        <w:t>4.3.2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ind w:firstLine="426"/>
        <w:rPr>
          <w:highlight w:val="none"/>
        </w:rPr>
      </w:pPr>
      <w:r>
        <w:rPr>
          <w:rFonts w:hint="eastAsia"/>
          <w:highlight w:val="none"/>
        </w:rPr>
        <w:t>4.3.2.1对采购文件提出质疑的，质疑期限为供应商获得采购文件之日或者采购文件公告期限届满之日起计算。</w:t>
      </w:r>
    </w:p>
    <w:p>
      <w:pPr>
        <w:ind w:firstLine="426"/>
        <w:rPr>
          <w:highlight w:val="none"/>
        </w:rPr>
      </w:pPr>
      <w:r>
        <w:rPr>
          <w:rFonts w:hint="eastAsia"/>
          <w:highlight w:val="none"/>
        </w:rPr>
        <w:t>4.3.2.2对采购过程提出质疑的，质疑期限为各采购程序环节结束之日起计算。</w:t>
      </w:r>
    </w:p>
    <w:p>
      <w:pPr>
        <w:ind w:firstLine="426"/>
        <w:rPr>
          <w:highlight w:val="none"/>
        </w:rPr>
      </w:pPr>
      <w:r>
        <w:rPr>
          <w:rFonts w:hint="eastAsia"/>
          <w:highlight w:val="none"/>
        </w:rPr>
        <w:t>4.3.2.3对采购结果提出质疑的，质疑期限自采购结果公告期限届满之日起计算。</w:t>
      </w:r>
    </w:p>
    <w:p>
      <w:pPr>
        <w:ind w:firstLine="426"/>
        <w:rPr>
          <w:highlight w:val="none"/>
        </w:rPr>
      </w:pPr>
      <w:r>
        <w:rPr>
          <w:rFonts w:hint="eastAsia"/>
          <w:highlight w:val="none"/>
        </w:rPr>
        <w:t>4.3.3供应商提出质疑应当提交质疑函和必要的证明材料。质疑函应当包括下列内容：</w:t>
      </w:r>
    </w:p>
    <w:p>
      <w:pPr>
        <w:ind w:firstLine="426"/>
        <w:rPr>
          <w:highlight w:val="none"/>
        </w:rPr>
      </w:pPr>
      <w:r>
        <w:rPr>
          <w:rFonts w:hint="eastAsia"/>
          <w:highlight w:val="none"/>
        </w:rPr>
        <w:t>4.3.3.1供应商的姓名或者名称、地址、邮编、联系人及联系电话；</w:t>
      </w:r>
    </w:p>
    <w:p>
      <w:pPr>
        <w:ind w:firstLine="426"/>
        <w:rPr>
          <w:highlight w:val="none"/>
        </w:rPr>
      </w:pPr>
      <w:r>
        <w:rPr>
          <w:rFonts w:hint="eastAsia"/>
          <w:highlight w:val="none"/>
        </w:rPr>
        <w:t>4.3.3.2质疑项目的名称、编号；</w:t>
      </w:r>
    </w:p>
    <w:p>
      <w:pPr>
        <w:ind w:firstLine="426"/>
        <w:rPr>
          <w:highlight w:val="none"/>
        </w:rPr>
      </w:pPr>
      <w:r>
        <w:rPr>
          <w:rFonts w:hint="eastAsia"/>
          <w:highlight w:val="none"/>
        </w:rPr>
        <w:t>4.3.3.3具体、明确的质疑事项和与质疑事项相关的请求；</w:t>
      </w:r>
    </w:p>
    <w:p>
      <w:pPr>
        <w:ind w:firstLine="426"/>
        <w:rPr>
          <w:highlight w:val="none"/>
        </w:rPr>
      </w:pPr>
      <w:r>
        <w:rPr>
          <w:rFonts w:hint="eastAsia"/>
          <w:highlight w:val="none"/>
        </w:rPr>
        <w:t>4.3.3.4事实依据；</w:t>
      </w:r>
    </w:p>
    <w:p>
      <w:pPr>
        <w:ind w:firstLine="426"/>
        <w:rPr>
          <w:highlight w:val="none"/>
        </w:rPr>
      </w:pPr>
      <w:r>
        <w:rPr>
          <w:rFonts w:hint="eastAsia"/>
          <w:highlight w:val="none"/>
        </w:rPr>
        <w:t>4.3.3.5必要的法律依据；</w:t>
      </w:r>
    </w:p>
    <w:p>
      <w:pPr>
        <w:ind w:firstLine="426"/>
        <w:rPr>
          <w:highlight w:val="none"/>
        </w:rPr>
      </w:pPr>
      <w:r>
        <w:rPr>
          <w:rFonts w:hint="eastAsia"/>
          <w:highlight w:val="none"/>
        </w:rPr>
        <w:t>4.3.3.6提出质疑的日期。</w:t>
      </w:r>
    </w:p>
    <w:p>
      <w:pPr>
        <w:ind w:firstLine="426"/>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26"/>
        <w:rPr>
          <w:highlight w:val="none"/>
        </w:rPr>
      </w:pPr>
      <w:r>
        <w:rPr>
          <w:rFonts w:hint="eastAsia"/>
          <w:highlight w:val="none"/>
        </w:rPr>
        <w:t>质疑函范本及制作说明详见附件2。</w:t>
      </w:r>
    </w:p>
    <w:p>
      <w:pPr>
        <w:ind w:firstLine="426"/>
        <w:rPr>
          <w:highlight w:val="none"/>
        </w:rPr>
      </w:pPr>
      <w:r>
        <w:rPr>
          <w:rFonts w:hint="eastAsia"/>
          <w:highlight w:val="none"/>
        </w:rPr>
        <w:t>4.3.4对同一采购程序环节的质疑，供应商须在法定质疑期内一次性提出。</w:t>
      </w:r>
    </w:p>
    <w:p>
      <w:pPr>
        <w:ind w:firstLine="426"/>
        <w:rPr>
          <w:highlight w:val="none"/>
        </w:rPr>
      </w:pPr>
      <w:r>
        <w:rPr>
          <w:rFonts w:hint="eastAsia"/>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ind w:firstLine="426"/>
        <w:rPr>
          <w:highlight w:val="none"/>
        </w:rPr>
      </w:pPr>
      <w:r>
        <w:rPr>
          <w:rFonts w:hint="eastAsia"/>
          <w:highlight w:val="none"/>
        </w:rPr>
        <w:t>4.3.6询问或者质疑事项可能影响采购结果的，采购人应当暂停签订合同，已经签订合同的，应当中止履行合同。</w:t>
      </w:r>
    </w:p>
    <w:p>
      <w:pPr>
        <w:ind w:firstLine="426"/>
        <w:rPr>
          <w:highlight w:val="none"/>
        </w:rPr>
      </w:pPr>
      <w:r>
        <w:rPr>
          <w:rFonts w:hint="eastAsia"/>
          <w:highlight w:val="none"/>
        </w:rPr>
        <w:t>4.4供应商投诉</w:t>
      </w:r>
    </w:p>
    <w:p>
      <w:pPr>
        <w:ind w:firstLine="426"/>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ind w:firstLine="426"/>
        <w:rPr>
          <w:highlight w:val="none"/>
        </w:rPr>
      </w:pPr>
      <w:r>
        <w:rPr>
          <w:rFonts w:hint="eastAsia"/>
          <w:highlight w:val="none"/>
        </w:rPr>
        <w:t>4.4.2供应商投诉的事项不得超出已质疑事项的范围，基于质疑答复内容提出的投诉事项除外。</w:t>
      </w:r>
    </w:p>
    <w:p>
      <w:pPr>
        <w:ind w:firstLine="426"/>
        <w:rPr>
          <w:highlight w:val="none"/>
        </w:rPr>
      </w:pPr>
      <w:r>
        <w:rPr>
          <w:rFonts w:hint="eastAsia"/>
          <w:highlight w:val="none"/>
        </w:rPr>
        <w:t>4.4.3供应商投诉应当有明确的请求和必要的证明材料。</w:t>
      </w:r>
    </w:p>
    <w:p>
      <w:pPr>
        <w:ind w:firstLine="426"/>
        <w:rPr>
          <w:highlight w:val="none"/>
        </w:rPr>
      </w:pPr>
      <w:r>
        <w:rPr>
          <w:rFonts w:hint="eastAsia"/>
          <w:highlight w:val="none"/>
        </w:rPr>
        <w:t>4.4.4以联合体形式参加政府采购活动的，其投诉应当由组成联合体的所有供应商共同提出。</w:t>
      </w:r>
    </w:p>
    <w:p>
      <w:pPr>
        <w:ind w:firstLine="428"/>
        <w:rPr>
          <w:b/>
          <w:bCs/>
          <w:highlight w:val="none"/>
        </w:rPr>
      </w:pPr>
      <w:r>
        <w:rPr>
          <w:rFonts w:hint="eastAsia"/>
          <w:b/>
          <w:bCs/>
          <w:highlight w:val="none"/>
        </w:rPr>
        <w:t>投诉书范本及制作说明详见附件3。</w:t>
      </w:r>
    </w:p>
    <w:p>
      <w:pPr>
        <w:pStyle w:val="4"/>
        <w:rPr>
          <w:highlight w:val="none"/>
        </w:rPr>
      </w:pPr>
      <w:bookmarkStart w:id="46" w:name="_Toc6364"/>
      <w:bookmarkStart w:id="47" w:name="_Toc676"/>
      <w:bookmarkStart w:id="48" w:name="_Toc32361"/>
      <w:bookmarkStart w:id="49" w:name="_Toc183786416"/>
      <w:bookmarkStart w:id="50" w:name="_Toc13104"/>
      <w:bookmarkStart w:id="51" w:name="_Toc15502"/>
      <w:bookmarkStart w:id="52" w:name="_Toc19804159"/>
      <w:bookmarkStart w:id="53" w:name="_Toc443687326"/>
      <w:r>
        <w:rPr>
          <w:rFonts w:hint="eastAsia"/>
          <w:highlight w:val="none"/>
        </w:rPr>
        <w:t>二、采购文件的构成、澄清、修改</w:t>
      </w:r>
      <w:bookmarkEnd w:id="46"/>
      <w:bookmarkEnd w:id="47"/>
      <w:bookmarkEnd w:id="48"/>
    </w:p>
    <w:p>
      <w:pPr>
        <w:pStyle w:val="5"/>
        <w:rPr>
          <w:highlight w:val="none"/>
        </w:rPr>
      </w:pPr>
      <w:r>
        <w:rPr>
          <w:rFonts w:hint="eastAsia"/>
          <w:highlight w:val="none"/>
        </w:rPr>
        <w:t>5．采购文件的构成</w:t>
      </w:r>
    </w:p>
    <w:p>
      <w:pPr>
        <w:ind w:firstLine="426"/>
        <w:rPr>
          <w:highlight w:val="none"/>
        </w:rPr>
      </w:pPr>
      <w:r>
        <w:rPr>
          <w:rFonts w:hint="eastAsia"/>
          <w:highlight w:val="none"/>
        </w:rPr>
        <w:t>5.1采购文件包括下列文件及附件：</w:t>
      </w:r>
    </w:p>
    <w:p>
      <w:pPr>
        <w:ind w:firstLine="426"/>
        <w:rPr>
          <w:highlight w:val="none"/>
        </w:rPr>
      </w:pPr>
      <w:r>
        <w:rPr>
          <w:rFonts w:hint="eastAsia"/>
          <w:highlight w:val="none"/>
        </w:rPr>
        <w:t>5.1.1竞争性磋商公告；</w:t>
      </w:r>
    </w:p>
    <w:p>
      <w:pPr>
        <w:ind w:firstLine="426"/>
        <w:rPr>
          <w:highlight w:val="none"/>
        </w:rPr>
      </w:pPr>
      <w:r>
        <w:rPr>
          <w:rFonts w:hint="eastAsia"/>
          <w:highlight w:val="none"/>
        </w:rPr>
        <w:t>5.1.2供应商须知；</w:t>
      </w:r>
    </w:p>
    <w:p>
      <w:pPr>
        <w:ind w:firstLine="426"/>
        <w:rPr>
          <w:highlight w:val="none"/>
        </w:rPr>
      </w:pPr>
      <w:r>
        <w:rPr>
          <w:rFonts w:hint="eastAsia"/>
          <w:highlight w:val="none"/>
        </w:rPr>
        <w:t>5.1.3采购需求；</w:t>
      </w:r>
    </w:p>
    <w:p>
      <w:pPr>
        <w:ind w:firstLine="426"/>
        <w:rPr>
          <w:highlight w:val="none"/>
        </w:rPr>
      </w:pPr>
      <w:r>
        <w:rPr>
          <w:rFonts w:hint="eastAsia"/>
          <w:highlight w:val="none"/>
        </w:rPr>
        <w:t>5.1.4评审办法；</w:t>
      </w:r>
    </w:p>
    <w:p>
      <w:pPr>
        <w:ind w:firstLine="426"/>
        <w:rPr>
          <w:highlight w:val="none"/>
        </w:rPr>
      </w:pPr>
      <w:r>
        <w:rPr>
          <w:rFonts w:hint="eastAsia"/>
          <w:highlight w:val="none"/>
        </w:rPr>
        <w:t>5.1.5拟签订的合同文本；</w:t>
      </w:r>
    </w:p>
    <w:p>
      <w:pPr>
        <w:ind w:firstLine="426"/>
        <w:rPr>
          <w:highlight w:val="none"/>
        </w:rPr>
      </w:pPr>
      <w:r>
        <w:rPr>
          <w:rFonts w:hint="eastAsia"/>
          <w:highlight w:val="none"/>
        </w:rPr>
        <w:t>5.1.6应提交的有关格式范例。</w:t>
      </w:r>
    </w:p>
    <w:p>
      <w:pPr>
        <w:ind w:firstLine="426"/>
        <w:rPr>
          <w:highlight w:val="none"/>
        </w:rPr>
      </w:pPr>
      <w:r>
        <w:rPr>
          <w:rFonts w:hint="eastAsia"/>
          <w:highlight w:val="none"/>
        </w:rPr>
        <w:t>5.2与本项目有关的澄清或者修改的内容为采购文件的组成部分。</w:t>
      </w:r>
    </w:p>
    <w:bookmarkEnd w:id="49"/>
    <w:bookmarkEnd w:id="50"/>
    <w:bookmarkEnd w:id="51"/>
    <w:bookmarkEnd w:id="52"/>
    <w:bookmarkEnd w:id="53"/>
    <w:p>
      <w:pPr>
        <w:pStyle w:val="5"/>
        <w:rPr>
          <w:highlight w:val="none"/>
        </w:rPr>
      </w:pPr>
      <w:r>
        <w:rPr>
          <w:rFonts w:hint="eastAsia"/>
          <w:highlight w:val="none"/>
        </w:rPr>
        <w:t>6.采购文件的澄清、修改</w:t>
      </w:r>
    </w:p>
    <w:p>
      <w:pPr>
        <w:ind w:firstLine="426"/>
        <w:rPr>
          <w:highlight w:val="none"/>
        </w:rPr>
      </w:pPr>
      <w:r>
        <w:rPr>
          <w:rFonts w:hint="eastAsia"/>
          <w:highlight w:val="none"/>
        </w:rPr>
        <w:t>6.1已获取采购文件的潜在供应商，若有问题需要澄清，应于响应文件提交（上传）截止时间前，以书面形式向采购代理机构提出。</w:t>
      </w:r>
    </w:p>
    <w:p>
      <w:pPr>
        <w:ind w:firstLine="426"/>
        <w:rPr>
          <w:highlight w:val="none"/>
        </w:rPr>
      </w:pPr>
      <w:r>
        <w:rPr>
          <w:rFonts w:hint="eastAsia"/>
          <w:highlight w:val="none"/>
        </w:rPr>
        <w:t>6.2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4"/>
        <w:rPr>
          <w:highlight w:val="none"/>
        </w:rPr>
      </w:pPr>
      <w:bookmarkStart w:id="54" w:name="_Toc1239"/>
      <w:bookmarkStart w:id="55" w:name="_Toc29499"/>
      <w:bookmarkStart w:id="56" w:name="_Toc21333"/>
      <w:r>
        <w:rPr>
          <w:rFonts w:hint="eastAsia"/>
          <w:highlight w:val="none"/>
        </w:rPr>
        <w:t>三、提交响应文件</w:t>
      </w:r>
      <w:bookmarkEnd w:id="54"/>
      <w:bookmarkEnd w:id="55"/>
      <w:bookmarkEnd w:id="56"/>
    </w:p>
    <w:p>
      <w:pPr>
        <w:pStyle w:val="5"/>
        <w:rPr>
          <w:highlight w:val="none"/>
        </w:rPr>
      </w:pPr>
      <w:r>
        <w:rPr>
          <w:rFonts w:hint="eastAsia"/>
          <w:highlight w:val="none"/>
        </w:rPr>
        <w:t>7.采购文件的获取</w:t>
      </w:r>
    </w:p>
    <w:p>
      <w:pPr>
        <w:ind w:firstLine="426"/>
        <w:rPr>
          <w:highlight w:val="none"/>
        </w:rPr>
      </w:pPr>
      <w:r>
        <w:rPr>
          <w:rFonts w:hint="eastAsia"/>
          <w:highlight w:val="none"/>
        </w:rPr>
        <w:t>详见竞争性磋商公告中获取采购文件的时间期限、地点、方式及采购文件售价。</w:t>
      </w:r>
    </w:p>
    <w:p>
      <w:pPr>
        <w:pStyle w:val="5"/>
        <w:rPr>
          <w:highlight w:val="none"/>
        </w:rPr>
      </w:pPr>
      <w:r>
        <w:rPr>
          <w:rFonts w:hint="eastAsia"/>
          <w:highlight w:val="none"/>
        </w:rPr>
        <w:t>8.磋商前答疑会或现场考察</w:t>
      </w:r>
    </w:p>
    <w:p>
      <w:pPr>
        <w:ind w:firstLine="426"/>
        <w:rPr>
          <w:highlight w:val="none"/>
        </w:rPr>
      </w:pPr>
      <w:r>
        <w:rPr>
          <w:rFonts w:hint="eastAsia"/>
          <w:highlight w:val="none"/>
        </w:rPr>
        <w:t>采购人组织潜在供应商现场考察或者召开磋商前答疑会的，潜在供应商按第二部分供应商须知前附表的规定参加现场考察或者磋商前答疑会。</w:t>
      </w:r>
    </w:p>
    <w:p>
      <w:pPr>
        <w:pStyle w:val="5"/>
        <w:rPr>
          <w:highlight w:val="none"/>
        </w:rPr>
      </w:pPr>
      <w:r>
        <w:rPr>
          <w:rFonts w:hint="eastAsia"/>
          <w:highlight w:val="none"/>
        </w:rPr>
        <w:t>9.磋商保证金</w:t>
      </w:r>
    </w:p>
    <w:p>
      <w:pPr>
        <w:pStyle w:val="9"/>
        <w:spacing w:line="360" w:lineRule="auto"/>
        <w:ind w:firstLine="414" w:firstLineChars="196"/>
        <w:rPr>
          <w:spacing w:val="0"/>
          <w:kern w:val="0"/>
          <w:highlight w:val="none"/>
        </w:rPr>
      </w:pPr>
      <w:r>
        <w:rPr>
          <w:rFonts w:hint="eastAsia"/>
          <w:spacing w:val="0"/>
          <w:kern w:val="0"/>
          <w:highlight w:val="none"/>
        </w:rPr>
        <w:t>本项目不需缴纳磋商保证金。</w:t>
      </w:r>
    </w:p>
    <w:p>
      <w:pPr>
        <w:pStyle w:val="5"/>
        <w:rPr>
          <w:highlight w:val="none"/>
        </w:rPr>
      </w:pPr>
      <w:r>
        <w:rPr>
          <w:rFonts w:hint="eastAsia"/>
          <w:highlight w:val="none"/>
        </w:rPr>
        <w:t>10.响应文件的语言</w:t>
      </w:r>
    </w:p>
    <w:p>
      <w:pPr>
        <w:ind w:firstLine="426"/>
        <w:rPr>
          <w:highlight w:val="none"/>
        </w:rPr>
      </w:pPr>
      <w:r>
        <w:rPr>
          <w:rFonts w:hint="eastAsia"/>
          <w:highlight w:val="none"/>
        </w:rPr>
        <w:t>响应文件及供应商与采购有关的来往通知、函件和文件均应使用中文。</w:t>
      </w:r>
    </w:p>
    <w:p>
      <w:pPr>
        <w:pStyle w:val="5"/>
        <w:rPr>
          <w:highlight w:val="none"/>
        </w:rPr>
      </w:pPr>
      <w:r>
        <w:rPr>
          <w:rFonts w:hint="eastAsia"/>
          <w:highlight w:val="none"/>
        </w:rPr>
        <w:t>11.响应文件的组成</w:t>
      </w:r>
    </w:p>
    <w:p>
      <w:pPr>
        <w:ind w:firstLine="428"/>
        <w:rPr>
          <w:b/>
          <w:bCs/>
          <w:highlight w:val="none"/>
        </w:rPr>
      </w:pPr>
      <w:r>
        <w:rPr>
          <w:rFonts w:hint="eastAsia"/>
          <w:b/>
          <w:bCs/>
          <w:highlight w:val="none"/>
        </w:rPr>
        <w:t>11.1资格文件</w:t>
      </w:r>
    </w:p>
    <w:p>
      <w:pPr>
        <w:ind w:firstLine="426"/>
        <w:rPr>
          <w:highlight w:val="none"/>
        </w:rPr>
      </w:pPr>
      <w:r>
        <w:rPr>
          <w:rFonts w:hint="eastAsia"/>
          <w:highlight w:val="none"/>
        </w:rPr>
        <w:t>11.1.1符合参加政府采购活动应当具备的一般条件的承诺函；</w:t>
      </w:r>
    </w:p>
    <w:p>
      <w:pPr>
        <w:ind w:firstLine="426"/>
        <w:rPr>
          <w:highlight w:val="none"/>
        </w:rPr>
      </w:pPr>
      <w:r>
        <w:rPr>
          <w:rFonts w:hint="eastAsia"/>
          <w:highlight w:val="none"/>
        </w:rPr>
        <w:t>11.1.2联合协议（如果有)；</w:t>
      </w:r>
    </w:p>
    <w:p>
      <w:pPr>
        <w:ind w:firstLine="426"/>
        <w:rPr>
          <w:highlight w:val="none"/>
        </w:rPr>
      </w:pPr>
      <w:r>
        <w:rPr>
          <w:rFonts w:hint="eastAsia"/>
          <w:highlight w:val="none"/>
        </w:rPr>
        <w:t>11.1.3落实政府采购政策需满足的资格要求（如果有)；</w:t>
      </w:r>
    </w:p>
    <w:p>
      <w:pPr>
        <w:ind w:firstLine="426"/>
        <w:rPr>
          <w:highlight w:val="none"/>
        </w:rPr>
      </w:pPr>
      <w:r>
        <w:rPr>
          <w:rFonts w:hint="eastAsia"/>
          <w:highlight w:val="none"/>
        </w:rPr>
        <w:t>11.1.4本项目的特定资格要求（如果有)。</w:t>
      </w:r>
    </w:p>
    <w:p>
      <w:pPr>
        <w:ind w:firstLine="428"/>
        <w:rPr>
          <w:b/>
          <w:bCs/>
          <w:highlight w:val="none"/>
        </w:rPr>
      </w:pPr>
      <w:r>
        <w:rPr>
          <w:rFonts w:hint="eastAsia"/>
          <w:b/>
          <w:bCs/>
          <w:highlight w:val="none"/>
        </w:rPr>
        <w:t>11.2商务技术文件</w:t>
      </w:r>
    </w:p>
    <w:p>
      <w:pPr>
        <w:ind w:firstLine="426"/>
        <w:rPr>
          <w:highlight w:val="none"/>
        </w:rPr>
      </w:pPr>
      <w:r>
        <w:rPr>
          <w:rFonts w:hint="eastAsia"/>
          <w:highlight w:val="none"/>
        </w:rPr>
        <w:t>11.2.1响应函；</w:t>
      </w:r>
    </w:p>
    <w:p>
      <w:pPr>
        <w:ind w:firstLine="426"/>
        <w:rPr>
          <w:highlight w:val="none"/>
        </w:rPr>
      </w:pPr>
      <w:r>
        <w:rPr>
          <w:rFonts w:hint="eastAsia"/>
          <w:highlight w:val="none"/>
        </w:rPr>
        <w:t>11.2.2授权委托书或法定代表人（单位负责人、自然人本人）身份证明；</w:t>
      </w:r>
    </w:p>
    <w:p>
      <w:pPr>
        <w:ind w:firstLine="426"/>
        <w:rPr>
          <w:highlight w:val="none"/>
        </w:rPr>
      </w:pPr>
      <w:r>
        <w:rPr>
          <w:rFonts w:hint="eastAsia"/>
          <w:highlight w:val="none"/>
        </w:rPr>
        <w:t>11.2.3分包意向协议（如果有)；</w:t>
      </w:r>
    </w:p>
    <w:p>
      <w:pPr>
        <w:ind w:firstLine="426"/>
        <w:rPr>
          <w:highlight w:val="none"/>
        </w:rPr>
      </w:pPr>
      <w:r>
        <w:rPr>
          <w:rFonts w:hint="eastAsia"/>
          <w:highlight w:val="none"/>
        </w:rPr>
        <w:t>11.2.4符合性审查资料；</w:t>
      </w:r>
    </w:p>
    <w:p>
      <w:pPr>
        <w:ind w:firstLine="426"/>
        <w:rPr>
          <w:highlight w:val="none"/>
        </w:rPr>
      </w:pPr>
      <w:r>
        <w:rPr>
          <w:rFonts w:hint="eastAsia"/>
          <w:highlight w:val="none"/>
        </w:rPr>
        <w:t>11.2.5评审标准相应的商务技术资料；</w:t>
      </w:r>
    </w:p>
    <w:p>
      <w:pPr>
        <w:ind w:firstLine="426"/>
        <w:rPr>
          <w:highlight w:val="none"/>
        </w:rPr>
      </w:pPr>
      <w:r>
        <w:rPr>
          <w:rFonts w:hint="eastAsia"/>
          <w:highlight w:val="none"/>
        </w:rPr>
        <w:t>11.2.6商务技术偏离表；</w:t>
      </w:r>
    </w:p>
    <w:p>
      <w:pPr>
        <w:ind w:firstLine="426"/>
        <w:rPr>
          <w:highlight w:val="none"/>
        </w:rPr>
      </w:pPr>
      <w:r>
        <w:rPr>
          <w:rFonts w:hint="eastAsia"/>
          <w:highlight w:val="none"/>
        </w:rPr>
        <w:t>11.2.7政府采购供应商廉洁自律承诺书；</w:t>
      </w:r>
    </w:p>
    <w:p>
      <w:pPr>
        <w:ind w:firstLine="426"/>
        <w:rPr>
          <w:highlight w:val="none"/>
        </w:rPr>
      </w:pPr>
      <w:r>
        <w:rPr>
          <w:rFonts w:hint="eastAsia"/>
          <w:highlight w:val="none"/>
        </w:rPr>
        <w:t>11.2.8中标服务费支付承诺书。</w:t>
      </w:r>
    </w:p>
    <w:p>
      <w:pPr>
        <w:ind w:firstLine="428"/>
        <w:rPr>
          <w:highlight w:val="none"/>
        </w:rPr>
      </w:pPr>
      <w:r>
        <w:rPr>
          <w:rFonts w:hint="eastAsia"/>
          <w:b/>
          <w:bCs/>
          <w:highlight w:val="none"/>
        </w:rPr>
        <w:t>11.3报价文件：</w:t>
      </w:r>
    </w:p>
    <w:p>
      <w:pPr>
        <w:ind w:firstLine="426"/>
        <w:rPr>
          <w:highlight w:val="none"/>
        </w:rPr>
      </w:pPr>
      <w:r>
        <w:rPr>
          <w:rFonts w:hint="eastAsia"/>
          <w:highlight w:val="none"/>
        </w:rPr>
        <w:t>11.3.1报价单；</w:t>
      </w:r>
    </w:p>
    <w:p>
      <w:pPr>
        <w:ind w:firstLine="426"/>
        <w:rPr>
          <w:highlight w:val="none"/>
        </w:rPr>
      </w:pPr>
      <w:r>
        <w:rPr>
          <w:rFonts w:hint="eastAsia"/>
          <w:highlight w:val="none"/>
        </w:rPr>
        <w:t>11.3.2已标价工程量清单；</w:t>
      </w:r>
    </w:p>
    <w:p>
      <w:pPr>
        <w:ind w:firstLine="428"/>
        <w:rPr>
          <w:b/>
          <w:bCs/>
          <w:highlight w:val="none"/>
        </w:rPr>
      </w:pPr>
      <w:r>
        <w:rPr>
          <w:rFonts w:hint="eastAsia"/>
          <w:b/>
          <w:bCs/>
          <w:highlight w:val="none"/>
        </w:rPr>
        <w:t>响应文件含有采购人不能接受的附加条件的，响应文件无效；</w:t>
      </w:r>
    </w:p>
    <w:p>
      <w:pPr>
        <w:ind w:firstLine="428"/>
        <w:rPr>
          <w:b/>
          <w:bCs/>
          <w:highlight w:val="none"/>
        </w:rPr>
      </w:pPr>
      <w:r>
        <w:rPr>
          <w:rFonts w:hint="eastAsia"/>
          <w:b/>
          <w:bCs/>
          <w:highlight w:val="none"/>
        </w:rPr>
        <w:t>供应商提供虚假材料的，响应文件无效。</w:t>
      </w:r>
    </w:p>
    <w:p>
      <w:pPr>
        <w:pStyle w:val="5"/>
        <w:rPr>
          <w:rFonts w:ascii="宋体" w:hAnsi="宋体" w:cs="宋体"/>
          <w:szCs w:val="24"/>
          <w:highlight w:val="none"/>
        </w:rPr>
      </w:pPr>
      <w:r>
        <w:rPr>
          <w:rFonts w:hint="eastAsia" w:ascii="宋体" w:hAnsi="宋体" w:cs="宋体"/>
          <w:szCs w:val="24"/>
          <w:highlight w:val="none"/>
        </w:rPr>
        <w:t>12</w:t>
      </w:r>
      <w:r>
        <w:rPr>
          <w:rFonts w:hint="eastAsia" w:ascii="宋体" w:hAnsi="宋体" w:cs="宋体"/>
          <w:szCs w:val="24"/>
          <w:highlight w:val="none"/>
          <w:lang w:val="zh-CN"/>
        </w:rPr>
        <w:t>.</w:t>
      </w:r>
      <w:r>
        <w:rPr>
          <w:rFonts w:hint="eastAsia" w:ascii="宋体" w:hAnsi="宋体" w:cs="宋体"/>
          <w:szCs w:val="24"/>
          <w:highlight w:val="none"/>
        </w:rPr>
        <w:t>响应文件的编制</w:t>
      </w:r>
    </w:p>
    <w:p>
      <w:pPr>
        <w:ind w:firstLine="426"/>
        <w:rPr>
          <w:highlight w:val="none"/>
        </w:rPr>
      </w:pPr>
      <w:r>
        <w:rPr>
          <w:rFonts w:hint="eastAsia"/>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ind w:firstLine="426"/>
        <w:rPr>
          <w:highlight w:val="none"/>
          <w:lang w:val="zh-CN"/>
        </w:rPr>
      </w:pPr>
      <w:r>
        <w:rPr>
          <w:rFonts w:hint="eastAsia"/>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ind w:firstLine="426"/>
        <w:rPr>
          <w:highlight w:val="none"/>
          <w:lang w:val="zh-CN"/>
        </w:rPr>
      </w:pPr>
      <w:r>
        <w:rPr>
          <w:rFonts w:hint="eastAsia"/>
          <w:highlight w:val="none"/>
          <w:lang w:val="zh-CN"/>
        </w:rPr>
        <w:t>12.3使用“政采云电子交易客户端”需要提前申领CA数字证书，申领流程请自行前往“浙江政府采购网-下载专区-电子交易客户端-CA驱动和申领流程”进行查阅。</w:t>
      </w:r>
    </w:p>
    <w:p>
      <w:pPr>
        <w:pStyle w:val="5"/>
        <w:rPr>
          <w:highlight w:val="none"/>
        </w:rPr>
      </w:pPr>
      <w:r>
        <w:rPr>
          <w:rFonts w:hint="eastAsia"/>
          <w:highlight w:val="none"/>
        </w:rPr>
        <w:t>13.响应文件的签署、盖章</w:t>
      </w:r>
    </w:p>
    <w:p>
      <w:pPr>
        <w:ind w:firstLine="426"/>
        <w:rPr>
          <w:highlight w:val="none"/>
        </w:rPr>
      </w:pPr>
      <w:r>
        <w:rPr>
          <w:rFonts w:hint="eastAsia"/>
          <w:highlight w:val="none"/>
        </w:rPr>
        <w:t>13.1响应文件按照采购文件第六部分格式要求进行签署、盖章。</w:t>
      </w:r>
    </w:p>
    <w:p>
      <w:pPr>
        <w:ind w:firstLine="426"/>
        <w:rPr>
          <w:highlight w:val="none"/>
        </w:rPr>
      </w:pPr>
      <w:r>
        <w:rPr>
          <w:rFonts w:hint="eastAsia"/>
          <w:highlight w:val="none"/>
        </w:rPr>
        <w:t>▲</w:t>
      </w:r>
      <w:r>
        <w:rPr>
          <w:rFonts w:hint="eastAsia"/>
          <w:b/>
          <w:bCs/>
          <w:highlight w:val="none"/>
        </w:rPr>
        <w:t>供应商的响应文件未按照采购文件要求签署、盖章的，其响应文件无效。</w:t>
      </w:r>
    </w:p>
    <w:p>
      <w:pPr>
        <w:ind w:firstLine="426"/>
        <w:rPr>
          <w:highlight w:val="none"/>
        </w:rPr>
      </w:pPr>
      <w:r>
        <w:rPr>
          <w:rFonts w:hint="eastAsia"/>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ind w:firstLine="426"/>
        <w:rPr>
          <w:highlight w:val="none"/>
        </w:rPr>
      </w:pPr>
      <w:r>
        <w:rPr>
          <w:rFonts w:hint="eastAsia"/>
          <w:highlight w:val="none"/>
        </w:rPr>
        <w:t>13.3采购文件对响应文件签署、盖章的要求适用于电子签名。</w:t>
      </w:r>
    </w:p>
    <w:p>
      <w:pPr>
        <w:pStyle w:val="5"/>
        <w:rPr>
          <w:highlight w:val="none"/>
        </w:rPr>
      </w:pPr>
      <w:r>
        <w:rPr>
          <w:rFonts w:hint="eastAsia"/>
          <w:highlight w:val="none"/>
        </w:rPr>
        <w:t>14.响应文件的提交、补充、修改、撤回</w:t>
      </w:r>
    </w:p>
    <w:p>
      <w:pPr>
        <w:ind w:firstLine="426"/>
        <w:rPr>
          <w:highlight w:val="none"/>
        </w:rPr>
      </w:pPr>
      <w:r>
        <w:rPr>
          <w:rFonts w:hint="eastAsia"/>
          <w:highlight w:val="none"/>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ind w:firstLine="426"/>
        <w:rPr>
          <w:highlight w:val="none"/>
        </w:rPr>
      </w:pPr>
      <w:r>
        <w:rPr>
          <w:rFonts w:hint="eastAsia"/>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ind w:firstLine="426"/>
        <w:rPr>
          <w:highlight w:val="none"/>
        </w:rPr>
      </w:pPr>
      <w:r>
        <w:rPr>
          <w:rFonts w:hint="eastAsia"/>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5"/>
        <w:rPr>
          <w:highlight w:val="none"/>
        </w:rPr>
      </w:pPr>
      <w:r>
        <w:rPr>
          <w:rFonts w:hint="eastAsia"/>
          <w:highlight w:val="none"/>
        </w:rPr>
        <w:t>15.备份响应文件</w:t>
      </w:r>
    </w:p>
    <w:p>
      <w:pPr>
        <w:ind w:firstLine="426"/>
        <w:rPr>
          <w:highlight w:val="none"/>
        </w:rPr>
      </w:pPr>
      <w:r>
        <w:rPr>
          <w:rFonts w:hint="eastAsia"/>
          <w:highlight w:val="none"/>
        </w:rPr>
        <w:t>15.1供应商在电子交易平台传输递交响应文件后，还可以在响应文件提交（上传）截止时间前直接提交或者以邮政快递方式递交备份响应文件1份，</w:t>
      </w:r>
      <w:r>
        <w:rPr>
          <w:rFonts w:hint="eastAsia"/>
          <w:b/>
          <w:bCs/>
          <w:highlight w:val="none"/>
        </w:rPr>
        <w:t>但采购人、采购代理机构不强制或变相强制供应商提交备份响应文件。</w:t>
      </w:r>
    </w:p>
    <w:p>
      <w:pPr>
        <w:ind w:firstLine="426"/>
        <w:rPr>
          <w:b/>
          <w:bCs/>
          <w:highlight w:val="none"/>
        </w:rPr>
      </w:pPr>
      <w:r>
        <w:rPr>
          <w:rFonts w:hint="eastAsia"/>
          <w:highlight w:val="none"/>
        </w:rPr>
        <w:t>15.2备份响应文件须在“政采云投标客户端”制作生成，并储存在U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b/>
          <w:bCs/>
          <w:highlight w:val="none"/>
        </w:rPr>
        <w:t>不符合上述制作、存储、密封规定的备份响应文件将被视为无效或者被拒绝接收。</w:t>
      </w:r>
    </w:p>
    <w:p>
      <w:pPr>
        <w:ind w:firstLine="426"/>
        <w:rPr>
          <w:b/>
          <w:bCs/>
          <w:highlight w:val="none"/>
        </w:rPr>
      </w:pPr>
      <w:r>
        <w:rPr>
          <w:rFonts w:hint="eastAsia"/>
          <w:highlight w:val="none"/>
        </w:rPr>
        <w:t>15.3直接提交备份响应文件的，供应商应于响应文件提交（上传）截止时间前在竞争性磋商公告中载明的响应文件开启地点将备份响应文件提交给采购代理机构，</w:t>
      </w:r>
      <w:r>
        <w:rPr>
          <w:rFonts w:hint="eastAsia"/>
          <w:b/>
          <w:bCs/>
          <w:highlight w:val="none"/>
        </w:rPr>
        <w:t>采购代理机构将拒绝接受逾期送达的备份响应文件。</w:t>
      </w:r>
    </w:p>
    <w:p>
      <w:pPr>
        <w:ind w:firstLine="426"/>
        <w:rPr>
          <w:highlight w:val="none"/>
        </w:rPr>
      </w:pPr>
      <w:r>
        <w:rPr>
          <w:rFonts w:hint="eastAsia"/>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ind w:firstLine="426"/>
        <w:rPr>
          <w:b/>
          <w:bCs/>
          <w:highlight w:val="none"/>
        </w:rPr>
      </w:pPr>
      <w:r>
        <w:rPr>
          <w:rFonts w:hint="eastAsia"/>
          <w:highlight w:val="none"/>
        </w:rPr>
        <w:t>15.5</w:t>
      </w:r>
      <w:r>
        <w:rPr>
          <w:rFonts w:hint="eastAsia"/>
          <w:b/>
          <w:bCs/>
          <w:highlight w:val="none"/>
        </w:rPr>
        <w:t>供应商仅提交备份响应文件，未在电子交易平台传输递交响应文件的，响应文件无效。</w:t>
      </w:r>
    </w:p>
    <w:p>
      <w:pPr>
        <w:pStyle w:val="5"/>
        <w:rPr>
          <w:highlight w:val="none"/>
        </w:rPr>
      </w:pPr>
      <w:r>
        <w:rPr>
          <w:rFonts w:hint="eastAsia"/>
          <w:highlight w:val="none"/>
        </w:rPr>
        <w:t>16.响应文件的无效处理</w:t>
      </w:r>
    </w:p>
    <w:p>
      <w:pPr>
        <w:ind w:firstLine="426"/>
        <w:rPr>
          <w:highlight w:val="none"/>
        </w:rPr>
      </w:pPr>
      <w:r>
        <w:rPr>
          <w:rFonts w:hint="eastAsia"/>
          <w:highlight w:val="none"/>
        </w:rPr>
        <w:t>有采购文件第四部分4.2规定的情形之一的，响应文件无效：</w:t>
      </w:r>
    </w:p>
    <w:p>
      <w:pPr>
        <w:pStyle w:val="5"/>
        <w:rPr>
          <w:highlight w:val="none"/>
        </w:rPr>
      </w:pPr>
      <w:r>
        <w:rPr>
          <w:rFonts w:hint="eastAsia"/>
          <w:highlight w:val="none"/>
        </w:rPr>
        <w:t>17.响应文件有效期</w:t>
      </w:r>
    </w:p>
    <w:p>
      <w:pPr>
        <w:ind w:firstLine="426"/>
        <w:rPr>
          <w:highlight w:val="none"/>
        </w:rPr>
      </w:pPr>
      <w:r>
        <w:rPr>
          <w:rFonts w:hint="eastAsia"/>
          <w:highlight w:val="none"/>
        </w:rPr>
        <w:t>17.1响应文件有效期为从提交响应文件的截止之日起90天。</w:t>
      </w:r>
    </w:p>
    <w:p>
      <w:pPr>
        <w:ind w:firstLine="426"/>
        <w:rPr>
          <w:highlight w:val="none"/>
        </w:rPr>
      </w:pPr>
      <w:r>
        <w:rPr>
          <w:rFonts w:hint="eastAsia"/>
          <w:highlight w:val="none"/>
        </w:rPr>
        <w:t>▲</w:t>
      </w:r>
      <w:r>
        <w:rPr>
          <w:rFonts w:hint="eastAsia"/>
          <w:b/>
          <w:bCs/>
          <w:highlight w:val="none"/>
        </w:rPr>
        <w:t>供应商的响应文件中承诺的响应文件有效期少于采购文件中载明的响应文件有效期的，响应文件无效。</w:t>
      </w:r>
    </w:p>
    <w:p>
      <w:pPr>
        <w:ind w:firstLine="426"/>
        <w:rPr>
          <w:highlight w:val="none"/>
        </w:rPr>
      </w:pPr>
      <w:r>
        <w:rPr>
          <w:rFonts w:hint="eastAsia"/>
          <w:highlight w:val="none"/>
        </w:rPr>
        <w:t>17.2响应文件合格投递后，自响应文件提交截止时间起，在响应文件有效期内有效。</w:t>
      </w:r>
    </w:p>
    <w:p>
      <w:pPr>
        <w:ind w:firstLine="426"/>
        <w:rPr>
          <w:highlight w:val="none"/>
        </w:rPr>
      </w:pPr>
      <w:r>
        <w:rPr>
          <w:rFonts w:hint="eastAsia"/>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4"/>
        <w:rPr>
          <w:highlight w:val="none"/>
        </w:rPr>
      </w:pPr>
      <w:bookmarkStart w:id="57" w:name="_Toc9783"/>
      <w:bookmarkStart w:id="58" w:name="_Toc8657"/>
      <w:bookmarkStart w:id="59" w:name="_Toc13512"/>
      <w:r>
        <w:rPr>
          <w:rFonts w:hint="eastAsia"/>
          <w:highlight w:val="none"/>
        </w:rPr>
        <w:t>四、响应文件开启、资格审查与信用信息查询</w:t>
      </w:r>
      <w:bookmarkEnd w:id="57"/>
      <w:bookmarkEnd w:id="58"/>
      <w:bookmarkEnd w:id="59"/>
    </w:p>
    <w:p>
      <w:pPr>
        <w:pStyle w:val="5"/>
        <w:rPr>
          <w:highlight w:val="none"/>
        </w:rPr>
      </w:pPr>
      <w:r>
        <w:rPr>
          <w:rFonts w:hint="eastAsia"/>
          <w:highlight w:val="none"/>
        </w:rPr>
        <w:t>18.响应文件开启</w:t>
      </w:r>
    </w:p>
    <w:p>
      <w:pPr>
        <w:ind w:firstLine="426"/>
        <w:rPr>
          <w:highlight w:val="none"/>
        </w:rPr>
      </w:pPr>
      <w:r>
        <w:rPr>
          <w:rFonts w:hint="eastAsia"/>
          <w:highlight w:val="none"/>
        </w:rPr>
        <w:t>18.1采购代理机构按照采购文件规定的时间通过电子交易平台组织响应文件开启，所有供应商均应当准时在线参加。供应商不足3家的，不得开启。</w:t>
      </w:r>
    </w:p>
    <w:p>
      <w:pPr>
        <w:ind w:firstLine="426"/>
        <w:rPr>
          <w:highlight w:val="none"/>
        </w:rPr>
      </w:pPr>
      <w:r>
        <w:rPr>
          <w:rFonts w:hint="eastAsia"/>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ind w:firstLine="426"/>
        <w:rPr>
          <w:b/>
          <w:bCs/>
          <w:highlight w:val="none"/>
        </w:rPr>
      </w:pPr>
      <w:r>
        <w:rPr>
          <w:rFonts w:hint="eastAsia"/>
          <w:highlight w:val="none"/>
        </w:rPr>
        <w:t>18.3</w:t>
      </w:r>
      <w:r>
        <w:rPr>
          <w:rFonts w:hint="eastAsia"/>
          <w:b/>
          <w:bCs/>
          <w:highlight w:val="none"/>
        </w:rPr>
        <w:t>响应文件未按时解密，供应商提供了备份响应文件的，以备份响应文件作为依据，否则视为响应文件撤回。响应文件已按时解密的，备份响应文件自动失效。</w:t>
      </w:r>
    </w:p>
    <w:p>
      <w:pPr>
        <w:pStyle w:val="5"/>
        <w:rPr>
          <w:highlight w:val="none"/>
        </w:rPr>
      </w:pPr>
      <w:r>
        <w:rPr>
          <w:rFonts w:hint="eastAsia"/>
          <w:highlight w:val="none"/>
        </w:rPr>
        <w:t>19.资格审查</w:t>
      </w:r>
    </w:p>
    <w:p>
      <w:pPr>
        <w:ind w:firstLine="426"/>
        <w:rPr>
          <w:highlight w:val="none"/>
        </w:rPr>
      </w:pPr>
      <w:r>
        <w:rPr>
          <w:rFonts w:hint="eastAsia"/>
          <w:highlight w:val="none"/>
        </w:rPr>
        <w:t>19.1采购人、采购代理机构或磋商小组依据法律法规和采购文件的规定，对供应商的资格进行审查。</w:t>
      </w:r>
    </w:p>
    <w:p>
      <w:pPr>
        <w:ind w:firstLine="426"/>
        <w:rPr>
          <w:highlight w:val="none"/>
        </w:rPr>
      </w:pPr>
      <w:r>
        <w:rPr>
          <w:rFonts w:hint="eastAsia"/>
          <w:highlight w:val="none"/>
        </w:rPr>
        <w:t>19.2供应商未按照采购文件要求提供与资格条件相应的有效资格证明材料的，视为供应商不具备采购文件中规定的资格要求，其响应文件无效。</w:t>
      </w:r>
    </w:p>
    <w:p>
      <w:pPr>
        <w:ind w:firstLine="426"/>
        <w:rPr>
          <w:highlight w:val="none"/>
        </w:rPr>
      </w:pPr>
      <w:r>
        <w:rPr>
          <w:rFonts w:hint="eastAsia"/>
          <w:highlight w:val="none"/>
        </w:rPr>
        <w:t>19.3对未通过资格审查的供应商，采购人或采购代理机构告知其未通过的原因。</w:t>
      </w:r>
    </w:p>
    <w:p>
      <w:pPr>
        <w:ind w:firstLine="426"/>
        <w:rPr>
          <w:highlight w:val="none"/>
        </w:rPr>
      </w:pPr>
      <w:r>
        <w:rPr>
          <w:rFonts w:hint="eastAsia"/>
          <w:highlight w:val="none"/>
        </w:rPr>
        <w:t>19.4合格供应商不足3家的，不再评审。</w:t>
      </w:r>
    </w:p>
    <w:p>
      <w:pPr>
        <w:pStyle w:val="5"/>
        <w:rPr>
          <w:highlight w:val="none"/>
        </w:rPr>
      </w:pPr>
      <w:r>
        <w:rPr>
          <w:rFonts w:hint="eastAsia"/>
          <w:highlight w:val="none"/>
        </w:rPr>
        <w:t>20.信用信息查询</w:t>
      </w:r>
    </w:p>
    <w:p>
      <w:pPr>
        <w:ind w:firstLine="426"/>
        <w:rPr>
          <w:highlight w:val="none"/>
        </w:rPr>
      </w:pPr>
      <w:r>
        <w:rPr>
          <w:rFonts w:hint="eastAsia"/>
          <w:highlight w:val="none"/>
        </w:rPr>
        <w:t>20.1信用信息查询渠道及截止时间：采购代理机构将在资格审查时通过“信用中国”网站(www.creditchina.gov.cn)、中国政府采购网(www.ccgp.gov.cn)渠道查询供应商接受资格审查时的信用记录。</w:t>
      </w:r>
    </w:p>
    <w:p>
      <w:pPr>
        <w:ind w:firstLine="426"/>
        <w:rPr>
          <w:highlight w:val="none"/>
        </w:rPr>
      </w:pPr>
      <w:r>
        <w:rPr>
          <w:rFonts w:hint="eastAsia"/>
          <w:highlight w:val="none"/>
        </w:rPr>
        <w:t>20.2信用信息查询记录和证据留存的具体方式：现场查询的供应商的信用记录、查询结果经确认后将与采购文件一起存档。</w:t>
      </w:r>
    </w:p>
    <w:p>
      <w:pPr>
        <w:ind w:firstLine="426"/>
        <w:rPr>
          <w:highlight w:val="none"/>
        </w:rPr>
      </w:pPr>
      <w:r>
        <w:rPr>
          <w:rFonts w:hint="eastAsia"/>
          <w:highlight w:val="none"/>
        </w:rPr>
        <w:t>20.3信用信息的使用规则：经查询列入失信被执行人名单、重大税收违法案件当事人名单、政府采购严重违法失信行为记录名单的供应商将被拒绝参与政府采购活动。</w:t>
      </w:r>
    </w:p>
    <w:p>
      <w:pPr>
        <w:ind w:firstLine="426"/>
        <w:rPr>
          <w:highlight w:val="none"/>
        </w:rPr>
      </w:pPr>
      <w:r>
        <w:rPr>
          <w:rFonts w:hint="eastAsia"/>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highlight w:val="none"/>
        </w:rPr>
      </w:pPr>
      <w:bookmarkStart w:id="60" w:name="_Toc20230"/>
      <w:bookmarkStart w:id="61" w:name="_Toc19674"/>
      <w:bookmarkStart w:id="62" w:name="_Toc17502"/>
      <w:r>
        <w:rPr>
          <w:rFonts w:hint="eastAsia"/>
          <w:highlight w:val="none"/>
        </w:rPr>
        <w:t>五、评审</w:t>
      </w:r>
      <w:bookmarkEnd w:id="60"/>
      <w:bookmarkEnd w:id="61"/>
      <w:bookmarkEnd w:id="62"/>
    </w:p>
    <w:p>
      <w:pPr>
        <w:pStyle w:val="5"/>
        <w:rPr>
          <w:highlight w:val="none"/>
        </w:rPr>
      </w:pPr>
      <w:r>
        <w:rPr>
          <w:rFonts w:hint="eastAsia"/>
          <w:highlight w:val="none"/>
        </w:rPr>
        <w:t>21.评审</w:t>
      </w:r>
    </w:p>
    <w:p>
      <w:pPr>
        <w:ind w:firstLine="426"/>
        <w:rPr>
          <w:b/>
          <w:bCs/>
          <w:highlight w:val="none"/>
        </w:rPr>
      </w:pPr>
      <w:r>
        <w:rPr>
          <w:rFonts w:hint="eastAsia"/>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b/>
          <w:bCs/>
          <w:highlight w:val="none"/>
        </w:rPr>
        <w:t>详见采购文件第四部分评审办法。</w:t>
      </w:r>
    </w:p>
    <w:p>
      <w:pPr>
        <w:pStyle w:val="4"/>
        <w:rPr>
          <w:highlight w:val="none"/>
        </w:rPr>
      </w:pPr>
      <w:bookmarkStart w:id="63" w:name="_Toc13446"/>
      <w:bookmarkStart w:id="64" w:name="_Toc6070"/>
      <w:bookmarkStart w:id="65" w:name="_Toc26310"/>
      <w:r>
        <w:rPr>
          <w:rFonts w:hint="eastAsia"/>
          <w:highlight w:val="none"/>
        </w:rPr>
        <w:t>六、成交供应商确定</w:t>
      </w:r>
      <w:bookmarkEnd w:id="63"/>
      <w:bookmarkEnd w:id="64"/>
      <w:bookmarkEnd w:id="65"/>
    </w:p>
    <w:p>
      <w:pPr>
        <w:pStyle w:val="5"/>
        <w:rPr>
          <w:highlight w:val="none"/>
        </w:rPr>
      </w:pPr>
      <w:r>
        <w:rPr>
          <w:rFonts w:hint="eastAsia"/>
          <w:highlight w:val="none"/>
        </w:rPr>
        <w:t>22.确定成交供应商</w:t>
      </w:r>
    </w:p>
    <w:p>
      <w:pPr>
        <w:ind w:firstLine="426"/>
        <w:rPr>
          <w:highlight w:val="none"/>
        </w:rPr>
      </w:pPr>
      <w:r>
        <w:rPr>
          <w:rFonts w:hint="eastAsia"/>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5"/>
        <w:rPr>
          <w:highlight w:val="none"/>
        </w:rPr>
      </w:pPr>
      <w:r>
        <w:rPr>
          <w:rFonts w:hint="eastAsia"/>
          <w:highlight w:val="none"/>
        </w:rPr>
        <w:t>23.成交通知与成交结果公告</w:t>
      </w:r>
    </w:p>
    <w:p>
      <w:pPr>
        <w:ind w:firstLine="426"/>
        <w:rPr>
          <w:highlight w:val="none"/>
        </w:rPr>
      </w:pPr>
      <w:r>
        <w:rPr>
          <w:rFonts w:hint="eastAsia"/>
          <w:highlight w:val="none"/>
        </w:rPr>
        <w:t>23.1自成交供应商确定之日起1个工作日内，采购代理机构通过电子交易平台向成交供应商发出成交通知书，同时编制发布采购结果公告。采购代理机构也可以以纸质形式进行成交通知。</w:t>
      </w:r>
    </w:p>
    <w:p>
      <w:pPr>
        <w:ind w:firstLine="426"/>
        <w:rPr>
          <w:highlight w:val="none"/>
        </w:rPr>
      </w:pPr>
      <w:r>
        <w:rPr>
          <w:rFonts w:hint="eastAsia"/>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ind w:firstLine="426"/>
        <w:rPr>
          <w:highlight w:val="none"/>
        </w:rPr>
      </w:pPr>
      <w:r>
        <w:rPr>
          <w:rFonts w:hint="eastAsia"/>
          <w:highlight w:val="none"/>
        </w:rPr>
        <w:t>23.3公告期限为1个工作日。</w:t>
      </w:r>
    </w:p>
    <w:p>
      <w:pPr>
        <w:pStyle w:val="4"/>
        <w:rPr>
          <w:highlight w:val="none"/>
        </w:rPr>
      </w:pPr>
      <w:bookmarkStart w:id="66" w:name="_Toc8838"/>
      <w:bookmarkStart w:id="67" w:name="_Toc25831"/>
      <w:bookmarkStart w:id="68" w:name="_Toc20450"/>
      <w:r>
        <w:rPr>
          <w:rFonts w:hint="eastAsia"/>
          <w:highlight w:val="none"/>
        </w:rPr>
        <w:t>七、合同授予</w:t>
      </w:r>
      <w:bookmarkEnd w:id="66"/>
      <w:bookmarkEnd w:id="67"/>
      <w:bookmarkEnd w:id="68"/>
    </w:p>
    <w:p>
      <w:pPr>
        <w:pStyle w:val="5"/>
        <w:rPr>
          <w:highlight w:val="none"/>
        </w:rPr>
      </w:pPr>
      <w:r>
        <w:rPr>
          <w:rFonts w:hint="eastAsia"/>
          <w:highlight w:val="none"/>
        </w:rPr>
        <w:t>24.合同授予</w:t>
      </w:r>
    </w:p>
    <w:p>
      <w:pPr>
        <w:ind w:firstLine="426"/>
        <w:rPr>
          <w:highlight w:val="none"/>
        </w:rPr>
      </w:pPr>
      <w:r>
        <w:rPr>
          <w:rFonts w:hint="eastAsia"/>
          <w:highlight w:val="none"/>
        </w:rPr>
        <w:t>合同主要条款详见第五部分拟签订的合同文本。</w:t>
      </w:r>
    </w:p>
    <w:p>
      <w:pPr>
        <w:pStyle w:val="5"/>
        <w:rPr>
          <w:highlight w:val="none"/>
        </w:rPr>
      </w:pPr>
      <w:r>
        <w:rPr>
          <w:rFonts w:hint="eastAsia"/>
          <w:highlight w:val="none"/>
        </w:rPr>
        <w:t>25.合同的签订</w:t>
      </w:r>
    </w:p>
    <w:p>
      <w:pPr>
        <w:ind w:firstLine="426"/>
        <w:rPr>
          <w:highlight w:val="none"/>
        </w:rPr>
      </w:pPr>
      <w:r>
        <w:rPr>
          <w:rFonts w:hint="eastAsia"/>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ind w:firstLine="426"/>
        <w:rPr>
          <w:highlight w:val="none"/>
        </w:rPr>
      </w:pPr>
      <w:r>
        <w:rPr>
          <w:rFonts w:hint="eastAsia"/>
          <w:highlight w:val="none"/>
        </w:rPr>
        <w:t>25.2成交供应商按规定的日期、时间、地点，由法定代表人或其授权代表与采购人代表签订合同。如成交供应商为联合体的，由联合体成员各方法定代表人或其授权代表与采购人代表签订合同。</w:t>
      </w:r>
    </w:p>
    <w:p>
      <w:pPr>
        <w:ind w:firstLine="426"/>
        <w:rPr>
          <w:highlight w:val="none"/>
        </w:rPr>
      </w:pPr>
      <w:r>
        <w:rPr>
          <w:rFonts w:hint="eastAsia"/>
          <w:highlight w:val="none"/>
        </w:rPr>
        <w:t>25.3如签订合同并生效后，供应商无故拒绝或延期，除按照合同条款处理外，列入不良行为记录一次，并给予通报。</w:t>
      </w:r>
    </w:p>
    <w:p>
      <w:pPr>
        <w:ind w:firstLine="426"/>
        <w:rPr>
          <w:highlight w:val="none"/>
        </w:rPr>
      </w:pPr>
      <w:r>
        <w:rPr>
          <w:rFonts w:hint="eastAsia"/>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ind w:firstLine="426"/>
        <w:rPr>
          <w:highlight w:val="none"/>
        </w:rPr>
      </w:pPr>
      <w:r>
        <w:rPr>
          <w:rFonts w:hint="eastAsia"/>
          <w:highlight w:val="none"/>
        </w:rPr>
        <w:t>25.5采购合同由采购人与成交供应商根据采购文件、响应文件等内容通过政府采购电子交易平台在线签订，自动备案。</w:t>
      </w:r>
    </w:p>
    <w:p>
      <w:pPr>
        <w:pStyle w:val="5"/>
        <w:rPr>
          <w:highlight w:val="none"/>
        </w:rPr>
      </w:pPr>
      <w:r>
        <w:rPr>
          <w:rFonts w:hint="eastAsia"/>
          <w:highlight w:val="none"/>
        </w:rPr>
        <w:t>26.履约保证金</w:t>
      </w:r>
    </w:p>
    <w:p>
      <w:pPr>
        <w:ind w:firstLine="426"/>
        <w:rPr>
          <w:highlight w:val="none"/>
        </w:rPr>
      </w:pPr>
      <w:r>
        <w:rPr>
          <w:rFonts w:hint="eastAsia"/>
          <w:highlight w:val="none"/>
        </w:rPr>
        <w:t>26.1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ind w:firstLine="426"/>
        <w:rPr>
          <w:highlight w:val="none"/>
        </w:rPr>
      </w:pPr>
      <w:r>
        <w:rPr>
          <w:rFonts w:hint="eastAsia"/>
          <w:highlight w:val="none"/>
        </w:rPr>
        <w:t>26.2供应商可登录政采云平台-【金融服务】—【我的项目】—【已备案合同】以保函形式提供：</w:t>
      </w:r>
    </w:p>
    <w:p>
      <w:pPr>
        <w:ind w:firstLine="426"/>
        <w:rPr>
          <w:highlight w:val="none"/>
        </w:rPr>
      </w:pPr>
      <w:r>
        <w:rPr>
          <w:rFonts w:hint="eastAsia"/>
          <w:highlight w:val="none"/>
        </w:rPr>
        <w:t>26.2.1供应商在合同列表选择需要投保的合同，点击[保函推荐]。</w:t>
      </w:r>
    </w:p>
    <w:p>
      <w:pPr>
        <w:ind w:firstLine="426"/>
        <w:rPr>
          <w:highlight w:val="none"/>
        </w:rPr>
      </w:pPr>
      <w:r>
        <w:rPr>
          <w:rFonts w:hint="eastAsia"/>
          <w:highlight w:val="none"/>
        </w:rPr>
        <w:t>26.2.2在弹框里查看推荐的保函产品，供应商自行选择保函产品，点击[立即申请]。</w:t>
      </w:r>
    </w:p>
    <w:p>
      <w:pPr>
        <w:ind w:firstLine="426"/>
        <w:rPr>
          <w:highlight w:val="none"/>
        </w:rPr>
      </w:pPr>
      <w:r>
        <w:rPr>
          <w:rFonts w:hint="eastAsia"/>
          <w:highlight w:val="none"/>
        </w:rPr>
        <w:t>26.2.3在弹框里填写保函申请信息。具体步骤：选择产品—填写供应商信息—选择中标项目—确认信息—等待保险/保函受理—确认保单—支付保费—成功出单。政采云金融专线400-903-9583。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hint="eastAsia"/>
          <w:highlight w:val="none"/>
        </w:rPr>
        <w:t>27.预付款</w:t>
      </w:r>
    </w:p>
    <w:p>
      <w:pPr>
        <w:ind w:firstLine="426"/>
        <w:rPr>
          <w:highlight w:val="none"/>
        </w:rPr>
      </w:pPr>
      <w:r>
        <w:rPr>
          <w:rFonts w:hint="eastAsia"/>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Style w:val="4"/>
        <w:rPr>
          <w:highlight w:val="none"/>
        </w:rPr>
      </w:pPr>
      <w:bookmarkStart w:id="69" w:name="_Toc32499"/>
      <w:bookmarkStart w:id="70" w:name="_Toc5958"/>
      <w:bookmarkStart w:id="71" w:name="_Toc761"/>
      <w:r>
        <w:rPr>
          <w:rFonts w:hint="eastAsia"/>
          <w:highlight w:val="none"/>
        </w:rPr>
        <w:t>八、电子交易活动的中止</w:t>
      </w:r>
      <w:bookmarkEnd w:id="69"/>
      <w:bookmarkEnd w:id="70"/>
      <w:bookmarkEnd w:id="71"/>
    </w:p>
    <w:p>
      <w:pPr>
        <w:pStyle w:val="5"/>
        <w:rPr>
          <w:highlight w:val="none"/>
        </w:rPr>
      </w:pPr>
      <w:r>
        <w:rPr>
          <w:rFonts w:hint="eastAsia"/>
          <w:highlight w:val="none"/>
        </w:rPr>
        <w:t>28.电子交易活动的中止</w:t>
      </w:r>
    </w:p>
    <w:p>
      <w:pPr>
        <w:ind w:firstLine="426"/>
        <w:rPr>
          <w:highlight w:val="none"/>
        </w:rPr>
      </w:pPr>
      <w:r>
        <w:rPr>
          <w:rFonts w:hint="eastAsia"/>
          <w:highlight w:val="none"/>
        </w:rPr>
        <w:t>采购过程中出现以下情形，导致电子交易平台无法正常运行，或者无法保证电子交易的公平、公正和安全时，采购代理机构可中止电子交易活动：</w:t>
      </w:r>
    </w:p>
    <w:p>
      <w:pPr>
        <w:ind w:firstLine="426"/>
        <w:rPr>
          <w:highlight w:val="none"/>
        </w:rPr>
      </w:pPr>
      <w:r>
        <w:rPr>
          <w:rFonts w:hint="eastAsia"/>
          <w:highlight w:val="none"/>
        </w:rPr>
        <w:t>28.1电子交易平台发生故障而无法登录访问的；</w:t>
      </w:r>
    </w:p>
    <w:p>
      <w:pPr>
        <w:ind w:firstLine="426"/>
        <w:rPr>
          <w:highlight w:val="none"/>
        </w:rPr>
      </w:pPr>
      <w:r>
        <w:rPr>
          <w:rFonts w:hint="eastAsia"/>
          <w:highlight w:val="none"/>
        </w:rPr>
        <w:t>28.2电子交易平台应用或数据库出现错误，不能进行正常操作的；</w:t>
      </w:r>
    </w:p>
    <w:p>
      <w:pPr>
        <w:ind w:firstLine="426"/>
        <w:rPr>
          <w:highlight w:val="none"/>
        </w:rPr>
      </w:pPr>
      <w:r>
        <w:rPr>
          <w:rFonts w:hint="eastAsia"/>
          <w:highlight w:val="none"/>
        </w:rPr>
        <w:t>28.3电子交易平台发现严重安全漏洞，有潜在泄密危险的；</w:t>
      </w:r>
    </w:p>
    <w:p>
      <w:pPr>
        <w:ind w:firstLine="426"/>
        <w:rPr>
          <w:highlight w:val="none"/>
        </w:rPr>
      </w:pPr>
      <w:r>
        <w:rPr>
          <w:rFonts w:hint="eastAsia"/>
          <w:highlight w:val="none"/>
        </w:rPr>
        <w:t xml:space="preserve">28.4病毒发作导致不能进行正常操作的； </w:t>
      </w:r>
    </w:p>
    <w:p>
      <w:pPr>
        <w:ind w:firstLine="426"/>
        <w:rPr>
          <w:highlight w:val="none"/>
        </w:rPr>
      </w:pPr>
      <w:r>
        <w:rPr>
          <w:rFonts w:hint="eastAsia"/>
          <w:highlight w:val="none"/>
        </w:rPr>
        <w:t>28.5其他无法保证电子交易的公平、公正和安全的情况。</w:t>
      </w:r>
    </w:p>
    <w:p>
      <w:pPr>
        <w:pStyle w:val="5"/>
        <w:rPr>
          <w:highlight w:val="none"/>
        </w:rPr>
      </w:pPr>
      <w:r>
        <w:rPr>
          <w:rFonts w:hint="eastAsia"/>
          <w:highlight w:val="none"/>
        </w:rPr>
        <w:t>29.重新采购</w:t>
      </w:r>
    </w:p>
    <w:p>
      <w:pPr>
        <w:ind w:firstLine="426"/>
        <w:rPr>
          <w:highlight w:val="none"/>
        </w:rPr>
      </w:pPr>
      <w:r>
        <w:rPr>
          <w:rFonts w:hint="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4"/>
        <w:rPr>
          <w:highlight w:val="none"/>
        </w:rPr>
      </w:pPr>
      <w:bookmarkStart w:id="72" w:name="_Toc19238"/>
      <w:bookmarkStart w:id="73" w:name="_Toc4218"/>
      <w:bookmarkStart w:id="74" w:name="_Toc7648"/>
      <w:r>
        <w:rPr>
          <w:rFonts w:hint="eastAsia"/>
          <w:highlight w:val="none"/>
        </w:rPr>
        <w:t>九、验收</w:t>
      </w:r>
      <w:bookmarkEnd w:id="72"/>
      <w:bookmarkEnd w:id="73"/>
      <w:bookmarkEnd w:id="74"/>
    </w:p>
    <w:p>
      <w:pPr>
        <w:pStyle w:val="5"/>
        <w:rPr>
          <w:highlight w:val="none"/>
        </w:rPr>
      </w:pPr>
      <w:r>
        <w:rPr>
          <w:rFonts w:hint="eastAsia"/>
          <w:highlight w:val="none"/>
        </w:rPr>
        <w:t>30.验收</w:t>
      </w:r>
    </w:p>
    <w:p>
      <w:pPr>
        <w:ind w:firstLine="426"/>
        <w:rPr>
          <w:highlight w:val="none"/>
        </w:rPr>
      </w:pPr>
      <w:r>
        <w:rPr>
          <w:rFonts w:hint="eastAsia"/>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26"/>
        <w:rPr>
          <w:highlight w:val="none"/>
        </w:rPr>
      </w:pPr>
      <w:r>
        <w:rPr>
          <w:rFonts w:hint="eastAsia"/>
          <w:highlight w:val="none"/>
        </w:rPr>
        <w:t>30.2采购人可以邀请参加本项目的其他供应商或者第三方机构参与验收。参与验收的供应商或者第三方机构的意见作为验收书的参考资料一并存档。</w:t>
      </w:r>
    </w:p>
    <w:p>
      <w:pPr>
        <w:ind w:firstLine="426"/>
        <w:rPr>
          <w:highlight w:val="none"/>
        </w:rPr>
      </w:pPr>
      <w:r>
        <w:rPr>
          <w:rFonts w:hint="eastAsia"/>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26"/>
        <w:rPr>
          <w:highlight w:val="none"/>
        </w:rPr>
      </w:pPr>
      <w:r>
        <w:rPr>
          <w:rFonts w:hint="eastAsia"/>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ind w:firstLine="426"/>
        <w:rPr>
          <w:highlight w:val="none"/>
        </w:rPr>
      </w:pPr>
      <w:r>
        <w:rPr>
          <w:rFonts w:hint="eastAsia"/>
          <w:highlight w:val="none"/>
        </w:rPr>
        <w:br w:type="page"/>
      </w:r>
    </w:p>
    <w:p>
      <w:pPr>
        <w:pStyle w:val="3"/>
        <w:rPr>
          <w:highlight w:val="none"/>
        </w:rPr>
      </w:pPr>
      <w:bookmarkStart w:id="75" w:name="_Toc31227"/>
      <w:bookmarkStart w:id="76" w:name="_Toc23960"/>
      <w:bookmarkStart w:id="77" w:name="_Toc14385"/>
      <w:r>
        <w:rPr>
          <w:highlight w:val="none"/>
        </w:rPr>
        <w:t>第</w:t>
      </w:r>
      <w:r>
        <w:rPr>
          <w:rFonts w:hint="eastAsia"/>
          <w:highlight w:val="none"/>
        </w:rPr>
        <w:t>三</w:t>
      </w:r>
      <w:r>
        <w:rPr>
          <w:highlight w:val="none"/>
        </w:rPr>
        <w:t xml:space="preserve">部分  </w:t>
      </w:r>
      <w:r>
        <w:rPr>
          <w:rFonts w:hint="eastAsia"/>
          <w:highlight w:val="none"/>
        </w:rPr>
        <w:t>采购需求</w:t>
      </w:r>
      <w:bookmarkEnd w:id="75"/>
      <w:bookmarkEnd w:id="76"/>
      <w:bookmarkEnd w:id="77"/>
    </w:p>
    <w:p>
      <w:pPr>
        <w:pStyle w:val="4"/>
        <w:rPr>
          <w:highlight w:val="none"/>
        </w:rPr>
      </w:pPr>
      <w:bookmarkStart w:id="78" w:name="_Toc20173"/>
      <w:r>
        <w:rPr>
          <w:rFonts w:hint="eastAsia"/>
          <w:highlight w:val="none"/>
        </w:rPr>
        <w:t>一、项目概况</w:t>
      </w:r>
      <w:bookmarkEnd w:id="78"/>
    </w:p>
    <w:p>
      <w:pPr>
        <w:ind w:firstLine="426"/>
        <w:rPr>
          <w:rFonts w:cs="Calibri"/>
          <w:bCs/>
          <w:color w:val="000000"/>
          <w:highlight w:val="none"/>
        </w:rPr>
      </w:pPr>
      <w:r>
        <w:rPr>
          <w:rFonts w:hint="eastAsia"/>
          <w:highlight w:val="none"/>
        </w:rPr>
        <w:t>1.</w:t>
      </w:r>
      <w:r>
        <w:rPr>
          <w:highlight w:val="none"/>
        </w:rPr>
        <w:t>简要规格描述：主要内容为</w:t>
      </w:r>
      <w:r>
        <w:rPr>
          <w:rFonts w:hint="eastAsia"/>
          <w:highlight w:val="none"/>
          <w:u w:val="single"/>
        </w:rPr>
        <w:t>杭州科技职业学院翠苑校区教学及辅助设施修缮工程</w:t>
      </w:r>
      <w:r>
        <w:rPr>
          <w:rFonts w:hint="eastAsia" w:ascii="宋体" w:hAnsi="宋体"/>
          <w:kern w:val="2"/>
          <w:szCs w:val="24"/>
          <w:highlight w:val="none"/>
        </w:rPr>
        <w:t>,</w:t>
      </w:r>
      <w:r>
        <w:rPr>
          <w:rFonts w:hint="eastAsia"/>
          <w:highlight w:val="none"/>
        </w:rPr>
        <w:t>本项目位于杭州科技职业技术学院翠苑校区，主要建设内容为</w:t>
      </w:r>
      <w:r>
        <w:rPr>
          <w:rFonts w:hint="eastAsia" w:ascii="宋体" w:hAnsi="宋体" w:cs="宋体"/>
          <w:b/>
          <w:szCs w:val="21"/>
          <w:highlight w:val="none"/>
          <w:u w:val="single"/>
        </w:rPr>
        <w:t>开放教育楼培训教室改造及卫生间改造、南北办公楼建筑立面改造及卫生间改造、终身教育楼露台及屋面翻新。</w:t>
      </w:r>
      <w:r>
        <w:rPr>
          <w:rFonts w:hint="eastAsia" w:ascii="宋体" w:hAnsi="宋体" w:cs="宋体"/>
          <w:bCs/>
          <w:szCs w:val="21"/>
          <w:highlight w:val="none"/>
        </w:rPr>
        <w:t>具体详见工程量清单及其编制说明、竞争性磋商文件、图纸中明确及本需求的内容为准</w:t>
      </w:r>
      <w:r>
        <w:rPr>
          <w:rFonts w:cs="Calibri"/>
          <w:bCs/>
          <w:color w:val="000000"/>
          <w:highlight w:val="none"/>
        </w:rPr>
        <w:t>。</w:t>
      </w:r>
    </w:p>
    <w:p>
      <w:pPr>
        <w:ind w:firstLine="426"/>
        <w:rPr>
          <w:rFonts w:cs="Calibri"/>
          <w:color w:val="000000"/>
          <w:szCs w:val="21"/>
          <w:highlight w:val="none"/>
        </w:rPr>
      </w:pPr>
      <w:r>
        <w:rPr>
          <w:rFonts w:hint="eastAsia" w:cs="Calibri"/>
          <w:color w:val="000000"/>
          <w:szCs w:val="21"/>
          <w:highlight w:val="none"/>
        </w:rPr>
        <w:t>2、</w:t>
      </w:r>
      <w:r>
        <w:rPr>
          <w:rFonts w:cs="Calibri"/>
          <w:color w:val="000000"/>
          <w:szCs w:val="21"/>
          <w:highlight w:val="none"/>
        </w:rPr>
        <w:t>资金来源：</w:t>
      </w:r>
      <w:r>
        <w:rPr>
          <w:rFonts w:hint="eastAsia" w:cs="Calibri"/>
          <w:color w:val="000000"/>
          <w:szCs w:val="21"/>
          <w:highlight w:val="none"/>
        </w:rPr>
        <w:t>财政资金</w:t>
      </w:r>
    </w:p>
    <w:p>
      <w:pPr>
        <w:ind w:firstLine="426"/>
        <w:rPr>
          <w:rFonts w:cs="Calibri"/>
          <w:color w:val="000000"/>
          <w:szCs w:val="21"/>
          <w:highlight w:val="none"/>
        </w:rPr>
      </w:pPr>
      <w:r>
        <w:rPr>
          <w:rFonts w:hint="eastAsia" w:cs="Calibri"/>
          <w:color w:val="000000"/>
          <w:szCs w:val="21"/>
          <w:highlight w:val="none"/>
        </w:rPr>
        <w:t>3、</w:t>
      </w:r>
      <w:r>
        <w:rPr>
          <w:rFonts w:cs="Calibri"/>
          <w:color w:val="000000"/>
          <w:szCs w:val="21"/>
          <w:highlight w:val="none"/>
        </w:rPr>
        <w:t>出资比例：100%</w:t>
      </w:r>
    </w:p>
    <w:p>
      <w:pPr>
        <w:ind w:firstLine="426"/>
        <w:rPr>
          <w:highlight w:val="none"/>
        </w:rPr>
      </w:pPr>
      <w:r>
        <w:rPr>
          <w:rFonts w:hint="eastAsia"/>
          <w:highlight w:val="none"/>
        </w:rPr>
        <w:t>4、</w:t>
      </w:r>
      <w:r>
        <w:rPr>
          <w:highlight w:val="none"/>
        </w:rPr>
        <w:t>资金落实情况：已落实</w:t>
      </w:r>
    </w:p>
    <w:p>
      <w:pPr>
        <w:pStyle w:val="4"/>
        <w:rPr>
          <w:highlight w:val="none"/>
        </w:rPr>
      </w:pPr>
      <w:bookmarkStart w:id="79" w:name="_Toc20886"/>
      <w:bookmarkStart w:id="80" w:name="_Toc12526"/>
      <w:bookmarkStart w:id="81" w:name="_Toc1323"/>
      <w:r>
        <w:rPr>
          <w:rFonts w:hint="eastAsia"/>
          <w:highlight w:val="none"/>
        </w:rPr>
        <w:t>二、</w:t>
      </w:r>
      <w:bookmarkEnd w:id="79"/>
      <w:r>
        <w:rPr>
          <w:rFonts w:hint="eastAsia"/>
          <w:highlight w:val="none"/>
        </w:rPr>
        <w:t>工程内容</w:t>
      </w:r>
      <w:bookmarkEnd w:id="80"/>
      <w:bookmarkEnd w:id="81"/>
    </w:p>
    <w:p>
      <w:pPr>
        <w:ind w:firstLine="428"/>
        <w:rPr>
          <w:b/>
          <w:bCs/>
          <w:highlight w:val="none"/>
        </w:rPr>
      </w:pPr>
      <w:r>
        <w:rPr>
          <w:rFonts w:hint="eastAsia"/>
          <w:b/>
          <w:bCs/>
          <w:highlight w:val="none"/>
        </w:rPr>
        <w:t>1、工程名称</w:t>
      </w:r>
    </w:p>
    <w:p>
      <w:pPr>
        <w:ind w:firstLine="426"/>
        <w:rPr>
          <w:highlight w:val="none"/>
          <w:u w:val="single"/>
        </w:rPr>
      </w:pPr>
      <w:r>
        <w:rPr>
          <w:rFonts w:hint="eastAsia"/>
          <w:highlight w:val="none"/>
          <w:u w:val="single"/>
        </w:rPr>
        <w:t>杭州科技职业学院翠苑校区教学及辅助设施修缮工程</w:t>
      </w:r>
    </w:p>
    <w:p>
      <w:pPr>
        <w:ind w:firstLine="428"/>
        <w:rPr>
          <w:b/>
          <w:highlight w:val="none"/>
        </w:rPr>
      </w:pPr>
      <w:r>
        <w:rPr>
          <w:rFonts w:hint="eastAsia"/>
          <w:b/>
          <w:highlight w:val="none"/>
        </w:rPr>
        <w:t>2.现场条件</w:t>
      </w:r>
    </w:p>
    <w:p>
      <w:pPr>
        <w:ind w:firstLine="426"/>
        <w:rPr>
          <w:highlight w:val="none"/>
        </w:rPr>
      </w:pPr>
      <w:r>
        <w:rPr>
          <w:rFonts w:hint="eastAsia"/>
          <w:highlight w:val="none"/>
        </w:rPr>
        <w:t>（1）已具备施工条件，但施工不能影响采购人正常的工作。</w:t>
      </w:r>
    </w:p>
    <w:p>
      <w:pPr>
        <w:ind w:firstLine="426"/>
        <w:rPr>
          <w:highlight w:val="none"/>
        </w:rPr>
      </w:pPr>
      <w:r>
        <w:rPr>
          <w:rFonts w:hint="eastAsia"/>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实地踏勘联系人：沈老师（电话：18167186256）</w:t>
      </w:r>
    </w:p>
    <w:p>
      <w:pPr>
        <w:ind w:firstLine="426"/>
        <w:rPr>
          <w:highlight w:val="none"/>
        </w:rPr>
      </w:pPr>
      <w:r>
        <w:rPr>
          <w:rFonts w:hint="eastAsia"/>
          <w:highlight w:val="none"/>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pPr>
        <w:ind w:firstLine="426"/>
        <w:rPr>
          <w:highlight w:val="none"/>
        </w:rPr>
      </w:pPr>
      <w:r>
        <w:rPr>
          <w:rFonts w:hint="eastAsia"/>
          <w:highlight w:val="none"/>
        </w:rPr>
        <w:br w:type="page"/>
      </w:r>
    </w:p>
    <w:p>
      <w:pPr>
        <w:ind w:firstLine="428"/>
        <w:rPr>
          <w:b/>
          <w:highlight w:val="none"/>
        </w:rPr>
      </w:pPr>
      <w:r>
        <w:rPr>
          <w:rFonts w:hint="eastAsia"/>
          <w:b/>
          <w:highlight w:val="none"/>
        </w:rPr>
        <w:t>3.工程承包方式和计价方式</w:t>
      </w:r>
    </w:p>
    <w:p>
      <w:pPr>
        <w:ind w:firstLine="426"/>
        <w:rPr>
          <w:highlight w:val="none"/>
        </w:rPr>
      </w:pPr>
      <w:r>
        <w:rPr>
          <w:rFonts w:hint="eastAsia"/>
          <w:highlight w:val="none"/>
        </w:rPr>
        <w:t>（1）承包方式</w:t>
      </w:r>
    </w:p>
    <w:p>
      <w:pPr>
        <w:ind w:firstLine="426"/>
        <w:rPr>
          <w:highlight w:val="none"/>
        </w:rPr>
      </w:pPr>
      <w:r>
        <w:rPr>
          <w:rFonts w:hint="eastAsia"/>
          <w:highlight w:val="none"/>
        </w:rPr>
        <w:t>本工程采用</w:t>
      </w:r>
      <w:r>
        <w:rPr>
          <w:rFonts w:hint="eastAsia"/>
          <w:b/>
          <w:highlight w:val="none"/>
        </w:rPr>
        <w:t>固定综合单价</w:t>
      </w:r>
      <w:r>
        <w:rPr>
          <w:rFonts w:hint="eastAsia"/>
          <w:highlight w:val="none"/>
        </w:rPr>
        <w:t>方式承包。承包范围内的工程由承包人包工包料、包检测、包质量、包安全防护、包文明施工、包工期、包验收。</w:t>
      </w:r>
    </w:p>
    <w:p>
      <w:pPr>
        <w:ind w:firstLine="426"/>
        <w:rPr>
          <w:highlight w:val="none"/>
        </w:rPr>
      </w:pPr>
      <w:r>
        <w:rPr>
          <w:rFonts w:hint="eastAsia"/>
          <w:highlight w:val="none"/>
        </w:rPr>
        <w:t>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pPr>
        <w:ind w:firstLine="426"/>
        <w:rPr>
          <w:highlight w:val="none"/>
        </w:rPr>
      </w:pPr>
      <w:r>
        <w:rPr>
          <w:rFonts w:hint="eastAsia"/>
          <w:highlight w:val="none"/>
        </w:rPr>
        <w:t>（2）计价方式</w:t>
      </w:r>
    </w:p>
    <w:p>
      <w:pPr>
        <w:ind w:firstLine="426"/>
        <w:rPr>
          <w:highlight w:val="none"/>
        </w:rPr>
      </w:pPr>
      <w:r>
        <w:rPr>
          <w:rFonts w:hint="eastAsia"/>
          <w:highlight w:val="none"/>
        </w:rPr>
        <w:t>采用工程量清单方式计价，</w:t>
      </w:r>
      <w:r>
        <w:rPr>
          <w:rFonts w:hint="eastAsia"/>
          <w:b/>
          <w:bCs/>
          <w:highlight w:val="none"/>
        </w:rPr>
        <w:t>工程量按实结算</w:t>
      </w:r>
      <w:r>
        <w:rPr>
          <w:rFonts w:hint="eastAsia"/>
          <w:highlight w:val="none"/>
        </w:rPr>
        <w:t>。建设工程安全防护、文明施工措施费用不得作为竞争性费用，其他措施项目费按磋商报价包干，不再调整。</w:t>
      </w:r>
    </w:p>
    <w:p>
      <w:pPr>
        <w:ind w:firstLine="426"/>
        <w:rPr>
          <w:highlight w:val="none"/>
        </w:rPr>
      </w:pPr>
      <w:r>
        <w:rPr>
          <w:rFonts w:hint="eastAsia"/>
          <w:highlight w:val="none"/>
        </w:rPr>
        <w:t>按浙江省现行计价依据（浙江省建设工程定额：建筑、安装、市政、园林等），辅材按定额单价，人工、主材按施工当月所在省市信息价组价，如有以上定额和信息价均未包含的材料，则该材料的价格经成交供应商市场询价后报价，最终以采购人委托审计单位审定为准；除政府指令性文件外，合同期内定额机械单价、辅材单价结算时不得调整，按现行定额进行组价。</w:t>
      </w:r>
    </w:p>
    <w:p>
      <w:pPr>
        <w:ind w:firstLine="426"/>
        <w:rPr>
          <w:highlight w:val="none"/>
        </w:rPr>
      </w:pPr>
      <w:r>
        <w:rPr>
          <w:rFonts w:hint="eastAsia"/>
          <w:highlight w:val="none"/>
        </w:rPr>
        <w:t>（3）磋商供应商的投标报价，应是完成本项目工程范围的全部内容，不得以任何理由予以重复作为磋商供应商计算单价或总价的依据。</w:t>
      </w:r>
    </w:p>
    <w:p>
      <w:pPr>
        <w:ind w:firstLine="426"/>
        <w:rPr>
          <w:highlight w:val="none"/>
        </w:rPr>
      </w:pPr>
      <w:r>
        <w:rPr>
          <w:rFonts w:hint="eastAsia"/>
          <w:highlight w:val="none"/>
        </w:rPr>
        <w:t>（4）磋商供应商应按采购人提供的工程量清单中列出的工程内容、数量，填报单价和合价。每一项目只允许有一个报价。任何有选择的报价将不予接受。</w:t>
      </w:r>
    </w:p>
    <w:p>
      <w:pPr>
        <w:ind w:firstLine="426"/>
        <w:rPr>
          <w:highlight w:val="none"/>
        </w:rPr>
      </w:pPr>
      <w:r>
        <w:rPr>
          <w:rFonts w:hint="eastAsia"/>
          <w:highlight w:val="none"/>
        </w:rPr>
        <w:t>（5）本项目的施工产生的临时用电、用水点位，由承包人自行接线，费用涵盖在磋商报价内。</w:t>
      </w:r>
    </w:p>
    <w:p>
      <w:pPr>
        <w:ind w:firstLine="426"/>
        <w:rPr>
          <w:highlight w:val="none"/>
        </w:rPr>
      </w:pPr>
      <w:r>
        <w:rPr>
          <w:rFonts w:hint="eastAsia"/>
          <w:highlight w:val="none"/>
        </w:rPr>
        <w:t>（6）如有材料检验检测，磋商供应商承担相应材料检验检测费用，费用包含在总价内。相关费用在最终报价中综合考虑，今后不得调整。</w:t>
      </w:r>
    </w:p>
    <w:p>
      <w:pPr>
        <w:ind w:firstLine="426"/>
        <w:rPr>
          <w:highlight w:val="none"/>
        </w:rPr>
      </w:pPr>
      <w:r>
        <w:rPr>
          <w:rFonts w:hint="eastAsia"/>
          <w:highlight w:val="none"/>
        </w:rPr>
        <w:t>（7）工程施工中造成采购人其它设施、设备等的破损须修复原状，费用自行考虑报价。</w:t>
      </w:r>
    </w:p>
    <w:p>
      <w:pPr>
        <w:ind w:firstLine="426"/>
        <w:rPr>
          <w:highlight w:val="none"/>
        </w:rPr>
      </w:pPr>
      <w:r>
        <w:rPr>
          <w:rFonts w:hint="eastAsia"/>
          <w:highlight w:val="none"/>
        </w:rPr>
        <w:t>（8）本项目周边无搭设临时设施场地，项目施工人员住宿、办公用房及材料仓库等临时设施由磋商供应商自行负责，相关费用在措施费中考虑，费用包干，不报或漏报视作优惠。</w:t>
      </w:r>
    </w:p>
    <w:p>
      <w:pPr>
        <w:ind w:firstLine="428"/>
        <w:rPr>
          <w:b/>
          <w:bCs/>
          <w:highlight w:val="none"/>
        </w:rPr>
      </w:pPr>
      <w:r>
        <w:rPr>
          <w:rFonts w:hint="eastAsia"/>
          <w:b/>
          <w:bCs/>
          <w:highlight w:val="none"/>
        </w:rPr>
        <w:t>注：竞争性磋商包含两次报价，初始报价为磋商供应商在响应文件中的报价，磋商后，磋商供应商填写最终报价。</w:t>
      </w:r>
    </w:p>
    <w:p>
      <w:pPr>
        <w:spacing w:line="312" w:lineRule="auto"/>
        <w:ind w:firstLine="428"/>
        <w:rPr>
          <w:b/>
          <w:highlight w:val="none"/>
        </w:rPr>
      </w:pPr>
      <w:r>
        <w:rPr>
          <w:rFonts w:hint="eastAsia"/>
          <w:b/>
          <w:highlight w:val="none"/>
        </w:rPr>
        <w:t>4、工程质量标准</w:t>
      </w:r>
    </w:p>
    <w:p>
      <w:pPr>
        <w:pStyle w:val="27"/>
        <w:ind w:firstLine="428"/>
        <w:rPr>
          <w:b/>
          <w:highlight w:val="none"/>
        </w:rPr>
      </w:pPr>
      <w:r>
        <w:rPr>
          <w:b/>
          <w:highlight w:val="none"/>
        </w:rPr>
        <w:t>▲</w:t>
      </w:r>
      <w:r>
        <w:rPr>
          <w:rFonts w:hint="eastAsia"/>
          <w:szCs w:val="21"/>
          <w:highlight w:val="none"/>
        </w:rPr>
        <w:t>工程质量符合</w:t>
      </w:r>
      <w:r>
        <w:rPr>
          <w:rFonts w:hint="eastAsia"/>
          <w:b/>
          <w:szCs w:val="21"/>
          <w:highlight w:val="none"/>
          <w:u w:val="single"/>
        </w:rPr>
        <w:t xml:space="preserve"> 国家规定的验收合格标准，一次性验收合格 </w:t>
      </w:r>
      <w:r>
        <w:rPr>
          <w:rFonts w:hint="eastAsia"/>
          <w:szCs w:val="21"/>
          <w:highlight w:val="none"/>
        </w:rPr>
        <w:t>标准</w:t>
      </w:r>
    </w:p>
    <w:p>
      <w:pPr>
        <w:ind w:firstLine="428"/>
        <w:rPr>
          <w:b/>
          <w:highlight w:val="none"/>
        </w:rPr>
      </w:pPr>
      <w:r>
        <w:rPr>
          <w:rFonts w:hint="eastAsia"/>
          <w:b/>
          <w:highlight w:val="none"/>
        </w:rPr>
        <w:t>5.工程施工要求</w:t>
      </w:r>
    </w:p>
    <w:p>
      <w:pPr>
        <w:ind w:firstLine="426"/>
        <w:rPr>
          <w:bCs/>
          <w:highlight w:val="none"/>
        </w:rPr>
      </w:pPr>
      <w:r>
        <w:rPr>
          <w:rFonts w:hint="eastAsia"/>
          <w:bCs/>
          <w:highlight w:val="none"/>
        </w:rPr>
        <w:t>（1）施工严格按照规范要求进行施工，达到各项拟定的设计指标。</w:t>
      </w:r>
    </w:p>
    <w:p>
      <w:pPr>
        <w:ind w:firstLine="426"/>
        <w:rPr>
          <w:bCs/>
          <w:highlight w:val="none"/>
        </w:rPr>
      </w:pPr>
      <w:r>
        <w:rPr>
          <w:rFonts w:hint="eastAsia"/>
          <w:bCs/>
          <w:highlight w:val="none"/>
        </w:rPr>
        <w:t>（2）在免费保修期内，成交供应商对有缺陷的部位必须无偿地给予修理与更换，并承担一切由此引起的对采购人或第三者的直接损失，除非该缺陷是由于人为破坏或合同规定的不可抗因素造成的损坏。</w:t>
      </w:r>
    </w:p>
    <w:p>
      <w:pPr>
        <w:ind w:firstLine="426"/>
        <w:rPr>
          <w:bCs/>
          <w:highlight w:val="none"/>
        </w:rPr>
      </w:pPr>
      <w:r>
        <w:rPr>
          <w:rFonts w:hint="eastAsia"/>
          <w:bCs/>
          <w:highlight w:val="none"/>
        </w:rPr>
        <w:t>（3）成交供应商对所承包工程的质量负全部责任，其责任不因其他材料生产商提供的保证书而减轻或更改。</w:t>
      </w:r>
    </w:p>
    <w:p>
      <w:pPr>
        <w:ind w:firstLine="426"/>
        <w:rPr>
          <w:bCs/>
          <w:highlight w:val="none"/>
        </w:rPr>
      </w:pPr>
      <w:r>
        <w:rPr>
          <w:rFonts w:hint="eastAsia"/>
          <w:bCs/>
          <w:highlight w:val="none"/>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pPr>
        <w:ind w:firstLine="426"/>
        <w:rPr>
          <w:bCs/>
          <w:highlight w:val="none"/>
        </w:rPr>
      </w:pPr>
      <w:r>
        <w:rPr>
          <w:rFonts w:hint="eastAsia"/>
          <w:bCs/>
          <w:highlight w:val="none"/>
        </w:rPr>
        <w:t>（5）施工噪声</w:t>
      </w:r>
    </w:p>
    <w:p>
      <w:pPr>
        <w:ind w:firstLine="426"/>
        <w:rPr>
          <w:bCs/>
          <w:highlight w:val="none"/>
        </w:rPr>
      </w:pPr>
      <w:r>
        <w:rPr>
          <w:rFonts w:hint="eastAsia"/>
          <w:bCs/>
          <w:highlight w:val="none"/>
        </w:rPr>
        <w:t>施工过程中尽量选用低噪声设备，加强高噪声施工设备的维修管理，减少设备非正常的噪声，施工车辆的运行路线和时间尽量避开噪声敏感区和噪声敏感时段，按采购人管理要求尽量减少对学校正常工作的干扰。</w:t>
      </w:r>
    </w:p>
    <w:p>
      <w:pPr>
        <w:ind w:firstLine="426"/>
        <w:rPr>
          <w:bCs/>
          <w:highlight w:val="none"/>
        </w:rPr>
      </w:pPr>
      <w:r>
        <w:rPr>
          <w:rFonts w:hint="eastAsia"/>
          <w:bCs/>
          <w:highlight w:val="none"/>
        </w:rPr>
        <w:t>（6）建筑垃圾、生活垃圾</w:t>
      </w:r>
    </w:p>
    <w:p>
      <w:pPr>
        <w:ind w:firstLine="426"/>
        <w:rPr>
          <w:bCs/>
          <w:highlight w:val="none"/>
        </w:rPr>
      </w:pPr>
      <w:r>
        <w:rPr>
          <w:rFonts w:hint="eastAsia"/>
          <w:bCs/>
          <w:highlight w:val="none"/>
        </w:rPr>
        <w:t>施工现场应做到“落手清”，工程施工中产生的废建筑材料、建筑施工垃圾、施工人员生活垃圾，不能随意堆放，应及时清运、妥善处理，做到工完料尽场地清。</w:t>
      </w:r>
      <w:r>
        <w:rPr>
          <w:rFonts w:hint="eastAsia"/>
          <w:b/>
          <w:highlight w:val="none"/>
        </w:rPr>
        <w:t>费用包含在总价内。</w:t>
      </w:r>
    </w:p>
    <w:p>
      <w:pPr>
        <w:ind w:firstLine="426"/>
        <w:rPr>
          <w:bCs/>
          <w:highlight w:val="none"/>
        </w:rPr>
      </w:pPr>
      <w:r>
        <w:rPr>
          <w:rFonts w:hint="eastAsia"/>
          <w:bCs/>
          <w:highlight w:val="none"/>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pPr>
        <w:ind w:firstLine="426"/>
        <w:rPr>
          <w:bCs/>
          <w:highlight w:val="none"/>
        </w:rPr>
      </w:pPr>
      <w:r>
        <w:rPr>
          <w:rFonts w:hint="eastAsia"/>
          <w:bCs/>
          <w:highlight w:val="none"/>
        </w:rPr>
        <w:t>（8）工程施工全过程中要认真做好成品保护，因失窃或失火造成的损失均由成交供应商负责，凡由此而损及采购人利益时，采购人将向成交供应商索赔。</w:t>
      </w:r>
    </w:p>
    <w:p>
      <w:pPr>
        <w:ind w:firstLine="426"/>
        <w:rPr>
          <w:bCs/>
          <w:highlight w:val="none"/>
        </w:rPr>
      </w:pPr>
      <w:r>
        <w:rPr>
          <w:rFonts w:hint="eastAsia"/>
          <w:bCs/>
          <w:highlight w:val="none"/>
        </w:rPr>
        <w:t>（9）根据《杭州市建委转发《杭州市渣土办关于印发杭州市建筑垃圾处置全程闭环数智化监管技术标准（施行）的通知》（杭建工通知（2022）60号）等文件要求，投标人应充分考虑施工现场的建筑垃圾处置全程闭环数智化管控设备安装、运行及维护费用并列入安全文明施工措施项目费中报价。</w:t>
      </w:r>
    </w:p>
    <w:p>
      <w:pPr>
        <w:ind w:firstLine="428"/>
        <w:rPr>
          <w:b/>
          <w:highlight w:val="none"/>
        </w:rPr>
      </w:pPr>
      <w:r>
        <w:rPr>
          <w:rFonts w:hint="eastAsia"/>
          <w:b/>
          <w:highlight w:val="none"/>
        </w:rPr>
        <w:t>（10）施工过程如涉及占用市政道路，有施工方自行办理相关报批手续并承担所需费用。</w:t>
      </w:r>
    </w:p>
    <w:p>
      <w:pPr>
        <w:ind w:firstLine="428"/>
        <w:rPr>
          <w:b/>
          <w:bCs/>
          <w:highlight w:val="none"/>
        </w:rPr>
      </w:pPr>
      <w:r>
        <w:rPr>
          <w:rFonts w:hint="eastAsia"/>
          <w:b/>
          <w:bCs/>
          <w:highlight w:val="none"/>
        </w:rPr>
        <w:t>6.工程管理要求</w:t>
      </w:r>
    </w:p>
    <w:p>
      <w:pPr>
        <w:ind w:firstLine="426"/>
        <w:rPr>
          <w:highlight w:val="none"/>
        </w:rPr>
      </w:pPr>
      <w:r>
        <w:rPr>
          <w:rFonts w:hint="eastAsia"/>
          <w:highlight w:val="none"/>
        </w:rPr>
        <w:t>（1）本工程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pPr>
        <w:ind w:firstLine="426"/>
        <w:rPr>
          <w:highlight w:val="none"/>
        </w:rPr>
      </w:pPr>
      <w:r>
        <w:rPr>
          <w:rFonts w:hint="eastAsia"/>
          <w:highlight w:val="none"/>
        </w:rPr>
        <w:t>（2）成交供应商严格按照已确认的设计图纸和施工技术方案组织实施，并无条件接受采购人和采购人委托的监理人员的管理。</w:t>
      </w:r>
    </w:p>
    <w:p>
      <w:pPr>
        <w:ind w:firstLine="426"/>
        <w:rPr>
          <w:highlight w:val="none"/>
        </w:rPr>
      </w:pPr>
      <w:r>
        <w:rPr>
          <w:rFonts w:hint="eastAsia"/>
          <w:highlight w:val="none"/>
        </w:rPr>
        <w:t>（3）成交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ind w:firstLine="426"/>
        <w:rPr>
          <w:highlight w:val="none"/>
        </w:rPr>
      </w:pPr>
      <w:r>
        <w:rPr>
          <w:rFonts w:hint="eastAsia"/>
          <w:highlight w:val="none"/>
        </w:rPr>
        <w:t>（4）依据技术文件要求，项目的材料、设备、施工必须达到以下现行中华人民共和国及省、市、行业的一切有关法规、规范的要求，如标准及规范要求有出入则以较严格者为准。</w:t>
      </w:r>
    </w:p>
    <w:p>
      <w:pPr>
        <w:ind w:firstLine="428"/>
        <w:rPr>
          <w:b/>
          <w:highlight w:val="none"/>
        </w:rPr>
      </w:pPr>
      <w:r>
        <w:rPr>
          <w:rFonts w:hint="eastAsia"/>
          <w:b/>
          <w:highlight w:val="none"/>
        </w:rPr>
        <w:t>7.工程主要材料（设备）要求</w:t>
      </w:r>
    </w:p>
    <w:p>
      <w:pPr>
        <w:ind w:firstLine="426"/>
        <w:rPr>
          <w:bCs/>
          <w:highlight w:val="none"/>
        </w:rPr>
      </w:pPr>
      <w:r>
        <w:rPr>
          <w:rFonts w:hint="eastAsia"/>
          <w:bCs/>
          <w:highlight w:val="none"/>
        </w:rPr>
        <w:t>（1）材料选择</w:t>
      </w:r>
    </w:p>
    <w:p>
      <w:pPr>
        <w:ind w:firstLine="426"/>
        <w:rPr>
          <w:bCs/>
          <w:highlight w:val="none"/>
        </w:rPr>
      </w:pPr>
      <w:r>
        <w:rPr>
          <w:rFonts w:hint="eastAsia"/>
          <w:bCs/>
          <w:highlight w:val="none"/>
        </w:rPr>
        <w:t>本工程使用的原材料必须符合设计要求和施工规范的规定，</w:t>
      </w:r>
      <w:r>
        <w:rPr>
          <w:rFonts w:hint="eastAsia"/>
          <w:highlight w:val="none"/>
        </w:rPr>
        <w:t>所有建筑材料必须要求合乎国家健康标准的环保型材料</w:t>
      </w:r>
      <w:r>
        <w:rPr>
          <w:rFonts w:hint="eastAsia"/>
          <w:bCs/>
          <w:highlight w:val="none"/>
        </w:rPr>
        <w:t>。</w:t>
      </w:r>
    </w:p>
    <w:p>
      <w:pPr>
        <w:ind w:firstLine="426"/>
        <w:rPr>
          <w:bCs/>
          <w:highlight w:val="none"/>
        </w:rPr>
      </w:pPr>
      <w:r>
        <w:rPr>
          <w:rFonts w:hint="eastAsia"/>
          <w:bCs/>
          <w:highlight w:val="none"/>
        </w:rPr>
        <w:t>实际施工过程中，甲方将严格检查验收进场原材料的合格证及质保书，如发现实样与质保书不符，应立即取样进行复查，对不合格的材料严禁用于本工程。</w:t>
      </w:r>
    </w:p>
    <w:p>
      <w:pPr>
        <w:ind w:firstLine="426"/>
        <w:rPr>
          <w:rFonts w:ascii="宋体" w:hAnsi="宋体"/>
          <w:color w:val="000000"/>
          <w:szCs w:val="24"/>
          <w:highlight w:val="none"/>
        </w:rPr>
      </w:pPr>
      <w:r>
        <w:rPr>
          <w:rFonts w:hint="eastAsia"/>
          <w:bCs/>
          <w:highlight w:val="none"/>
        </w:rPr>
        <w:t>本工程涉及的主要材料及零星材料，各磋商供应商须根据采购人要求及规范进行选材并报价，所有材料要求采用在行业内有一定知名度的品牌产品(招标文件已定品牌的按招标文件)，材料生产厂家必须通过ISO质量认证，并符合环保要求，严禁选择不合设计要求的低档材料进行投标报价及组织施工实施。</w:t>
      </w:r>
      <w:r>
        <w:rPr>
          <w:rFonts w:hint="eastAsia" w:cs="Calibri"/>
          <w:b/>
          <w:color w:val="000000"/>
          <w:szCs w:val="21"/>
          <w:highlight w:val="none"/>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ind w:firstLine="426"/>
        <w:rPr>
          <w:bCs/>
          <w:highlight w:val="none"/>
        </w:rPr>
      </w:pPr>
      <w:r>
        <w:rPr>
          <w:rFonts w:hint="eastAsia"/>
          <w:bCs/>
          <w:highlight w:val="none"/>
        </w:rPr>
        <w:t>（2）主要材料（设备）的要求</w:t>
      </w:r>
    </w:p>
    <w:p>
      <w:pPr>
        <w:ind w:firstLine="426"/>
        <w:rPr>
          <w:bCs/>
          <w:highlight w:val="none"/>
        </w:rPr>
      </w:pPr>
      <w:r>
        <w:rPr>
          <w:rFonts w:hint="eastAsia"/>
          <w:bCs/>
          <w:highlight w:val="none"/>
        </w:rPr>
        <w:t>1）投标时需注明选用材料（设备）品牌，未注明品牌的，中标后采购人可在采购文件和工程量清单编制说明中的推荐品牌中指定任何一个品牌，且结算单价不变，成交人不得有任何异议，相关风险由成交人承担。</w:t>
      </w:r>
    </w:p>
    <w:p>
      <w:pPr>
        <w:ind w:firstLine="426"/>
        <w:rPr>
          <w:bCs/>
          <w:highlight w:val="none"/>
        </w:rPr>
      </w:pPr>
      <w:r>
        <w:rPr>
          <w:rFonts w:hint="eastAsia"/>
          <w:bCs/>
          <w:highlight w:val="none"/>
        </w:rPr>
        <w:t>2）供应商在投标文件中若提供了采购文件推荐品牌外的产品，应提供与推荐品牌产品同档次及以上的证明材料。评标时，评标专家应根据供应商的证明材料及专业水平进行谨慎评标。</w:t>
      </w:r>
    </w:p>
    <w:p>
      <w:pPr>
        <w:ind w:firstLine="426"/>
        <w:rPr>
          <w:bCs/>
          <w:highlight w:val="none"/>
        </w:rPr>
      </w:pPr>
      <w:r>
        <w:rPr>
          <w:rFonts w:hint="eastAsia"/>
          <w:bCs/>
          <w:highlight w:val="none"/>
        </w:rPr>
        <w:t>（3）材料的质量保证</w:t>
      </w:r>
    </w:p>
    <w:p>
      <w:pPr>
        <w:ind w:firstLine="426"/>
        <w:rPr>
          <w:bCs/>
          <w:highlight w:val="none"/>
        </w:rPr>
      </w:pPr>
      <w:r>
        <w:rPr>
          <w:rFonts w:hint="eastAsia"/>
          <w:bCs/>
          <w:highlight w:val="none"/>
        </w:rPr>
        <w:t>1）在免费保修期内，成交人对有缺陷的部位必须无偿地给予修理与更换，并承担一切由此引起的对采购人或第三者的直接损失，除非该缺陷是由于人为破坏或合同规定的不可抗因素造成的损坏。</w:t>
      </w:r>
    </w:p>
    <w:p>
      <w:pPr>
        <w:ind w:firstLine="426"/>
        <w:rPr>
          <w:bCs/>
          <w:highlight w:val="none"/>
        </w:rPr>
      </w:pPr>
      <w:r>
        <w:rPr>
          <w:rFonts w:hint="eastAsia"/>
          <w:bCs/>
          <w:highlight w:val="none"/>
        </w:rPr>
        <w:t>2）成交人必须对所承包工程的质量负全部责任，其责任不因其他材料生产商提供的保证书而减轻或更改。</w:t>
      </w:r>
    </w:p>
    <w:p>
      <w:pPr>
        <w:ind w:firstLine="426"/>
        <w:rPr>
          <w:highlight w:val="none"/>
        </w:rPr>
      </w:pPr>
      <w:r>
        <w:rPr>
          <w:highlight w:val="none"/>
        </w:rPr>
        <w:t>3）材料检验按政府部门相关规定的见证取样和送检规定的程序进行。凡检验结果证明其有害物质含量指标超标的产品不得在工程上使用。</w:t>
      </w:r>
    </w:p>
    <w:p>
      <w:pPr>
        <w:ind w:firstLine="426"/>
        <w:rPr>
          <w:highlight w:val="none"/>
        </w:rPr>
      </w:pPr>
      <w:r>
        <w:rPr>
          <w:rFonts w:hint="eastAsia"/>
          <w:highlight w:val="none"/>
        </w:rPr>
        <w:t>（4）</w:t>
      </w:r>
      <w:r>
        <w:rPr>
          <w:highlight w:val="none"/>
        </w:rPr>
        <w:t>供应要求</w:t>
      </w:r>
    </w:p>
    <w:p>
      <w:pPr>
        <w:ind w:firstLine="426"/>
        <w:rPr>
          <w:highlight w:val="none"/>
        </w:rPr>
      </w:pPr>
      <w:r>
        <w:rPr>
          <w:highlight w:val="none"/>
        </w:rPr>
        <w:t>1）本次采购范围内的建筑施工材料均由承包人根据本竞争性磋商文件、磋商响应文件、国家有关规定的具体要求进行采购、运输、检验、保管，但采购人保留变更和指定材料的权利；所有建筑材料须有产品合格证，质量保证书、国家规定的认证证书、报告。</w:t>
      </w:r>
    </w:p>
    <w:p>
      <w:pPr>
        <w:ind w:firstLine="426"/>
        <w:rPr>
          <w:rFonts w:cs="Calibri"/>
          <w:color w:val="000000"/>
          <w:szCs w:val="21"/>
          <w:highlight w:val="none"/>
        </w:rPr>
      </w:pPr>
      <w:r>
        <w:rPr>
          <w:rFonts w:cs="Calibri"/>
          <w:color w:val="000000"/>
          <w:szCs w:val="21"/>
          <w:highlight w:val="none"/>
        </w:rPr>
        <w:t>2）由承包人采购的主要材料设备，当承包人选定的产品质量达不到设计要求和预期质量目标时，采购人保留更换的权利，且合同价不予调整。</w:t>
      </w:r>
    </w:p>
    <w:p>
      <w:pPr>
        <w:ind w:firstLine="426"/>
        <w:rPr>
          <w:highlight w:val="none"/>
        </w:rPr>
      </w:pPr>
      <w:r>
        <w:rPr>
          <w:rFonts w:hint="eastAsia"/>
          <w:highlight w:val="none"/>
        </w:rPr>
        <w:t>3）</w:t>
      </w:r>
      <w:r>
        <w:rPr>
          <w:highlight w:val="none"/>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pPr>
        <w:pStyle w:val="4"/>
        <w:rPr>
          <w:highlight w:val="none"/>
        </w:rPr>
      </w:pPr>
      <w:bookmarkStart w:id="82" w:name="_Toc18701"/>
      <w:bookmarkStart w:id="83" w:name="_Toc16523"/>
      <w:r>
        <w:rPr>
          <w:rFonts w:hint="eastAsia"/>
          <w:highlight w:val="none"/>
        </w:rPr>
        <w:t>三、商务要求</w:t>
      </w:r>
      <w:bookmarkEnd w:id="82"/>
      <w:bookmarkEnd w:id="83"/>
    </w:p>
    <w:p>
      <w:pPr>
        <w:spacing w:line="300" w:lineRule="auto"/>
        <w:ind w:firstLine="428"/>
        <w:rPr>
          <w:b/>
          <w:bCs/>
          <w:highlight w:val="none"/>
        </w:rPr>
      </w:pPr>
      <w:r>
        <w:rPr>
          <w:rFonts w:hint="eastAsia"/>
          <w:b/>
          <w:bCs/>
          <w:highlight w:val="none"/>
        </w:rPr>
        <w:t>1、工期要求：</w:t>
      </w:r>
    </w:p>
    <w:p>
      <w:pPr>
        <w:ind w:firstLine="426"/>
        <w:rPr>
          <w:highlight w:val="none"/>
        </w:rPr>
      </w:pPr>
      <w:r>
        <w:rPr>
          <w:rFonts w:hint="eastAsia"/>
          <w:highlight w:val="none"/>
        </w:rPr>
        <w:t>（1）</w:t>
      </w:r>
      <w:r>
        <w:rPr>
          <w:highlight w:val="none"/>
        </w:rPr>
        <w:t>▲</w:t>
      </w:r>
      <w:r>
        <w:rPr>
          <w:b/>
          <w:bCs/>
          <w:highlight w:val="none"/>
        </w:rPr>
        <w:t>施工工期：60</w:t>
      </w:r>
      <w:r>
        <w:rPr>
          <w:rFonts w:hint="eastAsia"/>
          <w:b/>
          <w:bCs/>
          <w:highlight w:val="none"/>
        </w:rPr>
        <w:t>日历</w:t>
      </w:r>
      <w:r>
        <w:rPr>
          <w:b/>
          <w:bCs/>
          <w:highlight w:val="none"/>
        </w:rPr>
        <w:t>天。</w:t>
      </w:r>
    </w:p>
    <w:p>
      <w:pPr>
        <w:ind w:firstLine="426"/>
        <w:rPr>
          <w:highlight w:val="none"/>
        </w:rPr>
      </w:pPr>
      <w:r>
        <w:rPr>
          <w:rFonts w:hint="eastAsia"/>
          <w:highlight w:val="none"/>
        </w:rPr>
        <w:t>如遇不可抗力或其他特殊情况需施工方与采购人协调后书面做出是否同意延期的施工要求。供应商须确保按期完工，并在磋商响应文件中列出详细的工期进度计划。</w:t>
      </w:r>
    </w:p>
    <w:p>
      <w:pPr>
        <w:ind w:firstLine="426"/>
        <w:rPr>
          <w:highlight w:val="none"/>
        </w:rPr>
      </w:pPr>
      <w:r>
        <w:rPr>
          <w:rFonts w:hint="eastAsia"/>
          <w:highlight w:val="none"/>
        </w:rPr>
        <w:t>（2）成交供应商中标后，因按照采购人质量需求及时间限制内完成项目实施，如未能如约完成影响使用。</w:t>
      </w:r>
    </w:p>
    <w:p>
      <w:pPr>
        <w:ind w:firstLine="428"/>
        <w:rPr>
          <w:highlight w:val="none"/>
        </w:rPr>
      </w:pPr>
      <w:r>
        <w:rPr>
          <w:rFonts w:hint="eastAsia"/>
          <w:b/>
          <w:bCs/>
          <w:highlight w:val="none"/>
        </w:rPr>
        <w:t>2.工程地点：</w:t>
      </w:r>
      <w:r>
        <w:rPr>
          <w:rFonts w:hint="eastAsia"/>
          <w:highlight w:val="none"/>
        </w:rPr>
        <w:t>杭州市西湖区毛家桥路26号</w:t>
      </w:r>
    </w:p>
    <w:p>
      <w:pPr>
        <w:ind w:firstLine="428"/>
        <w:rPr>
          <w:highlight w:val="none"/>
        </w:rPr>
      </w:pPr>
      <w:r>
        <w:rPr>
          <w:rFonts w:hint="eastAsia"/>
          <w:b/>
          <w:bCs/>
          <w:highlight w:val="none"/>
        </w:rPr>
        <w:t>3.履约保证金：</w:t>
      </w:r>
      <w:r>
        <w:rPr>
          <w:rFonts w:hint="eastAsia"/>
          <w:highlight w:val="none"/>
        </w:rPr>
        <w:t>合同签订后，成交供应商须在7日历天内向采购人提供合同总金额1%的履约保证金。履约保证金可采用</w:t>
      </w:r>
      <w:r>
        <w:rPr>
          <w:rFonts w:hint="eastAsia"/>
          <w:highlight w:val="none"/>
        </w:rPr>
        <w:sym w:font="Wingdings 2" w:char="0052"/>
      </w:r>
      <w:r>
        <w:rPr>
          <w:rFonts w:hint="eastAsia"/>
          <w:highlight w:val="none"/>
        </w:rPr>
        <w:t xml:space="preserve">银行转账  </w:t>
      </w:r>
      <w:r>
        <w:rPr>
          <w:rFonts w:hint="eastAsia"/>
          <w:highlight w:val="none"/>
        </w:rPr>
        <w:sym w:font="Wingdings 2" w:char="0052"/>
      </w:r>
      <w:r>
        <w:rPr>
          <w:rFonts w:hint="eastAsia"/>
          <w:highlight w:val="none"/>
        </w:rPr>
        <w:t xml:space="preserve">银行保函  </w:t>
      </w:r>
      <w:r>
        <w:rPr>
          <w:rFonts w:hint="eastAsia"/>
          <w:highlight w:val="none"/>
        </w:rPr>
        <w:sym w:font="Wingdings 2" w:char="0052"/>
      </w:r>
      <w:r>
        <w:rPr>
          <w:rFonts w:hint="eastAsia"/>
          <w:highlight w:val="none"/>
        </w:rPr>
        <w:t>保险凭证等。</w:t>
      </w:r>
    </w:p>
    <w:p>
      <w:pPr>
        <w:ind w:firstLine="428"/>
        <w:rPr>
          <w:b/>
          <w:bCs/>
          <w:highlight w:val="none"/>
        </w:rPr>
      </w:pPr>
      <w:r>
        <w:rPr>
          <w:rFonts w:hint="eastAsia"/>
          <w:b/>
          <w:bCs/>
          <w:highlight w:val="none"/>
        </w:rPr>
        <w:t>4.付款进度和方式</w:t>
      </w:r>
    </w:p>
    <w:p>
      <w:pPr>
        <w:ind w:firstLine="426"/>
        <w:rPr>
          <w:highlight w:val="none"/>
        </w:rPr>
      </w:pPr>
      <w:r>
        <w:rPr>
          <w:rFonts w:hint="eastAsia"/>
          <w:highlight w:val="none"/>
        </w:rPr>
        <w:t>（1）合同签订后，支付合同价的40%工程款为预付款；</w:t>
      </w:r>
    </w:p>
    <w:p>
      <w:pPr>
        <w:ind w:firstLine="426"/>
        <w:rPr>
          <w:highlight w:val="none"/>
        </w:rPr>
      </w:pPr>
      <w:r>
        <w:rPr>
          <w:rFonts w:hint="eastAsia"/>
          <w:highlight w:val="none"/>
        </w:rPr>
        <w:t>（2）竣工验收合格后支付至合同价的85%；</w:t>
      </w:r>
    </w:p>
    <w:p>
      <w:pPr>
        <w:ind w:firstLine="426"/>
        <w:rPr>
          <w:highlight w:val="none"/>
        </w:rPr>
      </w:pPr>
      <w:r>
        <w:rPr>
          <w:rFonts w:hint="eastAsia"/>
          <w:highlight w:val="none"/>
        </w:rPr>
        <w:t>（3）工程结算审计完成后，支付至结算价的100%。同时按合同履约核实情况，结算履约保证金（无息，并扣除违约款）</w:t>
      </w:r>
    </w:p>
    <w:p>
      <w:pPr>
        <w:ind w:firstLine="428"/>
        <w:rPr>
          <w:highlight w:val="none"/>
        </w:rPr>
      </w:pPr>
      <w:r>
        <w:rPr>
          <w:rFonts w:hint="eastAsia"/>
          <w:b/>
          <w:bCs/>
          <w:highlight w:val="none"/>
        </w:rPr>
        <w:t>备注：工程款尾款支付时承包人须提供合同复印件，等额的增值税发票，结算审核报告，工程验收单、履约保证金缴纳证明材料（如现金或转账的提供学校开具的收据；如采用保函或保险的提供相关证明资料）。</w:t>
      </w:r>
    </w:p>
    <w:p>
      <w:pPr>
        <w:ind w:firstLine="426"/>
        <w:rPr>
          <w:highlight w:val="none"/>
        </w:rPr>
      </w:pPr>
      <w:r>
        <w:rPr>
          <w:rFonts w:hint="eastAsia"/>
          <w:highlight w:val="none"/>
        </w:rPr>
        <w:t>备注：在签订合同时，中标人明确表示无需预付款或者主动要求降低预付款比例的，可降低预付款比例。</w:t>
      </w:r>
    </w:p>
    <w:p>
      <w:pPr>
        <w:ind w:firstLine="428"/>
        <w:rPr>
          <w:b/>
          <w:bCs/>
          <w:highlight w:val="none"/>
        </w:rPr>
      </w:pPr>
      <w:r>
        <w:rPr>
          <w:rFonts w:hint="eastAsia"/>
          <w:b/>
          <w:bCs/>
          <w:highlight w:val="none"/>
        </w:rPr>
        <w:t>5.工程售后服务要求</w:t>
      </w:r>
    </w:p>
    <w:p>
      <w:pPr>
        <w:ind w:firstLine="426"/>
        <w:rPr>
          <w:highlight w:val="none"/>
        </w:rPr>
      </w:pPr>
      <w:r>
        <w:rPr>
          <w:rFonts w:hint="eastAsia"/>
          <w:highlight w:val="none"/>
        </w:rPr>
        <w:t>符合《建设工程质量管理条例》及有关规定，工程质量保修书格式见合同条款及格式中的“工程质量保修书”。</w:t>
      </w:r>
    </w:p>
    <w:p>
      <w:pPr>
        <w:ind w:firstLine="428"/>
        <w:rPr>
          <w:b/>
          <w:bCs/>
          <w:highlight w:val="none"/>
        </w:rPr>
      </w:pPr>
      <w:r>
        <w:rPr>
          <w:rFonts w:hint="eastAsia"/>
          <w:b/>
          <w:bCs/>
          <w:highlight w:val="none"/>
        </w:rPr>
        <w:t>6.其他商务要求（包装和运输、保险等）</w:t>
      </w:r>
    </w:p>
    <w:p>
      <w:pPr>
        <w:ind w:firstLine="426"/>
        <w:rPr>
          <w:highlight w:val="none"/>
        </w:rPr>
      </w:pPr>
      <w:r>
        <w:rPr>
          <w:rFonts w:hint="eastAsia"/>
          <w:highlight w:val="none"/>
        </w:rPr>
        <w:t>本项目涉及的主要材料设备，必须经业主单位确认后方能采购、进场、加工、安装。否则一律不予承认，不予支付相应款项。</w:t>
      </w:r>
    </w:p>
    <w:p>
      <w:pPr>
        <w:ind w:firstLine="426"/>
        <w:rPr>
          <w:highlight w:val="none"/>
        </w:rPr>
      </w:pPr>
      <w:r>
        <w:rPr>
          <w:rFonts w:hint="eastAsia"/>
          <w:highlight w:val="none"/>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发包人确认与招标要求、投标承诺一致后，批量供应时应与样品一致，并经相关部门检验合格后方可使用。</w:t>
      </w:r>
    </w:p>
    <w:p>
      <w:pPr>
        <w:ind w:firstLine="426"/>
        <w:rPr>
          <w:highlight w:val="none"/>
        </w:rPr>
      </w:pPr>
      <w:r>
        <w:rPr>
          <w:rFonts w:hint="eastAsia"/>
          <w:highlight w:val="none"/>
        </w:rPr>
        <w:t>由成交供应商采购的设备材料，当成交供应商选定的产品质量达不到设计要求和预期质量目标时，采购人保留更换的权利，高于成交价的不调整，低于成交价的按实调整。</w:t>
      </w:r>
    </w:p>
    <w:p>
      <w:pPr>
        <w:ind w:firstLine="428"/>
        <w:rPr>
          <w:b/>
          <w:bCs/>
          <w:highlight w:val="none"/>
        </w:rPr>
      </w:pPr>
      <w:r>
        <w:rPr>
          <w:rFonts w:hint="eastAsia"/>
          <w:b/>
          <w:bCs/>
          <w:highlight w:val="none"/>
        </w:rPr>
        <w:t>7、</w:t>
      </w:r>
      <w:r>
        <w:rPr>
          <w:b/>
          <w:bCs/>
          <w:highlight w:val="none"/>
        </w:rPr>
        <w:t>工程量清单（另附）</w:t>
      </w:r>
    </w:p>
    <w:p>
      <w:pPr>
        <w:ind w:firstLine="428"/>
        <w:rPr>
          <w:b/>
          <w:bCs/>
          <w:highlight w:val="none"/>
        </w:rPr>
      </w:pPr>
      <w:r>
        <w:rPr>
          <w:b/>
          <w:bCs/>
          <w:highlight w:val="none"/>
        </w:rPr>
        <w:t>▲</w:t>
      </w:r>
      <w:r>
        <w:rPr>
          <w:b/>
          <w:bCs/>
          <w:highlight w:val="none"/>
          <w:lang w:val="zh-CN"/>
        </w:rPr>
        <w:t>报价时以工程量清单进行报价，工程量不得调整。如工程量清单描述与竞争性磋商文件规定技术要求、项目实际情况有不一致处，请在答疑时提出，未经采购人修改，报价时不得调整工程量清单。</w:t>
      </w:r>
    </w:p>
    <w:p>
      <w:pPr>
        <w:ind w:firstLine="428"/>
        <w:rPr>
          <w:b/>
          <w:bCs/>
          <w:highlight w:val="none"/>
        </w:rPr>
      </w:pPr>
      <w:bookmarkStart w:id="84" w:name="_Toc13387"/>
      <w:r>
        <w:rPr>
          <w:rFonts w:hint="eastAsia"/>
          <w:b/>
          <w:bCs/>
          <w:highlight w:val="none"/>
        </w:rPr>
        <w:t>8、图纸（如有）</w:t>
      </w:r>
      <w:bookmarkEnd w:id="84"/>
    </w:p>
    <w:p>
      <w:pPr>
        <w:ind w:firstLine="426"/>
        <w:rPr>
          <w:highlight w:val="none"/>
        </w:rPr>
      </w:pPr>
      <w:r>
        <w:rPr>
          <w:highlight w:val="none"/>
        </w:rPr>
        <w:t>图纸以电子版形式与竞争性磋商文件一同发放，如未收到图纸，请及时向采购代理机构提出。</w:t>
      </w:r>
    </w:p>
    <w:p>
      <w:pPr>
        <w:ind w:firstLine="426"/>
        <w:rPr>
          <w:highlight w:val="none"/>
        </w:rPr>
      </w:pPr>
      <w:r>
        <w:rPr>
          <w:highlight w:val="none"/>
        </w:rPr>
        <w:t>合同签订时，采购人将提供书面版图纸，供应商应核对采购时发放的电子版图纸和书面版图纸是否一致，如有不一致处，请向采购人提出。</w:t>
      </w:r>
    </w:p>
    <w:p>
      <w:pPr>
        <w:pStyle w:val="4"/>
        <w:rPr>
          <w:highlight w:val="none"/>
        </w:rPr>
      </w:pPr>
      <w:bookmarkStart w:id="85" w:name="_Toc1966"/>
      <w:bookmarkStart w:id="86" w:name="_Toc31143"/>
      <w:bookmarkStart w:id="87" w:name="_Toc16791"/>
      <w:r>
        <w:rPr>
          <w:rFonts w:hint="eastAsia"/>
          <w:highlight w:val="none"/>
        </w:rPr>
        <w:t>四</w:t>
      </w:r>
      <w:r>
        <w:rPr>
          <w:highlight w:val="none"/>
        </w:rPr>
        <w:t>、技术</w:t>
      </w:r>
      <w:r>
        <w:rPr>
          <w:rFonts w:hint="eastAsia"/>
          <w:highlight w:val="none"/>
        </w:rPr>
        <w:t>响应</w:t>
      </w:r>
      <w:r>
        <w:rPr>
          <w:highlight w:val="none"/>
        </w:rPr>
        <w:t>要求</w:t>
      </w:r>
      <w:bookmarkEnd w:id="85"/>
      <w:bookmarkEnd w:id="86"/>
      <w:bookmarkEnd w:id="87"/>
    </w:p>
    <w:p>
      <w:pPr>
        <w:ind w:firstLine="426"/>
        <w:rPr>
          <w:highlight w:val="none"/>
        </w:rPr>
      </w:pPr>
      <w:r>
        <w:rPr>
          <w:rFonts w:hint="eastAsia"/>
          <w:highlight w:val="none"/>
        </w:rPr>
        <w:t>1、派驻现场的工程施工人员配置情况,人数的充足性，分工合理性情况。</w:t>
      </w:r>
    </w:p>
    <w:p>
      <w:pPr>
        <w:ind w:firstLine="428"/>
        <w:rPr>
          <w:b/>
          <w:bCs/>
          <w:highlight w:val="none"/>
        </w:rPr>
      </w:pPr>
      <w:r>
        <w:rPr>
          <w:rFonts w:hint="eastAsia"/>
          <w:b/>
          <w:bCs/>
          <w:highlight w:val="none"/>
        </w:rPr>
        <w:t>▲2、</w:t>
      </w:r>
      <w:r>
        <w:rPr>
          <w:b/>
          <w:bCs/>
          <w:highlight w:val="none"/>
        </w:rPr>
        <w:t>项目</w:t>
      </w:r>
      <w:r>
        <w:rPr>
          <w:rFonts w:hint="eastAsia"/>
          <w:b/>
          <w:bCs/>
          <w:highlight w:val="none"/>
        </w:rPr>
        <w:t>负责人（经理）</w:t>
      </w:r>
      <w:bookmarkStart w:id="88" w:name="OLE_LINK13"/>
      <w:r>
        <w:rPr>
          <w:rFonts w:hint="eastAsia"/>
          <w:b/>
          <w:bCs/>
          <w:highlight w:val="none"/>
        </w:rPr>
        <w:t>：具有建筑工程二级及以上建造师注册证书及B证，并应符合《注册建造师管理规定》，无在建工程，提供承诺函（格式自拟）；</w:t>
      </w:r>
      <w:bookmarkEnd w:id="88"/>
    </w:p>
    <w:p>
      <w:pPr>
        <w:ind w:firstLine="428"/>
        <w:rPr>
          <w:b/>
          <w:bCs/>
          <w:highlight w:val="none"/>
        </w:rPr>
      </w:pPr>
      <w:r>
        <w:rPr>
          <w:rFonts w:hint="eastAsia"/>
          <w:b/>
          <w:bCs/>
          <w:highlight w:val="none"/>
        </w:rPr>
        <w:t>▲3、配备专职安全员，具有安全C证。</w:t>
      </w:r>
    </w:p>
    <w:p>
      <w:pPr>
        <w:ind w:firstLine="426"/>
        <w:rPr>
          <w:highlight w:val="none"/>
        </w:rPr>
      </w:pPr>
      <w:r>
        <w:rPr>
          <w:rFonts w:hint="eastAsia"/>
          <w:highlight w:val="none"/>
        </w:rPr>
        <w:t>▲4、本项目项目负责人、专职安全员等主要管理人员全员享有社保，为本项目所有施工人员缴纳工程险，意外险；真实报备实际施工人员情况，不虚报不漏报，有人员变动及增加及时报备，上述材料按采购人规定的时间内提交，如无法提交或达不到采购人要求的，采购人有权单方面解除合同。</w:t>
      </w:r>
    </w:p>
    <w:p>
      <w:pPr>
        <w:ind w:firstLine="426"/>
        <w:rPr>
          <w:highlight w:val="none"/>
        </w:rPr>
      </w:pPr>
      <w:r>
        <w:rPr>
          <w:rFonts w:hint="eastAsia"/>
          <w:highlight w:val="none"/>
        </w:rPr>
        <w:t>5、供应商应当有全面、合理、针对本项目的工程施工技术方案和措施，此工程施工技术方案应当具有明确的针对性和可操作性，各项施工措施应当明确、到位。</w:t>
      </w:r>
    </w:p>
    <w:p>
      <w:pPr>
        <w:ind w:firstLine="426"/>
        <w:rPr>
          <w:highlight w:val="none"/>
        </w:rPr>
      </w:pPr>
      <w:r>
        <w:rPr>
          <w:rFonts w:hint="eastAsia"/>
          <w:highlight w:val="none"/>
        </w:rPr>
        <w:t>6、供应商应当有全面、合理、针对本项目的施工组织设计，此施工组织设计应当具有明确的针对性和可操作性，施工组织设计应当明确、到位。</w:t>
      </w:r>
    </w:p>
    <w:p>
      <w:pPr>
        <w:ind w:firstLine="426"/>
        <w:rPr>
          <w:highlight w:val="none"/>
        </w:rPr>
      </w:pPr>
      <w:r>
        <w:rPr>
          <w:rFonts w:hint="eastAsia"/>
          <w:highlight w:val="none"/>
        </w:rPr>
        <w:t>7、供应商应当有全面、合理、针对本项目的主要施工方法，主要施工方法应当具有明确的针对性和可操作性，对施工的各道程序应当明确、到位。</w:t>
      </w:r>
    </w:p>
    <w:p>
      <w:pPr>
        <w:ind w:firstLine="426"/>
        <w:rPr>
          <w:highlight w:val="none"/>
        </w:rPr>
      </w:pPr>
      <w:r>
        <w:rPr>
          <w:rFonts w:hint="eastAsia"/>
          <w:highlight w:val="none"/>
        </w:rPr>
        <w:t>8、针对特殊施工环境、预防自然灾害等方面，各供应商应有具体的组织措施和技术措施；</w:t>
      </w:r>
    </w:p>
    <w:p>
      <w:pPr>
        <w:ind w:firstLine="426"/>
        <w:rPr>
          <w:highlight w:val="none"/>
        </w:rPr>
      </w:pPr>
      <w:r>
        <w:rPr>
          <w:rFonts w:hint="eastAsia"/>
          <w:highlight w:val="none"/>
        </w:rPr>
        <w:t>9、供应商应当有针对材料设备进场计划及施工计划，材料设备的进场计划应当包含材料设备进场的包装、运输、进场验收等各个环节，施工计划应当包含施工的各个环节。</w:t>
      </w:r>
    </w:p>
    <w:p>
      <w:pPr>
        <w:ind w:firstLine="426"/>
        <w:rPr>
          <w:highlight w:val="none"/>
        </w:rPr>
      </w:pPr>
      <w:r>
        <w:rPr>
          <w:rFonts w:hint="eastAsia"/>
          <w:highlight w:val="none"/>
        </w:rPr>
        <w:t>10、供应商应当有针对工程特点、难点的分析，并根据本工程项目的特点、难点提出有针对性的施工方案与措施。</w:t>
      </w:r>
    </w:p>
    <w:p>
      <w:pPr>
        <w:ind w:firstLine="426"/>
        <w:rPr>
          <w:highlight w:val="none"/>
        </w:rPr>
      </w:pPr>
      <w:r>
        <w:rPr>
          <w:rFonts w:hint="eastAsia"/>
          <w:highlight w:val="none"/>
        </w:rPr>
        <w:t>11、供应商应当具有针对本项目施工特点的安全、文明施工及环保、消防等的保证措施。</w:t>
      </w:r>
    </w:p>
    <w:p>
      <w:pPr>
        <w:ind w:firstLine="426"/>
        <w:rPr>
          <w:highlight w:val="none"/>
        </w:rPr>
      </w:pPr>
      <w:r>
        <w:rPr>
          <w:rFonts w:hint="eastAsia"/>
          <w:highlight w:val="none"/>
        </w:rPr>
        <w:t>12、供应商应当具有针对本项目场地的保护措施，措施应当完善、到位。</w:t>
      </w:r>
    </w:p>
    <w:p>
      <w:pPr>
        <w:ind w:firstLine="426"/>
        <w:rPr>
          <w:highlight w:val="none"/>
        </w:rPr>
      </w:pPr>
      <w:r>
        <w:rPr>
          <w:rFonts w:hint="eastAsia"/>
          <w:highlight w:val="none"/>
        </w:rPr>
        <w:t>13、供应商应当针对本项目施工工期要求编制进度计划及控制措施，包括人工的合理安排、工作量的前后分配等。</w:t>
      </w:r>
    </w:p>
    <w:p>
      <w:pPr>
        <w:ind w:firstLine="426"/>
        <w:rPr>
          <w:highlight w:val="none"/>
        </w:rPr>
      </w:pPr>
      <w:r>
        <w:rPr>
          <w:rFonts w:hint="eastAsia"/>
          <w:highlight w:val="none"/>
        </w:rPr>
        <w:t>14、供应商应具有针对本项目的具体施工质量控制措施，质量控制措施应当完善、到位。</w:t>
      </w:r>
    </w:p>
    <w:p>
      <w:pPr>
        <w:ind w:firstLine="426"/>
        <w:rPr>
          <w:highlight w:val="none"/>
        </w:rPr>
      </w:pPr>
      <w:r>
        <w:rPr>
          <w:rFonts w:hint="eastAsia"/>
          <w:highlight w:val="none"/>
        </w:rPr>
        <w:t>15、供应商在缺陷责任期内应当具有完善的售后技术支持和服务体系，能够保证采购人在缺陷责任期内得到不少于本磋商文件所附工程质量保修书的相关服务要求。</w:t>
      </w:r>
    </w:p>
    <w:p>
      <w:pPr>
        <w:ind w:firstLine="426"/>
        <w:rPr>
          <w:highlight w:val="none"/>
        </w:rPr>
      </w:pPr>
      <w:r>
        <w:rPr>
          <w:rFonts w:hint="eastAsia"/>
          <w:highlight w:val="none"/>
        </w:rPr>
        <w:t>16、主要材料表所选用材料的品质、性能情况满足采购人要求。</w:t>
      </w:r>
    </w:p>
    <w:p>
      <w:pPr>
        <w:ind w:firstLine="426"/>
        <w:rPr>
          <w:highlight w:val="none"/>
        </w:rPr>
      </w:pPr>
      <w:r>
        <w:rPr>
          <w:rFonts w:hint="eastAsia"/>
          <w:highlight w:val="none"/>
        </w:rPr>
        <w:t>17、派驻现场的工程管理人应包括项目负责人、技术负责人、安全员、施工员质量员、材料员、资料员、预算员。</w:t>
      </w:r>
    </w:p>
    <w:p>
      <w:pPr>
        <w:ind w:firstLine="428"/>
        <w:rPr>
          <w:b/>
          <w:bCs/>
          <w:highlight w:val="none"/>
        </w:rPr>
      </w:pPr>
      <w:r>
        <w:rPr>
          <w:rFonts w:hint="eastAsia"/>
          <w:b/>
          <w:bCs/>
          <w:highlight w:val="none"/>
        </w:rPr>
        <w:t>18、</w:t>
      </w:r>
      <w:r>
        <w:rPr>
          <w:b/>
          <w:bCs/>
          <w:highlight w:val="none"/>
        </w:rPr>
        <w:t>验收要求</w:t>
      </w:r>
    </w:p>
    <w:p>
      <w:pPr>
        <w:ind w:firstLine="428"/>
        <w:rPr>
          <w:b/>
          <w:bCs/>
          <w:highlight w:val="none"/>
        </w:rPr>
      </w:pPr>
      <w:r>
        <w:rPr>
          <w:rFonts w:hint="eastAsia"/>
          <w:b/>
          <w:bCs/>
          <w:highlight w:val="none"/>
        </w:rPr>
        <w:t>18.1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pPr>
        <w:ind w:firstLine="426"/>
        <w:rPr>
          <w:highlight w:val="none"/>
        </w:rPr>
      </w:pPr>
      <w:r>
        <w:rPr>
          <w:rFonts w:hint="eastAsia"/>
          <w:highlight w:val="none"/>
        </w:rPr>
        <w:t>18.2验收标准应符合中国有关的国家、地方、行业的标准，如若中标，经采购人确认后作为验收的依据。</w:t>
      </w:r>
    </w:p>
    <w:p>
      <w:pPr>
        <w:ind w:firstLine="426"/>
        <w:rPr>
          <w:highlight w:val="none"/>
        </w:rPr>
      </w:pPr>
      <w:r>
        <w:rPr>
          <w:rFonts w:hint="eastAsia"/>
          <w:highlight w:val="none"/>
        </w:rPr>
        <w:t>18.3验收费用由中标人承担（如有）。</w:t>
      </w:r>
    </w:p>
    <w:p>
      <w:pPr>
        <w:pStyle w:val="4"/>
        <w:rPr>
          <w:highlight w:val="none"/>
        </w:rPr>
      </w:pPr>
      <w:bookmarkStart w:id="89" w:name="_Toc8071"/>
      <w:bookmarkStart w:id="90" w:name="_Toc13003"/>
      <w:r>
        <w:rPr>
          <w:rFonts w:hint="eastAsia"/>
          <w:highlight w:val="none"/>
        </w:rPr>
        <w:t>五、其他要求</w:t>
      </w:r>
      <w:bookmarkEnd w:id="89"/>
      <w:bookmarkEnd w:id="90"/>
    </w:p>
    <w:p>
      <w:pPr>
        <w:ind w:firstLine="428"/>
        <w:rPr>
          <w:b/>
          <w:bCs/>
          <w:highlight w:val="none"/>
        </w:rPr>
      </w:pPr>
      <w:r>
        <w:rPr>
          <w:rFonts w:hint="eastAsia"/>
          <w:b/>
          <w:bCs/>
          <w:highlight w:val="none"/>
        </w:rPr>
        <w:t>1、安全与文明施工管理</w:t>
      </w:r>
    </w:p>
    <w:p>
      <w:pPr>
        <w:ind w:firstLine="426"/>
        <w:rPr>
          <w:highlight w:val="none"/>
        </w:rPr>
      </w:pPr>
      <w:r>
        <w:rPr>
          <w:rFonts w:hint="eastAsia"/>
          <w:highlight w:val="none"/>
        </w:rPr>
        <w:t>（1）成交供应商服从当地政府有关部门在社会治安、综合治理、计划生育、交通管理、环境保护等的管理规定，成交供应商应设专职人员负责本条款的执行，采购人有权对此监督检查。</w:t>
      </w:r>
    </w:p>
    <w:p>
      <w:pPr>
        <w:ind w:firstLine="426"/>
        <w:rPr>
          <w:highlight w:val="none"/>
        </w:rPr>
      </w:pPr>
      <w:r>
        <w:rPr>
          <w:rFonts w:hint="eastAsia"/>
          <w:highlight w:val="none"/>
        </w:rPr>
        <w:t>（2）成交供应商的响应文件中提供详细的施工安全措施和安全管理组织及配备专职负责人的说明和承诺。</w:t>
      </w:r>
    </w:p>
    <w:p>
      <w:pPr>
        <w:ind w:firstLine="426"/>
        <w:rPr>
          <w:highlight w:val="none"/>
        </w:rPr>
      </w:pPr>
      <w:r>
        <w:rPr>
          <w:rFonts w:hint="eastAsia"/>
          <w:highlight w:val="none"/>
        </w:rPr>
        <w:t>（3）成交供应商在工程施工期间，必须配备专职用电管理员，全面负责施工用电的管理。</w:t>
      </w:r>
    </w:p>
    <w:p>
      <w:pPr>
        <w:ind w:firstLine="426"/>
        <w:rPr>
          <w:highlight w:val="none"/>
        </w:rPr>
      </w:pPr>
      <w:r>
        <w:rPr>
          <w:rFonts w:hint="eastAsia"/>
          <w:highlight w:val="none"/>
        </w:rPr>
        <w:t>（4）工程施工过程中因成交供应商原因造成的一切安全事故，成交供应商承担全部经济责任和法律责任，成交后需签订“安全文明责任书”。</w:t>
      </w:r>
    </w:p>
    <w:p>
      <w:pPr>
        <w:ind w:firstLine="426"/>
        <w:rPr>
          <w:highlight w:val="none"/>
        </w:rPr>
      </w:pPr>
      <w:r>
        <w:rPr>
          <w:rFonts w:hint="eastAsia"/>
          <w:highlight w:val="none"/>
        </w:rPr>
        <w:t>（5）施工现场做好标准化，醒目位置悬挂工程告示牌，施工人员统一着装、统一编号，工作装或马甲上醒目标识单位名称、人员编号。</w:t>
      </w:r>
    </w:p>
    <w:p>
      <w:pPr>
        <w:ind w:firstLine="426"/>
        <w:rPr>
          <w:highlight w:val="none"/>
        </w:rPr>
      </w:pPr>
      <w:r>
        <w:rPr>
          <w:rFonts w:hint="eastAsia"/>
          <w:highlight w:val="none"/>
        </w:rPr>
        <w:t>（6）成交供应商在校内须严格遵守国家相关法律法规，严格遵守学校有关疫情防控、意识形态、宗教管理教育工作等相关规定；</w:t>
      </w:r>
    </w:p>
    <w:p>
      <w:pPr>
        <w:ind w:firstLine="426"/>
        <w:rPr>
          <w:highlight w:val="none"/>
        </w:rPr>
      </w:pPr>
      <w:r>
        <w:rPr>
          <w:rFonts w:hint="eastAsia"/>
          <w:highlight w:val="none"/>
        </w:rPr>
        <w:t>（7）成交供应商应充分考虑材料供应紧张的因素，提前做好各类材料的备货工作，成交后不得以此原因提出工期延误及费用调整。</w:t>
      </w:r>
    </w:p>
    <w:p>
      <w:pPr>
        <w:ind w:firstLine="426"/>
        <w:rPr>
          <w:highlight w:val="none"/>
        </w:rPr>
      </w:pPr>
      <w:r>
        <w:rPr>
          <w:rFonts w:hint="eastAsia"/>
          <w:highlight w:val="none"/>
        </w:rPr>
        <w:t>（8）施工单位在施工全过程中，要认真做好材料和成品的保护，如有损失均由承包方负责。凡由此而损及发包方利益的，承包方应负责赔偿发包方的损失。</w:t>
      </w:r>
    </w:p>
    <w:p>
      <w:pPr>
        <w:ind w:firstLine="426"/>
        <w:rPr>
          <w:highlight w:val="none"/>
        </w:rPr>
      </w:pPr>
      <w:r>
        <w:rPr>
          <w:rFonts w:hint="eastAsia"/>
          <w:highlight w:val="none"/>
        </w:rPr>
        <w:t>（9）校方不提供施工人员住宿，不提供除施工场地范围外的施工材料堆放处。</w:t>
      </w:r>
    </w:p>
    <w:p>
      <w:pPr>
        <w:ind w:firstLine="426"/>
        <w:rPr>
          <w:highlight w:val="none"/>
        </w:rPr>
      </w:pPr>
      <w:r>
        <w:rPr>
          <w:rFonts w:hint="eastAsia"/>
          <w:highlight w:val="none"/>
        </w:rPr>
        <w:t>（10）安全文明施工需达到学校及相关主管部门要求，根据学校要求设置警戒区、封闭围挡、安全出入口、施工区域地面铺设保护板等。安全文明经学校验收后方可施工。</w:t>
      </w:r>
    </w:p>
    <w:p>
      <w:pPr>
        <w:ind w:firstLine="428"/>
        <w:rPr>
          <w:b/>
          <w:bCs/>
          <w:highlight w:val="none"/>
        </w:rPr>
      </w:pPr>
      <w:r>
        <w:rPr>
          <w:rFonts w:hint="eastAsia"/>
          <w:b/>
          <w:bCs/>
          <w:highlight w:val="none"/>
        </w:rPr>
        <w:t>2、其他要求</w:t>
      </w:r>
    </w:p>
    <w:p>
      <w:pPr>
        <w:ind w:firstLine="426"/>
        <w:rPr>
          <w:highlight w:val="none"/>
        </w:rPr>
      </w:pPr>
      <w:r>
        <w:rPr>
          <w:rFonts w:hint="eastAsia"/>
          <w:highlight w:val="none"/>
        </w:rPr>
        <w:t>（1）供应商在施工时需针对高校特点合理安排施工时间及噪音控制；</w:t>
      </w:r>
    </w:p>
    <w:p>
      <w:pPr>
        <w:ind w:firstLine="426"/>
        <w:rPr>
          <w:highlight w:val="none"/>
        </w:rPr>
      </w:pPr>
      <w:r>
        <w:rPr>
          <w:rFonts w:hint="eastAsia"/>
          <w:highlight w:val="none"/>
        </w:rPr>
        <w:t>（2）供应商在施工时需严格做好施工现场管理的安全管理，如防火、防盗等；</w:t>
      </w:r>
    </w:p>
    <w:p>
      <w:pPr>
        <w:ind w:firstLine="426"/>
        <w:rPr>
          <w:highlight w:val="none"/>
        </w:rPr>
      </w:pPr>
      <w:r>
        <w:rPr>
          <w:rFonts w:hint="eastAsia"/>
          <w:highlight w:val="none"/>
        </w:rPr>
        <w:t>（3）供应商需在竣工后及时供给水、电，做好卫生保洁工作。</w:t>
      </w:r>
    </w:p>
    <w:p>
      <w:pPr>
        <w:ind w:firstLine="426"/>
        <w:rPr>
          <w:highlight w:val="none"/>
        </w:rPr>
      </w:pPr>
      <w:r>
        <w:rPr>
          <w:rFonts w:hint="eastAsia"/>
          <w:highlight w:val="none"/>
        </w:rPr>
        <w:t>（4）供应商在校内须严格遵守国家相关法律法规、严格遵守学校有关意识形态、宗教管理教育工作等相关规定。</w:t>
      </w:r>
    </w:p>
    <w:p>
      <w:pPr>
        <w:ind w:firstLine="426"/>
        <w:rPr>
          <w:highlight w:val="none"/>
        </w:rPr>
      </w:pPr>
      <w:r>
        <w:rPr>
          <w:rFonts w:hint="eastAsia"/>
          <w:highlight w:val="none"/>
        </w:rPr>
        <w:t>（5）附件工程量清单是本项目采购文件的组成部分，供应商需认真仔细阅读工程量清单所有内容。</w:t>
      </w:r>
    </w:p>
    <w:p>
      <w:pPr>
        <w:ind w:firstLine="426"/>
        <w:rPr>
          <w:highlight w:val="none"/>
        </w:rPr>
      </w:pPr>
      <w:r>
        <w:rPr>
          <w:rFonts w:hint="eastAsia"/>
          <w:highlight w:val="none"/>
        </w:rPr>
        <w:t>（6）图纸数量：施工图采购人提供4份，竣工图施工单位需提供纸质版3套，电子版CAD图1套。</w:t>
      </w:r>
    </w:p>
    <w:p>
      <w:pPr>
        <w:ind w:firstLine="428"/>
        <w:rPr>
          <w:b/>
          <w:bCs/>
          <w:highlight w:val="none"/>
        </w:rPr>
      </w:pPr>
      <w:r>
        <w:rPr>
          <w:rFonts w:hint="eastAsia"/>
          <w:b/>
          <w:bCs/>
          <w:highlight w:val="none"/>
        </w:rPr>
        <w:t>（7）其他</w:t>
      </w:r>
    </w:p>
    <w:p>
      <w:pPr>
        <w:ind w:firstLine="426"/>
        <w:rPr>
          <w:highlight w:val="none"/>
        </w:rPr>
      </w:pPr>
      <w:r>
        <w:rPr>
          <w:rFonts w:hint="eastAsia"/>
          <w:highlight w:val="none"/>
        </w:rPr>
        <w:t>1）质保期内免费维修。（投标人可根据自身实力作出更长时间的质保承诺）</w:t>
      </w:r>
    </w:p>
    <w:p>
      <w:pPr>
        <w:ind w:firstLine="426"/>
        <w:rPr>
          <w:highlight w:val="none"/>
        </w:rPr>
      </w:pPr>
      <w:r>
        <w:rPr>
          <w:rFonts w:hint="eastAsia"/>
          <w:highlight w:val="none"/>
        </w:rPr>
        <w:t>2）在采购人提出要求的2小时内到达施工现场，并在采购人要求的时间范围内完成指定工作任务，应急抢修类项目需随叫随到；</w:t>
      </w:r>
    </w:p>
    <w:p>
      <w:pPr>
        <w:ind w:firstLine="426"/>
        <w:rPr>
          <w:highlight w:val="none"/>
        </w:rPr>
      </w:pPr>
      <w:r>
        <w:rPr>
          <w:rFonts w:hint="eastAsia"/>
          <w:highlight w:val="none"/>
        </w:rPr>
        <w:t>3）本项目涉及的软硬件设备，均要保证能够正常接入学校原有系统中，配合安装调试至正常使用（如有）。</w:t>
      </w:r>
    </w:p>
    <w:p>
      <w:pPr>
        <w:ind w:firstLine="0" w:firstLineChars="0"/>
        <w:rPr>
          <w:b/>
          <w:highlight w:val="none"/>
          <w:lang w:val="zh-CN"/>
        </w:rPr>
      </w:pPr>
      <w:r>
        <w:rPr>
          <w:b/>
          <w:highlight w:val="none"/>
          <w:lang w:val="zh-CN"/>
        </w:rPr>
        <w:br w:type="page"/>
      </w:r>
    </w:p>
    <w:p>
      <w:pPr>
        <w:pStyle w:val="3"/>
        <w:rPr>
          <w:highlight w:val="none"/>
        </w:rPr>
      </w:pPr>
      <w:bookmarkStart w:id="91" w:name="_Toc11526"/>
      <w:bookmarkStart w:id="92" w:name="_Toc16779"/>
      <w:bookmarkStart w:id="93" w:name="_Toc15662"/>
      <w:r>
        <w:rPr>
          <w:highlight w:val="none"/>
        </w:rPr>
        <w:t>第</w:t>
      </w:r>
      <w:r>
        <w:rPr>
          <w:rFonts w:hint="eastAsia"/>
          <w:highlight w:val="none"/>
        </w:rPr>
        <w:t>四</w:t>
      </w:r>
      <w:r>
        <w:rPr>
          <w:highlight w:val="none"/>
        </w:rPr>
        <w:t>部分</w:t>
      </w:r>
      <w:r>
        <w:rPr>
          <w:rFonts w:hint="eastAsia"/>
          <w:highlight w:val="none"/>
        </w:rPr>
        <w:t xml:space="preserve">  评标办法</w:t>
      </w:r>
      <w:bookmarkEnd w:id="91"/>
      <w:bookmarkEnd w:id="92"/>
      <w:bookmarkEnd w:id="93"/>
    </w:p>
    <w:p>
      <w:pPr>
        <w:pStyle w:val="4"/>
        <w:jc w:val="center"/>
        <w:rPr>
          <w:highlight w:val="none"/>
        </w:rPr>
      </w:pPr>
      <w:bookmarkStart w:id="94" w:name="_Toc12006"/>
      <w:bookmarkStart w:id="95" w:name="_Toc2760"/>
      <w:bookmarkStart w:id="96" w:name="_Toc12421"/>
      <w:bookmarkStart w:id="97" w:name="OLE_LINK14"/>
      <w:r>
        <w:rPr>
          <w:rFonts w:hint="eastAsia"/>
          <w:highlight w:val="none"/>
        </w:rPr>
        <w:t>评审办法前附表</w:t>
      </w:r>
      <w:bookmarkEnd w:id="94"/>
      <w:bookmarkEnd w:id="95"/>
      <w:bookmarkEnd w:id="96"/>
    </w:p>
    <w:tbl>
      <w:tblPr>
        <w:tblStyle w:val="6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5817"/>
        <w:gridCol w:w="743"/>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86" w:type="pct"/>
            <w:vAlign w:val="center"/>
          </w:tcPr>
          <w:p>
            <w:pPr>
              <w:adjustRightInd w:val="0"/>
              <w:snapToGrid w:val="0"/>
              <w:spacing w:line="240" w:lineRule="auto"/>
              <w:ind w:leftChars="-10" w:hanging="21" w:hangingChars="10"/>
              <w:jc w:val="center"/>
              <w:rPr>
                <w:rFonts w:cs="仿宋"/>
                <w:b/>
                <w:color w:val="000000"/>
                <w:szCs w:val="21"/>
                <w:highlight w:val="none"/>
              </w:rPr>
            </w:pPr>
            <w:r>
              <w:rPr>
                <w:rFonts w:hint="eastAsia" w:cs="仿宋"/>
                <w:b/>
                <w:color w:val="000000"/>
                <w:szCs w:val="21"/>
                <w:highlight w:val="none"/>
              </w:rPr>
              <w:t>序号</w:t>
            </w:r>
          </w:p>
        </w:tc>
        <w:tc>
          <w:tcPr>
            <w:tcW w:w="3414" w:type="pct"/>
            <w:vAlign w:val="center"/>
          </w:tcPr>
          <w:p>
            <w:pPr>
              <w:adjustRightInd w:val="0"/>
              <w:snapToGrid w:val="0"/>
              <w:spacing w:line="240" w:lineRule="auto"/>
              <w:ind w:leftChars="-10" w:hanging="21" w:hangingChars="10"/>
              <w:jc w:val="center"/>
              <w:rPr>
                <w:rFonts w:cs="仿宋"/>
                <w:b/>
                <w:color w:val="000000"/>
                <w:szCs w:val="21"/>
                <w:highlight w:val="none"/>
              </w:rPr>
            </w:pPr>
            <w:r>
              <w:rPr>
                <w:rFonts w:hint="eastAsia" w:cs="仿宋"/>
                <w:b/>
                <w:color w:val="000000"/>
                <w:szCs w:val="21"/>
                <w:highlight w:val="none"/>
              </w:rPr>
              <w:t>评审内容</w:t>
            </w:r>
          </w:p>
        </w:tc>
        <w:tc>
          <w:tcPr>
            <w:tcW w:w="436" w:type="pct"/>
            <w:vAlign w:val="center"/>
          </w:tcPr>
          <w:p>
            <w:pPr>
              <w:adjustRightInd w:val="0"/>
              <w:snapToGrid w:val="0"/>
              <w:spacing w:line="240" w:lineRule="auto"/>
              <w:ind w:right="-116" w:rightChars="-55" w:firstLine="0" w:firstLineChars="0"/>
              <w:rPr>
                <w:rFonts w:cs="仿宋"/>
                <w:b/>
                <w:color w:val="000000"/>
                <w:szCs w:val="21"/>
                <w:highlight w:val="none"/>
              </w:rPr>
            </w:pPr>
            <w:r>
              <w:rPr>
                <w:rFonts w:hint="eastAsia" w:cs="仿宋"/>
                <w:b/>
                <w:color w:val="000000"/>
                <w:szCs w:val="21"/>
                <w:highlight w:val="none"/>
              </w:rPr>
              <w:t>权重</w:t>
            </w:r>
          </w:p>
        </w:tc>
        <w:tc>
          <w:tcPr>
            <w:tcW w:w="764" w:type="pct"/>
            <w:vAlign w:val="center"/>
          </w:tcPr>
          <w:p>
            <w:pPr>
              <w:adjustRightInd w:val="0"/>
              <w:snapToGrid w:val="0"/>
              <w:spacing w:line="240" w:lineRule="auto"/>
              <w:ind w:firstLine="0" w:firstLineChars="0"/>
              <w:jc w:val="center"/>
              <w:rPr>
                <w:rFonts w:cs="仿宋"/>
                <w:b/>
                <w:color w:val="000000"/>
                <w:szCs w:val="21"/>
                <w:highlight w:val="none"/>
              </w:rPr>
            </w:pPr>
            <w:r>
              <w:rPr>
                <w:rFonts w:hint="eastAsia" w:cs="仿宋"/>
                <w:b/>
                <w:color w:val="000000"/>
                <w:szCs w:val="21"/>
                <w:highlight w:val="none"/>
              </w:rPr>
              <w:t>主观分/客观分属性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w:t>
            </w:r>
          </w:p>
        </w:tc>
        <w:tc>
          <w:tcPr>
            <w:tcW w:w="3414" w:type="pct"/>
            <w:vAlign w:val="center"/>
          </w:tcPr>
          <w:p>
            <w:pPr>
              <w:adjustRightInd w:val="0"/>
              <w:snapToGrid w:val="0"/>
              <w:spacing w:line="240" w:lineRule="auto"/>
              <w:ind w:leftChars="-10" w:hanging="21" w:hangingChars="10"/>
              <w:rPr>
                <w:rFonts w:cs="仿宋"/>
                <w:b/>
                <w:color w:val="000000"/>
                <w:szCs w:val="21"/>
                <w:highlight w:val="none"/>
                <w:lang w:val="zh-CN"/>
              </w:rPr>
            </w:pPr>
            <w:bookmarkStart w:id="98" w:name="OLE_LINK17"/>
            <w:bookmarkStart w:id="99" w:name="OLE_LINK18"/>
            <w:r>
              <w:rPr>
                <w:rFonts w:hint="eastAsia" w:cs="仿宋"/>
                <w:b/>
                <w:color w:val="000000"/>
                <w:szCs w:val="21"/>
                <w:highlight w:val="none"/>
                <w:lang w:val="zh-CN"/>
              </w:rPr>
              <w:t>供应商同类业绩：</w:t>
            </w:r>
          </w:p>
          <w:p>
            <w:pPr>
              <w:adjustRightInd w:val="0"/>
              <w:snapToGrid w:val="0"/>
              <w:spacing w:line="240" w:lineRule="auto"/>
              <w:ind w:leftChars="-10" w:hanging="21" w:hangingChars="10"/>
              <w:rPr>
                <w:rFonts w:cs="仿宋"/>
                <w:color w:val="000000"/>
                <w:szCs w:val="21"/>
                <w:highlight w:val="none"/>
                <w:lang w:val="zh-CN"/>
              </w:rPr>
            </w:pPr>
            <w:r>
              <w:rPr>
                <w:rFonts w:hint="eastAsia" w:cs="仿宋"/>
                <w:color w:val="000000"/>
                <w:szCs w:val="21"/>
                <w:highlight w:val="none"/>
                <w:lang w:val="zh-CN"/>
              </w:rPr>
              <w:t>供应商自202</w:t>
            </w:r>
            <w:r>
              <w:rPr>
                <w:rFonts w:hint="eastAsia" w:cs="仿宋"/>
                <w:color w:val="000000"/>
                <w:szCs w:val="21"/>
                <w:highlight w:val="none"/>
              </w:rPr>
              <w:t>2</w:t>
            </w:r>
            <w:r>
              <w:rPr>
                <w:rFonts w:hint="eastAsia" w:cs="仿宋"/>
                <w:color w:val="000000"/>
                <w:szCs w:val="21"/>
                <w:highlight w:val="none"/>
                <w:lang w:val="zh-CN"/>
              </w:rPr>
              <w:t>年</w:t>
            </w:r>
            <w:r>
              <w:rPr>
                <w:rFonts w:hint="eastAsia" w:cs="仿宋"/>
                <w:color w:val="000000"/>
                <w:szCs w:val="21"/>
                <w:highlight w:val="none"/>
              </w:rPr>
              <w:t>1</w:t>
            </w:r>
            <w:r>
              <w:rPr>
                <w:rFonts w:hint="eastAsia" w:cs="仿宋"/>
                <w:color w:val="000000"/>
                <w:szCs w:val="21"/>
                <w:highlight w:val="none"/>
                <w:lang w:val="zh-CN"/>
              </w:rPr>
              <w:t>月1日（以</w:t>
            </w:r>
            <w:r>
              <w:rPr>
                <w:rFonts w:hint="eastAsia" w:cs="仿宋"/>
                <w:color w:val="000000"/>
                <w:szCs w:val="21"/>
                <w:highlight w:val="none"/>
              </w:rPr>
              <w:t>合同签订</w:t>
            </w:r>
            <w:r>
              <w:rPr>
                <w:rFonts w:hint="eastAsia" w:cs="仿宋"/>
                <w:color w:val="000000"/>
                <w:szCs w:val="21"/>
                <w:highlight w:val="none"/>
                <w:lang w:val="zh-CN"/>
              </w:rPr>
              <w:t>时间为准）以来具有类似工程（</w:t>
            </w:r>
            <w:r>
              <w:rPr>
                <w:rFonts w:hint="eastAsia" w:cs="仿宋"/>
                <w:color w:val="000000"/>
                <w:szCs w:val="21"/>
                <w:highlight w:val="none"/>
                <w:lang w:val="en-US" w:eastAsia="zh-CN"/>
              </w:rPr>
              <w:t>装饰装修/</w:t>
            </w:r>
            <w:r>
              <w:rPr>
                <w:rFonts w:hint="eastAsia" w:cs="仿宋"/>
                <w:color w:val="000000"/>
                <w:szCs w:val="21"/>
                <w:highlight w:val="none"/>
              </w:rPr>
              <w:t>室内修缮</w:t>
            </w:r>
            <w:r>
              <w:rPr>
                <w:rFonts w:hint="eastAsia" w:cs="仿宋"/>
                <w:color w:val="000000"/>
                <w:szCs w:val="21"/>
                <w:highlight w:val="none"/>
                <w:lang w:val="zh-CN"/>
              </w:rPr>
              <w:t>）业绩的，每提供一个有效合同得</w:t>
            </w:r>
            <w:r>
              <w:rPr>
                <w:rFonts w:hint="eastAsia" w:cs="仿宋"/>
                <w:color w:val="000000"/>
                <w:szCs w:val="21"/>
                <w:highlight w:val="none"/>
              </w:rPr>
              <w:t>0.</w:t>
            </w:r>
            <w:r>
              <w:rPr>
                <w:rFonts w:cs="仿宋"/>
                <w:color w:val="000000"/>
                <w:szCs w:val="21"/>
                <w:highlight w:val="none"/>
              </w:rPr>
              <w:t>5</w:t>
            </w:r>
            <w:r>
              <w:rPr>
                <w:rFonts w:hint="eastAsia" w:cs="仿宋"/>
                <w:color w:val="000000"/>
                <w:szCs w:val="21"/>
                <w:highlight w:val="none"/>
                <w:lang w:val="zh-CN"/>
              </w:rPr>
              <w:t>分，最高得</w:t>
            </w:r>
            <w:r>
              <w:rPr>
                <w:rFonts w:cs="仿宋"/>
                <w:color w:val="000000"/>
                <w:szCs w:val="21"/>
                <w:highlight w:val="none"/>
              </w:rPr>
              <w:t>1</w:t>
            </w:r>
            <w:r>
              <w:rPr>
                <w:rFonts w:hint="eastAsia" w:cs="仿宋"/>
                <w:color w:val="000000"/>
                <w:szCs w:val="21"/>
                <w:highlight w:val="none"/>
                <w:lang w:val="zh-CN"/>
              </w:rPr>
              <w:t>分。</w:t>
            </w:r>
          </w:p>
          <w:p>
            <w:pPr>
              <w:adjustRightInd w:val="0"/>
              <w:snapToGrid w:val="0"/>
              <w:spacing w:line="240" w:lineRule="auto"/>
              <w:ind w:leftChars="-10" w:hanging="21" w:hangingChars="10"/>
              <w:rPr>
                <w:rFonts w:cs="仿宋"/>
                <w:b/>
                <w:color w:val="000000"/>
                <w:szCs w:val="21"/>
                <w:highlight w:val="none"/>
                <w:lang w:val="zh-CN"/>
              </w:rPr>
            </w:pPr>
            <w:r>
              <w:rPr>
                <w:rFonts w:hint="eastAsia" w:cs="仿宋"/>
                <w:b/>
                <w:color w:val="000000"/>
                <w:szCs w:val="21"/>
                <w:highlight w:val="none"/>
              </w:rPr>
              <w:t>证明材料</w:t>
            </w:r>
            <w:r>
              <w:rPr>
                <w:rFonts w:hint="eastAsia" w:cs="仿宋"/>
                <w:b/>
                <w:color w:val="000000"/>
                <w:szCs w:val="21"/>
                <w:highlight w:val="none"/>
                <w:lang w:val="zh-CN"/>
              </w:rPr>
              <w:t>：</w:t>
            </w:r>
            <w:r>
              <w:rPr>
                <w:rFonts w:hint="eastAsia" w:cs="仿宋"/>
                <w:bCs/>
                <w:color w:val="000000"/>
                <w:szCs w:val="21"/>
                <w:highlight w:val="none"/>
              </w:rPr>
              <w:t>提供有效的施工合同复印件并加盖公章，提供的上述材料须能体现类似工程项目特征、规模，如不能提现的，在提供施工合同得基础上，可另外提供中标通知书或造价咨询报告或工程竣工验收证明或业主证明或其他能证明类似工程项目特征、规模的证明材料加以佐证。</w:t>
            </w:r>
            <w:bookmarkEnd w:id="98"/>
            <w:r>
              <w:rPr>
                <w:rFonts w:hint="eastAsia" w:cs="仿宋"/>
                <w:bCs/>
                <w:color w:val="000000"/>
                <w:szCs w:val="21"/>
                <w:highlight w:val="none"/>
                <w:lang w:val="zh-CN"/>
              </w:rPr>
              <w:t>不提供不得分。</w:t>
            </w:r>
            <w:bookmarkEnd w:id="99"/>
          </w:p>
        </w:tc>
        <w:tc>
          <w:tcPr>
            <w:tcW w:w="436" w:type="pct"/>
            <w:vAlign w:val="center"/>
          </w:tcPr>
          <w:p>
            <w:pPr>
              <w:adjustRightInd w:val="0"/>
              <w:snapToGrid w:val="0"/>
              <w:spacing w:line="240" w:lineRule="auto"/>
              <w:ind w:firstLine="0" w:firstLineChars="0"/>
              <w:jc w:val="center"/>
              <w:rPr>
                <w:rFonts w:cs="仿宋"/>
                <w:color w:val="000000"/>
                <w:szCs w:val="21"/>
                <w:highlight w:val="none"/>
              </w:rPr>
            </w:pPr>
            <w:r>
              <w:rPr>
                <w:rFonts w:cs="仿宋"/>
                <w:color w:val="000000"/>
                <w:szCs w:val="21"/>
                <w:highlight w:val="none"/>
              </w:rPr>
              <w:t>1</w:t>
            </w:r>
          </w:p>
        </w:tc>
        <w:tc>
          <w:tcPr>
            <w:tcW w:w="764" w:type="pct"/>
            <w:vAlign w:val="center"/>
          </w:tcPr>
          <w:p>
            <w:pPr>
              <w:adjustRightInd w:val="0"/>
              <w:snapToGrid w:val="0"/>
              <w:spacing w:line="240" w:lineRule="auto"/>
              <w:ind w:leftChars="-10" w:hanging="21" w:hangingChars="10"/>
              <w:jc w:val="center"/>
              <w:rPr>
                <w:rFonts w:cs="仿宋"/>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bookmarkStart w:id="100" w:name="OLE_LINK10"/>
            <w:r>
              <w:rPr>
                <w:rFonts w:hint="eastAsia" w:cs="仿宋"/>
                <w:b/>
                <w:color w:val="000000"/>
                <w:szCs w:val="21"/>
                <w:highlight w:val="none"/>
                <w:lang w:val="zh-CN"/>
              </w:rPr>
              <w:t>体系认证证书：</w:t>
            </w:r>
          </w:p>
          <w:p>
            <w:pPr>
              <w:adjustRightInd w:val="0"/>
              <w:snapToGrid w:val="0"/>
              <w:spacing w:line="240" w:lineRule="auto"/>
              <w:ind w:leftChars="-10" w:hanging="21" w:hangingChars="10"/>
              <w:rPr>
                <w:rFonts w:cs="仿宋"/>
                <w:color w:val="000000"/>
                <w:szCs w:val="21"/>
                <w:highlight w:val="none"/>
                <w:lang w:val="zh-CN"/>
              </w:rPr>
            </w:pPr>
            <w:r>
              <w:rPr>
                <w:rFonts w:hint="eastAsia" w:cs="仿宋"/>
                <w:color w:val="000000"/>
                <w:szCs w:val="21"/>
                <w:highlight w:val="none"/>
                <w:lang w:val="zh-CN"/>
              </w:rPr>
              <w:t>供应商具有有效期内的质量管理体系认证证书、环境管理体系认证证书、职业健康安全管理体系认证证书的，每项得1分，本项最多3分，未提供不得分。</w:t>
            </w:r>
          </w:p>
          <w:p>
            <w:pPr>
              <w:adjustRightInd w:val="0"/>
              <w:snapToGrid w:val="0"/>
              <w:spacing w:line="240" w:lineRule="auto"/>
              <w:ind w:leftChars="-10" w:hanging="21" w:hangingChars="10"/>
              <w:rPr>
                <w:rFonts w:cs="仿宋"/>
                <w:b/>
                <w:color w:val="000000"/>
                <w:szCs w:val="21"/>
                <w:highlight w:val="none"/>
                <w:lang w:val="zh-CN"/>
              </w:rPr>
            </w:pPr>
            <w:r>
              <w:rPr>
                <w:rFonts w:hint="eastAsia" w:cs="仿宋"/>
                <w:b/>
                <w:color w:val="000000"/>
                <w:szCs w:val="21"/>
                <w:highlight w:val="none"/>
              </w:rPr>
              <w:t>证明材料</w:t>
            </w:r>
            <w:r>
              <w:rPr>
                <w:rFonts w:hint="eastAsia" w:cs="仿宋"/>
                <w:b/>
                <w:color w:val="000000"/>
                <w:szCs w:val="21"/>
                <w:highlight w:val="none"/>
                <w:lang w:val="zh-CN"/>
              </w:rPr>
              <w:t>：</w:t>
            </w:r>
            <w:r>
              <w:rPr>
                <w:rFonts w:hint="eastAsia" w:cs="仿宋"/>
                <w:bCs/>
                <w:color w:val="000000"/>
                <w:szCs w:val="21"/>
                <w:highlight w:val="none"/>
                <w:lang w:val="zh-CN"/>
              </w:rPr>
              <w:t>提供证书扫描件，提供全国认证认可信息公共服务平台查询截图（显示有效），不提供不得分。</w:t>
            </w:r>
            <w:bookmarkEnd w:id="100"/>
          </w:p>
        </w:tc>
        <w:tc>
          <w:tcPr>
            <w:tcW w:w="436" w:type="pct"/>
            <w:vAlign w:val="center"/>
          </w:tcPr>
          <w:p>
            <w:pPr>
              <w:adjustRightInd w:val="0"/>
              <w:snapToGrid w:val="0"/>
              <w:spacing w:line="240" w:lineRule="auto"/>
              <w:ind w:firstLine="0" w:firstLineChars="0"/>
              <w:jc w:val="center"/>
              <w:rPr>
                <w:rFonts w:cs="仿宋"/>
                <w:color w:val="000000"/>
                <w:szCs w:val="21"/>
                <w:highlight w:val="none"/>
                <w:lang w:val="zh-CN"/>
              </w:rPr>
            </w:pPr>
            <w:r>
              <w:rPr>
                <w:rFonts w:hint="eastAsia" w:cs="仿宋"/>
                <w:color w:val="000000"/>
                <w:szCs w:val="21"/>
                <w:highlight w:val="none"/>
              </w:rPr>
              <w:t>3</w:t>
            </w:r>
          </w:p>
        </w:tc>
        <w:tc>
          <w:tcPr>
            <w:tcW w:w="764" w:type="pct"/>
            <w:vAlign w:val="center"/>
          </w:tcPr>
          <w:p>
            <w:pPr>
              <w:adjustRightInd w:val="0"/>
              <w:snapToGrid w:val="0"/>
              <w:spacing w:line="240" w:lineRule="auto"/>
              <w:ind w:leftChars="-10" w:hanging="21" w:hangingChars="10"/>
              <w:jc w:val="center"/>
              <w:rPr>
                <w:rFonts w:cs="仿宋"/>
                <w:b/>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lang w:val="zh-CN"/>
              </w:rPr>
            </w:pPr>
            <w:r>
              <w:rPr>
                <w:rFonts w:hint="eastAsia" w:cs="仿宋"/>
                <w:color w:val="000000"/>
                <w:szCs w:val="21"/>
                <w:highlight w:val="none"/>
                <w:lang w:val="zh-CN"/>
              </w:rPr>
              <w:t>3</w:t>
            </w:r>
          </w:p>
        </w:tc>
        <w:tc>
          <w:tcPr>
            <w:tcW w:w="3414" w:type="pct"/>
          </w:tcPr>
          <w:p>
            <w:pPr>
              <w:spacing w:line="240" w:lineRule="auto"/>
              <w:ind w:leftChars="-10" w:hanging="21" w:hangingChars="10"/>
              <w:rPr>
                <w:b/>
                <w:color w:val="000000"/>
                <w:szCs w:val="24"/>
                <w:highlight w:val="none"/>
                <w:lang w:val="zh-CN"/>
              </w:rPr>
            </w:pPr>
            <w:r>
              <w:rPr>
                <w:rFonts w:hint="eastAsia"/>
                <w:b/>
                <w:color w:val="000000"/>
                <w:szCs w:val="24"/>
                <w:highlight w:val="none"/>
                <w:lang w:val="zh-CN"/>
              </w:rPr>
              <w:t>拟派项目项目负责人：</w:t>
            </w:r>
          </w:p>
          <w:p>
            <w:pPr>
              <w:spacing w:line="240" w:lineRule="auto"/>
              <w:ind w:leftChars="-10" w:hanging="21" w:hangingChars="10"/>
              <w:rPr>
                <w:color w:val="000000"/>
                <w:szCs w:val="24"/>
                <w:highlight w:val="none"/>
                <w:lang w:val="zh-CN"/>
              </w:rPr>
            </w:pPr>
            <w:r>
              <w:rPr>
                <w:rFonts w:hint="eastAsia"/>
                <w:color w:val="000000"/>
                <w:szCs w:val="24"/>
                <w:highlight w:val="none"/>
                <w:lang w:val="zh-CN"/>
              </w:rPr>
              <w:t>拟派项目负责人具工程师技术职称的得</w:t>
            </w:r>
            <w:r>
              <w:rPr>
                <w:rFonts w:hint="eastAsia"/>
                <w:color w:val="000000"/>
                <w:szCs w:val="24"/>
                <w:highlight w:val="none"/>
              </w:rPr>
              <w:t>1</w:t>
            </w:r>
            <w:r>
              <w:rPr>
                <w:rFonts w:hint="eastAsia"/>
                <w:color w:val="000000"/>
                <w:szCs w:val="24"/>
                <w:highlight w:val="none"/>
                <w:lang w:val="zh-CN"/>
              </w:rPr>
              <w:t>分，具有高级工程师技术职称的得</w:t>
            </w:r>
            <w:r>
              <w:rPr>
                <w:rFonts w:hint="eastAsia"/>
                <w:color w:val="000000"/>
                <w:szCs w:val="24"/>
                <w:highlight w:val="none"/>
              </w:rPr>
              <w:t>2</w:t>
            </w:r>
            <w:r>
              <w:rPr>
                <w:rFonts w:hint="eastAsia"/>
                <w:color w:val="000000"/>
                <w:szCs w:val="24"/>
                <w:highlight w:val="none"/>
                <w:lang w:val="zh-CN"/>
              </w:rPr>
              <w:t>分；最高得</w:t>
            </w:r>
            <w:r>
              <w:rPr>
                <w:rFonts w:hint="eastAsia"/>
                <w:color w:val="000000"/>
                <w:szCs w:val="24"/>
                <w:highlight w:val="none"/>
              </w:rPr>
              <w:t>2</w:t>
            </w:r>
            <w:r>
              <w:rPr>
                <w:rFonts w:hint="eastAsia"/>
                <w:color w:val="000000"/>
                <w:szCs w:val="24"/>
                <w:highlight w:val="none"/>
                <w:lang w:val="zh-CN"/>
              </w:rPr>
              <w:t>分；</w:t>
            </w:r>
          </w:p>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证明材料：</w:t>
            </w:r>
            <w:r>
              <w:rPr>
                <w:rFonts w:hint="eastAsia" w:cs="仿宋"/>
                <w:bCs/>
                <w:color w:val="000000"/>
                <w:szCs w:val="21"/>
                <w:highlight w:val="none"/>
              </w:rPr>
              <w:t>提供拟派拟派项目项目负责人的证书扫描件以及职称证书查询网页截图（含网址）加盖公章、相关人员近三个月来任意时间的社保证明扫描件加盖公章。</w:t>
            </w:r>
            <w:r>
              <w:rPr>
                <w:rFonts w:hint="eastAsia" w:cs="仿宋"/>
                <w:bCs/>
                <w:color w:val="000000"/>
                <w:szCs w:val="21"/>
                <w:highlight w:val="none"/>
                <w:lang w:val="zh-CN"/>
              </w:rPr>
              <w:t>不提供不得分。</w:t>
            </w:r>
          </w:p>
        </w:tc>
        <w:tc>
          <w:tcPr>
            <w:tcW w:w="436" w:type="pct"/>
            <w:vAlign w:val="center"/>
          </w:tcPr>
          <w:p>
            <w:pPr>
              <w:adjustRightInd w:val="0"/>
              <w:snapToGrid w:val="0"/>
              <w:spacing w:line="240" w:lineRule="auto"/>
              <w:ind w:left="-3" w:hanging="21" w:firstLineChars="0"/>
              <w:jc w:val="center"/>
              <w:rPr>
                <w:rFonts w:cs="仿宋"/>
                <w:color w:val="000000"/>
                <w:szCs w:val="21"/>
                <w:highlight w:val="none"/>
                <w:lang w:val="zh-CN"/>
              </w:rPr>
            </w:pPr>
            <w:r>
              <w:rPr>
                <w:rFonts w:cs="仿宋"/>
                <w:color w:val="000000"/>
                <w:szCs w:val="21"/>
                <w:highlight w:val="none"/>
              </w:rPr>
              <w:t>2</w:t>
            </w:r>
          </w:p>
        </w:tc>
        <w:tc>
          <w:tcPr>
            <w:tcW w:w="764" w:type="pct"/>
            <w:vAlign w:val="center"/>
          </w:tcPr>
          <w:p>
            <w:pPr>
              <w:adjustRightInd w:val="0"/>
              <w:snapToGrid w:val="0"/>
              <w:spacing w:line="240" w:lineRule="auto"/>
              <w:ind w:hanging="10" w:firstLineChars="0"/>
              <w:jc w:val="center"/>
              <w:rPr>
                <w:rFonts w:cs="仿宋"/>
                <w:b/>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4</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到位率承诺：</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供应商承诺项目经理到位率不少于90%；其他管理人员到位率不少于95%的得1分。</w:t>
            </w:r>
          </w:p>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提供承诺书，</w:t>
            </w:r>
            <w:r>
              <w:rPr>
                <w:rFonts w:hint="eastAsia" w:cs="仿宋"/>
                <w:b w:val="0"/>
                <w:bCs/>
                <w:color w:val="000000"/>
                <w:szCs w:val="21"/>
                <w:highlight w:val="none"/>
                <w:lang w:val="zh-CN"/>
              </w:rPr>
              <w:t>如合同履约阶段未按承诺到位的，采购人有权终止合同。不提供不得分。</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1</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5</w:t>
            </w:r>
          </w:p>
        </w:tc>
        <w:tc>
          <w:tcPr>
            <w:tcW w:w="3414" w:type="pct"/>
          </w:tcPr>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拟投入项目团队成员</w:t>
            </w:r>
            <w:r>
              <w:rPr>
                <w:rFonts w:hint="eastAsia" w:cs="仿宋"/>
                <w:bCs/>
                <w:color w:val="000000"/>
                <w:szCs w:val="21"/>
                <w:highlight w:val="none"/>
              </w:rPr>
              <w:t>：</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根据供应商提供的各专业工种的配置和劳动力的投入情况，劳动力安排组织与管理措施进行评审。（</w:t>
            </w:r>
            <w:r>
              <w:rPr>
                <w:rFonts w:hint="eastAsia" w:cs="仿宋"/>
                <w:bCs/>
                <w:color w:val="000000"/>
                <w:szCs w:val="21"/>
                <w:highlight w:val="none"/>
              </w:rPr>
              <w:t>评分</w:t>
            </w:r>
            <w:r>
              <w:rPr>
                <w:rFonts w:hint="eastAsia" w:cs="仿宋"/>
                <w:bCs/>
                <w:color w:val="000000"/>
                <w:szCs w:val="21"/>
                <w:highlight w:val="none"/>
                <w:lang w:val="zh-CN"/>
              </w:rPr>
              <w:t>范围：</w:t>
            </w:r>
            <w:r>
              <w:rPr>
                <w:rFonts w:hint="eastAsia" w:cs="仿宋"/>
                <w:bCs/>
                <w:color w:val="000000"/>
                <w:szCs w:val="21"/>
                <w:highlight w:val="none"/>
              </w:rPr>
              <w:t xml:space="preserve"> 5,4,3,2,1,0</w:t>
            </w:r>
            <w:r>
              <w:rPr>
                <w:rFonts w:hint="eastAsia" w:cs="仿宋"/>
                <w:bCs/>
                <w:color w:val="000000"/>
                <w:szCs w:val="21"/>
                <w:highlight w:val="none"/>
                <w:lang w:val="zh-CN"/>
              </w:rPr>
              <w:t>）</w:t>
            </w:r>
          </w:p>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证明材料：</w:t>
            </w:r>
            <w:r>
              <w:rPr>
                <w:rFonts w:hint="eastAsia" w:cs="仿宋"/>
                <w:bCs/>
                <w:color w:val="000000"/>
                <w:szCs w:val="21"/>
                <w:highlight w:val="none"/>
                <w:lang w:val="zh-CN"/>
              </w:rPr>
              <w:t>提供拟派项目班子成员表、相关人员的证书扫描件、相关人员近三个月来任意时间的社保证明扫描件。</w:t>
            </w:r>
          </w:p>
        </w:tc>
        <w:tc>
          <w:tcPr>
            <w:tcW w:w="436" w:type="pct"/>
            <w:vAlign w:val="center"/>
          </w:tcPr>
          <w:p>
            <w:pPr>
              <w:spacing w:line="240" w:lineRule="auto"/>
              <w:ind w:left="-3" w:hanging="21" w:firstLineChars="0"/>
              <w:jc w:val="center"/>
              <w:rPr>
                <w:color w:val="000000"/>
                <w:szCs w:val="24"/>
                <w:highlight w:val="none"/>
              </w:rPr>
            </w:pPr>
            <w:r>
              <w:rPr>
                <w:rFonts w:hint="eastAsia"/>
                <w:color w:val="000000"/>
                <w:szCs w:val="24"/>
                <w:highlight w:val="none"/>
              </w:rPr>
              <w:t>5</w:t>
            </w:r>
          </w:p>
        </w:tc>
        <w:tc>
          <w:tcPr>
            <w:tcW w:w="764" w:type="pct"/>
            <w:vAlign w:val="center"/>
          </w:tcPr>
          <w:p>
            <w:pPr>
              <w:spacing w:line="240" w:lineRule="auto"/>
              <w:ind w:leftChars="-10" w:hanging="21" w:hangingChars="10"/>
              <w:jc w:val="center"/>
              <w:rPr>
                <w:color w:val="000000"/>
                <w:szCs w:val="24"/>
                <w:highlight w:val="none"/>
                <w:lang w:val="zh-CN"/>
              </w:rPr>
            </w:pPr>
            <w:r>
              <w:rPr>
                <w:rFonts w:hint="eastAsia" w:ascii="Times New Roman" w:hAnsi="Times New Roman"/>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6</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施工技术方案和措施：</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根据供应商提供的工程施工技术方案和措施进行评审。（打分范围：5,4,3,2,1,0）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pStyle w:val="27"/>
              <w:spacing w:line="240" w:lineRule="auto"/>
              <w:ind w:hanging="10" w:firstLineChars="0"/>
              <w:jc w:val="center"/>
              <w:rPr>
                <w:rFonts w:ascii="仿宋" w:hAnsi="仿宋" w:cs="仿宋"/>
                <w:color w:val="000000"/>
                <w:szCs w:val="21"/>
                <w:highlight w:val="none"/>
                <w:lang w:val="zh-CN"/>
              </w:rPr>
            </w:pPr>
            <w:r>
              <w:rPr>
                <w:rFonts w:hint="eastAsia" w:ascii="Times New Roman" w:hAnsi="Times New Roman"/>
                <w:color w:val="000000"/>
                <w:kern w:val="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7</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施工组织设计方案：</w:t>
            </w:r>
          </w:p>
          <w:p>
            <w:pPr>
              <w:pStyle w:val="112"/>
              <w:spacing w:line="240" w:lineRule="auto"/>
              <w:rPr>
                <w:highlight w:val="none"/>
                <w:lang w:val="zh-CN"/>
              </w:rPr>
            </w:pPr>
            <w:r>
              <w:rPr>
                <w:rFonts w:hint="eastAsia" w:ascii="仿宋" w:hAnsi="仿宋" w:cs="仿宋"/>
                <w:b/>
                <w:kern w:val="0"/>
                <w:sz w:val="21"/>
                <w:highlight w:val="none"/>
              </w:rPr>
              <w:t>鉴于本项目具有多个施工面，</w:t>
            </w:r>
            <w:r>
              <w:rPr>
                <w:rFonts w:hint="eastAsia" w:ascii="仿宋" w:hAnsi="仿宋" w:cs="仿宋"/>
                <w:bCs/>
                <w:sz w:val="21"/>
                <w:highlight w:val="none"/>
                <w:lang w:val="zh-CN"/>
              </w:rPr>
              <w:t>根据供应商提供的施工组织设计</w:t>
            </w:r>
            <w:r>
              <w:rPr>
                <w:rFonts w:hint="eastAsia" w:ascii="仿宋" w:hAnsi="仿宋" w:cs="仿宋"/>
                <w:bCs/>
                <w:sz w:val="21"/>
                <w:highlight w:val="none"/>
              </w:rPr>
              <w:t>方案进行评审。（打分范围：5,4,3,2,1,0）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olor w:val="000000"/>
                <w:szCs w:val="24"/>
                <w:highlight w:val="none"/>
              </w:rPr>
              <w:t>5</w:t>
            </w:r>
          </w:p>
        </w:tc>
        <w:tc>
          <w:tcPr>
            <w:tcW w:w="764" w:type="pct"/>
            <w:vAlign w:val="center"/>
          </w:tcPr>
          <w:p>
            <w:pPr>
              <w:pStyle w:val="27"/>
              <w:spacing w:line="240" w:lineRule="auto"/>
              <w:ind w:hanging="10" w:firstLineChars="0"/>
              <w:jc w:val="center"/>
              <w:rPr>
                <w:rFonts w:ascii="仿宋" w:hAnsi="仿宋" w:cs="仿宋"/>
                <w:color w:val="000000"/>
                <w:szCs w:val="21"/>
                <w:highlight w:val="none"/>
                <w:lang w:val="zh-CN"/>
              </w:rPr>
            </w:pPr>
            <w:r>
              <w:rPr>
                <w:rFonts w:hint="eastAsia" w:ascii="Times New Roman" w:hAnsi="Times New Roman"/>
                <w:color w:val="000000"/>
                <w:kern w:val="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8</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主要施工方法：</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根据供应商针对本项目提供的主要施工方法，包括施工的各道程序进行评审。</w:t>
            </w:r>
            <w:bookmarkStart w:id="101" w:name="OLE_LINK19"/>
            <w:r>
              <w:rPr>
                <w:rFonts w:hint="eastAsia" w:cs="仿宋"/>
                <w:bCs/>
                <w:color w:val="000000"/>
                <w:szCs w:val="21"/>
                <w:highlight w:val="none"/>
                <w:lang w:val="zh-CN"/>
              </w:rPr>
              <w:t>（打分范围：5,4,3,2,1,0）</w:t>
            </w:r>
            <w:bookmarkEnd w:id="101"/>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9</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施工进度计划：</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
                <w:color w:val="000000"/>
                <w:szCs w:val="21"/>
                <w:highlight w:val="none"/>
              </w:rPr>
              <w:t>鉴于本项目具有多个施工面</w:t>
            </w:r>
            <w:r>
              <w:rPr>
                <w:rFonts w:hint="eastAsia" w:cs="仿宋"/>
                <w:bCs/>
                <w:color w:val="000000"/>
                <w:szCs w:val="21"/>
                <w:highlight w:val="none"/>
              </w:rPr>
              <w:t>，根据供应商针对本项目提供的工期承诺和项目进度计划、措施进行评审。</w:t>
            </w:r>
            <w:r>
              <w:rPr>
                <w:rFonts w:hint="eastAsia" w:cs="仿宋"/>
                <w:bCs/>
                <w:color w:val="000000"/>
                <w:szCs w:val="21"/>
                <w:highlight w:val="none"/>
                <w:lang w:val="zh-CN"/>
              </w:rPr>
              <w:t>（打分范围：5,4,3,2,1,0）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10</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材料设备进场计划：</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rPr>
              <w:t>根据供应商材料设备进场计划及施工计划情况（应具有详细的材料设备进场计划且计划周密，材料数量、质量控制、时间安排合理、满足施工需要）进行评分。</w:t>
            </w:r>
            <w:r>
              <w:rPr>
                <w:rFonts w:hint="eastAsia" w:cs="仿宋"/>
                <w:bCs/>
                <w:color w:val="000000"/>
                <w:szCs w:val="21"/>
                <w:highlight w:val="none"/>
                <w:lang w:val="zh-CN"/>
              </w:rPr>
              <w:t>（打分范围：5,4,3,2,1,0）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11</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安装实施方案：</w:t>
            </w:r>
          </w:p>
          <w:p>
            <w:pPr>
              <w:adjustRightInd w:val="0"/>
              <w:snapToGrid w:val="0"/>
              <w:spacing w:line="240" w:lineRule="auto"/>
              <w:ind w:hanging="10" w:firstLineChars="0"/>
              <w:textAlignment w:val="baseline"/>
              <w:rPr>
                <w:rFonts w:cs="仿宋"/>
                <w:sz w:val="24"/>
                <w:highlight w:val="none"/>
                <w:lang w:val="zh-CN"/>
              </w:rPr>
            </w:pPr>
            <w:r>
              <w:rPr>
                <w:rFonts w:hint="eastAsia" w:cs="仿宋"/>
                <w:bCs/>
                <w:color w:val="000000"/>
                <w:szCs w:val="21"/>
                <w:highlight w:val="none"/>
                <w:lang w:val="zh-CN"/>
              </w:rPr>
              <w:t>安装方案的制定，根据</w:t>
            </w:r>
            <w:r>
              <w:rPr>
                <w:rFonts w:hint="eastAsia" w:cs="仿宋"/>
                <w:bCs/>
                <w:color w:val="000000"/>
                <w:szCs w:val="21"/>
                <w:highlight w:val="none"/>
              </w:rPr>
              <w:t>产品</w:t>
            </w:r>
            <w:r>
              <w:rPr>
                <w:rFonts w:hint="eastAsia" w:cs="仿宋"/>
                <w:bCs/>
                <w:color w:val="000000"/>
                <w:szCs w:val="21"/>
                <w:highlight w:val="none"/>
                <w:lang w:val="zh-CN"/>
              </w:rPr>
              <w:t>交付时间节点，落实送货安装时间和人员安排，确保按期交付使用。方案内容全面、合理，具有明确的针对性及可操作性进行评分。（打分范围：5,4,3,2,1,0）</w:t>
            </w:r>
          </w:p>
        </w:tc>
        <w:tc>
          <w:tcPr>
            <w:tcW w:w="436" w:type="pct"/>
            <w:vAlign w:val="center"/>
          </w:tcPr>
          <w:p>
            <w:pPr>
              <w:spacing w:line="240" w:lineRule="auto"/>
              <w:ind w:leftChars="-10" w:hanging="21" w:hangingChars="10"/>
              <w:jc w:val="center"/>
              <w:rPr>
                <w:rFonts w:cs="仿宋"/>
                <w:sz w:val="24"/>
                <w:highlight w:val="none"/>
              </w:rPr>
            </w:pPr>
            <w:r>
              <w:rPr>
                <w:rFonts w:hint="eastAsia"/>
                <w:color w:val="000000"/>
                <w:szCs w:val="24"/>
                <w:highlight w:val="none"/>
              </w:rPr>
              <w:t>5</w:t>
            </w:r>
          </w:p>
        </w:tc>
        <w:tc>
          <w:tcPr>
            <w:tcW w:w="764" w:type="pct"/>
            <w:vAlign w:val="center"/>
          </w:tcPr>
          <w:p>
            <w:pPr>
              <w:spacing w:line="240" w:lineRule="auto"/>
              <w:ind w:left="-3" w:hanging="21" w:firstLineChars="0"/>
              <w:jc w:val="center"/>
              <w:rPr>
                <w:rFonts w:cs="仿宋"/>
                <w:sz w:val="24"/>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12</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安全、文明施工及市容、环保、消防等的保证措施：</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根据供应商提供的安全、文明施工及环保、消防等的保障措施进行评审。（打分范围：5,4,3,2,1,0）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13</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施工质量控制方案：</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施工质量控制方案内容的完善性、合理性，可行性进行评分。（评分范围：5,4,3,2,1,0）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14</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成品、环境保护措施：</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根据供应商提供的针对本项目实施过程中针对成品保护和现有环境的各项保护措施进行评审。（打分范围：4,3,2,1,0）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15</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对本工程特点、难点的分析及针对性的施工方案与措施：</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针对本工程特点、难点分析的完整性、到位性、可行性进行评分。（打分范围：4,3,2,1,0）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16</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应急预案：</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应急响应方案的时效性，针对性、可行性、及时性进行评分。（打分范围：4,3,2,1,0）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17</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协调配合：</w:t>
            </w:r>
          </w:p>
          <w:p>
            <w:pPr>
              <w:adjustRightInd w:val="0"/>
              <w:snapToGrid w:val="0"/>
              <w:spacing w:line="240" w:lineRule="auto"/>
              <w:ind w:hanging="10" w:firstLineChars="0"/>
              <w:textAlignment w:val="baseline"/>
              <w:rPr>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根据服从采购人协调和统一管理，</w:t>
            </w:r>
            <w:r>
              <w:rPr>
                <w:rFonts w:hint="eastAsia" w:cs="仿宋"/>
                <w:bCs/>
                <w:color w:val="000000"/>
                <w:szCs w:val="21"/>
                <w:highlight w:val="none"/>
              </w:rPr>
              <w:t>与其他在建项目的配合</w:t>
            </w:r>
            <w:r>
              <w:rPr>
                <w:rFonts w:hint="eastAsia" w:cs="仿宋"/>
                <w:bCs/>
                <w:color w:val="000000"/>
                <w:szCs w:val="21"/>
                <w:highlight w:val="none"/>
                <w:lang w:val="zh-CN"/>
              </w:rPr>
              <w:t>措施的科学性、合理性，与项目的匹配程度进行评分。（打分范围：4,3,2,1,0）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18</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垃圾清运：</w:t>
            </w:r>
          </w:p>
          <w:p>
            <w:pPr>
              <w:adjustRightInd w:val="0"/>
              <w:snapToGrid w:val="0"/>
              <w:spacing w:line="240" w:lineRule="auto"/>
              <w:ind w:hanging="10" w:firstLineChars="0"/>
              <w:textAlignment w:val="baseline"/>
              <w:rPr>
                <w:highlight w:val="none"/>
              </w:rPr>
            </w:pPr>
            <w:r>
              <w:rPr>
                <w:rFonts w:cs="仿宋"/>
                <w:bCs/>
                <w:color w:val="000000"/>
                <w:szCs w:val="21"/>
                <w:highlight w:val="none"/>
              </w:rPr>
              <w:t>供应商针对本工程的建筑垃圾处置方案、卫生打扫标准承诺进行评分。</w:t>
            </w:r>
            <w:r>
              <w:rPr>
                <w:rFonts w:hint="eastAsia" w:cs="仿宋"/>
                <w:bCs/>
                <w:color w:val="000000"/>
                <w:szCs w:val="21"/>
                <w:highlight w:val="none"/>
                <w:lang w:val="zh-CN"/>
              </w:rPr>
              <w:t>（打分范围：4,3,2,1,0）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19</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改进措施和合理化建议：</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措施和建议的全面性、合理性、到位性、准确性进行评分。（打分范围：4,3,2,1,0）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20</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缺陷责任期：</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缺陷责任期内具备完善的售后技术支持和服务体系，服务时限、服务内容、是否满足采购需求的全面性、合理性、到位性、准确性进行评分。（打分范围：4,3,2,1,0）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21</w:t>
            </w:r>
          </w:p>
        </w:tc>
        <w:tc>
          <w:tcPr>
            <w:tcW w:w="3414" w:type="pct"/>
            <w:vAlign w:val="center"/>
          </w:tcPr>
          <w:p>
            <w:pPr>
              <w:adjustRightInd w:val="0"/>
              <w:snapToGrid w:val="0"/>
              <w:spacing w:line="240" w:lineRule="auto"/>
              <w:ind w:hanging="10" w:firstLineChars="0"/>
              <w:textAlignment w:val="baseline"/>
              <w:rPr>
                <w:highlight w:val="none"/>
              </w:rPr>
            </w:pPr>
            <w:r>
              <w:rPr>
                <w:rFonts w:hint="eastAsia"/>
                <w:highlight w:val="none"/>
              </w:rPr>
              <w:t>有效最后报价的最低价作为评审基准价，其最低报价为满分；按［最后报价得分=（评审基准价/最后报价）*</w:t>
            </w:r>
            <w:r>
              <w:rPr>
                <w:highlight w:val="none"/>
              </w:rPr>
              <w:t>2</w:t>
            </w:r>
            <w:r>
              <w:rPr>
                <w:rFonts w:hint="eastAsia"/>
                <w:highlight w:val="none"/>
              </w:rPr>
              <w:t>0］的计算公式计算。</w:t>
            </w:r>
          </w:p>
          <w:p>
            <w:pPr>
              <w:adjustRightInd w:val="0"/>
              <w:snapToGrid w:val="0"/>
              <w:spacing w:line="240" w:lineRule="auto"/>
              <w:ind w:hanging="10" w:firstLineChars="0"/>
              <w:textAlignment w:val="baseline"/>
              <w:rPr>
                <w:highlight w:val="none"/>
              </w:rPr>
            </w:pPr>
            <w:r>
              <w:rPr>
                <w:rFonts w:hint="eastAsia"/>
                <w:highlight w:val="none"/>
              </w:rPr>
              <w:t>评审过程中，不得去掉报价中的最高报价和最低报价。</w:t>
            </w:r>
          </w:p>
          <w:p>
            <w:pPr>
              <w:adjustRightInd w:val="0"/>
              <w:snapToGrid w:val="0"/>
              <w:spacing w:line="240" w:lineRule="auto"/>
              <w:ind w:hanging="10" w:firstLineChars="0"/>
              <w:textAlignment w:val="baseline"/>
              <w:rPr>
                <w:highlight w:val="none"/>
              </w:rPr>
            </w:pPr>
            <w:r>
              <w:rPr>
                <w:rFonts w:hint="eastAsia"/>
                <w:highlight w:val="none"/>
              </w:rPr>
              <w:t>因落实政府采购政策需要进行价格调整的，以调整后的价格计算评审基准价和最后报价。</w:t>
            </w:r>
          </w:p>
          <w:p>
            <w:pPr>
              <w:adjustRightInd w:val="0"/>
              <w:snapToGrid w:val="0"/>
              <w:spacing w:line="240" w:lineRule="auto"/>
              <w:ind w:hanging="10" w:firstLineChars="0"/>
              <w:textAlignment w:val="baseline"/>
              <w:rPr>
                <w:highlight w:val="none"/>
              </w:rPr>
            </w:pPr>
            <w:r>
              <w:rPr>
                <w:rFonts w:hint="eastAsia"/>
                <w:highlight w:val="none"/>
              </w:rPr>
              <w:t>对于未预留份额专门面向中小企业的政府采购服务项目，以及预留份额政府采购服务项目中的非预留部分标项，对小型和微型企业的响应报价给予</w:t>
            </w:r>
            <w:r>
              <w:rPr>
                <w:rFonts w:hint="eastAsia"/>
                <w:b/>
                <w:bCs/>
                <w:highlight w:val="none"/>
                <w:u w:val="single"/>
              </w:rPr>
              <w:t xml:space="preserve"> 5% </w:t>
            </w:r>
            <w:r>
              <w:rPr>
                <w:rFonts w:hint="eastAsia"/>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b/>
                <w:bCs/>
                <w:highlight w:val="none"/>
                <w:u w:val="single"/>
              </w:rPr>
              <w:t xml:space="preserve"> 2% </w:t>
            </w:r>
            <w:r>
              <w:rPr>
                <w:rFonts w:hint="eastAsia"/>
                <w:highlight w:val="none"/>
              </w:rPr>
              <w:t>的扣除，用扣除后的价格参加评审。</w:t>
            </w:r>
          </w:p>
        </w:tc>
        <w:tc>
          <w:tcPr>
            <w:tcW w:w="436" w:type="pct"/>
            <w:vAlign w:val="center"/>
          </w:tcPr>
          <w:p>
            <w:pPr>
              <w:spacing w:line="240" w:lineRule="auto"/>
              <w:ind w:left="-3" w:hanging="21" w:firstLineChars="0"/>
              <w:jc w:val="center"/>
              <w:rPr>
                <w:rFonts w:cs="仿宋"/>
                <w:color w:val="000000"/>
                <w:szCs w:val="21"/>
                <w:highlight w:val="none"/>
              </w:rPr>
            </w:pPr>
            <w:r>
              <w:rPr>
                <w:rFonts w:cs="仿宋"/>
                <w:color w:val="000000"/>
                <w:szCs w:val="21"/>
                <w:highlight w:val="none"/>
              </w:rPr>
              <w:t>2</w:t>
            </w:r>
            <w:r>
              <w:rPr>
                <w:rFonts w:hint="eastAsia" w:cs="仿宋"/>
                <w:color w:val="000000"/>
                <w:szCs w:val="21"/>
                <w:highlight w:val="none"/>
              </w:rPr>
              <w:t>0</w:t>
            </w:r>
          </w:p>
        </w:tc>
        <w:tc>
          <w:tcPr>
            <w:tcW w:w="764" w:type="pct"/>
            <w:vAlign w:val="center"/>
          </w:tcPr>
          <w:p>
            <w:pPr>
              <w:spacing w:line="240" w:lineRule="auto"/>
              <w:ind w:leftChars="-10" w:hanging="21" w:hangingChars="10"/>
              <w:jc w:val="center"/>
              <w:rPr>
                <w:rFonts w:cs="仿宋"/>
                <w:color w:val="000000"/>
                <w:szCs w:val="21"/>
                <w:highlight w:val="none"/>
              </w:rPr>
            </w:pPr>
            <w:r>
              <w:rPr>
                <w:rFonts w:hint="eastAsia" w:cs="仿宋"/>
                <w:color w:val="000000"/>
                <w:szCs w:val="21"/>
                <w:highlight w:val="none"/>
              </w:rPr>
              <w:t>/</w:t>
            </w:r>
          </w:p>
        </w:tc>
      </w:tr>
      <w:bookmarkEnd w:id="97"/>
    </w:tbl>
    <w:p>
      <w:pPr>
        <w:pStyle w:val="4"/>
        <w:rPr>
          <w:highlight w:val="none"/>
        </w:rPr>
      </w:pPr>
      <w:bookmarkStart w:id="102" w:name="_Toc29876"/>
      <w:bookmarkStart w:id="103" w:name="_Toc14368"/>
      <w:bookmarkStart w:id="104" w:name="_Toc9117"/>
      <w:r>
        <w:rPr>
          <w:rFonts w:hint="eastAsia"/>
          <w:highlight w:val="none"/>
        </w:rPr>
        <w:t>一、评分办法</w:t>
      </w:r>
      <w:bookmarkEnd w:id="102"/>
      <w:bookmarkEnd w:id="103"/>
      <w:bookmarkEnd w:id="104"/>
    </w:p>
    <w:p>
      <w:pPr>
        <w:ind w:firstLine="426"/>
        <w:rPr>
          <w:highlight w:val="none"/>
        </w:rPr>
      </w:pPr>
      <w:r>
        <w:rPr>
          <w:rFonts w:hint="eastAsia"/>
          <w:highlight w:val="none"/>
        </w:rPr>
        <w:t>1.本项目采用综合评分法。综合评分法，是指响应文件满足磋商文件全部实质性要求且按评审因素的量化指标评审得分最高的供应商为成交候选供应商的评审方法。</w:t>
      </w:r>
    </w:p>
    <w:p>
      <w:pPr>
        <w:pStyle w:val="4"/>
        <w:rPr>
          <w:highlight w:val="none"/>
        </w:rPr>
      </w:pPr>
      <w:bookmarkStart w:id="105" w:name="_Toc1088"/>
      <w:bookmarkStart w:id="106" w:name="_Toc28206"/>
      <w:bookmarkStart w:id="107" w:name="_Toc12665"/>
      <w:r>
        <w:rPr>
          <w:rFonts w:hint="eastAsia"/>
          <w:highlight w:val="none"/>
        </w:rPr>
        <w:t>二、评审标准</w:t>
      </w:r>
      <w:bookmarkEnd w:id="105"/>
      <w:bookmarkEnd w:id="106"/>
      <w:bookmarkEnd w:id="107"/>
    </w:p>
    <w:p>
      <w:pPr>
        <w:ind w:firstLine="426"/>
        <w:rPr>
          <w:highlight w:val="none"/>
        </w:rPr>
      </w:pPr>
      <w:r>
        <w:rPr>
          <w:rFonts w:hint="eastAsia"/>
          <w:highlight w:val="none"/>
        </w:rPr>
        <w:t>2.评审标准：见评审办法前附表。</w:t>
      </w:r>
    </w:p>
    <w:p>
      <w:pPr>
        <w:pStyle w:val="4"/>
        <w:rPr>
          <w:highlight w:val="none"/>
        </w:rPr>
      </w:pPr>
      <w:bookmarkStart w:id="108" w:name="_Toc4778"/>
      <w:bookmarkStart w:id="109" w:name="_Toc21251"/>
      <w:bookmarkStart w:id="110" w:name="_Toc1022"/>
      <w:r>
        <w:rPr>
          <w:rFonts w:hint="eastAsia"/>
          <w:highlight w:val="none"/>
        </w:rPr>
        <w:t>三、评审程序</w:t>
      </w:r>
      <w:bookmarkEnd w:id="108"/>
      <w:bookmarkEnd w:id="109"/>
      <w:bookmarkEnd w:id="110"/>
    </w:p>
    <w:p>
      <w:pPr>
        <w:ind w:firstLine="428"/>
        <w:rPr>
          <w:highlight w:val="none"/>
        </w:rPr>
      </w:pPr>
      <w:r>
        <w:rPr>
          <w:rFonts w:hint="eastAsia"/>
          <w:b/>
          <w:bCs/>
          <w:highlight w:val="none"/>
        </w:rPr>
        <w:t>3.1符合性审查。</w:t>
      </w:r>
      <w:r>
        <w:rPr>
          <w:rFonts w:hint="eastAsia"/>
          <w:highlight w:val="none"/>
        </w:rPr>
        <w:t>磋商小组应当对符合资格的供应商的响应文件进行符合性审查，以确定其是否满足采购文件的实质性要求。不满足采购文件的实质性要求的，响应文件无效。</w:t>
      </w:r>
    </w:p>
    <w:p>
      <w:pPr>
        <w:ind w:firstLine="428"/>
        <w:rPr>
          <w:highlight w:val="none"/>
        </w:rPr>
      </w:pPr>
      <w:r>
        <w:rPr>
          <w:rFonts w:hint="eastAsia"/>
          <w:b/>
          <w:bCs/>
          <w:highlight w:val="none"/>
        </w:rPr>
        <w:t>3.2磋商。</w:t>
      </w:r>
      <w:r>
        <w:rPr>
          <w:rFonts w:hint="eastAsia"/>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pPr>
        <w:ind w:firstLine="426"/>
        <w:rPr>
          <w:highlight w:val="none"/>
        </w:rPr>
      </w:pPr>
      <w:r>
        <w:rPr>
          <w:rFonts w:hint="eastAsia"/>
          <w:highlight w:val="none"/>
        </w:rPr>
        <w:t>3.2.1供应商逐家回答磋商小组的提问；逐家磋商一次为一个轮次，磋商轮次根据实际情况进行。</w:t>
      </w:r>
    </w:p>
    <w:p>
      <w:pPr>
        <w:ind w:firstLine="426"/>
        <w:rPr>
          <w:highlight w:val="none"/>
        </w:rPr>
      </w:pPr>
      <w:r>
        <w:rPr>
          <w:rFonts w:hint="eastAsia"/>
          <w:highlight w:val="none"/>
        </w:rPr>
        <w:t>3.2.2供应商应按磋商小组通知的时间在线或以邮件回复做出承诺或回复，承诺或回复的内容须由供应商法定代表人或授权代表签署，并作为响应文件的补充部分。</w:t>
      </w:r>
    </w:p>
    <w:p>
      <w:pPr>
        <w:ind w:firstLine="426"/>
        <w:rPr>
          <w:highlight w:val="none"/>
        </w:rPr>
      </w:pPr>
      <w:r>
        <w:rPr>
          <w:rFonts w:hint="eastAsia"/>
          <w:highlight w:val="none"/>
        </w:rPr>
        <w:t>3.2.3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w:t>
      </w:r>
    </w:p>
    <w:p>
      <w:pPr>
        <w:ind w:firstLine="428"/>
        <w:rPr>
          <w:b/>
          <w:bCs/>
          <w:highlight w:val="none"/>
        </w:rPr>
      </w:pPr>
      <w:r>
        <w:rPr>
          <w:rFonts w:hint="eastAsia"/>
          <w:b/>
          <w:bCs/>
          <w:highlight w:val="none"/>
        </w:rPr>
        <w:t>3.3最后报价</w:t>
      </w:r>
    </w:p>
    <w:p>
      <w:pPr>
        <w:ind w:firstLine="426"/>
        <w:rPr>
          <w:highlight w:val="none"/>
        </w:rPr>
      </w:pPr>
      <w:r>
        <w:rPr>
          <w:rFonts w:hint="eastAsia"/>
          <w:highlight w:val="none"/>
        </w:rPr>
        <w:t>3.3.1磋商文件能够详细列明采购标的的技术、服务要求的，磋商结束后，磋商小组应当要求所有符合性审查合格的供应商在规定时间内提交最后报价，提交最后报价的供应商不得少于3家。</w:t>
      </w:r>
    </w:p>
    <w:p>
      <w:pPr>
        <w:ind w:firstLine="426"/>
        <w:rPr>
          <w:highlight w:val="none"/>
        </w:rPr>
      </w:pPr>
      <w:r>
        <w:rPr>
          <w:rFonts w:hint="eastAsia"/>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ind w:firstLine="426"/>
        <w:rPr>
          <w:highlight w:val="none"/>
        </w:rPr>
      </w:pPr>
      <w:r>
        <w:rPr>
          <w:rFonts w:hint="eastAsia"/>
          <w:highlight w:val="none"/>
        </w:rPr>
        <w:t>3.3.3已提交响应文件的供应商，在提交最后报价之前，可以根据磋商情况退出磋商</w:t>
      </w:r>
    </w:p>
    <w:p>
      <w:pPr>
        <w:ind w:firstLine="428"/>
        <w:rPr>
          <w:highlight w:val="none"/>
        </w:rPr>
      </w:pPr>
      <w:r>
        <w:rPr>
          <w:rFonts w:hint="eastAsia"/>
          <w:b/>
          <w:bCs/>
          <w:highlight w:val="none"/>
        </w:rPr>
        <w:t>3.4综合评分。</w:t>
      </w:r>
      <w:r>
        <w:rPr>
          <w:rFonts w:hint="eastAsia"/>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pPr>
        <w:ind w:firstLine="428"/>
        <w:rPr>
          <w:highlight w:val="none"/>
        </w:rPr>
      </w:pPr>
      <w:r>
        <w:rPr>
          <w:rFonts w:hint="eastAsia"/>
          <w:b/>
          <w:bCs/>
          <w:highlight w:val="none"/>
        </w:rPr>
        <w:t>3.5汇总商务技术得分。</w:t>
      </w:r>
      <w:r>
        <w:rPr>
          <w:rFonts w:hint="eastAsia"/>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ind w:firstLine="428"/>
        <w:rPr>
          <w:b/>
          <w:bCs/>
          <w:highlight w:val="none"/>
        </w:rPr>
      </w:pPr>
      <w:r>
        <w:rPr>
          <w:rFonts w:hint="eastAsia"/>
          <w:b/>
          <w:bCs/>
          <w:highlight w:val="none"/>
        </w:rPr>
        <w:t>3.6报价评审</w:t>
      </w:r>
    </w:p>
    <w:p>
      <w:pPr>
        <w:ind w:firstLine="426"/>
        <w:rPr>
          <w:highlight w:val="none"/>
        </w:rPr>
      </w:pPr>
      <w:r>
        <w:rPr>
          <w:rFonts w:hint="eastAsia"/>
          <w:highlight w:val="none"/>
        </w:rPr>
        <w:t>3.6.1响应文件报价出现前后不一致的，按照下列规定修正：</w:t>
      </w:r>
    </w:p>
    <w:p>
      <w:pPr>
        <w:ind w:firstLine="426"/>
        <w:rPr>
          <w:highlight w:val="none"/>
        </w:rPr>
      </w:pPr>
      <w:r>
        <w:rPr>
          <w:rFonts w:hint="eastAsia"/>
          <w:highlight w:val="none"/>
        </w:rPr>
        <w:t>3.6.1.1响应文件中已标价工程量清单内容与响应文件中相应内容不一致的，以已标价工程量清单为准；</w:t>
      </w:r>
    </w:p>
    <w:p>
      <w:pPr>
        <w:ind w:firstLine="426"/>
        <w:rPr>
          <w:highlight w:val="none"/>
        </w:rPr>
      </w:pPr>
      <w:r>
        <w:rPr>
          <w:rFonts w:hint="eastAsia"/>
          <w:highlight w:val="none"/>
        </w:rPr>
        <w:t>3.6.1.2大写金额和小写金额不一致的，以大写金额为准；</w:t>
      </w:r>
    </w:p>
    <w:p>
      <w:pPr>
        <w:ind w:firstLine="426"/>
        <w:rPr>
          <w:highlight w:val="none"/>
        </w:rPr>
      </w:pPr>
      <w:r>
        <w:rPr>
          <w:rFonts w:hint="eastAsia"/>
          <w:highlight w:val="none"/>
        </w:rPr>
        <w:t>3.6.1.3单价金额小数点或者百分比有明显错位的，以已标价工程量清单的总价为准，并修改单价；</w:t>
      </w:r>
    </w:p>
    <w:p>
      <w:pPr>
        <w:ind w:firstLine="426"/>
        <w:rPr>
          <w:highlight w:val="none"/>
        </w:rPr>
      </w:pPr>
      <w:r>
        <w:rPr>
          <w:rFonts w:hint="eastAsia"/>
          <w:highlight w:val="none"/>
        </w:rPr>
        <w:t>3.6.1.4总价金额与按单价汇总金额不一致的，以单价金额计算结果为准。</w:t>
      </w:r>
    </w:p>
    <w:p>
      <w:pPr>
        <w:ind w:firstLine="426"/>
        <w:rPr>
          <w:highlight w:val="none"/>
        </w:rPr>
      </w:pPr>
      <w:r>
        <w:rPr>
          <w:rFonts w:hint="eastAsia"/>
          <w:highlight w:val="none"/>
        </w:rPr>
        <w:t>3.6.1.5同时出现两种以上不一致的，按照3.6.1规定的顺序修正。修正后的报价经供应商确认后产生约束力。</w:t>
      </w:r>
    </w:p>
    <w:p>
      <w:pPr>
        <w:ind w:firstLine="428"/>
        <w:rPr>
          <w:b/>
          <w:bCs/>
          <w:highlight w:val="none"/>
        </w:rPr>
      </w:pPr>
      <w:r>
        <w:rPr>
          <w:rFonts w:hint="eastAsia"/>
          <w:b/>
          <w:bCs/>
          <w:highlight w:val="none"/>
        </w:rPr>
        <w:t>3.6.2评审中出现下列情形之一的，评标委员会应当启动异常低价投标审查程序：</w:t>
      </w:r>
    </w:p>
    <w:p>
      <w:pPr>
        <w:ind w:firstLine="426"/>
        <w:rPr>
          <w:highlight w:val="none"/>
        </w:rPr>
      </w:pPr>
      <w:r>
        <w:rPr>
          <w:rFonts w:hint="eastAsia"/>
          <w:highlight w:val="none"/>
        </w:rPr>
        <w:t>3.6.2.1供应商报价低于项目预算50%的；</w:t>
      </w:r>
    </w:p>
    <w:p>
      <w:pPr>
        <w:ind w:firstLine="426"/>
        <w:rPr>
          <w:highlight w:val="none"/>
        </w:rPr>
      </w:pPr>
      <w:r>
        <w:rPr>
          <w:rFonts w:hint="eastAsia"/>
          <w:highlight w:val="none"/>
        </w:rPr>
        <w:t>3.6.2.2投标报价低于全部通过符合性审查供应商投标报价平均值50%的，即投标报价&lt;全部通过符合性审查供应商投标报价平均值×50%；</w:t>
      </w:r>
    </w:p>
    <w:p>
      <w:pPr>
        <w:ind w:firstLine="426"/>
        <w:rPr>
          <w:highlight w:val="none"/>
        </w:rPr>
      </w:pPr>
      <w:r>
        <w:rPr>
          <w:rFonts w:hint="eastAsia"/>
          <w:highlight w:val="none"/>
        </w:rPr>
        <w:t>3.6.2.3投标报价低于通过符合性审查且报价次低供应商投标报价50%的，即投标报价&lt;通过符合性审查且报价次低供应商投标报价×50%；</w:t>
      </w:r>
    </w:p>
    <w:p>
      <w:pPr>
        <w:ind w:firstLine="426"/>
        <w:rPr>
          <w:highlight w:val="none"/>
        </w:rPr>
      </w:pPr>
      <w:r>
        <w:rPr>
          <w:rFonts w:hint="eastAsia"/>
          <w:highlight w:val="none"/>
        </w:rPr>
        <w:t>3.6.2.4其他评标委员会认为供应商报价过低，有可能影响产品质量或者不能诚信履约的情形。</w:t>
      </w:r>
    </w:p>
    <w:p>
      <w:pPr>
        <w:ind w:firstLine="426"/>
        <w:rPr>
          <w:highlight w:val="none"/>
        </w:rPr>
      </w:pPr>
      <w:r>
        <w:rPr>
          <w:rFonts w:hint="eastAsia"/>
          <w:highlight w:val="none"/>
        </w:rPr>
        <w:t>评标委员会启动异常低价投标审查后，</w:t>
      </w:r>
      <w:r>
        <w:rPr>
          <w:rFonts w:hint="eastAsia"/>
          <w:b/>
          <w:bCs/>
          <w:highlight w:val="none"/>
          <w:u w:val="single"/>
        </w:rPr>
        <w:t>应当要求相关供应商在评审现场合理的时间内提供书面说明及必要的证明材料，对投标价格作出解释。</w:t>
      </w:r>
      <w:r>
        <w:rPr>
          <w:rFonts w:hint="eastAsia"/>
          <w:highlight w:val="none"/>
        </w:rPr>
        <w:t>书面说明、证明材料主要是项目具体成本测算等与报价合理性相关的说明、材料。</w:t>
      </w:r>
    </w:p>
    <w:p>
      <w:pPr>
        <w:ind w:firstLine="426"/>
        <w:rPr>
          <w:highlight w:val="none"/>
        </w:rPr>
      </w:pPr>
      <w:r>
        <w:rPr>
          <w:rFonts w:hint="eastAsia"/>
          <w:highlight w:val="none"/>
        </w:rPr>
        <w:t>评标委员会应当</w:t>
      </w:r>
      <w:r>
        <w:rPr>
          <w:rFonts w:hint="eastAsia"/>
          <w:b/>
          <w:bCs/>
          <w:highlight w:val="none"/>
          <w:u w:val="single"/>
        </w:rPr>
        <w:t>结合该行业当地薪资水平等情况，依据专业经验对报价合理性进行判断。</w:t>
      </w:r>
      <w:r>
        <w:rPr>
          <w:rFonts w:hint="eastAsia"/>
          <w:highlight w:val="none"/>
        </w:rPr>
        <w:t>如果投标供应商不提供书面说明、证明材料，或者提供的书面说明、证明材料不能证明其报价合理性的，应当将其作为无效投标处理。审查相关情况应当在评审报告中记录。</w:t>
      </w:r>
    </w:p>
    <w:p>
      <w:pPr>
        <w:ind w:firstLine="426"/>
        <w:rPr>
          <w:highlight w:val="none"/>
        </w:rPr>
      </w:pPr>
      <w:r>
        <w:rPr>
          <w:rFonts w:hint="eastAsia"/>
          <w:highlight w:val="none"/>
        </w:rPr>
        <w:t>3.6.3响应文件出现不是唯一的、有选择性最后报价的，响应文件无效。</w:t>
      </w:r>
    </w:p>
    <w:p>
      <w:pPr>
        <w:ind w:firstLine="426"/>
        <w:rPr>
          <w:highlight w:val="none"/>
        </w:rPr>
      </w:pPr>
      <w:r>
        <w:rPr>
          <w:rFonts w:hint="eastAsia"/>
          <w:highlight w:val="none"/>
        </w:rPr>
        <w:t>3.6.4最后报价超过采购文件中规定的预算金额或者最高限价的，响应文件无效。</w:t>
      </w:r>
    </w:p>
    <w:p>
      <w:pPr>
        <w:ind w:firstLine="426"/>
        <w:rPr>
          <w:highlight w:val="none"/>
        </w:rPr>
      </w:pPr>
      <w:r>
        <w:rPr>
          <w:rFonts w:hint="eastAsia"/>
          <w:highlight w:val="none"/>
        </w:rPr>
        <w:t>3.6.5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ind w:firstLine="428"/>
        <w:rPr>
          <w:highlight w:val="none"/>
        </w:rPr>
      </w:pPr>
      <w:r>
        <w:rPr>
          <w:rFonts w:hint="eastAsia"/>
          <w:b/>
          <w:bCs/>
          <w:highlight w:val="none"/>
        </w:rPr>
        <w:t>3.7排序与推荐。</w:t>
      </w:r>
      <w:r>
        <w:rPr>
          <w:rFonts w:hint="eastAsia"/>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ind w:firstLine="428"/>
        <w:rPr>
          <w:highlight w:val="none"/>
        </w:rPr>
      </w:pPr>
      <w:r>
        <w:rPr>
          <w:rFonts w:hint="eastAsia"/>
          <w:b/>
          <w:bCs/>
          <w:highlight w:val="none"/>
        </w:rPr>
        <w:t>3.8编写评审报告。</w:t>
      </w:r>
      <w:r>
        <w:rPr>
          <w:rFonts w:hint="eastAsia"/>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pStyle w:val="4"/>
        <w:rPr>
          <w:highlight w:val="none"/>
        </w:rPr>
      </w:pPr>
      <w:bookmarkStart w:id="111" w:name="_Toc24025"/>
      <w:bookmarkStart w:id="112" w:name="_Toc24365"/>
      <w:bookmarkStart w:id="113" w:name="_Toc31097"/>
      <w:r>
        <w:rPr>
          <w:rFonts w:hint="eastAsia"/>
          <w:highlight w:val="none"/>
        </w:rPr>
        <w:t>四、评审中的其他事项</w:t>
      </w:r>
      <w:bookmarkEnd w:id="111"/>
      <w:bookmarkEnd w:id="112"/>
      <w:bookmarkEnd w:id="113"/>
    </w:p>
    <w:p>
      <w:pPr>
        <w:spacing w:line="312" w:lineRule="auto"/>
        <w:ind w:firstLine="428"/>
        <w:rPr>
          <w:highlight w:val="none"/>
        </w:rPr>
      </w:pPr>
      <w:r>
        <w:rPr>
          <w:rFonts w:hint="eastAsia"/>
          <w:b/>
          <w:bCs/>
          <w:highlight w:val="none"/>
        </w:rPr>
        <w:t>4.1供应商澄清、说明或者补正。</w:t>
      </w:r>
      <w:r>
        <w:rPr>
          <w:rFonts w:hint="eastAsia"/>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spacing w:line="312" w:lineRule="auto"/>
        <w:ind w:firstLine="428"/>
        <w:rPr>
          <w:highlight w:val="none"/>
        </w:rPr>
      </w:pPr>
      <w:r>
        <w:rPr>
          <w:rFonts w:hint="eastAsia"/>
          <w:b/>
          <w:bCs/>
          <w:highlight w:val="none"/>
        </w:rPr>
        <w:t>4.2响应文件无效。有下列情形之一的，响应文件无效：</w:t>
      </w:r>
    </w:p>
    <w:p>
      <w:pPr>
        <w:spacing w:line="312" w:lineRule="auto"/>
        <w:ind w:firstLine="426"/>
        <w:rPr>
          <w:highlight w:val="none"/>
        </w:rPr>
      </w:pPr>
      <w:r>
        <w:rPr>
          <w:rFonts w:hint="eastAsia"/>
          <w:highlight w:val="none"/>
        </w:rPr>
        <w:t>4.2.1供应商不具备采购文件中规定的资格要求的（供应商未提供有效的资格文件的，视为供应商不具备采购文件中规定的资格要求）；</w:t>
      </w:r>
    </w:p>
    <w:p>
      <w:pPr>
        <w:spacing w:line="312" w:lineRule="auto"/>
        <w:ind w:firstLine="426"/>
        <w:rPr>
          <w:highlight w:val="none"/>
        </w:rPr>
      </w:pPr>
      <w:r>
        <w:rPr>
          <w:rFonts w:hint="eastAsia"/>
          <w:highlight w:val="none"/>
        </w:rPr>
        <w:t>4.2.2响应文件未按照采购文件要求签署、盖章的；</w:t>
      </w:r>
    </w:p>
    <w:p>
      <w:pPr>
        <w:spacing w:line="312" w:lineRule="auto"/>
        <w:ind w:firstLine="426"/>
        <w:rPr>
          <w:highlight w:val="none"/>
        </w:rPr>
      </w:pPr>
      <w:r>
        <w:rPr>
          <w:rFonts w:hint="eastAsia"/>
          <w:highlight w:val="none"/>
        </w:rPr>
        <w:t>4.2.3采购人拟采购的产品属于政府强制采购的节能产品品目清单范围的，供应商未按采购文件要求提供国家确定的认证机构出具的、处于有效期之内的节能产品认证证书的；</w:t>
      </w:r>
    </w:p>
    <w:p>
      <w:pPr>
        <w:spacing w:line="312" w:lineRule="auto"/>
        <w:ind w:firstLine="426"/>
        <w:rPr>
          <w:highlight w:val="none"/>
        </w:rPr>
      </w:pPr>
      <w:r>
        <w:rPr>
          <w:rFonts w:hint="eastAsia"/>
          <w:highlight w:val="none"/>
        </w:rPr>
        <w:t>4.2.4响应文件含有采购人不能接受的附加条件的；</w:t>
      </w:r>
    </w:p>
    <w:p>
      <w:pPr>
        <w:spacing w:line="312" w:lineRule="auto"/>
        <w:ind w:firstLine="426"/>
        <w:rPr>
          <w:highlight w:val="none"/>
        </w:rPr>
      </w:pPr>
      <w:r>
        <w:rPr>
          <w:rFonts w:hint="eastAsia"/>
          <w:highlight w:val="none"/>
        </w:rPr>
        <w:t>4.2.5响应文件中承诺的响应文件有效期少于采购文件中载明的响应文件有效期的；</w:t>
      </w:r>
    </w:p>
    <w:p>
      <w:pPr>
        <w:spacing w:line="312" w:lineRule="auto"/>
        <w:ind w:firstLine="426"/>
        <w:rPr>
          <w:highlight w:val="none"/>
        </w:rPr>
      </w:pPr>
      <w:r>
        <w:rPr>
          <w:rFonts w:hint="eastAsia"/>
          <w:highlight w:val="none"/>
        </w:rPr>
        <w:t>4.2.6响应文件出现不是唯一的、有选择性最后报价的；</w:t>
      </w:r>
    </w:p>
    <w:p>
      <w:pPr>
        <w:spacing w:line="312" w:lineRule="auto"/>
        <w:ind w:firstLine="426"/>
        <w:rPr>
          <w:highlight w:val="none"/>
        </w:rPr>
      </w:pPr>
      <w:r>
        <w:rPr>
          <w:rFonts w:hint="eastAsia"/>
          <w:highlight w:val="none"/>
        </w:rPr>
        <w:t>4.2.7最后报价超过采购文件中规定的预算金额或者最高限价的；</w:t>
      </w:r>
    </w:p>
    <w:p>
      <w:pPr>
        <w:spacing w:line="312" w:lineRule="auto"/>
        <w:ind w:firstLine="426"/>
        <w:rPr>
          <w:highlight w:val="none"/>
        </w:rPr>
      </w:pPr>
      <w:r>
        <w:rPr>
          <w:rFonts w:hint="eastAsia"/>
          <w:highlight w:val="none"/>
        </w:rPr>
        <w:t>4.2.8报价明显低于其他通过符合性审查供应商的报价或低于预算价50%的，有可能影响产品质量或者不能诚信履约的，未能按要求提供书面说明或者提交相关证明材料，不能证明其报价合理性的；</w:t>
      </w:r>
    </w:p>
    <w:p>
      <w:pPr>
        <w:spacing w:line="312" w:lineRule="auto"/>
        <w:ind w:firstLine="426"/>
        <w:rPr>
          <w:highlight w:val="none"/>
        </w:rPr>
      </w:pPr>
      <w:r>
        <w:rPr>
          <w:rFonts w:hint="eastAsia"/>
          <w:highlight w:val="none"/>
        </w:rPr>
        <w:t>4.2.9供应商对根据修正原则修正后的报价不确认的；</w:t>
      </w:r>
    </w:p>
    <w:p>
      <w:pPr>
        <w:spacing w:line="312" w:lineRule="auto"/>
        <w:ind w:firstLine="426"/>
        <w:rPr>
          <w:highlight w:val="none"/>
        </w:rPr>
      </w:pPr>
      <w:r>
        <w:rPr>
          <w:rFonts w:hint="eastAsia"/>
          <w:highlight w:val="none"/>
        </w:rPr>
        <w:t>4.2.10供应商提供虚假材料响应的；</w:t>
      </w:r>
    </w:p>
    <w:p>
      <w:pPr>
        <w:spacing w:line="312" w:lineRule="auto"/>
        <w:ind w:firstLine="426"/>
        <w:rPr>
          <w:highlight w:val="none"/>
        </w:rPr>
      </w:pPr>
      <w:r>
        <w:rPr>
          <w:rFonts w:hint="eastAsia"/>
          <w:highlight w:val="none"/>
        </w:rPr>
        <w:t>4.2.11供应商有恶意串通、妨碍其他供应商的竞争行为、损害采购人或者其他供应商的合法权益情形的；</w:t>
      </w:r>
      <w:r>
        <w:rPr>
          <w:rFonts w:hint="eastAsia"/>
          <w:b/>
          <w:bCs/>
          <w:highlight w:val="none"/>
        </w:rPr>
        <w:t>参与同一个采购包（标段）的供应商存在下列情形之一的，属于或视为恶意串通，其投标（响应）文件无效：（1）不同供应商的电子投标（响应）文件上传计算机的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spacing w:line="312" w:lineRule="auto"/>
        <w:ind w:firstLine="426"/>
        <w:rPr>
          <w:highlight w:val="none"/>
        </w:rPr>
      </w:pPr>
      <w:r>
        <w:rPr>
          <w:rFonts w:hint="eastAsia"/>
          <w:highlight w:val="none"/>
        </w:rPr>
        <w:t>4.2.12供应商仅提交备份响应文件，未在电子交易平台传输递交响应文件的，响应文件无效；</w:t>
      </w:r>
    </w:p>
    <w:p>
      <w:pPr>
        <w:spacing w:line="312" w:lineRule="auto"/>
        <w:ind w:firstLine="426"/>
        <w:rPr>
          <w:highlight w:val="none"/>
        </w:rPr>
      </w:pPr>
      <w:r>
        <w:rPr>
          <w:rFonts w:hint="eastAsia"/>
          <w:highlight w:val="none"/>
        </w:rPr>
        <w:t>4.2.13响应文件不满足采购文件的其它实质性要求的；</w:t>
      </w:r>
    </w:p>
    <w:p>
      <w:pPr>
        <w:spacing w:line="312" w:lineRule="auto"/>
        <w:ind w:firstLine="426"/>
        <w:rPr>
          <w:highlight w:val="none"/>
        </w:rPr>
      </w:pPr>
      <w:r>
        <w:rPr>
          <w:rFonts w:hint="eastAsia"/>
          <w:highlight w:val="none"/>
        </w:rPr>
        <w:t>4.2.14法律、法规、规章（适用本市的）及省级以上规范性文件（适用本市的）规定的其他无效情形。</w:t>
      </w:r>
    </w:p>
    <w:p>
      <w:pPr>
        <w:spacing w:line="312" w:lineRule="auto"/>
        <w:ind w:firstLine="428"/>
        <w:rPr>
          <w:highlight w:val="none"/>
        </w:rPr>
      </w:pPr>
      <w:r>
        <w:rPr>
          <w:rFonts w:hint="eastAsia"/>
          <w:b/>
          <w:bCs/>
          <w:highlight w:val="none"/>
        </w:rPr>
        <w:t>5.终止竞争性磋商采购活动。</w:t>
      </w:r>
      <w:r>
        <w:rPr>
          <w:rFonts w:hint="eastAsia"/>
          <w:highlight w:val="none"/>
        </w:rPr>
        <w:t>出现下列情形之一的，采购人或者采购代理机构应当终止竞争性磋商采购活动，发布项目终止公告并说明原因，重新开展采购活动：</w:t>
      </w:r>
    </w:p>
    <w:p>
      <w:pPr>
        <w:spacing w:line="312" w:lineRule="auto"/>
        <w:ind w:firstLine="426"/>
        <w:rPr>
          <w:highlight w:val="none"/>
        </w:rPr>
      </w:pPr>
      <w:r>
        <w:rPr>
          <w:rFonts w:hint="eastAsia"/>
          <w:highlight w:val="none"/>
        </w:rPr>
        <w:t>5.1因情况变化，不再符合规定的竞争性磋商采购方式适用情形的；</w:t>
      </w:r>
    </w:p>
    <w:p>
      <w:pPr>
        <w:spacing w:line="312" w:lineRule="auto"/>
        <w:ind w:firstLine="426"/>
        <w:rPr>
          <w:highlight w:val="none"/>
        </w:rPr>
      </w:pPr>
      <w:r>
        <w:rPr>
          <w:rFonts w:hint="eastAsia"/>
          <w:highlight w:val="none"/>
        </w:rPr>
        <w:t>5.2出现影响采购公正的违法、违规行为的；</w:t>
      </w:r>
    </w:p>
    <w:p>
      <w:pPr>
        <w:spacing w:line="312" w:lineRule="auto"/>
        <w:ind w:firstLine="426"/>
        <w:rPr>
          <w:highlight w:val="none"/>
        </w:rPr>
      </w:pPr>
      <w:r>
        <w:rPr>
          <w:rFonts w:hint="eastAsia"/>
          <w:highlight w:val="none"/>
        </w:rPr>
        <w:t>5.3除本办法第二十一条第三款规定的情形外，在采购过程中符合要求的供应商或者报价未超过采购预算的供应商不足3家的。</w:t>
      </w:r>
    </w:p>
    <w:p>
      <w:pPr>
        <w:spacing w:line="312" w:lineRule="auto"/>
        <w:ind w:firstLine="426"/>
        <w:rPr>
          <w:highlight w:val="none"/>
        </w:rPr>
      </w:pPr>
      <w:r>
        <w:rPr>
          <w:rFonts w:hint="eastAsia"/>
          <w:highlight w:val="none"/>
        </w:rPr>
        <w:t>5.4在采购活动中因重大变故，采购任务取消的，采购人或者采购代理机构应当终止采购活动，通知所有参加采购活动的供应商，并将项目实施情况和采购任务取消原因报送本级财政部门。</w:t>
      </w:r>
    </w:p>
    <w:p>
      <w:pPr>
        <w:spacing w:line="312" w:lineRule="auto"/>
        <w:ind w:firstLine="428"/>
        <w:rPr>
          <w:highlight w:val="none"/>
        </w:rPr>
      </w:pPr>
      <w:r>
        <w:rPr>
          <w:rFonts w:hint="eastAsia"/>
          <w:b/>
          <w:bCs/>
          <w:highlight w:val="none"/>
        </w:rPr>
        <w:t>6.重新开展采购。</w:t>
      </w:r>
      <w:r>
        <w:rPr>
          <w:rFonts w:hint="eastAsia"/>
          <w:highlight w:val="none"/>
        </w:rPr>
        <w:t>有政府采购法第七十一条、第七十二条规定的违法行为之一，影响或者可能影响成交结果的，依照下列规定处理：</w:t>
      </w:r>
    </w:p>
    <w:p>
      <w:pPr>
        <w:spacing w:line="312" w:lineRule="auto"/>
        <w:ind w:firstLine="426"/>
        <w:rPr>
          <w:highlight w:val="none"/>
        </w:rPr>
      </w:pPr>
      <w:r>
        <w:rPr>
          <w:rFonts w:hint="eastAsia"/>
          <w:highlight w:val="none"/>
        </w:rPr>
        <w:t>6.1未确定成交供应商的，终止本次政府采购活动，重新开展政府采购活动。</w:t>
      </w:r>
    </w:p>
    <w:p>
      <w:pPr>
        <w:spacing w:line="312" w:lineRule="auto"/>
        <w:ind w:firstLine="426"/>
        <w:rPr>
          <w:highlight w:val="none"/>
        </w:rPr>
      </w:pPr>
      <w:r>
        <w:rPr>
          <w:rFonts w:hint="eastAsia"/>
          <w:highlight w:val="none"/>
        </w:rPr>
        <w:t>6.2已确定成交供应商但尚未签订政府采购合同的，成交结果无效，从合格的成交候选供应商中另行确定成交供应商；没有合格的成交候选供应商的，重新开展政府采购活动。</w:t>
      </w:r>
    </w:p>
    <w:p>
      <w:pPr>
        <w:spacing w:line="312" w:lineRule="auto"/>
        <w:ind w:firstLine="426"/>
        <w:rPr>
          <w:highlight w:val="none"/>
        </w:rPr>
      </w:pPr>
      <w:r>
        <w:rPr>
          <w:rFonts w:hint="eastAsia"/>
          <w:highlight w:val="none"/>
        </w:rPr>
        <w:t>6.3政府采购合同已签订但尚未履行的，撤销合同，从合格的成交候选供应商中另行确定成交供应商；没有合格的成交候选供应商的，重新开展政府采购活动。</w:t>
      </w:r>
    </w:p>
    <w:p>
      <w:pPr>
        <w:spacing w:line="312" w:lineRule="auto"/>
        <w:ind w:firstLine="426"/>
        <w:rPr>
          <w:highlight w:val="none"/>
        </w:rPr>
      </w:pPr>
      <w:r>
        <w:rPr>
          <w:rFonts w:hint="eastAsia"/>
          <w:highlight w:val="none"/>
        </w:rPr>
        <w:t>6.4政府采购合同已经履行，给采购人、供应商造成损失的，由责任人承担赔偿责任。</w:t>
      </w:r>
    </w:p>
    <w:p>
      <w:pPr>
        <w:ind w:firstLine="426"/>
        <w:rPr>
          <w:highlight w:val="none"/>
        </w:rPr>
      </w:pPr>
      <w:r>
        <w:rPr>
          <w:rFonts w:hint="eastAsia"/>
          <w:highlight w:val="none"/>
        </w:rPr>
        <w:t>6.5政府采购当事人有其他违反政府采购法或者政府采购法实施条例等法律法规规定的行为，经改正后仍然影响或者可能影响成交结果或者依法被认定为成交无效的，依照6.1-6.4规定处理。</w:t>
      </w:r>
    </w:p>
    <w:p>
      <w:pPr>
        <w:ind w:firstLine="426"/>
        <w:rPr>
          <w:highlight w:val="none"/>
        </w:rPr>
      </w:pPr>
      <w:r>
        <w:rPr>
          <w:highlight w:val="none"/>
        </w:rPr>
        <w:br w:type="page"/>
      </w:r>
      <w:bookmarkEnd w:id="40"/>
      <w:bookmarkEnd w:id="41"/>
      <w:bookmarkEnd w:id="42"/>
      <w:bookmarkEnd w:id="43"/>
      <w:bookmarkEnd w:id="44"/>
      <w:bookmarkEnd w:id="45"/>
      <w:bookmarkStart w:id="114" w:name="_Toc224873967"/>
      <w:bookmarkStart w:id="115" w:name="_Toc205610319"/>
      <w:bookmarkStart w:id="116" w:name="_Toc81102411"/>
    </w:p>
    <w:p>
      <w:pPr>
        <w:pStyle w:val="3"/>
        <w:ind w:right="240"/>
        <w:rPr>
          <w:color w:val="000000"/>
          <w:highlight w:val="none"/>
        </w:rPr>
      </w:pPr>
      <w:bookmarkStart w:id="117" w:name="_Toc105403093"/>
      <w:bookmarkStart w:id="118" w:name="_Toc27916"/>
      <w:bookmarkStart w:id="119" w:name="_Toc27160"/>
      <w:bookmarkStart w:id="120" w:name="_Toc12004"/>
      <w:r>
        <w:rPr>
          <w:rFonts w:hint="eastAsia"/>
          <w:kern w:val="2"/>
          <w:szCs w:val="24"/>
          <w:highlight w:val="none"/>
        </w:rPr>
        <w:t xml:space="preserve">第五部分 </w:t>
      </w:r>
      <w:r>
        <w:rPr>
          <w:kern w:val="2"/>
          <w:szCs w:val="24"/>
          <w:highlight w:val="none"/>
        </w:rPr>
        <w:t xml:space="preserve"> </w:t>
      </w:r>
      <w:bookmarkEnd w:id="117"/>
      <w:r>
        <w:rPr>
          <w:rFonts w:hint="eastAsia"/>
          <w:color w:val="000000"/>
          <w:highlight w:val="none"/>
        </w:rPr>
        <w:t>拟签订的合同文本</w:t>
      </w:r>
      <w:bookmarkEnd w:id="118"/>
      <w:bookmarkEnd w:id="119"/>
      <w:bookmarkEnd w:id="120"/>
    </w:p>
    <w:p>
      <w:pPr>
        <w:ind w:firstLine="428"/>
        <w:rPr>
          <w:b/>
          <w:szCs w:val="21"/>
          <w:highlight w:val="none"/>
        </w:rPr>
      </w:pPr>
      <w:bookmarkStart w:id="121" w:name="_Toc20243"/>
    </w:p>
    <w:p>
      <w:pPr>
        <w:ind w:firstLine="428"/>
        <w:rPr>
          <w:b/>
          <w:szCs w:val="21"/>
          <w:highlight w:val="none"/>
        </w:rPr>
      </w:pPr>
      <w:r>
        <w:rPr>
          <w:rFonts w:hint="eastAsia"/>
          <w:b/>
          <w:szCs w:val="21"/>
          <w:highlight w:val="none"/>
        </w:rPr>
        <w:t>使用 住房城乡建设部、国家工商行政管理总局制定的《建设工程施工合同（示范文本）》（GF-2017-0201）</w:t>
      </w:r>
    </w:p>
    <w:p>
      <w:pPr>
        <w:ind w:firstLine="428"/>
        <w:rPr>
          <w:b/>
          <w:szCs w:val="21"/>
          <w:highlight w:val="none"/>
        </w:rPr>
      </w:pPr>
      <w:r>
        <w:rPr>
          <w:rFonts w:hint="eastAsia"/>
          <w:b/>
          <w:szCs w:val="21"/>
          <w:highlight w:val="none"/>
        </w:rPr>
        <w:t>本合同由承包人与发包人（杭州科技职业技术学院）签订。合同内容不得改变竞争性磋商文件、磋商响应文件、询标纪要等的实质性内容，在此基础上有双方协商确定。</w:t>
      </w:r>
    </w:p>
    <w:p>
      <w:pPr>
        <w:ind w:firstLine="428"/>
        <w:rPr>
          <w:b/>
          <w:szCs w:val="21"/>
          <w:highlight w:val="none"/>
        </w:rPr>
      </w:pPr>
    </w:p>
    <w:p>
      <w:pPr>
        <w:ind w:firstLine="428"/>
        <w:rPr>
          <w:b/>
          <w:szCs w:val="21"/>
          <w:highlight w:val="none"/>
        </w:rPr>
      </w:pPr>
    </w:p>
    <w:p>
      <w:pPr>
        <w:ind w:firstLine="428"/>
        <w:rPr>
          <w:b/>
          <w:szCs w:val="21"/>
          <w:highlight w:val="none"/>
        </w:rPr>
      </w:pPr>
    </w:p>
    <w:p>
      <w:pPr>
        <w:ind w:firstLine="426"/>
        <w:rPr>
          <w:bCs/>
          <w:szCs w:val="21"/>
          <w:highlight w:val="none"/>
        </w:rPr>
      </w:pPr>
      <w:r>
        <w:rPr>
          <w:rFonts w:hint="eastAsia"/>
          <w:bCs/>
          <w:szCs w:val="21"/>
          <w:highlight w:val="none"/>
        </w:rPr>
        <w:t>第一部分   合同协议书</w:t>
      </w:r>
    </w:p>
    <w:p>
      <w:pPr>
        <w:ind w:firstLine="426"/>
        <w:rPr>
          <w:bCs/>
          <w:szCs w:val="21"/>
          <w:highlight w:val="none"/>
        </w:rPr>
      </w:pPr>
      <w:r>
        <w:rPr>
          <w:rFonts w:hint="eastAsia"/>
          <w:bCs/>
          <w:szCs w:val="21"/>
          <w:highlight w:val="none"/>
        </w:rPr>
        <w:t>第二部分   通用条款[省略，使用时按（GF-2017-0201）]</w:t>
      </w:r>
    </w:p>
    <w:p>
      <w:pPr>
        <w:ind w:firstLine="426"/>
        <w:rPr>
          <w:bCs/>
          <w:szCs w:val="21"/>
          <w:highlight w:val="none"/>
        </w:rPr>
      </w:pPr>
      <w:r>
        <w:rPr>
          <w:rFonts w:hint="eastAsia"/>
          <w:bCs/>
          <w:szCs w:val="21"/>
          <w:highlight w:val="none"/>
        </w:rPr>
        <w:t>第三部分   专用合同条款</w:t>
      </w:r>
    </w:p>
    <w:p>
      <w:pPr>
        <w:ind w:firstLine="426"/>
        <w:rPr>
          <w:bCs/>
          <w:szCs w:val="21"/>
          <w:highlight w:val="none"/>
        </w:rPr>
      </w:pPr>
      <w:r>
        <w:rPr>
          <w:rFonts w:hint="eastAsia"/>
          <w:bCs/>
          <w:szCs w:val="21"/>
          <w:highlight w:val="none"/>
        </w:rPr>
        <w:t>附件（省略，工程报价中相应体现）</w:t>
      </w:r>
    </w:p>
    <w:p>
      <w:pPr>
        <w:pStyle w:val="4"/>
        <w:jc w:val="center"/>
        <w:rPr>
          <w:rFonts w:cs="Calibri"/>
          <w:szCs w:val="30"/>
          <w:highlight w:val="none"/>
        </w:rPr>
      </w:pPr>
      <w:r>
        <w:rPr>
          <w:rFonts w:hint="eastAsia"/>
          <w:b w:val="0"/>
          <w:bCs/>
          <w:szCs w:val="21"/>
          <w:highlight w:val="none"/>
        </w:rPr>
        <w:br w:type="page"/>
      </w:r>
      <w:bookmarkStart w:id="122" w:name="_Toc177560946"/>
      <w:bookmarkStart w:id="123" w:name="_Toc16352"/>
      <w:bookmarkStart w:id="124" w:name="_Toc390068980"/>
      <w:r>
        <w:rPr>
          <w:rFonts w:hint="eastAsia"/>
          <w:highlight w:val="none"/>
        </w:rPr>
        <w:t xml:space="preserve">第一部分 </w:t>
      </w:r>
      <w:r>
        <w:rPr>
          <w:highlight w:val="none"/>
        </w:rPr>
        <w:t xml:space="preserve"> </w:t>
      </w:r>
      <w:r>
        <w:rPr>
          <w:rFonts w:cs="Calibri"/>
          <w:szCs w:val="30"/>
          <w:highlight w:val="none"/>
        </w:rPr>
        <w:t>合同协议书</w:t>
      </w:r>
      <w:bookmarkEnd w:id="122"/>
      <w:bookmarkEnd w:id="123"/>
      <w:bookmarkEnd w:id="124"/>
    </w:p>
    <w:p>
      <w:pPr>
        <w:tabs>
          <w:tab w:val="left" w:pos="5789"/>
        </w:tabs>
        <w:ind w:firstLine="0" w:firstLineChars="0"/>
        <w:rPr>
          <w:szCs w:val="21"/>
          <w:highlight w:val="none"/>
        </w:rPr>
      </w:pPr>
      <w:r>
        <w:rPr>
          <w:rFonts w:hint="eastAsia"/>
          <w:szCs w:val="21"/>
          <w:highlight w:val="none"/>
        </w:rPr>
        <w:t>甲方</w:t>
      </w:r>
      <w:r>
        <w:rPr>
          <w:szCs w:val="21"/>
          <w:highlight w:val="none"/>
        </w:rPr>
        <w:t>（</w:t>
      </w:r>
      <w:r>
        <w:rPr>
          <w:rFonts w:hint="eastAsia"/>
          <w:szCs w:val="21"/>
          <w:highlight w:val="none"/>
        </w:rPr>
        <w:t>采购人</w:t>
      </w:r>
      <w:r>
        <w:rPr>
          <w:szCs w:val="21"/>
          <w:highlight w:val="none"/>
        </w:rPr>
        <w:t>）</w:t>
      </w:r>
      <w:r>
        <w:rPr>
          <w:rFonts w:hint="eastAsia"/>
          <w:szCs w:val="21"/>
          <w:highlight w:val="none"/>
        </w:rPr>
        <w:t>:</w:t>
      </w:r>
      <w:r>
        <w:rPr>
          <w:rFonts w:hint="eastAsia"/>
          <w:szCs w:val="21"/>
          <w:highlight w:val="none"/>
          <w:u w:val="single"/>
        </w:rPr>
        <w:t xml:space="preserve"> 杭州科技职业技术学院</w:t>
      </w:r>
      <w:r>
        <w:rPr>
          <w:szCs w:val="21"/>
          <w:highlight w:val="none"/>
        </w:rPr>
        <w:t xml:space="preserve"> </w:t>
      </w:r>
      <w:r>
        <w:rPr>
          <w:rFonts w:hint="eastAsia"/>
          <w:szCs w:val="21"/>
          <w:highlight w:val="none"/>
        </w:rPr>
        <w:t xml:space="preserve">   </w:t>
      </w:r>
      <w:r>
        <w:rPr>
          <w:rFonts w:hint="eastAsia" w:cs="Calibri"/>
          <w:bCs/>
          <w:color w:val="000000"/>
          <w:szCs w:val="21"/>
          <w:highlight w:val="none"/>
        </w:rPr>
        <w:t>合同编号：</w:t>
      </w:r>
      <w:r>
        <w:rPr>
          <w:rFonts w:cs="Calibri"/>
          <w:bCs/>
          <w:color w:val="000000"/>
          <w:szCs w:val="21"/>
          <w:highlight w:val="none"/>
        </w:rPr>
        <w:t xml:space="preserve">            </w:t>
      </w:r>
    </w:p>
    <w:p>
      <w:pPr>
        <w:ind w:firstLine="0" w:firstLineChars="0"/>
        <w:rPr>
          <w:rFonts w:cs="Calibri"/>
          <w:bCs/>
          <w:color w:val="000000"/>
          <w:szCs w:val="21"/>
          <w:highlight w:val="none"/>
        </w:rPr>
      </w:pPr>
      <w:r>
        <w:rPr>
          <w:rFonts w:hint="eastAsia"/>
          <w:szCs w:val="21"/>
          <w:highlight w:val="none"/>
        </w:rPr>
        <w:t>乙方</w:t>
      </w:r>
      <w:r>
        <w:rPr>
          <w:szCs w:val="21"/>
          <w:highlight w:val="none"/>
        </w:rPr>
        <w:t>（</w:t>
      </w:r>
      <w:r>
        <w:rPr>
          <w:rFonts w:hint="eastAsia"/>
          <w:szCs w:val="21"/>
          <w:highlight w:val="none"/>
        </w:rPr>
        <w:t>承包人</w:t>
      </w:r>
      <w:r>
        <w:rPr>
          <w:szCs w:val="21"/>
          <w:highlight w:val="none"/>
        </w:rPr>
        <w:t>）</w:t>
      </w:r>
      <w:r>
        <w:rPr>
          <w:rFonts w:hint="eastAsia"/>
          <w:szCs w:val="21"/>
          <w:highlight w:val="none"/>
        </w:rPr>
        <w:t>:</w:t>
      </w:r>
      <w:r>
        <w:rPr>
          <w:rFonts w:hint="eastAsia"/>
          <w:szCs w:val="21"/>
          <w:highlight w:val="none"/>
          <w:u w:val="single"/>
        </w:rPr>
        <w:t xml:space="preserve"> </w:t>
      </w:r>
      <w:r>
        <w:rPr>
          <w:szCs w:val="21"/>
          <w:highlight w:val="none"/>
          <w:u w:val="single"/>
        </w:rPr>
        <w:t xml:space="preserve">                    </w:t>
      </w:r>
      <w:r>
        <w:rPr>
          <w:rFonts w:hint="eastAsia"/>
          <w:szCs w:val="21"/>
          <w:highlight w:val="none"/>
        </w:rPr>
        <w:t xml:space="preserve"> </w:t>
      </w:r>
      <w:r>
        <w:rPr>
          <w:szCs w:val="21"/>
          <w:highlight w:val="none"/>
        </w:rPr>
        <w:t xml:space="preserve">   </w:t>
      </w:r>
      <w:r>
        <w:rPr>
          <w:rFonts w:hint="eastAsia" w:cs="Calibri"/>
          <w:bCs/>
          <w:color w:val="000000"/>
          <w:szCs w:val="21"/>
          <w:highlight w:val="none"/>
        </w:rPr>
        <w:t>项目编号：DLLH-Z（G）-HKY2025006</w:t>
      </w:r>
    </w:p>
    <w:p>
      <w:pPr>
        <w:ind w:firstLine="426"/>
        <w:rPr>
          <w:highlight w:val="none"/>
        </w:rPr>
      </w:pPr>
      <w:r>
        <w:rPr>
          <w:rFonts w:hint="eastAsia"/>
          <w:highlight w:val="none"/>
        </w:rPr>
        <w:t>签约时间、地点：2</w:t>
      </w:r>
      <w:r>
        <w:rPr>
          <w:highlight w:val="none"/>
        </w:rPr>
        <w:t>02</w:t>
      </w:r>
      <w:r>
        <w:rPr>
          <w:rFonts w:hint="eastAsia"/>
          <w:highlight w:val="none"/>
        </w:rPr>
        <w:t xml:space="preserve">5年 </w:t>
      </w:r>
      <w:r>
        <w:rPr>
          <w:highlight w:val="none"/>
        </w:rPr>
        <w:t xml:space="preserve">  </w:t>
      </w:r>
      <w:r>
        <w:rPr>
          <w:rFonts w:hint="eastAsia"/>
          <w:highlight w:val="none"/>
        </w:rPr>
        <w:t xml:space="preserve">月 </w:t>
      </w:r>
      <w:r>
        <w:rPr>
          <w:highlight w:val="none"/>
        </w:rPr>
        <w:t xml:space="preserve">   </w:t>
      </w:r>
      <w:r>
        <w:rPr>
          <w:rFonts w:hint="eastAsia"/>
          <w:highlight w:val="none"/>
        </w:rPr>
        <w:t>日，杭州科技职业技术学院</w:t>
      </w:r>
    </w:p>
    <w:p>
      <w:pPr>
        <w:pStyle w:val="27"/>
        <w:ind w:right="-301" w:rightChars="-142" w:firstLine="426"/>
        <w:rPr>
          <w:rFonts w:cs="Calibri"/>
          <w:bCs/>
          <w:snapToGrid w:val="0"/>
          <w:color w:val="000000"/>
          <w:highlight w:val="none"/>
        </w:rPr>
      </w:pPr>
      <w:r>
        <w:rPr>
          <w:rFonts w:hint="eastAsia"/>
          <w:highlight w:val="none"/>
          <w:u w:val="single"/>
        </w:rPr>
        <w:t>德邻联合工程有限公司</w:t>
      </w:r>
      <w:r>
        <w:rPr>
          <w:rFonts w:hint="eastAsia"/>
          <w:highlight w:val="none"/>
        </w:rPr>
        <w:t>受</w:t>
      </w:r>
      <w:r>
        <w:rPr>
          <w:rFonts w:hint="eastAsia"/>
          <w:highlight w:val="none"/>
          <w:u w:val="single"/>
        </w:rPr>
        <w:t xml:space="preserve"> 杭州科技职业技术学院 </w:t>
      </w:r>
      <w:r>
        <w:rPr>
          <w:rFonts w:hint="eastAsia"/>
          <w:highlight w:val="none"/>
        </w:rPr>
        <w:t>委托代理的</w:t>
      </w:r>
      <w:r>
        <w:rPr>
          <w:rFonts w:hint="eastAsia" w:cs="Calibri"/>
          <w:bCs/>
          <w:snapToGrid w:val="0"/>
          <w:color w:val="000000"/>
          <w:highlight w:val="none"/>
          <w:u w:val="single"/>
        </w:rPr>
        <w:t xml:space="preserve"> </w:t>
      </w:r>
      <w:r>
        <w:rPr>
          <w:rFonts w:hint="eastAsia"/>
          <w:highlight w:val="none"/>
          <w:u w:val="single"/>
        </w:rPr>
        <w:t>杭州科技职业学院翠苑校区教学及辅助设施修缮工程</w:t>
      </w:r>
      <w:r>
        <w:rPr>
          <w:rFonts w:hint="eastAsia" w:cs="Calibri"/>
          <w:bCs/>
          <w:snapToGrid w:val="0"/>
          <w:color w:val="000000"/>
          <w:highlight w:val="none"/>
          <w:u w:val="single"/>
        </w:rPr>
        <w:t>（项目编号：</w:t>
      </w:r>
      <w:r>
        <w:rPr>
          <w:rFonts w:hint="eastAsia" w:ascii="仿宋" w:hAnsi="仿宋" w:cs="仿宋"/>
          <w:bCs/>
          <w:snapToGrid w:val="0"/>
          <w:color w:val="000000"/>
          <w:highlight w:val="none"/>
          <w:u w:val="single"/>
        </w:rPr>
        <w:t>DLLH-Z（G）-HKY2025006</w:t>
      </w:r>
      <w:r>
        <w:rPr>
          <w:rFonts w:hint="eastAsia" w:cs="Calibri"/>
          <w:bCs/>
          <w:snapToGrid w:val="0"/>
          <w:color w:val="000000"/>
          <w:highlight w:val="none"/>
          <w:u w:val="single"/>
        </w:rPr>
        <w:t>）</w:t>
      </w:r>
      <w:r>
        <w:rPr>
          <w:rFonts w:hint="eastAsia" w:cs="Calibri"/>
          <w:bCs/>
          <w:snapToGrid w:val="0"/>
          <w:color w:val="000000"/>
          <w:highlight w:val="none"/>
        </w:rPr>
        <w:t>，经过竞争性磋商，确定为</w:t>
      </w:r>
      <w:r>
        <w:rPr>
          <w:rFonts w:hint="eastAsia" w:cs="Calibri"/>
          <w:bCs/>
          <w:snapToGrid w:val="0"/>
          <w:color w:val="000000"/>
          <w:highlight w:val="none"/>
          <w:u w:val="single"/>
        </w:rPr>
        <w:t xml:space="preserve"> </w:t>
      </w:r>
      <w:r>
        <w:rPr>
          <w:rFonts w:cs="Calibri"/>
          <w:bCs/>
          <w:snapToGrid w:val="0"/>
          <w:color w:val="000000"/>
          <w:highlight w:val="none"/>
          <w:u w:val="single"/>
        </w:rPr>
        <w:t xml:space="preserve">        </w:t>
      </w:r>
      <w:r>
        <w:rPr>
          <w:rFonts w:hint="eastAsia" w:cs="Calibri"/>
          <w:bCs/>
          <w:snapToGrid w:val="0"/>
          <w:color w:val="000000"/>
          <w:highlight w:val="none"/>
        </w:rPr>
        <w:t>为成交（乙方）单位。经协商双方就本采购事项达成以下条款：</w:t>
      </w:r>
    </w:p>
    <w:p>
      <w:pPr>
        <w:ind w:right="-173" w:rightChars="-82" w:firstLine="426"/>
        <w:rPr>
          <w:highlight w:val="none"/>
        </w:rPr>
      </w:pPr>
      <w:r>
        <w:rPr>
          <w:rFonts w:hint="eastAsia" w:ascii="宋体" w:hAnsi="宋体"/>
          <w:kern w:val="2"/>
          <w:highlight w:val="none"/>
          <w:u w:val="single"/>
        </w:rPr>
        <w:t>杭州科技职业技术学院</w:t>
      </w:r>
      <w:r>
        <w:rPr>
          <w:rFonts w:hint="eastAsia"/>
          <w:highlight w:val="none"/>
        </w:rPr>
        <w:t>（以下简称“发包人”）为实施</w:t>
      </w:r>
      <w:r>
        <w:rPr>
          <w:rFonts w:hint="eastAsia" w:ascii="宋体" w:hAnsi="宋体"/>
          <w:kern w:val="2"/>
          <w:highlight w:val="none"/>
          <w:u w:val="single"/>
        </w:rPr>
        <w:t>杭州科技职业学院翠苑校区教学及辅助设施修缮工程（项目编号：</w:t>
      </w:r>
      <w:r>
        <w:rPr>
          <w:rFonts w:hint="eastAsia" w:cs="仿宋"/>
          <w:bCs/>
          <w:snapToGrid w:val="0"/>
          <w:color w:val="000000"/>
          <w:highlight w:val="none"/>
          <w:u w:val="single"/>
        </w:rPr>
        <w:t>DLLH-Z（G）-HKY2025006</w:t>
      </w:r>
      <w:r>
        <w:rPr>
          <w:rFonts w:hint="eastAsia" w:ascii="宋体" w:hAnsi="宋体"/>
          <w:kern w:val="2"/>
          <w:highlight w:val="none"/>
          <w:u w:val="single"/>
        </w:rPr>
        <w:t>）</w:t>
      </w:r>
      <w:r>
        <w:rPr>
          <w:rFonts w:hint="eastAsia"/>
          <w:highlight w:val="none"/>
        </w:rPr>
        <w:t>，已接受</w:t>
      </w:r>
      <w:r>
        <w:rPr>
          <w:rFonts w:hint="eastAsia"/>
          <w:highlight w:val="none"/>
          <w:u w:val="single"/>
        </w:rPr>
        <w:t xml:space="preserve"> </w:t>
      </w:r>
      <w:r>
        <w:rPr>
          <w:highlight w:val="none"/>
          <w:u w:val="single"/>
        </w:rPr>
        <w:t xml:space="preserve">   </w:t>
      </w:r>
      <w:r>
        <w:rPr>
          <w:rFonts w:hint="eastAsia"/>
          <w:highlight w:val="none"/>
        </w:rPr>
        <w:t>（以下简称“承包人”)对该项目施工的投标。发包人和承包人共同达成如下协议。</w:t>
      </w:r>
    </w:p>
    <w:p>
      <w:pPr>
        <w:pStyle w:val="5"/>
        <w:rPr>
          <w:highlight w:val="none"/>
        </w:rPr>
      </w:pPr>
      <w:r>
        <w:rPr>
          <w:highlight w:val="none"/>
        </w:rPr>
        <w:t>一、工程概况</w:t>
      </w:r>
    </w:p>
    <w:p>
      <w:pPr>
        <w:ind w:right="-173" w:rightChars="-82" w:firstLine="426"/>
        <w:rPr>
          <w:highlight w:val="none"/>
        </w:rPr>
      </w:pPr>
      <w:r>
        <w:rPr>
          <w:highlight w:val="none"/>
        </w:rPr>
        <w:t>1</w:t>
      </w:r>
      <w:r>
        <w:rPr>
          <w:rFonts w:hint="eastAsia"/>
          <w:highlight w:val="none"/>
        </w:rPr>
        <w:t>、</w:t>
      </w:r>
      <w:r>
        <w:rPr>
          <w:highlight w:val="none"/>
        </w:rPr>
        <w:t>工程名称：</w:t>
      </w:r>
      <w:r>
        <w:rPr>
          <w:rFonts w:hint="eastAsia" w:cs="Calibri"/>
          <w:bCs/>
          <w:snapToGrid w:val="0"/>
          <w:color w:val="000000"/>
          <w:highlight w:val="none"/>
          <w:u w:val="single"/>
        </w:rPr>
        <w:t>杭州科技职业学院翠苑校区教学及辅助设施修缮工程</w:t>
      </w:r>
      <w:r>
        <w:rPr>
          <w:highlight w:val="none"/>
        </w:rPr>
        <w:t>。</w:t>
      </w:r>
    </w:p>
    <w:p>
      <w:pPr>
        <w:ind w:firstLine="426"/>
        <w:rPr>
          <w:rFonts w:cs="Calibri"/>
          <w:bCs/>
          <w:color w:val="000000"/>
          <w:highlight w:val="none"/>
        </w:rPr>
      </w:pPr>
      <w:r>
        <w:rPr>
          <w:rFonts w:cs="Calibri"/>
          <w:bCs/>
          <w:color w:val="000000"/>
          <w:highlight w:val="none"/>
        </w:rPr>
        <w:t>2</w:t>
      </w:r>
      <w:r>
        <w:rPr>
          <w:rFonts w:hint="eastAsia" w:cs="Calibri"/>
          <w:bCs/>
          <w:color w:val="000000"/>
          <w:highlight w:val="none"/>
        </w:rPr>
        <w:t>、</w:t>
      </w:r>
      <w:r>
        <w:rPr>
          <w:rFonts w:cs="Calibri"/>
          <w:bCs/>
          <w:color w:val="000000"/>
          <w:highlight w:val="none"/>
        </w:rPr>
        <w:t>工程地点：</w:t>
      </w:r>
      <w:r>
        <w:rPr>
          <w:rFonts w:cs="Calibri"/>
          <w:bCs/>
          <w:snapToGrid w:val="0"/>
          <w:color w:val="000000"/>
          <w:highlight w:val="none"/>
          <w:u w:val="single"/>
        </w:rPr>
        <w:t xml:space="preserve"> </w:t>
      </w:r>
      <w:r>
        <w:rPr>
          <w:rFonts w:hint="eastAsia" w:cs="Calibri"/>
          <w:bCs/>
          <w:snapToGrid w:val="0"/>
          <w:color w:val="000000"/>
          <w:highlight w:val="none"/>
          <w:u w:val="single"/>
        </w:rPr>
        <w:t>杭州科技职业技术学院翠苑校区</w:t>
      </w:r>
      <w:r>
        <w:rPr>
          <w:rFonts w:cs="Calibri"/>
          <w:bCs/>
          <w:snapToGrid w:val="0"/>
          <w:color w:val="000000"/>
          <w:highlight w:val="none"/>
          <w:u w:val="single"/>
        </w:rPr>
        <w:t xml:space="preserve"> </w:t>
      </w:r>
      <w:r>
        <w:rPr>
          <w:rFonts w:cs="Calibri"/>
          <w:color w:val="000000"/>
          <w:highlight w:val="none"/>
        </w:rPr>
        <w:t>。</w:t>
      </w:r>
    </w:p>
    <w:p>
      <w:pPr>
        <w:ind w:firstLine="426"/>
        <w:rPr>
          <w:rFonts w:cs="Calibri"/>
          <w:bCs/>
          <w:color w:val="000000"/>
          <w:highlight w:val="none"/>
        </w:rPr>
      </w:pPr>
      <w:r>
        <w:rPr>
          <w:rFonts w:hint="eastAsia" w:cs="Calibri"/>
          <w:bCs/>
          <w:color w:val="000000"/>
          <w:highlight w:val="none"/>
        </w:rPr>
        <w:t>3、</w:t>
      </w:r>
      <w:r>
        <w:rPr>
          <w:rFonts w:cs="Calibri"/>
          <w:bCs/>
          <w:color w:val="000000"/>
          <w:highlight w:val="none"/>
        </w:rPr>
        <w:t>资金来源：</w:t>
      </w:r>
      <w:r>
        <w:rPr>
          <w:rFonts w:cs="Calibri"/>
          <w:bCs/>
          <w:snapToGrid w:val="0"/>
          <w:color w:val="000000"/>
          <w:highlight w:val="none"/>
          <w:u w:val="single"/>
        </w:rPr>
        <w:t xml:space="preserve"> </w:t>
      </w:r>
      <w:r>
        <w:rPr>
          <w:rFonts w:hint="eastAsia" w:cs="Calibri"/>
          <w:bCs/>
          <w:snapToGrid w:val="0"/>
          <w:color w:val="000000"/>
          <w:highlight w:val="none"/>
          <w:u w:val="single"/>
        </w:rPr>
        <w:t>财政资金</w:t>
      </w:r>
      <w:r>
        <w:rPr>
          <w:rFonts w:cs="Calibri"/>
          <w:bCs/>
          <w:snapToGrid w:val="0"/>
          <w:color w:val="000000"/>
          <w:highlight w:val="none"/>
          <w:u w:val="single"/>
        </w:rPr>
        <w:t xml:space="preserve"> </w:t>
      </w:r>
      <w:r>
        <w:rPr>
          <w:rFonts w:cs="Calibri"/>
          <w:color w:val="000000"/>
          <w:highlight w:val="none"/>
        </w:rPr>
        <w:t>。</w:t>
      </w:r>
    </w:p>
    <w:p>
      <w:pPr>
        <w:ind w:firstLine="426"/>
        <w:rPr>
          <w:rFonts w:cs="Calibri"/>
          <w:bCs/>
          <w:color w:val="000000"/>
          <w:highlight w:val="none"/>
        </w:rPr>
      </w:pPr>
      <w:r>
        <w:rPr>
          <w:highlight w:val="none"/>
        </w:rPr>
        <w:t>4</w:t>
      </w:r>
      <w:r>
        <w:rPr>
          <w:rFonts w:hint="eastAsia"/>
          <w:highlight w:val="none"/>
        </w:rPr>
        <w:t>、</w:t>
      </w:r>
      <w:r>
        <w:rPr>
          <w:highlight w:val="none"/>
        </w:rPr>
        <w:t>工程内容：</w:t>
      </w:r>
      <w:r>
        <w:rPr>
          <w:snapToGrid w:val="0"/>
          <w:highlight w:val="none"/>
          <w:u w:val="single"/>
        </w:rPr>
        <w:t xml:space="preserve"> </w:t>
      </w:r>
      <w:r>
        <w:rPr>
          <w:rFonts w:hint="eastAsia"/>
          <w:highlight w:val="none"/>
          <w:u w:val="single"/>
        </w:rPr>
        <w:t>翠苑校区教学及辅助设施修缮</w:t>
      </w:r>
      <w:r>
        <w:rPr>
          <w:rFonts w:hint="eastAsia"/>
          <w:snapToGrid w:val="0"/>
          <w:highlight w:val="none"/>
          <w:u w:val="single"/>
        </w:rPr>
        <w:t>，具体详见磋商文件、图纸、清单及采购需求等内容</w:t>
      </w:r>
      <w:r>
        <w:rPr>
          <w:rFonts w:cs="Calibri"/>
          <w:bCs/>
          <w:snapToGrid w:val="0"/>
          <w:color w:val="000000"/>
          <w:highlight w:val="none"/>
          <w:u w:val="single"/>
        </w:rPr>
        <w:t xml:space="preserve"> </w:t>
      </w:r>
      <w:r>
        <w:rPr>
          <w:rFonts w:cs="Calibri"/>
          <w:color w:val="000000"/>
          <w:highlight w:val="none"/>
        </w:rPr>
        <w:t>。</w:t>
      </w:r>
    </w:p>
    <w:p>
      <w:pPr>
        <w:ind w:firstLine="426"/>
        <w:rPr>
          <w:rFonts w:cs="Calibri"/>
          <w:color w:val="000000"/>
          <w:highlight w:val="none"/>
        </w:rPr>
      </w:pPr>
      <w:r>
        <w:rPr>
          <w:rFonts w:cs="Calibri"/>
          <w:bCs/>
          <w:color w:val="000000"/>
          <w:highlight w:val="none"/>
        </w:rPr>
        <w:t>5</w:t>
      </w:r>
      <w:r>
        <w:rPr>
          <w:rFonts w:hint="eastAsia" w:cs="Calibri"/>
          <w:bCs/>
          <w:color w:val="000000"/>
          <w:highlight w:val="none"/>
        </w:rPr>
        <w:t>、</w:t>
      </w:r>
      <w:r>
        <w:rPr>
          <w:rFonts w:cs="Calibri"/>
          <w:bCs/>
          <w:color w:val="000000"/>
          <w:highlight w:val="none"/>
        </w:rPr>
        <w:t>工程承包范围：</w:t>
      </w:r>
      <w:r>
        <w:rPr>
          <w:rFonts w:hint="eastAsia" w:ascii="宋体" w:hAnsi="宋体" w:cs="宋体"/>
          <w:b/>
          <w:szCs w:val="21"/>
          <w:highlight w:val="none"/>
          <w:u w:val="single"/>
        </w:rPr>
        <w:t>翠苑校区教学及辅助设施修缮工程，包括但不限于开放教育楼培训教室改造及卫生间改造、南北办公楼建筑立面改造及卫生间改造、终身教育楼露台及屋面翻新。具体以工程量清单及其编制说明、竞争性磋商文件、图纸中明确的内容</w:t>
      </w:r>
      <w:r>
        <w:rPr>
          <w:rFonts w:hint="eastAsia"/>
          <w:b/>
          <w:bCs/>
          <w:snapToGrid w:val="0"/>
          <w:highlight w:val="none"/>
          <w:u w:val="single"/>
        </w:rPr>
        <w:t>及采购需求</w:t>
      </w:r>
      <w:r>
        <w:rPr>
          <w:rFonts w:hint="eastAsia" w:ascii="宋体" w:hAnsi="宋体" w:cs="宋体"/>
          <w:b/>
          <w:szCs w:val="21"/>
          <w:highlight w:val="none"/>
          <w:u w:val="single"/>
        </w:rPr>
        <w:t>为准</w:t>
      </w:r>
      <w:r>
        <w:rPr>
          <w:rFonts w:cs="Calibri"/>
          <w:color w:val="000000"/>
          <w:highlight w:val="none"/>
        </w:rPr>
        <w:t>。</w:t>
      </w:r>
    </w:p>
    <w:p>
      <w:pPr>
        <w:pStyle w:val="5"/>
        <w:rPr>
          <w:highlight w:val="none"/>
        </w:rPr>
      </w:pPr>
      <w:r>
        <w:rPr>
          <w:rFonts w:hint="eastAsia"/>
          <w:highlight w:val="none"/>
        </w:rPr>
        <w:t>二、签约合同价</w:t>
      </w:r>
    </w:p>
    <w:p>
      <w:pPr>
        <w:ind w:firstLine="426"/>
        <w:rPr>
          <w:highlight w:val="none"/>
        </w:rPr>
      </w:pPr>
      <w:r>
        <w:rPr>
          <w:rFonts w:hint="eastAsia"/>
          <w:highlight w:val="none"/>
        </w:rPr>
        <w:t>人民币（大写）</w:t>
      </w:r>
      <w:r>
        <w:rPr>
          <w:rFonts w:hint="eastAsia"/>
          <w:highlight w:val="none"/>
          <w:u w:val="single"/>
        </w:rPr>
        <w:t xml:space="preserve"> </w:t>
      </w:r>
      <w:r>
        <w:rPr>
          <w:highlight w:val="none"/>
          <w:u w:val="single"/>
        </w:rPr>
        <w:t xml:space="preserve">           </w:t>
      </w:r>
      <w:r>
        <w:rPr>
          <w:rFonts w:hint="eastAsia"/>
          <w:highlight w:val="none"/>
        </w:rPr>
        <w:t>元整（¥）</w:t>
      </w:r>
      <w:r>
        <w:rPr>
          <w:rFonts w:hint="eastAsia"/>
          <w:highlight w:val="none"/>
          <w:u w:val="single"/>
        </w:rPr>
        <w:t xml:space="preserve"> </w:t>
      </w:r>
      <w:r>
        <w:rPr>
          <w:highlight w:val="none"/>
          <w:u w:val="single"/>
        </w:rPr>
        <w:t xml:space="preserve">            </w:t>
      </w:r>
      <w:r>
        <w:rPr>
          <w:rFonts w:hint="eastAsia"/>
          <w:highlight w:val="none"/>
        </w:rPr>
        <w:t>元。</w:t>
      </w:r>
    </w:p>
    <w:p>
      <w:pPr>
        <w:pStyle w:val="5"/>
        <w:rPr>
          <w:highlight w:val="none"/>
        </w:rPr>
      </w:pPr>
      <w:r>
        <w:rPr>
          <w:rFonts w:hint="eastAsia"/>
          <w:highlight w:val="none"/>
        </w:rPr>
        <w:t>三、承包人项目负责人（项目经理）</w:t>
      </w:r>
    </w:p>
    <w:p>
      <w:pPr>
        <w:ind w:firstLine="426"/>
        <w:rPr>
          <w:highlight w:val="none"/>
          <w:u w:val="single"/>
        </w:rPr>
      </w:pPr>
      <w:r>
        <w:rPr>
          <w:rFonts w:hint="eastAsia"/>
          <w:highlight w:val="none"/>
        </w:rPr>
        <w:t>姓名：</w:t>
      </w:r>
      <w:r>
        <w:rPr>
          <w:rFonts w:hint="eastAsia"/>
          <w:highlight w:val="none"/>
          <w:u w:val="single"/>
        </w:rPr>
        <w:t xml:space="preserve"> </w:t>
      </w:r>
      <w:r>
        <w:rPr>
          <w:highlight w:val="none"/>
          <w:u w:val="single"/>
        </w:rPr>
        <w:t xml:space="preserve">     </w:t>
      </w:r>
      <w:r>
        <w:rPr>
          <w:rFonts w:hint="eastAsia"/>
          <w:highlight w:val="none"/>
        </w:rPr>
        <w:t>，身份证号码</w:t>
      </w:r>
      <w:r>
        <w:rPr>
          <w:rFonts w:hint="eastAsia"/>
          <w:highlight w:val="none"/>
          <w:u w:val="single"/>
        </w:rPr>
        <w:t xml:space="preserve"> </w:t>
      </w:r>
      <w:r>
        <w:rPr>
          <w:highlight w:val="none"/>
          <w:u w:val="single"/>
        </w:rPr>
        <w:t xml:space="preserve">               </w:t>
      </w:r>
      <w:r>
        <w:rPr>
          <w:rFonts w:hint="eastAsia"/>
          <w:highlight w:val="none"/>
        </w:rPr>
        <w:t>，联系方式：</w:t>
      </w:r>
      <w:r>
        <w:rPr>
          <w:rFonts w:hint="eastAsia"/>
          <w:highlight w:val="none"/>
          <w:u w:val="single"/>
        </w:rPr>
        <w:t xml:space="preserve"> </w:t>
      </w:r>
      <w:r>
        <w:rPr>
          <w:highlight w:val="none"/>
          <w:u w:val="single"/>
        </w:rPr>
        <w:t xml:space="preserve">          </w:t>
      </w:r>
    </w:p>
    <w:p>
      <w:pPr>
        <w:pStyle w:val="27"/>
        <w:ind w:firstLine="426"/>
        <w:rPr>
          <w:highlight w:val="none"/>
        </w:rPr>
      </w:pPr>
      <w:r>
        <w:rPr>
          <w:rFonts w:hint="eastAsia"/>
          <w:highlight w:val="none"/>
        </w:rPr>
        <w:t>执（职）业资格（含证书编号）：</w:t>
      </w:r>
      <w:r>
        <w:rPr>
          <w:rFonts w:hint="eastAsia"/>
          <w:highlight w:val="none"/>
          <w:u w:val="single"/>
        </w:rPr>
        <w:t xml:space="preserve"> </w:t>
      </w:r>
      <w:r>
        <w:rPr>
          <w:highlight w:val="none"/>
          <w:u w:val="single"/>
        </w:rPr>
        <w:t xml:space="preserve">            </w:t>
      </w:r>
    </w:p>
    <w:p>
      <w:pPr>
        <w:pStyle w:val="5"/>
        <w:rPr>
          <w:highlight w:val="none"/>
        </w:rPr>
      </w:pPr>
      <w:r>
        <w:rPr>
          <w:rFonts w:hint="eastAsia"/>
          <w:highlight w:val="none"/>
        </w:rPr>
        <w:t>四</w:t>
      </w:r>
      <w:r>
        <w:rPr>
          <w:highlight w:val="none"/>
        </w:rPr>
        <w:t>、质量标准</w:t>
      </w:r>
    </w:p>
    <w:p>
      <w:pPr>
        <w:ind w:firstLine="426"/>
        <w:rPr>
          <w:highlight w:val="none"/>
        </w:rPr>
      </w:pPr>
      <w:r>
        <w:rPr>
          <w:highlight w:val="none"/>
        </w:rPr>
        <w:t>工程质量符合</w:t>
      </w:r>
      <w:r>
        <w:rPr>
          <w:highlight w:val="none"/>
          <w:u w:val="single"/>
        </w:rPr>
        <w:t xml:space="preserve"> </w:t>
      </w:r>
      <w:r>
        <w:rPr>
          <w:rFonts w:hint="eastAsia" w:ascii="宋体" w:hAnsi="宋体"/>
          <w:b/>
          <w:color w:val="000000"/>
          <w:szCs w:val="24"/>
          <w:highlight w:val="none"/>
          <w:u w:val="single"/>
        </w:rPr>
        <w:t>不低于国家相关验收规范的</w:t>
      </w:r>
      <w:r>
        <w:rPr>
          <w:highlight w:val="none"/>
          <w:u w:val="single"/>
        </w:rPr>
        <w:t xml:space="preserve"> </w:t>
      </w:r>
      <w:r>
        <w:rPr>
          <w:highlight w:val="none"/>
        </w:rPr>
        <w:t>标准。</w:t>
      </w:r>
    </w:p>
    <w:p>
      <w:pPr>
        <w:pStyle w:val="5"/>
        <w:rPr>
          <w:highlight w:val="none"/>
        </w:rPr>
      </w:pPr>
      <w:r>
        <w:rPr>
          <w:rFonts w:hint="eastAsia"/>
          <w:highlight w:val="none"/>
        </w:rPr>
        <w:t>五、承包人承诺</w:t>
      </w:r>
    </w:p>
    <w:p>
      <w:pPr>
        <w:ind w:firstLine="426"/>
        <w:rPr>
          <w:highlight w:val="none"/>
        </w:rPr>
      </w:pPr>
      <w:r>
        <w:rPr>
          <w:rFonts w:hint="eastAsia"/>
          <w:highlight w:val="none"/>
        </w:rPr>
        <w:t>按合同约定承担工程的实施、完成及缺陷修复。</w:t>
      </w:r>
    </w:p>
    <w:p>
      <w:pPr>
        <w:pStyle w:val="5"/>
        <w:rPr>
          <w:highlight w:val="none"/>
        </w:rPr>
      </w:pPr>
      <w:r>
        <w:rPr>
          <w:rFonts w:hint="eastAsia"/>
          <w:highlight w:val="none"/>
        </w:rPr>
        <w:t>六、发包人承诺</w:t>
      </w:r>
    </w:p>
    <w:p>
      <w:pPr>
        <w:ind w:firstLine="426"/>
        <w:rPr>
          <w:highlight w:val="none"/>
        </w:rPr>
      </w:pPr>
      <w:r>
        <w:rPr>
          <w:rFonts w:hint="eastAsia"/>
          <w:highlight w:val="none"/>
        </w:rPr>
        <w:t>按合同约定的条件、时间和方式向承包人支付合同价款。</w:t>
      </w:r>
    </w:p>
    <w:p>
      <w:pPr>
        <w:pStyle w:val="5"/>
        <w:rPr>
          <w:highlight w:val="none"/>
        </w:rPr>
      </w:pPr>
      <w:bookmarkStart w:id="125" w:name="二、合同工期"/>
      <w:bookmarkStart w:id="126" w:name="_Toc351203482"/>
      <w:r>
        <w:rPr>
          <w:rFonts w:hint="eastAsia"/>
          <w:highlight w:val="none"/>
        </w:rPr>
        <w:t>七</w:t>
      </w:r>
      <w:r>
        <w:rPr>
          <w:highlight w:val="none"/>
        </w:rPr>
        <w:t>、合同工期</w:t>
      </w:r>
      <w:bookmarkEnd w:id="125"/>
      <w:bookmarkEnd w:id="126"/>
    </w:p>
    <w:p>
      <w:pPr>
        <w:ind w:firstLine="426"/>
        <w:rPr>
          <w:highlight w:val="none"/>
        </w:rPr>
      </w:pPr>
      <w:r>
        <w:rPr>
          <w:rFonts w:hint="eastAsia"/>
          <w:highlight w:val="none"/>
        </w:rPr>
        <w:t>承包人应按照监理人指示开工，</w:t>
      </w:r>
      <w:r>
        <w:rPr>
          <w:highlight w:val="none"/>
        </w:rPr>
        <w:t>工期总日历天数：</w:t>
      </w:r>
      <w:r>
        <w:rPr>
          <w:highlight w:val="none"/>
          <w:u w:val="single"/>
        </w:rPr>
        <w:t xml:space="preserve"> 60 </w:t>
      </w:r>
      <w:r>
        <w:rPr>
          <w:rFonts w:hint="eastAsia"/>
          <w:highlight w:val="none"/>
        </w:rPr>
        <w:t>日历</w:t>
      </w:r>
      <w:r>
        <w:rPr>
          <w:highlight w:val="none"/>
        </w:rPr>
        <w:t>天。</w:t>
      </w:r>
    </w:p>
    <w:p>
      <w:pPr>
        <w:pStyle w:val="5"/>
        <w:rPr>
          <w:highlight w:val="none"/>
        </w:rPr>
      </w:pPr>
      <w:bookmarkStart w:id="127" w:name="六、合同文件构成"/>
      <w:bookmarkStart w:id="128" w:name="_Toc351203486"/>
      <w:r>
        <w:rPr>
          <w:rFonts w:hint="eastAsia"/>
          <w:highlight w:val="none"/>
        </w:rPr>
        <w:t>八</w:t>
      </w:r>
      <w:r>
        <w:rPr>
          <w:highlight w:val="none"/>
        </w:rPr>
        <w:t>、合同文件构成</w:t>
      </w:r>
      <w:bookmarkEnd w:id="127"/>
      <w:bookmarkEnd w:id="128"/>
    </w:p>
    <w:p>
      <w:pPr>
        <w:ind w:firstLine="426"/>
        <w:rPr>
          <w:highlight w:val="none"/>
        </w:rPr>
      </w:pPr>
      <w:r>
        <w:rPr>
          <w:highlight w:val="none"/>
        </w:rPr>
        <w:t>本协议书与下列文件一起构成合同文件：</w:t>
      </w:r>
    </w:p>
    <w:p>
      <w:pPr>
        <w:ind w:firstLine="426"/>
        <w:rPr>
          <w:highlight w:val="none"/>
        </w:rPr>
      </w:pPr>
      <w:r>
        <w:rPr>
          <w:rFonts w:hint="eastAsia"/>
          <w:highlight w:val="none"/>
        </w:rPr>
        <w:t>1、竞争性磋商文件及其补充文件；</w:t>
      </w:r>
    </w:p>
    <w:p>
      <w:pPr>
        <w:ind w:firstLine="426"/>
        <w:rPr>
          <w:rFonts w:cs="Calibri"/>
          <w:color w:val="000000"/>
          <w:highlight w:val="none"/>
        </w:rPr>
      </w:pPr>
      <w:r>
        <w:rPr>
          <w:rFonts w:hint="eastAsia" w:cs="Calibri"/>
          <w:color w:val="000000"/>
          <w:highlight w:val="none"/>
        </w:rPr>
        <w:t>2、</w:t>
      </w:r>
      <w:r>
        <w:rPr>
          <w:rFonts w:cs="Calibri"/>
          <w:color w:val="000000"/>
          <w:highlight w:val="none"/>
        </w:rPr>
        <w:t>成交通知书；</w:t>
      </w:r>
    </w:p>
    <w:p>
      <w:pPr>
        <w:ind w:firstLine="426"/>
        <w:rPr>
          <w:rFonts w:cs="Calibri"/>
          <w:color w:val="000000"/>
          <w:highlight w:val="none"/>
        </w:rPr>
      </w:pPr>
      <w:r>
        <w:rPr>
          <w:rFonts w:hint="eastAsia" w:cs="Calibri"/>
          <w:color w:val="000000"/>
          <w:highlight w:val="none"/>
        </w:rPr>
        <w:t>3、</w:t>
      </w:r>
      <w:r>
        <w:rPr>
          <w:rFonts w:cs="Calibri"/>
          <w:color w:val="000000"/>
          <w:highlight w:val="none"/>
        </w:rPr>
        <w:t>磋商响应函；</w:t>
      </w:r>
    </w:p>
    <w:p>
      <w:pPr>
        <w:ind w:firstLine="426"/>
        <w:rPr>
          <w:rFonts w:cs="Calibri"/>
          <w:color w:val="000000"/>
          <w:highlight w:val="none"/>
        </w:rPr>
      </w:pPr>
      <w:r>
        <w:rPr>
          <w:rFonts w:hint="eastAsia" w:cs="Calibri"/>
          <w:color w:val="000000"/>
          <w:highlight w:val="none"/>
        </w:rPr>
        <w:t>4、</w:t>
      </w:r>
      <w:r>
        <w:rPr>
          <w:rFonts w:cs="Calibri"/>
          <w:color w:val="000000"/>
          <w:highlight w:val="none"/>
        </w:rPr>
        <w:t>专用合同条款及其附件；</w:t>
      </w:r>
    </w:p>
    <w:p>
      <w:pPr>
        <w:ind w:firstLine="426"/>
        <w:rPr>
          <w:rFonts w:cs="Calibri"/>
          <w:color w:val="000000"/>
          <w:highlight w:val="none"/>
        </w:rPr>
      </w:pPr>
      <w:r>
        <w:rPr>
          <w:rFonts w:hint="eastAsia" w:cs="Calibri"/>
          <w:color w:val="000000"/>
          <w:highlight w:val="none"/>
        </w:rPr>
        <w:t>5、</w:t>
      </w:r>
      <w:r>
        <w:rPr>
          <w:rFonts w:cs="Calibri"/>
          <w:color w:val="000000"/>
          <w:highlight w:val="none"/>
        </w:rPr>
        <w:t>通用合同条款；</w:t>
      </w:r>
    </w:p>
    <w:p>
      <w:pPr>
        <w:ind w:firstLine="426"/>
        <w:rPr>
          <w:rFonts w:cs="Calibri"/>
          <w:color w:val="000000"/>
          <w:highlight w:val="none"/>
        </w:rPr>
      </w:pPr>
      <w:r>
        <w:rPr>
          <w:rFonts w:hint="eastAsia" w:cs="Calibri"/>
          <w:color w:val="000000"/>
          <w:highlight w:val="none"/>
        </w:rPr>
        <w:t>6、</w:t>
      </w:r>
      <w:r>
        <w:rPr>
          <w:rFonts w:cs="Calibri"/>
          <w:color w:val="000000"/>
          <w:highlight w:val="none"/>
        </w:rPr>
        <w:t>技术标准和要求；</w:t>
      </w:r>
    </w:p>
    <w:p>
      <w:pPr>
        <w:ind w:firstLine="426"/>
        <w:rPr>
          <w:rFonts w:cs="Calibri"/>
          <w:color w:val="000000"/>
          <w:highlight w:val="none"/>
        </w:rPr>
      </w:pPr>
      <w:r>
        <w:rPr>
          <w:rFonts w:hint="eastAsia" w:cs="Calibri"/>
          <w:color w:val="000000"/>
          <w:highlight w:val="none"/>
        </w:rPr>
        <w:t>7、</w:t>
      </w:r>
      <w:r>
        <w:rPr>
          <w:rFonts w:cs="Calibri"/>
          <w:color w:val="000000"/>
          <w:highlight w:val="none"/>
        </w:rPr>
        <w:t>图纸</w:t>
      </w:r>
      <w:r>
        <w:rPr>
          <w:rFonts w:hint="eastAsia" w:cs="Calibri"/>
          <w:color w:val="000000"/>
          <w:highlight w:val="none"/>
        </w:rPr>
        <w:t>（如有）</w:t>
      </w:r>
      <w:r>
        <w:rPr>
          <w:rFonts w:cs="Calibri"/>
          <w:color w:val="000000"/>
          <w:highlight w:val="none"/>
        </w:rPr>
        <w:t>；</w:t>
      </w:r>
    </w:p>
    <w:p>
      <w:pPr>
        <w:ind w:firstLine="426"/>
        <w:rPr>
          <w:rFonts w:cs="Calibri"/>
          <w:color w:val="000000"/>
          <w:highlight w:val="none"/>
        </w:rPr>
      </w:pPr>
      <w:r>
        <w:rPr>
          <w:rFonts w:hint="eastAsia" w:cs="Calibri"/>
          <w:color w:val="000000"/>
          <w:highlight w:val="none"/>
        </w:rPr>
        <w:t>8、</w:t>
      </w:r>
      <w:r>
        <w:rPr>
          <w:rFonts w:cs="Calibri"/>
          <w:color w:val="000000"/>
          <w:highlight w:val="none"/>
        </w:rPr>
        <w:t>已标价工程量清单；</w:t>
      </w:r>
    </w:p>
    <w:p>
      <w:pPr>
        <w:ind w:firstLine="426"/>
        <w:rPr>
          <w:highlight w:val="none"/>
        </w:rPr>
      </w:pPr>
      <w:r>
        <w:rPr>
          <w:rFonts w:hint="eastAsia"/>
          <w:highlight w:val="none"/>
        </w:rPr>
        <w:t>9、响应文件</w:t>
      </w:r>
    </w:p>
    <w:p>
      <w:pPr>
        <w:ind w:firstLine="426"/>
        <w:rPr>
          <w:rFonts w:cs="Calibri"/>
          <w:color w:val="000000"/>
          <w:highlight w:val="none"/>
        </w:rPr>
      </w:pPr>
      <w:r>
        <w:rPr>
          <w:rFonts w:hint="eastAsia" w:cs="Calibri"/>
          <w:color w:val="000000"/>
          <w:highlight w:val="none"/>
        </w:rPr>
        <w:t>1</w:t>
      </w:r>
      <w:r>
        <w:rPr>
          <w:rFonts w:cs="Calibri"/>
          <w:color w:val="000000"/>
          <w:highlight w:val="none"/>
        </w:rPr>
        <w:t>0</w:t>
      </w:r>
      <w:r>
        <w:rPr>
          <w:rFonts w:hint="eastAsia" w:cs="Calibri"/>
          <w:color w:val="000000"/>
          <w:highlight w:val="none"/>
        </w:rPr>
        <w:t>、</w:t>
      </w:r>
      <w:r>
        <w:rPr>
          <w:rFonts w:cs="Calibri"/>
          <w:color w:val="000000"/>
          <w:highlight w:val="none"/>
        </w:rPr>
        <w:t>其他合同文件。</w:t>
      </w:r>
    </w:p>
    <w:p>
      <w:pPr>
        <w:ind w:firstLine="426"/>
        <w:rPr>
          <w:highlight w:val="none"/>
        </w:rPr>
      </w:pPr>
      <w:r>
        <w:rPr>
          <w:highlight w:val="none"/>
        </w:rPr>
        <w:t>在合同订立及履行过程中形成的与合同有关的文件均构成合同文件组成部分。</w:t>
      </w:r>
    </w:p>
    <w:p>
      <w:pPr>
        <w:ind w:firstLine="426"/>
        <w:rPr>
          <w:highlight w:val="none"/>
        </w:rPr>
      </w:pPr>
      <w:r>
        <w:rPr>
          <w:highlight w:val="none"/>
        </w:rPr>
        <w:t>上述各项合同文件包括合同当事人就该项合同文件所作出的补充和修改，属于同一类内容的文件，应以最新签署的为准。专用合同条款及其附件须经合同当事人签字或盖章。</w:t>
      </w:r>
    </w:p>
    <w:p>
      <w:pPr>
        <w:pStyle w:val="5"/>
        <w:rPr>
          <w:highlight w:val="none"/>
        </w:rPr>
      </w:pPr>
      <w:bookmarkStart w:id="129" w:name="八、词语含义"/>
      <w:bookmarkStart w:id="130" w:name="_Toc351203488"/>
      <w:r>
        <w:rPr>
          <w:rFonts w:hint="eastAsia"/>
          <w:highlight w:val="none"/>
        </w:rPr>
        <w:t>九</w:t>
      </w:r>
      <w:r>
        <w:rPr>
          <w:highlight w:val="none"/>
        </w:rPr>
        <w:t>、词语含义</w:t>
      </w:r>
      <w:bookmarkEnd w:id="129"/>
      <w:bookmarkEnd w:id="130"/>
    </w:p>
    <w:p>
      <w:pPr>
        <w:ind w:firstLine="426"/>
        <w:rPr>
          <w:highlight w:val="none"/>
        </w:rPr>
      </w:pPr>
      <w:r>
        <w:rPr>
          <w:highlight w:val="none"/>
        </w:rPr>
        <w:t>本协议书中词语含义与第二部分通用合同条款中赋予的含义相同。</w:t>
      </w:r>
    </w:p>
    <w:p>
      <w:pPr>
        <w:pStyle w:val="5"/>
        <w:rPr>
          <w:highlight w:val="none"/>
        </w:rPr>
      </w:pPr>
      <w:bookmarkStart w:id="131" w:name="十一、补充协议"/>
      <w:bookmarkStart w:id="132" w:name="_Toc351203491"/>
      <w:r>
        <w:rPr>
          <w:highlight w:val="none"/>
        </w:rPr>
        <w:t>十、补充协议</w:t>
      </w:r>
      <w:bookmarkEnd w:id="131"/>
      <w:bookmarkEnd w:id="132"/>
    </w:p>
    <w:p>
      <w:pPr>
        <w:ind w:firstLine="426"/>
        <w:rPr>
          <w:b/>
          <w:highlight w:val="none"/>
        </w:rPr>
      </w:pPr>
      <w:r>
        <w:rPr>
          <w:highlight w:val="none"/>
        </w:rPr>
        <w:t>合同未尽事宜，合同当事人另行签订补充协议，补充协议是合同的组成部分。</w:t>
      </w:r>
    </w:p>
    <w:p>
      <w:pPr>
        <w:pStyle w:val="5"/>
        <w:rPr>
          <w:highlight w:val="none"/>
        </w:rPr>
      </w:pPr>
      <w:bookmarkStart w:id="133" w:name="十二、合同生效"/>
      <w:bookmarkStart w:id="134" w:name="_Toc351203492"/>
      <w:r>
        <w:rPr>
          <w:highlight w:val="none"/>
        </w:rPr>
        <w:t>十</w:t>
      </w:r>
      <w:r>
        <w:rPr>
          <w:rFonts w:hint="eastAsia"/>
          <w:highlight w:val="none"/>
        </w:rPr>
        <w:t>一</w:t>
      </w:r>
      <w:r>
        <w:rPr>
          <w:highlight w:val="none"/>
        </w:rPr>
        <w:t>、合同生效</w:t>
      </w:r>
      <w:bookmarkEnd w:id="133"/>
      <w:bookmarkEnd w:id="134"/>
    </w:p>
    <w:p>
      <w:pPr>
        <w:ind w:firstLine="426"/>
        <w:rPr>
          <w:highlight w:val="none"/>
        </w:rPr>
      </w:pPr>
      <w:r>
        <w:rPr>
          <w:highlight w:val="none"/>
        </w:rPr>
        <w:t>本合同自</w:t>
      </w:r>
      <w:r>
        <w:rPr>
          <w:highlight w:val="none"/>
          <w:u w:val="single"/>
        </w:rPr>
        <w:t xml:space="preserve"> </w:t>
      </w:r>
      <w:r>
        <w:rPr>
          <w:rFonts w:hint="eastAsia"/>
          <w:highlight w:val="none"/>
          <w:u w:val="single"/>
        </w:rPr>
        <w:t>双方盖章签字后</w:t>
      </w:r>
      <w:r>
        <w:rPr>
          <w:highlight w:val="none"/>
          <w:u w:val="single"/>
        </w:rPr>
        <w:t xml:space="preserve"> </w:t>
      </w:r>
      <w:r>
        <w:rPr>
          <w:highlight w:val="none"/>
        </w:rPr>
        <w:t>生效。</w:t>
      </w:r>
    </w:p>
    <w:p>
      <w:pPr>
        <w:pStyle w:val="5"/>
        <w:rPr>
          <w:highlight w:val="none"/>
        </w:rPr>
      </w:pPr>
      <w:bookmarkStart w:id="135" w:name="_Toc351203493"/>
      <w:bookmarkStart w:id="136" w:name="十三、合同份数"/>
      <w:r>
        <w:rPr>
          <w:highlight w:val="none"/>
        </w:rPr>
        <w:t>十</w:t>
      </w:r>
      <w:r>
        <w:rPr>
          <w:rFonts w:hint="eastAsia"/>
          <w:highlight w:val="none"/>
        </w:rPr>
        <w:t>二</w:t>
      </w:r>
      <w:r>
        <w:rPr>
          <w:highlight w:val="none"/>
        </w:rPr>
        <w:t>、合同份数</w:t>
      </w:r>
      <w:bookmarkEnd w:id="135"/>
      <w:bookmarkEnd w:id="136"/>
    </w:p>
    <w:p>
      <w:pPr>
        <w:ind w:firstLine="426"/>
        <w:rPr>
          <w:bCs/>
          <w:szCs w:val="21"/>
          <w:highlight w:val="none"/>
        </w:rPr>
      </w:pPr>
      <w:r>
        <w:rPr>
          <w:highlight w:val="none"/>
        </w:rPr>
        <w:t>本合同一式</w:t>
      </w:r>
      <w:r>
        <w:rPr>
          <w:highlight w:val="none"/>
          <w:u w:val="single"/>
        </w:rPr>
        <w:t xml:space="preserve"> </w:t>
      </w:r>
      <w:r>
        <w:rPr>
          <w:rFonts w:hint="eastAsia"/>
          <w:highlight w:val="none"/>
          <w:u w:val="single"/>
        </w:rPr>
        <w:t>柒</w:t>
      </w:r>
      <w:r>
        <w:rPr>
          <w:highlight w:val="none"/>
          <w:u w:val="single"/>
        </w:rPr>
        <w:t xml:space="preserve"> </w:t>
      </w:r>
      <w:r>
        <w:rPr>
          <w:highlight w:val="none"/>
        </w:rPr>
        <w:t>份，均具有同等法律效力，发包人执</w:t>
      </w:r>
      <w:r>
        <w:rPr>
          <w:highlight w:val="none"/>
          <w:u w:val="single"/>
        </w:rPr>
        <w:t xml:space="preserve"> </w:t>
      </w:r>
      <w:r>
        <w:rPr>
          <w:rFonts w:hint="eastAsia"/>
          <w:highlight w:val="none"/>
          <w:u w:val="single"/>
        </w:rPr>
        <w:t>叁</w:t>
      </w:r>
      <w:r>
        <w:rPr>
          <w:highlight w:val="none"/>
          <w:u w:val="single"/>
        </w:rPr>
        <w:t xml:space="preserve"> </w:t>
      </w:r>
      <w:r>
        <w:rPr>
          <w:highlight w:val="none"/>
        </w:rPr>
        <w:t>份，承包人执</w:t>
      </w:r>
      <w:r>
        <w:rPr>
          <w:highlight w:val="none"/>
          <w:u w:val="single"/>
        </w:rPr>
        <w:t xml:space="preserve"> </w:t>
      </w:r>
      <w:r>
        <w:rPr>
          <w:rFonts w:hint="eastAsia"/>
          <w:highlight w:val="none"/>
          <w:u w:val="single"/>
        </w:rPr>
        <w:t>叁</w:t>
      </w:r>
      <w:r>
        <w:rPr>
          <w:highlight w:val="none"/>
          <w:u w:val="single"/>
        </w:rPr>
        <w:t xml:space="preserve"> </w:t>
      </w:r>
      <w:r>
        <w:rPr>
          <w:highlight w:val="none"/>
        </w:rPr>
        <w:t>份</w:t>
      </w:r>
      <w:r>
        <w:rPr>
          <w:rFonts w:hint="eastAsia"/>
          <w:highlight w:val="none"/>
        </w:rPr>
        <w:t>，鉴证方执</w:t>
      </w:r>
      <w:r>
        <w:rPr>
          <w:rFonts w:hint="eastAsia"/>
          <w:highlight w:val="none"/>
          <w:u w:val="single"/>
        </w:rPr>
        <w:t xml:space="preserve"> 壹 </w:t>
      </w:r>
      <w:r>
        <w:rPr>
          <w:rFonts w:hint="eastAsia"/>
          <w:highlight w:val="none"/>
        </w:rPr>
        <w:t>份</w:t>
      </w:r>
      <w:r>
        <w:rPr>
          <w:highlight w:val="none"/>
        </w:rPr>
        <w:t>。</w:t>
      </w:r>
    </w:p>
    <w:p>
      <w:pPr>
        <w:pStyle w:val="32"/>
        <w:ind w:left="854" w:hanging="428"/>
        <w:rPr>
          <w:b/>
          <w:bCs/>
          <w:highlight w:val="none"/>
        </w:rPr>
      </w:pPr>
      <w:r>
        <w:rPr>
          <w:rFonts w:hint="eastAsia"/>
          <w:b/>
          <w:bCs/>
          <w:highlight w:val="none"/>
        </w:rPr>
        <w:br w:type="page"/>
      </w:r>
    </w:p>
    <w:p>
      <w:pPr>
        <w:pStyle w:val="32"/>
        <w:ind w:left="854" w:hanging="428"/>
        <w:rPr>
          <w:b/>
          <w:bCs/>
          <w:highlight w:val="none"/>
        </w:rPr>
      </w:pPr>
      <w:r>
        <w:rPr>
          <w:rFonts w:hint="eastAsia"/>
          <w:b/>
          <w:bCs/>
          <w:highlight w:val="none"/>
        </w:rPr>
        <w:t>【本页签署页，以下无正文】</w:t>
      </w:r>
    </w:p>
    <w:p>
      <w:pPr>
        <w:pStyle w:val="32"/>
        <w:ind w:left="854" w:hanging="428"/>
        <w:rPr>
          <w:b/>
          <w:bCs/>
          <w:highlight w:val="none"/>
        </w:rPr>
      </w:pPr>
    </w:p>
    <w:tbl>
      <w:tblPr>
        <w:tblStyle w:val="67"/>
        <w:tblW w:w="4998" w:type="pct"/>
        <w:tblInd w:w="0" w:type="dxa"/>
        <w:tblLayout w:type="autofit"/>
        <w:tblCellMar>
          <w:top w:w="0" w:type="dxa"/>
          <w:left w:w="108" w:type="dxa"/>
          <w:bottom w:w="0" w:type="dxa"/>
          <w:right w:w="108" w:type="dxa"/>
        </w:tblCellMar>
      </w:tblPr>
      <w:tblGrid>
        <w:gridCol w:w="1921"/>
        <w:gridCol w:w="2434"/>
        <w:gridCol w:w="1988"/>
        <w:gridCol w:w="2176"/>
      </w:tblGrid>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发包人（公章）：</w:t>
            </w:r>
          </w:p>
        </w:tc>
        <w:tc>
          <w:tcPr>
            <w:tcW w:w="1428" w:type="pct"/>
            <w:vAlign w:val="center"/>
          </w:tcPr>
          <w:p>
            <w:pPr>
              <w:ind w:firstLine="0" w:firstLineChars="0"/>
              <w:rPr>
                <w:highlight w:val="none"/>
              </w:rPr>
            </w:pPr>
            <w:r>
              <w:rPr>
                <w:rFonts w:hint="eastAsia"/>
                <w:highlight w:val="none"/>
              </w:rPr>
              <w:t>杭州科技职业技术学院</w:t>
            </w:r>
          </w:p>
        </w:tc>
        <w:tc>
          <w:tcPr>
            <w:tcW w:w="1166" w:type="pct"/>
            <w:vAlign w:val="center"/>
          </w:tcPr>
          <w:p>
            <w:pPr>
              <w:ind w:firstLine="0" w:firstLineChars="0"/>
              <w:rPr>
                <w:highlight w:val="none"/>
              </w:rPr>
            </w:pPr>
            <w:r>
              <w:rPr>
                <w:rFonts w:hint="eastAsia"/>
                <w:highlight w:val="none"/>
              </w:rPr>
              <w:t>承包人（公章）：</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法定代表人（签字或盖章）：</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法定代表人（签字或盖章）：</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统一社会信用代码：</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统一社会信用代码：</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地 </w:t>
            </w:r>
            <w:r>
              <w:rPr>
                <w:highlight w:val="none"/>
              </w:rPr>
              <w:t xml:space="preserve">   </w:t>
            </w:r>
            <w:r>
              <w:rPr>
                <w:rFonts w:hint="eastAsia"/>
                <w:highlight w:val="none"/>
              </w:rPr>
              <w:t>址：</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地    址：</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邮政编码：</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邮政编码：</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电 </w:t>
            </w:r>
            <w:r>
              <w:rPr>
                <w:highlight w:val="none"/>
              </w:rPr>
              <w:t xml:space="preserve">   </w:t>
            </w:r>
            <w:r>
              <w:rPr>
                <w:rFonts w:hint="eastAsia"/>
                <w:highlight w:val="none"/>
              </w:rPr>
              <w:t>话：</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电    话：</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传 </w:t>
            </w:r>
            <w:r>
              <w:rPr>
                <w:highlight w:val="none"/>
              </w:rPr>
              <w:t xml:space="preserve">   </w:t>
            </w:r>
            <w:r>
              <w:rPr>
                <w:rFonts w:hint="eastAsia"/>
                <w:highlight w:val="none"/>
              </w:rPr>
              <w:t>真：</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传    真：</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电子信箱：</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电子信箱：</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开户银行：</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开户银行：</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账 </w:t>
            </w:r>
            <w:r>
              <w:rPr>
                <w:highlight w:val="none"/>
              </w:rPr>
              <w:t xml:space="preserve">   </w:t>
            </w:r>
            <w:r>
              <w:rPr>
                <w:rFonts w:hint="eastAsia"/>
                <w:highlight w:val="none"/>
              </w:rPr>
              <w:t>号：</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账    号：</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日 </w:t>
            </w:r>
            <w:r>
              <w:rPr>
                <w:highlight w:val="none"/>
              </w:rPr>
              <w:t xml:space="preserve">   </w:t>
            </w:r>
            <w:r>
              <w:rPr>
                <w:rFonts w:hint="eastAsia"/>
                <w:highlight w:val="none"/>
              </w:rPr>
              <w:t>期：</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日    期：</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426"/>
              <w:rPr>
                <w:highlight w:val="none"/>
              </w:rPr>
            </w:pPr>
          </w:p>
        </w:tc>
        <w:tc>
          <w:tcPr>
            <w:tcW w:w="1428" w:type="pct"/>
            <w:vAlign w:val="center"/>
          </w:tcPr>
          <w:p>
            <w:pPr>
              <w:ind w:firstLine="426"/>
              <w:rPr>
                <w:highlight w:val="none"/>
              </w:rPr>
            </w:pPr>
          </w:p>
        </w:tc>
        <w:tc>
          <w:tcPr>
            <w:tcW w:w="1166" w:type="pct"/>
            <w:vAlign w:val="center"/>
          </w:tcPr>
          <w:p>
            <w:pPr>
              <w:ind w:firstLine="426"/>
              <w:rPr>
                <w:highlight w:val="none"/>
              </w:rPr>
            </w:pP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426"/>
              <w:rPr>
                <w:highlight w:val="none"/>
              </w:rPr>
            </w:pPr>
          </w:p>
        </w:tc>
        <w:tc>
          <w:tcPr>
            <w:tcW w:w="1428" w:type="pct"/>
            <w:vAlign w:val="center"/>
          </w:tcPr>
          <w:p>
            <w:pPr>
              <w:ind w:firstLine="426"/>
              <w:rPr>
                <w:highlight w:val="none"/>
              </w:rPr>
            </w:pPr>
          </w:p>
        </w:tc>
        <w:tc>
          <w:tcPr>
            <w:tcW w:w="1166" w:type="pct"/>
            <w:vAlign w:val="center"/>
          </w:tcPr>
          <w:p>
            <w:pPr>
              <w:ind w:firstLine="426"/>
              <w:rPr>
                <w:highlight w:val="none"/>
              </w:rPr>
            </w:pP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鉴证方（盖章）</w:t>
            </w:r>
          </w:p>
        </w:tc>
        <w:tc>
          <w:tcPr>
            <w:tcW w:w="1428" w:type="pct"/>
            <w:vAlign w:val="center"/>
          </w:tcPr>
          <w:p>
            <w:pPr>
              <w:ind w:firstLine="0" w:firstLineChars="0"/>
              <w:rPr>
                <w:highlight w:val="none"/>
              </w:rPr>
            </w:pPr>
            <w:r>
              <w:rPr>
                <w:rFonts w:hint="eastAsia"/>
                <w:highlight w:val="none"/>
              </w:rPr>
              <w:t>德邻联合工程有限公司</w:t>
            </w: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法定代表人（盖章或签字）</w:t>
            </w:r>
          </w:p>
        </w:tc>
        <w:tc>
          <w:tcPr>
            <w:tcW w:w="1428" w:type="pct"/>
            <w:vAlign w:val="center"/>
          </w:tcPr>
          <w:p>
            <w:pPr>
              <w:ind w:firstLine="0" w:firstLineChars="0"/>
              <w:rPr>
                <w:highlight w:val="none"/>
              </w:rPr>
            </w:pP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日    期：</w:t>
            </w:r>
          </w:p>
        </w:tc>
        <w:tc>
          <w:tcPr>
            <w:tcW w:w="1428" w:type="pct"/>
            <w:vAlign w:val="center"/>
          </w:tcPr>
          <w:p>
            <w:pPr>
              <w:ind w:firstLine="0" w:firstLineChars="0"/>
              <w:rPr>
                <w:highlight w:val="none"/>
              </w:rPr>
            </w:pP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bl>
    <w:p>
      <w:pPr>
        <w:ind w:firstLine="428"/>
        <w:rPr>
          <w:b/>
          <w:bCs/>
          <w:highlight w:val="none"/>
        </w:rPr>
      </w:pPr>
      <w:r>
        <w:rPr>
          <w:rFonts w:hint="eastAsia"/>
          <w:b/>
          <w:bCs/>
          <w:highlight w:val="none"/>
        </w:rPr>
        <w:t>注：1、本合同仅作为示范文本，具体以成交供应商与招标人所签定正式合同为准。</w:t>
      </w:r>
    </w:p>
    <w:p>
      <w:pPr>
        <w:pStyle w:val="4"/>
        <w:jc w:val="center"/>
        <w:rPr>
          <w:highlight w:val="none"/>
        </w:rPr>
      </w:pPr>
      <w:r>
        <w:rPr>
          <w:rFonts w:hint="eastAsia"/>
          <w:bCs/>
          <w:highlight w:val="none"/>
        </w:rPr>
        <w:br w:type="page"/>
      </w:r>
      <w:bookmarkStart w:id="137" w:name="_Toc22376"/>
      <w:r>
        <w:rPr>
          <w:rFonts w:hint="eastAsia"/>
          <w:highlight w:val="none"/>
        </w:rPr>
        <w:t>第二部分  通用合同条款（略）使用时按（GF-2013-0201）</w:t>
      </w:r>
      <w:bookmarkEnd w:id="137"/>
    </w:p>
    <w:p>
      <w:pPr>
        <w:pStyle w:val="4"/>
        <w:jc w:val="center"/>
        <w:rPr>
          <w:highlight w:val="none"/>
        </w:rPr>
      </w:pPr>
      <w:bookmarkStart w:id="138" w:name="_Toc22195"/>
      <w:r>
        <w:rPr>
          <w:rFonts w:hint="eastAsia"/>
          <w:highlight w:val="none"/>
        </w:rPr>
        <w:t>第三部分  专用合同条款</w:t>
      </w:r>
      <w:bookmarkEnd w:id="138"/>
    </w:p>
    <w:p>
      <w:pPr>
        <w:pStyle w:val="5"/>
        <w:rPr>
          <w:highlight w:val="none"/>
        </w:rPr>
      </w:pPr>
      <w:r>
        <w:rPr>
          <w:rFonts w:hint="eastAsia"/>
          <w:highlight w:val="none"/>
        </w:rPr>
        <w:t>一、词语定义及合同文件</w:t>
      </w:r>
    </w:p>
    <w:p>
      <w:pPr>
        <w:ind w:firstLine="426"/>
        <w:rPr>
          <w:rFonts w:cs="仿宋"/>
          <w:highlight w:val="none"/>
        </w:rPr>
      </w:pPr>
      <w:r>
        <w:rPr>
          <w:rFonts w:hint="eastAsia" w:cs="仿宋"/>
          <w:highlight w:val="none"/>
        </w:rPr>
        <w:t>2、合同文件及解释顺序</w:t>
      </w:r>
    </w:p>
    <w:p>
      <w:pPr>
        <w:ind w:firstLine="426"/>
        <w:rPr>
          <w:rFonts w:cs="仿宋"/>
          <w:highlight w:val="none"/>
        </w:rPr>
      </w:pPr>
      <w:r>
        <w:rPr>
          <w:rFonts w:hint="eastAsia" w:cs="仿宋"/>
          <w:highlight w:val="none"/>
        </w:rPr>
        <w:t>合同文件组成及解释顺序：（1）合同协议书；（2）中标通知书（或项目发承包基本情况表）；（3）投标函及其附录（如果有）；（4）专用合同条款及其附件；（5）通用合同条款；（6）技术标准和要求（采购需求）；（7）已标价工程量清单或预算书等。</w:t>
      </w:r>
    </w:p>
    <w:p>
      <w:pPr>
        <w:ind w:firstLine="426"/>
        <w:rPr>
          <w:rFonts w:cs="仿宋"/>
          <w:highlight w:val="none"/>
        </w:rPr>
      </w:pPr>
      <w:r>
        <w:rPr>
          <w:rFonts w:hint="eastAsia" w:cs="仿宋"/>
          <w:highlight w:val="none"/>
        </w:rPr>
        <w:t>3、语言文集和适用法律、标准规范</w:t>
      </w:r>
    </w:p>
    <w:p>
      <w:pPr>
        <w:ind w:firstLine="426"/>
        <w:rPr>
          <w:rFonts w:cs="仿宋"/>
          <w:highlight w:val="none"/>
        </w:rPr>
      </w:pPr>
      <w:r>
        <w:rPr>
          <w:rFonts w:hint="eastAsia" w:cs="仿宋"/>
          <w:highlight w:val="none"/>
        </w:rPr>
        <w:t>3.1本合同除使用汉语外，还使用无语言文字。</w:t>
      </w:r>
    </w:p>
    <w:p>
      <w:pPr>
        <w:ind w:firstLine="426"/>
        <w:rPr>
          <w:rFonts w:cs="仿宋"/>
          <w:highlight w:val="none"/>
        </w:rPr>
      </w:pPr>
      <w:r>
        <w:rPr>
          <w:rFonts w:hint="eastAsia" w:cs="仿宋"/>
          <w:highlight w:val="none"/>
        </w:rPr>
        <w:t>3.2适用法律和法规</w:t>
      </w:r>
    </w:p>
    <w:p>
      <w:pPr>
        <w:ind w:firstLine="426"/>
        <w:rPr>
          <w:rFonts w:cs="仿宋"/>
          <w:highlight w:val="none"/>
        </w:rPr>
      </w:pPr>
      <w:r>
        <w:rPr>
          <w:rFonts w:hint="eastAsia" w:cs="仿宋"/>
          <w:highlight w:val="none"/>
        </w:rPr>
        <w:t>需要明示的法律、行政法规：《中华人民共和国建筑法》、《中华人民共和国民法典》、《中华人民共和国招标投标法》、《中华人民共和国安全生产法》、《建筑工程质量管理条例》、《建设工程安全生产管理条例》及现行相关法律、法规。</w:t>
      </w:r>
    </w:p>
    <w:p>
      <w:pPr>
        <w:ind w:firstLine="426"/>
        <w:rPr>
          <w:rFonts w:cs="仿宋"/>
          <w:highlight w:val="none"/>
        </w:rPr>
      </w:pPr>
      <w:r>
        <w:rPr>
          <w:rFonts w:hint="eastAsia" w:cs="仿宋"/>
          <w:highlight w:val="none"/>
        </w:rPr>
        <w:t>3.3适用标准、规范</w:t>
      </w:r>
    </w:p>
    <w:p>
      <w:pPr>
        <w:ind w:firstLine="426"/>
        <w:rPr>
          <w:rFonts w:cs="仿宋"/>
          <w:highlight w:val="none"/>
        </w:rPr>
      </w:pPr>
      <w:r>
        <w:rPr>
          <w:rFonts w:hint="eastAsia" w:cs="仿宋"/>
          <w:highlight w:val="none"/>
        </w:rPr>
        <w:t>适用标准、规范的名称：现行的国家、地方和行业质量标准、规范、《建筑工程施工质量验收统一标准GB50300-2013》。</w:t>
      </w:r>
    </w:p>
    <w:p>
      <w:pPr>
        <w:ind w:firstLine="426"/>
        <w:rPr>
          <w:rFonts w:cs="仿宋"/>
          <w:highlight w:val="none"/>
        </w:rPr>
      </w:pPr>
      <w:r>
        <w:rPr>
          <w:rFonts w:hint="eastAsia" w:cs="仿宋"/>
          <w:highlight w:val="none"/>
        </w:rPr>
        <w:t>发包人提供标准、规范的时间：本合同签订之日。</w:t>
      </w:r>
    </w:p>
    <w:p>
      <w:pPr>
        <w:ind w:firstLine="426"/>
        <w:rPr>
          <w:rFonts w:cs="仿宋"/>
          <w:highlight w:val="none"/>
        </w:rPr>
      </w:pPr>
      <w:r>
        <w:rPr>
          <w:rFonts w:hint="eastAsia" w:cs="仿宋"/>
          <w:highlight w:val="none"/>
        </w:rPr>
        <w:t>国内没有相应标准、规范的约定：按地方、行业协会及企业标准、规范、规定、经发包人、承包人双方确认后执行。</w:t>
      </w:r>
    </w:p>
    <w:p>
      <w:pPr>
        <w:ind w:firstLine="426"/>
        <w:rPr>
          <w:rFonts w:cs="仿宋"/>
          <w:highlight w:val="none"/>
        </w:rPr>
      </w:pPr>
      <w:r>
        <w:rPr>
          <w:rFonts w:hint="eastAsia" w:cs="仿宋"/>
          <w:highlight w:val="none"/>
        </w:rPr>
        <w:t>4、图纸</w:t>
      </w:r>
    </w:p>
    <w:p>
      <w:pPr>
        <w:ind w:firstLine="426"/>
        <w:rPr>
          <w:rFonts w:cs="仿宋"/>
          <w:highlight w:val="none"/>
        </w:rPr>
      </w:pPr>
      <w:r>
        <w:rPr>
          <w:rFonts w:hint="eastAsia" w:cs="仿宋"/>
          <w:highlight w:val="none"/>
        </w:rPr>
        <w:t>4.1发包人向承包人提供图纸日期和套数：开工前提供蓝图。</w:t>
      </w:r>
    </w:p>
    <w:p>
      <w:pPr>
        <w:ind w:firstLine="426"/>
        <w:rPr>
          <w:rFonts w:cs="仿宋"/>
          <w:highlight w:val="none"/>
        </w:rPr>
      </w:pPr>
      <w:r>
        <w:rPr>
          <w:rFonts w:hint="eastAsia" w:cs="仿宋"/>
          <w:highlight w:val="none"/>
        </w:rPr>
        <w:t>发包人对图纸的保密要求：</w:t>
      </w:r>
      <w:r>
        <w:rPr>
          <w:rFonts w:hint="eastAsia" w:cs="仿宋"/>
          <w:highlight w:val="none"/>
          <w:u w:val="single"/>
        </w:rPr>
        <w:t xml:space="preserve">  /  </w:t>
      </w:r>
    </w:p>
    <w:p>
      <w:pPr>
        <w:pStyle w:val="5"/>
        <w:rPr>
          <w:highlight w:val="none"/>
        </w:rPr>
      </w:pPr>
      <w:r>
        <w:rPr>
          <w:rFonts w:hint="eastAsia"/>
          <w:highlight w:val="none"/>
        </w:rPr>
        <w:t>二、双方一般权利和义务</w:t>
      </w:r>
    </w:p>
    <w:p>
      <w:pPr>
        <w:ind w:firstLine="426"/>
        <w:rPr>
          <w:rFonts w:cs="仿宋"/>
          <w:highlight w:val="none"/>
        </w:rPr>
      </w:pPr>
      <w:r>
        <w:rPr>
          <w:rFonts w:hint="eastAsia" w:cs="仿宋"/>
          <w:highlight w:val="none"/>
        </w:rPr>
        <w:t>5.工程师</w:t>
      </w:r>
    </w:p>
    <w:p>
      <w:pPr>
        <w:ind w:firstLine="426"/>
        <w:rPr>
          <w:rFonts w:cs="仿宋"/>
          <w:highlight w:val="none"/>
        </w:rPr>
      </w:pPr>
      <w:r>
        <w:rPr>
          <w:rFonts w:hint="eastAsia" w:cs="仿宋"/>
          <w:highlight w:val="none"/>
        </w:rPr>
        <w:t>5.1发包人派驻的工程师</w:t>
      </w:r>
    </w:p>
    <w:p>
      <w:pPr>
        <w:ind w:firstLine="426"/>
        <w:rPr>
          <w:rFonts w:cs="仿宋"/>
          <w:highlight w:val="none"/>
        </w:rPr>
      </w:pPr>
      <w:r>
        <w:rPr>
          <w:rFonts w:hint="eastAsia" w:cs="仿宋"/>
          <w:highlight w:val="none"/>
        </w:rPr>
        <w:t>姓名：</w:t>
      </w:r>
      <w:r>
        <w:rPr>
          <w:rFonts w:hint="eastAsia" w:cs="仿宋"/>
          <w:highlight w:val="none"/>
          <w:u w:val="single"/>
        </w:rPr>
        <w:t xml:space="preserve">             </w:t>
      </w:r>
      <w:r>
        <w:rPr>
          <w:rFonts w:hint="eastAsia" w:cs="仿宋"/>
          <w:highlight w:val="none"/>
        </w:rPr>
        <w:t>职务：</w:t>
      </w:r>
      <w:r>
        <w:rPr>
          <w:rFonts w:hint="eastAsia" w:cs="仿宋"/>
          <w:highlight w:val="none"/>
          <w:u w:val="single"/>
        </w:rPr>
        <w:t xml:space="preserve">          </w:t>
      </w:r>
    </w:p>
    <w:p>
      <w:pPr>
        <w:ind w:firstLine="426"/>
        <w:rPr>
          <w:rFonts w:cs="仿宋"/>
          <w:highlight w:val="none"/>
        </w:rPr>
      </w:pPr>
      <w:r>
        <w:rPr>
          <w:rFonts w:hint="eastAsia" w:cs="仿宋"/>
          <w:highlight w:val="none"/>
        </w:rPr>
        <w:t>职权：</w:t>
      </w:r>
      <w:r>
        <w:rPr>
          <w:rFonts w:hint="eastAsia" w:cs="仿宋"/>
          <w:highlight w:val="none"/>
          <w:u w:val="single"/>
        </w:rPr>
        <w:t xml:space="preserve">             </w:t>
      </w:r>
    </w:p>
    <w:p>
      <w:pPr>
        <w:ind w:firstLine="426"/>
        <w:rPr>
          <w:rFonts w:cs="仿宋"/>
          <w:highlight w:val="none"/>
        </w:rPr>
      </w:pPr>
      <w:r>
        <w:rPr>
          <w:rFonts w:hint="eastAsia" w:cs="仿宋"/>
          <w:highlight w:val="none"/>
        </w:rPr>
        <w:t>5.2工程师的职权：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ind w:firstLine="426"/>
        <w:rPr>
          <w:rFonts w:cs="仿宋"/>
          <w:highlight w:val="none"/>
        </w:rPr>
      </w:pPr>
      <w:r>
        <w:rPr>
          <w:rFonts w:hint="eastAsia" w:cs="仿宋"/>
          <w:highlight w:val="none"/>
        </w:rPr>
        <w:t>7、项目负责人</w:t>
      </w:r>
    </w:p>
    <w:p>
      <w:pPr>
        <w:ind w:firstLine="426"/>
        <w:rPr>
          <w:rFonts w:cs="仿宋"/>
          <w:highlight w:val="none"/>
        </w:rPr>
      </w:pPr>
      <w:r>
        <w:rPr>
          <w:rFonts w:hint="eastAsia" w:cs="仿宋"/>
          <w:highlight w:val="none"/>
        </w:rPr>
        <w:t>姓名：</w:t>
      </w:r>
      <w:r>
        <w:rPr>
          <w:rFonts w:hint="eastAsia" w:cs="仿宋"/>
          <w:highlight w:val="none"/>
          <w:u w:val="single"/>
        </w:rPr>
        <w:t xml:space="preserve">         </w:t>
      </w:r>
      <w:r>
        <w:rPr>
          <w:rFonts w:hint="eastAsia" w:cs="仿宋"/>
          <w:highlight w:val="none"/>
        </w:rPr>
        <w:t>职务：</w:t>
      </w:r>
      <w:r>
        <w:rPr>
          <w:rFonts w:hint="eastAsia" w:cs="仿宋"/>
          <w:highlight w:val="none"/>
          <w:u w:val="single"/>
        </w:rPr>
        <w:t xml:space="preserve">            </w:t>
      </w:r>
    </w:p>
    <w:p>
      <w:pPr>
        <w:ind w:firstLine="426"/>
        <w:rPr>
          <w:rFonts w:cs="仿宋"/>
          <w:highlight w:val="none"/>
        </w:rPr>
      </w:pPr>
      <w:r>
        <w:rPr>
          <w:rFonts w:hint="eastAsia" w:cs="仿宋"/>
          <w:highlight w:val="none"/>
        </w:rPr>
        <w:t>8、发包人工作</w:t>
      </w:r>
    </w:p>
    <w:p>
      <w:pPr>
        <w:ind w:firstLine="426"/>
        <w:rPr>
          <w:rFonts w:cs="仿宋"/>
          <w:highlight w:val="none"/>
        </w:rPr>
      </w:pPr>
      <w:r>
        <w:rPr>
          <w:rFonts w:hint="eastAsia" w:cs="仿宋"/>
          <w:highlight w:val="none"/>
        </w:rPr>
        <w:t>8.1发包人应按约定的时间和要求完成以下工作：</w:t>
      </w:r>
    </w:p>
    <w:p>
      <w:pPr>
        <w:ind w:firstLine="426"/>
        <w:rPr>
          <w:rFonts w:cs="仿宋"/>
          <w:highlight w:val="none"/>
        </w:rPr>
      </w:pPr>
      <w:r>
        <w:rPr>
          <w:rFonts w:hint="eastAsia" w:cs="仿宋"/>
          <w:highlight w:val="none"/>
        </w:rPr>
        <w:t>（1）施工场地具备施工条件的要求及完成的时间：已具备。</w:t>
      </w:r>
    </w:p>
    <w:p>
      <w:pPr>
        <w:ind w:firstLine="426"/>
        <w:rPr>
          <w:rFonts w:cs="仿宋"/>
          <w:highlight w:val="none"/>
        </w:rPr>
      </w:pPr>
      <w:r>
        <w:rPr>
          <w:rFonts w:hint="eastAsia" w:cs="仿宋"/>
          <w:highlight w:val="none"/>
        </w:rPr>
        <w:t>（2）将施工所需的水、电、电讯线路接至施工场地的时间、地点和供应要求：发包人提供施工所需的水、电、电讯线路的接入口.</w:t>
      </w:r>
    </w:p>
    <w:p>
      <w:pPr>
        <w:ind w:firstLine="426"/>
        <w:rPr>
          <w:rFonts w:cs="仿宋"/>
          <w:highlight w:val="none"/>
        </w:rPr>
      </w:pPr>
      <w:r>
        <w:rPr>
          <w:rFonts w:hint="eastAsia" w:cs="仿宋"/>
          <w:highlight w:val="none"/>
        </w:rPr>
        <w:t>（3）施工场地与公共道路的通道开通时间和要求：已开通。</w:t>
      </w:r>
    </w:p>
    <w:p>
      <w:pPr>
        <w:ind w:firstLine="426"/>
        <w:rPr>
          <w:rFonts w:cs="仿宋"/>
          <w:highlight w:val="none"/>
        </w:rPr>
      </w:pPr>
      <w:r>
        <w:rPr>
          <w:rFonts w:hint="eastAsia" w:cs="仿宋"/>
          <w:highlight w:val="none"/>
        </w:rPr>
        <w:t>（4）工程地质和地下管线资料的提供时间：</w:t>
      </w:r>
      <w:r>
        <w:rPr>
          <w:rFonts w:hint="eastAsia" w:cs="仿宋"/>
          <w:highlight w:val="none"/>
          <w:u w:val="single"/>
        </w:rPr>
        <w:t xml:space="preserve">  /  </w:t>
      </w:r>
    </w:p>
    <w:p>
      <w:pPr>
        <w:ind w:firstLine="426"/>
        <w:rPr>
          <w:rFonts w:cs="仿宋"/>
          <w:highlight w:val="none"/>
        </w:rPr>
      </w:pPr>
      <w:r>
        <w:rPr>
          <w:rFonts w:hint="eastAsia" w:cs="仿宋"/>
          <w:highlight w:val="none"/>
        </w:rPr>
        <w:t>（5）由发包人办理的施工所需证件、批件的名称和完成时间：</w:t>
      </w:r>
      <w:r>
        <w:rPr>
          <w:rFonts w:hint="eastAsia" w:cs="仿宋"/>
          <w:highlight w:val="none"/>
          <w:u w:val="single"/>
        </w:rPr>
        <w:t xml:space="preserve">  /  </w:t>
      </w:r>
    </w:p>
    <w:p>
      <w:pPr>
        <w:ind w:firstLine="426"/>
        <w:rPr>
          <w:rFonts w:cs="仿宋"/>
          <w:highlight w:val="none"/>
        </w:rPr>
      </w:pPr>
      <w:r>
        <w:rPr>
          <w:rFonts w:hint="eastAsia" w:cs="仿宋"/>
          <w:highlight w:val="none"/>
        </w:rPr>
        <w:t>（6）水准点与座标控制点交验要求：无</w:t>
      </w:r>
    </w:p>
    <w:p>
      <w:pPr>
        <w:ind w:firstLine="426"/>
        <w:rPr>
          <w:rFonts w:cs="仿宋"/>
          <w:highlight w:val="none"/>
        </w:rPr>
      </w:pPr>
      <w:r>
        <w:rPr>
          <w:rFonts w:hint="eastAsia" w:cs="仿宋"/>
          <w:highlight w:val="none"/>
        </w:rPr>
        <w:t>（7）图纸会审和设计交底时间：进场前</w:t>
      </w:r>
    </w:p>
    <w:p>
      <w:pPr>
        <w:ind w:firstLine="426"/>
        <w:rPr>
          <w:rFonts w:cs="仿宋"/>
          <w:highlight w:val="none"/>
        </w:rPr>
      </w:pPr>
      <w:r>
        <w:rPr>
          <w:rFonts w:hint="eastAsia" w:cs="仿宋"/>
          <w:highlight w:val="none"/>
        </w:rPr>
        <w:t>（8）协调处理施工场地周围地下管线和邻近建筑物、构筑物（含文物保护建筑）、古树名木的保护工作。</w:t>
      </w:r>
    </w:p>
    <w:p>
      <w:pPr>
        <w:ind w:firstLine="426"/>
        <w:rPr>
          <w:rFonts w:cs="仿宋"/>
          <w:highlight w:val="none"/>
        </w:rPr>
      </w:pPr>
      <w:r>
        <w:rPr>
          <w:rFonts w:hint="eastAsia" w:cs="仿宋"/>
          <w:highlight w:val="none"/>
        </w:rPr>
        <w:t>（9）双方约定发包人应做的其他工作：</w:t>
      </w:r>
      <w:r>
        <w:rPr>
          <w:rFonts w:hint="eastAsia" w:cs="仿宋"/>
          <w:highlight w:val="none"/>
          <w:u w:val="single"/>
        </w:rPr>
        <w:t xml:space="preserve">  /  </w:t>
      </w:r>
    </w:p>
    <w:p>
      <w:pPr>
        <w:ind w:firstLine="426"/>
        <w:rPr>
          <w:rFonts w:cs="仿宋"/>
          <w:highlight w:val="none"/>
        </w:rPr>
      </w:pPr>
      <w:r>
        <w:rPr>
          <w:rFonts w:hint="eastAsia" w:cs="仿宋"/>
          <w:highlight w:val="none"/>
        </w:rPr>
        <w:t>8.2发包人委托承包人办理的工作：</w:t>
      </w:r>
      <w:r>
        <w:rPr>
          <w:rFonts w:hint="eastAsia" w:cs="仿宋"/>
          <w:highlight w:val="none"/>
          <w:u w:val="single"/>
        </w:rPr>
        <w:t xml:space="preserve">  /  </w:t>
      </w:r>
    </w:p>
    <w:p>
      <w:pPr>
        <w:ind w:firstLine="426"/>
        <w:rPr>
          <w:rFonts w:cs="仿宋"/>
          <w:highlight w:val="none"/>
        </w:rPr>
      </w:pPr>
      <w:r>
        <w:rPr>
          <w:rFonts w:hint="eastAsia" w:cs="仿宋"/>
          <w:highlight w:val="none"/>
        </w:rPr>
        <w:t>9、承包人工作</w:t>
      </w:r>
    </w:p>
    <w:p>
      <w:pPr>
        <w:ind w:firstLine="426"/>
        <w:rPr>
          <w:rFonts w:cs="仿宋"/>
          <w:highlight w:val="none"/>
        </w:rPr>
      </w:pPr>
      <w:r>
        <w:rPr>
          <w:rFonts w:hint="eastAsia" w:cs="仿宋"/>
          <w:highlight w:val="none"/>
        </w:rPr>
        <w:t>9.1承包人应按约定时间和要求，完成以下工作：</w:t>
      </w:r>
    </w:p>
    <w:p>
      <w:pPr>
        <w:ind w:firstLine="426"/>
        <w:rPr>
          <w:rFonts w:cs="仿宋"/>
          <w:highlight w:val="none"/>
        </w:rPr>
      </w:pPr>
      <w:r>
        <w:rPr>
          <w:rFonts w:hint="eastAsia" w:cs="仿宋"/>
          <w:highlight w:val="none"/>
        </w:rPr>
        <w:t>（1）需由设计资质等级和业务范围允许的承包人完成的设计文件提交时间：</w:t>
      </w:r>
      <w:r>
        <w:rPr>
          <w:rFonts w:hint="eastAsia" w:cs="仿宋"/>
          <w:highlight w:val="none"/>
          <w:u w:val="single"/>
        </w:rPr>
        <w:t xml:space="preserve">  /  </w:t>
      </w:r>
    </w:p>
    <w:p>
      <w:pPr>
        <w:ind w:firstLine="426"/>
        <w:rPr>
          <w:rFonts w:cs="仿宋"/>
          <w:highlight w:val="none"/>
        </w:rPr>
      </w:pPr>
      <w:r>
        <w:rPr>
          <w:rFonts w:hint="eastAsia" w:cs="仿宋"/>
          <w:highlight w:val="none"/>
        </w:rPr>
        <w:t>（2）应提供计划、报表的名称及完成时间：</w:t>
      </w:r>
      <w:r>
        <w:rPr>
          <w:rFonts w:hint="eastAsia" w:cs="仿宋"/>
          <w:highlight w:val="none"/>
          <w:u w:val="single"/>
        </w:rPr>
        <w:t xml:space="preserve">  /  </w:t>
      </w:r>
    </w:p>
    <w:p>
      <w:pPr>
        <w:ind w:firstLine="426"/>
        <w:rPr>
          <w:rFonts w:cs="仿宋"/>
          <w:highlight w:val="none"/>
        </w:rPr>
      </w:pPr>
      <w:r>
        <w:rPr>
          <w:rFonts w:hint="eastAsia" w:cs="仿宋"/>
          <w:highlight w:val="none"/>
        </w:rPr>
        <w:t>（3）承担施工安全保卫工作及非夜间施工照明的责任和要求：承包人施工过程中负责安全保卫，确保场内人员及过路行人的安全。</w:t>
      </w:r>
    </w:p>
    <w:p>
      <w:pPr>
        <w:ind w:firstLine="426"/>
        <w:rPr>
          <w:rFonts w:cs="仿宋"/>
          <w:highlight w:val="none"/>
        </w:rPr>
      </w:pPr>
      <w:r>
        <w:rPr>
          <w:rFonts w:hint="eastAsia" w:cs="仿宋"/>
          <w:highlight w:val="none"/>
        </w:rPr>
        <w:t>（4）向发包人提供的办公和生活房屋及设施的要求：</w:t>
      </w:r>
      <w:r>
        <w:rPr>
          <w:rFonts w:hint="eastAsia" w:cs="仿宋"/>
          <w:highlight w:val="none"/>
          <w:u w:val="single"/>
        </w:rPr>
        <w:t xml:space="preserve">  /  </w:t>
      </w:r>
    </w:p>
    <w:p>
      <w:pPr>
        <w:ind w:firstLine="426"/>
        <w:rPr>
          <w:rFonts w:cs="仿宋"/>
          <w:highlight w:val="none"/>
        </w:rPr>
      </w:pPr>
      <w:r>
        <w:rPr>
          <w:rFonts w:hint="eastAsia" w:cs="仿宋"/>
          <w:highlight w:val="none"/>
        </w:rPr>
        <w:t>（5）需承包人办理的有关施工场地交通、 环卫和施工噪音管理等手续：</w:t>
      </w:r>
      <w:r>
        <w:rPr>
          <w:rFonts w:hint="eastAsia" w:cs="仿宋"/>
          <w:highlight w:val="none"/>
          <w:u w:val="single"/>
        </w:rPr>
        <w:t xml:space="preserve">  /  </w:t>
      </w:r>
    </w:p>
    <w:p>
      <w:pPr>
        <w:ind w:firstLine="426"/>
        <w:rPr>
          <w:rFonts w:cs="仿宋"/>
          <w:highlight w:val="none"/>
        </w:rPr>
      </w:pPr>
      <w:r>
        <w:rPr>
          <w:rFonts w:hint="eastAsia" w:cs="仿宋"/>
          <w:highlight w:val="none"/>
        </w:rPr>
        <w:t>（6）已完工程成品保护的特殊要求及费用承担：在未竣工验收交货前，成品保护及费用均由承包人承担。</w:t>
      </w:r>
    </w:p>
    <w:p>
      <w:pPr>
        <w:ind w:firstLine="426"/>
        <w:rPr>
          <w:rFonts w:cs="仿宋"/>
          <w:highlight w:val="none"/>
        </w:rPr>
      </w:pPr>
      <w:r>
        <w:rPr>
          <w:rFonts w:hint="eastAsia" w:cs="仿宋"/>
          <w:highlight w:val="none"/>
        </w:rPr>
        <w:t>（7）施工场地周围地下管线和邻近建筑物、构筑物（含文物保护建筑）、古树名木的保护要求及费用承担：由承包人负责保护并承担费用。</w:t>
      </w:r>
    </w:p>
    <w:p>
      <w:pPr>
        <w:ind w:firstLine="426"/>
        <w:rPr>
          <w:rFonts w:cs="仿宋"/>
          <w:highlight w:val="none"/>
        </w:rPr>
      </w:pPr>
      <w:r>
        <w:rPr>
          <w:rFonts w:hint="eastAsia" w:cs="仿宋"/>
          <w:highlight w:val="none"/>
        </w:rPr>
        <w:t>（8）施工场地清洁卫生的要求：</w:t>
      </w:r>
    </w:p>
    <w:p>
      <w:pPr>
        <w:ind w:firstLine="426"/>
        <w:rPr>
          <w:rFonts w:cs="仿宋"/>
          <w:highlight w:val="none"/>
        </w:rPr>
      </w:pPr>
      <w:r>
        <w:rPr>
          <w:rFonts w:hint="eastAsia" w:cs="仿宋"/>
          <w:highlight w:val="none"/>
        </w:rPr>
        <w:t>每天清扫一次，现场公共部位的清洁工作，工程完工后3天内现场应清除所有不再需要的临时工程，承包人的设备和多余材料，全部建筑和生活垃圾。</w:t>
      </w:r>
    </w:p>
    <w:p>
      <w:pPr>
        <w:ind w:firstLine="426"/>
        <w:rPr>
          <w:rFonts w:cs="仿宋"/>
          <w:highlight w:val="none"/>
        </w:rPr>
      </w:pPr>
      <w:r>
        <w:rPr>
          <w:rFonts w:hint="eastAsia" w:cs="仿宋"/>
          <w:highlight w:val="none"/>
        </w:rPr>
        <w:t>（9）双方约定承包人应做的其他工作：详见合同附件“采购需求”</w:t>
      </w:r>
    </w:p>
    <w:p>
      <w:pPr>
        <w:ind w:firstLine="426"/>
        <w:rPr>
          <w:rFonts w:cs="仿宋"/>
          <w:highlight w:val="none"/>
        </w:rPr>
      </w:pPr>
      <w:r>
        <w:rPr>
          <w:rFonts w:hint="eastAsia" w:cs="仿宋"/>
          <w:highlight w:val="none"/>
        </w:rPr>
        <w:t>施工期间，休息时段（早、中、晚）施工场地应不影响学校正常通行。</w:t>
      </w:r>
    </w:p>
    <w:p>
      <w:pPr>
        <w:pStyle w:val="5"/>
        <w:rPr>
          <w:highlight w:val="none"/>
        </w:rPr>
      </w:pPr>
      <w:r>
        <w:rPr>
          <w:rFonts w:hint="eastAsia"/>
          <w:highlight w:val="none"/>
        </w:rPr>
        <w:t>三、施工组织设计和工期</w:t>
      </w:r>
    </w:p>
    <w:p>
      <w:pPr>
        <w:ind w:firstLine="426"/>
        <w:rPr>
          <w:rFonts w:cs="仿宋"/>
          <w:highlight w:val="none"/>
        </w:rPr>
      </w:pPr>
      <w:r>
        <w:rPr>
          <w:rFonts w:hint="eastAsia" w:cs="仿宋"/>
          <w:highlight w:val="none"/>
        </w:rPr>
        <w:t>10、进度计划</w:t>
      </w:r>
    </w:p>
    <w:p>
      <w:pPr>
        <w:ind w:firstLine="426"/>
        <w:rPr>
          <w:rFonts w:cs="仿宋"/>
          <w:highlight w:val="none"/>
        </w:rPr>
      </w:pPr>
      <w:r>
        <w:rPr>
          <w:rFonts w:hint="eastAsia" w:cs="仿宋"/>
          <w:highlight w:val="none"/>
        </w:rPr>
        <w:t>10.1承包人提供施工组织设计（施工方案）和进度计划的时间：开工前7天提交施工组织设计，并同时提交进度计划。</w:t>
      </w:r>
    </w:p>
    <w:p>
      <w:pPr>
        <w:ind w:firstLine="426"/>
        <w:rPr>
          <w:rFonts w:cs="仿宋"/>
          <w:highlight w:val="none"/>
        </w:rPr>
      </w:pPr>
      <w:r>
        <w:rPr>
          <w:rFonts w:hint="eastAsia" w:cs="仿宋"/>
          <w:highlight w:val="none"/>
        </w:rPr>
        <w:t>工程师确认的时间：收到完整资料后一周。</w:t>
      </w:r>
    </w:p>
    <w:p>
      <w:pPr>
        <w:ind w:firstLine="426"/>
        <w:rPr>
          <w:rFonts w:cs="仿宋"/>
          <w:highlight w:val="none"/>
        </w:rPr>
      </w:pPr>
      <w:r>
        <w:rPr>
          <w:rFonts w:hint="eastAsia" w:cs="仿宋"/>
          <w:highlight w:val="none"/>
        </w:rPr>
        <w:t>10.2群体工程中有关进度计划的要求：</w:t>
      </w:r>
    </w:p>
    <w:p>
      <w:pPr>
        <w:ind w:firstLine="426"/>
        <w:rPr>
          <w:rFonts w:cs="仿宋"/>
          <w:highlight w:val="none"/>
        </w:rPr>
      </w:pPr>
      <w:r>
        <w:rPr>
          <w:rFonts w:hint="eastAsia" w:cs="仿宋"/>
          <w:highlight w:val="none"/>
        </w:rPr>
        <w:t>13、工期延误</w:t>
      </w:r>
    </w:p>
    <w:p>
      <w:pPr>
        <w:ind w:firstLine="426"/>
        <w:rPr>
          <w:rFonts w:cs="仿宋"/>
          <w:highlight w:val="none"/>
        </w:rPr>
      </w:pPr>
      <w:r>
        <w:rPr>
          <w:rFonts w:hint="eastAsia" w:cs="仿宋"/>
          <w:highlight w:val="none"/>
        </w:rPr>
        <w:t>13.1双方约定工期顺延的其他情况：遇不可抗力情况，国家法规规定可顺延条件及发包人责任引起的工期延误，经承包人申报， 发包人批准后，可顺延工期。设计变更或者甲方原因引起的延期。</w:t>
      </w:r>
    </w:p>
    <w:p>
      <w:pPr>
        <w:ind w:firstLine="426"/>
        <w:rPr>
          <w:rFonts w:cs="仿宋"/>
          <w:highlight w:val="none"/>
        </w:rPr>
      </w:pPr>
      <w:r>
        <w:rPr>
          <w:rFonts w:hint="eastAsia" w:cs="仿宋"/>
          <w:highlight w:val="none"/>
        </w:rPr>
        <w:t>非上述原因引起的工期延误，3天以内的按3000.00元人民币/天扣除工期延误费，3天以上的，则以上天数按5000.00元人民币/天计算。</w:t>
      </w:r>
    </w:p>
    <w:p>
      <w:pPr>
        <w:pStyle w:val="5"/>
        <w:rPr>
          <w:highlight w:val="none"/>
        </w:rPr>
      </w:pPr>
      <w:r>
        <w:rPr>
          <w:rFonts w:hint="eastAsia"/>
          <w:highlight w:val="none"/>
        </w:rPr>
        <w:t>四、质量与验收</w:t>
      </w:r>
    </w:p>
    <w:p>
      <w:pPr>
        <w:ind w:firstLine="426"/>
        <w:rPr>
          <w:rFonts w:cs="仿宋"/>
          <w:highlight w:val="none"/>
        </w:rPr>
      </w:pPr>
      <w:r>
        <w:rPr>
          <w:rFonts w:hint="eastAsia" w:cs="仿宋"/>
          <w:highlight w:val="none"/>
        </w:rPr>
        <w:t>17、隐蔽工程和中间验收</w:t>
      </w:r>
    </w:p>
    <w:p>
      <w:pPr>
        <w:ind w:firstLine="426"/>
        <w:rPr>
          <w:rFonts w:cs="仿宋"/>
          <w:highlight w:val="none"/>
        </w:rPr>
      </w:pPr>
      <w:r>
        <w:rPr>
          <w:rFonts w:hint="eastAsia" w:cs="仿宋"/>
          <w:highlight w:val="none"/>
        </w:rPr>
        <w:t>17.1双方约定中间验收部位：由建设单位跟踪验收，总体工程质量符合《工程施工质量验收规范GB50300-2013》标准。</w:t>
      </w:r>
    </w:p>
    <w:p>
      <w:pPr>
        <w:ind w:firstLine="426"/>
        <w:rPr>
          <w:rFonts w:cs="仿宋"/>
          <w:highlight w:val="none"/>
        </w:rPr>
      </w:pPr>
      <w:r>
        <w:rPr>
          <w:rFonts w:hint="eastAsia" w:cs="仿宋"/>
          <w:highlight w:val="none"/>
        </w:rPr>
        <w:t>19、工程试车</w:t>
      </w:r>
    </w:p>
    <w:p>
      <w:pPr>
        <w:ind w:firstLine="426"/>
        <w:rPr>
          <w:rFonts w:cs="仿宋"/>
          <w:highlight w:val="none"/>
          <w:u w:val="single"/>
        </w:rPr>
      </w:pPr>
      <w:r>
        <w:rPr>
          <w:rFonts w:hint="eastAsia" w:cs="仿宋"/>
          <w:highlight w:val="none"/>
        </w:rPr>
        <w:t>19.5试车费用的承担：</w:t>
      </w:r>
      <w:r>
        <w:rPr>
          <w:rFonts w:hint="eastAsia" w:cs="仿宋"/>
          <w:highlight w:val="none"/>
          <w:u w:val="single"/>
        </w:rPr>
        <w:t xml:space="preserve">  /  </w:t>
      </w:r>
    </w:p>
    <w:p>
      <w:pPr>
        <w:ind w:firstLine="426"/>
        <w:rPr>
          <w:highlight w:val="none"/>
        </w:rPr>
      </w:pPr>
      <w:r>
        <w:rPr>
          <w:rFonts w:hint="eastAsia"/>
          <w:highlight w:val="none"/>
        </w:rPr>
        <w:t>20.其他验收要求详见“采购需求”。</w:t>
      </w:r>
    </w:p>
    <w:p>
      <w:pPr>
        <w:pStyle w:val="5"/>
        <w:rPr>
          <w:highlight w:val="none"/>
        </w:rPr>
      </w:pPr>
      <w:r>
        <w:rPr>
          <w:rFonts w:hint="eastAsia"/>
          <w:highlight w:val="none"/>
        </w:rPr>
        <w:t>五、安全施工</w:t>
      </w:r>
    </w:p>
    <w:p>
      <w:pPr>
        <w:ind w:firstLine="426"/>
        <w:rPr>
          <w:rFonts w:cs="仿宋"/>
          <w:highlight w:val="none"/>
        </w:rPr>
      </w:pPr>
      <w:r>
        <w:rPr>
          <w:rFonts w:hint="eastAsia" w:cs="仿宋"/>
          <w:highlight w:val="none"/>
        </w:rPr>
        <w:t>严格执行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姿、综合治理、计划生育、交通管理、环境保护等的管理规定，承包人应该专职人员负责条款的执行，发包人有权对此进行监督、检查。（4）承包人在工程施工期间，必须配备专职用电管理员，全面负责施工用电的管理。</w:t>
      </w:r>
    </w:p>
    <w:p>
      <w:pPr>
        <w:pStyle w:val="5"/>
        <w:rPr>
          <w:highlight w:val="none"/>
        </w:rPr>
      </w:pPr>
      <w:r>
        <w:rPr>
          <w:rFonts w:hint="eastAsia"/>
          <w:highlight w:val="none"/>
        </w:rPr>
        <w:t>六、合同价款与支付</w:t>
      </w:r>
    </w:p>
    <w:p>
      <w:pPr>
        <w:ind w:firstLine="426"/>
        <w:rPr>
          <w:rFonts w:cs="仿宋"/>
          <w:highlight w:val="none"/>
        </w:rPr>
      </w:pPr>
      <w:r>
        <w:rPr>
          <w:rFonts w:hint="eastAsia" w:cs="仿宋"/>
          <w:highlight w:val="none"/>
        </w:rPr>
        <w:t>23、合同价款及调整</w:t>
      </w:r>
    </w:p>
    <w:p>
      <w:pPr>
        <w:ind w:firstLine="428"/>
        <w:rPr>
          <w:rFonts w:cs="仿宋"/>
          <w:highlight w:val="none"/>
        </w:rPr>
      </w:pPr>
      <w:r>
        <w:rPr>
          <w:rFonts w:hint="eastAsia" w:cs="仿宋"/>
          <w:b/>
          <w:bCs/>
          <w:highlight w:val="none"/>
        </w:rPr>
        <w:t>23.2本合同价款采用第（2）方式确定</w:t>
      </w:r>
      <w:r>
        <w:rPr>
          <w:rFonts w:hint="eastAsia" w:cs="仿宋"/>
          <w:highlight w:val="none"/>
        </w:rPr>
        <w:t>。</w:t>
      </w:r>
    </w:p>
    <w:p>
      <w:pPr>
        <w:ind w:firstLine="426"/>
        <w:rPr>
          <w:rFonts w:cs="仿宋"/>
          <w:highlight w:val="none"/>
        </w:rPr>
      </w:pPr>
      <w:r>
        <w:rPr>
          <w:rFonts w:hint="eastAsia" w:cs="仿宋"/>
          <w:highlight w:val="none"/>
        </w:rPr>
        <w:t>（1）采用固定总价包干合同，合同价款中包括的风险范围：①工程量清单并按现场踏勘实际情况包干；②由承包人承担的工、料、机在响应编制期或预算书编制期与合同实施期间所发生的市场价格波动；③连续8小时及以上的停水、电、气；④政策性的调整；⑤技术措施费；⑥有经验的承包商应该可以预料的风险；⑦施工图虽未明确表示但按国家规范必须实施的内容；⑧采购文件明确要求包干的内容。</w:t>
      </w:r>
    </w:p>
    <w:p>
      <w:pPr>
        <w:ind w:firstLine="426"/>
        <w:rPr>
          <w:rFonts w:cs="仿宋"/>
          <w:highlight w:val="none"/>
        </w:rPr>
      </w:pPr>
      <w:r>
        <w:rPr>
          <w:rFonts w:hint="eastAsia" w:cs="仿宋"/>
          <w:highlight w:val="none"/>
        </w:rPr>
        <w:t>风险费用的计算方法以上风险费用已在投标报价时考虑，不再另行计取。如因此而造成停工、罢工的，除按工期有关条款外，还须没收全部履约保证金，罚没的保证金归甲方所有（在工程款中扣除）。</w:t>
      </w:r>
    </w:p>
    <w:p>
      <w:pPr>
        <w:ind w:firstLine="426"/>
        <w:rPr>
          <w:highlight w:val="none"/>
        </w:rPr>
      </w:pPr>
      <w:r>
        <w:rPr>
          <w:rFonts w:hint="eastAsia" w:cs="仿宋"/>
          <w:highlight w:val="none"/>
        </w:rPr>
        <w:t>风险范围以外合同价款调整方法本项目需要进行结算审计，最终支付金额需按审定价及成交价为依据，且最多只能支付到成交价（即如果审定价超出成交价，超出部分不予支付，</w:t>
      </w:r>
      <w:r>
        <w:rPr>
          <w:rFonts w:hint="eastAsia"/>
          <w:highlight w:val="none"/>
        </w:rPr>
        <w:t>由供应商自行承担；审定价低于成交价的，支付到审定价）。</w:t>
      </w:r>
    </w:p>
    <w:p>
      <w:pPr>
        <w:ind w:firstLine="426"/>
        <w:rPr>
          <w:highlight w:val="none"/>
        </w:rPr>
      </w:pPr>
      <w:r>
        <w:rPr>
          <w:rFonts w:hint="eastAsia"/>
          <w:highlight w:val="none"/>
        </w:rPr>
        <w:t>（2）采用</w:t>
      </w:r>
      <w:r>
        <w:rPr>
          <w:rFonts w:hint="eastAsia"/>
          <w:b/>
          <w:bCs/>
          <w:highlight w:val="none"/>
        </w:rPr>
        <w:t>固定综合单价</w:t>
      </w:r>
      <w:r>
        <w:rPr>
          <w:rFonts w:hint="eastAsia"/>
          <w:highlight w:val="none"/>
        </w:rPr>
        <w:t>合同：</w:t>
      </w:r>
    </w:p>
    <w:p>
      <w:pPr>
        <w:ind w:firstLine="426"/>
        <w:rPr>
          <w:highlight w:val="none"/>
        </w:rPr>
      </w:pPr>
      <w:r>
        <w:rPr>
          <w:rFonts w:hint="eastAsia"/>
          <w:highlight w:val="none"/>
        </w:rPr>
        <w:t>综合单价包含的风险范围：</w:t>
      </w:r>
      <w:r>
        <w:rPr>
          <w:rFonts w:hint="eastAsia"/>
          <w:highlight w:val="none"/>
          <w:u w:val="single"/>
        </w:rPr>
        <w:t>①结算工程量按施工图、设计变更和其他工程联系单根据国家工程量计算规范调整，除不可抗力外，其它因素均不予以调整。②现行预算定额或计价规范未描述，但是完成分项工程必须有的工作内容，均应包括在报价内</w:t>
      </w:r>
      <w:r>
        <w:rPr>
          <w:rFonts w:hint="eastAsia"/>
          <w:highlight w:val="none"/>
        </w:rPr>
        <w:t>。</w:t>
      </w:r>
    </w:p>
    <w:p>
      <w:pPr>
        <w:ind w:firstLine="426"/>
        <w:rPr>
          <w:highlight w:val="none"/>
        </w:rPr>
      </w:pPr>
      <w:r>
        <w:rPr>
          <w:rFonts w:hint="eastAsia"/>
          <w:highlight w:val="none"/>
        </w:rPr>
        <w:t>风险费用的计算方法：</w:t>
      </w:r>
      <w:r>
        <w:rPr>
          <w:rFonts w:hint="eastAsia"/>
          <w:highlight w:val="none"/>
          <w:u w:val="single"/>
        </w:rPr>
        <w:t>已包含在合同价内，不予调整</w:t>
      </w:r>
      <w:r>
        <w:rPr>
          <w:rFonts w:hint="eastAsia"/>
          <w:highlight w:val="none"/>
        </w:rPr>
        <w:t>。</w:t>
      </w:r>
    </w:p>
    <w:p>
      <w:pPr>
        <w:ind w:firstLine="426"/>
        <w:rPr>
          <w:highlight w:val="none"/>
        </w:rPr>
      </w:pPr>
      <w:r>
        <w:rPr>
          <w:rFonts w:hint="eastAsia"/>
          <w:highlight w:val="none"/>
        </w:rPr>
        <w:t>风险范围以外合同价格的调整方法：</w:t>
      </w:r>
      <w:r>
        <w:rPr>
          <w:rFonts w:hint="eastAsia"/>
          <w:highlight w:val="none"/>
          <w:u w:val="single"/>
        </w:rPr>
        <w:t>变更的单价及工程量均以工程审计单位审计为准</w:t>
      </w:r>
      <w:r>
        <w:rPr>
          <w:rFonts w:hint="eastAsia"/>
          <w:highlight w:val="none"/>
        </w:rPr>
        <w:t>。</w:t>
      </w:r>
    </w:p>
    <w:p>
      <w:pPr>
        <w:ind w:firstLine="428"/>
        <w:rPr>
          <w:highlight w:val="none"/>
        </w:rPr>
      </w:pPr>
      <w:r>
        <w:rPr>
          <w:rFonts w:hint="eastAsia"/>
          <w:b/>
          <w:bCs/>
          <w:highlight w:val="none"/>
        </w:rPr>
        <w:t>风险范围以外合同价款调整方法本项目需要进行结算审计，最终支付金额需按审定价及预算价为依据，且最多只能支付到预算价（即如果审定价超出预算价，超出部分不予支付，由供应商自行承担；审定价低于预算价的，支付到审定价）</w:t>
      </w:r>
      <w:r>
        <w:rPr>
          <w:rFonts w:hint="eastAsia"/>
          <w:highlight w:val="none"/>
        </w:rPr>
        <w:t>。</w:t>
      </w:r>
    </w:p>
    <w:p>
      <w:pPr>
        <w:ind w:firstLine="428"/>
        <w:rPr>
          <w:highlight w:val="none"/>
        </w:rPr>
      </w:pPr>
      <w:r>
        <w:rPr>
          <w:rFonts w:hint="eastAsia"/>
          <w:b/>
          <w:bCs/>
          <w:highlight w:val="none"/>
        </w:rPr>
        <w:t>风险范围以外合同价款调整方法本项目需要进行结算审计，工程签证费用最多支付成交价的10%且不超过50万</w:t>
      </w:r>
      <w:r>
        <w:rPr>
          <w:rFonts w:hint="eastAsia"/>
          <w:highlight w:val="none"/>
        </w:rPr>
        <w:t>。</w:t>
      </w:r>
      <w:r>
        <w:rPr>
          <w:rFonts w:hint="eastAsia"/>
          <w:b/>
          <w:bCs/>
          <w:highlight w:val="none"/>
        </w:rPr>
        <w:t>最终支付金额=成交价+核增+核减+工程签证费用（如有）</w:t>
      </w:r>
    </w:p>
    <w:p>
      <w:pPr>
        <w:ind w:firstLine="426"/>
        <w:rPr>
          <w:highlight w:val="none"/>
        </w:rPr>
      </w:pPr>
      <w:r>
        <w:rPr>
          <w:rFonts w:hint="eastAsia"/>
          <w:highlight w:val="none"/>
        </w:rPr>
        <w:t>（3）采用成本加酬金合同有关成本和酬金的约定：</w:t>
      </w:r>
    </w:p>
    <w:p>
      <w:pPr>
        <w:ind w:firstLine="426"/>
        <w:rPr>
          <w:rFonts w:cs="仿宋"/>
          <w:highlight w:val="none"/>
        </w:rPr>
      </w:pPr>
      <w:r>
        <w:rPr>
          <w:rFonts w:hint="eastAsia" w:cs="仿宋"/>
          <w:highlight w:val="none"/>
        </w:rPr>
        <w:t>23.3双方约定合同价款的其他调整因素：①发包人同意的设计变更②发包人要求增加的施工图范围外的内容（施工单位投标时漏报甲方要求做的内容，不作为调整决算内容。）③当结算子项实际数量变化超过工程量清单内数量10%以上且满足以下条件之时业主有权调整工程量增减部分的综合单价：A、结算子项综合单价超过正常水平的±20%以上，B、结算子项实际变化金额超过合同金额±0.1%以上。</w:t>
      </w:r>
    </w:p>
    <w:p>
      <w:pPr>
        <w:ind w:firstLine="426"/>
        <w:rPr>
          <w:rFonts w:cs="仿宋"/>
          <w:highlight w:val="none"/>
        </w:rPr>
      </w:pPr>
      <w:r>
        <w:rPr>
          <w:rFonts w:hint="eastAsia" w:cs="仿宋"/>
          <w:highlight w:val="none"/>
        </w:rPr>
        <w:t>24、工程预付款</w:t>
      </w:r>
    </w:p>
    <w:p>
      <w:pPr>
        <w:ind w:firstLine="426"/>
        <w:rPr>
          <w:rFonts w:cs="仿宋"/>
          <w:highlight w:val="none"/>
        </w:rPr>
      </w:pPr>
      <w:r>
        <w:rPr>
          <w:rFonts w:hint="eastAsia" w:cs="仿宋"/>
          <w:highlight w:val="none"/>
        </w:rPr>
        <w:t>合同签订后7日内，且乙方已向甲方提交银行、保险公司等金融机构出具的预付款保函的，甲方支付合同总价40%的预付款。若签订合同时乙方明确表示无需预付款或者主动要求降低预付款比例的可不适用前述规定。</w:t>
      </w:r>
    </w:p>
    <w:p>
      <w:pPr>
        <w:ind w:firstLine="426"/>
        <w:rPr>
          <w:rFonts w:cs="仿宋"/>
          <w:highlight w:val="none"/>
        </w:rPr>
      </w:pPr>
      <w:r>
        <w:rPr>
          <w:rFonts w:hint="eastAsia" w:cs="仿宋"/>
          <w:highlight w:val="none"/>
        </w:rPr>
        <w:t>25、工程量确认</w:t>
      </w:r>
    </w:p>
    <w:p>
      <w:pPr>
        <w:ind w:firstLine="426"/>
        <w:rPr>
          <w:rFonts w:cs="仿宋"/>
          <w:highlight w:val="none"/>
        </w:rPr>
      </w:pPr>
      <w:r>
        <w:rPr>
          <w:rFonts w:hint="eastAsia" w:cs="仿宋"/>
          <w:highlight w:val="none"/>
        </w:rPr>
        <w:t>25.1承包人向工程师提交已完工程量报告的时间：8月25日前承包方向发包方提交已完成工程量报告。</w:t>
      </w:r>
    </w:p>
    <w:p>
      <w:pPr>
        <w:ind w:firstLine="426"/>
        <w:rPr>
          <w:rFonts w:cs="仿宋"/>
          <w:highlight w:val="none"/>
        </w:rPr>
      </w:pPr>
      <w:r>
        <w:rPr>
          <w:rFonts w:hint="eastAsia" w:cs="仿宋"/>
          <w:highlight w:val="none"/>
        </w:rPr>
        <w:t>26、工程款（进度款）支付</w:t>
      </w:r>
    </w:p>
    <w:p>
      <w:pPr>
        <w:ind w:firstLine="426"/>
        <w:rPr>
          <w:rFonts w:cs="仿宋"/>
          <w:highlight w:val="none"/>
        </w:rPr>
      </w:pPr>
      <w:r>
        <w:rPr>
          <w:rFonts w:hint="eastAsia" w:cs="仿宋"/>
          <w:highlight w:val="none"/>
        </w:rPr>
        <w:t>双方约定的工程款（进度款）支付的方式和时间：</w:t>
      </w:r>
    </w:p>
    <w:p>
      <w:pPr>
        <w:ind w:firstLine="426"/>
        <w:rPr>
          <w:rFonts w:cs="仿宋"/>
          <w:highlight w:val="none"/>
        </w:rPr>
      </w:pPr>
      <w:r>
        <w:rPr>
          <w:rFonts w:hint="eastAsia"/>
          <w:highlight w:val="none"/>
        </w:rPr>
        <w:t>1）合同签订后，7个工作日支付合同价的40%工程款为预付款；2）竣工验收合格后7个工作日支付至合同价的85%；3）工程结算审计完成后7个工作日，支付至结算价的100%。</w:t>
      </w:r>
      <w:r>
        <w:rPr>
          <w:rFonts w:hint="eastAsia" w:cs="仿宋"/>
          <w:highlight w:val="none"/>
        </w:rPr>
        <w:t>同时按合同履约核实情况，结算履约保证金（无息，并扣除违约款）。</w:t>
      </w:r>
    </w:p>
    <w:p>
      <w:pPr>
        <w:ind w:firstLine="428"/>
        <w:rPr>
          <w:b/>
          <w:bCs/>
          <w:highlight w:val="none"/>
        </w:rPr>
      </w:pPr>
      <w:r>
        <w:rPr>
          <w:rFonts w:hint="eastAsia"/>
          <w:b/>
          <w:bCs/>
          <w:highlight w:val="none"/>
        </w:rPr>
        <w:t>备注：工程款尾款支付时承包人须提供合同复印件，等额的增值税发票，结算审核报告，工程验收单、履约保证金缴纳证明材料（如现金或转账的提供学校开具的收据；如采用保函或保险的提供相关证明资料）。</w:t>
      </w:r>
    </w:p>
    <w:p>
      <w:pPr>
        <w:pStyle w:val="5"/>
        <w:rPr>
          <w:highlight w:val="none"/>
        </w:rPr>
      </w:pPr>
      <w:r>
        <w:rPr>
          <w:rFonts w:hint="eastAsia"/>
          <w:highlight w:val="none"/>
        </w:rPr>
        <w:t>七、材料设备供应</w:t>
      </w:r>
    </w:p>
    <w:p>
      <w:pPr>
        <w:ind w:firstLine="426"/>
        <w:rPr>
          <w:rFonts w:cs="仿宋"/>
          <w:highlight w:val="none"/>
        </w:rPr>
      </w:pPr>
      <w:r>
        <w:rPr>
          <w:rFonts w:hint="eastAsia" w:cs="仿宋"/>
          <w:highlight w:val="none"/>
        </w:rPr>
        <w:t>27、发包人供应材料设计</w:t>
      </w:r>
    </w:p>
    <w:p>
      <w:pPr>
        <w:ind w:firstLine="426"/>
        <w:rPr>
          <w:rFonts w:cs="仿宋"/>
          <w:highlight w:val="none"/>
        </w:rPr>
      </w:pPr>
      <w:r>
        <w:rPr>
          <w:rFonts w:hint="eastAsia" w:cs="仿宋"/>
          <w:highlight w:val="none"/>
        </w:rPr>
        <w:t>27.4发包人供应的材料设备与一览表不符时，双方约定发包人承担责任如下：</w:t>
      </w:r>
    </w:p>
    <w:p>
      <w:pPr>
        <w:ind w:firstLine="426"/>
        <w:rPr>
          <w:rFonts w:cs="仿宋"/>
          <w:highlight w:val="none"/>
        </w:rPr>
      </w:pPr>
      <w:r>
        <w:rPr>
          <w:rFonts w:hint="eastAsia" w:cs="仿宋"/>
          <w:highlight w:val="none"/>
        </w:rPr>
        <w:t>（1）材料设备单价与一览表不符：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（2）材料设备的品种、规格、型号、质量等级与一览表不符：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（3）承包人可代为调剂串换的材料：</w:t>
      </w:r>
      <w:r>
        <w:rPr>
          <w:rFonts w:hint="eastAsia" w:cs="仿宋"/>
          <w:highlight w:val="none"/>
          <w:u w:val="single"/>
        </w:rPr>
        <w:t xml:space="preserve">  /  </w:t>
      </w:r>
    </w:p>
    <w:p>
      <w:pPr>
        <w:ind w:firstLine="426"/>
        <w:rPr>
          <w:rFonts w:cs="仿宋"/>
          <w:highlight w:val="none"/>
        </w:rPr>
      </w:pPr>
      <w:r>
        <w:rPr>
          <w:rFonts w:hint="eastAsia" w:cs="仿宋"/>
          <w:highlight w:val="none"/>
        </w:rPr>
        <w:t>（4）到货地点与一览表不符：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（5）供应数量与一览表不符：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（6）到货时间与一览表不符：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27.6发包人供应材料设备的结算方法：</w:t>
      </w:r>
      <w:r>
        <w:rPr>
          <w:rFonts w:hint="eastAsia" w:cs="仿宋"/>
          <w:highlight w:val="none"/>
          <w:u w:val="single"/>
        </w:rPr>
        <w:t xml:space="preserve">  /  </w:t>
      </w:r>
    </w:p>
    <w:p>
      <w:pPr>
        <w:ind w:firstLine="426"/>
        <w:rPr>
          <w:rFonts w:cs="仿宋"/>
          <w:highlight w:val="none"/>
        </w:rPr>
      </w:pPr>
      <w:r>
        <w:rPr>
          <w:rFonts w:hint="eastAsia" w:cs="仿宋"/>
          <w:highlight w:val="none"/>
        </w:rPr>
        <w:t>28、承包人采购材料设备</w:t>
      </w:r>
    </w:p>
    <w:p>
      <w:pPr>
        <w:ind w:firstLine="426"/>
        <w:rPr>
          <w:rFonts w:cs="仿宋"/>
          <w:highlight w:val="none"/>
        </w:rPr>
      </w:pPr>
      <w:r>
        <w:rPr>
          <w:rFonts w:hint="eastAsia" w:cs="仿宋"/>
          <w:highlight w:val="none"/>
        </w:rPr>
        <w:t>28.1承包人采购材料设备的约定：</w:t>
      </w:r>
    </w:p>
    <w:p>
      <w:pPr>
        <w:ind w:firstLine="426"/>
        <w:rPr>
          <w:rFonts w:cs="仿宋"/>
          <w:highlight w:val="none"/>
        </w:rPr>
      </w:pPr>
      <w:r>
        <w:rPr>
          <w:rFonts w:hint="eastAsia" w:cs="仿宋"/>
          <w:highlight w:val="none"/>
        </w:rPr>
        <w:t>由承包人自行采购，所有材料均应有合格证和质保书，并符合国家规定的技术标准和设计要求。施工前须经发包方验收。承包人使用不合格产品无条件返工，并承担发包人由此造成的损失。</w:t>
      </w:r>
    </w:p>
    <w:p>
      <w:pPr>
        <w:pStyle w:val="5"/>
        <w:rPr>
          <w:highlight w:val="none"/>
        </w:rPr>
      </w:pPr>
      <w:r>
        <w:rPr>
          <w:rFonts w:hint="eastAsia"/>
          <w:highlight w:val="none"/>
        </w:rPr>
        <w:t>八、工程变更</w:t>
      </w:r>
    </w:p>
    <w:p>
      <w:pPr>
        <w:ind w:firstLine="426"/>
        <w:rPr>
          <w:rFonts w:cs="仿宋"/>
          <w:highlight w:val="none"/>
        </w:rPr>
      </w:pPr>
      <w:r>
        <w:rPr>
          <w:rFonts w:hint="eastAsia" w:cs="仿宋"/>
          <w:highlight w:val="none"/>
        </w:rPr>
        <w:t>设计变更必须经设计单位确认；因工程变更而产生的新增减工程量，经发包人工程联系单盖章签复意见后，方可作为决算依据。</w:t>
      </w:r>
    </w:p>
    <w:p>
      <w:pPr>
        <w:pStyle w:val="5"/>
        <w:rPr>
          <w:highlight w:val="none"/>
        </w:rPr>
      </w:pPr>
      <w:r>
        <w:rPr>
          <w:rFonts w:hint="eastAsia"/>
          <w:highlight w:val="none"/>
        </w:rPr>
        <w:t>九、竣工验收与结算</w:t>
      </w:r>
    </w:p>
    <w:p>
      <w:pPr>
        <w:ind w:firstLine="426"/>
        <w:rPr>
          <w:rFonts w:cs="仿宋"/>
          <w:highlight w:val="none"/>
        </w:rPr>
      </w:pPr>
      <w:r>
        <w:rPr>
          <w:rFonts w:hint="eastAsia" w:cs="仿宋"/>
          <w:highlight w:val="none"/>
        </w:rPr>
        <w:t>工程具备竣工验收条件，承包人按国家工程验收有关规定及合同附件“采购需求”的要求，向发包人提供完整竣工资料；工程价款以审定结果按实结算但不超过成交价。在竣工验收后一个月内提交完整的结算资料送交发包人审核。</w:t>
      </w:r>
    </w:p>
    <w:p>
      <w:pPr>
        <w:ind w:firstLine="426"/>
        <w:rPr>
          <w:rFonts w:cs="仿宋"/>
          <w:highlight w:val="none"/>
        </w:rPr>
      </w:pPr>
      <w:r>
        <w:rPr>
          <w:rFonts w:hint="eastAsia" w:cs="仿宋"/>
          <w:highlight w:val="none"/>
        </w:rPr>
        <w:t>32、竣工验收</w:t>
      </w:r>
    </w:p>
    <w:p>
      <w:pPr>
        <w:ind w:firstLine="426"/>
        <w:rPr>
          <w:rFonts w:cs="仿宋"/>
          <w:highlight w:val="none"/>
        </w:rPr>
      </w:pPr>
      <w:r>
        <w:rPr>
          <w:rFonts w:hint="eastAsia" w:cs="仿宋"/>
          <w:highlight w:val="none"/>
        </w:rPr>
        <w:t>32.1承包人提供竣工图的约定：工程竣工验收一个月内提交发包方完整的竣工图叁套、技术资料叁套及全套电子文档一份。</w:t>
      </w:r>
    </w:p>
    <w:p>
      <w:pPr>
        <w:ind w:firstLine="426"/>
        <w:rPr>
          <w:rFonts w:cs="仿宋"/>
          <w:highlight w:val="none"/>
        </w:rPr>
      </w:pPr>
      <w:r>
        <w:rPr>
          <w:rFonts w:hint="eastAsia" w:cs="仿宋"/>
          <w:highlight w:val="none"/>
        </w:rPr>
        <w:t>32.2竣工验收验收要求详见合同附件“采购需求”。</w:t>
      </w:r>
    </w:p>
    <w:p>
      <w:pPr>
        <w:pStyle w:val="5"/>
        <w:rPr>
          <w:highlight w:val="none"/>
        </w:rPr>
      </w:pPr>
      <w:r>
        <w:rPr>
          <w:rFonts w:hint="eastAsia"/>
          <w:highlight w:val="none"/>
        </w:rPr>
        <w:t>十、违约、索赔和争议</w:t>
      </w:r>
    </w:p>
    <w:p>
      <w:pPr>
        <w:ind w:firstLine="426"/>
        <w:rPr>
          <w:rFonts w:cs="仿宋"/>
          <w:highlight w:val="none"/>
        </w:rPr>
      </w:pPr>
      <w:r>
        <w:rPr>
          <w:rFonts w:hint="eastAsia" w:cs="仿宋"/>
          <w:highlight w:val="none"/>
        </w:rPr>
        <w:t>35、违约</w:t>
      </w:r>
    </w:p>
    <w:p>
      <w:pPr>
        <w:ind w:firstLine="426"/>
        <w:rPr>
          <w:rFonts w:cs="仿宋"/>
          <w:highlight w:val="none"/>
        </w:rPr>
      </w:pPr>
      <w:r>
        <w:rPr>
          <w:rFonts w:hint="eastAsia" w:cs="仿宋"/>
          <w:highlight w:val="none"/>
        </w:rPr>
        <w:t>35.1本合同中关于发包人违约的具体责任如下：</w:t>
      </w:r>
    </w:p>
    <w:p>
      <w:pPr>
        <w:ind w:firstLine="426"/>
        <w:rPr>
          <w:rFonts w:cs="仿宋"/>
          <w:highlight w:val="none"/>
        </w:rPr>
      </w:pPr>
      <w:r>
        <w:rPr>
          <w:rFonts w:hint="eastAsia" w:cs="仿宋"/>
          <w:highlight w:val="none"/>
        </w:rPr>
        <w:t>本合同通用条款第24条约定发包人违约应承担的违约责任：无</w:t>
      </w:r>
    </w:p>
    <w:p>
      <w:pPr>
        <w:ind w:firstLine="426"/>
        <w:rPr>
          <w:rFonts w:cs="仿宋"/>
          <w:highlight w:val="none"/>
        </w:rPr>
      </w:pPr>
      <w:r>
        <w:rPr>
          <w:rFonts w:hint="eastAsia" w:cs="仿宋"/>
          <w:highlight w:val="none"/>
        </w:rPr>
        <w:t>本合同通用条款第26.4款约定发包人违约应承担的违约责任：无</w:t>
      </w:r>
    </w:p>
    <w:p>
      <w:pPr>
        <w:ind w:firstLine="426"/>
        <w:rPr>
          <w:rFonts w:cs="仿宋"/>
          <w:highlight w:val="none"/>
        </w:rPr>
      </w:pPr>
      <w:r>
        <w:rPr>
          <w:rFonts w:hint="eastAsia" w:cs="仿宋"/>
          <w:highlight w:val="none"/>
        </w:rPr>
        <w:t>本合同通用条款第33.3款约定发包人违约应承担的违约责任：无</w:t>
      </w:r>
    </w:p>
    <w:p>
      <w:pPr>
        <w:ind w:firstLine="426"/>
        <w:rPr>
          <w:rFonts w:cs="仿宋"/>
          <w:highlight w:val="none"/>
        </w:rPr>
      </w:pPr>
      <w:r>
        <w:rPr>
          <w:rFonts w:hint="eastAsia" w:cs="仿宋"/>
          <w:highlight w:val="none"/>
        </w:rPr>
        <w:t>双方约定的发包人其他违约责任：由于发包人的原因造成的工期延误，工期顺延天数由现场监理及发包签证确定。</w:t>
      </w:r>
    </w:p>
    <w:p>
      <w:pPr>
        <w:ind w:firstLine="426"/>
        <w:rPr>
          <w:rFonts w:cs="仿宋"/>
          <w:highlight w:val="none"/>
        </w:rPr>
      </w:pPr>
      <w:r>
        <w:rPr>
          <w:rFonts w:hint="eastAsia" w:cs="仿宋"/>
          <w:highlight w:val="none"/>
        </w:rPr>
        <w:t>35.2本合同中关于承包人违约的具体责任如下：</w:t>
      </w:r>
    </w:p>
    <w:p>
      <w:pPr>
        <w:ind w:firstLine="426"/>
        <w:rPr>
          <w:rFonts w:cs="仿宋"/>
          <w:highlight w:val="none"/>
        </w:rPr>
      </w:pPr>
      <w:r>
        <w:rPr>
          <w:rFonts w:hint="eastAsia" w:cs="仿宋"/>
          <w:highlight w:val="none"/>
        </w:rPr>
        <w:t>因承包人原因造成工程质量问题，由承包人负责整改工作及相关费用，直至达到合格标准。</w:t>
      </w:r>
    </w:p>
    <w:p>
      <w:pPr>
        <w:ind w:firstLine="426"/>
        <w:rPr>
          <w:rFonts w:cs="仿宋"/>
          <w:highlight w:val="none"/>
        </w:rPr>
      </w:pPr>
      <w:r>
        <w:rPr>
          <w:rFonts w:hint="eastAsia" w:cs="仿宋"/>
          <w:highlight w:val="none"/>
        </w:rPr>
        <w:t>因此造成的工期延误和损失，由承包人承担一切后果。承包人不修复或无法修复的发包人有权自行委托有资质单位修复，修复费用及造成的损失由承包人承担。</w:t>
      </w:r>
    </w:p>
    <w:p>
      <w:pPr>
        <w:ind w:firstLine="426"/>
        <w:rPr>
          <w:rFonts w:cs="仿宋"/>
          <w:highlight w:val="none"/>
        </w:rPr>
      </w:pPr>
      <w:r>
        <w:rPr>
          <w:rFonts w:hint="eastAsia" w:cs="仿宋"/>
          <w:highlight w:val="none"/>
        </w:rPr>
        <w:t>双方约定的承包人其他违约责任：1、以签订合同为准；2、合同附件“采购需求”里所有要求必须全部满足，如有未满足的，视同承包人违约，承包人必须按“采购需求”条款要求整改，如承包人拒绝整改或整改后仍未达到“采购需求”要求的不予验收，且发包人有权单方聘请第三方进行整改，相关费用由承包人全额承担，承包人还需承担工期延误的违约金；3、如“采购需求”条款与合同其他条款有冲突，以“采购需求”条款为准。</w:t>
      </w:r>
    </w:p>
    <w:p>
      <w:pPr>
        <w:ind w:firstLine="426"/>
        <w:rPr>
          <w:rFonts w:cs="仿宋"/>
          <w:highlight w:val="none"/>
        </w:rPr>
      </w:pPr>
      <w:r>
        <w:rPr>
          <w:rFonts w:hint="eastAsia" w:cs="仿宋"/>
          <w:highlight w:val="none"/>
        </w:rPr>
        <w:t>37、争议</w:t>
      </w:r>
    </w:p>
    <w:p>
      <w:pPr>
        <w:ind w:firstLine="426"/>
        <w:rPr>
          <w:rFonts w:cs="仿宋"/>
          <w:highlight w:val="none"/>
        </w:rPr>
      </w:pPr>
      <w:r>
        <w:rPr>
          <w:rFonts w:hint="eastAsia" w:cs="仿宋"/>
          <w:highlight w:val="none"/>
        </w:rPr>
        <w:t>37.1本合同在履行过程中发生的争议，由双方当事人协商解决，协商不成的，按下列第（2）种方式解决：</w:t>
      </w:r>
    </w:p>
    <w:p>
      <w:pPr>
        <w:ind w:firstLine="426"/>
        <w:rPr>
          <w:rFonts w:cs="仿宋"/>
          <w:highlight w:val="none"/>
        </w:rPr>
      </w:pPr>
      <w:r>
        <w:rPr>
          <w:rFonts w:hint="eastAsia" w:cs="仿宋"/>
          <w:highlight w:val="none"/>
        </w:rPr>
        <w:t>（1）提交</w:t>
      </w:r>
      <w:r>
        <w:rPr>
          <w:rFonts w:hint="eastAsia" w:cs="仿宋"/>
          <w:highlight w:val="none"/>
          <w:u w:val="single"/>
        </w:rPr>
        <w:t xml:space="preserve">  /  </w:t>
      </w:r>
      <w:r>
        <w:rPr>
          <w:rFonts w:hint="eastAsia" w:cs="仿宋"/>
          <w:highlight w:val="none"/>
        </w:rPr>
        <w:t>仲裁委员会申请仲裁；</w:t>
      </w:r>
    </w:p>
    <w:p>
      <w:pPr>
        <w:ind w:firstLine="426"/>
        <w:rPr>
          <w:rFonts w:cs="仿宋"/>
          <w:highlight w:val="none"/>
        </w:rPr>
      </w:pPr>
      <w:r>
        <w:rPr>
          <w:rFonts w:hint="eastAsia" w:cs="仿宋"/>
          <w:highlight w:val="none"/>
        </w:rPr>
        <w:t>（2）法向杭州市仲裁委员会提请仲裁或向杭州市人民法院提起诉讼。</w:t>
      </w:r>
    </w:p>
    <w:p>
      <w:pPr>
        <w:pStyle w:val="5"/>
        <w:rPr>
          <w:highlight w:val="none"/>
        </w:rPr>
      </w:pPr>
      <w:r>
        <w:rPr>
          <w:rFonts w:hint="eastAsia"/>
          <w:highlight w:val="none"/>
        </w:rPr>
        <w:t>十一、其他</w:t>
      </w:r>
    </w:p>
    <w:p>
      <w:pPr>
        <w:ind w:firstLine="426"/>
        <w:rPr>
          <w:rFonts w:cs="仿宋"/>
          <w:highlight w:val="none"/>
        </w:rPr>
      </w:pPr>
      <w:r>
        <w:rPr>
          <w:rFonts w:hint="eastAsia" w:cs="仿宋"/>
          <w:highlight w:val="none"/>
        </w:rPr>
        <w:t>38、工程分包</w:t>
      </w:r>
    </w:p>
    <w:p>
      <w:pPr>
        <w:ind w:firstLine="426"/>
        <w:rPr>
          <w:rFonts w:cs="仿宋"/>
          <w:highlight w:val="none"/>
        </w:rPr>
      </w:pPr>
      <w:r>
        <w:rPr>
          <w:rFonts w:hint="eastAsia" w:cs="仿宋"/>
          <w:highlight w:val="none"/>
        </w:rPr>
        <w:t>38.1本工程发包人同意承包人分包的工程：</w:t>
      </w:r>
      <w:r>
        <w:rPr>
          <w:rFonts w:hint="eastAsia" w:cs="仿宋"/>
          <w:highlight w:val="none"/>
          <w:u w:val="single"/>
        </w:rPr>
        <w:t xml:space="preserve">  /  </w:t>
      </w:r>
    </w:p>
    <w:p>
      <w:pPr>
        <w:ind w:firstLine="426"/>
        <w:rPr>
          <w:rFonts w:cs="仿宋"/>
          <w:highlight w:val="none"/>
        </w:rPr>
      </w:pPr>
      <w:r>
        <w:rPr>
          <w:rFonts w:hint="eastAsia" w:cs="仿宋"/>
          <w:highlight w:val="none"/>
        </w:rPr>
        <w:t>分包施工单位为：</w:t>
      </w:r>
      <w:r>
        <w:rPr>
          <w:rFonts w:hint="eastAsia" w:cs="仿宋"/>
          <w:highlight w:val="none"/>
          <w:u w:val="single"/>
        </w:rPr>
        <w:t xml:space="preserve">  /  </w:t>
      </w:r>
    </w:p>
    <w:p>
      <w:pPr>
        <w:ind w:firstLine="426"/>
        <w:rPr>
          <w:rFonts w:cs="仿宋"/>
          <w:highlight w:val="none"/>
        </w:rPr>
      </w:pPr>
      <w:r>
        <w:rPr>
          <w:rFonts w:hint="eastAsia" w:cs="仿宋"/>
          <w:highlight w:val="none"/>
        </w:rPr>
        <w:t>39、不可抗力</w:t>
      </w:r>
    </w:p>
    <w:p>
      <w:pPr>
        <w:ind w:firstLine="426"/>
        <w:rPr>
          <w:rFonts w:cs="仿宋"/>
          <w:highlight w:val="none"/>
        </w:rPr>
      </w:pPr>
      <w:r>
        <w:rPr>
          <w:rFonts w:hint="eastAsia" w:cs="仿宋"/>
          <w:highlight w:val="none"/>
        </w:rPr>
        <w:t>39.1双方关于不可抗力的约定： 按通用条款的相应条款执行</w:t>
      </w:r>
    </w:p>
    <w:p>
      <w:pPr>
        <w:ind w:firstLine="426"/>
        <w:rPr>
          <w:rFonts w:cs="仿宋"/>
          <w:highlight w:val="none"/>
        </w:rPr>
      </w:pPr>
      <w:r>
        <w:rPr>
          <w:rFonts w:hint="eastAsia" w:cs="仿宋"/>
          <w:highlight w:val="none"/>
        </w:rPr>
        <w:t>40、保险</w:t>
      </w:r>
    </w:p>
    <w:p>
      <w:pPr>
        <w:ind w:firstLine="426"/>
        <w:rPr>
          <w:rFonts w:cs="仿宋"/>
          <w:highlight w:val="none"/>
        </w:rPr>
      </w:pPr>
      <w:r>
        <w:rPr>
          <w:rFonts w:hint="eastAsia" w:cs="仿宋"/>
          <w:highlight w:val="none"/>
        </w:rPr>
        <w:t>40.6本工程双方约定投保内容如下：</w:t>
      </w:r>
    </w:p>
    <w:p>
      <w:pPr>
        <w:ind w:firstLine="426"/>
        <w:rPr>
          <w:rFonts w:cs="仿宋"/>
          <w:highlight w:val="none"/>
        </w:rPr>
      </w:pPr>
      <w:r>
        <w:rPr>
          <w:rFonts w:hint="eastAsia" w:cs="仿宋"/>
          <w:highlight w:val="none"/>
        </w:rPr>
        <w:t>（1）发包人投保内容：发包人工地自身人员和第三者人身意外伤害保险。</w:t>
      </w:r>
    </w:p>
    <w:p>
      <w:pPr>
        <w:ind w:firstLine="426"/>
        <w:rPr>
          <w:rFonts w:cs="仿宋"/>
          <w:highlight w:val="none"/>
        </w:rPr>
      </w:pPr>
      <w:r>
        <w:rPr>
          <w:rFonts w:hint="eastAsia" w:cs="仿宋"/>
          <w:highlight w:val="none"/>
        </w:rPr>
        <w:t>发包人委托承包人办理的保险事项：按通用条款办理。</w:t>
      </w:r>
    </w:p>
    <w:p>
      <w:pPr>
        <w:ind w:firstLine="426"/>
        <w:rPr>
          <w:rFonts w:cs="仿宋"/>
          <w:highlight w:val="none"/>
        </w:rPr>
      </w:pPr>
      <w:r>
        <w:rPr>
          <w:rFonts w:hint="eastAsia" w:cs="仿宋"/>
          <w:highlight w:val="none"/>
        </w:rPr>
        <w:t>（2）承包人保内容：承包人必须为施工场地内自有人员办理意外伤害保险，并为施工机械设备办理保险，支付相关保险费用。</w:t>
      </w:r>
    </w:p>
    <w:p>
      <w:pPr>
        <w:ind w:firstLine="426"/>
        <w:rPr>
          <w:rFonts w:cs="仿宋"/>
          <w:highlight w:val="none"/>
        </w:rPr>
      </w:pPr>
      <w:r>
        <w:rPr>
          <w:rFonts w:hint="eastAsia" w:cs="仿宋"/>
          <w:highlight w:val="none"/>
        </w:rPr>
        <w:t>41、担保</w:t>
      </w:r>
    </w:p>
    <w:p>
      <w:pPr>
        <w:ind w:firstLine="426"/>
        <w:rPr>
          <w:rFonts w:cs="仿宋"/>
          <w:highlight w:val="none"/>
        </w:rPr>
      </w:pPr>
      <w:r>
        <w:rPr>
          <w:rFonts w:hint="eastAsia" w:cs="仿宋"/>
          <w:highlight w:val="none"/>
        </w:rPr>
        <w:t>41.3本工程双方约定担保事项如下：</w:t>
      </w:r>
    </w:p>
    <w:p>
      <w:pPr>
        <w:ind w:firstLine="426"/>
        <w:rPr>
          <w:rFonts w:cs="仿宋"/>
          <w:highlight w:val="none"/>
        </w:rPr>
      </w:pPr>
      <w:r>
        <w:rPr>
          <w:rFonts w:hint="eastAsia" w:cs="仿宋"/>
          <w:highlight w:val="none"/>
        </w:rPr>
        <w:t>（1）发包人向承包人提供履约保证金，缴纳方式为：</w:t>
      </w:r>
      <w:r>
        <w:rPr>
          <w:rFonts w:hint="eastAsia" w:cs="仿宋"/>
          <w:highlight w:val="none"/>
          <w:u w:val="single"/>
        </w:rPr>
        <w:t xml:space="preserve">  /  </w:t>
      </w:r>
    </w:p>
    <w:p>
      <w:pPr>
        <w:ind w:firstLine="426"/>
        <w:rPr>
          <w:rFonts w:cs="仿宋"/>
          <w:highlight w:val="none"/>
        </w:rPr>
      </w:pPr>
      <w:r>
        <w:rPr>
          <w:rFonts w:hint="eastAsia" w:cs="仿宋"/>
          <w:highlight w:val="none"/>
        </w:rPr>
        <w:t>（2）承包人向发包人提供履约保证金，缴纳方式为合同总价1%的银行汇票、支票、电汇、银行保函，担保合同作为本合同附件。</w:t>
      </w:r>
    </w:p>
    <w:p>
      <w:pPr>
        <w:ind w:firstLine="426"/>
        <w:rPr>
          <w:rFonts w:cs="仿宋"/>
          <w:highlight w:val="none"/>
        </w:rPr>
      </w:pPr>
      <w:r>
        <w:rPr>
          <w:rFonts w:hint="eastAsia" w:cs="仿宋"/>
          <w:highlight w:val="none"/>
        </w:rPr>
        <w:t>（3）双方约定的其他担保事项：</w:t>
      </w:r>
      <w:r>
        <w:rPr>
          <w:rFonts w:hint="eastAsia" w:cs="仿宋"/>
          <w:highlight w:val="none"/>
          <w:u w:val="single"/>
        </w:rPr>
        <w:t xml:space="preserve">无 </w:t>
      </w:r>
    </w:p>
    <w:p>
      <w:pPr>
        <w:ind w:firstLine="426"/>
        <w:rPr>
          <w:rFonts w:cs="仿宋"/>
          <w:highlight w:val="none"/>
        </w:rPr>
      </w:pPr>
      <w:r>
        <w:rPr>
          <w:rFonts w:hint="eastAsia" w:cs="仿宋"/>
          <w:highlight w:val="none"/>
        </w:rPr>
        <w:t>46、合同份数</w:t>
      </w:r>
    </w:p>
    <w:p>
      <w:pPr>
        <w:ind w:firstLine="426"/>
        <w:rPr>
          <w:rFonts w:cs="仿宋"/>
          <w:highlight w:val="none"/>
        </w:rPr>
      </w:pPr>
      <w:r>
        <w:rPr>
          <w:rFonts w:hint="eastAsia" w:cs="仿宋"/>
          <w:highlight w:val="none"/>
        </w:rPr>
        <w:t>46.1双方约定合同副本份数：</w:t>
      </w:r>
    </w:p>
    <w:p>
      <w:pPr>
        <w:ind w:firstLine="426"/>
        <w:rPr>
          <w:rFonts w:cs="仿宋"/>
          <w:highlight w:val="none"/>
        </w:rPr>
      </w:pPr>
      <w:r>
        <w:rPr>
          <w:rFonts w:hint="eastAsia" w:cs="仿宋"/>
          <w:highlight w:val="none"/>
        </w:rPr>
        <w:t>双方约定合同副本份数：一式肆份，甲方贰份，乙方贰份。</w:t>
      </w:r>
    </w:p>
    <w:p>
      <w:pPr>
        <w:ind w:firstLine="426"/>
        <w:rPr>
          <w:rFonts w:cs="仿宋"/>
          <w:highlight w:val="none"/>
        </w:rPr>
      </w:pPr>
      <w:r>
        <w:rPr>
          <w:rFonts w:hint="eastAsia" w:cs="仿宋"/>
          <w:highlight w:val="none"/>
        </w:rPr>
        <w:t>47、补充条款</w:t>
      </w:r>
    </w:p>
    <w:p>
      <w:pPr>
        <w:ind w:firstLine="426"/>
        <w:rPr>
          <w:rFonts w:cs="仿宋"/>
          <w:highlight w:val="none"/>
        </w:rPr>
      </w:pPr>
      <w:r>
        <w:rPr>
          <w:rFonts w:hint="eastAsia" w:cs="仿宋"/>
          <w:highlight w:val="none"/>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ind w:firstLine="426"/>
        <w:rPr>
          <w:rFonts w:cs="仿宋"/>
          <w:highlight w:val="none"/>
        </w:rPr>
      </w:pPr>
      <w:r>
        <w:rPr>
          <w:rFonts w:hint="eastAsia" w:cs="仿宋"/>
          <w:highlight w:val="non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1%的履约保证金。并且由承包人承担由此造成的损失和责任，由此导致的工期拖延，发包人不顺延工期。</w:t>
      </w:r>
    </w:p>
    <w:p>
      <w:pPr>
        <w:ind w:firstLine="426"/>
        <w:rPr>
          <w:rFonts w:cs="仿宋"/>
          <w:highlight w:val="none"/>
        </w:rPr>
      </w:pPr>
      <w:r>
        <w:rPr>
          <w:rFonts w:hint="eastAsia" w:cs="仿宋"/>
          <w:highlight w:val="none"/>
        </w:rPr>
        <w:t>47.3主材的相关要求：乙方提供的施工材料必须全部符合绿色环保规定要求，不得使用任何三无产品。施工时，必须按照响应文件中确定的材料进行，未经甲方同意不得更换已确定的装修材料。</w:t>
      </w:r>
    </w:p>
    <w:p>
      <w:pPr>
        <w:ind w:firstLine="426"/>
        <w:rPr>
          <w:rFonts w:cs="仿宋"/>
          <w:highlight w:val="none"/>
        </w:rPr>
      </w:pPr>
      <w:r>
        <w:rPr>
          <w:rFonts w:hint="eastAsia" w:cs="仿宋"/>
          <w:highlight w:val="none"/>
        </w:rPr>
        <w:t>47.4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ind w:firstLine="426"/>
        <w:rPr>
          <w:rFonts w:cs="仿宋"/>
          <w:highlight w:val="none"/>
        </w:rPr>
      </w:pPr>
      <w:r>
        <w:rPr>
          <w:rFonts w:hint="eastAsia" w:cs="仿宋"/>
          <w:highlight w:val="none"/>
        </w:rPr>
        <w:t>47.5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¥5000.00元/人/次（发包人要求除外），同时拟更换的人员须经发包人书面同意。</w:t>
      </w:r>
    </w:p>
    <w:p>
      <w:pPr>
        <w:ind w:firstLine="426"/>
        <w:rPr>
          <w:rFonts w:cs="仿宋"/>
          <w:highlight w:val="none"/>
        </w:rPr>
      </w:pPr>
      <w:r>
        <w:rPr>
          <w:rFonts w:hint="eastAsia" w:cs="仿宋"/>
          <w:highlight w:val="none"/>
        </w:rPr>
        <w:t>48、其他约定</w:t>
      </w:r>
    </w:p>
    <w:p>
      <w:pPr>
        <w:ind w:firstLine="426"/>
        <w:rPr>
          <w:rFonts w:cs="仿宋"/>
          <w:highlight w:val="none"/>
        </w:rPr>
      </w:pPr>
      <w:r>
        <w:rPr>
          <w:rFonts w:hint="eastAsia" w:cs="仿宋"/>
          <w:highlight w:val="none"/>
        </w:rPr>
        <w:t>48.1质量控制</w:t>
      </w:r>
    </w:p>
    <w:p>
      <w:pPr>
        <w:ind w:firstLine="426"/>
        <w:rPr>
          <w:rFonts w:cs="仿宋"/>
          <w:highlight w:val="none"/>
        </w:rPr>
      </w:pPr>
      <w:r>
        <w:rPr>
          <w:rFonts w:hint="eastAsia" w:cs="仿宋"/>
          <w:highlight w:val="none"/>
        </w:rPr>
        <w:t>（1）现行国家、住建部、浙江省及杭州市相关的施工及验收标准（规范）如有不一致时按就高原则采用。</w:t>
      </w:r>
    </w:p>
    <w:p>
      <w:pPr>
        <w:ind w:firstLine="426"/>
        <w:rPr>
          <w:rFonts w:cs="仿宋"/>
          <w:highlight w:val="none"/>
        </w:rPr>
      </w:pPr>
      <w:r>
        <w:rPr>
          <w:rFonts w:hint="eastAsia" w:cs="仿宋"/>
          <w:highlight w:val="none"/>
        </w:rPr>
        <w:t>（2）主要材料，尤其是影响到使用耐久性、使用舒适性、建筑美观性（如地砖、墙砖、外墙涂料等装修材料等）必须提供实物样品交发包人审核，审核通过后再按照样品进行采购、施工。</w:t>
      </w:r>
    </w:p>
    <w:p>
      <w:pPr>
        <w:ind w:firstLine="426"/>
        <w:rPr>
          <w:rFonts w:cs="仿宋"/>
          <w:highlight w:val="none"/>
        </w:rPr>
      </w:pPr>
      <w:r>
        <w:rPr>
          <w:rFonts w:hint="eastAsia" w:cs="仿宋"/>
          <w:highlight w:val="none"/>
        </w:rPr>
        <w:t>（3）加强现场质量管理，尤其是隐蔽工程，验收不合格不得进入下道工序。建设单位等现场检查过程中发现质量问题，将视情节严重程度，处以违约金（800元~1000元）等形式的处罚。类似问题重复发生或承包单位拒不整改、消极应付的，将处以双倍处罚，上报行业主管部门。</w:t>
      </w:r>
    </w:p>
    <w:p>
      <w:pPr>
        <w:ind w:firstLine="426"/>
        <w:rPr>
          <w:rFonts w:cs="仿宋"/>
          <w:highlight w:val="none"/>
        </w:rPr>
      </w:pPr>
      <w:r>
        <w:rPr>
          <w:rFonts w:hint="eastAsia" w:cs="仿宋"/>
          <w:highlight w:val="none"/>
        </w:rPr>
        <w:t>（4）防水区域施工，需严格进行蓄水试验，结构面完成时、防水涂料完成、装修面完成时各一次，并做好书面记录，有问题的及时整改，费用已包含在合同总价中。建设单位有权随时抽查，部分破坏性检查，不管是否合格，施工单位应无偿修复。</w:t>
      </w:r>
    </w:p>
    <w:p>
      <w:pPr>
        <w:ind w:firstLine="426"/>
        <w:rPr>
          <w:rFonts w:cs="仿宋"/>
          <w:highlight w:val="none"/>
        </w:rPr>
      </w:pPr>
      <w:r>
        <w:rPr>
          <w:rFonts w:hint="eastAsia" w:cs="仿宋"/>
          <w:highlight w:val="none"/>
        </w:rPr>
        <w:t>48.2安全、文明施工管理</w:t>
      </w:r>
    </w:p>
    <w:p>
      <w:pPr>
        <w:ind w:firstLine="426"/>
        <w:rPr>
          <w:rFonts w:cs="仿宋"/>
          <w:highlight w:val="none"/>
        </w:rPr>
      </w:pPr>
      <w:r>
        <w:rPr>
          <w:rFonts w:hint="eastAsia" w:cs="仿宋"/>
          <w:highlight w:val="none"/>
        </w:rPr>
        <w:t>（1）施工现场严格按照国家、省、市、区的相关要求落实安全文明施工措施。</w:t>
      </w:r>
    </w:p>
    <w:p>
      <w:pPr>
        <w:ind w:firstLine="426"/>
        <w:rPr>
          <w:rFonts w:cs="仿宋"/>
          <w:highlight w:val="none"/>
        </w:rPr>
      </w:pPr>
      <w:r>
        <w:rPr>
          <w:rFonts w:hint="eastAsia" w:cs="仿宋"/>
          <w:highlight w:val="none"/>
        </w:rPr>
        <w:t>（2）承包单位需综合考虑，在施工过程中，根据政府及主管部门要求，需要布置的宣传标语、海报等。如承包单位不执行，由建设单位负责实施，费用从履约保证金中扣除。</w:t>
      </w:r>
    </w:p>
    <w:p>
      <w:pPr>
        <w:ind w:firstLine="426"/>
        <w:rPr>
          <w:rFonts w:cs="仿宋"/>
          <w:highlight w:val="none"/>
        </w:rPr>
      </w:pPr>
      <w:r>
        <w:rPr>
          <w:rFonts w:hint="eastAsia" w:cs="仿宋"/>
          <w:highlight w:val="none"/>
        </w:rPr>
        <w:t>（3）建设单位（监理）、主管部门等现场检查过程中发现安全、文明施工问题，将视情节严重程度，处以违约金（800元~1000元）等形式的处罚。类似问题重复发生或施工单位拒不整改、消极应付的，将处以双倍处罚，并上报行业主管部门。</w:t>
      </w:r>
    </w:p>
    <w:p>
      <w:pPr>
        <w:ind w:firstLine="426"/>
        <w:rPr>
          <w:rFonts w:cs="仿宋"/>
          <w:highlight w:val="none"/>
        </w:rPr>
      </w:pPr>
      <w:r>
        <w:rPr>
          <w:rFonts w:hint="eastAsia" w:cs="仿宋"/>
          <w:highlight w:val="none"/>
        </w:rPr>
        <w:t>48.3进度控制</w:t>
      </w:r>
    </w:p>
    <w:p>
      <w:pPr>
        <w:ind w:firstLine="426"/>
        <w:rPr>
          <w:rFonts w:cs="仿宋"/>
          <w:highlight w:val="none"/>
        </w:rPr>
      </w:pPr>
      <w:r>
        <w:rPr>
          <w:rFonts w:hint="eastAsia" w:cs="仿宋"/>
          <w:highlight w:val="none"/>
        </w:rPr>
        <w:t>（1）自中标通知书发出后，承包单位积极开展前期准备时间。准备内容如下：原有设施设备拆除及搬运、搭设临时设施、通水、通电、安全围护，设置必要的安全标化、文明施工设施等。根据前期准备工作完成情况，发包人发布开工令。开工令发布后，因中标人原因导致不能如期开工的，工期不得索赔。</w:t>
      </w:r>
    </w:p>
    <w:p>
      <w:pPr>
        <w:ind w:firstLine="426"/>
        <w:rPr>
          <w:rFonts w:cs="仿宋"/>
          <w:highlight w:val="none"/>
        </w:rPr>
      </w:pPr>
      <w:r>
        <w:rPr>
          <w:rFonts w:hint="eastAsia" w:cs="仿宋"/>
          <w:highlight w:val="none"/>
        </w:rPr>
        <w:t>（2）中标单位认真研究图纸、踏勘施工现场、积极调度工程所需的人工、材料、设备。根据建设单位要求，编制切实可行的施工总进度计划。建设单位将根据施工总进度计划对施工进度按月考核。若滞后，需分析原因、研究对策，积极应对，采取增加人员、机械，优化现场管理等方式及时补救。若处置不积极，视情节严重程度，处以违约金（1000元~3000元）。</w:t>
      </w:r>
    </w:p>
    <w:p>
      <w:pPr>
        <w:ind w:firstLine="426"/>
        <w:rPr>
          <w:rFonts w:cs="仿宋"/>
          <w:highlight w:val="none"/>
        </w:rPr>
      </w:pPr>
      <w:r>
        <w:rPr>
          <w:rFonts w:hint="eastAsia" w:cs="仿宋"/>
          <w:highlight w:val="none"/>
        </w:rPr>
        <w:t>（3）因承包人原因造成工期延误，3天以内的按1000.00元人民币/天扣除工期延误费，3天以上的，则以上天数按2000.00元人民币/天计算。</w:t>
      </w:r>
    </w:p>
    <w:p>
      <w:pPr>
        <w:ind w:firstLine="426"/>
        <w:rPr>
          <w:rFonts w:cs="仿宋"/>
          <w:highlight w:val="none"/>
        </w:rPr>
      </w:pPr>
      <w:r>
        <w:rPr>
          <w:rFonts w:hint="eastAsia" w:cs="仿宋"/>
          <w:highlight w:val="none"/>
        </w:rPr>
        <w:t>48.4造价控制</w:t>
      </w:r>
    </w:p>
    <w:p>
      <w:pPr>
        <w:ind w:firstLine="426"/>
        <w:rPr>
          <w:rFonts w:cs="仿宋"/>
          <w:highlight w:val="none"/>
        </w:rPr>
      </w:pPr>
      <w:r>
        <w:rPr>
          <w:rFonts w:hint="eastAsia" w:cs="仿宋"/>
          <w:highlight w:val="none"/>
        </w:rPr>
        <w:t>（1）施工单位应现场实地踏勘，充分了解工程位置情况、场地情况、进出道路、储存空间、装卸限制及任何其它非业主主观原因引起的足以影响承包价的情况。任何因忽视或误解工程情况而导致的索赔、工期延长、费用増加的申请将不予受理。</w:t>
      </w:r>
    </w:p>
    <w:p>
      <w:pPr>
        <w:ind w:firstLine="426"/>
        <w:rPr>
          <w:rFonts w:cs="仿宋"/>
          <w:highlight w:val="none"/>
        </w:rPr>
      </w:pPr>
      <w:r>
        <w:rPr>
          <w:rFonts w:hint="eastAsia" w:cs="仿宋"/>
          <w:highlight w:val="none"/>
        </w:rPr>
        <w:t>（2）自行考虑解决施工用电费用，并列入清单中的其它项目。此项内容包含在合同总价中，投标人不报价视作投标优惠，结算时不做调整。</w:t>
      </w:r>
    </w:p>
    <w:p>
      <w:pPr>
        <w:ind w:firstLine="426"/>
        <w:rPr>
          <w:rFonts w:cs="仿宋"/>
          <w:highlight w:val="none"/>
        </w:rPr>
      </w:pPr>
      <w:r>
        <w:rPr>
          <w:rFonts w:hint="eastAsia" w:cs="仿宋"/>
          <w:highlight w:val="none"/>
        </w:rPr>
        <w:t>（3）承包人应仔细审查施工图纸，对图纸中错、漏、碰、缺及各专业图纸的相互矛盾等，应在施工前7天向监理、发包人提出，如未及时提出，承包人承担返工损失。承包人承诺不会擅自变更或按其中某种做法擅自施工，否则此部分工程量不予计量，且发包人有权要求承包人承担相应的经济损失或返工费用。</w:t>
      </w:r>
    </w:p>
    <w:p>
      <w:pPr>
        <w:ind w:firstLine="426"/>
        <w:rPr>
          <w:rFonts w:cs="仿宋"/>
          <w:highlight w:val="none"/>
        </w:rPr>
      </w:pPr>
      <w:r>
        <w:rPr>
          <w:rFonts w:hint="eastAsia" w:cs="仿宋"/>
          <w:highlight w:val="none"/>
        </w:rPr>
        <w:t>（4）所有涉及施工过程中的工程变更必须严格按相关文件精神审査批准后方可实施。逾期不报，原则上视为同意，费用不计。</w:t>
      </w:r>
    </w:p>
    <w:p>
      <w:pPr>
        <w:ind w:firstLine="426"/>
        <w:rPr>
          <w:rFonts w:cs="仿宋"/>
          <w:highlight w:val="none"/>
        </w:rPr>
      </w:pPr>
      <w:r>
        <w:rPr>
          <w:rFonts w:hint="eastAsia" w:cs="仿宋"/>
          <w:highlight w:val="none"/>
        </w:rPr>
        <w:t>（5）所有隐蔽工程都需保留影像资料，中标单位无法提供隐蔽影像资料的，由此造成的一切损失由中标单位承担。</w:t>
      </w:r>
    </w:p>
    <w:p>
      <w:pPr>
        <w:ind w:firstLine="426"/>
        <w:rPr>
          <w:rFonts w:cs="仿宋"/>
          <w:highlight w:val="none"/>
        </w:rPr>
      </w:pPr>
      <w:r>
        <w:rPr>
          <w:rFonts w:hint="eastAsia" w:cs="仿宋"/>
          <w:highlight w:val="none"/>
        </w:rPr>
        <w:t>48.5因承包人自身原因引起的工期延误，不给予人工、材料结算补差；因政策处理可能引起的工期延长，发包人只给予工期顺延补偿和人工、材料结算补差（人工、材料价格结算调整办法按照相关规定执行），不给予其他索赔的权利。承包人在施工过程中应及时提出书面工期顺延联系单（注明原因、时间、影响施工范围、工序等内容），经发包人签章确认后作为结算工期依据。结算时按工程开竣工报告日期和发包人核准的工期延误联系单计算工期和人工、材料补差费用。</w:t>
      </w:r>
    </w:p>
    <w:p>
      <w:pPr>
        <w:ind w:firstLine="426"/>
        <w:rPr>
          <w:rFonts w:cs="仿宋"/>
          <w:highlight w:val="none"/>
        </w:rPr>
      </w:pPr>
      <w:r>
        <w:rPr>
          <w:rFonts w:hint="eastAsia" w:cs="仿宋"/>
          <w:highlight w:val="none"/>
        </w:rPr>
        <w:t>48.6合同签订后应视为承包人已研究和察看工地及其四周环境；已清楚知道关于通往工地的现有道路或其他联络方法、储存空间、装卸限制、土地及工地的外形和性质、损毁周围建筑物的危险、挖掘的材料的性质、进行本工程所需的工程及材料的性质、所需的住宿；已取得影响其签订合同及进行本工程施工的资料。承包人不得以对上述事项了解不够充分而向发包人提出工期和费用索赔。</w:t>
      </w:r>
    </w:p>
    <w:p>
      <w:pPr>
        <w:ind w:firstLine="426"/>
        <w:rPr>
          <w:rFonts w:cs="仿宋"/>
          <w:highlight w:val="none"/>
        </w:rPr>
      </w:pPr>
      <w:r>
        <w:rPr>
          <w:rFonts w:hint="eastAsia" w:cs="仿宋"/>
          <w:highlight w:val="none"/>
        </w:rPr>
        <w:t>48.7本工程涉及的道路安全维护费用已在包含在总价中。</w:t>
      </w:r>
    </w:p>
    <w:p>
      <w:pPr>
        <w:ind w:firstLine="426"/>
        <w:rPr>
          <w:rFonts w:cs="仿宋"/>
          <w:highlight w:val="none"/>
        </w:rPr>
      </w:pPr>
      <w:r>
        <w:rPr>
          <w:rFonts w:hint="eastAsia" w:cs="仿宋"/>
          <w:highlight w:val="none"/>
        </w:rPr>
        <w:t>48.9组织措施、技术措施费用中标后一律不予调整。</w:t>
      </w:r>
    </w:p>
    <w:p>
      <w:pPr>
        <w:ind w:firstLine="426"/>
        <w:rPr>
          <w:rFonts w:cs="仿宋"/>
          <w:highlight w:val="none"/>
        </w:rPr>
      </w:pPr>
      <w:r>
        <w:rPr>
          <w:rFonts w:hint="eastAsia" w:cs="仿宋"/>
          <w:highlight w:val="none"/>
        </w:rPr>
        <w:t>48.10如因施工联系单发生工程量变更的情况，而承包人就此工程量变更有歧义的，承包人必须保证工程的施工，先行依据有效的技术核定单要求的变更工程量部分进行施工。如因变更的工程量产生歧义的，按实际发生的变更工程量进行计算。发包人有权以联系单形式根据工程实际情况增加或减少甚至删除相应的工程量，并按综合单价对总价进行相应调整，承包人不得以此为理由拒绝进行施工或要求发包人赔偿。</w:t>
      </w:r>
    </w:p>
    <w:p>
      <w:pPr>
        <w:ind w:firstLine="426"/>
        <w:rPr>
          <w:rFonts w:cs="仿宋"/>
          <w:highlight w:val="none"/>
        </w:rPr>
      </w:pPr>
      <w:r>
        <w:rPr>
          <w:rFonts w:hint="eastAsia" w:cs="仿宋"/>
          <w:highlight w:val="none"/>
        </w:rPr>
        <w:t>48.11承包人必须按期如实支付工人的劳动工资，进度款支付申请时必需提供上月农民工工资领用表。</w:t>
      </w:r>
    </w:p>
    <w:p>
      <w:pPr>
        <w:ind w:firstLine="426"/>
        <w:rPr>
          <w:rFonts w:cs="仿宋"/>
          <w:highlight w:val="none"/>
        </w:rPr>
      </w:pPr>
      <w:r>
        <w:rPr>
          <w:rFonts w:hint="eastAsia" w:cs="仿宋"/>
          <w:highlight w:val="none"/>
        </w:rPr>
        <w:t>48.12任何第三方就承包人使用于本合同项下的设备、材料、软件、技术文件和接受服务提出有关专利权、著作权、工业产权以及其他专属权利的侵权指控，均由承包人负责处理并承担一切经济和法律责任，包括发包人由此遭受的经济和法律上的损失。</w:t>
      </w:r>
    </w:p>
    <w:p>
      <w:pPr>
        <w:ind w:firstLine="426"/>
        <w:rPr>
          <w:rFonts w:cs="仿宋"/>
          <w:highlight w:val="none"/>
        </w:rPr>
      </w:pPr>
      <w:r>
        <w:rPr>
          <w:rFonts w:hint="eastAsia" w:cs="仿宋"/>
          <w:highlight w:val="none"/>
        </w:rPr>
        <w:t>48.13中标工期即为合同工期。自中标通知书发出之日起七日内作为中标人自行完成工程开工前的前期准备时间。准备内容如下：搭设临时设施、通水、通电、安全围护，设置必要的安全标化、文明施工设施等开工前的前期准备工作。根据发包人必备开工条件的情况由发包人发布开工令，开工令发布后，因中标人原因未具备开工条件，工期不得索赔。</w:t>
      </w:r>
    </w:p>
    <w:p>
      <w:pPr>
        <w:ind w:firstLine="426"/>
        <w:rPr>
          <w:rFonts w:cs="仿宋"/>
          <w:highlight w:val="none"/>
        </w:rPr>
      </w:pPr>
      <w:r>
        <w:rPr>
          <w:rFonts w:hint="eastAsia" w:cs="仿宋"/>
          <w:highlight w:val="none"/>
        </w:rPr>
        <w:t>48.14承包人应加强对本工程项目部的日常管理，保证项目部为本项目实施所需一切资源。</w:t>
      </w:r>
    </w:p>
    <w:p>
      <w:pPr>
        <w:ind w:firstLine="426"/>
        <w:rPr>
          <w:highlight w:val="none"/>
        </w:rPr>
      </w:pPr>
      <w:r>
        <w:rPr>
          <w:rFonts w:hint="eastAsia" w:cs="仿宋"/>
          <w:highlight w:val="none"/>
        </w:rPr>
        <w:t>48.15现行国家、住建部、浙江省、杭州市相关的施工及验收标准、规范及以上所有条款如有不一致时按标准高的原则采用。</w:t>
      </w:r>
    </w:p>
    <w:p>
      <w:pPr>
        <w:ind w:firstLine="0" w:firstLineChars="0"/>
        <w:rPr>
          <w:b/>
          <w:bCs/>
          <w:highlight w:val="none"/>
        </w:rPr>
      </w:pPr>
      <w:r>
        <w:rPr>
          <w:rFonts w:hint="eastAsia"/>
          <w:b/>
          <w:bCs/>
          <w:highlight w:val="none"/>
        </w:rPr>
        <w:t>协议书附件：</w:t>
      </w:r>
    </w:p>
    <w:p>
      <w:pPr>
        <w:ind w:firstLine="0" w:firstLineChars="0"/>
        <w:rPr>
          <w:highlight w:val="none"/>
        </w:rPr>
      </w:pPr>
      <w:r>
        <w:rPr>
          <w:rFonts w:hint="eastAsia"/>
          <w:highlight w:val="none"/>
        </w:rPr>
        <w:t>附件1：工程质量保修书</w:t>
      </w:r>
    </w:p>
    <w:p>
      <w:pPr>
        <w:ind w:firstLine="0" w:firstLineChars="0"/>
        <w:rPr>
          <w:highlight w:val="none"/>
        </w:rPr>
      </w:pPr>
      <w:r>
        <w:rPr>
          <w:rFonts w:hint="eastAsia"/>
          <w:highlight w:val="none"/>
        </w:rPr>
        <w:t>附件2：安全生产责任协议书</w:t>
      </w:r>
    </w:p>
    <w:p>
      <w:pPr>
        <w:ind w:firstLine="0" w:firstLineChars="0"/>
        <w:rPr>
          <w:highlight w:val="none"/>
        </w:rPr>
      </w:pPr>
      <w:r>
        <w:rPr>
          <w:rFonts w:hint="eastAsia"/>
          <w:highlight w:val="none"/>
        </w:rPr>
        <w:t>附件3：文明施工责任协议书</w:t>
      </w:r>
    </w:p>
    <w:p>
      <w:pPr>
        <w:ind w:firstLine="0" w:firstLineChars="0"/>
        <w:rPr>
          <w:highlight w:val="none"/>
        </w:rPr>
      </w:pPr>
      <w:r>
        <w:rPr>
          <w:rFonts w:hint="eastAsia"/>
          <w:highlight w:val="none"/>
        </w:rPr>
        <w:t>附件4：建设工程廉洁协议书</w:t>
      </w:r>
    </w:p>
    <w:p>
      <w:pPr>
        <w:ind w:firstLine="0" w:firstLineChars="0"/>
        <w:rPr>
          <w:rFonts w:cs="Calibri"/>
          <w:color w:val="000000"/>
          <w:highlight w:val="none"/>
        </w:rPr>
      </w:pPr>
      <w:r>
        <w:rPr>
          <w:rFonts w:hint="eastAsia"/>
          <w:highlight w:val="none"/>
        </w:rPr>
        <w:br w:type="page"/>
      </w:r>
      <w:r>
        <w:rPr>
          <w:rFonts w:hint="eastAsia"/>
          <w:b/>
          <w:bCs/>
          <w:sz w:val="24"/>
          <w:szCs w:val="22"/>
          <w:highlight w:val="none"/>
        </w:rPr>
        <w:t>附件1</w:t>
      </w:r>
    </w:p>
    <w:p>
      <w:pPr>
        <w:ind w:firstLine="0" w:firstLineChars="0"/>
        <w:jc w:val="center"/>
        <w:rPr>
          <w:rFonts w:ascii="宋体" w:hAnsi="宋体" w:cs="宋体"/>
          <w:b/>
          <w:bCs/>
          <w:color w:val="000000"/>
          <w:kern w:val="2"/>
          <w:sz w:val="24"/>
          <w:szCs w:val="36"/>
          <w:highlight w:val="none"/>
        </w:rPr>
      </w:pPr>
      <w:r>
        <w:rPr>
          <w:rFonts w:hint="eastAsia"/>
          <w:b/>
          <w:bCs/>
          <w:sz w:val="24"/>
          <w:szCs w:val="22"/>
          <w:highlight w:val="none"/>
        </w:rPr>
        <w:t>工程质量保修书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color w:val="000000"/>
          <w:kern w:val="2"/>
          <w:szCs w:val="24"/>
          <w:highlight w:val="non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发包人和承包人根据《中华人民共和国建筑法》和《建设工程质量管理条例》，经协商一致就</w:t>
      </w:r>
      <w:r>
        <w:rPr>
          <w:rFonts w:hint="eastAsia" w:ascii="宋体" w:hAnsi="宋体" w:cs="宋体"/>
          <w:kern w:val="2"/>
          <w:szCs w:val="24"/>
          <w:highlight w:val="none"/>
          <w:u w:val="single"/>
        </w:rPr>
        <w:t xml:space="preserve"> 杭州科技职业学院翠苑校区教学及辅助设施修缮工程 </w:t>
      </w:r>
      <w:r>
        <w:rPr>
          <w:rFonts w:hint="eastAsia" w:ascii="宋体" w:hAnsi="宋体" w:cs="宋体"/>
          <w:color w:val="000000"/>
          <w:kern w:val="2"/>
          <w:szCs w:val="24"/>
          <w:highlight w:val="none"/>
        </w:rPr>
        <w:t>（工程全称）签订工程质量保修书。</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一、工程质量保修范围和内容</w:t>
      </w:r>
    </w:p>
    <w:p>
      <w:pPr>
        <w:snapToGrid w:val="0"/>
        <w:ind w:firstLine="426"/>
        <w:rPr>
          <w:rFonts w:cs="Calibri"/>
          <w:color w:val="000000"/>
          <w:highlight w:val="none"/>
        </w:rPr>
      </w:pPr>
      <w:r>
        <w:rPr>
          <w:rFonts w:cs="Calibri"/>
          <w:color w:val="000000"/>
          <w:highlight w:val="none"/>
        </w:rPr>
        <w:t>承包人在质量保修期内，按照有关法律规定和合同约定，承担工程质量保修责任。</w:t>
      </w:r>
    </w:p>
    <w:p>
      <w:pPr>
        <w:snapToGrid w:val="0"/>
        <w:ind w:firstLine="426"/>
        <w:jc w:val="left"/>
        <w:rPr>
          <w:rFonts w:cs="Calibri"/>
          <w:color w:val="000000"/>
          <w:highlight w:val="none"/>
        </w:rPr>
      </w:pPr>
      <w:r>
        <w:rPr>
          <w:rFonts w:cs="Calibri"/>
          <w:color w:val="00000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cs="Calibri"/>
          <w:color w:val="000000"/>
          <w:highlight w:val="none"/>
          <w:u w:val="single"/>
        </w:rPr>
        <w:t xml:space="preserve">             </w:t>
      </w:r>
      <w:r>
        <w:rPr>
          <w:rFonts w:cs="Calibri"/>
          <w:color w:val="000000"/>
          <w:highlight w:val="none"/>
        </w:rPr>
        <w:t>。</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二、质量保修期</w:t>
      </w:r>
    </w:p>
    <w:p>
      <w:pPr>
        <w:snapToGrid w:val="0"/>
        <w:ind w:firstLine="426"/>
        <w:rPr>
          <w:rFonts w:cs="Calibri"/>
          <w:color w:val="000000"/>
          <w:highlight w:val="none"/>
        </w:rPr>
      </w:pPr>
      <w:r>
        <w:rPr>
          <w:rFonts w:cs="Calibri"/>
          <w:color w:val="000000"/>
          <w:highlight w:val="none"/>
        </w:rPr>
        <w:t>根据《建设工程质量管理条例》及有关规定，工程的质量保修期如下：</w:t>
      </w:r>
    </w:p>
    <w:p>
      <w:pPr>
        <w:snapToGrid w:val="0"/>
        <w:ind w:firstLine="426"/>
        <w:rPr>
          <w:rFonts w:cs="Calibri"/>
          <w:color w:val="000000"/>
          <w:highlight w:val="none"/>
        </w:rPr>
      </w:pPr>
      <w:r>
        <w:rPr>
          <w:rFonts w:cs="Calibri"/>
          <w:color w:val="000000"/>
          <w:highlight w:val="none"/>
        </w:rPr>
        <w:t>1．地基基础工程和主体结构工程为设计文件规定的工程合理使用年限；</w:t>
      </w:r>
    </w:p>
    <w:p>
      <w:pPr>
        <w:snapToGrid w:val="0"/>
        <w:ind w:firstLine="426"/>
        <w:rPr>
          <w:rFonts w:cs="Calibri"/>
          <w:color w:val="000000"/>
          <w:highlight w:val="none"/>
        </w:rPr>
      </w:pPr>
      <w:r>
        <w:rPr>
          <w:rFonts w:cs="Calibri"/>
          <w:color w:val="000000"/>
          <w:highlight w:val="none"/>
        </w:rPr>
        <w:t>2．屋面防水工程、有防水要求的卫生间、房间和外墙面的防渗为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3．装修工程为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4．电气管线、给排水管道、设备安装工程为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5．供热与供冷系统为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个采暖期、供冷期；</w:t>
      </w:r>
    </w:p>
    <w:p>
      <w:pPr>
        <w:snapToGrid w:val="0"/>
        <w:ind w:firstLine="426"/>
        <w:rPr>
          <w:rFonts w:cs="Calibri"/>
          <w:color w:val="000000"/>
          <w:highlight w:val="none"/>
        </w:rPr>
      </w:pPr>
      <w:r>
        <w:rPr>
          <w:rFonts w:cs="Calibri"/>
          <w:color w:val="000000"/>
          <w:highlight w:val="none"/>
        </w:rPr>
        <w:t>6．住宅小区内的给排水设施、道路等配套工程为</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7．其他项目保修期限约定如下：</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p>
    <w:p>
      <w:pPr>
        <w:ind w:firstLine="426"/>
        <w:rPr>
          <w:rFonts w:ascii="宋体" w:hAnsi="宋体" w:cs="宋体"/>
          <w:color w:val="000000"/>
          <w:kern w:val="2"/>
          <w:szCs w:val="24"/>
          <w:highlight w:val="none"/>
        </w:rPr>
      </w:pPr>
      <w:r>
        <w:rPr>
          <w:rFonts w:cs="Calibri"/>
          <w:color w:val="000000"/>
          <w:highlight w:val="none"/>
        </w:rPr>
        <w:t>质量保修期自工程竣工验收合格之日起计算。</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三、缺陷责任期</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工程缺陷责任期为</w:t>
      </w:r>
      <w:r>
        <w:rPr>
          <w:rFonts w:hint="eastAsia" w:ascii="宋体" w:hAnsi="宋体" w:cs="宋体"/>
          <w:color w:val="000000"/>
          <w:kern w:val="2"/>
          <w:szCs w:val="24"/>
          <w:highlight w:val="none"/>
          <w:u w:val="single"/>
        </w:rPr>
        <w:t xml:space="preserve"> </w:t>
      </w:r>
      <w:r>
        <w:rPr>
          <w:rFonts w:hint="eastAsia" w:cs="仿宋"/>
          <w:color w:val="000000"/>
          <w:kern w:val="2"/>
          <w:szCs w:val="24"/>
          <w:highlight w:val="none"/>
          <w:u w:val="single"/>
        </w:rPr>
        <w:t xml:space="preserve"> 24</w:t>
      </w:r>
      <w:r>
        <w:rPr>
          <w:rFonts w:hint="eastAsia" w:ascii="宋体" w:hAnsi="宋体" w:cs="宋体"/>
          <w:color w:val="000000"/>
          <w:kern w:val="2"/>
          <w:szCs w:val="24"/>
          <w:highlight w:val="none"/>
          <w:u w:val="single"/>
        </w:rPr>
        <w:t xml:space="preserve">  </w:t>
      </w:r>
      <w:r>
        <w:rPr>
          <w:rFonts w:hint="eastAsia" w:ascii="宋体" w:hAnsi="宋体" w:cs="宋体"/>
          <w:color w:val="000000"/>
          <w:kern w:val="2"/>
          <w:szCs w:val="24"/>
          <w:highlight w:val="none"/>
        </w:rPr>
        <w:t>个月，缺陷责任期自工程竣工验收合格之日起计算。单位工程先于全部工程进行验收，单位工程缺陷责任期自单位工程验收合格之日期起算。</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四、质量保修责任</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1．属于保修范围、内容的项目，承包人应当在接到保修通知之日起7天内派人保修。承包人不在约定期限内派人保修的，发包人可以委托他人修理。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2．发生紧急事故需抢修的，承包人在接到事故通知后，应当立即到达事故现场抢修。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4．质量保修完成后，由发包人组织验收。</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五、保修费用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保修费用由造成质量缺陷的责任方承担。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六、双方约定的其他工程质量保修事项：</w:t>
      </w:r>
      <w:r>
        <w:rPr>
          <w:rFonts w:hint="eastAsia" w:ascii="宋体" w:hAnsi="宋体" w:cs="宋体"/>
          <w:color w:val="000000"/>
          <w:kern w:val="2"/>
          <w:szCs w:val="24"/>
          <w:highlight w:val="none"/>
          <w:u w:val="single"/>
        </w:rPr>
        <w:t xml:space="preserve">               </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工程质量保修书由发包人、承包人在工程竣工验收前共同签署，作为施工合同附件，其有效期限至保修期满。</w:t>
      </w:r>
    </w:p>
    <w:p>
      <w:pPr>
        <w:ind w:firstLine="426"/>
        <w:rPr>
          <w:rFonts w:ascii="宋体" w:hAnsi="宋体" w:cs="宋体"/>
          <w:color w:val="000000"/>
          <w:kern w:val="2"/>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snapToGrid w:val="0"/>
        <w:spacing w:line="300" w:lineRule="auto"/>
        <w:ind w:firstLine="426"/>
        <w:rPr>
          <w:rFonts w:cs="Calibri"/>
          <w:color w:val="000000"/>
          <w:highlight w:val="none"/>
        </w:rPr>
      </w:pPr>
    </w:p>
    <w:p>
      <w:pPr>
        <w:ind w:firstLine="0" w:firstLineChars="0"/>
        <w:jc w:val="left"/>
        <w:rPr>
          <w:b/>
          <w:bCs/>
          <w:sz w:val="24"/>
          <w:szCs w:val="22"/>
          <w:highlight w:val="none"/>
        </w:rPr>
      </w:pPr>
      <w:r>
        <w:rPr>
          <w:rFonts w:cs="Calibri"/>
          <w:color w:val="000000"/>
          <w:highlight w:val="none"/>
        </w:rPr>
        <w:br w:type="page"/>
      </w:r>
      <w:r>
        <w:rPr>
          <w:rFonts w:hint="eastAsia"/>
          <w:b/>
          <w:bCs/>
          <w:sz w:val="24"/>
          <w:szCs w:val="22"/>
          <w:highlight w:val="none"/>
        </w:rPr>
        <w:t>附件2</w:t>
      </w:r>
    </w:p>
    <w:p>
      <w:pPr>
        <w:ind w:firstLine="0" w:firstLineChars="0"/>
        <w:jc w:val="center"/>
        <w:rPr>
          <w:b/>
          <w:bCs/>
          <w:sz w:val="24"/>
          <w:szCs w:val="22"/>
          <w:highlight w:val="none"/>
        </w:rPr>
      </w:pPr>
      <w:r>
        <w:rPr>
          <w:rFonts w:hint="eastAsia"/>
          <w:b/>
          <w:bCs/>
          <w:sz w:val="24"/>
          <w:szCs w:val="22"/>
          <w:highlight w:val="none"/>
        </w:rPr>
        <w:t>安全生产责任协议书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color w:val="000000"/>
          <w:kern w:val="2"/>
          <w:szCs w:val="24"/>
          <w:highlight w:val="non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rPr>
        <w:t>杭州科技职业学院翠苑校区教学及辅助设施修缮工程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为落实安全生产的管理要求，确保工程建设的顺利进行，按《杭州市建设工程安全生产、文明施工标准化样板工地管理办法》和《浙江省建筑安全文明施工标准化工地管理办法》（</w:t>
      </w:r>
      <w:r>
        <w:rPr>
          <w:rFonts w:hint="eastAsia" w:cs="仿宋"/>
          <w:color w:val="000000"/>
          <w:kern w:val="2"/>
          <w:szCs w:val="24"/>
          <w:highlight w:val="none"/>
        </w:rPr>
        <w:t>浙建建[2005]41号）</w:t>
      </w:r>
      <w:r>
        <w:rPr>
          <w:rFonts w:hint="eastAsia" w:ascii="宋体" w:hAnsi="宋体" w:cs="宋体"/>
          <w:color w:val="000000"/>
          <w:kern w:val="2"/>
          <w:szCs w:val="24"/>
          <w:highlight w:val="none"/>
        </w:rPr>
        <w:t>规定，甲乙双方共同协商，一致同意如下：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二、发包人应积极组织和督促承包人开展安全达标活动，及时传达和部署上级的有关安全生产精神和要求，定期听取承包人的意见和要求。加强安全生产的指导和协调。</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责任违约的经济处理的约定：</w:t>
      </w:r>
      <w:r>
        <w:rPr>
          <w:rFonts w:hint="eastAsia" w:ascii="宋体" w:hAnsi="宋体" w:cs="宋体"/>
          <w:color w:val="000000"/>
          <w:kern w:val="2"/>
          <w:szCs w:val="24"/>
          <w:highlight w:val="none"/>
          <w:u w:val="single"/>
        </w:rPr>
        <w:t>依据国家和地方相关法律法规、政策、规定、制度以及本工程施工合同执行</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七、承包人进入工地后应明确落实施工现场安全生产第一责任人。根据建设部办公厅</w:t>
      </w:r>
      <w:r>
        <w:rPr>
          <w:rFonts w:hint="eastAsia" w:cs="仿宋"/>
          <w:color w:val="000000"/>
          <w:kern w:val="2"/>
          <w:szCs w:val="24"/>
          <w:highlight w:val="none"/>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w:t>
      </w:r>
      <w:r>
        <w:rPr>
          <w:rFonts w:hint="eastAsia" w:ascii="宋体" w:hAnsi="宋体" w:cs="宋体"/>
          <w:color w:val="000000"/>
          <w:kern w:val="2"/>
          <w:szCs w:val="24"/>
          <w:highlight w:val="none"/>
        </w:rPr>
        <w:t>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九、承包人要按照“安全自查，隐患自改、责任自负”的原则加强对施工责任区的日常安全检查。及时制止和处理各类违章违法行为。对查获的隐患要及时落实整改措施，消除隐患。</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十二、</w:t>
      </w:r>
      <w:r>
        <w:rPr>
          <w:rFonts w:hint="eastAsia" w:ascii="宋体" w:hAnsi="宋体" w:cs="宋体"/>
          <w:color w:val="000000"/>
          <w:kern w:val="2"/>
          <w:szCs w:val="24"/>
          <w:highlight w:val="none"/>
          <w:u w:val="single"/>
        </w:rPr>
        <w:t>承包人须参加由发包人召集的每周一次的工程工作列会，对工程进度、工程质量、安全施工等情况向会议进行汇报，并接受发包人和监理单位的安全检查</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十三、</w:t>
      </w:r>
      <w:r>
        <w:rPr>
          <w:rFonts w:hint="eastAsia" w:ascii="宋体" w:hAnsi="宋体" w:cs="宋体"/>
          <w:color w:val="000000"/>
          <w:kern w:val="2"/>
          <w:szCs w:val="24"/>
          <w:highlight w:val="none"/>
          <w:u w:val="single"/>
        </w:rPr>
        <w:t>承包人不准将工程项目进行整体转包</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十四、</w:t>
      </w:r>
      <w:r>
        <w:rPr>
          <w:rFonts w:hint="eastAsia" w:ascii="宋体" w:hAnsi="宋体" w:cs="宋体"/>
          <w:color w:val="000000"/>
          <w:kern w:val="2"/>
          <w:szCs w:val="24"/>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十五、</w:t>
      </w:r>
      <w:r>
        <w:rPr>
          <w:rFonts w:hint="eastAsia" w:ascii="宋体" w:hAnsi="宋体" w:cs="宋体"/>
          <w:color w:val="000000"/>
          <w:kern w:val="2"/>
          <w:szCs w:val="24"/>
          <w:highlight w:val="none"/>
          <w:u w:val="single"/>
        </w:rPr>
        <w:t>承包人须为施工作业人员缴纳相关保险，并在合同签订之日起的10个工作日内将缴纳保险凭证复印件交发包人</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十六、本协议中未涉及的有关条款，甲乙双方可根据需要协商补充修改。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如遇有国家和本市的有关法规不符的，应按国家和本市的有关法规执行。</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十七、本协议作为甲乙双方工程承包合同的附件，在工程承包合同签约后生效，与工程承包合同具有同等法律效力。工程承包合同期满，本协议终止。</w:t>
      </w:r>
    </w:p>
    <w:p>
      <w:pPr>
        <w:pStyle w:val="112"/>
        <w:ind w:firstLine="484" w:firstLineChars="200"/>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ind w:firstLine="0" w:firstLineChars="0"/>
        <w:jc w:val="left"/>
        <w:rPr>
          <w:b/>
          <w:bCs/>
          <w:sz w:val="24"/>
          <w:szCs w:val="22"/>
          <w:highlight w:val="none"/>
        </w:rPr>
      </w:pPr>
      <w:r>
        <w:rPr>
          <w:rFonts w:hint="eastAsia"/>
          <w:color w:val="000000"/>
          <w:kern w:val="2"/>
          <w:szCs w:val="24"/>
          <w:highlight w:val="none"/>
        </w:rPr>
        <w:br w:type="page"/>
      </w:r>
      <w:r>
        <w:rPr>
          <w:rFonts w:hint="eastAsia"/>
          <w:b/>
          <w:bCs/>
          <w:sz w:val="24"/>
          <w:szCs w:val="22"/>
          <w:highlight w:val="none"/>
        </w:rPr>
        <w:t>附件3</w:t>
      </w:r>
    </w:p>
    <w:p>
      <w:pPr>
        <w:ind w:firstLine="0" w:firstLineChars="0"/>
        <w:jc w:val="center"/>
        <w:rPr>
          <w:b/>
          <w:bCs/>
          <w:sz w:val="24"/>
          <w:szCs w:val="22"/>
          <w:highlight w:val="none"/>
        </w:rPr>
      </w:pPr>
      <w:r>
        <w:rPr>
          <w:rFonts w:hint="eastAsia"/>
          <w:b/>
          <w:bCs/>
          <w:sz w:val="24"/>
          <w:szCs w:val="22"/>
          <w:highlight w:val="none"/>
        </w:rPr>
        <w:t>文明施工责任协议书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kern w:val="2"/>
          <w:szCs w:val="24"/>
          <w:highlight w:val="none"/>
          <w:u w:val="singl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rPr>
        <w:t>杭州科技职业学院翠苑校区教学及辅助设施修缮工程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为认真做好工程建设施工区域内的文明施工，现经甲、乙双方协商同意，明确在文明施工和文明施工管理中的各自职责，并签订如下协议。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三、乙方应遵守如下规定：</w:t>
      </w:r>
    </w:p>
    <w:p>
      <w:pPr>
        <w:ind w:firstLine="426"/>
        <w:rPr>
          <w:rFonts w:cs="仿宋"/>
          <w:color w:val="000000"/>
          <w:kern w:val="2"/>
          <w:szCs w:val="24"/>
          <w:highlight w:val="none"/>
        </w:rPr>
      </w:pPr>
      <w:r>
        <w:rPr>
          <w:rFonts w:hint="eastAsia" w:cs="仿宋"/>
          <w:color w:val="000000"/>
          <w:kern w:val="2"/>
          <w:szCs w:val="24"/>
          <w:highlight w:val="none"/>
        </w:rPr>
        <w:t>1、根据工程的特点，编制文明施工实施方案，在开工前5日内，将文明施工实施方案报甲方和市安全监督部门备案。</w:t>
      </w:r>
    </w:p>
    <w:p>
      <w:pPr>
        <w:ind w:firstLine="426"/>
        <w:rPr>
          <w:rFonts w:cs="仿宋"/>
          <w:color w:val="000000"/>
          <w:kern w:val="2"/>
          <w:szCs w:val="24"/>
          <w:highlight w:val="none"/>
        </w:rPr>
      </w:pPr>
      <w:r>
        <w:rPr>
          <w:rFonts w:hint="eastAsia" w:cs="仿宋"/>
          <w:color w:val="000000"/>
          <w:kern w:val="2"/>
          <w:szCs w:val="24"/>
          <w:highlight w:val="none"/>
        </w:rPr>
        <w:t>2、乙方按有关规定专项包干使用文明施工费，不得挪作他用。</w:t>
      </w:r>
    </w:p>
    <w:p>
      <w:pPr>
        <w:ind w:firstLine="426"/>
        <w:rPr>
          <w:rFonts w:cs="仿宋"/>
          <w:color w:val="000000"/>
          <w:kern w:val="2"/>
          <w:szCs w:val="24"/>
          <w:highlight w:val="none"/>
        </w:rPr>
      </w:pPr>
      <w:r>
        <w:rPr>
          <w:rFonts w:hint="eastAsia" w:cs="仿宋"/>
          <w:color w:val="000000"/>
          <w:kern w:val="2"/>
          <w:szCs w:val="24"/>
          <w:highlight w:val="none"/>
        </w:rPr>
        <w:t>3、工地应设置专职文明施工安全员，做到佩证上岗、动态管理，及时收集、记录、整理、管理台帐等技术资料。</w:t>
      </w:r>
    </w:p>
    <w:p>
      <w:pPr>
        <w:ind w:firstLine="426"/>
        <w:rPr>
          <w:rFonts w:cs="仿宋"/>
          <w:color w:val="000000"/>
          <w:kern w:val="2"/>
          <w:szCs w:val="24"/>
          <w:highlight w:val="none"/>
        </w:rPr>
      </w:pPr>
      <w:r>
        <w:rPr>
          <w:rFonts w:hint="eastAsia" w:cs="仿宋"/>
          <w:color w:val="000000"/>
          <w:kern w:val="2"/>
          <w:szCs w:val="24"/>
          <w:highlight w:val="none"/>
        </w:rPr>
        <w:t>4、施工现场应按文明施工安全生产的要求，设置各项临时设施，并达到下列要求：</w:t>
      </w:r>
    </w:p>
    <w:p>
      <w:pPr>
        <w:ind w:firstLine="426"/>
        <w:rPr>
          <w:rFonts w:cs="仿宋"/>
          <w:color w:val="000000"/>
          <w:kern w:val="2"/>
          <w:szCs w:val="24"/>
          <w:highlight w:val="none"/>
        </w:rPr>
      </w:pPr>
      <w:r>
        <w:rPr>
          <w:rFonts w:hint="eastAsia" w:cs="仿宋"/>
          <w:color w:val="000000"/>
          <w:kern w:val="2"/>
          <w:szCs w:val="24"/>
          <w:highlight w:val="none"/>
        </w:rPr>
        <w:t>（1）施工区域与非施工区域严格分隔。</w:t>
      </w:r>
    </w:p>
    <w:p>
      <w:pPr>
        <w:ind w:firstLine="426"/>
        <w:rPr>
          <w:rFonts w:cs="仿宋"/>
          <w:color w:val="000000"/>
          <w:kern w:val="2"/>
          <w:szCs w:val="24"/>
          <w:highlight w:val="none"/>
        </w:rPr>
      </w:pPr>
      <w:r>
        <w:rPr>
          <w:rFonts w:hint="eastAsia" w:cs="仿宋"/>
          <w:color w:val="000000"/>
          <w:kern w:val="2"/>
          <w:szCs w:val="24"/>
          <w:highlight w:val="none"/>
        </w:rPr>
        <w:t>（2）施工区域内应设置能保证施工安全的夜间照明和警示标志，并采取安全防护措施。</w:t>
      </w:r>
    </w:p>
    <w:p>
      <w:pPr>
        <w:ind w:firstLine="426"/>
        <w:rPr>
          <w:rFonts w:cs="仿宋"/>
          <w:color w:val="000000"/>
          <w:kern w:val="2"/>
          <w:szCs w:val="24"/>
          <w:highlight w:val="none"/>
        </w:rPr>
      </w:pPr>
      <w:r>
        <w:rPr>
          <w:rFonts w:hint="eastAsia" w:cs="仿宋"/>
          <w:color w:val="000000"/>
          <w:kern w:val="2"/>
          <w:szCs w:val="24"/>
          <w:highlight w:val="none"/>
        </w:rPr>
        <w:t>（3）各类材料、机具设备按工地总平面图的布置，在固定场地整齐堆放，不得侵占场内道路及安全防护等设施。</w:t>
      </w:r>
    </w:p>
    <w:p>
      <w:pPr>
        <w:ind w:firstLine="426"/>
        <w:rPr>
          <w:rFonts w:cs="仿宋"/>
          <w:color w:val="000000"/>
          <w:kern w:val="2"/>
          <w:szCs w:val="24"/>
          <w:highlight w:val="none"/>
        </w:rPr>
      </w:pPr>
      <w:r>
        <w:rPr>
          <w:rFonts w:hint="eastAsia" w:cs="仿宋"/>
          <w:color w:val="000000"/>
          <w:kern w:val="2"/>
          <w:szCs w:val="24"/>
          <w:highlight w:val="none"/>
        </w:rPr>
        <w:t>（4）其他要求：</w:t>
      </w:r>
    </w:p>
    <w:p>
      <w:pPr>
        <w:ind w:firstLine="426"/>
        <w:rPr>
          <w:rFonts w:cs="仿宋"/>
          <w:color w:val="000000"/>
          <w:kern w:val="2"/>
          <w:szCs w:val="24"/>
          <w:highlight w:val="none"/>
        </w:rPr>
      </w:pPr>
      <w:r>
        <w:rPr>
          <w:rFonts w:hint="eastAsia" w:cs="仿宋"/>
          <w:color w:val="000000"/>
          <w:kern w:val="2"/>
          <w:szCs w:val="24"/>
          <w:highlight w:val="none"/>
        </w:rPr>
        <w:t>5、工地民工宿舍应符合卫生要求和居住条件，地面应用砼硬化，照明电线敷设应符合规范，不得任意拉线接电。宿舍应保持整洁有序，不得男女混杂居住及居住与施工无关的人员。</w:t>
      </w:r>
    </w:p>
    <w:p>
      <w:pPr>
        <w:ind w:firstLine="426"/>
        <w:rPr>
          <w:rFonts w:cs="仿宋"/>
          <w:color w:val="000000"/>
          <w:kern w:val="2"/>
          <w:szCs w:val="24"/>
          <w:highlight w:val="none"/>
        </w:rPr>
      </w:pPr>
      <w:r>
        <w:rPr>
          <w:rFonts w:hint="eastAsia" w:cs="仿宋"/>
          <w:color w:val="000000"/>
          <w:kern w:val="2"/>
          <w:szCs w:val="24"/>
          <w:highlight w:val="none"/>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ind w:firstLine="426"/>
        <w:rPr>
          <w:rFonts w:cs="仿宋"/>
          <w:color w:val="000000"/>
          <w:kern w:val="2"/>
          <w:szCs w:val="24"/>
          <w:highlight w:val="none"/>
        </w:rPr>
      </w:pPr>
      <w:r>
        <w:rPr>
          <w:rFonts w:hint="eastAsia" w:cs="仿宋"/>
          <w:color w:val="000000"/>
          <w:kern w:val="2"/>
          <w:szCs w:val="24"/>
          <w:highlight w:val="none"/>
        </w:rPr>
        <w:t>施工现场应设置茶桶、保障茶水供应。</w:t>
      </w:r>
    </w:p>
    <w:p>
      <w:pPr>
        <w:ind w:firstLine="426"/>
        <w:rPr>
          <w:rFonts w:cs="仿宋"/>
          <w:color w:val="000000"/>
          <w:kern w:val="2"/>
          <w:szCs w:val="24"/>
          <w:highlight w:val="none"/>
        </w:rPr>
      </w:pPr>
      <w:r>
        <w:rPr>
          <w:rFonts w:hint="eastAsia" w:cs="仿宋"/>
          <w:color w:val="000000"/>
          <w:kern w:val="2"/>
          <w:szCs w:val="24"/>
          <w:highlight w:val="none"/>
        </w:rPr>
        <w:t>7、建筑垃圾和其他散体物料装运应实行车辆密闭式运输，冲洗干净后出场，运输过程中严禁沿途抛、洒、滴、漏。</w:t>
      </w:r>
    </w:p>
    <w:p>
      <w:pPr>
        <w:ind w:firstLine="426"/>
        <w:rPr>
          <w:rFonts w:cs="仿宋"/>
          <w:color w:val="000000"/>
          <w:kern w:val="2"/>
          <w:szCs w:val="24"/>
          <w:highlight w:val="none"/>
        </w:rPr>
      </w:pPr>
      <w:r>
        <w:rPr>
          <w:rFonts w:hint="eastAsia" w:cs="仿宋"/>
          <w:color w:val="000000"/>
          <w:kern w:val="2"/>
          <w:szCs w:val="24"/>
          <w:highlight w:val="none"/>
        </w:rPr>
        <w:t>8、乙方应当严格依照《中华人民共和国消防条例》的规定，在工地建立和执行防火管理制度，重点部位设置符合消防要求的消防设施，并保持完好的备用状态。</w:t>
      </w:r>
    </w:p>
    <w:p>
      <w:pPr>
        <w:ind w:firstLine="426"/>
        <w:rPr>
          <w:rFonts w:cs="仿宋"/>
          <w:color w:val="000000"/>
          <w:kern w:val="2"/>
          <w:szCs w:val="24"/>
          <w:highlight w:val="none"/>
        </w:rPr>
      </w:pPr>
      <w:r>
        <w:rPr>
          <w:rFonts w:hint="eastAsia" w:cs="仿宋"/>
          <w:color w:val="000000"/>
          <w:kern w:val="2"/>
          <w:szCs w:val="24"/>
          <w:highlight w:val="none"/>
        </w:rPr>
        <w:t>9、遵守建设地的现场管理要求。</w:t>
      </w:r>
    </w:p>
    <w:p>
      <w:pPr>
        <w:ind w:firstLine="426"/>
        <w:rPr>
          <w:rFonts w:cs="仿宋"/>
          <w:color w:val="000000"/>
          <w:kern w:val="2"/>
          <w:szCs w:val="24"/>
          <w:highlight w:val="none"/>
        </w:rPr>
      </w:pPr>
      <w:r>
        <w:rPr>
          <w:rFonts w:hint="eastAsia" w:cs="仿宋"/>
          <w:color w:val="000000"/>
          <w:kern w:val="2"/>
          <w:szCs w:val="24"/>
          <w:highlight w:val="none"/>
        </w:rPr>
        <w:t>10、施工单位在施工中应遵守下列规定：</w:t>
      </w:r>
    </w:p>
    <w:p>
      <w:pPr>
        <w:ind w:firstLine="426"/>
        <w:rPr>
          <w:rFonts w:cs="仿宋"/>
          <w:color w:val="000000"/>
          <w:kern w:val="2"/>
          <w:szCs w:val="24"/>
          <w:highlight w:val="none"/>
        </w:rPr>
      </w:pPr>
      <w:r>
        <w:rPr>
          <w:rFonts w:hint="eastAsia" w:cs="仿宋"/>
          <w:color w:val="000000"/>
          <w:kern w:val="2"/>
          <w:szCs w:val="24"/>
          <w:highlight w:val="none"/>
        </w:rPr>
        <w:t>（1）完善技术和操作管理规程，确保防汛设施和地下管线通畅、安全。</w:t>
      </w:r>
    </w:p>
    <w:p>
      <w:pPr>
        <w:ind w:firstLine="426"/>
        <w:rPr>
          <w:rFonts w:cs="仿宋"/>
          <w:color w:val="000000"/>
          <w:kern w:val="2"/>
          <w:szCs w:val="24"/>
          <w:highlight w:val="none"/>
        </w:rPr>
      </w:pPr>
      <w:r>
        <w:rPr>
          <w:rFonts w:hint="eastAsia" w:cs="仿宋"/>
          <w:color w:val="000000"/>
          <w:kern w:val="2"/>
          <w:szCs w:val="24"/>
          <w:highlight w:val="none"/>
        </w:rPr>
        <w:t>（2）采取各种有效措施，控制扬尘、噪声。</w:t>
      </w:r>
    </w:p>
    <w:p>
      <w:pPr>
        <w:ind w:firstLine="426"/>
        <w:rPr>
          <w:rFonts w:cs="仿宋"/>
          <w:color w:val="000000"/>
          <w:kern w:val="2"/>
          <w:szCs w:val="24"/>
          <w:highlight w:val="none"/>
        </w:rPr>
      </w:pPr>
      <w:r>
        <w:rPr>
          <w:rFonts w:hint="eastAsia" w:cs="仿宋"/>
          <w:color w:val="000000"/>
          <w:kern w:val="2"/>
          <w:szCs w:val="24"/>
          <w:highlight w:val="none"/>
        </w:rPr>
        <w:t>（3）设置各种防护设施，防止施工中废弃物、杂物影响周围环境，伤害过往行人。</w:t>
      </w:r>
    </w:p>
    <w:p>
      <w:pPr>
        <w:ind w:firstLine="426"/>
        <w:rPr>
          <w:rFonts w:cs="仿宋"/>
          <w:color w:val="000000"/>
          <w:kern w:val="2"/>
          <w:szCs w:val="24"/>
          <w:highlight w:val="none"/>
        </w:rPr>
      </w:pPr>
      <w:r>
        <w:rPr>
          <w:rFonts w:hint="eastAsia" w:cs="仿宋"/>
          <w:color w:val="000000"/>
          <w:kern w:val="2"/>
          <w:szCs w:val="24"/>
          <w:highlight w:val="none"/>
        </w:rPr>
        <w:t>（4）随时清理建筑垃圾，控制工地污染。</w:t>
      </w:r>
    </w:p>
    <w:p>
      <w:pPr>
        <w:ind w:firstLine="426"/>
        <w:rPr>
          <w:rFonts w:cs="仿宋"/>
          <w:color w:val="000000"/>
          <w:kern w:val="2"/>
          <w:szCs w:val="24"/>
          <w:highlight w:val="none"/>
        </w:rPr>
      </w:pPr>
      <w:r>
        <w:rPr>
          <w:rFonts w:hint="eastAsia" w:cs="仿宋"/>
          <w:color w:val="000000"/>
          <w:kern w:val="2"/>
          <w:szCs w:val="24"/>
          <w:highlight w:val="none"/>
        </w:rPr>
        <w:t>（5）控制夜间施工作业，确需夜间作业的，必须事先向环保部门申办《夜间施工许可证》。</w:t>
      </w:r>
    </w:p>
    <w:p>
      <w:pPr>
        <w:ind w:firstLine="426"/>
        <w:rPr>
          <w:rFonts w:cs="仿宋"/>
          <w:color w:val="000000"/>
          <w:kern w:val="2"/>
          <w:szCs w:val="24"/>
          <w:highlight w:val="none"/>
        </w:rPr>
      </w:pPr>
      <w:r>
        <w:rPr>
          <w:rFonts w:hint="eastAsia" w:cs="仿宋"/>
          <w:color w:val="000000"/>
          <w:kern w:val="2"/>
          <w:szCs w:val="24"/>
          <w:highlight w:val="none"/>
        </w:rPr>
        <w:t>（6）运用其他有效方式，减少施工时对市容、绿化和环境的不良影响。</w:t>
      </w:r>
    </w:p>
    <w:p>
      <w:pPr>
        <w:ind w:firstLine="426"/>
        <w:rPr>
          <w:rFonts w:cs="仿宋"/>
          <w:color w:val="000000"/>
          <w:kern w:val="2"/>
          <w:szCs w:val="24"/>
          <w:highlight w:val="none"/>
        </w:rPr>
      </w:pPr>
      <w:r>
        <w:rPr>
          <w:rFonts w:hint="eastAsia" w:cs="仿宋"/>
          <w:color w:val="000000"/>
          <w:kern w:val="2"/>
          <w:szCs w:val="24"/>
          <w:highlight w:val="none"/>
        </w:rPr>
        <w:t>（7）遵守交通管理规定，不得使用人力车、三轮车向场外运输建筑垃圾、废土、物料。</w:t>
      </w:r>
    </w:p>
    <w:p>
      <w:pPr>
        <w:ind w:firstLine="426"/>
        <w:rPr>
          <w:rFonts w:cs="仿宋"/>
          <w:color w:val="000000"/>
          <w:kern w:val="2"/>
          <w:szCs w:val="24"/>
          <w:highlight w:val="none"/>
        </w:rPr>
      </w:pPr>
      <w:r>
        <w:rPr>
          <w:rFonts w:hint="eastAsia" w:cs="仿宋"/>
          <w:color w:val="000000"/>
          <w:kern w:val="2"/>
          <w:szCs w:val="24"/>
          <w:highlight w:val="none"/>
        </w:rPr>
        <w:t>11、施工人员在施工中应严格遵守下列规定:</w:t>
      </w:r>
    </w:p>
    <w:p>
      <w:pPr>
        <w:ind w:firstLine="426"/>
        <w:rPr>
          <w:rFonts w:cs="仿宋"/>
          <w:color w:val="000000"/>
          <w:kern w:val="2"/>
          <w:szCs w:val="24"/>
          <w:highlight w:val="none"/>
        </w:rPr>
      </w:pPr>
      <w:r>
        <w:rPr>
          <w:rFonts w:hint="eastAsia" w:cs="仿宋"/>
          <w:color w:val="000000"/>
          <w:kern w:val="2"/>
          <w:szCs w:val="24"/>
          <w:highlight w:val="none"/>
        </w:rPr>
        <w:t>（1）施工中产生的各类垃圾应及时清运到市容环境卫生管理部门指定的地点，严禁随意倾倒在城市道路、河道、绿化带、空旷地带和居民生活垃圾容器内。</w:t>
      </w:r>
    </w:p>
    <w:p>
      <w:pPr>
        <w:ind w:firstLine="426"/>
        <w:rPr>
          <w:rFonts w:cs="仿宋"/>
          <w:color w:val="000000"/>
          <w:kern w:val="2"/>
          <w:szCs w:val="24"/>
          <w:highlight w:val="none"/>
        </w:rPr>
      </w:pPr>
      <w:r>
        <w:rPr>
          <w:rFonts w:hint="eastAsia" w:cs="仿宋"/>
          <w:color w:val="000000"/>
          <w:kern w:val="2"/>
          <w:szCs w:val="24"/>
          <w:highlight w:val="none"/>
        </w:rPr>
        <w:t>（2）施工中不得随意丢弃废物、旧料和其他杂物。</w:t>
      </w:r>
    </w:p>
    <w:p>
      <w:pPr>
        <w:ind w:firstLine="426"/>
        <w:rPr>
          <w:rFonts w:cs="仿宋"/>
          <w:color w:val="000000"/>
          <w:kern w:val="2"/>
          <w:szCs w:val="24"/>
          <w:highlight w:val="none"/>
        </w:rPr>
      </w:pPr>
      <w:r>
        <w:rPr>
          <w:rFonts w:hint="eastAsia" w:cs="仿宋"/>
          <w:color w:val="000000"/>
          <w:kern w:val="2"/>
          <w:szCs w:val="24"/>
          <w:highlight w:val="none"/>
        </w:rPr>
        <w:t>（3）施工中应注意清理施工场地，做到随做随清。</w:t>
      </w:r>
    </w:p>
    <w:p>
      <w:pPr>
        <w:ind w:firstLine="426"/>
        <w:rPr>
          <w:rFonts w:cs="仿宋"/>
          <w:color w:val="000000"/>
          <w:kern w:val="2"/>
          <w:szCs w:val="24"/>
          <w:highlight w:val="none"/>
        </w:rPr>
      </w:pPr>
      <w:r>
        <w:rPr>
          <w:rFonts w:hint="eastAsia" w:cs="仿宋"/>
          <w:color w:val="000000"/>
          <w:kern w:val="2"/>
          <w:szCs w:val="24"/>
          <w:highlight w:val="none"/>
        </w:rPr>
        <w:t>（4）其他：</w:t>
      </w:r>
    </w:p>
    <w:p>
      <w:pPr>
        <w:ind w:firstLine="426"/>
        <w:rPr>
          <w:rFonts w:cs="仿宋"/>
          <w:color w:val="000000"/>
          <w:kern w:val="2"/>
          <w:szCs w:val="24"/>
          <w:highlight w:val="none"/>
        </w:rPr>
      </w:pPr>
      <w:r>
        <w:rPr>
          <w:rFonts w:hint="eastAsia" w:cs="仿宋"/>
          <w:color w:val="000000"/>
          <w:kern w:val="2"/>
          <w:szCs w:val="24"/>
          <w:highlight w:val="none"/>
        </w:rPr>
        <w:t>12、乙方应确保工地出入口和道路的畅通、安全。施工中造成沿线单位、人员的出入口障碍和道路交通堵塞，应及时采取有效措施。</w:t>
      </w:r>
    </w:p>
    <w:p>
      <w:pPr>
        <w:ind w:firstLine="426"/>
        <w:rPr>
          <w:rFonts w:cs="仿宋"/>
          <w:color w:val="000000"/>
          <w:kern w:val="2"/>
          <w:szCs w:val="24"/>
          <w:highlight w:val="none"/>
        </w:rPr>
      </w:pPr>
      <w:r>
        <w:rPr>
          <w:rFonts w:hint="eastAsia" w:cs="仿宋"/>
          <w:color w:val="000000"/>
          <w:kern w:val="2"/>
          <w:szCs w:val="24"/>
          <w:highlight w:val="none"/>
        </w:rPr>
        <w:t>13、施工中造成下水道和其他地下管线堵塞或损坏的，应立即疏浚或修复；对工地周围的单位及人员财产造成损失的，应承担经济赔偿责任。</w:t>
      </w:r>
    </w:p>
    <w:p>
      <w:pPr>
        <w:ind w:firstLine="426"/>
        <w:rPr>
          <w:rFonts w:cs="仿宋"/>
          <w:color w:val="000000"/>
          <w:kern w:val="2"/>
          <w:szCs w:val="24"/>
          <w:highlight w:val="none"/>
        </w:rPr>
      </w:pPr>
      <w:r>
        <w:rPr>
          <w:rFonts w:hint="eastAsia" w:cs="仿宋"/>
          <w:color w:val="000000"/>
          <w:kern w:val="2"/>
          <w:szCs w:val="24"/>
          <w:highlight w:val="none"/>
        </w:rPr>
        <w:t>四、甲方对乙方开展创建文明土地的工作要经常性地给予指导，定期组织检查，对乙方存在的问题应及时通知乙方进行整改，并有权对乙方责任违约，按约定办法进行经济处理。</w:t>
      </w:r>
    </w:p>
    <w:p>
      <w:pPr>
        <w:ind w:firstLine="426"/>
        <w:rPr>
          <w:rFonts w:cs="仿宋"/>
          <w:color w:val="000000"/>
          <w:kern w:val="2"/>
          <w:szCs w:val="24"/>
          <w:highlight w:val="none"/>
        </w:rPr>
      </w:pPr>
      <w:r>
        <w:rPr>
          <w:rFonts w:hint="eastAsia" w:cs="仿宋"/>
          <w:color w:val="000000"/>
          <w:kern w:val="2"/>
          <w:szCs w:val="24"/>
          <w:highlight w:val="none"/>
        </w:rPr>
        <w:t>违反约定的责任处理办法：</w:t>
      </w:r>
    </w:p>
    <w:p>
      <w:pPr>
        <w:ind w:firstLine="426"/>
        <w:rPr>
          <w:rFonts w:cs="仿宋"/>
          <w:color w:val="000000"/>
          <w:kern w:val="2"/>
          <w:szCs w:val="24"/>
          <w:highlight w:val="none"/>
        </w:rPr>
      </w:pPr>
      <w:r>
        <w:rPr>
          <w:rFonts w:hint="eastAsia" w:cs="仿宋"/>
          <w:color w:val="000000"/>
          <w:kern w:val="2"/>
          <w:szCs w:val="24"/>
          <w:highlight w:val="none"/>
        </w:rPr>
        <w:t>凡乙方整改不力，逾期不改的，甲方根据实际情况可给予承包商一次性的经济处理(100-1000元人民币)。</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五、因乙方违反文明施工管理要求，被地方政府有关部门查获而受到的经济处罚，以及由此而使甲方受到的经济损失，均由乙方承担。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六、本协议作为甲乙双方工程合同的附件，在工程合同正式签约后有效，与工程合同具有同等法律效力。工程合同期满，本协议终止。</w:t>
      </w:r>
    </w:p>
    <w:p>
      <w:pPr>
        <w:pStyle w:val="112"/>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ind w:firstLine="0" w:firstLineChars="0"/>
        <w:jc w:val="left"/>
        <w:rPr>
          <w:b/>
          <w:bCs/>
          <w:sz w:val="24"/>
          <w:szCs w:val="22"/>
          <w:highlight w:val="none"/>
        </w:rPr>
      </w:pPr>
      <w:r>
        <w:rPr>
          <w:rFonts w:hint="eastAsia"/>
          <w:color w:val="000000"/>
          <w:kern w:val="2"/>
          <w:szCs w:val="24"/>
          <w:highlight w:val="none"/>
        </w:rPr>
        <w:br w:type="page"/>
      </w:r>
      <w:r>
        <w:rPr>
          <w:rFonts w:hint="eastAsia"/>
          <w:b/>
          <w:bCs/>
          <w:sz w:val="24"/>
          <w:szCs w:val="22"/>
          <w:highlight w:val="none"/>
        </w:rPr>
        <w:t>附件4</w:t>
      </w:r>
    </w:p>
    <w:p>
      <w:pPr>
        <w:ind w:firstLine="0" w:firstLineChars="0"/>
        <w:jc w:val="center"/>
        <w:rPr>
          <w:b/>
          <w:bCs/>
          <w:sz w:val="24"/>
          <w:szCs w:val="22"/>
          <w:highlight w:val="none"/>
        </w:rPr>
      </w:pPr>
      <w:r>
        <w:rPr>
          <w:rFonts w:hint="eastAsia"/>
          <w:b/>
          <w:bCs/>
          <w:sz w:val="24"/>
          <w:szCs w:val="22"/>
          <w:highlight w:val="none"/>
        </w:rPr>
        <w:t>建设工程廉洁协议书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color w:val="000000"/>
          <w:kern w:val="2"/>
          <w:szCs w:val="24"/>
          <w:highlight w:val="non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rPr>
        <w:t>杭州科技职业学院翠苑校区教学及辅助设施修缮工程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为了在工程建设中保持廉政自律的工作作风，防止各种不正当行为的发生，根据国家和省市有关建设工程承发包和廉政建设的各项规定，结合工程建设的特点，订立本协议如下：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一、甲乙双方应当自觉遵守国家和市关于建设工程承发包工作规则以及有关廉政建设的各项规定。</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二、甲方及其工作人员不得以任何形式向乙方索要和收受回扣等好处费。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三、甲方工作人员应当保持与乙方的正常业务交往，不得接受乙方的现金、有价证券和贵重物品，不得在乙方报销任何应有个人支付的费用。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四、甲方工作人员不得参加可能对公正执行公务有影响的宴请和娱乐活动。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五、甲方工作人员不得要求接受乙方为其住房装修、婚丧嫁娶、家属和子女的工作安排以及出国等提供方便。</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六、甲方工作人员不得向乙方介绍家属或者亲友从事与甲方工程有关的材料设备供应、工程分包等经济活动。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七、乙方应当通过正常途径开展相对业务工作，不得为获取某些不正当利益而向甲方工作人员赠送礼金、有价证券和贵重物品等。</w:t>
      </w:r>
    </w:p>
    <w:p>
      <w:pPr>
        <w:ind w:firstLine="426"/>
        <w:rPr>
          <w:rFonts w:cs="仿宋"/>
          <w:color w:val="000000"/>
          <w:kern w:val="2"/>
          <w:szCs w:val="24"/>
          <w:highlight w:val="none"/>
        </w:rPr>
      </w:pPr>
      <w:r>
        <w:rPr>
          <w:rFonts w:hint="eastAsia" w:ascii="宋体" w:hAnsi="宋体" w:cs="宋体"/>
          <w:color w:val="000000"/>
          <w:kern w:val="2"/>
          <w:szCs w:val="24"/>
          <w:highlight w:val="none"/>
        </w:rPr>
        <w:t>八、乙方不</w:t>
      </w:r>
      <w:r>
        <w:rPr>
          <w:rFonts w:hint="eastAsia" w:cs="仿宋"/>
          <w:color w:val="000000"/>
          <w:kern w:val="2"/>
          <w:szCs w:val="24"/>
          <w:highlight w:val="none"/>
        </w:rPr>
        <w:t>得为谋取私利擅自与甲方工作人员就工程承包、工程费用、材料设备供应、工程量变动、工程验收、工程质量问题处理等进行私下商谈或者达成默契。</w:t>
      </w:r>
    </w:p>
    <w:p>
      <w:pPr>
        <w:ind w:firstLine="426"/>
        <w:rPr>
          <w:rFonts w:cs="仿宋"/>
          <w:color w:val="000000"/>
          <w:kern w:val="2"/>
          <w:szCs w:val="24"/>
          <w:highlight w:val="none"/>
        </w:rPr>
      </w:pPr>
      <w:r>
        <w:rPr>
          <w:rFonts w:hint="eastAsia" w:cs="仿宋"/>
          <w:color w:val="000000"/>
          <w:kern w:val="2"/>
          <w:szCs w:val="24"/>
          <w:highlight w:val="none"/>
        </w:rPr>
        <w:t>九、乙方不得以洽谈业务、签订经济合同为借口，邀请甲方工作人员外出旅游和进入高档娱乐性场所。</w:t>
      </w:r>
    </w:p>
    <w:p>
      <w:pPr>
        <w:ind w:firstLine="426"/>
        <w:rPr>
          <w:rFonts w:cs="仿宋"/>
          <w:color w:val="000000"/>
          <w:kern w:val="2"/>
          <w:szCs w:val="24"/>
          <w:highlight w:val="none"/>
        </w:rPr>
      </w:pPr>
      <w:r>
        <w:rPr>
          <w:rFonts w:hint="eastAsia" w:cs="仿宋"/>
          <w:color w:val="000000"/>
          <w:kern w:val="2"/>
          <w:szCs w:val="24"/>
          <w:highlight w:val="none"/>
        </w:rPr>
        <w:t>十、乙方不得为甲方和个人购置或者提供通讯工具、家电、高档办公用品等物品。</w:t>
      </w:r>
    </w:p>
    <w:p>
      <w:pPr>
        <w:ind w:firstLine="426"/>
        <w:rPr>
          <w:rFonts w:cs="仿宋"/>
          <w:color w:val="000000"/>
          <w:kern w:val="2"/>
          <w:szCs w:val="24"/>
          <w:highlight w:val="none"/>
        </w:rPr>
      </w:pPr>
      <w:r>
        <w:rPr>
          <w:rFonts w:hint="eastAsia" w:cs="仿宋"/>
          <w:color w:val="000000"/>
          <w:kern w:val="2"/>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ind w:firstLine="426"/>
        <w:rPr>
          <w:rFonts w:cs="仿宋"/>
          <w:color w:val="000000"/>
          <w:kern w:val="2"/>
          <w:szCs w:val="24"/>
          <w:highlight w:val="none"/>
        </w:rPr>
      </w:pPr>
      <w:r>
        <w:rPr>
          <w:rFonts w:hint="eastAsia" w:cs="仿宋"/>
          <w:color w:val="000000"/>
          <w:kern w:val="2"/>
          <w:szCs w:val="24"/>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ind w:firstLine="426"/>
        <w:rPr>
          <w:rFonts w:cs="仿宋"/>
          <w:color w:val="000000"/>
          <w:kern w:val="2"/>
          <w:szCs w:val="24"/>
          <w:highlight w:val="none"/>
        </w:rPr>
      </w:pPr>
      <w:r>
        <w:rPr>
          <w:rFonts w:hint="eastAsia" w:cs="仿宋"/>
          <w:color w:val="000000"/>
          <w:kern w:val="2"/>
          <w:szCs w:val="24"/>
          <w:highlight w:val="none"/>
        </w:rPr>
        <w:t>十三、严格执行中纪委下发的中纪发【2007】7号《中共中央纪委关于严格禁止利用职务上的便利谋取不正当利益的若干规定》。</w:t>
      </w:r>
    </w:p>
    <w:p>
      <w:pPr>
        <w:ind w:firstLine="426"/>
        <w:rPr>
          <w:rFonts w:ascii="宋体" w:hAnsi="宋体" w:cs="宋体"/>
          <w:color w:val="000000"/>
          <w:kern w:val="2"/>
          <w:szCs w:val="24"/>
          <w:highlight w:val="none"/>
        </w:rPr>
      </w:pPr>
      <w:r>
        <w:rPr>
          <w:rFonts w:hint="eastAsia" w:cs="仿宋"/>
          <w:color w:val="000000"/>
          <w:kern w:val="2"/>
          <w:szCs w:val="24"/>
          <w:highlight w:val="none"/>
        </w:rPr>
        <w:t>十四、本廉政协议作为工程承发包合同的附件，与</w:t>
      </w:r>
      <w:r>
        <w:rPr>
          <w:rFonts w:hint="eastAsia" w:ascii="宋体" w:hAnsi="宋体" w:cs="宋体"/>
          <w:color w:val="000000"/>
          <w:kern w:val="2"/>
          <w:szCs w:val="24"/>
          <w:highlight w:val="none"/>
        </w:rPr>
        <w:t>工程承发包合同具有同等法律效力，经协议双方签署后立即生效。</w:t>
      </w:r>
    </w:p>
    <w:p>
      <w:pPr>
        <w:pStyle w:val="112"/>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pStyle w:val="112"/>
        <w:rPr>
          <w:rFonts w:ascii="仿宋" w:hAnsi="仿宋"/>
          <w:szCs w:val="24"/>
          <w:highlight w:val="none"/>
        </w:rPr>
      </w:pPr>
    </w:p>
    <w:p>
      <w:pPr>
        <w:pStyle w:val="112"/>
        <w:rPr>
          <w:rFonts w:ascii="仿宋" w:hAnsi="仿宋"/>
          <w:szCs w:val="24"/>
          <w:highlight w:val="none"/>
        </w:rPr>
      </w:pPr>
    </w:p>
    <w:p>
      <w:pPr>
        <w:ind w:firstLine="0" w:firstLineChars="0"/>
        <w:rPr>
          <w:highlight w:val="none"/>
        </w:rPr>
      </w:pPr>
      <w:r>
        <w:rPr>
          <w:rFonts w:hint="eastAsia" w:cs="宋体"/>
          <w:b/>
          <w:bCs/>
          <w:szCs w:val="24"/>
          <w:highlight w:val="none"/>
        </w:rPr>
        <w:t>注：1、本合同仅作为示范文本，具体以成交供应商与招标人所签定正式合同为准。</w:t>
      </w:r>
    </w:p>
    <w:p>
      <w:pPr>
        <w:pStyle w:val="3"/>
        <w:rPr>
          <w:highlight w:val="none"/>
        </w:rPr>
      </w:pPr>
      <w:bookmarkStart w:id="139" w:name="_Toc83616202"/>
      <w:bookmarkStart w:id="140" w:name="_Toc14675"/>
      <w:bookmarkStart w:id="141" w:name="_Toc268774733"/>
      <w:bookmarkStart w:id="142" w:name="_Toc242012796"/>
      <w:r>
        <w:rPr>
          <w:highlight w:val="none"/>
        </w:rPr>
        <w:br w:type="page"/>
      </w:r>
      <w:bookmarkEnd w:id="114"/>
      <w:bookmarkEnd w:id="115"/>
      <w:bookmarkEnd w:id="116"/>
      <w:bookmarkEnd w:id="121"/>
      <w:bookmarkEnd w:id="139"/>
      <w:bookmarkEnd w:id="140"/>
      <w:bookmarkEnd w:id="141"/>
      <w:bookmarkEnd w:id="142"/>
      <w:bookmarkStart w:id="143" w:name="_Toc234764855"/>
      <w:bookmarkStart w:id="144" w:name="_Toc249760797"/>
      <w:bookmarkStart w:id="145" w:name="_Toc251566668"/>
      <w:bookmarkStart w:id="146" w:name="_Toc13565"/>
      <w:bookmarkStart w:id="147" w:name="_Toc362940042"/>
      <w:bookmarkStart w:id="148" w:name="_Toc14300"/>
      <w:bookmarkStart w:id="149" w:name="_Toc25949"/>
      <w:bookmarkStart w:id="150" w:name="_Toc4542"/>
      <w:r>
        <w:rPr>
          <w:highlight w:val="none"/>
        </w:rPr>
        <w:t>第</w:t>
      </w:r>
      <w:r>
        <w:rPr>
          <w:rFonts w:hint="eastAsia"/>
          <w:highlight w:val="none"/>
        </w:rPr>
        <w:t>六</w:t>
      </w:r>
      <w:r>
        <w:rPr>
          <w:highlight w:val="none"/>
        </w:rPr>
        <w:t xml:space="preserve">部分  </w:t>
      </w:r>
      <w:bookmarkEnd w:id="143"/>
      <w:bookmarkEnd w:id="144"/>
      <w:bookmarkEnd w:id="145"/>
      <w:bookmarkEnd w:id="146"/>
      <w:bookmarkEnd w:id="147"/>
      <w:r>
        <w:rPr>
          <w:rFonts w:hint="eastAsia"/>
          <w:highlight w:val="none"/>
        </w:rPr>
        <w:t>应提交的有关格式范例</w:t>
      </w:r>
      <w:bookmarkEnd w:id="148"/>
      <w:bookmarkEnd w:id="149"/>
      <w:bookmarkEnd w:id="150"/>
    </w:p>
    <w:p>
      <w:pPr>
        <w:ind w:firstLine="426"/>
        <w:rPr>
          <w:color w:val="000000"/>
          <w:szCs w:val="24"/>
          <w:highlight w:val="none"/>
        </w:rPr>
      </w:pPr>
      <w:bookmarkStart w:id="151" w:name="_Toc5505"/>
      <w:r>
        <w:rPr>
          <w:color w:val="000000"/>
          <w:szCs w:val="24"/>
          <w:highlight w:val="none"/>
        </w:rPr>
        <w:t>一、</w:t>
      </w:r>
      <w:r>
        <w:rPr>
          <w:rFonts w:hint="eastAsia"/>
          <w:color w:val="000000"/>
          <w:szCs w:val="24"/>
          <w:highlight w:val="none"/>
        </w:rPr>
        <w:t>供应商</w:t>
      </w:r>
      <w:r>
        <w:rPr>
          <w:color w:val="000000"/>
          <w:szCs w:val="24"/>
          <w:highlight w:val="none"/>
        </w:rPr>
        <w:t>提交</w:t>
      </w:r>
      <w:r>
        <w:rPr>
          <w:rFonts w:hint="eastAsia"/>
          <w:color w:val="000000"/>
          <w:szCs w:val="24"/>
          <w:highlight w:val="none"/>
        </w:rPr>
        <w:t>响应文件</w:t>
      </w:r>
      <w:r>
        <w:rPr>
          <w:color w:val="000000"/>
          <w:szCs w:val="24"/>
          <w:highlight w:val="none"/>
        </w:rPr>
        <w:t>须知</w:t>
      </w:r>
    </w:p>
    <w:p>
      <w:pPr>
        <w:ind w:firstLine="426"/>
        <w:rPr>
          <w:color w:val="000000"/>
          <w:szCs w:val="24"/>
          <w:highlight w:val="none"/>
        </w:rPr>
      </w:pPr>
      <w:r>
        <w:rPr>
          <w:color w:val="000000"/>
          <w:szCs w:val="24"/>
          <w:highlight w:val="none"/>
        </w:rPr>
        <w:t>1、</w:t>
      </w:r>
      <w:r>
        <w:rPr>
          <w:rFonts w:hint="eastAsia"/>
          <w:color w:val="000000"/>
          <w:szCs w:val="24"/>
          <w:highlight w:val="none"/>
        </w:rPr>
        <w:t>供应商</w:t>
      </w:r>
      <w:r>
        <w:rPr>
          <w:color w:val="000000"/>
          <w:szCs w:val="24"/>
          <w:highlight w:val="none"/>
        </w:rPr>
        <w:t>应严格按照以下顺序填写和提交下述规定的全部格式文件以及其他有关资料，混乱的编排导致</w:t>
      </w:r>
      <w:r>
        <w:rPr>
          <w:rFonts w:hint="eastAsia"/>
          <w:color w:val="000000"/>
          <w:szCs w:val="24"/>
          <w:highlight w:val="none"/>
        </w:rPr>
        <w:t>响应文件</w:t>
      </w:r>
      <w:r>
        <w:rPr>
          <w:color w:val="000000"/>
          <w:szCs w:val="24"/>
          <w:highlight w:val="none"/>
        </w:rPr>
        <w:t>被误读或</w:t>
      </w:r>
      <w:r>
        <w:rPr>
          <w:rFonts w:hint="eastAsia"/>
          <w:color w:val="000000"/>
          <w:szCs w:val="24"/>
          <w:highlight w:val="none"/>
        </w:rPr>
        <w:t>磋商小组</w:t>
      </w:r>
      <w:r>
        <w:rPr>
          <w:color w:val="000000"/>
          <w:szCs w:val="24"/>
          <w:highlight w:val="none"/>
        </w:rPr>
        <w:t>查找不到有效文件是</w:t>
      </w:r>
      <w:r>
        <w:rPr>
          <w:rFonts w:hint="eastAsia"/>
          <w:color w:val="000000"/>
          <w:szCs w:val="24"/>
          <w:highlight w:val="none"/>
        </w:rPr>
        <w:t>供应商</w:t>
      </w:r>
      <w:r>
        <w:rPr>
          <w:color w:val="000000"/>
          <w:szCs w:val="24"/>
          <w:highlight w:val="none"/>
        </w:rPr>
        <w:t>的风险。</w:t>
      </w:r>
    </w:p>
    <w:p>
      <w:pPr>
        <w:ind w:firstLine="426"/>
        <w:rPr>
          <w:color w:val="000000"/>
          <w:szCs w:val="24"/>
          <w:highlight w:val="none"/>
        </w:rPr>
      </w:pPr>
      <w:r>
        <w:rPr>
          <w:color w:val="000000"/>
          <w:szCs w:val="24"/>
          <w:highlight w:val="none"/>
        </w:rPr>
        <w:t>2、所附表格中要求回答的全部问题、信息都必须正面回答。</w:t>
      </w:r>
    </w:p>
    <w:p>
      <w:pPr>
        <w:ind w:firstLine="426"/>
        <w:rPr>
          <w:color w:val="000000"/>
          <w:szCs w:val="24"/>
          <w:highlight w:val="none"/>
        </w:rPr>
      </w:pPr>
      <w:r>
        <w:rPr>
          <w:color w:val="000000"/>
          <w:szCs w:val="24"/>
          <w:highlight w:val="none"/>
        </w:rPr>
        <w:t>3、本声明书的签字人应保证全部声明和问题的回答是真实的和准确的。</w:t>
      </w:r>
    </w:p>
    <w:p>
      <w:pPr>
        <w:ind w:firstLine="426"/>
        <w:rPr>
          <w:color w:val="000000"/>
          <w:szCs w:val="24"/>
          <w:highlight w:val="none"/>
        </w:rPr>
      </w:pPr>
      <w:r>
        <w:rPr>
          <w:color w:val="000000"/>
          <w:szCs w:val="24"/>
          <w:highlight w:val="none"/>
        </w:rPr>
        <w:t>4、</w:t>
      </w:r>
      <w:r>
        <w:rPr>
          <w:rFonts w:hint="eastAsia"/>
          <w:color w:val="000000"/>
          <w:szCs w:val="24"/>
          <w:highlight w:val="none"/>
        </w:rPr>
        <w:t>磋商</w:t>
      </w:r>
      <w:r>
        <w:rPr>
          <w:color w:val="000000"/>
          <w:szCs w:val="24"/>
          <w:highlight w:val="none"/>
        </w:rPr>
        <w:t>小组将应用</w:t>
      </w:r>
      <w:r>
        <w:rPr>
          <w:rFonts w:hint="eastAsia"/>
          <w:color w:val="000000"/>
          <w:szCs w:val="24"/>
          <w:highlight w:val="none"/>
        </w:rPr>
        <w:t>供应商</w:t>
      </w:r>
      <w:r>
        <w:rPr>
          <w:color w:val="000000"/>
          <w:szCs w:val="24"/>
          <w:highlight w:val="none"/>
        </w:rPr>
        <w:t>提交的资料根据自己的判断和考虑决定</w:t>
      </w:r>
      <w:r>
        <w:rPr>
          <w:rFonts w:hint="eastAsia"/>
          <w:color w:val="000000"/>
          <w:szCs w:val="24"/>
          <w:highlight w:val="none"/>
        </w:rPr>
        <w:t>供应商</w:t>
      </w:r>
      <w:r>
        <w:rPr>
          <w:color w:val="000000"/>
          <w:szCs w:val="24"/>
          <w:highlight w:val="none"/>
        </w:rPr>
        <w:t>履行合同的合格性及能力。</w:t>
      </w:r>
    </w:p>
    <w:p>
      <w:pPr>
        <w:ind w:firstLine="426"/>
        <w:rPr>
          <w:color w:val="000000"/>
          <w:szCs w:val="24"/>
          <w:highlight w:val="none"/>
        </w:rPr>
      </w:pPr>
      <w:r>
        <w:rPr>
          <w:color w:val="000000"/>
          <w:szCs w:val="24"/>
          <w:highlight w:val="none"/>
        </w:rPr>
        <w:t>5、</w:t>
      </w:r>
      <w:r>
        <w:rPr>
          <w:rFonts w:hint="eastAsia"/>
          <w:color w:val="000000"/>
          <w:szCs w:val="24"/>
          <w:highlight w:val="none"/>
        </w:rPr>
        <w:t>供应商</w:t>
      </w:r>
      <w:r>
        <w:rPr>
          <w:color w:val="000000"/>
          <w:szCs w:val="24"/>
          <w:highlight w:val="none"/>
        </w:rPr>
        <w:t>提交的材料将在一定期限内被保密保存，但不退还。</w:t>
      </w:r>
    </w:p>
    <w:p>
      <w:pPr>
        <w:ind w:firstLine="426"/>
        <w:rPr>
          <w:color w:val="000000"/>
          <w:szCs w:val="24"/>
          <w:highlight w:val="none"/>
        </w:rPr>
      </w:pPr>
      <w:r>
        <w:rPr>
          <w:color w:val="000000"/>
          <w:szCs w:val="24"/>
          <w:highlight w:val="none"/>
        </w:rPr>
        <w:t>6、全部文件应按</w:t>
      </w:r>
      <w:r>
        <w:rPr>
          <w:rFonts w:hint="eastAsia"/>
          <w:color w:val="000000"/>
          <w:szCs w:val="24"/>
          <w:highlight w:val="none"/>
        </w:rPr>
        <w:t>磋商须知</w:t>
      </w:r>
      <w:r>
        <w:rPr>
          <w:color w:val="000000"/>
          <w:szCs w:val="24"/>
          <w:highlight w:val="none"/>
        </w:rPr>
        <w:t>中规定的语言和份数提交。</w:t>
      </w:r>
      <w:r>
        <w:rPr>
          <w:rFonts w:hint="eastAsia"/>
          <w:color w:val="000000"/>
          <w:szCs w:val="24"/>
          <w:highlight w:val="none"/>
        </w:rPr>
        <w:t>响应文件</w:t>
      </w:r>
      <w:r>
        <w:rPr>
          <w:color w:val="000000"/>
          <w:szCs w:val="24"/>
          <w:highlight w:val="none"/>
        </w:rPr>
        <w:t>组成漏项或未按规定的格式编制或</w:t>
      </w:r>
      <w:r>
        <w:rPr>
          <w:rFonts w:hint="eastAsia"/>
          <w:color w:val="000000"/>
          <w:szCs w:val="24"/>
          <w:highlight w:val="none"/>
        </w:rPr>
        <w:t>响应文件</w:t>
      </w:r>
      <w:r>
        <w:rPr>
          <w:color w:val="000000"/>
          <w:szCs w:val="24"/>
          <w:highlight w:val="none"/>
        </w:rPr>
        <w:t>正、副本份数不足，内容不全或内容字迹模糊辨认不清的情况，将有可能被</w:t>
      </w:r>
      <w:r>
        <w:rPr>
          <w:rFonts w:hint="eastAsia"/>
          <w:color w:val="000000"/>
          <w:szCs w:val="24"/>
          <w:highlight w:val="none"/>
        </w:rPr>
        <w:t>磋商小组</w:t>
      </w:r>
      <w:r>
        <w:rPr>
          <w:color w:val="000000"/>
          <w:szCs w:val="24"/>
          <w:highlight w:val="none"/>
        </w:rPr>
        <w:t>认定为</w:t>
      </w:r>
      <w:r>
        <w:rPr>
          <w:rFonts w:hint="eastAsia"/>
          <w:color w:val="000000"/>
          <w:szCs w:val="24"/>
          <w:highlight w:val="none"/>
        </w:rPr>
        <w:t>响应</w:t>
      </w:r>
      <w:r>
        <w:rPr>
          <w:color w:val="000000"/>
          <w:szCs w:val="24"/>
          <w:highlight w:val="none"/>
        </w:rPr>
        <w:t>无效。</w:t>
      </w:r>
    </w:p>
    <w:p>
      <w:pPr>
        <w:ind w:firstLine="426"/>
        <w:rPr>
          <w:color w:val="000000"/>
          <w:szCs w:val="24"/>
          <w:highlight w:val="none"/>
        </w:rPr>
      </w:pPr>
      <w:r>
        <w:rPr>
          <w:rFonts w:hint="eastAsia"/>
          <w:color w:val="000000"/>
          <w:szCs w:val="24"/>
          <w:highlight w:val="none"/>
        </w:rPr>
        <w:t>7、响应文件由供应商根据竞争性磋商文件要求参照附件格式编制。</w:t>
      </w:r>
    </w:p>
    <w:p>
      <w:pPr>
        <w:ind w:firstLine="426"/>
        <w:rPr>
          <w:color w:val="000000"/>
          <w:szCs w:val="24"/>
          <w:highlight w:val="none"/>
        </w:rPr>
      </w:pPr>
      <w:r>
        <w:rPr>
          <w:rFonts w:hint="eastAsia"/>
          <w:color w:val="000000"/>
          <w:szCs w:val="24"/>
          <w:highlight w:val="none"/>
        </w:rPr>
        <w:t>8、供应商根据实际情况填写。</w:t>
      </w:r>
    </w:p>
    <w:p>
      <w:pPr>
        <w:ind w:firstLine="426"/>
        <w:rPr>
          <w:color w:val="000000"/>
          <w:szCs w:val="24"/>
          <w:highlight w:val="none"/>
        </w:rPr>
      </w:pPr>
      <w:r>
        <w:rPr>
          <w:rFonts w:hint="eastAsia"/>
          <w:color w:val="000000"/>
          <w:szCs w:val="24"/>
          <w:highlight w:val="none"/>
        </w:rPr>
        <w:t>9、竞争性磋商文件中没有参考格式的，供应商自行编制。</w:t>
      </w:r>
    </w:p>
    <w:p>
      <w:pPr>
        <w:ind w:firstLine="426"/>
        <w:rPr>
          <w:color w:val="000000"/>
          <w:szCs w:val="24"/>
          <w:highlight w:val="none"/>
        </w:rPr>
      </w:pPr>
      <w:r>
        <w:rPr>
          <w:color w:val="000000"/>
          <w:szCs w:val="24"/>
          <w:highlight w:val="none"/>
        </w:rPr>
        <w:t>二、</w:t>
      </w:r>
      <w:r>
        <w:rPr>
          <w:rFonts w:hint="eastAsia"/>
          <w:color w:val="000000"/>
          <w:szCs w:val="24"/>
          <w:highlight w:val="none"/>
        </w:rPr>
        <w:t>响应文件</w:t>
      </w:r>
      <w:r>
        <w:rPr>
          <w:color w:val="000000"/>
          <w:szCs w:val="24"/>
          <w:highlight w:val="none"/>
        </w:rPr>
        <w:t>编制格式及规范要求</w:t>
      </w:r>
    </w:p>
    <w:p>
      <w:pPr>
        <w:ind w:firstLine="426"/>
        <w:rPr>
          <w:color w:val="000000"/>
          <w:szCs w:val="24"/>
          <w:highlight w:val="none"/>
        </w:rPr>
      </w:pPr>
      <w:r>
        <w:rPr>
          <w:rFonts w:hint="eastAsia"/>
          <w:color w:val="000000"/>
          <w:szCs w:val="24"/>
          <w:highlight w:val="none"/>
        </w:rPr>
        <w:t>响应文件</w:t>
      </w:r>
      <w:r>
        <w:rPr>
          <w:color w:val="000000"/>
          <w:szCs w:val="24"/>
          <w:highlight w:val="none"/>
        </w:rPr>
        <w:t>包括：</w:t>
      </w:r>
      <w:r>
        <w:rPr>
          <w:rFonts w:hint="eastAsia"/>
          <w:color w:val="000000"/>
          <w:szCs w:val="24"/>
          <w:highlight w:val="none"/>
        </w:rPr>
        <w:t>资格文件、</w:t>
      </w:r>
      <w:r>
        <w:rPr>
          <w:color w:val="000000"/>
          <w:szCs w:val="24"/>
          <w:highlight w:val="none"/>
        </w:rPr>
        <w:t>商务</w:t>
      </w:r>
      <w:r>
        <w:rPr>
          <w:rFonts w:hint="eastAsia"/>
          <w:color w:val="000000"/>
          <w:szCs w:val="24"/>
          <w:highlight w:val="none"/>
        </w:rPr>
        <w:t>技术</w:t>
      </w:r>
      <w:r>
        <w:rPr>
          <w:color w:val="000000"/>
          <w:szCs w:val="24"/>
          <w:highlight w:val="none"/>
        </w:rPr>
        <w:t>文件、报价文件</w:t>
      </w:r>
      <w:r>
        <w:rPr>
          <w:rFonts w:hint="eastAsia"/>
          <w:color w:val="000000"/>
          <w:szCs w:val="24"/>
          <w:highlight w:val="none"/>
        </w:rPr>
        <w:t>两</w:t>
      </w:r>
      <w:r>
        <w:rPr>
          <w:color w:val="000000"/>
          <w:szCs w:val="24"/>
          <w:highlight w:val="none"/>
        </w:rPr>
        <w:t>部分，各供应商在编制</w:t>
      </w:r>
      <w:r>
        <w:rPr>
          <w:rFonts w:hint="eastAsia"/>
          <w:color w:val="000000"/>
          <w:szCs w:val="24"/>
          <w:highlight w:val="none"/>
        </w:rPr>
        <w:t>响应文件</w:t>
      </w:r>
      <w:r>
        <w:rPr>
          <w:color w:val="000000"/>
          <w:szCs w:val="24"/>
          <w:highlight w:val="none"/>
        </w:rPr>
        <w:t>时请按照以下格式进行</w:t>
      </w:r>
      <w:r>
        <w:rPr>
          <w:rFonts w:hint="eastAsia"/>
          <w:color w:val="000000"/>
          <w:szCs w:val="24"/>
          <w:highlight w:val="none"/>
        </w:rPr>
        <w:t>，供应商</w:t>
      </w:r>
      <w:r>
        <w:rPr>
          <w:color w:val="000000"/>
          <w:szCs w:val="24"/>
          <w:highlight w:val="none"/>
        </w:rPr>
        <w:t>根据需要可以自行增加，但不得更改或删减。</w:t>
      </w:r>
    </w:p>
    <w:p>
      <w:pPr>
        <w:ind w:firstLine="0" w:firstLineChars="0"/>
        <w:jc w:val="center"/>
        <w:rPr>
          <w:color w:val="000000"/>
          <w:highlight w:val="none"/>
        </w:rPr>
      </w:pPr>
      <w:r>
        <w:rPr>
          <w:color w:val="000000"/>
          <w:highlight w:val="none"/>
        </w:rPr>
        <w:br w:type="page"/>
      </w:r>
      <w:bookmarkStart w:id="152" w:name="_Toc23281"/>
    </w:p>
    <w:bookmarkEnd w:id="151"/>
    <w:bookmarkEnd w:id="152"/>
    <w:p>
      <w:pPr>
        <w:ind w:firstLine="426"/>
        <w:rPr>
          <w:highlight w:val="none"/>
        </w:rPr>
      </w:pPr>
    </w:p>
    <w:p>
      <w:pPr>
        <w:ind w:firstLine="426"/>
        <w:rPr>
          <w:highlight w:val="none"/>
        </w:rPr>
      </w:pPr>
      <w:bookmarkStart w:id="153" w:name="_Toc28803"/>
      <w:bookmarkStart w:id="154" w:name="_Toc25735"/>
    </w:p>
    <w:p>
      <w:pPr>
        <w:pStyle w:val="4"/>
        <w:jc w:val="center"/>
        <w:rPr>
          <w:highlight w:val="none"/>
        </w:rPr>
      </w:pPr>
      <w:bookmarkStart w:id="155" w:name="_Toc14640"/>
      <w:r>
        <w:rPr>
          <w:rFonts w:hint="eastAsia"/>
          <w:highlight w:val="none"/>
        </w:rPr>
        <w:t>资格文件部分</w:t>
      </w:r>
      <w:bookmarkEnd w:id="153"/>
      <w:bookmarkEnd w:id="154"/>
      <w:bookmarkEnd w:id="155"/>
    </w:p>
    <w:p>
      <w:pPr>
        <w:ind w:firstLine="0" w:firstLineChars="0"/>
        <w:jc w:val="center"/>
        <w:rPr>
          <w:highlight w:val="none"/>
        </w:rPr>
      </w:pPr>
    </w:p>
    <w:p>
      <w:pPr>
        <w:ind w:firstLine="0" w:firstLineChars="0"/>
        <w:jc w:val="center"/>
        <w:rPr>
          <w:highlight w:val="none"/>
        </w:rPr>
      </w:pPr>
      <w:r>
        <w:rPr>
          <w:rFonts w:hint="eastAsia"/>
          <w:b/>
          <w:bCs/>
          <w:sz w:val="24"/>
          <w:szCs w:val="22"/>
          <w:highlight w:val="none"/>
        </w:rPr>
        <w:t>目  录</w:t>
      </w:r>
    </w:p>
    <w:p>
      <w:pPr>
        <w:ind w:firstLine="426"/>
        <w:rPr>
          <w:highlight w:val="none"/>
        </w:rPr>
      </w:pPr>
    </w:p>
    <w:p>
      <w:pPr>
        <w:ind w:firstLine="0" w:firstLineChars="0"/>
        <w:rPr>
          <w:highlight w:val="none"/>
        </w:rPr>
      </w:pPr>
      <w:r>
        <w:rPr>
          <w:rFonts w:hint="eastAsia"/>
          <w:highlight w:val="none"/>
        </w:rPr>
        <w:t>（1）符合参加政府采购活动应当具备的一般条件的承诺函……………（页码）</w:t>
      </w:r>
    </w:p>
    <w:p>
      <w:pPr>
        <w:ind w:firstLine="0" w:firstLineChars="0"/>
        <w:rPr>
          <w:highlight w:val="none"/>
        </w:rPr>
      </w:pPr>
      <w:r>
        <w:rPr>
          <w:rFonts w:hint="eastAsia"/>
          <w:highlight w:val="none"/>
        </w:rPr>
        <w:t>（2）联合协议………………………………………………………………（页码）</w:t>
      </w:r>
    </w:p>
    <w:p>
      <w:pPr>
        <w:ind w:firstLine="0" w:firstLineChars="0"/>
        <w:rPr>
          <w:highlight w:val="none"/>
        </w:rPr>
      </w:pPr>
      <w:r>
        <w:rPr>
          <w:rFonts w:hint="eastAsia"/>
          <w:highlight w:val="none"/>
        </w:rPr>
        <w:t>（3）落实政府采购政策需满足的资格要求………………………………（页码）</w:t>
      </w:r>
    </w:p>
    <w:p>
      <w:pPr>
        <w:ind w:firstLine="0" w:firstLineChars="0"/>
        <w:rPr>
          <w:highlight w:val="none"/>
        </w:rPr>
      </w:pPr>
      <w:r>
        <w:rPr>
          <w:rFonts w:hint="eastAsia"/>
          <w:highlight w:val="none"/>
        </w:rPr>
        <w:t>（4）本项目的特定资格要求………………………………………………（页码）</w:t>
      </w:r>
    </w:p>
    <w:p>
      <w:pPr>
        <w:ind w:firstLine="0" w:firstLineChars="0"/>
        <w:rPr>
          <w:color w:val="000000"/>
          <w:highlight w:val="none"/>
        </w:rPr>
      </w:pPr>
      <w:r>
        <w:rPr>
          <w:rFonts w:hint="eastAsia"/>
          <w:highlight w:val="none"/>
        </w:rPr>
        <w:t>（5）中小企业声明函………………………………………………………（页码）</w:t>
      </w:r>
    </w:p>
    <w:p>
      <w:pPr>
        <w:ind w:firstLine="426"/>
        <w:rPr>
          <w:highlight w:val="none"/>
        </w:rPr>
      </w:pPr>
      <w:r>
        <w:rPr>
          <w:rFonts w:hint="eastAsia"/>
          <w:highlight w:val="none"/>
        </w:rPr>
        <w:br w:type="page"/>
      </w:r>
    </w:p>
    <w:p>
      <w:pPr>
        <w:pStyle w:val="5"/>
        <w:jc w:val="center"/>
        <w:rPr>
          <w:color w:val="000000"/>
          <w:highlight w:val="none"/>
        </w:rPr>
      </w:pPr>
      <w:r>
        <w:rPr>
          <w:rFonts w:hint="eastAsia"/>
          <w:color w:val="000000"/>
          <w:highlight w:val="none"/>
        </w:rPr>
        <w:t>一、符合参加政府采购活动应当具备的一般条件的承诺函</w:t>
      </w:r>
    </w:p>
    <w:p>
      <w:pPr>
        <w:ind w:firstLine="0" w:firstLineChars="0"/>
        <w:rPr>
          <w:highlight w:val="none"/>
        </w:rPr>
      </w:pPr>
      <w:r>
        <w:rPr>
          <w:rFonts w:hint="eastAsia"/>
          <w:highlight w:val="none"/>
          <w:u w:val="single"/>
        </w:rPr>
        <w:t>（采购人）、（采购代理机构）</w:t>
      </w:r>
      <w:r>
        <w:rPr>
          <w:rFonts w:hint="eastAsia"/>
          <w:highlight w:val="none"/>
        </w:rPr>
        <w:t>：</w:t>
      </w:r>
    </w:p>
    <w:p>
      <w:pPr>
        <w:ind w:firstLine="426"/>
        <w:rPr>
          <w:highlight w:val="none"/>
        </w:rPr>
      </w:pPr>
      <w:r>
        <w:rPr>
          <w:rFonts w:hint="eastAsia"/>
          <w:highlight w:val="none"/>
        </w:rPr>
        <w:t>我方参与</w:t>
      </w:r>
      <w:r>
        <w:rPr>
          <w:rFonts w:hint="eastAsia"/>
          <w:highlight w:val="none"/>
          <w:u w:val="single"/>
        </w:rPr>
        <w:t xml:space="preserve">           </w:t>
      </w:r>
      <w:r>
        <w:rPr>
          <w:rFonts w:hint="eastAsia"/>
          <w:highlight w:val="none"/>
        </w:rPr>
        <w:t>【项目编号：</w:t>
      </w:r>
      <w:r>
        <w:rPr>
          <w:rFonts w:hint="eastAsia"/>
          <w:highlight w:val="none"/>
          <w:u w:val="single"/>
        </w:rPr>
        <w:t xml:space="preserve">           </w:t>
      </w:r>
      <w:r>
        <w:rPr>
          <w:rFonts w:hint="eastAsia"/>
          <w:highlight w:val="none"/>
        </w:rPr>
        <w:t>】政府采购活动，郑重承诺：</w:t>
      </w:r>
    </w:p>
    <w:p>
      <w:pPr>
        <w:ind w:firstLine="426"/>
        <w:rPr>
          <w:highlight w:val="none"/>
        </w:rPr>
      </w:pPr>
      <w:r>
        <w:rPr>
          <w:rFonts w:hint="eastAsia"/>
          <w:highlight w:val="none"/>
        </w:rPr>
        <w:t>（一）具备《中华人民共和国政府采购法》第二十二条第一款规定的条件：</w:t>
      </w:r>
    </w:p>
    <w:p>
      <w:pPr>
        <w:ind w:firstLine="426"/>
        <w:rPr>
          <w:highlight w:val="none"/>
        </w:rPr>
      </w:pPr>
      <w:r>
        <w:rPr>
          <w:rFonts w:hint="eastAsia"/>
          <w:highlight w:val="none"/>
        </w:rPr>
        <w:t>1、具有独立承担民事责任的能力；</w:t>
      </w:r>
    </w:p>
    <w:p>
      <w:pPr>
        <w:ind w:firstLine="426"/>
        <w:rPr>
          <w:highlight w:val="none"/>
        </w:rPr>
      </w:pPr>
      <w:r>
        <w:rPr>
          <w:rFonts w:hint="eastAsia"/>
          <w:highlight w:val="none"/>
        </w:rPr>
        <w:t xml:space="preserve">2、具有良好的商业信誉和健全的财务会计制度； </w:t>
      </w:r>
    </w:p>
    <w:p>
      <w:pPr>
        <w:ind w:firstLine="426"/>
        <w:rPr>
          <w:highlight w:val="none"/>
        </w:rPr>
      </w:pPr>
      <w:r>
        <w:rPr>
          <w:rFonts w:hint="eastAsia"/>
          <w:highlight w:val="none"/>
        </w:rPr>
        <w:t>3、具有履行合同所必需的设备和专业技术能力；</w:t>
      </w:r>
    </w:p>
    <w:p>
      <w:pPr>
        <w:ind w:firstLine="426"/>
        <w:rPr>
          <w:highlight w:val="none"/>
        </w:rPr>
      </w:pPr>
      <w:r>
        <w:rPr>
          <w:rFonts w:hint="eastAsia"/>
          <w:highlight w:val="none"/>
        </w:rPr>
        <w:t>4、有依法缴纳税收和社会保障资金的良好记录；</w:t>
      </w:r>
    </w:p>
    <w:p>
      <w:pPr>
        <w:ind w:firstLine="426"/>
        <w:rPr>
          <w:highlight w:val="none"/>
        </w:rPr>
      </w:pPr>
      <w:r>
        <w:rPr>
          <w:rFonts w:hint="eastAsia"/>
          <w:highlight w:val="none"/>
        </w:rPr>
        <w:t>5、参加政府采购活动前三年内，在经营活动中没有重大违法记录；</w:t>
      </w:r>
    </w:p>
    <w:p>
      <w:pPr>
        <w:ind w:firstLine="426"/>
        <w:rPr>
          <w:highlight w:val="none"/>
        </w:rPr>
      </w:pPr>
      <w:r>
        <w:rPr>
          <w:rFonts w:hint="eastAsia"/>
          <w:highlight w:val="none"/>
        </w:rPr>
        <w:t>6、具有法律、行政法规规定的其他条件。</w:t>
      </w:r>
    </w:p>
    <w:p>
      <w:pPr>
        <w:ind w:firstLine="426"/>
        <w:rPr>
          <w:highlight w:val="none"/>
        </w:rPr>
      </w:pPr>
      <w:r>
        <w:rPr>
          <w:rFonts w:hint="eastAsia"/>
          <w:highlight w:val="none"/>
        </w:rPr>
        <w:t>（二）未被信用中国（www.creditchina.gov.cn)、中国政府采购网（www.ccgp.gov.cn）列入失信被执行人、重大税收违法案件当事人名单、政府采购严重违法失信行为记录名单。</w:t>
      </w:r>
    </w:p>
    <w:p>
      <w:pPr>
        <w:ind w:firstLine="426"/>
        <w:rPr>
          <w:highlight w:val="none"/>
        </w:rPr>
      </w:pPr>
      <w:r>
        <w:rPr>
          <w:rFonts w:hint="eastAsia"/>
          <w:highlight w:val="none"/>
        </w:rPr>
        <w:t>（三）不存在以下情况：</w:t>
      </w:r>
    </w:p>
    <w:p>
      <w:pPr>
        <w:ind w:firstLine="426"/>
        <w:rPr>
          <w:highlight w:val="none"/>
        </w:rPr>
      </w:pPr>
      <w:r>
        <w:rPr>
          <w:rFonts w:hint="eastAsia"/>
          <w:highlight w:val="none"/>
        </w:rPr>
        <w:t>1、单位负责人为同一人或者存在直接控股、管理关系的不同供应商参加同一合同项下的政府采购活动的；</w:t>
      </w:r>
    </w:p>
    <w:p>
      <w:pPr>
        <w:ind w:firstLine="426"/>
        <w:rPr>
          <w:highlight w:val="none"/>
        </w:rPr>
      </w:pPr>
      <w:r>
        <w:rPr>
          <w:rFonts w:hint="eastAsia"/>
          <w:highlight w:val="none"/>
        </w:rPr>
        <w:t>2、为采购项目提供整体设计、规范编制或者项目管理、监理、检测等服务后再参加该采购项目的其他采购活动的。</w:t>
      </w:r>
    </w:p>
    <w:p>
      <w:pPr>
        <w:ind w:firstLine="426"/>
        <w:rPr>
          <w:highlight w:val="none"/>
        </w:rPr>
      </w:pPr>
    </w:p>
    <w:p>
      <w:pPr>
        <w:ind w:firstLine="426"/>
        <w:rPr>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pStyle w:val="5"/>
        <w:jc w:val="center"/>
        <w:rPr>
          <w:color w:val="000000"/>
          <w:highlight w:val="none"/>
        </w:rPr>
      </w:pPr>
      <w:r>
        <w:rPr>
          <w:color w:val="000000"/>
          <w:highlight w:val="none"/>
        </w:rPr>
        <w:br w:type="page"/>
      </w:r>
      <w:r>
        <w:rPr>
          <w:rFonts w:hint="eastAsia"/>
          <w:color w:val="000000"/>
          <w:highlight w:val="none"/>
        </w:rPr>
        <w:t>二、联合协议（如果有）</w:t>
      </w:r>
    </w:p>
    <w:p>
      <w:pPr>
        <w:ind w:firstLine="426"/>
        <w:rPr>
          <w:highlight w:val="none"/>
        </w:rPr>
      </w:pPr>
      <w:r>
        <w:rPr>
          <w:rFonts w:hint="eastAsia"/>
          <w:highlight w:val="none"/>
        </w:rPr>
        <w:t>[以联合体形式投标的，提供联合协议（附件5）；本项目不接受联合体投标或者投标人不以联合体形式投标的，则不需要提供）]</w:t>
      </w:r>
    </w:p>
    <w:p>
      <w:pPr>
        <w:ind w:firstLine="428"/>
        <w:rPr>
          <w:b/>
          <w:bCs/>
          <w:color w:val="000000"/>
          <w:highlight w:val="none"/>
        </w:rPr>
      </w:pPr>
    </w:p>
    <w:p>
      <w:pPr>
        <w:pStyle w:val="5"/>
        <w:jc w:val="center"/>
        <w:rPr>
          <w:b w:val="0"/>
          <w:bCs w:val="0"/>
          <w:color w:val="000000"/>
          <w:highlight w:val="none"/>
        </w:rPr>
      </w:pPr>
      <w:r>
        <w:rPr>
          <w:b w:val="0"/>
          <w:bCs w:val="0"/>
          <w:color w:val="000000"/>
          <w:highlight w:val="none"/>
        </w:rPr>
        <w:br w:type="page"/>
      </w:r>
      <w:r>
        <w:rPr>
          <w:rFonts w:hint="eastAsia"/>
          <w:color w:val="000000"/>
          <w:highlight w:val="none"/>
        </w:rPr>
        <w:t>三、落实政府采购政策需满足的资格要求</w:t>
      </w:r>
    </w:p>
    <w:p>
      <w:pPr>
        <w:ind w:firstLine="0" w:firstLineChars="0"/>
        <w:rPr>
          <w:highlight w:val="none"/>
        </w:rPr>
      </w:pPr>
      <w:r>
        <w:rPr>
          <w:rFonts w:hint="eastAsia"/>
          <w:highlight w:val="none"/>
        </w:rPr>
        <w:t>（根据竞争性磋商邀请公告落实政府采购政策需满足的资格要求选择提供相应的材料；未要求的，无需提供）</w:t>
      </w:r>
    </w:p>
    <w:p>
      <w:pPr>
        <w:ind w:firstLine="426"/>
        <w:rPr>
          <w:highlight w:val="none"/>
        </w:rPr>
      </w:pPr>
      <w:r>
        <w:rPr>
          <w:rFonts w:hint="eastAsia"/>
          <w:highlight w:val="none"/>
        </w:rPr>
        <w:t xml:space="preserve">a.专门面向中小企业，工程全部由符合政策要求的中小企业（或小微企业）承建的，提供相应的中小企业声明函（附件7）。 </w:t>
      </w:r>
    </w:p>
    <w:p>
      <w:pPr>
        <w:ind w:firstLine="426"/>
        <w:rPr>
          <w:highlight w:val="none"/>
        </w:rPr>
      </w:pPr>
    </w:p>
    <w:p>
      <w:pPr>
        <w:ind w:firstLine="426"/>
        <w:rPr>
          <w:highlight w:val="none"/>
        </w:rPr>
      </w:pPr>
      <w:r>
        <w:rPr>
          <w:rFonts w:hint="eastAsia"/>
          <w:highlight w:val="none"/>
        </w:rPr>
        <w:t>b.要求以联合体形式参加的，提供联合协议（附件5）和中小企业声明函（附件7），联合协议中中小企业合同金额应当达到竞争性磋商邀请公告载明的比例；如果供应商本身提供所有标的均由中小企业承建的，并相应达到了前述比例要求，视同符合了资格条件，无需再与其他中小企业组成联合体参加政府采购活动，无需提供联合协议。</w:t>
      </w:r>
    </w:p>
    <w:p>
      <w:pPr>
        <w:ind w:firstLine="426"/>
        <w:rPr>
          <w:highlight w:val="none"/>
        </w:rPr>
      </w:pPr>
      <w:r>
        <w:rPr>
          <w:rFonts w:hint="eastAsia"/>
          <w:highlight w:val="none"/>
        </w:rPr>
        <w:t xml:space="preserve">    </w:t>
      </w:r>
    </w:p>
    <w:p>
      <w:pPr>
        <w:ind w:firstLine="426"/>
        <w:rPr>
          <w:highlight w:val="none"/>
        </w:rPr>
      </w:pPr>
      <w:r>
        <w:rPr>
          <w:rFonts w:hint="eastAsia"/>
          <w:highlight w:val="none"/>
        </w:rPr>
        <w:t>c、要求合同分包的，提供分包意向协议（附件6）和中小企业声明函（附件7），分包意向协议中中小企业合同金额应当达到竞争性磋商邀请公告载明的比例；如果供应商本身提供的所有标的均由中小企业承建的，并相应达到了前述比例要求，视同符合了资格条件，无需再向中小企业分包，无需提供分包意向协议。</w:t>
      </w:r>
    </w:p>
    <w:p>
      <w:pPr>
        <w:pStyle w:val="5"/>
        <w:jc w:val="center"/>
        <w:rPr>
          <w:highlight w:val="none"/>
        </w:rPr>
      </w:pPr>
      <w:r>
        <w:rPr>
          <w:rFonts w:hint="eastAsia"/>
          <w:highlight w:val="none"/>
        </w:rPr>
        <w:br w:type="page"/>
      </w:r>
      <w:r>
        <w:rPr>
          <w:rFonts w:hint="eastAsia"/>
          <w:color w:val="000000"/>
          <w:highlight w:val="none"/>
        </w:rPr>
        <w:t>四、本项目的特定资格要求（如果有）</w:t>
      </w:r>
    </w:p>
    <w:p>
      <w:pPr>
        <w:ind w:firstLine="0" w:firstLineChars="0"/>
        <w:rPr>
          <w:highlight w:val="none"/>
        </w:rPr>
      </w:pPr>
      <w:r>
        <w:rPr>
          <w:rFonts w:hint="eastAsia"/>
          <w:highlight w:val="none"/>
        </w:rPr>
        <w:t>（根据竞争性磋商公告本项目的特定资格要求提供相应的材料；未要求的，无需提供）</w:t>
      </w:r>
    </w:p>
    <w:p>
      <w:pPr>
        <w:pStyle w:val="2"/>
        <w:ind w:firstLine="488"/>
        <w:rPr>
          <w:highlight w:val="none"/>
        </w:rPr>
      </w:pPr>
    </w:p>
    <w:p>
      <w:pPr>
        <w:ind w:firstLine="426"/>
        <w:rPr>
          <w:highlight w:val="none"/>
        </w:rPr>
      </w:pPr>
      <w:r>
        <w:rPr>
          <w:rFonts w:hint="eastAsia"/>
          <w:highlight w:val="none"/>
        </w:rPr>
        <w:t>1.建筑业企业资质扫描件。</w:t>
      </w:r>
    </w:p>
    <w:p>
      <w:pPr>
        <w:ind w:firstLine="426"/>
        <w:rPr>
          <w:highlight w:val="none"/>
        </w:rPr>
      </w:pPr>
      <w:r>
        <w:rPr>
          <w:rFonts w:hint="eastAsia"/>
          <w:highlight w:val="none"/>
        </w:rPr>
        <w:t>2.安全生产许可证证书扫描件。</w:t>
      </w:r>
    </w:p>
    <w:p>
      <w:pPr>
        <w:ind w:firstLine="426"/>
        <w:rPr>
          <w:highlight w:val="none"/>
        </w:rPr>
      </w:pPr>
      <w:r>
        <w:rPr>
          <w:rFonts w:hint="eastAsia"/>
          <w:highlight w:val="none"/>
        </w:rPr>
        <w:t>3.如为省外企业，还须提供有效的《省外企业进浙承接业务备案证明》扫描件或由浙江省建筑市场监管公共服务系统发布的进浙备案网页截图（带网址）。</w:t>
      </w:r>
    </w:p>
    <w:p>
      <w:pPr>
        <w:ind w:firstLine="426"/>
        <w:rPr>
          <w:highlight w:val="none"/>
        </w:rPr>
      </w:pPr>
      <w:r>
        <w:rPr>
          <w:rFonts w:hint="eastAsia"/>
          <w:highlight w:val="none"/>
        </w:rPr>
        <w:br w:type="page"/>
      </w:r>
    </w:p>
    <w:p>
      <w:pPr>
        <w:ind w:firstLine="426"/>
        <w:rPr>
          <w:highlight w:val="none"/>
        </w:rPr>
      </w:pPr>
      <w:bookmarkStart w:id="156" w:name="_Toc25891"/>
      <w:bookmarkStart w:id="157" w:name="_Toc3749"/>
    </w:p>
    <w:p>
      <w:pPr>
        <w:pStyle w:val="4"/>
        <w:jc w:val="center"/>
        <w:rPr>
          <w:highlight w:val="none"/>
        </w:rPr>
      </w:pPr>
      <w:bookmarkStart w:id="158" w:name="_Toc3573"/>
      <w:r>
        <w:rPr>
          <w:rFonts w:hint="eastAsia"/>
          <w:highlight w:val="none"/>
        </w:rPr>
        <w:t>商务技术文件部分</w:t>
      </w:r>
      <w:bookmarkEnd w:id="156"/>
      <w:bookmarkEnd w:id="157"/>
      <w:bookmarkEnd w:id="158"/>
    </w:p>
    <w:p>
      <w:pPr>
        <w:ind w:firstLine="0" w:firstLineChars="0"/>
        <w:rPr>
          <w:highlight w:val="none"/>
        </w:rPr>
      </w:pPr>
    </w:p>
    <w:p>
      <w:pPr>
        <w:ind w:firstLine="0" w:firstLineChars="0"/>
        <w:jc w:val="center"/>
        <w:rPr>
          <w:highlight w:val="none"/>
        </w:rPr>
      </w:pPr>
      <w:r>
        <w:rPr>
          <w:rFonts w:hint="eastAsia"/>
          <w:b/>
          <w:bCs/>
          <w:sz w:val="24"/>
          <w:szCs w:val="22"/>
          <w:highlight w:val="none"/>
        </w:rPr>
        <w:t>目  录</w:t>
      </w:r>
    </w:p>
    <w:p>
      <w:pPr>
        <w:ind w:firstLine="0" w:firstLineChars="0"/>
        <w:rPr>
          <w:highlight w:val="none"/>
        </w:rPr>
      </w:pPr>
      <w:r>
        <w:rPr>
          <w:rFonts w:hint="eastAsia"/>
          <w:highlight w:val="none"/>
        </w:rPr>
        <w:t>（1）响应函………………………………………………………………  ……………（页码）</w:t>
      </w:r>
    </w:p>
    <w:p>
      <w:pPr>
        <w:ind w:firstLine="0" w:firstLineChars="0"/>
        <w:rPr>
          <w:highlight w:val="none"/>
        </w:rPr>
      </w:pPr>
      <w:r>
        <w:rPr>
          <w:rFonts w:hint="eastAsia"/>
          <w:highlight w:val="none"/>
        </w:rPr>
        <w:t>（2）授权委托书或法定代表人（单位负责人、自然人本人）身份证明……………（页码）</w:t>
      </w:r>
    </w:p>
    <w:p>
      <w:pPr>
        <w:ind w:firstLine="0" w:firstLineChars="0"/>
        <w:rPr>
          <w:highlight w:val="none"/>
        </w:rPr>
      </w:pPr>
      <w:r>
        <w:rPr>
          <w:rFonts w:hint="eastAsia"/>
          <w:highlight w:val="none"/>
        </w:rPr>
        <w:t>（3）分包意向协议………………………………………………………………………（页码）</w:t>
      </w:r>
    </w:p>
    <w:p>
      <w:pPr>
        <w:ind w:firstLine="0" w:firstLineChars="0"/>
        <w:rPr>
          <w:highlight w:val="none"/>
        </w:rPr>
      </w:pPr>
      <w:r>
        <w:rPr>
          <w:rFonts w:hint="eastAsia"/>
          <w:highlight w:val="none"/>
        </w:rPr>
        <w:t>（4）符合性审查资料……………………………………………………………………（页码）</w:t>
      </w:r>
    </w:p>
    <w:p>
      <w:pPr>
        <w:ind w:firstLine="0" w:firstLineChars="0"/>
        <w:rPr>
          <w:highlight w:val="none"/>
        </w:rPr>
      </w:pPr>
      <w:r>
        <w:rPr>
          <w:rFonts w:hint="eastAsia"/>
          <w:highlight w:val="none"/>
        </w:rPr>
        <w:t>（5）评审标准相应的商务技术资料………………………………………… …………（页码）</w:t>
      </w:r>
    </w:p>
    <w:p>
      <w:pPr>
        <w:ind w:firstLine="0" w:firstLineChars="0"/>
        <w:rPr>
          <w:highlight w:val="none"/>
        </w:rPr>
      </w:pPr>
      <w:r>
        <w:rPr>
          <w:rFonts w:hint="eastAsia"/>
          <w:highlight w:val="none"/>
        </w:rPr>
        <w:t>（6）商务技术偏离表……………………………………………………………………（页码）</w:t>
      </w:r>
    </w:p>
    <w:p>
      <w:pPr>
        <w:ind w:firstLine="0" w:firstLineChars="0"/>
        <w:rPr>
          <w:highlight w:val="none"/>
        </w:rPr>
      </w:pPr>
      <w:r>
        <w:rPr>
          <w:rFonts w:hint="eastAsia"/>
          <w:highlight w:val="none"/>
        </w:rPr>
        <w:t>（7）政府采购供应商廉洁自律承诺书…………………………………………………（页码）</w:t>
      </w:r>
    </w:p>
    <w:p>
      <w:pPr>
        <w:ind w:firstLine="0" w:firstLineChars="0"/>
        <w:rPr>
          <w:highlight w:val="none"/>
        </w:rPr>
      </w:pPr>
      <w:r>
        <w:rPr>
          <w:rFonts w:hint="eastAsia"/>
          <w:highlight w:val="none"/>
        </w:rPr>
        <w:t>（8）中标服务费支付承诺书……………………………………………………………（页码）</w:t>
      </w:r>
    </w:p>
    <w:p>
      <w:pPr>
        <w:ind w:firstLine="426"/>
        <w:rPr>
          <w:highlight w:val="none"/>
        </w:rPr>
      </w:pPr>
      <w:r>
        <w:rPr>
          <w:rFonts w:hint="eastAsia"/>
          <w:highlight w:val="none"/>
        </w:rPr>
        <w:br w:type="page"/>
      </w:r>
    </w:p>
    <w:p>
      <w:pPr>
        <w:pStyle w:val="5"/>
        <w:jc w:val="center"/>
        <w:rPr>
          <w:highlight w:val="none"/>
        </w:rPr>
      </w:pPr>
      <w:r>
        <w:rPr>
          <w:rFonts w:hint="eastAsia"/>
          <w:highlight w:val="none"/>
        </w:rPr>
        <w:t>一、响应函</w:t>
      </w:r>
    </w:p>
    <w:p>
      <w:pPr>
        <w:ind w:firstLine="0" w:firstLineChars="0"/>
        <w:rPr>
          <w:highlight w:val="none"/>
        </w:rPr>
      </w:pPr>
      <w:r>
        <w:rPr>
          <w:rFonts w:hint="eastAsia"/>
          <w:highlight w:val="none"/>
          <w:u w:val="single"/>
        </w:rPr>
        <w:t>（采购人）、（采购代理机构）</w:t>
      </w:r>
      <w:r>
        <w:rPr>
          <w:rFonts w:hint="eastAsia"/>
          <w:highlight w:val="none"/>
        </w:rPr>
        <w:t>：</w:t>
      </w:r>
    </w:p>
    <w:p>
      <w:pPr>
        <w:ind w:firstLine="426"/>
        <w:rPr>
          <w:highlight w:val="none"/>
        </w:rPr>
      </w:pPr>
      <w:r>
        <w:rPr>
          <w:rFonts w:hint="eastAsia"/>
          <w:highlight w:val="none"/>
        </w:rPr>
        <w:t>我方参加你方组织的</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】采购的有关活动，并对此项目提交响应文件及报价。为此：</w:t>
      </w:r>
    </w:p>
    <w:p>
      <w:pPr>
        <w:ind w:firstLine="426"/>
        <w:rPr>
          <w:highlight w:val="none"/>
        </w:rPr>
      </w:pPr>
      <w:r>
        <w:rPr>
          <w:rFonts w:hint="eastAsia"/>
          <w:highlight w:val="none"/>
        </w:rPr>
        <w:t>1、我方承诺响应文件有效期从提交响应文件的截止之日起</w:t>
      </w:r>
      <w:r>
        <w:rPr>
          <w:rFonts w:hint="eastAsia"/>
          <w:highlight w:val="none"/>
          <w:u w:val="single"/>
        </w:rPr>
        <w:t xml:space="preserve">     </w:t>
      </w:r>
      <w:r>
        <w:rPr>
          <w:rFonts w:hint="eastAsia"/>
          <w:highlight w:val="none"/>
        </w:rPr>
        <w:t>天（不少于90天），本响应文件在响应文件有效期满之前均具有约束力。</w:t>
      </w:r>
    </w:p>
    <w:p>
      <w:pPr>
        <w:ind w:firstLine="426"/>
        <w:rPr>
          <w:highlight w:val="none"/>
        </w:rPr>
      </w:pPr>
      <w:r>
        <w:rPr>
          <w:rFonts w:hint="eastAsia"/>
          <w:highlight w:val="none"/>
        </w:rPr>
        <w:t>2、我方的响应文件包括以下内容：</w:t>
      </w:r>
    </w:p>
    <w:p>
      <w:pPr>
        <w:ind w:firstLine="426"/>
        <w:rPr>
          <w:highlight w:val="none"/>
        </w:rPr>
      </w:pPr>
      <w:r>
        <w:rPr>
          <w:rFonts w:hint="eastAsia"/>
          <w:highlight w:val="none"/>
        </w:rPr>
        <w:t>2.1资格文件：</w:t>
      </w:r>
    </w:p>
    <w:p>
      <w:pPr>
        <w:ind w:firstLine="426"/>
        <w:rPr>
          <w:highlight w:val="none"/>
        </w:rPr>
      </w:pPr>
      <w:r>
        <w:rPr>
          <w:rFonts w:hint="eastAsia"/>
          <w:highlight w:val="none"/>
        </w:rPr>
        <w:t>2.1.1承诺函；</w:t>
      </w:r>
    </w:p>
    <w:p>
      <w:pPr>
        <w:ind w:firstLine="426"/>
        <w:rPr>
          <w:highlight w:val="none"/>
        </w:rPr>
      </w:pPr>
      <w:r>
        <w:rPr>
          <w:rFonts w:hint="eastAsia"/>
          <w:highlight w:val="none"/>
        </w:rPr>
        <w:t>2.1.2联合协议（如果有)；</w:t>
      </w:r>
    </w:p>
    <w:p>
      <w:pPr>
        <w:ind w:firstLine="426"/>
        <w:rPr>
          <w:highlight w:val="none"/>
        </w:rPr>
      </w:pPr>
      <w:r>
        <w:rPr>
          <w:rFonts w:hint="eastAsia"/>
          <w:highlight w:val="none"/>
        </w:rPr>
        <w:t>2.1.3落实政府采购政策需满足的资格要求（如果有）；</w:t>
      </w:r>
    </w:p>
    <w:p>
      <w:pPr>
        <w:ind w:firstLine="426"/>
        <w:rPr>
          <w:highlight w:val="none"/>
        </w:rPr>
      </w:pPr>
      <w:r>
        <w:rPr>
          <w:rFonts w:hint="eastAsia"/>
          <w:highlight w:val="none"/>
        </w:rPr>
        <w:t>2.1.4本项目的特定资格要求（如果有）。</w:t>
      </w:r>
    </w:p>
    <w:p>
      <w:pPr>
        <w:ind w:firstLine="426"/>
        <w:rPr>
          <w:highlight w:val="none"/>
        </w:rPr>
      </w:pPr>
      <w:r>
        <w:rPr>
          <w:rFonts w:hint="eastAsia"/>
          <w:highlight w:val="none"/>
        </w:rPr>
        <w:t>2.2 商务技术文件：</w:t>
      </w:r>
    </w:p>
    <w:p>
      <w:pPr>
        <w:ind w:firstLine="426"/>
        <w:rPr>
          <w:highlight w:val="none"/>
        </w:rPr>
      </w:pPr>
      <w:r>
        <w:rPr>
          <w:rFonts w:hint="eastAsia"/>
          <w:highlight w:val="none"/>
        </w:rPr>
        <w:t xml:space="preserve">2.2.1响应函； </w:t>
      </w:r>
    </w:p>
    <w:p>
      <w:pPr>
        <w:ind w:firstLine="426"/>
        <w:rPr>
          <w:highlight w:val="none"/>
        </w:rPr>
      </w:pPr>
      <w:r>
        <w:rPr>
          <w:rFonts w:hint="eastAsia"/>
          <w:highlight w:val="none"/>
        </w:rPr>
        <w:t>2.2.2授权委托书或法定代表人（单位负责人）身份证明；</w:t>
      </w:r>
    </w:p>
    <w:p>
      <w:pPr>
        <w:ind w:firstLine="426"/>
        <w:rPr>
          <w:highlight w:val="none"/>
        </w:rPr>
      </w:pPr>
      <w:r>
        <w:rPr>
          <w:rFonts w:hint="eastAsia"/>
          <w:highlight w:val="none"/>
        </w:rPr>
        <w:t>2.2.3分包意向协议（如果有）；</w:t>
      </w:r>
    </w:p>
    <w:p>
      <w:pPr>
        <w:ind w:firstLine="426"/>
        <w:rPr>
          <w:highlight w:val="none"/>
        </w:rPr>
      </w:pPr>
      <w:r>
        <w:rPr>
          <w:rFonts w:hint="eastAsia"/>
          <w:highlight w:val="none"/>
        </w:rPr>
        <w:t>2.2.4符合性审查资料；</w:t>
      </w:r>
    </w:p>
    <w:p>
      <w:pPr>
        <w:ind w:firstLine="426"/>
        <w:rPr>
          <w:highlight w:val="none"/>
        </w:rPr>
      </w:pPr>
      <w:r>
        <w:rPr>
          <w:rFonts w:hint="eastAsia"/>
          <w:highlight w:val="none"/>
        </w:rPr>
        <w:t>2.2.5评审标准相应的商务技术资料；</w:t>
      </w:r>
    </w:p>
    <w:p>
      <w:pPr>
        <w:ind w:firstLine="426"/>
        <w:rPr>
          <w:highlight w:val="none"/>
        </w:rPr>
      </w:pPr>
      <w:r>
        <w:rPr>
          <w:rFonts w:hint="eastAsia"/>
          <w:highlight w:val="none"/>
        </w:rPr>
        <w:t>2.2.6商务技术偏离表；</w:t>
      </w:r>
    </w:p>
    <w:p>
      <w:pPr>
        <w:ind w:firstLine="426"/>
        <w:rPr>
          <w:highlight w:val="none"/>
        </w:rPr>
      </w:pPr>
      <w:r>
        <w:rPr>
          <w:rFonts w:hint="eastAsia"/>
          <w:highlight w:val="none"/>
        </w:rPr>
        <w:t>2.2.7政府采购供应商廉洁自律承诺书；</w:t>
      </w:r>
    </w:p>
    <w:p>
      <w:pPr>
        <w:ind w:firstLine="426"/>
        <w:rPr>
          <w:highlight w:val="none"/>
        </w:rPr>
      </w:pPr>
      <w:r>
        <w:rPr>
          <w:rFonts w:hint="eastAsia"/>
          <w:highlight w:val="none"/>
        </w:rPr>
        <w:t>2.2.8中标服务费支付承诺书</w:t>
      </w:r>
    </w:p>
    <w:p>
      <w:pPr>
        <w:ind w:firstLine="426"/>
        <w:rPr>
          <w:highlight w:val="none"/>
        </w:rPr>
      </w:pPr>
      <w:r>
        <w:rPr>
          <w:rFonts w:hint="eastAsia"/>
          <w:highlight w:val="none"/>
        </w:rPr>
        <w:t>2.3报价文件</w:t>
      </w:r>
    </w:p>
    <w:p>
      <w:pPr>
        <w:ind w:firstLine="426"/>
        <w:rPr>
          <w:highlight w:val="none"/>
        </w:rPr>
      </w:pPr>
      <w:r>
        <w:rPr>
          <w:rFonts w:hint="eastAsia"/>
          <w:highlight w:val="none"/>
        </w:rPr>
        <w:t>2.3.1报价单；</w:t>
      </w:r>
    </w:p>
    <w:p>
      <w:pPr>
        <w:ind w:firstLine="426"/>
        <w:rPr>
          <w:highlight w:val="none"/>
        </w:rPr>
      </w:pPr>
      <w:r>
        <w:rPr>
          <w:rFonts w:hint="eastAsia"/>
          <w:highlight w:val="none"/>
        </w:rPr>
        <w:t>2.3.2已标价工程量清单；</w:t>
      </w:r>
    </w:p>
    <w:p>
      <w:pPr>
        <w:ind w:firstLine="426"/>
        <w:rPr>
          <w:highlight w:val="none"/>
        </w:rPr>
      </w:pPr>
      <w:r>
        <w:rPr>
          <w:rFonts w:hint="eastAsia"/>
          <w:highlight w:val="none"/>
        </w:rPr>
        <w:t>3、我方承诺除商务技术偏离表列出的偏离外，我方响应采购文件的全部要求。</w:t>
      </w:r>
    </w:p>
    <w:p>
      <w:pPr>
        <w:ind w:firstLine="426"/>
        <w:rPr>
          <w:highlight w:val="none"/>
        </w:rPr>
      </w:pPr>
      <w:r>
        <w:rPr>
          <w:rFonts w:hint="eastAsia"/>
          <w:highlight w:val="none"/>
        </w:rPr>
        <w:t>4、如我方成交，我方承诺：</w:t>
      </w:r>
    </w:p>
    <w:p>
      <w:pPr>
        <w:ind w:firstLine="426"/>
        <w:rPr>
          <w:highlight w:val="none"/>
        </w:rPr>
      </w:pPr>
      <w:r>
        <w:rPr>
          <w:rFonts w:hint="eastAsia"/>
          <w:highlight w:val="none"/>
        </w:rPr>
        <w:t xml:space="preserve">4.1在收到成交通知书后，在成交通知书规定的期限内与你方签订合同； </w:t>
      </w:r>
    </w:p>
    <w:p>
      <w:pPr>
        <w:ind w:firstLine="426"/>
        <w:rPr>
          <w:highlight w:val="none"/>
        </w:rPr>
      </w:pPr>
      <w:r>
        <w:rPr>
          <w:rFonts w:hint="eastAsia"/>
          <w:highlight w:val="none"/>
        </w:rPr>
        <w:t xml:space="preserve">4.2在签订合同时不向你方提出附加条件； </w:t>
      </w:r>
    </w:p>
    <w:p>
      <w:pPr>
        <w:ind w:firstLine="426"/>
        <w:rPr>
          <w:highlight w:val="none"/>
        </w:rPr>
      </w:pPr>
      <w:r>
        <w:rPr>
          <w:rFonts w:hint="eastAsia"/>
          <w:highlight w:val="none"/>
        </w:rPr>
        <w:t xml:space="preserve">4.3按照采购文件要求提交履约保证金； </w:t>
      </w:r>
    </w:p>
    <w:p>
      <w:pPr>
        <w:ind w:firstLine="426"/>
        <w:rPr>
          <w:highlight w:val="none"/>
        </w:rPr>
      </w:pPr>
      <w:r>
        <w:rPr>
          <w:rFonts w:hint="eastAsia"/>
          <w:highlight w:val="none"/>
        </w:rPr>
        <w:t xml:space="preserve">4.4在合同约定的期限内完成合同规定的全部义务。 </w:t>
      </w:r>
    </w:p>
    <w:p>
      <w:pPr>
        <w:ind w:firstLine="426"/>
        <w:rPr>
          <w:highlight w:val="none"/>
        </w:rPr>
      </w:pPr>
      <w:r>
        <w:rPr>
          <w:rFonts w:hint="eastAsia"/>
          <w:highlight w:val="none"/>
        </w:rPr>
        <w:t>5、其他补充说明:</w:t>
      </w:r>
      <w:r>
        <w:rPr>
          <w:rFonts w:hint="eastAsia"/>
          <w:highlight w:val="none"/>
          <w:u w:val="single"/>
        </w:rPr>
        <w:t xml:space="preserve">           </w:t>
      </w:r>
      <w:r>
        <w:rPr>
          <w:rFonts w:hint="eastAsia"/>
          <w:highlight w:val="none"/>
        </w:rPr>
        <w:t>。</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right"/>
        <w:rPr>
          <w:highlight w:val="none"/>
        </w:rPr>
      </w:pPr>
    </w:p>
    <w:p>
      <w:pPr>
        <w:ind w:firstLine="0" w:firstLineChars="0"/>
        <w:rPr>
          <w:highlight w:val="none"/>
        </w:rPr>
      </w:pPr>
    </w:p>
    <w:p>
      <w:pPr>
        <w:ind w:firstLine="428"/>
        <w:rPr>
          <w:b/>
          <w:bCs/>
          <w:highlight w:val="none"/>
        </w:rPr>
      </w:pPr>
      <w:r>
        <w:rPr>
          <w:rFonts w:hint="eastAsia"/>
          <w:b/>
          <w:bCs/>
          <w:highlight w:val="none"/>
        </w:rPr>
        <w:t>注：按本格式和要求提供。</w:t>
      </w:r>
    </w:p>
    <w:p>
      <w:pPr>
        <w:snapToGrid w:val="0"/>
        <w:ind w:firstLine="426"/>
        <w:jc w:val="center"/>
        <w:outlineLvl w:val="2"/>
        <w:rPr>
          <w:rFonts w:ascii="宋体" w:hAnsi="宋体" w:cs="宋体"/>
          <w:b/>
          <w:bCs/>
          <w:sz w:val="32"/>
          <w:szCs w:val="32"/>
          <w:highlight w:val="none"/>
          <w:lang w:val="zh-CN"/>
        </w:rPr>
      </w:pPr>
      <w:r>
        <w:rPr>
          <w:highlight w:val="none"/>
        </w:rPr>
        <w:br w:type="page"/>
      </w:r>
      <w:r>
        <w:rPr>
          <w:rStyle w:val="82"/>
          <w:rFonts w:hint="eastAsia"/>
          <w:highlight w:val="none"/>
          <w:lang w:val="zh-CN"/>
        </w:rPr>
        <w:t>二、授权委托书或法定代表人（单位负责人、自然人本人）身份证明</w:t>
      </w:r>
    </w:p>
    <w:p>
      <w:pPr>
        <w:ind w:firstLine="0" w:firstLineChars="0"/>
        <w:jc w:val="center"/>
        <w:rPr>
          <w:b/>
          <w:bCs/>
          <w:sz w:val="24"/>
          <w:szCs w:val="32"/>
          <w:highlight w:val="none"/>
          <w:lang w:val="zh-CN"/>
        </w:rPr>
      </w:pPr>
      <w:r>
        <w:rPr>
          <w:rFonts w:hint="eastAsia"/>
          <w:b/>
          <w:bCs/>
          <w:highlight w:val="none"/>
          <w:lang w:val="zh-CN"/>
        </w:rPr>
        <w:t>授权委托书（适用于非联合体</w:t>
      </w:r>
      <w:r>
        <w:rPr>
          <w:rFonts w:hint="eastAsia"/>
          <w:b/>
          <w:bCs/>
          <w:highlight w:val="none"/>
        </w:rPr>
        <w:t>响应</w:t>
      </w:r>
      <w:r>
        <w:rPr>
          <w:rFonts w:hint="eastAsia"/>
          <w:b/>
          <w:bCs/>
          <w:highlight w:val="none"/>
          <w:lang w:val="zh-CN"/>
        </w:rPr>
        <w:t>）</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rPr>
      </w:pPr>
      <w:r>
        <w:rPr>
          <w:rFonts w:hint="eastAsia"/>
          <w:highlight w:val="none"/>
        </w:rPr>
        <w:t>现</w:t>
      </w:r>
      <w:r>
        <w:rPr>
          <w:rFonts w:hint="eastAsia"/>
          <w:highlight w:val="none"/>
          <w:lang w:val="zh-CN"/>
        </w:rPr>
        <w:t>委托</w:t>
      </w:r>
      <w:r>
        <w:rPr>
          <w:rFonts w:hint="eastAsia"/>
          <w:highlight w:val="none"/>
          <w:u w:val="single"/>
        </w:rPr>
        <w:t xml:space="preserve">           </w:t>
      </w:r>
      <w:r>
        <w:rPr>
          <w:rFonts w:hint="eastAsia"/>
          <w:highlight w:val="none"/>
          <w:lang w:val="zh-CN"/>
        </w:rPr>
        <w:t>（姓名）为我方代理人（身份证号码：</w:t>
      </w:r>
      <w:r>
        <w:rPr>
          <w:rFonts w:hint="eastAsia"/>
          <w:highlight w:val="none"/>
          <w:u w:val="single"/>
        </w:rPr>
        <w:t xml:space="preserve">           </w:t>
      </w:r>
      <w:r>
        <w:rPr>
          <w:rFonts w:hint="eastAsia"/>
          <w:highlight w:val="none"/>
          <w:lang w:val="zh-CN"/>
        </w:rPr>
        <w:t>，手机：</w:t>
      </w:r>
      <w:r>
        <w:rPr>
          <w:rFonts w:hint="eastAsia"/>
          <w:highlight w:val="none"/>
          <w:u w:val="single"/>
        </w:rPr>
        <w:t xml:space="preserve">           </w:t>
      </w:r>
      <w:r>
        <w:rPr>
          <w:rFonts w:hint="eastAsia"/>
          <w:highlight w:val="none"/>
          <w:lang w:val="zh-CN"/>
        </w:rPr>
        <w:t>），以我方名义处理</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w:t>
      </w:r>
      <w:r>
        <w:rPr>
          <w:rFonts w:hint="eastAsia"/>
          <w:highlight w:val="none"/>
          <w:lang w:val="zh-CN"/>
        </w:rPr>
        <w:t>政府采购</w:t>
      </w:r>
      <w:r>
        <w:rPr>
          <w:rFonts w:hint="eastAsia"/>
          <w:highlight w:val="none"/>
        </w:rPr>
        <w:t>响应</w:t>
      </w:r>
      <w:r>
        <w:rPr>
          <w:rFonts w:hint="eastAsia"/>
          <w:highlight w:val="none"/>
          <w:lang w:val="zh-CN"/>
        </w:rPr>
        <w:t>的一切事项，其法律后果由我方承担。</w:t>
      </w:r>
    </w:p>
    <w:p>
      <w:pPr>
        <w:ind w:firstLine="42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26"/>
        <w:rPr>
          <w:highlight w:val="none"/>
        </w:rPr>
      </w:pPr>
      <w:r>
        <w:rPr>
          <w:rFonts w:hint="eastAsia"/>
          <w:highlight w:val="none"/>
          <w:lang w:val="zh-CN"/>
        </w:rPr>
        <w:t>特此告知。</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lang w:val="zh-CN"/>
        </w:rPr>
      </w:pPr>
    </w:p>
    <w:p>
      <w:pPr>
        <w:snapToGrid w:val="0"/>
        <w:ind w:firstLine="486"/>
        <w:rPr>
          <w:rFonts w:ascii="宋体" w:hAnsi="宋体" w:cs="宋体"/>
          <w:sz w:val="24"/>
          <w:highlight w:val="none"/>
        </w:rPr>
      </w:pPr>
    </w:p>
    <w:p>
      <w:pPr>
        <w:snapToGrid w:val="0"/>
        <w:ind w:firstLine="486"/>
        <w:rPr>
          <w:rFonts w:ascii="宋体" w:hAnsi="宋体" w:cs="宋体"/>
          <w:sz w:val="24"/>
          <w:highlight w:val="none"/>
        </w:rPr>
      </w:pPr>
    </w:p>
    <w:p>
      <w:pPr>
        <w:snapToGrid w:val="0"/>
        <w:ind w:firstLine="486"/>
        <w:rPr>
          <w:rFonts w:ascii="宋体" w:hAnsi="宋体" w:cs="宋体"/>
          <w:sz w:val="24"/>
          <w:highlight w:val="none"/>
        </w:rPr>
      </w:pPr>
    </w:p>
    <w:p>
      <w:pPr>
        <w:ind w:firstLine="0" w:firstLineChars="0"/>
        <w:jc w:val="center"/>
        <w:rPr>
          <w:b/>
          <w:bCs/>
          <w:highlight w:val="none"/>
          <w:lang w:val="zh-CN"/>
        </w:rPr>
      </w:pPr>
      <w:r>
        <w:rPr>
          <w:rFonts w:hint="eastAsia"/>
          <w:b/>
          <w:bCs/>
          <w:highlight w:val="none"/>
          <w:lang w:val="zh-CN"/>
        </w:rPr>
        <w:t>授权委托书（适用于联合体响应）</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snapToGrid w:val="0"/>
        <w:ind w:firstLine="486"/>
        <w:rPr>
          <w:rFonts w:ascii="宋体" w:hAnsi="宋体" w:cs="宋体"/>
          <w:sz w:val="24"/>
          <w:highlight w:val="none"/>
        </w:rPr>
      </w:pPr>
    </w:p>
    <w:p>
      <w:pPr>
        <w:ind w:firstLine="426"/>
        <w:rPr>
          <w:highlight w:val="none"/>
        </w:rPr>
      </w:pPr>
      <w:r>
        <w:rPr>
          <w:rFonts w:hint="eastAsia"/>
          <w:highlight w:val="none"/>
        </w:rPr>
        <w:t>现</w:t>
      </w:r>
      <w:r>
        <w:rPr>
          <w:rFonts w:hint="eastAsia"/>
          <w:highlight w:val="none"/>
          <w:lang w:val="zh-CN"/>
        </w:rPr>
        <w:t>委托</w:t>
      </w:r>
      <w:r>
        <w:rPr>
          <w:rFonts w:hint="eastAsia"/>
          <w:highlight w:val="none"/>
          <w:u w:val="single"/>
        </w:rPr>
        <w:t xml:space="preserve">           </w:t>
      </w:r>
      <w:r>
        <w:rPr>
          <w:rFonts w:hint="eastAsia"/>
          <w:highlight w:val="none"/>
          <w:lang w:val="zh-CN"/>
        </w:rPr>
        <w:t>（姓名）为我方代理人（身份证号码：</w:t>
      </w:r>
      <w:r>
        <w:rPr>
          <w:rFonts w:hint="eastAsia"/>
          <w:highlight w:val="none"/>
          <w:u w:val="single"/>
        </w:rPr>
        <w:t xml:space="preserve">           </w:t>
      </w:r>
      <w:r>
        <w:rPr>
          <w:rFonts w:hint="eastAsia"/>
          <w:highlight w:val="none"/>
          <w:lang w:val="zh-CN"/>
        </w:rPr>
        <w:t>，手机：</w:t>
      </w:r>
      <w:r>
        <w:rPr>
          <w:rFonts w:hint="eastAsia"/>
          <w:highlight w:val="none"/>
          <w:u w:val="single"/>
        </w:rPr>
        <w:t xml:space="preserve">           </w:t>
      </w:r>
      <w:r>
        <w:rPr>
          <w:rFonts w:hint="eastAsia"/>
          <w:highlight w:val="none"/>
          <w:lang w:val="zh-CN"/>
        </w:rPr>
        <w:t>），以我方名义处理</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w:t>
      </w:r>
      <w:r>
        <w:rPr>
          <w:rFonts w:hint="eastAsia"/>
          <w:highlight w:val="none"/>
          <w:lang w:val="zh-CN"/>
        </w:rPr>
        <w:t>政府采购</w:t>
      </w:r>
      <w:r>
        <w:rPr>
          <w:rFonts w:hint="eastAsia"/>
          <w:highlight w:val="none"/>
        </w:rPr>
        <w:t>响应</w:t>
      </w:r>
      <w:r>
        <w:rPr>
          <w:rFonts w:hint="eastAsia"/>
          <w:highlight w:val="none"/>
          <w:lang w:val="zh-CN"/>
        </w:rPr>
        <w:t>的一切事项，其法律后果由我方承担。</w:t>
      </w:r>
    </w:p>
    <w:p>
      <w:pPr>
        <w:ind w:firstLine="42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26"/>
        <w:rPr>
          <w:highlight w:val="none"/>
        </w:rPr>
      </w:pPr>
      <w:r>
        <w:rPr>
          <w:rFonts w:hint="eastAsia"/>
          <w:highlight w:val="none"/>
          <w:lang w:val="zh-CN"/>
        </w:rPr>
        <w:t>特此告知。</w:t>
      </w:r>
    </w:p>
    <w:p>
      <w:pPr>
        <w:ind w:firstLine="426"/>
        <w:rPr>
          <w:rFonts w:ascii="宋体" w:hAnsi="宋体" w:cs="宋体"/>
          <w:highlight w:val="none"/>
        </w:rPr>
      </w:pPr>
    </w:p>
    <w:p>
      <w:pPr>
        <w:ind w:firstLine="426"/>
        <w:jc w:val="right"/>
        <w:rPr>
          <w:highlight w:val="none"/>
          <w:lang w:val="zh-CN"/>
        </w:rPr>
      </w:pPr>
      <w:r>
        <w:rPr>
          <w:rFonts w:hint="eastAsia"/>
          <w:highlight w:val="none"/>
          <w:lang w:val="zh-CN"/>
        </w:rPr>
        <w:t>联合体成员名称(电子签名/公章)：</w:t>
      </w:r>
    </w:p>
    <w:p>
      <w:pPr>
        <w:ind w:firstLine="426"/>
        <w:jc w:val="right"/>
        <w:rPr>
          <w:highlight w:val="none"/>
          <w:lang w:val="zh-CN"/>
        </w:rPr>
      </w:pPr>
      <w:r>
        <w:rPr>
          <w:rFonts w:hint="eastAsia"/>
          <w:highlight w:val="none"/>
          <w:lang w:val="zh-CN"/>
        </w:rPr>
        <w:t>联合体成员名称(电子签名/公章)：</w:t>
      </w:r>
    </w:p>
    <w:p>
      <w:pPr>
        <w:ind w:firstLine="426"/>
        <w:jc w:val="right"/>
        <w:rPr>
          <w:highlight w:val="none"/>
        </w:rPr>
      </w:pPr>
      <w:r>
        <w:rPr>
          <w:rFonts w:hint="eastAsia"/>
          <w:highlight w:val="none"/>
          <w:lang w:val="zh-CN"/>
        </w:rPr>
        <w:t>……</w:t>
      </w:r>
    </w:p>
    <w:p>
      <w:pPr>
        <w:ind w:firstLine="426"/>
        <w:jc w:val="right"/>
        <w:rPr>
          <w:rFonts w:ascii="宋体" w:hAnsi="宋体" w:cs="宋体"/>
          <w:highlight w:val="none"/>
          <w:lang w:val="zh-CN"/>
        </w:rPr>
      </w:pPr>
      <w:r>
        <w:rPr>
          <w:rFonts w:hint="eastAsia"/>
          <w:highlight w:val="none"/>
          <w:lang w:val="zh-CN"/>
        </w:rPr>
        <w:t xml:space="preserve">日期：  年  月   </w:t>
      </w:r>
      <w:r>
        <w:rPr>
          <w:rFonts w:hint="eastAsia" w:ascii="宋体" w:hAnsi="宋体" w:cs="宋体"/>
          <w:highlight w:val="none"/>
          <w:lang w:val="zh-CN"/>
        </w:rPr>
        <w:t>日</w:t>
      </w:r>
    </w:p>
    <w:p>
      <w:pPr>
        <w:ind w:firstLine="0" w:firstLineChars="0"/>
        <w:jc w:val="center"/>
        <w:rPr>
          <w:highlight w:val="none"/>
        </w:rPr>
      </w:pPr>
      <w:r>
        <w:rPr>
          <w:rFonts w:hint="eastAsia" w:ascii="宋体" w:hAnsi="宋体" w:cs="宋体"/>
          <w:highlight w:val="none"/>
          <w:lang w:val="zh-CN"/>
        </w:rPr>
        <w:br w:type="page"/>
      </w:r>
      <w:r>
        <w:rPr>
          <w:rFonts w:hint="eastAsia"/>
          <w:b/>
          <w:bCs/>
          <w:highlight w:val="none"/>
          <w:lang w:val="zh-CN"/>
        </w:rPr>
        <w:t>法定代表人、单位负责人或自然人本人</w:t>
      </w:r>
      <w:r>
        <w:rPr>
          <w:rFonts w:hint="eastAsia"/>
          <w:b/>
          <w:bCs/>
          <w:highlight w:val="none"/>
        </w:rPr>
        <w:t>的身份证明（适用于法定代表人、单位负责人或者自然人本人代表供应商参加响应）</w:t>
      </w:r>
    </w:p>
    <w:p>
      <w:pPr>
        <w:ind w:firstLine="0" w:firstLineChars="0"/>
        <w:rPr>
          <w:highlight w:val="none"/>
        </w:rPr>
      </w:pPr>
      <w:r>
        <w:rPr>
          <w:rFonts w:hint="eastAsia"/>
          <w:highlight w:val="none"/>
        </w:rPr>
        <w:t>身份证件扫描件：</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pPr>
              <w:ind w:firstLine="426"/>
              <w:rPr>
                <w:highlight w:val="none"/>
              </w:rPr>
            </w:pPr>
            <w:r>
              <w:rPr>
                <w:rFonts w:hint="eastAsia"/>
                <w:highlight w:val="none"/>
              </w:rPr>
              <w:t>正面：                                 反面：</w:t>
            </w:r>
          </w:p>
        </w:tc>
      </w:tr>
    </w:tbl>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center"/>
        <w:rPr>
          <w:b/>
          <w:bCs/>
          <w:highlight w:val="none"/>
          <w:lang w:val="zh-CN"/>
        </w:rPr>
      </w:pPr>
      <w:r>
        <w:rPr>
          <w:rFonts w:hint="eastAsia"/>
          <w:b/>
          <w:bCs/>
          <w:highlight w:val="none"/>
          <w:lang w:val="zh-CN"/>
        </w:rPr>
        <w:t>授权代表的身份证（复印件）</w:t>
      </w:r>
    </w:p>
    <w:p>
      <w:pPr>
        <w:pStyle w:val="724"/>
        <w:spacing w:line="360" w:lineRule="auto"/>
        <w:rPr>
          <w:rFonts w:ascii="方正仿宋_GB2312" w:hAnsi="方正仿宋_GB2312" w:eastAsia="方正仿宋_GB2312" w:cs="方正仿宋_GB2312"/>
          <w:bCs/>
          <w:sz w:val="24"/>
          <w:highlight w:val="none"/>
        </w:rPr>
      </w:pPr>
      <w:r>
        <w:rPr>
          <w:rFonts w:hint="eastAsia" w:ascii="仿宋" w:hAnsi="仿宋" w:eastAsia="仿宋"/>
          <w:szCs w:val="20"/>
          <w:highlight w:val="none"/>
        </w:rPr>
        <w:t>授权代表身份证件扫描件：</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5000" w:type="pct"/>
          </w:tcPr>
          <w:p>
            <w:pPr>
              <w:ind w:firstLine="426"/>
              <w:rPr>
                <w:highlight w:val="none"/>
              </w:rPr>
            </w:pPr>
            <w:r>
              <w:rPr>
                <w:rFonts w:hint="eastAsia"/>
                <w:highlight w:val="none"/>
              </w:rPr>
              <w:t>正面：                                 反面：</w:t>
            </w:r>
          </w:p>
          <w:p>
            <w:pPr>
              <w:ind w:firstLine="426"/>
              <w:rPr>
                <w:highlight w:val="none"/>
              </w:rPr>
            </w:pPr>
          </w:p>
        </w:tc>
      </w:tr>
    </w:tbl>
    <w:p>
      <w:pPr>
        <w:ind w:firstLine="0" w:firstLineChars="0"/>
        <w:rPr>
          <w:b/>
          <w:bCs/>
          <w:highlight w:val="none"/>
          <w:lang w:val="zh-CN"/>
        </w:rPr>
      </w:pPr>
    </w:p>
    <w:p>
      <w:pPr>
        <w:ind w:firstLine="0" w:firstLineChars="0"/>
        <w:rPr>
          <w:rFonts w:ascii="方正仿宋_GB2312" w:hAnsi="方正仿宋_GB2312" w:eastAsia="方正仿宋_GB2312" w:cs="方正仿宋_GB2312"/>
          <w:highlight w:val="none"/>
        </w:rPr>
      </w:pPr>
      <w:r>
        <w:rPr>
          <w:rFonts w:hint="eastAsia"/>
          <w:b/>
          <w:bCs/>
          <w:highlight w:val="none"/>
        </w:rPr>
        <w:t>同时提供；授权委托人近三个月内任意时间点在供应商处缴纳社保的参保证明。</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center"/>
        <w:outlineLvl w:val="2"/>
        <w:rPr>
          <w:rStyle w:val="82"/>
          <w:highlight w:val="none"/>
        </w:rPr>
      </w:pPr>
      <w:r>
        <w:rPr>
          <w:rFonts w:hint="eastAsia"/>
          <w:highlight w:val="none"/>
        </w:rPr>
        <w:br w:type="page"/>
      </w:r>
      <w:r>
        <w:rPr>
          <w:rStyle w:val="82"/>
          <w:rFonts w:hint="eastAsia"/>
          <w:highlight w:val="none"/>
          <w:lang w:val="zh-CN"/>
        </w:rPr>
        <w:t>三、分包意向协议</w:t>
      </w:r>
    </w:p>
    <w:p>
      <w:pPr>
        <w:ind w:firstLine="0" w:firstLineChars="0"/>
        <w:rPr>
          <w:highlight w:val="none"/>
        </w:rPr>
      </w:pPr>
      <w:bookmarkStart w:id="159" w:name="_Hlk101169080"/>
      <w:r>
        <w:rPr>
          <w:rFonts w:hint="eastAsia"/>
          <w:highlight w:val="none"/>
        </w:rPr>
        <w:t>[成交后以分包方式履行合同的，提供分包意向协议(附件6</w:t>
      </w:r>
      <w:r>
        <w:rPr>
          <w:highlight w:val="none"/>
        </w:rPr>
        <w:t>)</w:t>
      </w:r>
      <w:r>
        <w:rPr>
          <w:rFonts w:hint="eastAsia"/>
          <w:highlight w:val="none"/>
        </w:rPr>
        <w:t>；采购人不同意分包或者供应商成交后不以分包方式履行合同的，则不需要提供。]</w:t>
      </w:r>
    </w:p>
    <w:bookmarkEnd w:id="159"/>
    <w:p>
      <w:pPr>
        <w:snapToGrid w:val="0"/>
        <w:ind w:firstLine="0" w:firstLineChars="0"/>
        <w:jc w:val="center"/>
        <w:outlineLvl w:val="2"/>
        <w:rPr>
          <w:rFonts w:ascii="宋体" w:hAnsi="宋体" w:cs="宋体"/>
          <w:b/>
          <w:bCs/>
          <w:sz w:val="32"/>
          <w:szCs w:val="32"/>
          <w:highlight w:val="none"/>
        </w:rPr>
      </w:pPr>
      <w:r>
        <w:rPr>
          <w:highlight w:val="none"/>
        </w:rPr>
        <w:br w:type="page"/>
      </w:r>
      <w:r>
        <w:rPr>
          <w:rStyle w:val="82"/>
          <w:rFonts w:hint="eastAsia"/>
          <w:highlight w:val="none"/>
        </w:rPr>
        <w:t>四、符合性审查资料</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3971"/>
        <w:gridCol w:w="242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序号</w:t>
            </w:r>
          </w:p>
        </w:tc>
        <w:tc>
          <w:tcPr>
            <w:tcW w:w="2330"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实质性要求</w:t>
            </w:r>
          </w:p>
        </w:tc>
        <w:tc>
          <w:tcPr>
            <w:tcW w:w="1425"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需要提供的符合性审查资料</w:t>
            </w:r>
          </w:p>
        </w:tc>
        <w:tc>
          <w:tcPr>
            <w:tcW w:w="909"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1</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响应文件按照采购文件要求签署、盖章。</w:t>
            </w:r>
          </w:p>
        </w:tc>
        <w:tc>
          <w:tcPr>
            <w:tcW w:w="1425" w:type="pct"/>
            <w:vAlign w:val="center"/>
          </w:tcPr>
          <w:p>
            <w:pPr>
              <w:spacing w:line="240" w:lineRule="auto"/>
              <w:ind w:firstLine="0" w:firstLineChars="0"/>
              <w:jc w:val="left"/>
              <w:rPr>
                <w:rFonts w:cs="仿宋"/>
                <w:szCs w:val="21"/>
                <w:highlight w:val="none"/>
              </w:rPr>
            </w:pPr>
            <w:r>
              <w:rPr>
                <w:rFonts w:hint="eastAsia" w:cs="仿宋"/>
                <w:szCs w:val="21"/>
                <w:highlight w:val="none"/>
              </w:rPr>
              <w:t>需要使用电子签名或者签字盖章的响应文件的组成部分</w:t>
            </w:r>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w:t>
            </w:r>
          </w:p>
          <w:p>
            <w:pPr>
              <w:spacing w:line="240" w:lineRule="auto"/>
              <w:ind w:firstLine="0" w:firstLineChars="0"/>
              <w:jc w:val="center"/>
              <w:rPr>
                <w:rFonts w:cs="仿宋"/>
                <w:szCs w:val="21"/>
                <w:highlight w:val="none"/>
              </w:rPr>
            </w:pPr>
            <w:r>
              <w:rPr>
                <w:rFonts w:hint="eastAsia" w:cs="仿宋"/>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2</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采购人拟采购的产品属于政府强制采购的节能产品品目清单范围的，供应商按采购文件要求提供国家确定的认证机构出具的、处于有效期之内的节能产品认证证书。</w:t>
            </w:r>
          </w:p>
        </w:tc>
        <w:tc>
          <w:tcPr>
            <w:tcW w:w="1425" w:type="pct"/>
            <w:vAlign w:val="center"/>
          </w:tcPr>
          <w:p>
            <w:pPr>
              <w:spacing w:line="240" w:lineRule="auto"/>
              <w:ind w:firstLine="0" w:firstLineChars="0"/>
              <w:jc w:val="left"/>
              <w:rPr>
                <w:rFonts w:cs="仿宋"/>
                <w:szCs w:val="21"/>
                <w:highlight w:val="none"/>
              </w:rPr>
            </w:pPr>
            <w:bookmarkStart w:id="160" w:name="OLE_LINK15"/>
            <w:r>
              <w:rPr>
                <w:rFonts w:hint="eastAsia" w:cs="仿宋"/>
                <w:szCs w:val="21"/>
                <w:highlight w:val="none"/>
              </w:rPr>
              <w:t>节能产品认证证书（本项目拟采购的产品不属于政府强制采购的节能产品品目清单范围的，无需提供）</w:t>
            </w:r>
            <w:bookmarkEnd w:id="160"/>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w:t>
            </w:r>
          </w:p>
          <w:p>
            <w:pPr>
              <w:spacing w:line="240" w:lineRule="auto"/>
              <w:ind w:firstLine="0" w:firstLineChars="0"/>
              <w:jc w:val="center"/>
              <w:rPr>
                <w:rFonts w:cs="仿宋"/>
                <w:szCs w:val="21"/>
                <w:highlight w:val="none"/>
              </w:rPr>
            </w:pPr>
            <w:r>
              <w:rPr>
                <w:rFonts w:hint="eastAsia" w:cs="仿宋"/>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3</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响应文件中承诺的响应文件有效期不少于采购文件中载明的响应文件有效期。</w:t>
            </w:r>
          </w:p>
        </w:tc>
        <w:tc>
          <w:tcPr>
            <w:tcW w:w="1425" w:type="pct"/>
            <w:vAlign w:val="center"/>
          </w:tcPr>
          <w:p>
            <w:pPr>
              <w:spacing w:line="240" w:lineRule="auto"/>
              <w:ind w:firstLine="0" w:firstLineChars="0"/>
              <w:jc w:val="left"/>
              <w:rPr>
                <w:rFonts w:cs="仿宋"/>
                <w:szCs w:val="21"/>
                <w:highlight w:val="none"/>
              </w:rPr>
            </w:pPr>
            <w:r>
              <w:rPr>
                <w:rFonts w:hint="eastAsia" w:cs="仿宋"/>
                <w:szCs w:val="21"/>
                <w:highlight w:val="none"/>
              </w:rPr>
              <w:t>响应函</w:t>
            </w:r>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4</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响应文件满足采购文件的其它实质性要求。</w:t>
            </w:r>
          </w:p>
        </w:tc>
        <w:tc>
          <w:tcPr>
            <w:tcW w:w="1425" w:type="pct"/>
            <w:vAlign w:val="center"/>
          </w:tcPr>
          <w:p>
            <w:pPr>
              <w:spacing w:line="240" w:lineRule="auto"/>
              <w:ind w:firstLine="0" w:firstLineChars="0"/>
              <w:jc w:val="left"/>
              <w:rPr>
                <w:rFonts w:cs="仿宋"/>
                <w:szCs w:val="21"/>
                <w:highlight w:val="none"/>
              </w:rPr>
            </w:pPr>
            <w:bookmarkStart w:id="161" w:name="OLE_LINK16"/>
            <w:r>
              <w:rPr>
                <w:rFonts w:hint="eastAsia" w:cs="仿宋"/>
                <w:szCs w:val="21"/>
                <w:highlight w:val="none"/>
              </w:rPr>
              <w:t>采购文件其它实质性要求相应的材料（“▲” 系指实质性要求条款，采购文件无其它实质性要求的，无需提供）</w:t>
            </w:r>
            <w:bookmarkEnd w:id="161"/>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见响应文件第  页</w:t>
            </w:r>
          </w:p>
        </w:tc>
      </w:tr>
    </w:tbl>
    <w:p>
      <w:pPr>
        <w:ind w:firstLine="648"/>
        <w:jc w:val="center"/>
        <w:rPr>
          <w:rFonts w:ascii="宋体" w:hAnsi="宋体" w:cs="宋体"/>
          <w:b/>
          <w:sz w:val="32"/>
          <w:szCs w:val="32"/>
          <w:highlight w:val="none"/>
        </w:rPr>
      </w:pPr>
    </w:p>
    <w:p>
      <w:pPr>
        <w:ind w:firstLine="428"/>
        <w:rPr>
          <w:b/>
          <w:bCs/>
          <w:highlight w:val="none"/>
        </w:rPr>
      </w:pPr>
      <w:r>
        <w:rPr>
          <w:rFonts w:hint="eastAsia"/>
          <w:b/>
          <w:bCs/>
          <w:highlight w:val="none"/>
        </w:rPr>
        <w:t>注：按本格式和要求提供。</w:t>
      </w:r>
    </w:p>
    <w:p>
      <w:pPr>
        <w:pStyle w:val="5"/>
        <w:jc w:val="center"/>
        <w:rPr>
          <w:rFonts w:ascii="宋体" w:hAnsi="宋体" w:cs="宋体"/>
          <w:sz w:val="32"/>
          <w:highlight w:val="none"/>
        </w:rPr>
      </w:pPr>
      <w:r>
        <w:rPr>
          <w:highlight w:val="none"/>
        </w:rPr>
        <w:br w:type="page"/>
      </w:r>
      <w:r>
        <w:rPr>
          <w:rStyle w:val="82"/>
          <w:rFonts w:hint="eastAsia"/>
          <w:b/>
          <w:bCs/>
          <w:highlight w:val="none"/>
        </w:rPr>
        <w:t>五、评审标准相应的商务技术资料</w:t>
      </w:r>
    </w:p>
    <w:p>
      <w:pPr>
        <w:ind w:firstLine="0" w:firstLineChars="0"/>
        <w:rPr>
          <w:b/>
          <w:bCs/>
          <w:highlight w:val="none"/>
        </w:rPr>
      </w:pPr>
      <w:r>
        <w:rPr>
          <w:rFonts w:hint="eastAsia"/>
          <w:b/>
          <w:bCs/>
          <w:highlight w:val="none"/>
        </w:rPr>
        <w:t>（按采购文件第四部分评审办法前附表中“响应文件中评审标准相应的商务技术资料目录”提供资料。）</w:t>
      </w:r>
    </w:p>
    <w:p>
      <w:pPr>
        <w:snapToGrid w:val="0"/>
        <w:ind w:firstLine="0" w:firstLineChars="0"/>
        <w:jc w:val="center"/>
        <w:outlineLvl w:val="2"/>
        <w:rPr>
          <w:rStyle w:val="82"/>
          <w:highlight w:val="none"/>
          <w:lang w:val="zh-CN"/>
        </w:rPr>
      </w:pPr>
      <w:r>
        <w:rPr>
          <w:highlight w:val="none"/>
        </w:rPr>
        <w:br w:type="page"/>
      </w:r>
      <w:r>
        <w:rPr>
          <w:rStyle w:val="82"/>
          <w:rFonts w:hint="eastAsia"/>
          <w:highlight w:val="none"/>
          <w:lang w:val="zh-CN"/>
        </w:rPr>
        <w:t>六、商务技术偏离表</w:t>
      </w:r>
    </w:p>
    <w:tbl>
      <w:tblPr>
        <w:tblStyle w:val="6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317"/>
        <w:gridCol w:w="319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b/>
                <w:bCs/>
                <w:highlight w:val="none"/>
              </w:rPr>
            </w:pPr>
            <w:r>
              <w:rPr>
                <w:rFonts w:hint="eastAsia"/>
                <w:b/>
                <w:bCs/>
                <w:highlight w:val="none"/>
              </w:rPr>
              <w:t>序号</w:t>
            </w:r>
          </w:p>
        </w:tc>
        <w:tc>
          <w:tcPr>
            <w:tcW w:w="1946" w:type="pct"/>
            <w:vAlign w:val="center"/>
          </w:tcPr>
          <w:p>
            <w:pPr>
              <w:ind w:firstLine="0" w:firstLineChars="0"/>
              <w:jc w:val="center"/>
              <w:rPr>
                <w:b/>
                <w:bCs/>
                <w:highlight w:val="none"/>
              </w:rPr>
            </w:pPr>
            <w:r>
              <w:rPr>
                <w:rFonts w:hint="eastAsia"/>
                <w:b/>
                <w:bCs/>
                <w:highlight w:val="none"/>
              </w:rPr>
              <w:t>磋商文件章节及具体内容</w:t>
            </w:r>
          </w:p>
        </w:tc>
        <w:tc>
          <w:tcPr>
            <w:tcW w:w="1873" w:type="pct"/>
            <w:vAlign w:val="center"/>
          </w:tcPr>
          <w:p>
            <w:pPr>
              <w:ind w:firstLine="0" w:firstLineChars="0"/>
              <w:jc w:val="center"/>
              <w:rPr>
                <w:b/>
                <w:bCs/>
                <w:highlight w:val="none"/>
              </w:rPr>
            </w:pPr>
            <w:r>
              <w:rPr>
                <w:rFonts w:hint="eastAsia"/>
                <w:b/>
                <w:bCs/>
                <w:highlight w:val="none"/>
              </w:rPr>
              <w:t>响应文件章节及具体内容</w:t>
            </w:r>
          </w:p>
        </w:tc>
        <w:tc>
          <w:tcPr>
            <w:tcW w:w="673" w:type="pct"/>
            <w:vAlign w:val="center"/>
          </w:tcPr>
          <w:p>
            <w:pPr>
              <w:ind w:firstLine="0" w:firstLineChars="0"/>
              <w:jc w:val="center"/>
              <w:rPr>
                <w:b/>
                <w:bCs/>
                <w:highlight w:val="none"/>
              </w:rPr>
            </w:pPr>
            <w:r>
              <w:rPr>
                <w:rFonts w:hint="eastAsia"/>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1</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2</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bl>
    <w:p>
      <w:pPr>
        <w:ind w:firstLine="426"/>
        <w:rPr>
          <w:highlight w:val="none"/>
        </w:rPr>
      </w:pPr>
      <w:r>
        <w:rPr>
          <w:rFonts w:hint="eastAsia"/>
          <w:highlight w:val="none"/>
        </w:rPr>
        <w:t>供应商保证：除商务技术偏离表列出的偏离外，供应商响应磋商文件的全部要求</w:t>
      </w:r>
    </w:p>
    <w:p>
      <w:pPr>
        <w:autoSpaceDE w:val="0"/>
        <w:autoSpaceDN w:val="0"/>
        <w:ind w:firstLine="486"/>
        <w:rPr>
          <w:rFonts w:ascii="方正仿宋_GB2312" w:hAnsi="方正仿宋_GB2312" w:eastAsia="方正仿宋_GB2312" w:cs="方正仿宋_GB2312"/>
          <w:sz w:val="24"/>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snapToGrid w:val="0"/>
        <w:ind w:firstLine="0" w:firstLineChars="0"/>
        <w:jc w:val="center"/>
        <w:outlineLvl w:val="2"/>
        <w:rPr>
          <w:rFonts w:ascii="宋体" w:hAnsi="宋体" w:cs="宋体"/>
          <w:b/>
          <w:sz w:val="32"/>
          <w:szCs w:val="32"/>
          <w:highlight w:val="none"/>
        </w:rPr>
      </w:pPr>
      <w:r>
        <w:rPr>
          <w:highlight w:val="none"/>
        </w:rPr>
        <w:br w:type="page"/>
      </w:r>
      <w:r>
        <w:rPr>
          <w:rStyle w:val="82"/>
          <w:rFonts w:hint="eastAsia"/>
          <w:highlight w:val="none"/>
        </w:rPr>
        <w:t>七、</w:t>
      </w:r>
      <w:r>
        <w:rPr>
          <w:rStyle w:val="82"/>
          <w:rFonts w:hint="eastAsia"/>
          <w:highlight w:val="none"/>
          <w:lang w:val="zh-CN"/>
        </w:rPr>
        <w:t>政府采购供应商廉洁自律承诺书</w:t>
      </w:r>
    </w:p>
    <w:p>
      <w:pPr>
        <w:snapToGrid w:val="0"/>
        <w:ind w:firstLine="486"/>
        <w:rPr>
          <w:rFonts w:ascii="宋体" w:hAnsi="宋体" w:cs="宋体"/>
          <w:sz w:val="24"/>
          <w:highlight w:val="none"/>
        </w:rPr>
      </w:pP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我单位响应你</w:t>
      </w:r>
      <w:r>
        <w:rPr>
          <w:rFonts w:hint="eastAsia"/>
          <w:highlight w:val="none"/>
        </w:rPr>
        <w:t>单位</w:t>
      </w:r>
      <w:r>
        <w:rPr>
          <w:rFonts w:hint="eastAsia"/>
          <w:highlight w:val="none"/>
          <w:lang w:val="zh-CN"/>
        </w:rPr>
        <w:t>项目招标要求参加投标。在这次投标过程中和中标后，我们将严格遵守国家法律法规要求，并郑重承诺：</w:t>
      </w:r>
    </w:p>
    <w:p>
      <w:pPr>
        <w:ind w:firstLine="426"/>
        <w:rPr>
          <w:highlight w:val="none"/>
          <w:lang w:val="zh-CN"/>
        </w:rPr>
      </w:pPr>
      <w:r>
        <w:rPr>
          <w:rFonts w:hint="eastAsia"/>
          <w:highlight w:val="none"/>
          <w:lang w:val="zh-CN"/>
        </w:rPr>
        <w:t>一、不向项目有关人员及部门赠送礼金礼物、有价证券、回扣以及中介费、介绍费、咨询费等好处费；</w:t>
      </w:r>
    </w:p>
    <w:p>
      <w:pPr>
        <w:ind w:firstLine="426"/>
        <w:rPr>
          <w:highlight w:val="none"/>
          <w:lang w:val="zh-CN"/>
        </w:rPr>
      </w:pPr>
      <w:r>
        <w:rPr>
          <w:rFonts w:hint="eastAsia"/>
          <w:highlight w:val="none"/>
          <w:lang w:val="zh-CN"/>
        </w:rPr>
        <w:t>二、不为项目有关人员及部门报销应由你方单位或个人支付的费用；</w:t>
      </w:r>
    </w:p>
    <w:p>
      <w:pPr>
        <w:ind w:firstLine="426"/>
        <w:rPr>
          <w:highlight w:val="none"/>
          <w:lang w:val="zh-CN"/>
        </w:rPr>
      </w:pPr>
      <w:r>
        <w:rPr>
          <w:rFonts w:hint="eastAsia"/>
          <w:highlight w:val="none"/>
          <w:lang w:val="zh-CN"/>
        </w:rPr>
        <w:t>三、不向项目有关人员及部门提供有可能影响公正的宴请和健身娱乐等活动；</w:t>
      </w:r>
    </w:p>
    <w:p>
      <w:pPr>
        <w:ind w:firstLine="426"/>
        <w:rPr>
          <w:highlight w:val="none"/>
          <w:lang w:val="zh-CN"/>
        </w:rPr>
      </w:pPr>
      <w:r>
        <w:rPr>
          <w:rFonts w:hint="eastAsia"/>
          <w:highlight w:val="none"/>
          <w:lang w:val="zh-CN"/>
        </w:rPr>
        <w:t>四、不为项目有关人员及部门出国（境）、旅游等提供方便；</w:t>
      </w:r>
    </w:p>
    <w:p>
      <w:pPr>
        <w:ind w:firstLine="426"/>
        <w:rPr>
          <w:highlight w:val="none"/>
          <w:lang w:val="zh-CN"/>
        </w:rPr>
      </w:pPr>
      <w:r>
        <w:rPr>
          <w:rFonts w:hint="eastAsia"/>
          <w:highlight w:val="none"/>
          <w:lang w:val="zh-CN"/>
        </w:rPr>
        <w:t>五、不为项目有关人员个人装修住房、婚丧嫁娶、配偶子女工作安排等提供好处；</w:t>
      </w:r>
    </w:p>
    <w:p>
      <w:pPr>
        <w:ind w:firstLine="426"/>
        <w:rPr>
          <w:highlight w:val="none"/>
          <w:lang w:val="zh-CN"/>
        </w:rPr>
      </w:pPr>
      <w:r>
        <w:rPr>
          <w:rFonts w:hint="eastAsia"/>
          <w:highlight w:val="none"/>
          <w:lang w:val="zh-CN"/>
        </w:rPr>
        <w:t>六、严格遵守《中华人民共和国政府采购法》《中华人民共和国招标投标法》《中华人民共和国民法典》等法律法规，诚实守信，合法经营，坚决抵制各种违法违纪行为。</w:t>
      </w:r>
    </w:p>
    <w:p>
      <w:pPr>
        <w:ind w:firstLine="426"/>
        <w:rPr>
          <w:highlight w:val="none"/>
          <w:lang w:val="zh-CN"/>
        </w:rPr>
      </w:pPr>
      <w:r>
        <w:rPr>
          <w:rFonts w:hint="eastAsia"/>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firstLine="426"/>
        <w:rPr>
          <w:highlight w:val="none"/>
          <w:lang w:val="zh-CN"/>
        </w:rPr>
      </w:pPr>
    </w:p>
    <w:p>
      <w:pPr>
        <w:ind w:firstLine="426"/>
        <w:rPr>
          <w:highlight w:val="none"/>
          <w:lang w:val="zh-CN"/>
        </w:rPr>
      </w:pPr>
    </w:p>
    <w:p>
      <w:pPr>
        <w:ind w:firstLine="426"/>
        <w:rPr>
          <w:highlight w:val="none"/>
          <w:lang w:val="zh-CN"/>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rPr>
      </w:pPr>
    </w:p>
    <w:p>
      <w:pPr>
        <w:ind w:firstLine="428"/>
        <w:rPr>
          <w:b/>
          <w:bCs/>
          <w:highlight w:val="none"/>
        </w:rPr>
      </w:pPr>
      <w:r>
        <w:rPr>
          <w:rFonts w:hint="eastAsia"/>
          <w:b/>
          <w:bCs/>
          <w:highlight w:val="none"/>
        </w:rPr>
        <w:t>注：按本格式和要求提供。</w:t>
      </w:r>
    </w:p>
    <w:p>
      <w:pPr>
        <w:pStyle w:val="5"/>
        <w:jc w:val="center"/>
        <w:rPr>
          <w:highlight w:val="none"/>
        </w:rPr>
      </w:pPr>
      <w:r>
        <w:rPr>
          <w:rFonts w:hint="eastAsia"/>
          <w:highlight w:val="none"/>
        </w:rPr>
        <w:br w:type="page"/>
      </w:r>
      <w:r>
        <w:rPr>
          <w:rFonts w:hint="eastAsia"/>
          <w:highlight w:val="none"/>
        </w:rPr>
        <w:t>八、中标服务费支付承诺书</w:t>
      </w:r>
    </w:p>
    <w:p>
      <w:pPr>
        <w:pStyle w:val="29"/>
        <w:ind w:firstLine="426"/>
        <w:rPr>
          <w:color w:val="000000"/>
          <w:highlight w:val="none"/>
        </w:rPr>
      </w:pPr>
    </w:p>
    <w:p>
      <w:pPr>
        <w:spacing w:line="600" w:lineRule="auto"/>
        <w:ind w:firstLine="428"/>
        <w:jc w:val="center"/>
        <w:rPr>
          <w:rFonts w:cs="仿宋"/>
          <w:b/>
          <w:color w:val="000000"/>
          <w:highlight w:val="none"/>
        </w:rPr>
      </w:pPr>
    </w:p>
    <w:p>
      <w:pPr>
        <w:ind w:firstLine="0" w:firstLineChars="0"/>
        <w:rPr>
          <w:highlight w:val="none"/>
          <w:u w:val="single"/>
        </w:rPr>
      </w:pPr>
      <w:r>
        <w:rPr>
          <w:rFonts w:hint="eastAsia"/>
          <w:highlight w:val="none"/>
          <w:u w:val="single"/>
        </w:rPr>
        <w:t>德邻联合工程有限公司：</w:t>
      </w:r>
    </w:p>
    <w:p>
      <w:pPr>
        <w:ind w:firstLine="426"/>
        <w:rPr>
          <w:highlight w:val="none"/>
        </w:rPr>
      </w:pPr>
    </w:p>
    <w:p>
      <w:pPr>
        <w:ind w:firstLine="426"/>
        <w:rPr>
          <w:highlight w:val="none"/>
        </w:rPr>
      </w:pPr>
      <w:r>
        <w:rPr>
          <w:rFonts w:hint="eastAsia"/>
          <w:highlight w:val="none"/>
        </w:rPr>
        <w:t>本单位在此承诺：如在本项目中标，中标之日起</w:t>
      </w:r>
      <w:r>
        <w:rPr>
          <w:highlight w:val="none"/>
        </w:rPr>
        <w:t>5</w:t>
      </w:r>
      <w:r>
        <w:rPr>
          <w:rFonts w:hint="eastAsia"/>
          <w:highlight w:val="none"/>
        </w:rPr>
        <w:t>个日历天之内，向贵公司按采购文件约定支付中标服务费。</w:t>
      </w:r>
    </w:p>
    <w:p>
      <w:pPr>
        <w:ind w:firstLine="426"/>
        <w:rPr>
          <w:highlight w:val="none"/>
        </w:rPr>
      </w:pPr>
    </w:p>
    <w:p>
      <w:pPr>
        <w:ind w:firstLine="426"/>
        <w:rPr>
          <w:highlight w:val="none"/>
        </w:rPr>
      </w:pPr>
    </w:p>
    <w:p>
      <w:pPr>
        <w:ind w:firstLine="426"/>
        <w:rPr>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rPr>
      </w:pPr>
    </w:p>
    <w:p>
      <w:pPr>
        <w:ind w:firstLine="426"/>
        <w:rPr>
          <w:highlight w:val="none"/>
        </w:rPr>
      </w:pPr>
    </w:p>
    <w:p>
      <w:pPr>
        <w:pStyle w:val="38"/>
        <w:ind w:firstLine="426"/>
        <w:rPr>
          <w:highlight w:val="none"/>
        </w:rPr>
      </w:pPr>
    </w:p>
    <w:p>
      <w:pPr>
        <w:pStyle w:val="38"/>
        <w:ind w:firstLine="426"/>
        <w:rPr>
          <w:highlight w:val="none"/>
        </w:rPr>
      </w:pPr>
    </w:p>
    <w:p>
      <w:pPr>
        <w:ind w:firstLine="428"/>
        <w:rPr>
          <w:b/>
          <w:bCs/>
          <w:highlight w:val="none"/>
        </w:rPr>
      </w:pPr>
      <w:r>
        <w:rPr>
          <w:rFonts w:hint="eastAsia"/>
          <w:b/>
          <w:bCs/>
          <w:highlight w:val="none"/>
        </w:rPr>
        <w:t>中标服务费收取账号：</w:t>
      </w:r>
    </w:p>
    <w:p>
      <w:pPr>
        <w:ind w:firstLine="428"/>
        <w:rPr>
          <w:b/>
          <w:bCs/>
          <w:highlight w:val="none"/>
        </w:rPr>
      </w:pPr>
      <w:r>
        <w:rPr>
          <w:rFonts w:hint="eastAsia"/>
          <w:b/>
          <w:bCs/>
          <w:highlight w:val="none"/>
        </w:rPr>
        <w:t>户</w:t>
      </w:r>
      <w:r>
        <w:rPr>
          <w:b/>
          <w:bCs/>
          <w:highlight w:val="none"/>
        </w:rPr>
        <w:t xml:space="preserve">    </w:t>
      </w:r>
      <w:r>
        <w:rPr>
          <w:rFonts w:hint="eastAsia"/>
          <w:b/>
          <w:bCs/>
          <w:highlight w:val="none"/>
        </w:rPr>
        <w:t>名：德邻联合工程有限公司</w:t>
      </w:r>
    </w:p>
    <w:p>
      <w:pPr>
        <w:ind w:firstLine="428"/>
        <w:rPr>
          <w:b/>
          <w:bCs/>
          <w:highlight w:val="none"/>
        </w:rPr>
      </w:pPr>
      <w:r>
        <w:rPr>
          <w:rFonts w:hint="eastAsia"/>
          <w:b/>
          <w:bCs/>
          <w:highlight w:val="none"/>
        </w:rPr>
        <w:t>银行账号：571907151310701</w:t>
      </w:r>
    </w:p>
    <w:p>
      <w:pPr>
        <w:ind w:firstLine="428"/>
        <w:rPr>
          <w:b/>
          <w:bCs/>
          <w:highlight w:val="none"/>
        </w:rPr>
      </w:pPr>
      <w:r>
        <w:rPr>
          <w:rFonts w:hint="eastAsia"/>
          <w:b/>
          <w:bCs/>
          <w:highlight w:val="none"/>
        </w:rPr>
        <w:t>开 户 行：招行杭州之江支行</w:t>
      </w:r>
    </w:p>
    <w:p>
      <w:pPr>
        <w:ind w:firstLine="428"/>
        <w:rPr>
          <w:b/>
          <w:bCs/>
          <w:highlight w:val="none"/>
        </w:rPr>
      </w:pPr>
    </w:p>
    <w:p>
      <w:pPr>
        <w:ind w:firstLine="0" w:firstLineChars="0"/>
        <w:jc w:val="center"/>
        <w:rPr>
          <w:highlight w:val="none"/>
        </w:rPr>
      </w:pPr>
      <w:r>
        <w:rPr>
          <w:rFonts w:hint="eastAsia"/>
          <w:b/>
          <w:bCs/>
          <w:highlight w:val="none"/>
        </w:rPr>
        <w:br w:type="page"/>
      </w:r>
      <w:r>
        <w:rPr>
          <w:rFonts w:hint="eastAsia"/>
          <w:b/>
          <w:bCs/>
          <w:highlight w:val="none"/>
        </w:rPr>
        <w:t>到位率承诺书（供参考）</w:t>
      </w:r>
    </w:p>
    <w:p>
      <w:pPr>
        <w:ind w:firstLine="426"/>
        <w:rPr>
          <w:highlight w:val="none"/>
        </w:rPr>
      </w:pPr>
    </w:p>
    <w:p>
      <w:pPr>
        <w:ind w:firstLine="426"/>
        <w:rPr>
          <w:highlight w:val="none"/>
          <w:lang w:val="zh-CN"/>
        </w:rPr>
      </w:pPr>
      <w:r>
        <w:rPr>
          <w:rFonts w:hint="eastAsia"/>
          <w:highlight w:val="none"/>
          <w:u w:val="single"/>
        </w:rPr>
        <w:t>杭州科技职业技术学院</w:t>
      </w:r>
      <w:r>
        <w:rPr>
          <w:rFonts w:hint="eastAsia"/>
          <w:highlight w:val="none"/>
          <w:lang w:val="zh-CN"/>
        </w:rPr>
        <w:t>：</w:t>
      </w:r>
    </w:p>
    <w:p>
      <w:pPr>
        <w:ind w:firstLine="426"/>
        <w:rPr>
          <w:highlight w:val="none"/>
          <w:lang w:val="zh-CN"/>
        </w:rPr>
      </w:pPr>
      <w:r>
        <w:rPr>
          <w:rFonts w:hint="eastAsia"/>
          <w:highlight w:val="none"/>
          <w:u w:val="single"/>
        </w:rPr>
        <w:t>德邻联合工程有限公司</w:t>
      </w:r>
      <w:r>
        <w:rPr>
          <w:rFonts w:hint="eastAsia"/>
          <w:highlight w:val="none"/>
          <w:lang w:val="zh-CN"/>
        </w:rPr>
        <w:t>：</w:t>
      </w:r>
    </w:p>
    <w:p>
      <w:pPr>
        <w:ind w:firstLine="426"/>
        <w:rPr>
          <w:highlight w:val="none"/>
          <w:lang w:val="zh-CN"/>
        </w:rPr>
      </w:pPr>
      <w:r>
        <w:rPr>
          <w:rFonts w:hint="eastAsia"/>
          <w:highlight w:val="none"/>
          <w:lang w:val="zh-CN"/>
        </w:rPr>
        <w:t>我方</w:t>
      </w:r>
      <w:r>
        <w:rPr>
          <w:rFonts w:hint="eastAsia"/>
          <w:highlight w:val="none"/>
          <w:u w:val="single"/>
          <w:lang w:val="zh-CN"/>
        </w:rPr>
        <w:t xml:space="preserve">      </w:t>
      </w:r>
      <w:r>
        <w:rPr>
          <w:rFonts w:hint="eastAsia"/>
          <w:highlight w:val="none"/>
          <w:lang w:val="zh-CN"/>
        </w:rPr>
        <w:t>（供应商）参加</w:t>
      </w:r>
      <w:r>
        <w:rPr>
          <w:rFonts w:hint="eastAsia"/>
          <w:highlight w:val="none"/>
          <w:u w:val="single"/>
          <w:lang w:val="zh-CN"/>
        </w:rPr>
        <w:t xml:space="preserve">      </w:t>
      </w:r>
      <w:r>
        <w:rPr>
          <w:rFonts w:hint="eastAsia"/>
          <w:highlight w:val="none"/>
          <w:lang w:val="zh-CN"/>
        </w:rPr>
        <w:t>（采购人）</w:t>
      </w:r>
      <w:r>
        <w:rPr>
          <w:rFonts w:hint="eastAsia"/>
          <w:highlight w:val="none"/>
          <w:u w:val="single"/>
          <w:lang w:val="zh-CN"/>
        </w:rPr>
        <w:t xml:space="preserve">      </w:t>
      </w:r>
      <w:r>
        <w:rPr>
          <w:rFonts w:hint="eastAsia"/>
          <w:highlight w:val="none"/>
          <w:lang w:val="zh-CN"/>
        </w:rPr>
        <w:t>（项目名称）（项目编号</w:t>
      </w:r>
      <w:r>
        <w:rPr>
          <w:rFonts w:hint="eastAsia"/>
          <w:highlight w:val="none"/>
          <w:u w:val="single"/>
          <w:lang w:val="zh-CN"/>
        </w:rPr>
        <w:t xml:space="preserve">      </w:t>
      </w:r>
      <w:r>
        <w:rPr>
          <w:rFonts w:hint="eastAsia"/>
          <w:highlight w:val="none"/>
          <w:lang w:val="zh-CN"/>
        </w:rPr>
        <w:t>）政府采购活动对到位率进行以下承诺：</w:t>
      </w:r>
    </w:p>
    <w:p>
      <w:pPr>
        <w:ind w:firstLine="426"/>
        <w:rPr>
          <w:highlight w:val="none"/>
          <w:lang w:val="zh-CN"/>
        </w:rPr>
      </w:pPr>
      <w:r>
        <w:rPr>
          <w:rFonts w:hint="eastAsia"/>
          <w:highlight w:val="none"/>
          <w:lang w:val="zh-CN"/>
        </w:rPr>
        <w:t>承诺拟派项目经理到位率为</w:t>
      </w:r>
      <w:r>
        <w:rPr>
          <w:rFonts w:hint="eastAsia"/>
          <w:highlight w:val="none"/>
          <w:u w:val="single"/>
          <w:lang w:val="zh-CN"/>
        </w:rPr>
        <w:t xml:space="preserve">      </w:t>
      </w:r>
      <w:r>
        <w:rPr>
          <w:rFonts w:hint="eastAsia"/>
          <w:highlight w:val="none"/>
          <w:lang w:val="zh-CN"/>
        </w:rPr>
        <w:t>%，</w:t>
      </w:r>
      <w:r>
        <w:rPr>
          <w:rFonts w:hint="eastAsia"/>
          <w:highlight w:val="none"/>
        </w:rPr>
        <w:t>其他管理人员到位率为</w:t>
      </w:r>
      <w:r>
        <w:rPr>
          <w:rFonts w:hint="eastAsia"/>
          <w:highlight w:val="none"/>
          <w:u w:val="single"/>
        </w:rPr>
        <w:t xml:space="preserve">    </w:t>
      </w:r>
      <w:r>
        <w:rPr>
          <w:rFonts w:hint="eastAsia"/>
          <w:highlight w:val="none"/>
        </w:rPr>
        <w:t>%</w:t>
      </w:r>
      <w:r>
        <w:rPr>
          <w:rFonts w:hint="eastAsia"/>
          <w:highlight w:val="none"/>
          <w:lang w:val="zh-CN"/>
        </w:rPr>
        <w:t>。</w:t>
      </w:r>
    </w:p>
    <w:p>
      <w:pPr>
        <w:ind w:firstLine="426"/>
        <w:rPr>
          <w:highlight w:val="none"/>
          <w:lang w:val="zh-CN"/>
        </w:rPr>
      </w:pPr>
      <w:r>
        <w:rPr>
          <w:rFonts w:hint="eastAsia"/>
          <w:highlight w:val="none"/>
          <w:lang w:val="zh-CN"/>
        </w:rPr>
        <w:t>特此承诺。</w:t>
      </w:r>
    </w:p>
    <w:p>
      <w:pPr>
        <w:ind w:firstLine="426"/>
        <w:rPr>
          <w:highlight w:val="none"/>
          <w:lang w:val="zh-CN"/>
        </w:rPr>
      </w:pPr>
    </w:p>
    <w:p>
      <w:pPr>
        <w:ind w:firstLine="426"/>
        <w:rPr>
          <w:highlight w:val="none"/>
          <w:lang w:val="zh-CN"/>
        </w:rPr>
      </w:pP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426"/>
        <w:jc w:val="right"/>
        <w:rPr>
          <w:highlight w:val="none"/>
        </w:rPr>
      </w:pPr>
      <w:r>
        <w:rPr>
          <w:rFonts w:hint="eastAsia"/>
          <w:highlight w:val="none"/>
          <w:lang w:val="zh-CN"/>
        </w:rPr>
        <w:t>日期：</w:t>
      </w:r>
      <w:r>
        <w:rPr>
          <w:rFonts w:hint="eastAsia"/>
          <w:highlight w:val="none"/>
        </w:rPr>
        <w:t xml:space="preserve">    </w:t>
      </w:r>
      <w:r>
        <w:rPr>
          <w:rFonts w:hint="eastAsia"/>
          <w:highlight w:val="none"/>
          <w:lang w:val="zh-CN"/>
        </w:rPr>
        <w:t>年   月   日</w:t>
      </w:r>
    </w:p>
    <w:p>
      <w:pPr>
        <w:ind w:firstLine="0" w:firstLineChars="0"/>
        <w:jc w:val="center"/>
        <w:rPr>
          <w:rFonts w:cs="仿宋"/>
          <w:color w:val="000000"/>
          <w:highlight w:val="none"/>
        </w:rPr>
      </w:pPr>
      <w:r>
        <w:rPr>
          <w:b/>
          <w:bCs/>
          <w:highlight w:val="none"/>
        </w:rPr>
        <w:br w:type="page"/>
      </w:r>
      <w:r>
        <w:rPr>
          <w:rFonts w:hint="eastAsia"/>
          <w:b/>
          <w:bCs/>
          <w:highlight w:val="none"/>
        </w:rPr>
        <w:t>拟投入的主要施工机械设备表（供参考）</w:t>
      </w:r>
    </w:p>
    <w:tbl>
      <w:tblPr>
        <w:tblStyle w:val="6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90"/>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序号</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机械或</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设备名称</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型号</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规格</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数量</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国别</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产地</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制造</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年份</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额定功率（KW）</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生产</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能力</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bl>
    <w:p>
      <w:pPr>
        <w:tabs>
          <w:tab w:val="left" w:pos="0"/>
        </w:tabs>
        <w:autoSpaceDE w:val="0"/>
        <w:autoSpaceDN w:val="0"/>
        <w:ind w:firstLine="0" w:firstLineChars="0"/>
        <w:jc w:val="center"/>
        <w:rPr>
          <w:rFonts w:cs="仿宋"/>
          <w:color w:val="000000"/>
          <w:highlight w:val="none"/>
        </w:rPr>
      </w:pPr>
      <w:r>
        <w:rPr>
          <w:rFonts w:hint="eastAsia" w:cs="仿宋"/>
          <w:b/>
          <w:bCs/>
          <w:color w:val="000000"/>
          <w:sz w:val="30"/>
          <w:szCs w:val="30"/>
          <w:highlight w:val="none"/>
        </w:rPr>
        <w:br w:type="page"/>
      </w:r>
      <w:bookmarkStart w:id="162" w:name="_Toc359357398"/>
      <w:bookmarkStart w:id="163" w:name="_Toc297115120"/>
      <w:r>
        <w:rPr>
          <w:rFonts w:hint="eastAsia"/>
          <w:b/>
          <w:bCs/>
          <w:highlight w:val="none"/>
        </w:rPr>
        <w:t>劳动力计划表</w:t>
      </w:r>
      <w:bookmarkEnd w:id="162"/>
      <w:bookmarkEnd w:id="163"/>
      <w:r>
        <w:rPr>
          <w:rFonts w:hint="eastAsia"/>
          <w:b/>
          <w:bCs/>
          <w:highlight w:val="none"/>
        </w:rPr>
        <w:t>（供参考）</w:t>
      </w:r>
    </w:p>
    <w:p>
      <w:pPr>
        <w:ind w:firstLine="426"/>
        <w:rPr>
          <w:highlight w:val="none"/>
        </w:rPr>
      </w:pPr>
      <w:r>
        <w:rPr>
          <w:rFonts w:hint="eastAsia"/>
          <w:highlight w:val="none"/>
        </w:rPr>
        <w:t>单位：人</w:t>
      </w:r>
    </w:p>
    <w:tbl>
      <w:tblPr>
        <w:tblStyle w:val="6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4"/>
        <w:gridCol w:w="1084"/>
        <w:gridCol w:w="1084"/>
        <w:gridCol w:w="1084"/>
        <w:gridCol w:w="1084"/>
        <w:gridCol w:w="108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6" w:type="pct"/>
            <w:vMerge w:val="restar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4453" w:type="pct"/>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b/>
                <w:bCs/>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6" w:type="pct"/>
            <w:vMerge w:val="continue"/>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bl>
    <w:p>
      <w:pPr>
        <w:spacing w:line="400" w:lineRule="exact"/>
        <w:ind w:firstLine="426"/>
        <w:rPr>
          <w:rFonts w:cs="仿宋"/>
          <w:color w:val="000000"/>
          <w:szCs w:val="21"/>
          <w:highlight w:val="none"/>
        </w:rPr>
      </w:pPr>
      <w:r>
        <w:rPr>
          <w:rFonts w:hint="eastAsia" w:cs="仿宋"/>
          <w:color w:val="000000"/>
          <w:szCs w:val="21"/>
          <w:highlight w:val="none"/>
          <w:lang w:bidi="ar"/>
        </w:rPr>
        <w:t>注：供应商应按所列格式提交包括分包在内的劳动力计划表。</w:t>
      </w:r>
    </w:p>
    <w:p>
      <w:pPr>
        <w:spacing w:line="400" w:lineRule="exact"/>
        <w:ind w:firstLine="426"/>
        <w:rPr>
          <w:rFonts w:cs="仿宋"/>
          <w:color w:val="000000"/>
          <w:szCs w:val="21"/>
          <w:highlight w:val="none"/>
        </w:rPr>
      </w:pPr>
      <w:r>
        <w:rPr>
          <w:rFonts w:hint="eastAsia" w:cs="仿宋"/>
          <w:color w:val="000000"/>
          <w:szCs w:val="21"/>
          <w:highlight w:val="none"/>
          <w:lang w:bidi="ar"/>
        </w:rPr>
        <w:t>本计划表是以每班八小时工作制为基础的。</w:t>
      </w:r>
    </w:p>
    <w:p>
      <w:pPr>
        <w:ind w:firstLine="0" w:firstLineChars="0"/>
        <w:jc w:val="center"/>
        <w:rPr>
          <w:rFonts w:cs="仿宋"/>
          <w:color w:val="000000"/>
          <w:highlight w:val="none"/>
        </w:rPr>
      </w:pPr>
      <w:r>
        <w:rPr>
          <w:rFonts w:hint="eastAsia" w:cs="仿宋"/>
          <w:color w:val="000000"/>
          <w:szCs w:val="21"/>
          <w:highlight w:val="none"/>
          <w:lang w:bidi="ar"/>
        </w:rPr>
        <w:br w:type="page"/>
      </w:r>
      <w:bookmarkStart w:id="164" w:name="_Toc359357399"/>
      <w:bookmarkStart w:id="165" w:name="_Toc297115123"/>
      <w:r>
        <w:rPr>
          <w:rFonts w:hint="eastAsia"/>
          <w:b/>
          <w:bCs/>
          <w:highlight w:val="none"/>
        </w:rPr>
        <w:t>项目管理班子配备情况表</w:t>
      </w:r>
      <w:bookmarkEnd w:id="164"/>
      <w:bookmarkEnd w:id="165"/>
      <w:r>
        <w:rPr>
          <w:rFonts w:hint="eastAsia"/>
          <w:b/>
          <w:bCs/>
          <w:highlight w:val="none"/>
        </w:rPr>
        <w:t>（供参考）</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37"/>
        <w:gridCol w:w="637"/>
        <w:gridCol w:w="785"/>
        <w:gridCol w:w="785"/>
        <w:gridCol w:w="785"/>
        <w:gridCol w:w="785"/>
        <w:gridCol w:w="1330"/>
        <w:gridCol w:w="78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职务</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姓名</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职称</w:t>
            </w:r>
          </w:p>
        </w:tc>
        <w:tc>
          <w:tcPr>
            <w:tcW w:w="2624" w:type="pct"/>
            <w:gridSpan w:val="5"/>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上岗资格证明</w:t>
            </w:r>
          </w:p>
        </w:tc>
        <w:tc>
          <w:tcPr>
            <w:tcW w:w="1290" w:type="pct"/>
            <w:gridSpan w:val="2"/>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证书</w:t>
            </w:r>
          </w:p>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级别</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证号</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专业</w:t>
            </w:r>
          </w:p>
        </w:tc>
        <w:tc>
          <w:tcPr>
            <w:tcW w:w="776"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原服务单位</w:t>
            </w:r>
          </w:p>
        </w:tc>
        <w:tc>
          <w:tcPr>
            <w:tcW w:w="462"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项目数</w:t>
            </w:r>
          </w:p>
        </w:tc>
        <w:tc>
          <w:tcPr>
            <w:tcW w:w="827"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trPr>
        <w:tc>
          <w:tcPr>
            <w:tcW w:w="5000" w:type="pct"/>
            <w:gridSpan w:val="10"/>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left"/>
              <w:rPr>
                <w:sz w:val="18"/>
                <w:szCs w:val="16"/>
                <w:highlight w:val="none"/>
              </w:rPr>
            </w:pPr>
            <w:r>
              <w:rPr>
                <w:rFonts w:hint="eastAsia"/>
                <w:sz w:val="18"/>
                <w:szCs w:val="16"/>
                <w:highlight w:val="none"/>
              </w:rPr>
              <w:t>本工程一旦我单位成交，将实行项目负责人负责制，并配备上述项目管理班子。上述填报内容真实，若不真实，愿按有关规定接受处理。项目管理班子机构设置、职责分工等情况另附资料说明。</w:t>
            </w:r>
          </w:p>
        </w:tc>
      </w:tr>
    </w:tbl>
    <w:p>
      <w:pPr>
        <w:ind w:firstLine="722" w:firstLineChars="299"/>
        <w:rPr>
          <w:rFonts w:cs="仿宋"/>
          <w:color w:val="000000"/>
          <w:sz w:val="24"/>
          <w:szCs w:val="28"/>
          <w:highlight w:val="none"/>
        </w:rPr>
      </w:pPr>
    </w:p>
    <w:p>
      <w:pPr>
        <w:ind w:firstLine="0" w:firstLineChars="0"/>
        <w:jc w:val="center"/>
        <w:rPr>
          <w:rFonts w:cs="仿宋"/>
          <w:color w:val="000000"/>
          <w:highlight w:val="none"/>
        </w:rPr>
      </w:pPr>
      <w:r>
        <w:rPr>
          <w:rFonts w:hint="eastAsia" w:cs="仿宋"/>
          <w:color w:val="000000"/>
          <w:sz w:val="24"/>
          <w:szCs w:val="28"/>
          <w:highlight w:val="none"/>
          <w:lang w:bidi="ar"/>
        </w:rPr>
        <w:br w:type="page"/>
      </w:r>
      <w:bookmarkStart w:id="166" w:name="_Toc359357400"/>
      <w:bookmarkStart w:id="167" w:name="_Toc297115126"/>
      <w:r>
        <w:rPr>
          <w:rFonts w:hint="eastAsia"/>
          <w:b/>
          <w:bCs/>
          <w:highlight w:val="none"/>
        </w:rPr>
        <w:t>工程施工人员配备情况表（供参考）</w:t>
      </w:r>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59"/>
        <w:gridCol w:w="859"/>
        <w:gridCol w:w="1581"/>
        <w:gridCol w:w="1277"/>
        <w:gridCol w:w="141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53"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职务</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姓名</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职称</w:t>
            </w:r>
          </w:p>
        </w:tc>
        <w:tc>
          <w:tcPr>
            <w:tcW w:w="3536" w:type="pct"/>
            <w:gridSpan w:val="4"/>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证书</w:t>
            </w:r>
          </w:p>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49"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级别</w:t>
            </w:r>
          </w:p>
        </w:tc>
        <w:tc>
          <w:tcPr>
            <w:tcW w:w="83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证号</w:t>
            </w:r>
          </w:p>
        </w:tc>
        <w:tc>
          <w:tcPr>
            <w:tcW w:w="1030"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bl>
    <w:p>
      <w:pPr>
        <w:ind w:firstLine="722" w:firstLineChars="299"/>
        <w:rPr>
          <w:rFonts w:cs="仿宋"/>
          <w:color w:val="000000"/>
          <w:sz w:val="24"/>
          <w:szCs w:val="28"/>
          <w:highlight w:val="none"/>
        </w:rPr>
      </w:pPr>
    </w:p>
    <w:p>
      <w:pPr>
        <w:ind w:firstLine="0" w:firstLineChars="0"/>
        <w:jc w:val="center"/>
        <w:rPr>
          <w:rFonts w:cs="仿宋"/>
          <w:color w:val="000000"/>
          <w:highlight w:val="none"/>
        </w:rPr>
      </w:pPr>
      <w:r>
        <w:rPr>
          <w:rFonts w:hint="eastAsia" w:cs="仿宋"/>
          <w:color w:val="000000"/>
          <w:sz w:val="24"/>
          <w:szCs w:val="28"/>
          <w:highlight w:val="none"/>
          <w:lang w:bidi="ar"/>
        </w:rPr>
        <w:br w:type="page"/>
      </w:r>
      <w:r>
        <w:rPr>
          <w:rFonts w:hint="eastAsia"/>
          <w:b/>
          <w:bCs/>
          <w:highlight w:val="none"/>
        </w:rPr>
        <w:t>项目管理班子配备情况辅助说明资料</w:t>
      </w:r>
      <w:bookmarkEnd w:id="166"/>
      <w:bookmarkEnd w:id="167"/>
      <w:r>
        <w:rPr>
          <w:rFonts w:hint="eastAsia"/>
          <w:b/>
          <w:bCs/>
          <w:highlight w:val="none"/>
        </w:rPr>
        <w:t>（供参考）</w:t>
      </w:r>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5000" w:type="pct"/>
            <w:tcBorders>
              <w:top w:val="single" w:color="auto" w:sz="4" w:space="0"/>
              <w:left w:val="single" w:color="auto" w:sz="4" w:space="0"/>
              <w:bottom w:val="single" w:color="auto" w:sz="4" w:space="0"/>
              <w:right w:val="single" w:color="auto" w:sz="4" w:space="0"/>
            </w:tcBorders>
          </w:tcPr>
          <w:p>
            <w:pPr>
              <w:ind w:firstLine="486"/>
              <w:rPr>
                <w:rFonts w:cs="仿宋"/>
                <w:color w:val="000000"/>
                <w:sz w:val="24"/>
                <w:szCs w:val="28"/>
                <w:highlight w:val="none"/>
              </w:rPr>
            </w:pPr>
          </w:p>
        </w:tc>
      </w:tr>
    </w:tbl>
    <w:p>
      <w:pPr>
        <w:ind w:firstLine="426"/>
        <w:rPr>
          <w:highlight w:val="none"/>
        </w:rPr>
      </w:pPr>
      <w:r>
        <w:rPr>
          <w:rFonts w:hint="eastAsia"/>
          <w:highlight w:val="none"/>
        </w:rPr>
        <w:t>注：1、辅助说明资料主要包括管理班子机构设置、职责分工、有关复印证明资料以及供应商认为有必要提供的资料。辅助说明资料格式不做统一规定，由供应商自行设计。</w:t>
      </w:r>
    </w:p>
    <w:p>
      <w:pPr>
        <w:ind w:firstLine="426"/>
        <w:rPr>
          <w:highlight w:val="none"/>
        </w:rPr>
      </w:pPr>
      <w:r>
        <w:rPr>
          <w:rFonts w:hint="eastAsia"/>
          <w:highlight w:val="none"/>
        </w:rPr>
        <w:t>2、项目管理班子配备情况辅助说明资料另附（与本投标文件一起装订）</w:t>
      </w:r>
    </w:p>
    <w:p>
      <w:pPr>
        <w:widowControl/>
        <w:ind w:firstLine="0" w:firstLineChars="0"/>
        <w:jc w:val="center"/>
        <w:rPr>
          <w:rFonts w:cs="仿宋"/>
          <w:b/>
          <w:bCs/>
          <w:color w:val="000000"/>
          <w:sz w:val="32"/>
          <w:szCs w:val="32"/>
          <w:highlight w:val="none"/>
        </w:rPr>
      </w:pPr>
      <w:r>
        <w:rPr>
          <w:rFonts w:hint="eastAsia" w:cs="仿宋"/>
          <w:b/>
          <w:bCs/>
          <w:color w:val="000000"/>
          <w:sz w:val="30"/>
          <w:szCs w:val="30"/>
          <w:highlight w:val="none"/>
        </w:rPr>
        <w:br w:type="page"/>
      </w:r>
      <w:r>
        <w:rPr>
          <w:rFonts w:hint="eastAsia"/>
          <w:b/>
          <w:bCs/>
          <w:highlight w:val="none"/>
        </w:rPr>
        <w:t>材料（设备）表（</w:t>
      </w:r>
      <w:r>
        <w:rPr>
          <w:rFonts w:hint="eastAsia"/>
          <w:b/>
          <w:bCs/>
          <w:highlight w:val="none"/>
          <w:lang w:val="en-US" w:eastAsia="zh-CN"/>
        </w:rPr>
        <w:t>如有，</w:t>
      </w:r>
      <w:r>
        <w:rPr>
          <w:rFonts w:hint="eastAsia"/>
          <w:b/>
          <w:bCs/>
          <w:highlight w:val="none"/>
        </w:rPr>
        <w:t>供参考）</w:t>
      </w:r>
    </w:p>
    <w:tbl>
      <w:tblPr>
        <w:tblStyle w:val="67"/>
        <w:tblW w:w="79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3397"/>
        <w:gridCol w:w="3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blHeader/>
          <w:jc w:val="center"/>
        </w:trPr>
        <w:tc>
          <w:tcPr>
            <w:tcW w:w="1231" w:type="dxa"/>
            <w:tcBorders>
              <w:top w:val="single" w:color="auto" w:sz="4"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序号</w:t>
            </w:r>
          </w:p>
        </w:tc>
        <w:tc>
          <w:tcPr>
            <w:tcW w:w="3398" w:type="dxa"/>
            <w:tcBorders>
              <w:top w:val="sing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材料名称</w:t>
            </w:r>
          </w:p>
        </w:tc>
        <w:tc>
          <w:tcPr>
            <w:tcW w:w="3309" w:type="dxa"/>
            <w:tcBorders>
              <w:top w:val="single" w:color="auto" w:sz="4"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r>
              <w:rPr>
                <w:rFonts w:hint="eastAsia"/>
                <w:sz w:val="20"/>
                <w:szCs w:val="18"/>
                <w:highlight w:val="none"/>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1</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2</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3</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4</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5</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6</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7</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4"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8</w:t>
            </w:r>
          </w:p>
        </w:tc>
        <w:tc>
          <w:tcPr>
            <w:tcW w:w="3398" w:type="dxa"/>
            <w:tcBorders>
              <w:top w:val="single" w:color="auto" w:sz="6" w:space="0"/>
              <w:left w:val="single" w:color="auto" w:sz="6" w:space="0"/>
              <w:bottom w:val="single" w:color="auto" w:sz="4"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4" w:space="0"/>
              <w:right w:val="single" w:color="auto" w:sz="4" w:space="0"/>
            </w:tcBorders>
            <w:vAlign w:val="center"/>
          </w:tcPr>
          <w:p>
            <w:pPr>
              <w:spacing w:line="240" w:lineRule="auto"/>
              <w:ind w:firstLine="0" w:firstLineChars="0"/>
              <w:jc w:val="center"/>
              <w:rPr>
                <w:sz w:val="20"/>
                <w:szCs w:val="18"/>
                <w:highlight w:val="none"/>
              </w:rPr>
            </w:pPr>
          </w:p>
        </w:tc>
      </w:tr>
    </w:tbl>
    <w:p>
      <w:pPr>
        <w:pStyle w:val="4"/>
        <w:jc w:val="center"/>
        <w:rPr>
          <w:rFonts w:ascii="宋体" w:hAnsi="宋体" w:cs="宋体"/>
          <w:sz w:val="36"/>
          <w:szCs w:val="36"/>
          <w:highlight w:val="none"/>
        </w:rPr>
      </w:pPr>
      <w:r>
        <w:rPr>
          <w:highlight w:val="none"/>
        </w:rPr>
        <w:br w:type="page"/>
      </w:r>
      <w:bookmarkStart w:id="168" w:name="_Toc24685"/>
      <w:bookmarkStart w:id="169" w:name="_Toc28633"/>
      <w:bookmarkStart w:id="170" w:name="_Toc7897"/>
      <w:r>
        <w:rPr>
          <w:rFonts w:hint="eastAsia"/>
          <w:highlight w:val="none"/>
        </w:rPr>
        <w:t>报价文件部分</w:t>
      </w:r>
      <w:bookmarkEnd w:id="168"/>
      <w:bookmarkEnd w:id="169"/>
      <w:bookmarkEnd w:id="170"/>
    </w:p>
    <w:p>
      <w:pPr>
        <w:ind w:firstLine="0" w:firstLineChars="0"/>
        <w:jc w:val="center"/>
        <w:rPr>
          <w:b/>
          <w:bCs/>
          <w:sz w:val="24"/>
          <w:szCs w:val="22"/>
          <w:highlight w:val="none"/>
        </w:rPr>
      </w:pPr>
      <w:r>
        <w:rPr>
          <w:rFonts w:hint="eastAsia"/>
          <w:b/>
          <w:bCs/>
          <w:sz w:val="24"/>
          <w:szCs w:val="22"/>
          <w:highlight w:val="none"/>
        </w:rPr>
        <w:t>目录</w:t>
      </w:r>
    </w:p>
    <w:p>
      <w:pPr>
        <w:ind w:firstLine="426"/>
        <w:rPr>
          <w:highlight w:val="none"/>
        </w:rPr>
      </w:pPr>
    </w:p>
    <w:p>
      <w:pPr>
        <w:ind w:firstLine="0" w:firstLineChars="0"/>
        <w:rPr>
          <w:highlight w:val="none"/>
        </w:rPr>
      </w:pPr>
    </w:p>
    <w:p>
      <w:pPr>
        <w:ind w:firstLine="0" w:firstLineChars="0"/>
        <w:rPr>
          <w:highlight w:val="none"/>
        </w:rPr>
      </w:pPr>
      <w:r>
        <w:rPr>
          <w:rFonts w:hint="eastAsia"/>
          <w:highlight w:val="none"/>
        </w:rPr>
        <w:t>（1）报价单…………………………………………………………………………（页码）</w:t>
      </w:r>
    </w:p>
    <w:p>
      <w:pPr>
        <w:ind w:firstLine="0" w:firstLineChars="0"/>
        <w:rPr>
          <w:highlight w:val="none"/>
        </w:rPr>
      </w:pPr>
      <w:r>
        <w:rPr>
          <w:rFonts w:hint="eastAsia"/>
          <w:highlight w:val="none"/>
        </w:rPr>
        <w:t>（2）已标价工程量清单……………………………………………………………（页码）</w:t>
      </w:r>
    </w:p>
    <w:p>
      <w:pPr>
        <w:ind w:firstLine="0" w:firstLineChars="0"/>
        <w:rPr>
          <w:highlight w:val="none"/>
        </w:rPr>
      </w:pPr>
      <w:r>
        <w:rPr>
          <w:rFonts w:hint="eastAsia"/>
          <w:highlight w:val="none"/>
        </w:rPr>
        <w:t>（3）报价情况说明…………………………………………………………………（页码）</w:t>
      </w:r>
    </w:p>
    <w:p>
      <w:pPr>
        <w:ind w:firstLine="426"/>
        <w:rPr>
          <w:highlight w:val="none"/>
        </w:rPr>
      </w:pPr>
      <w:r>
        <w:rPr>
          <w:rFonts w:hint="eastAsia"/>
          <w:highlight w:val="none"/>
        </w:rPr>
        <w:br w:type="page"/>
      </w:r>
    </w:p>
    <w:p>
      <w:pPr>
        <w:pStyle w:val="5"/>
        <w:jc w:val="center"/>
        <w:rPr>
          <w:rStyle w:val="82"/>
          <w:b/>
          <w:bCs w:val="0"/>
          <w:highlight w:val="none"/>
        </w:rPr>
      </w:pPr>
      <w:r>
        <w:rPr>
          <w:rStyle w:val="82"/>
          <w:rFonts w:hint="eastAsia"/>
          <w:b/>
          <w:bCs w:val="0"/>
          <w:highlight w:val="none"/>
        </w:rPr>
        <w:t>一、初始报价一览表</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按你方磋商文件要求，我们，本响应文件签字方，谨此向你方发出要约如下：如你方接受本响应，我方承诺按照如下初始报价一览表的价格完成</w:t>
      </w:r>
      <w:r>
        <w:rPr>
          <w:rFonts w:hint="eastAsia"/>
          <w:highlight w:val="none"/>
          <w:u w:val="single"/>
        </w:rPr>
        <w:t xml:space="preserve">           </w:t>
      </w:r>
      <w:r>
        <w:rPr>
          <w:rFonts w:hint="eastAsia"/>
          <w:highlight w:val="none"/>
        </w:rPr>
        <w:t>（项目名称）</w:t>
      </w:r>
      <w:r>
        <w:rPr>
          <w:rFonts w:hint="eastAsia"/>
          <w:highlight w:val="none"/>
          <w:u w:val="single"/>
        </w:rPr>
        <w:t xml:space="preserve">           </w:t>
      </w:r>
      <w:r>
        <w:rPr>
          <w:rFonts w:hint="eastAsia"/>
          <w:highlight w:val="none"/>
        </w:rPr>
        <w:t>】的实施</w:t>
      </w:r>
      <w:r>
        <w:rPr>
          <w:rFonts w:hint="eastAsia"/>
          <w:highlight w:val="none"/>
          <w:lang w:val="zh-CN"/>
        </w:rPr>
        <w:t>。</w:t>
      </w:r>
    </w:p>
    <w:p>
      <w:pPr>
        <w:ind w:firstLine="426"/>
        <w:rPr>
          <w:highlight w:val="none"/>
          <w:lang w:val="zh-CN"/>
        </w:rPr>
      </w:pPr>
      <w:r>
        <w:rPr>
          <w:rFonts w:hint="eastAsia"/>
          <w:highlight w:val="none"/>
          <w:lang w:val="zh-CN"/>
        </w:rPr>
        <w:t>初始报价一览表(单位均为人民币元)</w:t>
      </w:r>
    </w:p>
    <w:tbl>
      <w:tblPr>
        <w:tblStyle w:val="6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174"/>
        <w:gridCol w:w="1298"/>
        <w:gridCol w:w="1755"/>
        <w:gridCol w:w="1244"/>
        <w:gridCol w:w="161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序号</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施工范围</w:t>
            </w: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施工工期</w:t>
            </w: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项目负责人</w:t>
            </w: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执业证书信息</w:t>
            </w: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1</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2</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65" w:type="pct"/>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初始报价（小写）</w:t>
            </w:r>
          </w:p>
        </w:tc>
        <w:tc>
          <w:tcPr>
            <w:tcW w:w="2234" w:type="pct"/>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65" w:type="pct"/>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初始报价（大写）</w:t>
            </w:r>
          </w:p>
        </w:tc>
        <w:tc>
          <w:tcPr>
            <w:tcW w:w="2234" w:type="pct"/>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bl>
    <w:p>
      <w:pPr>
        <w:ind w:firstLine="426"/>
        <w:rPr>
          <w:highlight w:val="none"/>
          <w:lang w:val="zh-CN"/>
        </w:rPr>
      </w:pPr>
      <w:r>
        <w:rPr>
          <w:rFonts w:hint="eastAsia"/>
          <w:highlight w:val="none"/>
          <w:lang w:val="zh-CN"/>
        </w:rPr>
        <w:t>注：</w:t>
      </w:r>
    </w:p>
    <w:p>
      <w:pPr>
        <w:ind w:firstLine="426"/>
        <w:rPr>
          <w:highlight w:val="none"/>
          <w:lang w:val="zh-CN"/>
        </w:rPr>
      </w:pPr>
      <w:r>
        <w:rPr>
          <w:rFonts w:hint="eastAsia"/>
          <w:highlight w:val="none"/>
          <w:lang w:val="zh-CN"/>
        </w:rPr>
        <w:t>1、供应商需</w:t>
      </w:r>
      <w:r>
        <w:rPr>
          <w:rFonts w:hint="eastAsia"/>
          <w:b/>
          <w:bCs/>
          <w:highlight w:val="none"/>
          <w:lang w:val="zh-CN"/>
        </w:rPr>
        <w:t>按本表格式填写，否则视为响应文件含有采购人不能接受的附加条件，响应文件无效。</w:t>
      </w:r>
    </w:p>
    <w:p>
      <w:pPr>
        <w:ind w:firstLine="426"/>
        <w:rPr>
          <w:highlight w:val="none"/>
          <w:lang w:val="zh-CN"/>
        </w:rPr>
      </w:pPr>
      <w:r>
        <w:rPr>
          <w:rFonts w:hint="eastAsia"/>
          <w:highlight w:val="none"/>
          <w:lang w:val="zh-CN"/>
        </w:rPr>
        <w:t>2、有关本项目实施所涉及的一切费用均计入报价。</w:t>
      </w:r>
      <w:r>
        <w:rPr>
          <w:rFonts w:hint="eastAsia"/>
          <w:b/>
          <w:bCs/>
          <w:highlight w:val="none"/>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pPr>
        <w:ind w:firstLine="426"/>
        <w:rPr>
          <w:highlight w:val="none"/>
          <w:lang w:val="zh-CN"/>
        </w:rPr>
      </w:pPr>
      <w:r>
        <w:rPr>
          <w:rFonts w:hint="eastAsia"/>
          <w:highlight w:val="none"/>
          <w:lang w:val="zh-CN"/>
        </w:rPr>
        <w:t>3、特别提示：采购代理机构将对项目名称和项目编号，成交供应商名称、地址和成交金额、施工范围、施工工期、项目经理、执业证书信息、品牌（如果有）、规格型号、数量、单价等予以公示。</w:t>
      </w:r>
    </w:p>
    <w:p>
      <w:pPr>
        <w:ind w:firstLine="426"/>
        <w:rPr>
          <w:highlight w:val="none"/>
          <w:lang w:val="zh-CN"/>
        </w:rPr>
      </w:pPr>
      <w:r>
        <w:rPr>
          <w:rFonts w:hint="eastAsia"/>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0" w:firstLineChars="0"/>
        <w:jc w:val="right"/>
        <w:rPr>
          <w:highlight w:val="none"/>
          <w:lang w:val="zh-CN"/>
        </w:rPr>
      </w:pPr>
      <w:r>
        <w:rPr>
          <w:rFonts w:hint="eastAsia"/>
          <w:highlight w:val="none"/>
          <w:lang w:val="zh-CN"/>
        </w:rPr>
        <w:t>日期：</w:t>
      </w:r>
      <w:r>
        <w:rPr>
          <w:rFonts w:hint="eastAsia"/>
          <w:highlight w:val="none"/>
        </w:rPr>
        <w:t xml:space="preserve">    </w:t>
      </w:r>
      <w:r>
        <w:rPr>
          <w:rFonts w:hint="eastAsia"/>
          <w:highlight w:val="none"/>
          <w:lang w:val="zh-CN"/>
        </w:rPr>
        <w:t>年   月   日</w:t>
      </w:r>
    </w:p>
    <w:p>
      <w:pPr>
        <w:pStyle w:val="5"/>
        <w:jc w:val="center"/>
        <w:rPr>
          <w:rFonts w:ascii="宋体" w:hAnsi="宋体" w:eastAsia="宋体" w:cs="宋体"/>
          <w:kern w:val="2"/>
          <w:sz w:val="32"/>
          <w:highlight w:val="none"/>
        </w:rPr>
      </w:pPr>
      <w:r>
        <w:rPr>
          <w:rFonts w:hint="eastAsia"/>
          <w:highlight w:val="none"/>
          <w:lang w:val="zh-CN"/>
        </w:rPr>
        <w:br w:type="page"/>
      </w:r>
      <w:r>
        <w:rPr>
          <w:rStyle w:val="82"/>
          <w:rFonts w:hint="eastAsia"/>
          <w:b/>
          <w:bCs w:val="0"/>
          <w:highlight w:val="none"/>
        </w:rPr>
        <w:t>二、已标价工程量清单</w:t>
      </w:r>
    </w:p>
    <w:p>
      <w:pPr>
        <w:ind w:firstLine="0" w:firstLineChars="0"/>
        <w:rPr>
          <w:highlight w:val="none"/>
          <w:lang w:val="zh-CN"/>
        </w:rPr>
      </w:pPr>
      <w:r>
        <w:rPr>
          <w:rFonts w:hint="eastAsia"/>
          <w:highlight w:val="none"/>
        </w:rPr>
        <w:t xml:space="preserve">注：按采购文件附件工程量清单编制 </w:t>
      </w:r>
    </w:p>
    <w:p>
      <w:pPr>
        <w:ind w:firstLine="0" w:firstLineChars="0"/>
        <w:jc w:val="center"/>
        <w:rPr>
          <w:highlight w:val="none"/>
        </w:rPr>
      </w:pPr>
    </w:p>
    <w:p>
      <w:pPr>
        <w:pStyle w:val="5"/>
        <w:jc w:val="center"/>
        <w:rPr>
          <w:rStyle w:val="82"/>
          <w:b/>
          <w:bCs w:val="0"/>
          <w:highlight w:val="none"/>
        </w:rPr>
      </w:pPr>
      <w:r>
        <w:rPr>
          <w:highlight w:val="none"/>
        </w:rPr>
        <w:br w:type="page"/>
      </w:r>
      <w:r>
        <w:rPr>
          <w:rFonts w:hint="eastAsia"/>
          <w:highlight w:val="none"/>
        </w:rPr>
        <w:t>三、</w:t>
      </w:r>
      <w:r>
        <w:rPr>
          <w:rStyle w:val="82"/>
          <w:rFonts w:hint="eastAsia"/>
          <w:b/>
          <w:bCs w:val="0"/>
          <w:highlight w:val="none"/>
        </w:rPr>
        <w:t>报价情况说明（如果有）</w:t>
      </w:r>
    </w:p>
    <w:p>
      <w:pPr>
        <w:ind w:firstLine="426"/>
        <w:rPr>
          <w:highlight w:val="none"/>
        </w:rPr>
      </w:pPr>
      <w:r>
        <w:rPr>
          <w:rFonts w:hint="eastAsia"/>
          <w:highlight w:val="none"/>
        </w:rPr>
        <w:t>如供应商报价出现“第四部分 评标办法”中“三、评审程序中3.6.2情形之一”的，应当提交本文档，详细阐述不影响产品质量或者诚信履约的具体原因。</w:t>
      </w:r>
    </w:p>
    <w:p>
      <w:pPr>
        <w:ind w:firstLine="426"/>
        <w:rPr>
          <w:highlight w:val="none"/>
        </w:rPr>
      </w:pPr>
      <w:r>
        <w:rPr>
          <w:rFonts w:hint="eastAsia"/>
          <w:highlight w:val="none"/>
        </w:rPr>
        <w:t>原因包括但不限于根据拟投入项目团队情况列明人工成本，社保公积金成本、交通成本、差旅成本、食宿成本、办公费、企业管理费等直接成本、间接成本、税金、利润等。</w:t>
      </w:r>
    </w:p>
    <w:p>
      <w:pPr>
        <w:ind w:firstLine="426"/>
        <w:rPr>
          <w:highlight w:val="none"/>
        </w:rPr>
      </w:pPr>
      <w:r>
        <w:rPr>
          <w:rFonts w:hint="eastAsia"/>
          <w:highlight w:val="none"/>
        </w:rPr>
        <w:br w:type="page"/>
      </w:r>
    </w:p>
    <w:p>
      <w:pPr>
        <w:pStyle w:val="4"/>
        <w:rPr>
          <w:rFonts w:ascii="宋体" w:hAnsi="宋体" w:cs="宋体"/>
          <w:highlight w:val="none"/>
        </w:rPr>
      </w:pPr>
      <w:bookmarkStart w:id="171" w:name="_Toc30407"/>
      <w:bookmarkStart w:id="172" w:name="_Toc6461"/>
      <w:bookmarkStart w:id="173" w:name="_Toc3014"/>
      <w:r>
        <w:rPr>
          <w:rStyle w:val="80"/>
          <w:rFonts w:hint="eastAsia"/>
          <w:b/>
          <w:highlight w:val="none"/>
        </w:rPr>
        <w:t>附件</w:t>
      </w:r>
      <w:bookmarkEnd w:id="171"/>
      <w:bookmarkEnd w:id="172"/>
      <w:bookmarkEnd w:id="173"/>
    </w:p>
    <w:p>
      <w:pPr>
        <w:ind w:firstLine="428"/>
        <w:rPr>
          <w:b/>
          <w:bCs/>
          <w:highlight w:val="none"/>
        </w:rPr>
      </w:pPr>
      <w:r>
        <w:rPr>
          <w:rFonts w:hint="eastAsia"/>
          <w:b/>
          <w:bCs/>
          <w:highlight w:val="none"/>
        </w:rPr>
        <w:t>附件1：残疾人福利性单位声明函</w:t>
      </w:r>
    </w:p>
    <w:p>
      <w:pPr>
        <w:ind w:firstLine="426"/>
        <w:rPr>
          <w:highlight w:val="none"/>
        </w:rPr>
      </w:pPr>
    </w:p>
    <w:p>
      <w:pPr>
        <w:ind w:firstLine="426"/>
        <w:rPr>
          <w:highlight w:val="none"/>
        </w:rPr>
      </w:pPr>
      <w:r>
        <w:rPr>
          <w:rFonts w:hint="eastAsia"/>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6"/>
        <w:rPr>
          <w:highlight w:val="none"/>
        </w:rPr>
      </w:pPr>
      <w:r>
        <w:rPr>
          <w:rFonts w:hint="eastAsia"/>
          <w:highlight w:val="none"/>
        </w:rPr>
        <w:t>本单位对上述声明的真实性负责。如有虚假，将依法承担相应责任。</w:t>
      </w:r>
    </w:p>
    <w:p>
      <w:pPr>
        <w:ind w:firstLine="426"/>
        <w:rPr>
          <w:highlight w:val="none"/>
        </w:rPr>
      </w:pPr>
    </w:p>
    <w:p>
      <w:pPr>
        <w:ind w:firstLine="426"/>
        <w:rPr>
          <w:highlight w:val="none"/>
        </w:rPr>
      </w:pPr>
    </w:p>
    <w:p>
      <w:pPr>
        <w:ind w:firstLine="426"/>
        <w:jc w:val="right"/>
        <w:rPr>
          <w:highlight w:val="none"/>
        </w:rPr>
      </w:pPr>
      <w:r>
        <w:rPr>
          <w:rFonts w:hint="eastAsia"/>
          <w:highlight w:val="none"/>
          <w:lang w:val="zh-CN"/>
        </w:rPr>
        <w:t>供应商名称（电子签名）</w:t>
      </w:r>
      <w:r>
        <w:rPr>
          <w:rFonts w:hint="eastAsia"/>
          <w:highlight w:val="none"/>
        </w:rPr>
        <w:t>：</w:t>
      </w:r>
    </w:p>
    <w:p>
      <w:pPr>
        <w:ind w:firstLine="426"/>
        <w:jc w:val="right"/>
        <w:rPr>
          <w:highlight w:val="none"/>
        </w:rPr>
      </w:pPr>
      <w:r>
        <w:rPr>
          <w:rFonts w:hint="eastAsia"/>
          <w:highlight w:val="none"/>
        </w:rPr>
        <w:t>日  期：</w:t>
      </w:r>
    </w:p>
    <w:p>
      <w:pPr>
        <w:ind w:firstLine="426"/>
        <w:rPr>
          <w:b/>
          <w:highlight w:val="none"/>
        </w:rPr>
      </w:pPr>
      <w:r>
        <w:rPr>
          <w:rFonts w:hint="eastAsia"/>
          <w:highlight w:val="none"/>
        </w:rPr>
        <w:br w:type="page"/>
      </w:r>
      <w:r>
        <w:rPr>
          <w:rFonts w:hint="eastAsia"/>
          <w:b/>
          <w:bCs/>
          <w:highlight w:val="none"/>
        </w:rPr>
        <w:t>附件2：质疑函范本及制作说明</w:t>
      </w:r>
    </w:p>
    <w:p>
      <w:pPr>
        <w:ind w:firstLine="0" w:firstLineChars="0"/>
        <w:jc w:val="center"/>
        <w:rPr>
          <w:b/>
          <w:bCs/>
          <w:highlight w:val="none"/>
        </w:rPr>
      </w:pPr>
      <w:r>
        <w:rPr>
          <w:rFonts w:hint="eastAsia"/>
          <w:b/>
          <w:bCs/>
          <w:highlight w:val="none"/>
        </w:rPr>
        <w:t>质疑函范本</w:t>
      </w:r>
    </w:p>
    <w:p>
      <w:pPr>
        <w:ind w:firstLine="0" w:firstLineChars="0"/>
        <w:rPr>
          <w:highlight w:val="none"/>
        </w:rPr>
      </w:pPr>
      <w:r>
        <w:rPr>
          <w:rFonts w:hint="eastAsia"/>
          <w:highlight w:val="none"/>
        </w:rPr>
        <w:t>一、质疑供应商基本信息</w:t>
      </w:r>
    </w:p>
    <w:p>
      <w:pPr>
        <w:ind w:firstLine="0" w:firstLineChars="0"/>
        <w:rPr>
          <w:highlight w:val="none"/>
        </w:rPr>
      </w:pPr>
      <w:r>
        <w:rPr>
          <w:rFonts w:hint="eastAsia"/>
          <w:highlight w:val="none"/>
        </w:rPr>
        <w:t>质疑供应商：</w:t>
      </w:r>
      <w:r>
        <w:rPr>
          <w:rFonts w:hint="eastAsia"/>
          <w:highlight w:val="none"/>
          <w:u w:val="single"/>
        </w:rPr>
        <w:t xml:space="preserve">           </w:t>
      </w:r>
    </w:p>
    <w:p>
      <w:pPr>
        <w:ind w:firstLine="0" w:firstLineChars="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0" w:firstLineChars="0"/>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0" w:firstLineChars="0"/>
        <w:rPr>
          <w:highlight w:val="none"/>
        </w:rPr>
      </w:pPr>
      <w:r>
        <w:rPr>
          <w:rFonts w:hint="eastAsia"/>
          <w:highlight w:val="none"/>
        </w:rPr>
        <w:t>授权代表：</w:t>
      </w:r>
      <w:r>
        <w:rPr>
          <w:rFonts w:hint="eastAsia"/>
          <w:highlight w:val="none"/>
          <w:u w:val="single"/>
        </w:rPr>
        <w:t xml:space="preserve">           </w:t>
      </w:r>
    </w:p>
    <w:p>
      <w:pPr>
        <w:ind w:firstLine="0" w:firstLineChars="0"/>
        <w:rPr>
          <w:highlight w:val="none"/>
        </w:rPr>
      </w:pPr>
      <w:r>
        <w:rPr>
          <w:rFonts w:hint="eastAsia"/>
          <w:highlight w:val="none"/>
        </w:rPr>
        <w:t>联系电话：</w:t>
      </w:r>
      <w:r>
        <w:rPr>
          <w:rFonts w:hint="eastAsia"/>
          <w:highlight w:val="none"/>
          <w:u w:val="single"/>
        </w:rPr>
        <w:t xml:space="preserve">           </w:t>
      </w:r>
    </w:p>
    <w:p>
      <w:pPr>
        <w:ind w:firstLine="0" w:firstLineChars="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0" w:firstLineChars="0"/>
        <w:rPr>
          <w:highlight w:val="none"/>
        </w:rPr>
      </w:pPr>
      <w:r>
        <w:rPr>
          <w:rFonts w:hint="eastAsia"/>
          <w:highlight w:val="none"/>
        </w:rPr>
        <w:t>二、质疑项目基本情况</w:t>
      </w:r>
    </w:p>
    <w:p>
      <w:pPr>
        <w:ind w:firstLine="0" w:firstLineChars="0"/>
        <w:rPr>
          <w:highlight w:val="none"/>
        </w:rPr>
      </w:pPr>
      <w:r>
        <w:rPr>
          <w:rFonts w:hint="eastAsia"/>
          <w:highlight w:val="none"/>
        </w:rPr>
        <w:t>质疑项目的名称：</w:t>
      </w:r>
      <w:r>
        <w:rPr>
          <w:rFonts w:hint="eastAsia"/>
          <w:highlight w:val="none"/>
          <w:u w:val="single"/>
        </w:rPr>
        <w:t xml:space="preserve">           </w:t>
      </w:r>
    </w:p>
    <w:p>
      <w:pPr>
        <w:ind w:firstLine="0" w:firstLineChars="0"/>
        <w:rPr>
          <w:highlight w:val="none"/>
        </w:rPr>
      </w:pPr>
      <w:r>
        <w:rPr>
          <w:rFonts w:hint="eastAsia"/>
          <w:highlight w:val="none"/>
        </w:rPr>
        <w:t>质疑项目的编号：</w:t>
      </w:r>
      <w:r>
        <w:rPr>
          <w:rFonts w:hint="eastAsia"/>
          <w:highlight w:val="none"/>
          <w:u w:val="single"/>
        </w:rPr>
        <w:t xml:space="preserve">           </w:t>
      </w:r>
      <w:r>
        <w:rPr>
          <w:rFonts w:hint="eastAsia"/>
          <w:highlight w:val="none"/>
        </w:rPr>
        <w:t>包号：</w:t>
      </w:r>
      <w:r>
        <w:rPr>
          <w:rFonts w:hint="eastAsia"/>
          <w:highlight w:val="none"/>
          <w:u w:val="single"/>
        </w:rPr>
        <w:t xml:space="preserve">           </w:t>
      </w:r>
    </w:p>
    <w:p>
      <w:pPr>
        <w:ind w:firstLine="0" w:firstLineChars="0"/>
        <w:rPr>
          <w:highlight w:val="none"/>
        </w:rPr>
      </w:pPr>
      <w:r>
        <w:rPr>
          <w:rFonts w:hint="eastAsia"/>
          <w:highlight w:val="none"/>
        </w:rPr>
        <w:t>采购人名称：</w:t>
      </w:r>
      <w:r>
        <w:rPr>
          <w:rFonts w:hint="eastAsia"/>
          <w:highlight w:val="none"/>
          <w:u w:val="single"/>
        </w:rPr>
        <w:t xml:space="preserve">           </w:t>
      </w:r>
    </w:p>
    <w:p>
      <w:pPr>
        <w:ind w:firstLine="0" w:firstLineChars="0"/>
        <w:rPr>
          <w:highlight w:val="none"/>
        </w:rPr>
      </w:pPr>
      <w:r>
        <w:rPr>
          <w:rFonts w:hint="eastAsia"/>
          <w:highlight w:val="none"/>
        </w:rPr>
        <w:t>采购文件获取日期：</w:t>
      </w:r>
      <w:r>
        <w:rPr>
          <w:rFonts w:hint="eastAsia"/>
          <w:highlight w:val="none"/>
          <w:u w:val="single"/>
        </w:rPr>
        <w:t xml:space="preserve">           </w:t>
      </w:r>
    </w:p>
    <w:p>
      <w:pPr>
        <w:ind w:firstLine="0" w:firstLineChars="0"/>
        <w:rPr>
          <w:highlight w:val="none"/>
        </w:rPr>
      </w:pPr>
      <w:r>
        <w:rPr>
          <w:rFonts w:hint="eastAsia"/>
          <w:highlight w:val="none"/>
        </w:rPr>
        <w:t>三、质疑事项具体内容</w:t>
      </w:r>
    </w:p>
    <w:p>
      <w:pPr>
        <w:ind w:firstLine="0" w:firstLineChars="0"/>
        <w:rPr>
          <w:highlight w:val="none"/>
          <w:u w:val="single"/>
        </w:rPr>
      </w:pPr>
      <w:r>
        <w:rPr>
          <w:rFonts w:hint="eastAsia"/>
          <w:highlight w:val="none"/>
        </w:rPr>
        <w:t>质疑事项1：</w:t>
      </w:r>
      <w:r>
        <w:rPr>
          <w:rFonts w:hint="eastAsia"/>
          <w:highlight w:val="none"/>
          <w:u w:val="single"/>
        </w:rPr>
        <w:t xml:space="preserve">           </w:t>
      </w:r>
    </w:p>
    <w:p>
      <w:pPr>
        <w:ind w:firstLine="0" w:firstLineChars="0"/>
        <w:rPr>
          <w:highlight w:val="none"/>
        </w:rPr>
      </w:pPr>
      <w:r>
        <w:rPr>
          <w:rFonts w:hint="eastAsia"/>
          <w:highlight w:val="none"/>
        </w:rPr>
        <w:t>事实依据：</w:t>
      </w:r>
      <w:r>
        <w:rPr>
          <w:rFonts w:hint="eastAsia"/>
          <w:highlight w:val="none"/>
          <w:u w:val="single"/>
        </w:rPr>
        <w:t xml:space="preserve">           </w:t>
      </w:r>
    </w:p>
    <w:p>
      <w:pPr>
        <w:ind w:firstLine="0" w:firstLineChars="0"/>
        <w:rPr>
          <w:highlight w:val="none"/>
        </w:rPr>
      </w:pPr>
      <w:r>
        <w:rPr>
          <w:rFonts w:hint="eastAsia"/>
          <w:highlight w:val="none"/>
        </w:rPr>
        <w:t>法律依据：</w:t>
      </w:r>
      <w:r>
        <w:rPr>
          <w:rFonts w:hint="eastAsia"/>
          <w:highlight w:val="none"/>
          <w:u w:val="single"/>
        </w:rPr>
        <w:t xml:space="preserve">           </w:t>
      </w:r>
    </w:p>
    <w:p>
      <w:pPr>
        <w:ind w:firstLine="0" w:firstLineChars="0"/>
        <w:rPr>
          <w:highlight w:val="none"/>
        </w:rPr>
      </w:pPr>
      <w:r>
        <w:rPr>
          <w:rFonts w:hint="eastAsia"/>
          <w:highlight w:val="none"/>
        </w:rPr>
        <w:t>质疑事项2</w:t>
      </w:r>
    </w:p>
    <w:p>
      <w:pPr>
        <w:ind w:firstLine="0" w:firstLineChars="0"/>
        <w:rPr>
          <w:highlight w:val="none"/>
        </w:rPr>
      </w:pPr>
      <w:r>
        <w:rPr>
          <w:rFonts w:hint="eastAsia"/>
          <w:highlight w:val="none"/>
        </w:rPr>
        <w:t>……</w:t>
      </w:r>
    </w:p>
    <w:p>
      <w:pPr>
        <w:ind w:firstLine="0" w:firstLineChars="0"/>
        <w:rPr>
          <w:highlight w:val="none"/>
        </w:rPr>
      </w:pPr>
      <w:r>
        <w:rPr>
          <w:rFonts w:hint="eastAsia"/>
          <w:highlight w:val="none"/>
        </w:rPr>
        <w:t>四、与质疑事项相关的质疑请求</w:t>
      </w:r>
    </w:p>
    <w:p>
      <w:pPr>
        <w:ind w:firstLine="0" w:firstLineChars="0"/>
        <w:rPr>
          <w:highlight w:val="none"/>
        </w:rPr>
      </w:pPr>
      <w:r>
        <w:rPr>
          <w:rFonts w:hint="eastAsia"/>
          <w:highlight w:val="none"/>
        </w:rPr>
        <w:t>请求：</w:t>
      </w:r>
      <w:r>
        <w:rPr>
          <w:rFonts w:hint="eastAsia"/>
          <w:highlight w:val="none"/>
          <w:u w:val="single"/>
        </w:rPr>
        <w:t xml:space="preserve">           </w:t>
      </w:r>
    </w:p>
    <w:p>
      <w:pPr>
        <w:ind w:firstLine="0" w:firstLineChars="0"/>
        <w:rPr>
          <w:highlight w:val="none"/>
        </w:rPr>
      </w:pPr>
    </w:p>
    <w:p>
      <w:pPr>
        <w:ind w:firstLine="0" w:firstLineChars="0"/>
        <w:rPr>
          <w:highlight w:val="none"/>
        </w:rPr>
      </w:pPr>
      <w:r>
        <w:rPr>
          <w:rFonts w:hint="eastAsia"/>
          <w:highlight w:val="none"/>
        </w:rPr>
        <w:t xml:space="preserve">签字(签章)：                   公章：                      </w:t>
      </w:r>
    </w:p>
    <w:p>
      <w:pPr>
        <w:ind w:firstLine="0" w:firstLineChars="0"/>
        <w:rPr>
          <w:highlight w:val="none"/>
        </w:rPr>
      </w:pPr>
      <w:r>
        <w:rPr>
          <w:rFonts w:hint="eastAsia"/>
          <w:highlight w:val="none"/>
        </w:rPr>
        <w:t xml:space="preserve">日期：    </w:t>
      </w:r>
    </w:p>
    <w:p>
      <w:pPr>
        <w:ind w:firstLine="0" w:firstLineChars="0"/>
        <w:rPr>
          <w:highlight w:val="none"/>
        </w:rPr>
      </w:pPr>
      <w:r>
        <w:rPr>
          <w:rFonts w:hint="eastAsia"/>
          <w:b/>
          <w:bCs/>
          <w:highlight w:val="none"/>
        </w:rPr>
        <w:t>质疑函制作说明：</w:t>
      </w:r>
    </w:p>
    <w:p>
      <w:pPr>
        <w:ind w:firstLine="426"/>
        <w:rPr>
          <w:highlight w:val="none"/>
        </w:rPr>
      </w:pPr>
      <w:r>
        <w:rPr>
          <w:rFonts w:hint="eastAsia"/>
          <w:highlight w:val="none"/>
        </w:rPr>
        <w:t>1.供应商提出质疑时，应提交质疑函和必要的证明材料。</w:t>
      </w:r>
    </w:p>
    <w:p>
      <w:pPr>
        <w:ind w:firstLine="426"/>
        <w:rPr>
          <w:highlight w:val="none"/>
        </w:rPr>
      </w:pPr>
      <w:r>
        <w:rPr>
          <w:rFonts w:hint="eastAsia"/>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26"/>
        <w:rPr>
          <w:highlight w:val="none"/>
        </w:rPr>
      </w:pPr>
      <w:r>
        <w:rPr>
          <w:rFonts w:hint="eastAsia"/>
          <w:highlight w:val="none"/>
        </w:rPr>
        <w:t>3.质疑供应商若对项目的某一分包进行质疑，质疑函中应列明具体分包号。</w:t>
      </w:r>
    </w:p>
    <w:p>
      <w:pPr>
        <w:ind w:firstLine="426"/>
        <w:rPr>
          <w:highlight w:val="none"/>
        </w:rPr>
      </w:pPr>
      <w:r>
        <w:rPr>
          <w:rFonts w:hint="eastAsia"/>
          <w:highlight w:val="none"/>
        </w:rPr>
        <w:t>4.质疑函的质疑事项应具体、明确，并有必要的事实依据和法律依据。</w:t>
      </w:r>
    </w:p>
    <w:p>
      <w:pPr>
        <w:ind w:firstLine="426"/>
        <w:rPr>
          <w:highlight w:val="none"/>
        </w:rPr>
      </w:pPr>
      <w:r>
        <w:rPr>
          <w:rFonts w:hint="eastAsia"/>
          <w:highlight w:val="none"/>
        </w:rPr>
        <w:t>5.质疑函的质疑请求应与质疑事项相关。</w:t>
      </w:r>
    </w:p>
    <w:p>
      <w:pPr>
        <w:ind w:firstLine="426"/>
        <w:rPr>
          <w:highlight w:val="none"/>
        </w:rPr>
      </w:pPr>
      <w:r>
        <w:rPr>
          <w:rFonts w:hint="eastAsia"/>
          <w:highlight w:val="none"/>
        </w:rPr>
        <w:t>6.质疑供应商为自然人的，质疑函应由本人签字；质疑供应商为法人或者其他组织的，质疑函应由法定代表人、主要负责人，或者其授权代表签字或者盖章，并加盖公章。</w:t>
      </w:r>
    </w:p>
    <w:p>
      <w:pPr>
        <w:ind w:firstLine="426"/>
        <w:rPr>
          <w:highlight w:val="none"/>
        </w:rPr>
      </w:pPr>
      <w:bookmarkStart w:id="174" w:name="_Toc20676"/>
      <w:bookmarkStart w:id="175" w:name="_Toc8660"/>
    </w:p>
    <w:p>
      <w:pPr>
        <w:ind w:firstLine="426"/>
        <w:rPr>
          <w:rFonts w:cs="仿宋"/>
          <w:b/>
          <w:color w:val="000000"/>
          <w:spacing w:val="6"/>
          <w:sz w:val="32"/>
          <w:szCs w:val="32"/>
          <w:highlight w:val="none"/>
        </w:rPr>
      </w:pPr>
      <w:r>
        <w:rPr>
          <w:rFonts w:hint="eastAsia"/>
          <w:highlight w:val="none"/>
        </w:rPr>
        <w:br w:type="page"/>
      </w:r>
      <w:bookmarkStart w:id="176" w:name="_Toc6567"/>
      <w:bookmarkStart w:id="177" w:name="_Toc3139"/>
      <w:bookmarkStart w:id="178" w:name="_Toc12692"/>
      <w:r>
        <w:rPr>
          <w:rFonts w:hint="eastAsia"/>
          <w:b/>
          <w:bCs/>
          <w:highlight w:val="none"/>
        </w:rPr>
        <w:t>附件3：投诉书范本及制作说明</w:t>
      </w:r>
      <w:bookmarkEnd w:id="174"/>
      <w:bookmarkEnd w:id="175"/>
      <w:bookmarkEnd w:id="176"/>
      <w:bookmarkEnd w:id="177"/>
      <w:bookmarkEnd w:id="178"/>
    </w:p>
    <w:p>
      <w:pPr>
        <w:ind w:firstLine="488"/>
        <w:jc w:val="center"/>
        <w:rPr>
          <w:rFonts w:cs="仿宋"/>
          <w:b/>
          <w:color w:val="000000"/>
          <w:sz w:val="24"/>
          <w:highlight w:val="none"/>
        </w:rPr>
      </w:pPr>
    </w:p>
    <w:p>
      <w:pPr>
        <w:ind w:firstLine="0" w:firstLineChars="0"/>
        <w:jc w:val="center"/>
        <w:rPr>
          <w:b/>
          <w:bCs/>
          <w:highlight w:val="none"/>
        </w:rPr>
      </w:pPr>
      <w:r>
        <w:rPr>
          <w:rFonts w:hint="eastAsia"/>
          <w:b/>
          <w:bCs/>
          <w:highlight w:val="none"/>
        </w:rPr>
        <w:t>投诉书范本</w:t>
      </w:r>
    </w:p>
    <w:p>
      <w:pPr>
        <w:ind w:firstLine="426"/>
        <w:rPr>
          <w:highlight w:val="none"/>
        </w:rPr>
      </w:pPr>
      <w:r>
        <w:rPr>
          <w:rFonts w:hint="eastAsia"/>
          <w:highlight w:val="none"/>
        </w:rPr>
        <w:t>一、投诉相关主体基本情况</w:t>
      </w:r>
    </w:p>
    <w:p>
      <w:pPr>
        <w:ind w:firstLine="426"/>
        <w:rPr>
          <w:highlight w:val="none"/>
        </w:rPr>
      </w:pPr>
      <w:r>
        <w:rPr>
          <w:rFonts w:hint="eastAsia"/>
          <w:highlight w:val="none"/>
        </w:rPr>
        <w:t>投诉人：</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法定代表人/主要负责人：</w:t>
      </w:r>
      <w:r>
        <w:rPr>
          <w:rFonts w:hint="eastAsia"/>
          <w:highlight w:val="none"/>
          <w:u w:val="single"/>
        </w:rPr>
        <w:t xml:space="preserve">           </w:t>
      </w:r>
    </w:p>
    <w:p>
      <w:pPr>
        <w:ind w:firstLine="426"/>
        <w:rPr>
          <w:highlight w:val="none"/>
        </w:rPr>
      </w:pP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授权代表：</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被投诉人1：</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被投诉人2</w:t>
      </w:r>
    </w:p>
    <w:p>
      <w:pPr>
        <w:ind w:firstLine="426"/>
        <w:rPr>
          <w:highlight w:val="none"/>
        </w:rPr>
      </w:pPr>
      <w:r>
        <w:rPr>
          <w:rFonts w:hint="eastAsia"/>
          <w:highlight w:val="none"/>
        </w:rPr>
        <w:t>……</w:t>
      </w:r>
    </w:p>
    <w:p>
      <w:pPr>
        <w:ind w:firstLine="426"/>
        <w:rPr>
          <w:highlight w:val="none"/>
        </w:rPr>
      </w:pPr>
      <w:r>
        <w:rPr>
          <w:rFonts w:hint="eastAsia"/>
          <w:highlight w:val="none"/>
        </w:rPr>
        <w:t>相关供应商：</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二、投诉项目基本情况</w:t>
      </w:r>
    </w:p>
    <w:p>
      <w:pPr>
        <w:ind w:firstLine="426"/>
        <w:rPr>
          <w:highlight w:val="none"/>
        </w:rPr>
      </w:pPr>
      <w:r>
        <w:rPr>
          <w:rFonts w:hint="eastAsia"/>
          <w:highlight w:val="none"/>
        </w:rPr>
        <w:t>采购项目名称：</w:t>
      </w:r>
      <w:r>
        <w:rPr>
          <w:rFonts w:hint="eastAsia"/>
          <w:highlight w:val="none"/>
          <w:u w:val="single"/>
        </w:rPr>
        <w:t xml:space="preserve">           </w:t>
      </w:r>
    </w:p>
    <w:p>
      <w:pPr>
        <w:ind w:firstLine="426"/>
        <w:rPr>
          <w:highlight w:val="none"/>
        </w:rPr>
      </w:pPr>
      <w:r>
        <w:rPr>
          <w:rFonts w:hint="eastAsia"/>
          <w:highlight w:val="none"/>
        </w:rPr>
        <w:t>采购项目编号：</w:t>
      </w:r>
      <w:r>
        <w:rPr>
          <w:rFonts w:hint="eastAsia"/>
          <w:highlight w:val="none"/>
          <w:u w:val="single"/>
        </w:rPr>
        <w:t xml:space="preserve">           </w:t>
      </w:r>
      <w:r>
        <w:rPr>
          <w:rFonts w:hint="eastAsia"/>
          <w:highlight w:val="none"/>
        </w:rPr>
        <w:t>包号：</w:t>
      </w:r>
      <w:r>
        <w:rPr>
          <w:rFonts w:hint="eastAsia"/>
          <w:highlight w:val="none"/>
          <w:u w:val="single"/>
        </w:rPr>
        <w:t xml:space="preserve">           </w:t>
      </w:r>
    </w:p>
    <w:p>
      <w:pPr>
        <w:ind w:firstLine="426"/>
        <w:rPr>
          <w:highlight w:val="none"/>
        </w:rPr>
      </w:pPr>
      <w:r>
        <w:rPr>
          <w:rFonts w:hint="eastAsia"/>
          <w:highlight w:val="none"/>
        </w:rPr>
        <w:t>采购人名称：</w:t>
      </w:r>
      <w:r>
        <w:rPr>
          <w:rFonts w:hint="eastAsia"/>
          <w:highlight w:val="none"/>
          <w:u w:val="single"/>
        </w:rPr>
        <w:t xml:space="preserve">           </w:t>
      </w:r>
    </w:p>
    <w:p>
      <w:pPr>
        <w:ind w:firstLine="426"/>
        <w:rPr>
          <w:highlight w:val="none"/>
        </w:rPr>
      </w:pPr>
      <w:r>
        <w:rPr>
          <w:rFonts w:hint="eastAsia"/>
          <w:highlight w:val="none"/>
        </w:rPr>
        <w:t>代理机构名称：</w:t>
      </w:r>
      <w:r>
        <w:rPr>
          <w:rFonts w:hint="eastAsia"/>
          <w:highlight w:val="none"/>
          <w:u w:val="single"/>
        </w:rPr>
        <w:t xml:space="preserve">           </w:t>
      </w:r>
    </w:p>
    <w:p>
      <w:pPr>
        <w:ind w:firstLine="426"/>
        <w:rPr>
          <w:highlight w:val="none"/>
        </w:rPr>
      </w:pPr>
      <w:r>
        <w:rPr>
          <w:rFonts w:hint="eastAsia"/>
          <w:highlight w:val="none"/>
        </w:rPr>
        <w:t>采购文件公告:是/否 公告期限：</w:t>
      </w:r>
      <w:r>
        <w:rPr>
          <w:rFonts w:hint="eastAsia"/>
          <w:highlight w:val="none"/>
          <w:u w:val="single"/>
        </w:rPr>
        <w:t xml:space="preserve">           </w:t>
      </w:r>
    </w:p>
    <w:p>
      <w:pPr>
        <w:ind w:firstLine="426"/>
        <w:rPr>
          <w:highlight w:val="none"/>
        </w:rPr>
      </w:pPr>
      <w:r>
        <w:rPr>
          <w:rFonts w:hint="eastAsia"/>
          <w:highlight w:val="none"/>
        </w:rPr>
        <w:t>采购结果公告:是/否 公告期限：</w:t>
      </w:r>
      <w:r>
        <w:rPr>
          <w:rFonts w:hint="eastAsia"/>
          <w:highlight w:val="none"/>
          <w:u w:val="single"/>
        </w:rPr>
        <w:t xml:space="preserve">           </w:t>
      </w:r>
    </w:p>
    <w:p>
      <w:pPr>
        <w:ind w:firstLine="426"/>
        <w:rPr>
          <w:highlight w:val="none"/>
        </w:rPr>
      </w:pPr>
      <w:r>
        <w:rPr>
          <w:rFonts w:hint="eastAsia"/>
          <w:highlight w:val="none"/>
        </w:rPr>
        <w:t>三、质疑基本情况</w:t>
      </w:r>
    </w:p>
    <w:p>
      <w:pPr>
        <w:ind w:firstLine="426"/>
        <w:rPr>
          <w:highlight w:val="none"/>
        </w:rPr>
      </w:pPr>
      <w:r>
        <w:rPr>
          <w:rFonts w:hint="eastAsia"/>
          <w:highlight w:val="none"/>
        </w:rPr>
        <w:t>投诉人于</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日,向</w:t>
      </w:r>
      <w:r>
        <w:rPr>
          <w:rFonts w:hint="eastAsia"/>
          <w:highlight w:val="none"/>
          <w:u w:val="single"/>
        </w:rPr>
        <w:t xml:space="preserve">           </w:t>
      </w:r>
      <w:r>
        <w:rPr>
          <w:rFonts w:hint="eastAsia"/>
          <w:highlight w:val="none"/>
        </w:rPr>
        <w:t>提出质疑，质疑事项为：</w:t>
      </w:r>
      <w:r>
        <w:rPr>
          <w:rFonts w:hint="eastAsia"/>
          <w:highlight w:val="none"/>
          <w:u w:val="single"/>
        </w:rPr>
        <w:t xml:space="preserve">      </w:t>
      </w:r>
    </w:p>
    <w:p>
      <w:pPr>
        <w:ind w:firstLine="426"/>
        <w:rPr>
          <w:highlight w:val="none"/>
        </w:rPr>
      </w:pPr>
    </w:p>
    <w:p>
      <w:pPr>
        <w:ind w:firstLine="426"/>
        <w:rPr>
          <w:highlight w:val="none"/>
        </w:rPr>
      </w:pPr>
      <w:r>
        <w:rPr>
          <w:rFonts w:hint="eastAsia"/>
          <w:highlight w:val="none"/>
        </w:rPr>
        <w:t>采购人/代理机构于</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日,就质疑事项作出了答复/没有在法定期限内作出答复。</w:t>
      </w:r>
    </w:p>
    <w:p>
      <w:pPr>
        <w:ind w:firstLine="426"/>
        <w:rPr>
          <w:highlight w:val="none"/>
        </w:rPr>
      </w:pPr>
      <w:r>
        <w:rPr>
          <w:rFonts w:hint="eastAsia"/>
          <w:highlight w:val="none"/>
        </w:rPr>
        <w:t>四、投诉事项具体内容</w:t>
      </w:r>
    </w:p>
    <w:p>
      <w:pPr>
        <w:ind w:firstLine="426"/>
        <w:rPr>
          <w:highlight w:val="none"/>
        </w:rPr>
      </w:pPr>
      <w:r>
        <w:rPr>
          <w:rFonts w:hint="eastAsia"/>
          <w:highlight w:val="none"/>
        </w:rPr>
        <w:t>投诉事项1：</w:t>
      </w:r>
      <w:r>
        <w:rPr>
          <w:rFonts w:hint="eastAsia"/>
          <w:highlight w:val="none"/>
          <w:u w:val="single"/>
        </w:rPr>
        <w:t xml:space="preserve">           </w:t>
      </w:r>
    </w:p>
    <w:p>
      <w:pPr>
        <w:ind w:firstLine="426"/>
        <w:rPr>
          <w:highlight w:val="none"/>
        </w:rPr>
      </w:pPr>
      <w:r>
        <w:rPr>
          <w:rFonts w:hint="eastAsia"/>
          <w:highlight w:val="none"/>
        </w:rPr>
        <w:t>事实依据：</w:t>
      </w:r>
      <w:r>
        <w:rPr>
          <w:rFonts w:hint="eastAsia"/>
          <w:highlight w:val="none"/>
          <w:u w:val="single"/>
        </w:rPr>
        <w:t xml:space="preserve">           </w:t>
      </w:r>
    </w:p>
    <w:p>
      <w:pPr>
        <w:ind w:firstLine="426"/>
        <w:rPr>
          <w:highlight w:val="none"/>
        </w:rPr>
      </w:pPr>
      <w:r>
        <w:rPr>
          <w:rFonts w:hint="eastAsia"/>
          <w:highlight w:val="none"/>
        </w:rPr>
        <w:t>法律依据：</w:t>
      </w:r>
      <w:r>
        <w:rPr>
          <w:rFonts w:hint="eastAsia"/>
          <w:highlight w:val="none"/>
          <w:u w:val="single"/>
        </w:rPr>
        <w:t xml:space="preserve">           </w:t>
      </w:r>
    </w:p>
    <w:p>
      <w:pPr>
        <w:ind w:firstLine="426"/>
        <w:rPr>
          <w:highlight w:val="none"/>
        </w:rPr>
      </w:pPr>
      <w:r>
        <w:rPr>
          <w:rFonts w:hint="eastAsia"/>
          <w:highlight w:val="none"/>
        </w:rPr>
        <w:t>投诉事项2</w:t>
      </w:r>
    </w:p>
    <w:p>
      <w:pPr>
        <w:ind w:firstLine="426"/>
        <w:rPr>
          <w:highlight w:val="none"/>
        </w:rPr>
      </w:pPr>
      <w:r>
        <w:rPr>
          <w:rFonts w:hint="eastAsia"/>
          <w:highlight w:val="none"/>
        </w:rPr>
        <w:t>……</w:t>
      </w:r>
    </w:p>
    <w:p>
      <w:pPr>
        <w:ind w:firstLine="426"/>
        <w:rPr>
          <w:highlight w:val="none"/>
        </w:rPr>
      </w:pPr>
      <w:r>
        <w:rPr>
          <w:rFonts w:hint="eastAsia"/>
          <w:highlight w:val="none"/>
        </w:rPr>
        <w:t>五、与投诉事项相关的投诉请求</w:t>
      </w:r>
    </w:p>
    <w:p>
      <w:pPr>
        <w:ind w:firstLine="426"/>
        <w:rPr>
          <w:highlight w:val="none"/>
        </w:rPr>
      </w:pPr>
      <w:r>
        <w:rPr>
          <w:rFonts w:hint="eastAsia"/>
          <w:highlight w:val="none"/>
        </w:rPr>
        <w:t>请求：</w:t>
      </w:r>
      <w:r>
        <w:rPr>
          <w:rFonts w:hint="eastAsia"/>
          <w:highlight w:val="none"/>
          <w:u w:val="single"/>
        </w:rPr>
        <w:t xml:space="preserve">           </w:t>
      </w:r>
    </w:p>
    <w:p>
      <w:pPr>
        <w:ind w:firstLine="426"/>
        <w:rPr>
          <w:highlight w:val="none"/>
        </w:rPr>
      </w:pPr>
      <w:r>
        <w:rPr>
          <w:rFonts w:hint="eastAsia"/>
          <w:highlight w:val="none"/>
        </w:rPr>
        <w:t xml:space="preserve">签字(签章)：                   公章：                      </w:t>
      </w:r>
    </w:p>
    <w:p>
      <w:pPr>
        <w:ind w:firstLine="426"/>
        <w:rPr>
          <w:highlight w:val="none"/>
        </w:rPr>
      </w:pPr>
      <w:r>
        <w:rPr>
          <w:rFonts w:hint="eastAsia"/>
          <w:highlight w:val="none"/>
        </w:rPr>
        <w:t xml:space="preserve">日期：    </w:t>
      </w:r>
    </w:p>
    <w:p>
      <w:pPr>
        <w:ind w:firstLine="426"/>
        <w:rPr>
          <w:highlight w:val="none"/>
        </w:rPr>
      </w:pPr>
    </w:p>
    <w:p>
      <w:pPr>
        <w:ind w:firstLine="428"/>
        <w:rPr>
          <w:highlight w:val="none"/>
        </w:rPr>
      </w:pPr>
      <w:r>
        <w:rPr>
          <w:rFonts w:hint="eastAsia"/>
          <w:b/>
          <w:bCs/>
          <w:highlight w:val="none"/>
        </w:rPr>
        <w:t>投诉书制作说明：</w:t>
      </w:r>
    </w:p>
    <w:p>
      <w:pPr>
        <w:ind w:firstLine="426"/>
        <w:rPr>
          <w:highlight w:val="none"/>
        </w:rPr>
      </w:pPr>
      <w:r>
        <w:rPr>
          <w:rFonts w:hint="eastAsia"/>
          <w:highlight w:val="none"/>
        </w:rPr>
        <w:t>1.投诉人提起投诉时，应当提交投诉书和必要的证明材料，并按照被投诉人和与投诉事项有关的供应商数量提供投诉书副本。</w:t>
      </w:r>
    </w:p>
    <w:p>
      <w:pPr>
        <w:ind w:firstLine="426"/>
        <w:rPr>
          <w:highlight w:val="none"/>
        </w:rPr>
      </w:pPr>
      <w:r>
        <w:rPr>
          <w:rFonts w:hint="eastAsia"/>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6"/>
        <w:rPr>
          <w:highlight w:val="none"/>
        </w:rPr>
      </w:pPr>
      <w:r>
        <w:rPr>
          <w:rFonts w:hint="eastAsia"/>
          <w:highlight w:val="none"/>
        </w:rPr>
        <w:t>3.投诉人若对项目的某一分包进行投诉，投诉书应列明具体分包号。</w:t>
      </w:r>
    </w:p>
    <w:p>
      <w:pPr>
        <w:ind w:firstLine="426"/>
        <w:rPr>
          <w:highlight w:val="none"/>
        </w:rPr>
      </w:pPr>
      <w:r>
        <w:rPr>
          <w:rFonts w:hint="eastAsia"/>
          <w:highlight w:val="none"/>
        </w:rPr>
        <w:t>4.投诉书应简要列明质疑事项，质疑函、质疑答复等作为附件材料提供。</w:t>
      </w:r>
    </w:p>
    <w:p>
      <w:pPr>
        <w:ind w:firstLine="426"/>
        <w:rPr>
          <w:highlight w:val="none"/>
        </w:rPr>
      </w:pPr>
      <w:r>
        <w:rPr>
          <w:rFonts w:hint="eastAsia"/>
          <w:highlight w:val="none"/>
        </w:rPr>
        <w:t>5.投诉书的投诉事项应具体、明确，并有必要的事实依据和法律依据。</w:t>
      </w:r>
    </w:p>
    <w:p>
      <w:pPr>
        <w:ind w:firstLine="426"/>
        <w:rPr>
          <w:highlight w:val="none"/>
        </w:rPr>
      </w:pPr>
      <w:r>
        <w:rPr>
          <w:rFonts w:hint="eastAsia"/>
          <w:highlight w:val="none"/>
        </w:rPr>
        <w:t>6.投诉书的投诉请求应与投诉事项相关。</w:t>
      </w:r>
    </w:p>
    <w:p>
      <w:pPr>
        <w:ind w:firstLine="426"/>
        <w:rPr>
          <w:highlight w:val="none"/>
        </w:rPr>
      </w:pPr>
      <w:r>
        <w:rPr>
          <w:rFonts w:hint="eastAsia"/>
          <w:highlight w:val="none"/>
        </w:rPr>
        <w:t>7.投诉人为自然人的，投诉书应当由本人签字；投诉人为法人或者其他组织的，投诉书应当由法定代表人、主要负责人，或者其授权代表签字或者盖章，并加盖公章。</w:t>
      </w:r>
    </w:p>
    <w:p>
      <w:pPr>
        <w:ind w:firstLine="426"/>
        <w:rPr>
          <w:rFonts w:cs="仿宋"/>
          <w:b/>
          <w:color w:val="000000"/>
          <w:spacing w:val="6"/>
          <w:sz w:val="32"/>
          <w:szCs w:val="32"/>
          <w:highlight w:val="none"/>
        </w:rPr>
      </w:pPr>
      <w:r>
        <w:rPr>
          <w:rFonts w:hint="eastAsia"/>
          <w:highlight w:val="none"/>
        </w:rPr>
        <w:br w:type="page"/>
      </w:r>
      <w:bookmarkStart w:id="179" w:name="_Toc12545"/>
      <w:bookmarkStart w:id="180" w:name="_Toc8963"/>
      <w:bookmarkStart w:id="181" w:name="_Toc4263"/>
      <w:bookmarkStart w:id="182" w:name="_Toc3861"/>
      <w:bookmarkStart w:id="183" w:name="_Toc22948"/>
      <w:r>
        <w:rPr>
          <w:rFonts w:hint="eastAsia"/>
          <w:b/>
          <w:bCs/>
          <w:highlight w:val="none"/>
        </w:rPr>
        <w:t>附件4：</w:t>
      </w:r>
      <w:bookmarkEnd w:id="179"/>
      <w:bookmarkEnd w:id="180"/>
      <w:bookmarkEnd w:id="181"/>
      <w:bookmarkEnd w:id="182"/>
      <w:bookmarkEnd w:id="183"/>
      <w:r>
        <w:rPr>
          <w:rFonts w:hint="eastAsia"/>
          <w:b/>
          <w:bCs/>
          <w:highlight w:val="none"/>
        </w:rPr>
        <w:t>业务专用章使用说明函</w:t>
      </w:r>
    </w:p>
    <w:p>
      <w:pPr>
        <w:autoSpaceDE w:val="0"/>
        <w:autoSpaceDN w:val="0"/>
        <w:ind w:firstLine="672"/>
        <w:rPr>
          <w:rFonts w:cs="仿宋"/>
          <w:b/>
          <w:color w:val="000000"/>
          <w:spacing w:val="6"/>
          <w:sz w:val="32"/>
          <w:szCs w:val="32"/>
          <w:highlight w:val="none"/>
        </w:rPr>
      </w:pPr>
    </w:p>
    <w:p>
      <w:pPr>
        <w:ind w:firstLine="0" w:firstLineChars="0"/>
        <w:jc w:val="center"/>
        <w:rPr>
          <w:b/>
          <w:bCs/>
          <w:highlight w:val="none"/>
        </w:rPr>
      </w:pPr>
      <w:r>
        <w:rPr>
          <w:rFonts w:hint="eastAsia"/>
          <w:b/>
          <w:bCs/>
          <w:highlight w:val="none"/>
        </w:rPr>
        <w:t>业务专用章使用说明函</w:t>
      </w:r>
    </w:p>
    <w:p>
      <w:pPr>
        <w:ind w:firstLine="0" w:firstLineChars="0"/>
        <w:rPr>
          <w:highlight w:val="none"/>
        </w:rPr>
      </w:pPr>
    </w:p>
    <w:p>
      <w:pPr>
        <w:ind w:firstLine="0" w:firstLineChars="0"/>
        <w:rPr>
          <w:highlight w:val="none"/>
          <w:u w:val="single"/>
        </w:rPr>
      </w:pPr>
      <w:r>
        <w:rPr>
          <w:rFonts w:hint="eastAsia"/>
          <w:highlight w:val="none"/>
          <w:u w:val="single"/>
        </w:rPr>
        <w:t>（采购人）、（采购代理机构）</w:t>
      </w:r>
    </w:p>
    <w:p>
      <w:pPr>
        <w:ind w:firstLine="426"/>
        <w:rPr>
          <w:highlight w:val="none"/>
        </w:rPr>
      </w:pPr>
      <w:r>
        <w:rPr>
          <w:rFonts w:hint="eastAsia"/>
          <w:highlight w:val="none"/>
          <w:lang w:val="zh-CN"/>
        </w:rPr>
        <w:t>我方</w:t>
      </w:r>
      <w:r>
        <w:rPr>
          <w:rFonts w:hint="eastAsia"/>
          <w:highlight w:val="none"/>
          <w:u w:val="single"/>
          <w:lang w:val="zh-CN"/>
        </w:rPr>
        <w:t xml:space="preserve">                         </w:t>
      </w:r>
      <w:r>
        <w:rPr>
          <w:rFonts w:hint="eastAsia"/>
          <w:highlight w:val="none"/>
        </w:rPr>
        <w:t>(供应商全称)是中华人民共和国依法登记注册的合法企业，在参加贵方组织的</w:t>
      </w:r>
      <w:r>
        <w:rPr>
          <w:rFonts w:hint="eastAsia"/>
          <w:highlight w:val="none"/>
          <w:u w:val="single"/>
          <w:lang w:val="zh-CN"/>
        </w:rPr>
        <w:t xml:space="preserve">            </w:t>
      </w:r>
      <w:r>
        <w:rPr>
          <w:rFonts w:hint="eastAsia"/>
          <w:highlight w:val="none"/>
        </w:rPr>
        <w:t>（项目名称）项目【编号：</w:t>
      </w:r>
      <w:r>
        <w:rPr>
          <w:rFonts w:hint="eastAsia"/>
          <w:highlight w:val="none"/>
          <w:u w:val="single"/>
          <w:lang w:val="zh-CN"/>
        </w:rPr>
        <w:t xml:space="preserve">            </w:t>
      </w:r>
      <w:r>
        <w:rPr>
          <w:rFonts w:hint="eastAsia"/>
          <w:highlight w:val="none"/>
        </w:rPr>
        <w:t xml:space="preserve">】采购活动中作如下说明：我方所使用的“XX专用章”与法定名称章具有同等的法律效力，对使用“XX专用章”的行为予以完全承认，并愿意承担相应责任。   </w:t>
      </w:r>
    </w:p>
    <w:p>
      <w:pPr>
        <w:ind w:firstLine="426"/>
        <w:rPr>
          <w:highlight w:val="none"/>
        </w:rPr>
      </w:pPr>
      <w:r>
        <w:rPr>
          <w:rFonts w:hint="eastAsia"/>
          <w:highlight w:val="none"/>
        </w:rPr>
        <w:t>特此说明。</w:t>
      </w:r>
    </w:p>
    <w:p>
      <w:pPr>
        <w:ind w:firstLine="426"/>
        <w:rPr>
          <w:highlight w:val="none"/>
        </w:rPr>
      </w:pPr>
    </w:p>
    <w:p>
      <w:pPr>
        <w:ind w:firstLine="426"/>
        <w:rPr>
          <w:highlight w:val="none"/>
        </w:rPr>
      </w:pPr>
    </w:p>
    <w:p>
      <w:pPr>
        <w:ind w:firstLine="426"/>
        <w:rPr>
          <w:highlight w:val="none"/>
        </w:rPr>
      </w:pPr>
      <w:r>
        <w:rPr>
          <w:rFonts w:hint="eastAsia"/>
          <w:highlight w:val="none"/>
        </w:rPr>
        <w:t>供应商（法定名称章）：</w:t>
      </w:r>
    </w:p>
    <w:p>
      <w:pPr>
        <w:ind w:firstLine="426"/>
        <w:rPr>
          <w:highlight w:val="none"/>
        </w:rPr>
      </w:pPr>
      <w:r>
        <w:rPr>
          <w:rFonts w:hint="eastAsia"/>
          <w:highlight w:val="none"/>
        </w:rPr>
        <w:t>日期：       年     月     日</w:t>
      </w:r>
    </w:p>
    <w:p>
      <w:pPr>
        <w:ind w:firstLine="426"/>
        <w:rPr>
          <w:highlight w:val="none"/>
        </w:rPr>
      </w:pPr>
    </w:p>
    <w:p>
      <w:pPr>
        <w:ind w:firstLine="428"/>
        <w:rPr>
          <w:b/>
          <w:bCs/>
          <w:highlight w:val="none"/>
        </w:rPr>
      </w:pPr>
      <w:r>
        <w:rPr>
          <w:rFonts w:hint="eastAsia"/>
          <w:b/>
          <w:bCs/>
          <w:highlight w:val="none"/>
        </w:rPr>
        <w:t>附：</w:t>
      </w:r>
    </w:p>
    <w:p>
      <w:pPr>
        <w:ind w:firstLine="428"/>
        <w:rPr>
          <w:highlight w:val="none"/>
        </w:rPr>
      </w:pPr>
      <w:r>
        <w:rPr>
          <w:rFonts w:hint="eastAsia"/>
          <w:b/>
          <w:bCs/>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26631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178.45pt;z-index:-251657216;mso-width-relative:page;mso-height-relative:page;" fillcolor="#FFFFFF" filled="t" stroked="t" coordsize="21600,21600" o:gfxdata="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na192QAAAAoBAAAPAAAAAAAAAAEAIAAAACIAAABkcnMvZG93&#10;bnJldi54bWxQSwECFAAUAAAACACHTuJAARyw1zgCAAB+BAAADgAAAAAAAAABACAAAAAoAQAAZHJz&#10;L2Uyb0RvYy54bWxQSwUGAAAAAAYABgBZAQAA0gUAAAAA&#10;">
                <v:fill on="t" focussize="0,0"/>
                <v:stroke color="#000000" miterlimit="2" joinstyle="miter"/>
                <v:imagedata o:title=""/>
                <o:lock v:ext="edit" aspectratio="f"/>
              </v:rect>
            </w:pict>
          </mc:Fallback>
        </mc:AlternateContent>
      </w:r>
      <w:r>
        <w:rPr>
          <w:rFonts w:hint="eastAsia"/>
          <w:b/>
          <w:bCs/>
          <w:highlight w:val="none"/>
        </w:rPr>
        <w:t>供应商</w:t>
      </w:r>
      <w:r>
        <w:rPr>
          <w:rFonts w:hint="eastAsia"/>
          <w:highlight w:val="none"/>
        </w:rPr>
        <w:t>法定名称章（印模）         供应商“XX专用章”（印模）</w:t>
      </w:r>
    </w:p>
    <w:p>
      <w:pPr>
        <w:autoSpaceDE w:val="0"/>
        <w:autoSpaceDN w:val="0"/>
        <w:ind w:firstLine="0" w:firstLineChars="0"/>
        <w:jc w:val="center"/>
        <w:rPr>
          <w:rFonts w:cs="仿宋"/>
          <w:b/>
          <w:color w:val="000000"/>
          <w:spacing w:val="6"/>
          <w:sz w:val="32"/>
          <w:szCs w:val="32"/>
          <w:highlight w:val="none"/>
        </w:rPr>
      </w:pPr>
      <w:r>
        <w:rPr>
          <w:rFonts w:hint="eastAsia"/>
          <w:highlight w:val="none"/>
        </w:rPr>
        <mc:AlternateContent>
          <mc:Choice Requires="wps">
            <w:drawing>
              <wp:anchor distT="0" distB="0" distL="114300" distR="114300" simplePos="0" relativeHeight="251660288" behindDoc="1" locked="0" layoutInCell="1" allowOverlap="1">
                <wp:simplePos x="0" y="0"/>
                <wp:positionH relativeFrom="column">
                  <wp:posOffset>2499360</wp:posOffset>
                </wp:positionH>
                <wp:positionV relativeFrom="paragraph">
                  <wp:posOffset>89535</wp:posOffset>
                </wp:positionV>
                <wp:extent cx="2266315" cy="2253615"/>
                <wp:effectExtent l="5080" t="4445" r="14605" b="889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8pt;margin-top:7.05pt;height:177.45pt;width:178.45pt;z-index:-251656192;mso-width-relative:page;mso-height-relative:page;" fillcolor="#FFFFFF" filled="t" stroked="t" coordsize="21600,21600" o:gfxdata="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slPE9gAAAAKAQAADwAAAAAAAAABACAAAAAiAAAAZHJzL2Rv&#10;d25yZXYueG1sUEsBAhQAFAAAAAgAh07iQES+ZZ46AgAAgAQAAA4AAAAAAAAAAQAgAAAAJwEAAGRy&#10;cy9lMm9Eb2MueG1sUEsFBgAAAAAGAAYAWQEAANMFAAAAAA==&#10;">
                <v:fill on="t" focussize="0,0"/>
                <v:stroke color="#000000" miterlimit="2" joinstyle="miter"/>
                <v:imagedata o:title=""/>
                <o:lock v:ext="edit" aspectratio="f"/>
              </v:rect>
            </w:pict>
          </mc:Fallback>
        </mc:AlternateContent>
      </w: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ind w:firstLine="426"/>
        <w:rPr>
          <w:rFonts w:cs="仿宋"/>
          <w:b/>
          <w:color w:val="000000"/>
          <w:spacing w:val="6"/>
          <w:sz w:val="32"/>
          <w:szCs w:val="32"/>
          <w:highlight w:val="none"/>
        </w:rPr>
      </w:pPr>
      <w:r>
        <w:rPr>
          <w:rFonts w:hint="eastAsia"/>
          <w:highlight w:val="none"/>
        </w:rPr>
        <w:br w:type="page"/>
      </w:r>
      <w:bookmarkStart w:id="184" w:name="_Toc30393"/>
      <w:bookmarkStart w:id="185" w:name="_Toc13897"/>
      <w:bookmarkStart w:id="186" w:name="_Toc31586"/>
      <w:bookmarkStart w:id="187" w:name="_Toc15740"/>
      <w:bookmarkStart w:id="188" w:name="_Toc19930"/>
      <w:r>
        <w:rPr>
          <w:rFonts w:hint="eastAsia"/>
          <w:b/>
          <w:bCs/>
          <w:highlight w:val="none"/>
        </w:rPr>
        <w:t>附件5：联合协议</w:t>
      </w:r>
      <w:bookmarkEnd w:id="184"/>
      <w:bookmarkEnd w:id="185"/>
      <w:bookmarkEnd w:id="186"/>
      <w:bookmarkEnd w:id="187"/>
      <w:bookmarkEnd w:id="188"/>
    </w:p>
    <w:p>
      <w:pPr>
        <w:ind w:firstLine="0" w:firstLineChars="0"/>
        <w:jc w:val="center"/>
        <w:rPr>
          <w:b/>
          <w:bCs/>
          <w:highlight w:val="none"/>
          <w:lang w:val="zh-CN"/>
        </w:rPr>
      </w:pPr>
      <w:r>
        <w:rPr>
          <w:rFonts w:hint="eastAsia"/>
          <w:b/>
          <w:highlight w:val="none"/>
        </w:rPr>
        <w:t>联合协议</w:t>
      </w:r>
    </w:p>
    <w:p>
      <w:pPr>
        <w:ind w:firstLine="428"/>
        <w:rPr>
          <w:b/>
          <w:highlight w:val="none"/>
        </w:rPr>
      </w:pPr>
      <w:r>
        <w:rPr>
          <w:rFonts w:hint="eastAsia"/>
          <w:b/>
          <w:highlight w:val="none"/>
        </w:rPr>
        <w:t>（以联合体形式响应的，提供联合协议；供应商不以联合体形式响应的，则不需要提供）</w:t>
      </w:r>
    </w:p>
    <w:p>
      <w:pPr>
        <w:ind w:firstLine="426"/>
        <w:rPr>
          <w:highlight w:val="none"/>
          <w:lang w:val="zh-CN"/>
        </w:rPr>
      </w:pPr>
      <w:r>
        <w:rPr>
          <w:rFonts w:hint="eastAsia"/>
          <w:highlight w:val="none"/>
          <w:u w:val="single"/>
        </w:rPr>
        <w:t>（联合体所有成员名称）</w:t>
      </w:r>
      <w:r>
        <w:rPr>
          <w:rFonts w:hint="eastAsia"/>
          <w:highlight w:val="none"/>
        </w:rPr>
        <w:t>自愿</w:t>
      </w:r>
      <w:r>
        <w:rPr>
          <w:rFonts w:hint="eastAsia"/>
          <w:highlight w:val="none"/>
          <w:lang w:val="zh-CN"/>
        </w:rPr>
        <w:t>组成一个联合体，以一个供应商的身份</w:t>
      </w:r>
      <w:r>
        <w:rPr>
          <w:rFonts w:hint="eastAsia"/>
          <w:highlight w:val="none"/>
        </w:rPr>
        <w:t>参加（</w:t>
      </w:r>
      <w:r>
        <w:rPr>
          <w:rFonts w:hint="eastAsia"/>
          <w:highlight w:val="none"/>
          <w:u w:val="single"/>
        </w:rPr>
        <w:t>项目名称</w:t>
      </w:r>
      <w:r>
        <w:rPr>
          <w:rFonts w:hint="eastAsia"/>
          <w:highlight w:val="none"/>
        </w:rPr>
        <w:t>）【项目编号：</w:t>
      </w:r>
      <w:r>
        <w:rPr>
          <w:rFonts w:hint="eastAsia"/>
          <w:highlight w:val="none"/>
          <w:u w:val="single"/>
        </w:rPr>
        <w:t xml:space="preserve"> </w:t>
      </w:r>
      <w:r>
        <w:rPr>
          <w:highlight w:val="none"/>
          <w:u w:val="single"/>
        </w:rPr>
        <w:t xml:space="preserve">      </w:t>
      </w:r>
      <w:r>
        <w:rPr>
          <w:rFonts w:hint="eastAsia"/>
          <w:highlight w:val="none"/>
        </w:rPr>
        <w:t>】</w:t>
      </w:r>
      <w:r>
        <w:rPr>
          <w:rFonts w:hint="eastAsia"/>
          <w:highlight w:val="none"/>
          <w:lang w:val="zh-CN"/>
        </w:rPr>
        <w:t>响应。</w:t>
      </w:r>
    </w:p>
    <w:p>
      <w:pPr>
        <w:ind w:firstLine="426"/>
        <w:rPr>
          <w:highlight w:val="none"/>
          <w:lang w:val="zh-CN"/>
        </w:rPr>
      </w:pPr>
      <w:r>
        <w:rPr>
          <w:rFonts w:hint="eastAsia"/>
          <w:highlight w:val="none"/>
          <w:lang w:val="zh-CN"/>
        </w:rPr>
        <w:t>一、各方一致决定，</w:t>
      </w:r>
      <w:r>
        <w:rPr>
          <w:rFonts w:hint="eastAsia"/>
          <w:highlight w:val="none"/>
          <w:u w:val="single"/>
        </w:rPr>
        <w:t>（某联合体成员名称）</w:t>
      </w:r>
      <w:r>
        <w:rPr>
          <w:rFonts w:hint="eastAsia"/>
          <w:highlight w:val="none"/>
        </w:rPr>
        <w:t>为联合体</w:t>
      </w:r>
      <w:r>
        <w:rPr>
          <w:rFonts w:hint="eastAsia"/>
          <w:highlight w:val="none"/>
          <w:lang w:val="zh-CN"/>
        </w:rPr>
        <w:t>牵头人</w:t>
      </w:r>
      <w:r>
        <w:rPr>
          <w:rFonts w:hint="eastAsia"/>
          <w:highlight w:val="none"/>
        </w:rPr>
        <w:t>，代表所有联合体成员负责投标和合同实施阶段的主办、协调工作</w:t>
      </w:r>
      <w:r>
        <w:rPr>
          <w:rFonts w:hint="eastAsia"/>
          <w:highlight w:val="none"/>
          <w:lang w:val="zh-CN"/>
        </w:rPr>
        <w:t>。</w:t>
      </w:r>
    </w:p>
    <w:p>
      <w:pPr>
        <w:ind w:firstLine="426"/>
        <w:rPr>
          <w:highlight w:val="none"/>
          <w:lang w:val="zh-CN"/>
        </w:rPr>
      </w:pPr>
      <w:r>
        <w:rPr>
          <w:rFonts w:hint="eastAsia"/>
          <w:highlight w:val="none"/>
          <w:lang w:val="zh-CN"/>
        </w:rPr>
        <w:t>二、</w:t>
      </w:r>
      <w:r>
        <w:rPr>
          <w:rFonts w:hint="eastAsia"/>
          <w:highlight w:val="none"/>
        </w:rPr>
        <w:t>所有联合体成员各方签署授权书，授权书载明的</w:t>
      </w:r>
      <w:r>
        <w:rPr>
          <w:rFonts w:hint="eastAsia"/>
          <w:highlight w:val="none"/>
          <w:lang w:val="zh-CN"/>
        </w:rPr>
        <w:t>授权代表根据磋商文件规定及采购内容而对采购人、采购代理机构所作的任何合法承诺，包括书面澄清及相应等均对联合响应各方产生约束力。</w:t>
      </w:r>
    </w:p>
    <w:p>
      <w:pPr>
        <w:ind w:firstLine="426"/>
        <w:rPr>
          <w:highlight w:val="none"/>
          <w:lang w:val="zh-CN"/>
        </w:rPr>
      </w:pPr>
      <w:r>
        <w:rPr>
          <w:rFonts w:hint="eastAsia"/>
          <w:highlight w:val="none"/>
          <w:lang w:val="zh-CN"/>
        </w:rPr>
        <w:t>三、本次联合响应中，分工如下：</w:t>
      </w:r>
    </w:p>
    <w:p>
      <w:pPr>
        <w:ind w:firstLine="426"/>
        <w:rPr>
          <w:highlight w:val="none"/>
          <w:lang w:val="zh-CN"/>
        </w:rPr>
      </w:pPr>
      <w:r>
        <w:rPr>
          <w:rFonts w:hint="eastAsia"/>
          <w:highlight w:val="none"/>
          <w:u w:val="single"/>
          <w:lang w:val="zh-CN"/>
        </w:rPr>
        <w:t>（联合体成员1）</w:t>
      </w:r>
      <w:r>
        <w:rPr>
          <w:rFonts w:hint="eastAsia"/>
          <w:highlight w:val="none"/>
          <w:lang w:val="zh-CN"/>
        </w:rPr>
        <w:t>承担的工作和义务为：</w:t>
      </w:r>
      <w:r>
        <w:rPr>
          <w:rFonts w:hint="eastAsia"/>
          <w:highlight w:val="none"/>
          <w:u w:val="single"/>
          <w:lang w:val="zh-CN"/>
        </w:rPr>
        <w:t xml:space="preserve">             </w:t>
      </w:r>
      <w:r>
        <w:rPr>
          <w:rFonts w:hint="eastAsia"/>
          <w:highlight w:val="none"/>
          <w:lang w:val="zh-CN"/>
        </w:rPr>
        <w:t>；</w:t>
      </w:r>
    </w:p>
    <w:p>
      <w:pPr>
        <w:ind w:firstLine="426"/>
        <w:rPr>
          <w:highlight w:val="none"/>
          <w:lang w:val="zh-CN"/>
        </w:rPr>
      </w:pPr>
      <w:r>
        <w:rPr>
          <w:rFonts w:hint="eastAsia"/>
          <w:highlight w:val="none"/>
          <w:u w:val="single"/>
          <w:lang w:val="zh-CN"/>
        </w:rPr>
        <w:t>（联合体成员2）</w:t>
      </w:r>
      <w:r>
        <w:rPr>
          <w:rFonts w:hint="eastAsia"/>
          <w:highlight w:val="none"/>
          <w:lang w:val="zh-CN"/>
        </w:rPr>
        <w:t>承担的工作和义务为：</w:t>
      </w:r>
      <w:r>
        <w:rPr>
          <w:rFonts w:hint="eastAsia"/>
          <w:highlight w:val="none"/>
          <w:u w:val="single"/>
          <w:lang w:val="zh-CN"/>
        </w:rPr>
        <w:t xml:space="preserve">             </w:t>
      </w:r>
      <w:r>
        <w:rPr>
          <w:rFonts w:hint="eastAsia"/>
          <w:highlight w:val="none"/>
          <w:lang w:val="zh-CN"/>
        </w:rPr>
        <w:t>；</w:t>
      </w:r>
    </w:p>
    <w:p>
      <w:pPr>
        <w:ind w:firstLine="426"/>
        <w:rPr>
          <w:highlight w:val="none"/>
          <w:lang w:val="zh-CN"/>
        </w:rPr>
      </w:pPr>
      <w:r>
        <w:rPr>
          <w:rFonts w:hint="eastAsia"/>
          <w:highlight w:val="none"/>
          <w:lang w:val="zh-CN"/>
        </w:rPr>
        <w:t>……</w:t>
      </w:r>
    </w:p>
    <w:p>
      <w:pPr>
        <w:ind w:firstLine="426"/>
        <w:rPr>
          <w:highlight w:val="none"/>
          <w:lang w:val="zh-CN"/>
        </w:rPr>
      </w:pPr>
      <w:r>
        <w:rPr>
          <w:rFonts w:hint="eastAsia"/>
          <w:highlight w:val="none"/>
          <w:lang w:val="zh-CN"/>
        </w:rPr>
        <w:t>四、联合体成员中小企业合同份额（如果有）。</w:t>
      </w:r>
    </w:p>
    <w:p>
      <w:pPr>
        <w:ind w:firstLine="426"/>
        <w:rPr>
          <w:highlight w:val="none"/>
          <w:lang w:val="zh-CN"/>
        </w:rPr>
      </w:pPr>
      <w:r>
        <w:rPr>
          <w:rFonts w:hint="eastAsia"/>
          <w:highlight w:val="none"/>
          <w:lang w:val="zh-CN"/>
        </w:rPr>
        <w:t>1、（</w:t>
      </w:r>
      <w:r>
        <w:rPr>
          <w:rFonts w:hint="eastAsia"/>
          <w:highlight w:val="none"/>
          <w:u w:val="single"/>
          <w:lang w:val="zh-CN"/>
        </w:rPr>
        <w:t>联合体成员X,……</w:t>
      </w:r>
      <w:r>
        <w:rPr>
          <w:rFonts w:hint="eastAsia"/>
          <w:highlight w:val="none"/>
          <w:lang w:val="zh-CN"/>
        </w:rPr>
        <w:t>）提供的工程全部由小微企业承建，其合同份额占到合同总金额</w:t>
      </w:r>
      <w:r>
        <w:rPr>
          <w:rFonts w:hint="eastAsia"/>
          <w:highlight w:val="none"/>
          <w:u w:val="single"/>
          <w:lang w:val="zh-CN"/>
        </w:rPr>
        <w:t xml:space="preserve">     </w:t>
      </w:r>
      <w:r>
        <w:rPr>
          <w:rFonts w:hint="eastAsia"/>
          <w:highlight w:val="none"/>
          <w:lang w:val="zh-CN"/>
        </w:rPr>
        <w:t>%以上。</w:t>
      </w:r>
      <w:r>
        <w:rPr>
          <w:rFonts w:hint="eastAsia"/>
          <w:b/>
          <w:bCs/>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pPr>
        <w:ind w:firstLine="426"/>
        <w:rPr>
          <w:highlight w:val="none"/>
          <w:lang w:val="zh-CN"/>
        </w:rPr>
      </w:pPr>
      <w:r>
        <w:rPr>
          <w:rFonts w:hint="eastAsia"/>
          <w:highlight w:val="none"/>
          <w:lang w:val="zh-CN"/>
        </w:rPr>
        <w:t>2、中小企业合同金额达到</w:t>
      </w:r>
      <w:r>
        <w:rPr>
          <w:rFonts w:hint="eastAsia"/>
          <w:highlight w:val="none"/>
          <w:u w:val="single"/>
          <w:lang w:val="zh-CN"/>
        </w:rPr>
        <w:t xml:space="preserve">  </w:t>
      </w:r>
      <w:r>
        <w:rPr>
          <w:rFonts w:hint="eastAsia"/>
          <w:highlight w:val="none"/>
          <w:lang w:val="zh-CN"/>
        </w:rPr>
        <w:t>%，小微企业合同金额达到</w:t>
      </w:r>
      <w:r>
        <w:rPr>
          <w:rFonts w:hint="eastAsia"/>
          <w:highlight w:val="none"/>
          <w:u w:val="single"/>
          <w:lang w:val="zh-CN"/>
        </w:rPr>
        <w:t xml:space="preserve"> </w:t>
      </w:r>
      <w:r>
        <w:rPr>
          <w:rFonts w:hint="eastAsia"/>
          <w:highlight w:val="none"/>
          <w:lang w:val="zh-CN"/>
        </w:rPr>
        <w:t>%。</w:t>
      </w:r>
      <w:r>
        <w:rPr>
          <w:rFonts w:hint="eastAsia"/>
          <w:b/>
          <w:bCs/>
          <w:highlight w:val="none"/>
          <w:lang w:val="zh-CN"/>
        </w:rPr>
        <w:t>（要求以联合体形式参加的项目或采购包，供应商按磋商文件第一部分竞争性磋商邀请公告申请人的资格要求中规定的联合协议中中小企业、小微企业合同金额应当达到的比例要求填写。）</w:t>
      </w:r>
    </w:p>
    <w:p>
      <w:pPr>
        <w:ind w:firstLine="426"/>
        <w:rPr>
          <w:highlight w:val="none"/>
          <w:lang w:val="zh-CN"/>
        </w:rPr>
      </w:pPr>
      <w:r>
        <w:rPr>
          <w:rFonts w:hint="eastAsia"/>
          <w:highlight w:val="none"/>
          <w:lang w:val="zh-CN"/>
        </w:rPr>
        <w:t>五、如果成交，联合体各成员方共同与采购人签订合同，并就采购合同约定的事项对采购人承担连带责任。</w:t>
      </w:r>
    </w:p>
    <w:p>
      <w:pPr>
        <w:ind w:firstLine="426"/>
        <w:rPr>
          <w:highlight w:val="none"/>
          <w:lang w:val="zh-CN"/>
        </w:rPr>
      </w:pPr>
      <w:r>
        <w:rPr>
          <w:rFonts w:hint="eastAsia"/>
          <w:highlight w:val="none"/>
          <w:lang w:val="zh-CN"/>
        </w:rPr>
        <w:t>六、有关本次联合响应的其他事宜：</w:t>
      </w:r>
    </w:p>
    <w:p>
      <w:pPr>
        <w:ind w:firstLine="426"/>
        <w:rPr>
          <w:highlight w:val="none"/>
          <w:lang w:val="zh-CN"/>
        </w:rPr>
      </w:pPr>
      <w:r>
        <w:rPr>
          <w:rFonts w:hint="eastAsia"/>
          <w:highlight w:val="none"/>
          <w:lang w:val="zh-CN"/>
        </w:rPr>
        <w:t>1、联合体各方不再单独参加或者与其他供应商另外组成联合体参加同一合同项下的政府采购活动。</w:t>
      </w:r>
    </w:p>
    <w:p>
      <w:pPr>
        <w:ind w:firstLine="426"/>
        <w:rPr>
          <w:highlight w:val="none"/>
          <w:lang w:val="zh-CN"/>
        </w:rPr>
      </w:pPr>
      <w:r>
        <w:rPr>
          <w:rFonts w:hint="eastAsia"/>
          <w:highlight w:val="none"/>
          <w:lang w:val="zh-CN"/>
        </w:rPr>
        <w:t>2、联合体中有同类资质的各方按照联合体分工承担相同工作的，按照资质等级较低的供应商确定资质等级。</w:t>
      </w:r>
    </w:p>
    <w:p>
      <w:pPr>
        <w:ind w:firstLine="426"/>
        <w:rPr>
          <w:highlight w:val="none"/>
          <w:lang w:val="zh-CN"/>
        </w:rPr>
      </w:pPr>
      <w:r>
        <w:rPr>
          <w:rFonts w:hint="eastAsia"/>
          <w:highlight w:val="none"/>
          <w:lang w:val="zh-CN"/>
        </w:rPr>
        <w:t>3、本协议提交采购人、采购代理机构后，联合体各方不得以任何形式对上述内容进行修改或撤销。</w:t>
      </w:r>
    </w:p>
    <w:p>
      <w:pPr>
        <w:ind w:firstLine="2471" w:firstLineChars="1166"/>
        <w:jc w:val="right"/>
        <w:rPr>
          <w:highlight w:val="none"/>
          <w:lang w:val="zh-CN"/>
        </w:rPr>
      </w:pPr>
      <w:r>
        <w:rPr>
          <w:rFonts w:hint="eastAsia"/>
          <w:highlight w:val="none"/>
          <w:lang w:val="zh-CN"/>
        </w:rPr>
        <w:t>联合体成员名称(电子签名/公章)：</w:t>
      </w:r>
    </w:p>
    <w:p>
      <w:pPr>
        <w:ind w:firstLine="2471" w:firstLineChars="1166"/>
        <w:jc w:val="right"/>
        <w:rPr>
          <w:highlight w:val="none"/>
          <w:lang w:val="zh-CN"/>
        </w:rPr>
      </w:pPr>
      <w:r>
        <w:rPr>
          <w:rFonts w:hint="eastAsia"/>
          <w:highlight w:val="none"/>
          <w:lang w:val="zh-CN"/>
        </w:rPr>
        <w:t>联合体成员名称(电子签名/公章)：</w:t>
      </w:r>
    </w:p>
    <w:p>
      <w:pPr>
        <w:ind w:firstLine="2471" w:firstLineChars="1166"/>
        <w:rPr>
          <w:highlight w:val="none"/>
          <w:lang w:val="zh-CN"/>
        </w:rPr>
      </w:pPr>
      <w:r>
        <w:rPr>
          <w:rFonts w:hint="eastAsia" w:cs="仿宋"/>
          <w:highlight w:val="none"/>
          <w:lang w:val="zh-CN"/>
        </w:rPr>
        <w:t>……</w:t>
      </w:r>
    </w:p>
    <w:p>
      <w:pPr>
        <w:ind w:firstLine="2471" w:firstLineChars="1166"/>
        <w:jc w:val="right"/>
        <w:rPr>
          <w:highlight w:val="none"/>
          <w:lang w:val="zh-CN"/>
        </w:rPr>
      </w:pPr>
      <w:r>
        <w:rPr>
          <w:highlight w:val="none"/>
          <w:lang w:val="zh-CN"/>
        </w:rPr>
        <w:t>日期：  年  月   日</w:t>
      </w:r>
    </w:p>
    <w:p>
      <w:pPr>
        <w:snapToGrid w:val="0"/>
        <w:ind w:firstLine="486"/>
        <w:jc w:val="right"/>
        <w:rPr>
          <w:rFonts w:cs="仿宋"/>
          <w:color w:val="000000"/>
          <w:sz w:val="24"/>
          <w:highlight w:val="none"/>
          <w:lang w:val="zh-CN"/>
        </w:rPr>
      </w:pPr>
    </w:p>
    <w:p>
      <w:pPr>
        <w:ind w:firstLine="428"/>
        <w:rPr>
          <w:b/>
          <w:bCs/>
          <w:highlight w:val="none"/>
        </w:rPr>
      </w:pPr>
      <w:r>
        <w:rPr>
          <w:rFonts w:hint="eastAsia"/>
          <w:b/>
          <w:bCs/>
          <w:highlight w:val="none"/>
        </w:rPr>
        <w:t>注：按本格式和要求提供。</w:t>
      </w:r>
    </w:p>
    <w:p>
      <w:pPr>
        <w:ind w:firstLine="426"/>
        <w:rPr>
          <w:highlight w:val="none"/>
        </w:rPr>
      </w:pPr>
    </w:p>
    <w:p>
      <w:pPr>
        <w:ind w:firstLine="426"/>
        <w:rPr>
          <w:highlight w:val="none"/>
        </w:rPr>
      </w:pPr>
      <w:r>
        <w:rPr>
          <w:rFonts w:hint="eastAsia"/>
          <w:highlight w:val="none"/>
        </w:rPr>
        <w:br w:type="page"/>
      </w:r>
      <w:r>
        <w:rPr>
          <w:rFonts w:hint="eastAsia"/>
          <w:b/>
          <w:bCs/>
          <w:highlight w:val="none"/>
        </w:rPr>
        <w:t>附件6：分包意向协议</w:t>
      </w:r>
    </w:p>
    <w:p>
      <w:pPr>
        <w:ind w:firstLine="0" w:firstLineChars="0"/>
        <w:jc w:val="center"/>
        <w:rPr>
          <w:b/>
          <w:bCs/>
          <w:highlight w:val="none"/>
        </w:rPr>
      </w:pPr>
      <w:r>
        <w:rPr>
          <w:b/>
          <w:bCs/>
          <w:highlight w:val="none"/>
        </w:rPr>
        <w:t>分包意向协议（如果有）</w:t>
      </w:r>
    </w:p>
    <w:p>
      <w:pPr>
        <w:ind w:firstLine="0" w:firstLineChars="0"/>
        <w:rPr>
          <w:highlight w:val="none"/>
        </w:rPr>
      </w:pPr>
      <w:r>
        <w:rPr>
          <w:b/>
          <w:bCs/>
          <w:highlight w:val="none"/>
        </w:rPr>
        <w:t>（成交后以分包方式履行合同的，提供分包意向协议；采购人不同意分包或者供应商成交后不以分包方式履行合同的，则不需要提供。）</w:t>
      </w:r>
    </w:p>
    <w:p>
      <w:pPr>
        <w:ind w:firstLine="426"/>
        <w:rPr>
          <w:highlight w:val="none"/>
        </w:rPr>
      </w:pPr>
      <w:r>
        <w:rPr>
          <w:highlight w:val="none"/>
          <w:u w:val="single"/>
        </w:rPr>
        <w:t>（供应商名称）</w:t>
      </w:r>
      <w:r>
        <w:rPr>
          <w:highlight w:val="none"/>
        </w:rPr>
        <w:t>若成为</w:t>
      </w:r>
      <w:r>
        <w:rPr>
          <w:rFonts w:hint="eastAsia"/>
          <w:highlight w:val="none"/>
          <w:u w:val="single"/>
        </w:rPr>
        <w:t xml:space="preserve">     </w:t>
      </w:r>
      <w:r>
        <w:rPr>
          <w:highlight w:val="none"/>
        </w:rPr>
        <w:t>（项目名称）【项目编号：</w:t>
      </w:r>
      <w:r>
        <w:rPr>
          <w:rFonts w:hint="eastAsia"/>
          <w:highlight w:val="none"/>
          <w:u w:val="single"/>
        </w:rPr>
        <w:t xml:space="preserve">     </w:t>
      </w:r>
      <w:r>
        <w:rPr>
          <w:highlight w:val="none"/>
        </w:rPr>
        <w:t>】的成交供应商，将依法采取分包方式履行合同。</w:t>
      </w:r>
      <w:r>
        <w:rPr>
          <w:highlight w:val="none"/>
          <w:u w:val="single"/>
        </w:rPr>
        <w:t>（供应商名称）</w:t>
      </w:r>
      <w:r>
        <w:rPr>
          <w:highlight w:val="none"/>
        </w:rPr>
        <w:t>与</w:t>
      </w:r>
      <w:r>
        <w:rPr>
          <w:highlight w:val="none"/>
          <w:u w:val="single"/>
        </w:rPr>
        <w:t>（所有分包供应商名称）</w:t>
      </w:r>
      <w:r>
        <w:rPr>
          <w:highlight w:val="none"/>
        </w:rPr>
        <w:t xml:space="preserve">达成分包意向协议。 </w:t>
      </w:r>
    </w:p>
    <w:p>
      <w:pPr>
        <w:ind w:firstLine="426"/>
        <w:rPr>
          <w:highlight w:val="none"/>
        </w:rPr>
      </w:pPr>
      <w:r>
        <w:rPr>
          <w:highlight w:val="none"/>
        </w:rPr>
        <w:t>一、分包标的及数量</w:t>
      </w:r>
    </w:p>
    <w:p>
      <w:pPr>
        <w:ind w:firstLine="426"/>
        <w:rPr>
          <w:highlight w:val="none"/>
        </w:rPr>
      </w:pPr>
      <w:r>
        <w:rPr>
          <w:highlight w:val="none"/>
          <w:u w:val="single"/>
        </w:rPr>
        <w:t>（供应商名称）</w:t>
      </w:r>
      <w:r>
        <w:rPr>
          <w:highlight w:val="none"/>
        </w:rPr>
        <w:t>将</w:t>
      </w:r>
      <w:r>
        <w:rPr>
          <w:highlight w:val="none"/>
          <w:u w:val="single"/>
        </w:rPr>
        <w:t xml:space="preserve">   XX工作内容   </w:t>
      </w:r>
      <w:r>
        <w:rPr>
          <w:highlight w:val="none"/>
        </w:rPr>
        <w:t>分包给</w:t>
      </w:r>
      <w:r>
        <w:rPr>
          <w:highlight w:val="none"/>
          <w:u w:val="single"/>
        </w:rPr>
        <w:t>（分包供应商1名称）</w:t>
      </w:r>
      <w:r>
        <w:rPr>
          <w:highlight w:val="none"/>
        </w:rPr>
        <w:t>，</w:t>
      </w:r>
      <w:r>
        <w:rPr>
          <w:highlight w:val="none"/>
          <w:u w:val="single"/>
        </w:rPr>
        <w:t>（分包供应商2名称）</w:t>
      </w:r>
      <w:r>
        <w:rPr>
          <w:highlight w:val="none"/>
        </w:rPr>
        <w:t>，具备承担</w:t>
      </w:r>
      <w:r>
        <w:rPr>
          <w:highlight w:val="none"/>
          <w:u w:val="single"/>
        </w:rPr>
        <w:t>XX工作内容</w:t>
      </w:r>
      <w:r>
        <w:rPr>
          <w:highlight w:val="none"/>
        </w:rPr>
        <w:t>相应资质条件且不得再次分包；</w:t>
      </w:r>
    </w:p>
    <w:p>
      <w:pPr>
        <w:ind w:firstLine="426"/>
        <w:rPr>
          <w:highlight w:val="none"/>
        </w:rPr>
      </w:pPr>
      <w:r>
        <w:rPr>
          <w:highlight w:val="none"/>
        </w:rPr>
        <w:t>1……</w:t>
      </w:r>
    </w:p>
    <w:p>
      <w:pPr>
        <w:ind w:firstLine="426"/>
        <w:rPr>
          <w:highlight w:val="none"/>
        </w:rPr>
      </w:pPr>
      <w:r>
        <w:rPr>
          <w:highlight w:val="none"/>
        </w:rPr>
        <w:t xml:space="preserve"> </w:t>
      </w:r>
    </w:p>
    <w:p>
      <w:pPr>
        <w:ind w:firstLine="426"/>
        <w:rPr>
          <w:highlight w:val="none"/>
        </w:rPr>
      </w:pPr>
      <w:r>
        <w:rPr>
          <w:highlight w:val="none"/>
        </w:rPr>
        <w:t>二、分包供应商中小企业合同份额（如果有）</w:t>
      </w:r>
    </w:p>
    <w:p>
      <w:pPr>
        <w:ind w:firstLine="426"/>
        <w:rPr>
          <w:highlight w:val="none"/>
        </w:rPr>
      </w:pPr>
      <w:r>
        <w:rPr>
          <w:highlight w:val="none"/>
        </w:rPr>
        <w:t>1、</w:t>
      </w:r>
      <w:r>
        <w:rPr>
          <w:highlight w:val="none"/>
          <w:u w:val="single"/>
        </w:rPr>
        <w:t>（分包供应商X,……）提供的工程全部由小微企业承建</w:t>
      </w:r>
      <w:r>
        <w:rPr>
          <w:highlight w:val="none"/>
        </w:rPr>
        <w:t>，其合同份额占到合同总金额</w:t>
      </w:r>
      <w:r>
        <w:rPr>
          <w:highlight w:val="none"/>
          <w:u w:val="single"/>
        </w:rPr>
        <w:t xml:space="preserve">     </w:t>
      </w:r>
      <w:r>
        <w:rPr>
          <w:highlight w:val="none"/>
        </w:rPr>
        <w:t>%以上。</w:t>
      </w:r>
      <w:r>
        <w:rPr>
          <w:b/>
          <w:bCs/>
          <w:highlight w:val="none"/>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ind w:firstLine="426"/>
        <w:rPr>
          <w:highlight w:val="none"/>
        </w:rPr>
      </w:pPr>
      <w:r>
        <w:rPr>
          <w:highlight w:val="none"/>
        </w:rPr>
        <w:t>2、中小企业合同金额达到</w:t>
      </w:r>
      <w:r>
        <w:rPr>
          <w:highlight w:val="none"/>
          <w:u w:val="single"/>
        </w:rPr>
        <w:t xml:space="preserve">  </w:t>
      </w:r>
      <w:r>
        <w:rPr>
          <w:highlight w:val="none"/>
        </w:rPr>
        <w:t>%，小微企业合同金额达到</w:t>
      </w:r>
      <w:r>
        <w:rPr>
          <w:highlight w:val="none"/>
          <w:u w:val="single"/>
        </w:rPr>
        <w:t xml:space="preserve">  </w:t>
      </w:r>
      <w:r>
        <w:rPr>
          <w:highlight w:val="none"/>
        </w:rPr>
        <w:t>%。</w:t>
      </w:r>
      <w:r>
        <w:rPr>
          <w:b/>
          <w:bCs/>
          <w:highlight w:val="none"/>
        </w:rPr>
        <w:t>（要求合同分包形式参加的项目或采购包，供应商按磋商文件第一部分竞争性磋商邀请公告申请人的资格要求中规定的分包意向协议中中小企业、小微企业合同金额应当达到的比例要求填写。）</w:t>
      </w:r>
    </w:p>
    <w:p>
      <w:pPr>
        <w:ind w:firstLine="426"/>
        <w:rPr>
          <w:highlight w:val="none"/>
        </w:rPr>
      </w:pPr>
      <w:r>
        <w:rPr>
          <w:highlight w:val="none"/>
        </w:rPr>
        <w:t>三、分包工作履行期限、地点、方式</w:t>
      </w:r>
    </w:p>
    <w:p>
      <w:pPr>
        <w:ind w:firstLine="426"/>
        <w:rPr>
          <w:highlight w:val="none"/>
          <w:u w:val="single"/>
        </w:rPr>
      </w:pPr>
      <w:r>
        <w:rPr>
          <w:highlight w:val="none"/>
          <w:u w:val="single"/>
        </w:rPr>
        <w:t xml:space="preserve">                                                                </w:t>
      </w:r>
    </w:p>
    <w:p>
      <w:pPr>
        <w:ind w:firstLine="426"/>
        <w:rPr>
          <w:highlight w:val="none"/>
        </w:rPr>
      </w:pPr>
      <w:r>
        <w:rPr>
          <w:highlight w:val="none"/>
        </w:rPr>
        <w:t>四、质量</w:t>
      </w:r>
    </w:p>
    <w:p>
      <w:pPr>
        <w:ind w:firstLine="426"/>
        <w:rPr>
          <w:highlight w:val="none"/>
        </w:rPr>
      </w:pPr>
      <w:r>
        <w:rPr>
          <w:highlight w:val="none"/>
          <w:u w:val="single"/>
        </w:rPr>
        <w:t xml:space="preserve">                                                                </w:t>
      </w:r>
    </w:p>
    <w:p>
      <w:pPr>
        <w:ind w:firstLine="426"/>
        <w:rPr>
          <w:highlight w:val="none"/>
        </w:rPr>
      </w:pPr>
      <w:r>
        <w:rPr>
          <w:highlight w:val="none"/>
        </w:rPr>
        <w:t>五、价款或者报酬</w:t>
      </w:r>
    </w:p>
    <w:p>
      <w:pPr>
        <w:ind w:firstLine="426"/>
        <w:rPr>
          <w:highlight w:val="none"/>
        </w:rPr>
      </w:pPr>
      <w:r>
        <w:rPr>
          <w:highlight w:val="none"/>
          <w:u w:val="single"/>
        </w:rPr>
        <w:t xml:space="preserve">                                                                </w:t>
      </w:r>
    </w:p>
    <w:p>
      <w:pPr>
        <w:ind w:firstLine="426"/>
        <w:rPr>
          <w:highlight w:val="none"/>
        </w:rPr>
      </w:pPr>
      <w:r>
        <w:rPr>
          <w:highlight w:val="none"/>
        </w:rPr>
        <w:t>六、违约责任</w:t>
      </w:r>
    </w:p>
    <w:p>
      <w:pPr>
        <w:ind w:firstLine="426"/>
        <w:rPr>
          <w:highlight w:val="none"/>
        </w:rPr>
      </w:pPr>
      <w:r>
        <w:rPr>
          <w:highlight w:val="none"/>
          <w:u w:val="single"/>
        </w:rPr>
        <w:t xml:space="preserve">                                                                </w:t>
      </w:r>
    </w:p>
    <w:p>
      <w:pPr>
        <w:ind w:firstLine="426"/>
        <w:rPr>
          <w:highlight w:val="none"/>
        </w:rPr>
      </w:pPr>
      <w:r>
        <w:rPr>
          <w:highlight w:val="none"/>
        </w:rPr>
        <w:t>七、争议解决的办法</w:t>
      </w:r>
    </w:p>
    <w:p>
      <w:pPr>
        <w:ind w:firstLine="426"/>
        <w:rPr>
          <w:highlight w:val="none"/>
        </w:rPr>
      </w:pPr>
      <w:r>
        <w:rPr>
          <w:highlight w:val="none"/>
          <w:u w:val="single"/>
        </w:rPr>
        <w:t xml:space="preserve">                                                                </w:t>
      </w:r>
    </w:p>
    <w:p>
      <w:pPr>
        <w:ind w:firstLine="426"/>
        <w:rPr>
          <w:highlight w:val="none"/>
        </w:rPr>
      </w:pPr>
      <w:r>
        <w:rPr>
          <w:highlight w:val="none"/>
        </w:rPr>
        <w:t>八、其他</w:t>
      </w:r>
    </w:p>
    <w:p>
      <w:pPr>
        <w:ind w:firstLine="426"/>
        <w:rPr>
          <w:highlight w:val="none"/>
        </w:rPr>
      </w:pPr>
      <w:r>
        <w:rPr>
          <w:highlight w:val="none"/>
        </w:rPr>
        <w:t>中小企业合同金额达到</w:t>
      </w:r>
      <w:r>
        <w:rPr>
          <w:highlight w:val="none"/>
          <w:u w:val="single"/>
        </w:rPr>
        <w:t xml:space="preserve">   </w:t>
      </w:r>
      <w:r>
        <w:rPr>
          <w:highlight w:val="none"/>
        </w:rPr>
        <w:t>%，小微企业合同金额达到</w:t>
      </w:r>
      <w:r>
        <w:rPr>
          <w:highlight w:val="none"/>
          <w:u w:val="single"/>
        </w:rPr>
        <w:t xml:space="preserve">  </w:t>
      </w:r>
      <w:r>
        <w:rPr>
          <w:highlight w:val="none"/>
        </w:rPr>
        <w:t>%。</w:t>
      </w:r>
    </w:p>
    <w:p>
      <w:pPr>
        <w:ind w:firstLine="426"/>
        <w:rPr>
          <w:highlight w:val="none"/>
        </w:rPr>
      </w:pPr>
    </w:p>
    <w:p>
      <w:pPr>
        <w:ind w:firstLine="426"/>
        <w:rPr>
          <w:highlight w:val="none"/>
        </w:rPr>
      </w:pPr>
    </w:p>
    <w:p>
      <w:pPr>
        <w:ind w:firstLine="426"/>
        <w:rPr>
          <w:highlight w:val="none"/>
        </w:rPr>
      </w:pPr>
      <w:r>
        <w:rPr>
          <w:highlight w:val="none"/>
        </w:rPr>
        <w:t>供应商名称(电子签名)：</w:t>
      </w:r>
    </w:p>
    <w:p>
      <w:pPr>
        <w:ind w:firstLine="426"/>
        <w:rPr>
          <w:highlight w:val="none"/>
        </w:rPr>
      </w:pPr>
      <w:r>
        <w:rPr>
          <w:highlight w:val="none"/>
        </w:rPr>
        <w:t>分包供应商名称(电子签名/公章)：</w:t>
      </w:r>
    </w:p>
    <w:p>
      <w:pPr>
        <w:ind w:firstLine="426"/>
        <w:rPr>
          <w:highlight w:val="none"/>
        </w:rPr>
      </w:pPr>
      <w:r>
        <w:rPr>
          <w:highlight w:val="none"/>
        </w:rPr>
        <w:t>……</w:t>
      </w:r>
    </w:p>
    <w:p>
      <w:pPr>
        <w:ind w:firstLine="426"/>
        <w:rPr>
          <w:highlight w:val="none"/>
        </w:rPr>
      </w:pPr>
      <w:r>
        <w:rPr>
          <w:highlight w:val="none"/>
        </w:rPr>
        <w:t>日期：  年  月   日</w:t>
      </w:r>
    </w:p>
    <w:p>
      <w:pPr>
        <w:ind w:firstLine="426"/>
        <w:rPr>
          <w:highlight w:val="none"/>
        </w:rPr>
      </w:pPr>
    </w:p>
    <w:p>
      <w:pPr>
        <w:ind w:firstLine="426"/>
        <w:rPr>
          <w:rFonts w:hAnsi="宋体"/>
          <w:b/>
          <w:bCs/>
          <w:color w:val="000000"/>
          <w:szCs w:val="22"/>
          <w:highlight w:val="none"/>
        </w:rPr>
      </w:pPr>
      <w:r>
        <w:rPr>
          <w:highlight w:val="none"/>
        </w:rPr>
        <w:br w:type="page"/>
      </w:r>
      <w:bookmarkStart w:id="189" w:name="_Toc27638"/>
      <w:bookmarkStart w:id="190" w:name="_Toc25433"/>
      <w:bookmarkStart w:id="191" w:name="_Toc9979"/>
      <w:bookmarkStart w:id="192" w:name="_Toc16500"/>
      <w:bookmarkStart w:id="193" w:name="_Toc15716"/>
      <w:r>
        <w:rPr>
          <w:rFonts w:hint="eastAsia"/>
          <w:b/>
          <w:bCs/>
          <w:highlight w:val="none"/>
        </w:rPr>
        <w:t>附件7：</w:t>
      </w:r>
      <w:bookmarkEnd w:id="189"/>
      <w:bookmarkEnd w:id="190"/>
      <w:bookmarkEnd w:id="191"/>
      <w:bookmarkEnd w:id="192"/>
      <w:bookmarkEnd w:id="193"/>
      <w:r>
        <w:rPr>
          <w:rFonts w:hint="eastAsia"/>
          <w:b/>
          <w:bCs/>
          <w:highlight w:val="none"/>
        </w:rPr>
        <w:t>中小企业声明函</w:t>
      </w:r>
    </w:p>
    <w:p>
      <w:pPr>
        <w:ind w:firstLine="0" w:firstLineChars="0"/>
        <w:jc w:val="center"/>
        <w:rPr>
          <w:rFonts w:hAnsi="宋体"/>
          <w:b/>
          <w:bCs/>
          <w:color w:val="000000"/>
          <w:szCs w:val="22"/>
          <w:highlight w:val="none"/>
        </w:rPr>
      </w:pPr>
      <w:r>
        <w:rPr>
          <w:rFonts w:hint="eastAsia" w:hAnsi="宋体"/>
          <w:b/>
          <w:bCs/>
          <w:color w:val="000000"/>
          <w:szCs w:val="22"/>
          <w:highlight w:val="none"/>
        </w:rPr>
        <w:t>中小企业声明函（工程）</w:t>
      </w:r>
    </w:p>
    <w:p>
      <w:pPr>
        <w:ind w:firstLine="426"/>
        <w:rPr>
          <w:rFonts w:hAnsi="宋体"/>
          <w:color w:val="000000"/>
          <w:kern w:val="2"/>
          <w:szCs w:val="24"/>
          <w:highlight w:val="none"/>
        </w:rPr>
      </w:pPr>
    </w:p>
    <w:p>
      <w:pPr>
        <w:ind w:firstLine="426"/>
        <w:rPr>
          <w:rFonts w:hAnsi="宋体" w:cs="宋体"/>
          <w:color w:val="000000"/>
          <w:highlight w:val="none"/>
        </w:rPr>
      </w:pPr>
      <w:r>
        <w:rPr>
          <w:rFonts w:hint="eastAsia" w:hAnsi="宋体" w:cs="宋体"/>
          <w:color w:val="000000"/>
          <w:highlight w:val="none"/>
        </w:rPr>
        <w:t>本公司</w:t>
      </w:r>
      <w:r>
        <w:rPr>
          <w:rFonts w:hint="eastAsia" w:hAnsi="宋体" w:cs="宋体"/>
          <w:color w:val="000000"/>
          <w:highlight w:val="none"/>
          <w:u w:val="single"/>
        </w:rPr>
        <w:t>（联合体）</w:t>
      </w:r>
      <w:r>
        <w:rPr>
          <w:rFonts w:hint="eastAsia" w:hAnsi="宋体" w:cs="宋体"/>
          <w:color w:val="000000"/>
          <w:highlight w:val="none"/>
        </w:rPr>
        <w:t>郑重声明，根据《政府采购促进中小企业发展管理办法》（财库﹝2020﹞46 号）的规定，本公司（联合体）参加 （采购人） 的</w:t>
      </w:r>
      <w:r>
        <w:rPr>
          <w:rFonts w:hint="eastAsia" w:hAnsi="宋体" w:cs="宋体"/>
          <w:color w:val="000000"/>
          <w:highlight w:val="none"/>
          <w:u w:val="single"/>
        </w:rPr>
        <w:t xml:space="preserve"> 杭州科技职业学院翠苑校区教学及辅助设施修缮工程 </w:t>
      </w:r>
      <w:r>
        <w:rPr>
          <w:rFonts w:hint="eastAsia" w:hAnsi="宋体" w:cs="宋体"/>
          <w:color w:val="00000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ind w:firstLine="426"/>
        <w:rPr>
          <w:rFonts w:hAnsi="宋体" w:cs="宋体"/>
          <w:color w:val="000000"/>
          <w:highlight w:val="none"/>
        </w:rPr>
      </w:pPr>
      <w:r>
        <w:rPr>
          <w:rFonts w:hint="eastAsia" w:hAnsi="宋体" w:cs="宋体"/>
          <w:color w:val="000000"/>
          <w:highlight w:val="none"/>
        </w:rPr>
        <w:t>1.</w:t>
      </w:r>
      <w:r>
        <w:rPr>
          <w:rFonts w:hint="eastAsia" w:hAnsi="宋体" w:cs="宋体"/>
          <w:color w:val="000000"/>
          <w:highlight w:val="none"/>
          <w:u w:val="single"/>
        </w:rPr>
        <w:t xml:space="preserve"> 翠苑校区教学及辅助设施修缮 </w:t>
      </w:r>
      <w:r>
        <w:rPr>
          <w:rFonts w:hint="eastAsia" w:hAnsi="宋体" w:cs="宋体"/>
          <w:color w:val="000000"/>
          <w:highlight w:val="none"/>
        </w:rPr>
        <w:t>，属于</w:t>
      </w:r>
      <w:r>
        <w:rPr>
          <w:rFonts w:hint="eastAsia" w:hAnsi="宋体" w:cs="宋体"/>
          <w:color w:val="000000"/>
          <w:highlight w:val="none"/>
          <w:u w:val="single"/>
        </w:rPr>
        <w:t xml:space="preserve"> 建筑业 </w:t>
      </w:r>
      <w:r>
        <w:rPr>
          <w:rFonts w:hint="eastAsia" w:hAnsi="宋体" w:cs="宋体"/>
          <w:color w:val="000000"/>
          <w:highlight w:val="none"/>
        </w:rPr>
        <w:t>行业；承建（承接）企业为</w:t>
      </w:r>
      <w:r>
        <w:rPr>
          <w:rFonts w:hint="eastAsia" w:hAnsi="宋体" w:cs="宋体"/>
          <w:color w:val="000000"/>
          <w:highlight w:val="none"/>
          <w:u w:val="single"/>
        </w:rPr>
        <w:t xml:space="preserve"> （企业名称） </w:t>
      </w:r>
      <w:r>
        <w:rPr>
          <w:rFonts w:hint="eastAsia" w:hAnsi="宋体" w:cs="宋体"/>
          <w:color w:val="000000"/>
          <w:highlight w:val="none"/>
        </w:rPr>
        <w:t>，从业人员</w:t>
      </w:r>
      <w:r>
        <w:rPr>
          <w:rFonts w:hint="eastAsia" w:hAnsi="宋体" w:cs="宋体"/>
          <w:color w:val="000000"/>
          <w:highlight w:val="none"/>
          <w:u w:val="single"/>
        </w:rPr>
        <w:t xml:space="preserve">   </w:t>
      </w:r>
      <w:r>
        <w:rPr>
          <w:rFonts w:hint="eastAsia" w:hAnsi="宋体" w:cs="宋体"/>
          <w:color w:val="000000"/>
          <w:highlight w:val="none"/>
        </w:rPr>
        <w:t>人，营业收入为</w:t>
      </w:r>
      <w:r>
        <w:rPr>
          <w:rFonts w:hint="eastAsia" w:hAnsi="宋体" w:cs="宋体"/>
          <w:color w:val="000000"/>
          <w:highlight w:val="none"/>
          <w:u w:val="single"/>
        </w:rPr>
        <w:t xml:space="preserve">  </w:t>
      </w:r>
      <w:r>
        <w:rPr>
          <w:rFonts w:hint="eastAsia" w:hAnsi="宋体" w:cs="宋体"/>
          <w:color w:val="000000"/>
          <w:highlight w:val="none"/>
        </w:rPr>
        <w:t>万元，资产总额为</w:t>
      </w:r>
      <w:r>
        <w:rPr>
          <w:rFonts w:hint="eastAsia" w:hAnsi="宋体" w:cs="宋体"/>
          <w:color w:val="000000"/>
          <w:highlight w:val="none"/>
          <w:u w:val="single"/>
        </w:rPr>
        <w:t xml:space="preserve">   </w:t>
      </w:r>
      <w:r>
        <w:rPr>
          <w:rFonts w:hint="eastAsia" w:hAnsi="宋体" w:cs="宋体"/>
          <w:color w:val="000000"/>
          <w:highlight w:val="none"/>
        </w:rPr>
        <w:t>万元，属于 （中型企业、小型企业、微型企业）</w:t>
      </w:r>
    </w:p>
    <w:p>
      <w:pPr>
        <w:ind w:firstLine="426"/>
        <w:rPr>
          <w:rFonts w:hAnsi="宋体" w:cs="宋体"/>
          <w:color w:val="000000"/>
          <w:highlight w:val="none"/>
        </w:rPr>
      </w:pPr>
    </w:p>
    <w:p>
      <w:pPr>
        <w:ind w:firstLine="426"/>
        <w:rPr>
          <w:rFonts w:hAnsi="宋体" w:cs="宋体"/>
          <w:color w:val="000000"/>
          <w:highlight w:val="none"/>
        </w:rPr>
      </w:pPr>
      <w:r>
        <w:rPr>
          <w:rFonts w:hint="eastAsia" w:hAnsi="宋体" w:cs="宋体"/>
          <w:color w:val="000000"/>
          <w:highlight w:val="none"/>
        </w:rPr>
        <w:t>以上企业，不属于大企业的分支机构，不存在控股股东为大企业的情形，也不存在与大企业的负责人为同一人的情形。</w:t>
      </w:r>
    </w:p>
    <w:p>
      <w:pPr>
        <w:ind w:firstLine="426"/>
        <w:rPr>
          <w:rFonts w:hAnsi="宋体" w:cs="宋体"/>
          <w:color w:val="000000"/>
          <w:highlight w:val="none"/>
        </w:rPr>
      </w:pPr>
      <w:r>
        <w:rPr>
          <w:rFonts w:hint="eastAsia" w:hAnsi="宋体" w:cs="宋体"/>
          <w:color w:val="000000"/>
          <w:highlight w:val="none"/>
        </w:rPr>
        <w:t>本企业对上述声明内容的真实性负责。如有虚假，将依法承担相应责任。</w:t>
      </w:r>
    </w:p>
    <w:p>
      <w:pPr>
        <w:ind w:firstLine="426"/>
        <w:jc w:val="right"/>
        <w:rPr>
          <w:rFonts w:hAnsi="宋体" w:cs="宋体"/>
          <w:color w:val="000000"/>
          <w:highlight w:val="none"/>
        </w:rPr>
      </w:pPr>
      <w:r>
        <w:rPr>
          <w:rFonts w:hint="eastAsia" w:hAnsi="宋体" w:cs="宋体"/>
          <w:color w:val="000000"/>
          <w:highlight w:val="none"/>
        </w:rPr>
        <w:t>供应商名称（电子签名）：</w:t>
      </w:r>
    </w:p>
    <w:p>
      <w:pPr>
        <w:ind w:firstLine="426"/>
        <w:jc w:val="right"/>
        <w:rPr>
          <w:rFonts w:hAnsi="宋体" w:cs="宋体"/>
          <w:color w:val="000000"/>
          <w:highlight w:val="none"/>
        </w:rPr>
      </w:pPr>
      <w:r>
        <w:rPr>
          <w:rFonts w:hint="eastAsia" w:hAnsi="宋体" w:cs="宋体"/>
          <w:color w:val="000000"/>
          <w:highlight w:val="none"/>
        </w:rPr>
        <w:t>日 期：</w:t>
      </w:r>
    </w:p>
    <w:p>
      <w:pPr>
        <w:ind w:firstLine="426"/>
        <w:rPr>
          <w:rFonts w:hAnsi="宋体" w:cs="宋体"/>
          <w:color w:val="000000"/>
          <w:highlight w:val="none"/>
        </w:rPr>
      </w:pPr>
    </w:p>
    <w:p>
      <w:pPr>
        <w:ind w:firstLine="426"/>
        <w:rPr>
          <w:rFonts w:hAnsi="宋体" w:cs="宋体"/>
          <w:color w:val="000000"/>
          <w:highlight w:val="none"/>
        </w:rPr>
      </w:pPr>
      <w:r>
        <w:rPr>
          <w:rFonts w:hint="eastAsia" w:hAnsi="宋体" w:cs="宋体"/>
          <w:color w:val="000000"/>
          <w:highlight w:val="none"/>
        </w:rPr>
        <w:t>注：</w:t>
      </w:r>
      <w:r>
        <w:rPr>
          <w:rFonts w:hint="eastAsia" w:hAnsi="宋体" w:cs="宋体"/>
          <w:b/>
          <w:bCs/>
          <w:color w:val="000000"/>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pPr>
        <w:ind w:firstLine="426"/>
        <w:rPr>
          <w:rFonts w:hAnsi="宋体" w:cs="宋体"/>
          <w:color w:val="000000"/>
          <w:szCs w:val="21"/>
          <w:highlight w:val="none"/>
        </w:rPr>
      </w:pPr>
      <w:r>
        <w:rPr>
          <w:rFonts w:hint="eastAsia" w:hAnsi="宋体" w:cs="宋体"/>
          <w:color w:val="000000"/>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ind w:firstLine="0" w:firstLineChars="0"/>
        <w:jc w:val="center"/>
        <w:rPr>
          <w:rFonts w:hAnsi="宋体"/>
          <w:b/>
          <w:bCs/>
          <w:color w:val="000000"/>
          <w:szCs w:val="21"/>
          <w:highlight w:val="none"/>
        </w:rPr>
      </w:pPr>
      <w:r>
        <w:rPr>
          <w:rFonts w:hAnsi="宋体"/>
          <w:b/>
          <w:bCs/>
          <w:color w:val="000000"/>
          <w:szCs w:val="21"/>
          <w:highlight w:val="none"/>
        </w:rPr>
        <w:br w:type="page"/>
      </w:r>
      <w:r>
        <w:rPr>
          <w:rFonts w:hint="eastAsia" w:hAnsi="宋体"/>
          <w:b/>
          <w:bCs/>
          <w:color w:val="000000"/>
          <w:szCs w:val="21"/>
          <w:highlight w:val="none"/>
        </w:rPr>
        <w:t>大中小微型企业划分标准表</w:t>
      </w:r>
      <w:r>
        <w:rPr>
          <w:highlight w:val="none"/>
        </w:rPr>
        <w:drawing>
          <wp:inline distT="0" distB="0" distL="114300" distR="114300">
            <wp:extent cx="5544820" cy="6639560"/>
            <wp:effectExtent l="0" t="0" r="17780" b="889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5544820" cy="6639560"/>
                    </a:xfrm>
                    <a:prstGeom prst="rect">
                      <a:avLst/>
                    </a:prstGeom>
                    <a:noFill/>
                    <a:ln>
                      <a:noFill/>
                    </a:ln>
                  </pic:spPr>
                </pic:pic>
              </a:graphicData>
            </a:graphic>
          </wp:inline>
        </w:drawing>
      </w:r>
    </w:p>
    <w:p>
      <w:pPr>
        <w:ind w:firstLine="488"/>
        <w:rPr>
          <w:rStyle w:val="81"/>
          <w:bCs/>
          <w:highlight w:val="none"/>
        </w:rPr>
      </w:pPr>
      <w:bookmarkStart w:id="194" w:name="_Toc12418"/>
      <w:bookmarkStart w:id="195" w:name="_Toc31492"/>
    </w:p>
    <w:p>
      <w:pPr>
        <w:ind w:firstLine="426"/>
        <w:rPr>
          <w:rStyle w:val="81"/>
          <w:bCs/>
          <w:highlight w:val="none"/>
        </w:rPr>
      </w:pPr>
      <w:r>
        <w:rPr>
          <w:rFonts w:hint="eastAsia"/>
          <w:highlight w:val="none"/>
        </w:rPr>
        <w:br w:type="page"/>
      </w:r>
      <w:bookmarkStart w:id="196" w:name="_Toc18159"/>
      <w:bookmarkStart w:id="197" w:name="_Toc4074"/>
      <w:bookmarkStart w:id="198" w:name="_Toc18883"/>
      <w:r>
        <w:rPr>
          <w:rFonts w:hint="eastAsia"/>
          <w:b/>
          <w:bCs/>
          <w:highlight w:val="none"/>
        </w:rPr>
        <w:t>附件8：工程量清单及编制说明（详见附件）</w:t>
      </w:r>
    </w:p>
    <w:bookmarkEnd w:id="196"/>
    <w:bookmarkEnd w:id="197"/>
    <w:bookmarkEnd w:id="198"/>
    <w:p>
      <w:pPr>
        <w:ind w:firstLine="426"/>
        <w:rPr>
          <w:highlight w:val="none"/>
        </w:rPr>
      </w:pPr>
      <w:r>
        <w:rPr>
          <w:rFonts w:hint="eastAsia"/>
          <w:highlight w:val="none"/>
        </w:rPr>
        <w:br w:type="page"/>
      </w:r>
      <w:bookmarkEnd w:id="194"/>
      <w:bookmarkEnd w:id="195"/>
      <w:r>
        <w:rPr>
          <w:rFonts w:hint="eastAsia"/>
          <w:b/>
          <w:bCs/>
          <w:highlight w:val="none"/>
        </w:rPr>
        <w:t>附件9：图纸（另附）</w:t>
      </w:r>
    </w:p>
    <w:p>
      <w:pPr>
        <w:pStyle w:val="3"/>
        <w:rPr>
          <w:highlight w:val="none"/>
        </w:rPr>
      </w:pPr>
      <w:r>
        <w:rPr>
          <w:rFonts w:hint="eastAsia"/>
          <w:highlight w:val="none"/>
        </w:rPr>
        <w:br w:type="page"/>
      </w:r>
      <w:bookmarkStart w:id="199" w:name="_Toc324"/>
      <w:bookmarkStart w:id="200" w:name="_Toc13466"/>
      <w:bookmarkStart w:id="201" w:name="_Toc26842"/>
      <w:r>
        <w:rPr>
          <w:rFonts w:hint="eastAsia"/>
          <w:highlight w:val="none"/>
        </w:rPr>
        <w:t>第七部分 最终报价格式</w:t>
      </w:r>
      <w:bookmarkEnd w:id="199"/>
      <w:bookmarkEnd w:id="200"/>
      <w:bookmarkEnd w:id="201"/>
    </w:p>
    <w:p>
      <w:pPr>
        <w:pStyle w:val="5"/>
        <w:jc w:val="center"/>
        <w:rPr>
          <w:rStyle w:val="82"/>
          <w:b/>
          <w:bCs w:val="0"/>
          <w:highlight w:val="none"/>
        </w:rPr>
      </w:pPr>
      <w:bookmarkStart w:id="202" w:name="_Toc14840"/>
      <w:bookmarkStart w:id="203" w:name="_Toc697"/>
      <w:bookmarkStart w:id="204" w:name="_Toc486"/>
      <w:r>
        <w:rPr>
          <w:rStyle w:val="82"/>
          <w:rFonts w:hint="eastAsia"/>
          <w:b/>
          <w:bCs w:val="0"/>
          <w:highlight w:val="none"/>
        </w:rPr>
        <w:t>一、最终报价一览表</w:t>
      </w:r>
      <w:bookmarkEnd w:id="202"/>
      <w:bookmarkEnd w:id="203"/>
      <w:bookmarkEnd w:id="204"/>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按你方磋商文件要求，我们，本响应文件签字方，谨此向你方发出要约如下：如你方接受本响应，我方承诺按照如下初始报价一览表的价格完成</w:t>
      </w:r>
      <w:r>
        <w:rPr>
          <w:rFonts w:hint="eastAsia"/>
          <w:highlight w:val="none"/>
          <w:u w:val="single"/>
        </w:rPr>
        <w:t xml:space="preserve">           </w:t>
      </w:r>
      <w:r>
        <w:rPr>
          <w:rFonts w:hint="eastAsia"/>
          <w:highlight w:val="none"/>
        </w:rPr>
        <w:t>（项目名称）</w:t>
      </w:r>
      <w:r>
        <w:rPr>
          <w:rFonts w:hint="eastAsia"/>
          <w:highlight w:val="none"/>
          <w:u w:val="single"/>
        </w:rPr>
        <w:t xml:space="preserve">           </w:t>
      </w:r>
      <w:r>
        <w:rPr>
          <w:rFonts w:hint="eastAsia"/>
          <w:highlight w:val="none"/>
        </w:rPr>
        <w:t>】的实施</w:t>
      </w:r>
      <w:r>
        <w:rPr>
          <w:rFonts w:hint="eastAsia"/>
          <w:highlight w:val="none"/>
          <w:lang w:val="zh-CN"/>
        </w:rPr>
        <w:t>。</w:t>
      </w:r>
    </w:p>
    <w:p>
      <w:pPr>
        <w:ind w:firstLine="426"/>
        <w:rPr>
          <w:highlight w:val="none"/>
          <w:lang w:val="zh-CN"/>
        </w:rPr>
      </w:pPr>
      <w:r>
        <w:rPr>
          <w:rFonts w:hint="eastAsia"/>
          <w:highlight w:val="none"/>
          <w:lang w:val="zh-CN"/>
        </w:rPr>
        <w:t>初始报价一览表(单位均为人民币元)</w:t>
      </w:r>
    </w:p>
    <w:tbl>
      <w:tblPr>
        <w:tblStyle w:val="6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176"/>
        <w:gridCol w:w="1299"/>
        <w:gridCol w:w="1749"/>
        <w:gridCol w:w="704"/>
        <w:gridCol w:w="77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序号</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施工范围</w:t>
            </w: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施工工期</w:t>
            </w: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项目负责人</w:t>
            </w: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执业证书信息</w:t>
            </w: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1</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2</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10" w:type="dxa"/>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最终报价（小写）</w:t>
            </w:r>
          </w:p>
        </w:tc>
        <w:tc>
          <w:tcPr>
            <w:tcW w:w="3807" w:type="dxa"/>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10" w:type="dxa"/>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最终报价（大写）</w:t>
            </w:r>
          </w:p>
        </w:tc>
        <w:tc>
          <w:tcPr>
            <w:tcW w:w="3807" w:type="dxa"/>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bl>
    <w:p>
      <w:pPr>
        <w:ind w:firstLine="426"/>
        <w:rPr>
          <w:highlight w:val="none"/>
          <w:lang w:val="zh-CN"/>
        </w:rPr>
      </w:pPr>
      <w:r>
        <w:rPr>
          <w:rFonts w:hint="eastAsia"/>
          <w:highlight w:val="none"/>
          <w:lang w:val="zh-CN"/>
        </w:rPr>
        <w:t>注：</w:t>
      </w:r>
    </w:p>
    <w:p>
      <w:pPr>
        <w:ind w:firstLine="426"/>
        <w:rPr>
          <w:highlight w:val="none"/>
          <w:lang w:val="zh-CN"/>
        </w:rPr>
      </w:pPr>
      <w:r>
        <w:rPr>
          <w:rFonts w:hint="eastAsia"/>
          <w:highlight w:val="none"/>
          <w:lang w:val="zh-CN"/>
        </w:rPr>
        <w:t>1、供应商需</w:t>
      </w:r>
      <w:r>
        <w:rPr>
          <w:rFonts w:hint="eastAsia"/>
          <w:b/>
          <w:bCs/>
          <w:highlight w:val="none"/>
          <w:lang w:val="zh-CN"/>
        </w:rPr>
        <w:t>按本表格式填写，否则视为响应文件含有采购人不能接受的附加条件，响应文件无效。</w:t>
      </w:r>
    </w:p>
    <w:p>
      <w:pPr>
        <w:ind w:firstLine="426"/>
        <w:rPr>
          <w:highlight w:val="none"/>
          <w:lang w:val="zh-CN"/>
        </w:rPr>
      </w:pPr>
      <w:r>
        <w:rPr>
          <w:rFonts w:hint="eastAsia"/>
          <w:highlight w:val="none"/>
          <w:lang w:val="zh-CN"/>
        </w:rPr>
        <w:t>2、有关本项目实施所涉及的一切费用均计入报价。</w:t>
      </w:r>
      <w:r>
        <w:rPr>
          <w:rFonts w:hint="eastAsia"/>
          <w:b/>
          <w:bCs/>
          <w:highlight w:val="none"/>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w:t>
      </w:r>
      <w:r>
        <w:rPr>
          <w:rFonts w:hint="eastAsia"/>
          <w:b/>
          <w:bCs/>
          <w:highlight w:val="none"/>
        </w:rPr>
        <w:t>最终报价一览表</w:t>
      </w:r>
      <w:r>
        <w:rPr>
          <w:rFonts w:hint="eastAsia"/>
          <w:b/>
          <w:bCs/>
          <w:highlight w:val="none"/>
          <w:lang w:val="zh-CN"/>
        </w:rPr>
        <w:t>》名称栏中，供应商不能作出合理解释的，视为响应文件含有采购人不能接受的附加条件的，响应文件无效。</w:t>
      </w:r>
    </w:p>
    <w:p>
      <w:pPr>
        <w:ind w:firstLine="426"/>
        <w:rPr>
          <w:highlight w:val="none"/>
          <w:lang w:val="zh-CN"/>
        </w:rPr>
      </w:pPr>
      <w:r>
        <w:rPr>
          <w:rFonts w:hint="eastAsia"/>
          <w:highlight w:val="none"/>
          <w:lang w:val="zh-CN"/>
        </w:rPr>
        <w:t>3、特别提示：采购代理机构将对项目名称和项目编号，成交供应商名称、地址和成交金额、施工范围、施工工期、项目经理、执业证书信息、品牌（如果有）、规格型号、数量、单价等予以公示。</w:t>
      </w:r>
    </w:p>
    <w:p>
      <w:pPr>
        <w:ind w:firstLine="426"/>
        <w:rPr>
          <w:highlight w:val="none"/>
          <w:lang w:val="zh-CN"/>
        </w:rPr>
      </w:pPr>
      <w:r>
        <w:rPr>
          <w:rFonts w:hint="eastAsia"/>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426"/>
        <w:rPr>
          <w:highlight w:val="none"/>
        </w:rPr>
      </w:pPr>
      <w:r>
        <w:rPr>
          <w:rFonts w:hint="eastAsia"/>
          <w:highlight w:val="none"/>
          <w:lang w:val="zh-CN"/>
        </w:rPr>
        <w:t>日期：</w:t>
      </w:r>
      <w:r>
        <w:rPr>
          <w:rFonts w:hint="eastAsia"/>
          <w:highlight w:val="none"/>
        </w:rPr>
        <w:t xml:space="preserve">    </w:t>
      </w:r>
      <w:r>
        <w:rPr>
          <w:rFonts w:hint="eastAsia"/>
          <w:highlight w:val="none"/>
          <w:lang w:val="zh-CN"/>
        </w:rPr>
        <w:t>年   月   日</w:t>
      </w:r>
    </w:p>
    <w:p>
      <w:pPr>
        <w:pStyle w:val="5"/>
        <w:rPr>
          <w:highlight w:val="none"/>
        </w:rPr>
      </w:pPr>
      <w:r>
        <w:rPr>
          <w:rFonts w:hAnsi="宋体"/>
          <w:bCs w:val="0"/>
          <w:color w:val="000000"/>
          <w:highlight w:val="none"/>
        </w:rPr>
        <w:br w:type="page"/>
      </w:r>
      <w:bookmarkStart w:id="205" w:name="_Toc3545"/>
      <w:bookmarkStart w:id="206" w:name="_Toc2381"/>
      <w:bookmarkStart w:id="207" w:name="_Toc19211"/>
      <w:r>
        <w:rPr>
          <w:rFonts w:hint="eastAsia"/>
          <w:highlight w:val="none"/>
        </w:rPr>
        <w:t>二、最终已标价工程量清单或承诺书</w:t>
      </w:r>
      <w:bookmarkEnd w:id="205"/>
      <w:bookmarkEnd w:id="206"/>
      <w:bookmarkEnd w:id="207"/>
    </w:p>
    <w:p>
      <w:pPr>
        <w:pStyle w:val="27"/>
        <w:ind w:firstLine="426"/>
        <w:rPr>
          <w:highlight w:val="none"/>
        </w:rPr>
      </w:pPr>
    </w:p>
    <w:p>
      <w:pPr>
        <w:pStyle w:val="112"/>
        <w:rPr>
          <w:rFonts w:ascii="仿宋" w:hAnsi="仿宋"/>
          <w:color w:val="auto"/>
          <w:sz w:val="21"/>
          <w:highlight w:val="none"/>
        </w:rPr>
      </w:pPr>
      <w:r>
        <w:rPr>
          <w:rFonts w:hint="eastAsia" w:ascii="仿宋" w:hAnsi="仿宋"/>
          <w:color w:val="auto"/>
          <w:sz w:val="21"/>
          <w:highlight w:val="none"/>
        </w:rPr>
        <w:t>注：按工程量清单编制（附件）</w:t>
      </w:r>
    </w:p>
    <w:p>
      <w:pPr>
        <w:ind w:firstLine="426"/>
        <w:rPr>
          <w:highlight w:val="none"/>
        </w:rPr>
      </w:pPr>
    </w:p>
    <w:p>
      <w:pPr>
        <w:pStyle w:val="112"/>
        <w:rPr>
          <w:highlight w:val="none"/>
        </w:rPr>
      </w:pPr>
    </w:p>
    <w:p>
      <w:pPr>
        <w:pStyle w:val="112"/>
        <w:rPr>
          <w:highlight w:val="none"/>
        </w:rPr>
      </w:pPr>
    </w:p>
    <w:p>
      <w:pPr>
        <w:pStyle w:val="112"/>
        <w:jc w:val="center"/>
        <w:rPr>
          <w:rFonts w:ascii="仿宋" w:hAnsi="仿宋"/>
          <w:b/>
          <w:color w:val="auto"/>
          <w:sz w:val="21"/>
          <w:highlight w:val="none"/>
        </w:rPr>
      </w:pPr>
      <w:r>
        <w:rPr>
          <w:rFonts w:hint="eastAsia" w:ascii="仿宋" w:hAnsi="仿宋"/>
          <w:b/>
          <w:color w:val="auto"/>
          <w:sz w:val="21"/>
          <w:highlight w:val="none"/>
        </w:rPr>
        <w:t>承诺书</w:t>
      </w:r>
    </w:p>
    <w:p>
      <w:pPr>
        <w:ind w:firstLine="0" w:firstLineChars="0"/>
        <w:rPr>
          <w:highlight w:val="none"/>
          <w:u w:val="single"/>
          <w:lang w:val="zh-CN"/>
        </w:rPr>
      </w:pPr>
      <w:r>
        <w:rPr>
          <w:rFonts w:hint="eastAsia"/>
          <w:highlight w:val="none"/>
          <w:u w:val="single"/>
        </w:rPr>
        <w:t>杭州科技职业技术学院</w:t>
      </w:r>
      <w:r>
        <w:rPr>
          <w:rFonts w:hint="eastAsia"/>
          <w:highlight w:val="none"/>
          <w:u w:val="single"/>
          <w:lang w:val="zh-CN"/>
        </w:rPr>
        <w:t>：</w:t>
      </w:r>
    </w:p>
    <w:p>
      <w:pPr>
        <w:ind w:firstLine="0" w:firstLineChars="0"/>
        <w:rPr>
          <w:highlight w:val="none"/>
          <w:u w:val="single"/>
        </w:rPr>
      </w:pPr>
      <w:r>
        <w:rPr>
          <w:rFonts w:hint="eastAsia"/>
          <w:highlight w:val="none"/>
          <w:u w:val="single"/>
        </w:rPr>
        <w:t>德邻联合工程有限公司</w:t>
      </w:r>
      <w:r>
        <w:rPr>
          <w:rFonts w:hint="eastAsia"/>
          <w:highlight w:val="none"/>
          <w:u w:val="single"/>
          <w:lang w:val="zh-CN"/>
        </w:rPr>
        <w:t>：</w:t>
      </w:r>
    </w:p>
    <w:p>
      <w:pPr>
        <w:pStyle w:val="112"/>
        <w:ind w:firstLine="424" w:firstLineChars="200"/>
        <w:rPr>
          <w:rFonts w:ascii="仿宋" w:hAnsi="仿宋"/>
          <w:color w:val="auto"/>
          <w:sz w:val="21"/>
          <w:highlight w:val="none"/>
        </w:rPr>
      </w:pPr>
    </w:p>
    <w:p>
      <w:pPr>
        <w:pStyle w:val="112"/>
        <w:ind w:firstLine="424" w:firstLineChars="200"/>
        <w:rPr>
          <w:rFonts w:ascii="仿宋" w:hAnsi="仿宋"/>
          <w:color w:val="auto"/>
          <w:sz w:val="21"/>
          <w:highlight w:val="none"/>
        </w:rPr>
      </w:pPr>
      <w:r>
        <w:rPr>
          <w:rFonts w:hint="eastAsia" w:ascii="仿宋" w:hAnsi="仿宋"/>
          <w:color w:val="auto"/>
          <w:sz w:val="21"/>
          <w:highlight w:val="none"/>
        </w:rPr>
        <w:t>我司承诺最终报价的各项目费用，同比例下浮。</w:t>
      </w:r>
    </w:p>
    <w:p>
      <w:pPr>
        <w:pStyle w:val="112"/>
        <w:rPr>
          <w:rFonts w:ascii="仿宋" w:hAnsi="仿宋"/>
          <w:color w:val="auto"/>
          <w:sz w:val="21"/>
          <w:highlight w:val="none"/>
        </w:rPr>
      </w:pPr>
    </w:p>
    <w:p>
      <w:pPr>
        <w:pStyle w:val="112"/>
        <w:rPr>
          <w:rFonts w:ascii="仿宋" w:hAnsi="仿宋"/>
          <w:color w:val="auto"/>
          <w:sz w:val="21"/>
          <w:highlight w:val="none"/>
        </w:rPr>
      </w:pPr>
      <w:r>
        <w:rPr>
          <w:rFonts w:hint="eastAsia" w:ascii="仿宋" w:hAnsi="仿宋"/>
          <w:color w:val="auto"/>
          <w:sz w:val="21"/>
          <w:highlight w:val="none"/>
        </w:rPr>
        <w:t>特此承诺！</w:t>
      </w:r>
    </w:p>
    <w:p>
      <w:pPr>
        <w:pStyle w:val="112"/>
        <w:rPr>
          <w:highlight w:val="none"/>
        </w:rPr>
      </w:pPr>
    </w:p>
    <w:p>
      <w:pPr>
        <w:ind w:right="960" w:firstLine="1250" w:firstLineChars="590"/>
        <w:rPr>
          <w:rFonts w:hAnsi="宋体"/>
          <w:highlight w:val="none"/>
        </w:rPr>
      </w:pPr>
    </w:p>
    <w:p>
      <w:pPr>
        <w:ind w:right="960" w:firstLine="1250" w:firstLineChars="590"/>
        <w:rPr>
          <w:rFonts w:hAnsi="宋体"/>
          <w:highlight w:val="none"/>
        </w:rPr>
      </w:pPr>
    </w:p>
    <w:p>
      <w:pPr>
        <w:ind w:right="960" w:firstLine="1250" w:firstLineChars="590"/>
        <w:rPr>
          <w:rFonts w:hAnsi="宋体"/>
          <w:highlight w:val="none"/>
        </w:rPr>
      </w:pPr>
      <w:r>
        <w:rPr>
          <w:rFonts w:hint="eastAsia" w:hAnsi="宋体"/>
          <w:highlight w:val="none"/>
        </w:rPr>
        <w:t>供 应 商：</w:t>
      </w:r>
      <w:r>
        <w:rPr>
          <w:rFonts w:hint="eastAsia" w:hAnsi="宋体"/>
          <w:highlight w:val="none"/>
          <w:u w:val="single"/>
        </w:rPr>
        <w:t xml:space="preserve">                               </w:t>
      </w:r>
      <w:r>
        <w:rPr>
          <w:rFonts w:hint="eastAsia" w:hAnsi="宋体"/>
          <w:highlight w:val="none"/>
        </w:rPr>
        <w:t>（盖章）</w:t>
      </w:r>
    </w:p>
    <w:p>
      <w:pPr>
        <w:ind w:right="960" w:firstLine="1250" w:firstLineChars="590"/>
        <w:rPr>
          <w:rFonts w:hAnsi="宋体"/>
          <w:highlight w:val="none"/>
        </w:rPr>
      </w:pPr>
      <w:r>
        <w:rPr>
          <w:rFonts w:hint="eastAsia" w:hAnsi="宋体"/>
          <w:highlight w:val="none"/>
        </w:rPr>
        <w:t>法定代表人：</w:t>
      </w:r>
      <w:r>
        <w:rPr>
          <w:rFonts w:hint="eastAsia" w:hAnsi="宋体"/>
          <w:highlight w:val="none"/>
          <w:u w:val="single"/>
        </w:rPr>
        <w:t xml:space="preserve">                      </w:t>
      </w:r>
      <w:r>
        <w:rPr>
          <w:rFonts w:hAnsi="宋体"/>
          <w:highlight w:val="none"/>
          <w:u w:val="single"/>
        </w:rPr>
        <w:t xml:space="preserve"> </w:t>
      </w:r>
      <w:r>
        <w:rPr>
          <w:rFonts w:hint="eastAsia" w:hAnsi="宋体"/>
          <w:highlight w:val="none"/>
        </w:rPr>
        <w:t>（盖章或签字）</w:t>
      </w:r>
    </w:p>
    <w:p>
      <w:pPr>
        <w:ind w:right="960" w:firstLine="1250" w:firstLineChars="590"/>
        <w:rPr>
          <w:rFonts w:hAnsi="宋体"/>
          <w:highlight w:val="none"/>
        </w:rPr>
      </w:pPr>
      <w:r>
        <w:rPr>
          <w:rFonts w:hint="eastAsia" w:hAnsi="宋体"/>
          <w:highlight w:val="none"/>
        </w:rPr>
        <w:t xml:space="preserve">日 </w:t>
      </w:r>
      <w:r>
        <w:rPr>
          <w:rFonts w:hAnsi="宋体"/>
          <w:highlight w:val="none"/>
        </w:rPr>
        <w:t xml:space="preserve">  </w:t>
      </w:r>
      <w:r>
        <w:rPr>
          <w:rFonts w:hint="eastAsia" w:hAnsi="宋体"/>
          <w:highlight w:val="none"/>
        </w:rPr>
        <w:t>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pStyle w:val="2"/>
        <w:ind w:firstLine="488"/>
        <w:rPr>
          <w:highlight w:val="none"/>
        </w:rPr>
      </w:pPr>
    </w:p>
    <w:sectPr>
      <w:headerReference r:id="rId13" w:type="default"/>
      <w:footerReference r:id="rId14" w:type="default"/>
      <w:pgSz w:w="11906" w:h="16838"/>
      <w:pgMar w:top="1440" w:right="1800" w:bottom="1440" w:left="1800" w:header="426" w:footer="680" w:gutter="0"/>
      <w:pgNumType w:fmt="numberInDash" w:start="1"/>
      <w:cols w:space="720" w:num="1"/>
      <w:docGrid w:type="linesAndChars" w:linePitch="323"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À¥ÂØ·ÂËÎ">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r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_GB2312">
    <w:altName w:val="仿宋"/>
    <w:panose1 w:val="00000000000000000000"/>
    <w:charset w:val="86"/>
    <w:family w:val="auto"/>
    <w:pitch w:val="default"/>
    <w:sig w:usb0="00000000" w:usb1="00000000" w:usb2="00000012"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page" w:x="5814" w:y="1"/>
      <w:ind w:firstLine="480"/>
      <w:rPr>
        <w:rStyle w:val="72"/>
        <w:sz w:val="24"/>
        <w:szCs w:val="24"/>
      </w:rPr>
    </w:pPr>
  </w:p>
  <w:p>
    <w:pPr>
      <w:pStyle w:val="4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93zNYBAACz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BOWnDlhaeKXH98vP39ffn1j&#10;y9SfPkBFaXeBEnF47QfKnf1AziR7aKNNfxLEKE7dPV+7qwZkMl1ar9brkkKSYvOB8Iv76yECvlXe&#10;smTUPNL4clfF6T3gmDqnpGrO32pj8giN+8tBmMlTJO4jx2ThsB8mQXvfnEkPvQOq0/n4lbOetqDm&#10;jpaeM/POUZPTwsxGnI39bAgn6WLNkbPRfIN5sRIRCK+OSOwy6VR6rDcxollm2dPepWV5eM5Z92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j93zNYBAACzAwAADgAAAAAAAAABACAAAAAe&#10;AQAAZHJzL2Uyb0RvYy54bWxQSwUGAAAAAAYABgBZAQAAZgUAAAAA&#10;">
              <v:fill on="f" focussize="0,0"/>
              <v:stroke on="f"/>
              <v:imagedata o:title=""/>
              <o:lock v:ext="edit" aspectratio="f"/>
              <v:textbox inset="0mm,0mm,0mm,0mm" style="mso-fit-shape-to-text:t;">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DNcEBAACO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zkWtAeHNMWLj0k1EnqLkYjqkwmlcq78Hje8l6+I2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yJDNcEBAACOAwAADgAAAAAAAAABACAAAAAeAQAAZHJzL2Uyb0RvYy54bWxQSwUG&#10;AAAAAAYABgBZAQAAUQUAAAAA&#10;">
              <v:fill on="f" focussize="0,0"/>
              <v:stroke on="f"/>
              <v:imagedata o:title=""/>
              <o:lock v:ext="edit" aspectratio="f"/>
              <v:textbox inset="0mm,0mm,0mm,0mm" style="mso-fit-shape-to-text:t;">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12" w:space="1"/>
      </w:pBdr>
      <w:adjustRightInd w:val="0"/>
      <w:spacing w:line="240" w:lineRule="auto"/>
      <w:ind w:firstLine="422"/>
      <w:jc w:val="right"/>
      <w:rPr>
        <w:rFonts w:cs="仿宋"/>
        <w:b/>
        <w:color w:val="000000"/>
        <w:sz w:val="21"/>
        <w:szCs w:val="21"/>
      </w:rPr>
    </w:pPr>
  </w:p>
  <w:p>
    <w:pPr>
      <w:pStyle w:val="45"/>
      <w:pBdr>
        <w:bottom w:val="single" w:color="auto" w:sz="12" w:space="1"/>
      </w:pBdr>
      <w:adjustRightInd w:val="0"/>
      <w:spacing w:line="240" w:lineRule="auto"/>
      <w:ind w:firstLine="422"/>
      <w:jc w:val="right"/>
      <w:rPr>
        <w:rFonts w:cs="仿宋"/>
        <w:b/>
        <w:color w:val="000000"/>
        <w:sz w:val="21"/>
        <w:szCs w:val="21"/>
      </w:rPr>
    </w:pPr>
  </w:p>
  <w:p>
    <w:pPr>
      <w:pStyle w:val="45"/>
      <w:pBdr>
        <w:bottom w:val="single" w:color="auto" w:sz="12" w:space="1"/>
      </w:pBdr>
      <w:adjustRightInd w:val="0"/>
      <w:spacing w:line="240" w:lineRule="auto"/>
      <w:ind w:firstLine="0" w:firstLineChars="0"/>
      <w:jc w:val="right"/>
      <w:rPr>
        <w:sz w:val="24"/>
        <w:szCs w:val="24"/>
      </w:rPr>
    </w:pPr>
    <w:r>
      <w:rPr>
        <w:rFonts w:hint="eastAsia" w:cs="仿宋"/>
        <w:b/>
        <w:color w:val="000000"/>
        <w:sz w:val="21"/>
        <w:szCs w:val="21"/>
      </w:rPr>
      <w:t>杭州科技职业学院翠苑校区教学及辅助设施修缮工程-竞争性磋商文件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12" w:space="1"/>
      </w:pBdr>
      <w:spacing w:line="240" w:lineRule="auto"/>
      <w:ind w:firstLine="422"/>
      <w:jc w:val="right"/>
      <w:rPr>
        <w:rFonts w:cs="仿宋"/>
        <w:b/>
        <w:color w:val="000000"/>
        <w:sz w:val="21"/>
        <w:szCs w:val="21"/>
      </w:rPr>
    </w:pPr>
  </w:p>
  <w:p>
    <w:pPr>
      <w:pStyle w:val="45"/>
      <w:pBdr>
        <w:bottom w:val="single" w:color="auto" w:sz="12" w:space="1"/>
      </w:pBdr>
      <w:spacing w:line="240" w:lineRule="auto"/>
      <w:ind w:firstLine="422"/>
      <w:jc w:val="right"/>
      <w:rPr>
        <w:rFonts w:cs="仿宋"/>
        <w:b/>
        <w:color w:val="000000"/>
        <w:sz w:val="21"/>
        <w:szCs w:val="21"/>
      </w:rPr>
    </w:pPr>
  </w:p>
  <w:p>
    <w:pPr>
      <w:pStyle w:val="45"/>
      <w:pBdr>
        <w:bottom w:val="single" w:color="auto" w:sz="12" w:space="1"/>
      </w:pBdr>
      <w:spacing w:line="240" w:lineRule="auto"/>
      <w:ind w:firstLine="422"/>
      <w:jc w:val="right"/>
      <w:rPr>
        <w:sz w:val="24"/>
        <w:szCs w:val="24"/>
      </w:rPr>
    </w:pPr>
    <w:r>
      <w:rPr>
        <w:rFonts w:hint="eastAsia" w:cs="仿宋"/>
        <w:b/>
        <w:color w:val="000000"/>
        <w:sz w:val="21"/>
        <w:szCs w:val="21"/>
      </w:rPr>
      <w:t>杭州科技职业学院翠苑校区教学及辅助设施修缮工程-竞争性磋商文件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39"/>
      <w:lvlText w:val="%1."/>
      <w:lvlJc w:val="left"/>
      <w:pPr>
        <w:tabs>
          <w:tab w:val="left" w:pos="1620"/>
        </w:tabs>
        <w:ind w:left="1620" w:hanging="360"/>
      </w:pPr>
      <w:rPr>
        <w:rFonts w:cs="Times New Roman"/>
      </w:rPr>
    </w:lvl>
  </w:abstractNum>
  <w:abstractNum w:abstractNumId="1">
    <w:nsid w:val="FFFFFF83"/>
    <w:multiLevelType w:val="singleLevel"/>
    <w:tmpl w:val="FFFFFF83"/>
    <w:lvl w:ilvl="0" w:tentative="0">
      <w:start w:val="1"/>
      <w:numFmt w:val="bullet"/>
      <w:pStyle w:val="35"/>
      <w:lvlText w:val=""/>
      <w:lvlJc w:val="left"/>
      <w:pPr>
        <w:tabs>
          <w:tab w:val="left" w:pos="780"/>
        </w:tabs>
        <w:ind w:left="780" w:hanging="360"/>
      </w:pPr>
      <w:rPr>
        <w:rFonts w:hint="default" w:ascii="Wingdings" w:hAnsi="Wingdings"/>
      </w:rPr>
    </w:lvl>
  </w:abstractNum>
  <w:abstractNum w:abstractNumId="2">
    <w:nsid w:val="00000004"/>
    <w:multiLevelType w:val="multilevel"/>
    <w:tmpl w:val="00000004"/>
    <w:lvl w:ilvl="0" w:tentative="0">
      <w:start w:val="1"/>
      <w:numFmt w:val="decimal"/>
      <w:lvlText w:val="（%1）"/>
      <w:lvlJc w:val="left"/>
      <w:pPr>
        <w:tabs>
          <w:tab w:val="left" w:pos="7152"/>
        </w:tabs>
        <w:ind w:left="7152" w:hanging="720"/>
      </w:pPr>
      <w:rPr>
        <w:rFonts w:hint="default"/>
      </w:rPr>
    </w:lvl>
    <w:lvl w:ilvl="1" w:tentative="0">
      <w:start w:val="1"/>
      <w:numFmt w:val="lowerLetter"/>
      <w:pStyle w:val="422"/>
      <w:lvlText w:val="%2)"/>
      <w:lvlJc w:val="left"/>
      <w:pPr>
        <w:tabs>
          <w:tab w:val="left" w:pos="7272"/>
        </w:tabs>
        <w:ind w:left="7272" w:hanging="420"/>
      </w:pPr>
    </w:lvl>
    <w:lvl w:ilvl="2" w:tentative="0">
      <w:start w:val="1"/>
      <w:numFmt w:val="lowerRoman"/>
      <w:lvlText w:val="%3."/>
      <w:lvlJc w:val="right"/>
      <w:pPr>
        <w:tabs>
          <w:tab w:val="left" w:pos="7692"/>
        </w:tabs>
        <w:ind w:left="7692" w:hanging="420"/>
      </w:pPr>
    </w:lvl>
    <w:lvl w:ilvl="3" w:tentative="0">
      <w:start w:val="1"/>
      <w:numFmt w:val="decimal"/>
      <w:lvlText w:val="%4."/>
      <w:lvlJc w:val="left"/>
      <w:pPr>
        <w:tabs>
          <w:tab w:val="left" w:pos="8112"/>
        </w:tabs>
        <w:ind w:left="8112" w:hanging="420"/>
      </w:pPr>
    </w:lvl>
    <w:lvl w:ilvl="4" w:tentative="0">
      <w:start w:val="1"/>
      <w:numFmt w:val="lowerLetter"/>
      <w:lvlText w:val="%5)"/>
      <w:lvlJc w:val="left"/>
      <w:pPr>
        <w:tabs>
          <w:tab w:val="left" w:pos="8532"/>
        </w:tabs>
        <w:ind w:left="8532" w:hanging="420"/>
      </w:pPr>
    </w:lvl>
    <w:lvl w:ilvl="5" w:tentative="0">
      <w:start w:val="1"/>
      <w:numFmt w:val="lowerRoman"/>
      <w:lvlText w:val="%6."/>
      <w:lvlJc w:val="right"/>
      <w:pPr>
        <w:tabs>
          <w:tab w:val="left" w:pos="8952"/>
        </w:tabs>
        <w:ind w:left="8952" w:hanging="420"/>
      </w:pPr>
    </w:lvl>
    <w:lvl w:ilvl="6" w:tentative="0">
      <w:start w:val="1"/>
      <w:numFmt w:val="decimal"/>
      <w:lvlText w:val="%7."/>
      <w:lvlJc w:val="left"/>
      <w:pPr>
        <w:tabs>
          <w:tab w:val="left" w:pos="9372"/>
        </w:tabs>
        <w:ind w:left="9372" w:hanging="420"/>
      </w:pPr>
    </w:lvl>
    <w:lvl w:ilvl="7" w:tentative="0">
      <w:start w:val="1"/>
      <w:numFmt w:val="lowerLetter"/>
      <w:lvlText w:val="%8)"/>
      <w:lvlJc w:val="left"/>
      <w:pPr>
        <w:tabs>
          <w:tab w:val="left" w:pos="9792"/>
        </w:tabs>
        <w:ind w:left="9792" w:hanging="420"/>
      </w:pPr>
    </w:lvl>
    <w:lvl w:ilvl="8" w:tentative="0">
      <w:start w:val="1"/>
      <w:numFmt w:val="lowerRoman"/>
      <w:lvlText w:val="%9."/>
      <w:lvlJc w:val="right"/>
      <w:pPr>
        <w:tabs>
          <w:tab w:val="left" w:pos="10212"/>
        </w:tabs>
        <w:ind w:left="10212" w:hanging="420"/>
      </w:pPr>
    </w:lvl>
  </w:abstractNum>
  <w:abstractNum w:abstractNumId="3">
    <w:nsid w:val="00000005"/>
    <w:multiLevelType w:val="multilevel"/>
    <w:tmpl w:val="00000005"/>
    <w:lvl w:ilvl="0" w:tentative="0">
      <w:start w:val="1"/>
      <w:numFmt w:val="japaneseCounting"/>
      <w:pStyle w:val="481"/>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japaneseCounting"/>
      <w:pStyle w:val="239"/>
      <w:lvlText w:val="%1、"/>
      <w:lvlJc w:val="left"/>
      <w:pPr>
        <w:tabs>
          <w:tab w:val="left" w:pos="836"/>
        </w:tabs>
        <w:ind w:left="836" w:hanging="420"/>
      </w:pPr>
      <w:rPr>
        <w:rFonts w:hint="default"/>
      </w:rPr>
    </w:lvl>
    <w:lvl w:ilvl="1" w:tentative="0">
      <w:start w:val="1"/>
      <w:numFmt w:val="lowerLetter"/>
      <w:lvlText w:val="%2)"/>
      <w:lvlJc w:val="left"/>
      <w:pPr>
        <w:tabs>
          <w:tab w:val="left" w:pos="1256"/>
        </w:tabs>
        <w:ind w:left="1256" w:hanging="420"/>
      </w:p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abstractNum w:abstractNumId="5">
    <w:nsid w:val="00000011"/>
    <w:multiLevelType w:val="multilevel"/>
    <w:tmpl w:val="00000011"/>
    <w:lvl w:ilvl="0" w:tentative="0">
      <w:start w:val="8"/>
      <w:numFmt w:val="decimal"/>
      <w:pStyle w:val="511"/>
      <w:lvlText w:val=""/>
      <w:lvlJc w:val="left"/>
      <w:pPr>
        <w:tabs>
          <w:tab w:val="left" w:pos="360"/>
        </w:tabs>
        <w:ind w:left="360" w:hanging="360"/>
      </w:pPr>
      <w:rPr>
        <w:rFonts w:hint="default" w:ascii="Times New Roman" w:hAnsi="Times New Roman"/>
      </w:r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3"/>
    <w:multiLevelType w:val="multilevel"/>
    <w:tmpl w:val="00000013"/>
    <w:lvl w:ilvl="0" w:tentative="0">
      <w:start w:val="1"/>
      <w:numFmt w:val="bullet"/>
      <w:lvlText w:val="1"/>
      <w:lvlJc w:val="left"/>
      <w:pPr>
        <w:tabs>
          <w:tab w:val="left" w:pos="1197"/>
        </w:tabs>
        <w:ind w:left="1254" w:hanging="204"/>
      </w:pPr>
      <w:rPr>
        <w:rFonts w:hint="eastAsia" w:ascii="宋体" w:hAnsi="宋体" w:eastAsia="宋体"/>
        <w:sz w:val="24"/>
        <w:szCs w:val="24"/>
      </w:rPr>
    </w:lvl>
    <w:lvl w:ilvl="1" w:tentative="0">
      <w:start w:val="1"/>
      <w:numFmt w:val="bullet"/>
      <w:pStyle w:val="415"/>
      <w:lvlText w:val=""/>
      <w:lvlJc w:val="left"/>
      <w:pPr>
        <w:tabs>
          <w:tab w:val="left" w:pos="1470"/>
        </w:tabs>
        <w:ind w:left="1470" w:hanging="420"/>
      </w:pPr>
      <w:rPr>
        <w:rFonts w:hint="default" w:ascii="Wingdings" w:hAnsi="Wingdings"/>
        <w:sz w:val="24"/>
        <w:szCs w:val="24"/>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7">
    <w:nsid w:val="00000016"/>
    <w:multiLevelType w:val="multilevel"/>
    <w:tmpl w:val="00000016"/>
    <w:lvl w:ilvl="0" w:tentative="0">
      <w:start w:val="1"/>
      <w:numFmt w:val="decimalEnclosedCircle"/>
      <w:pStyle w:val="313"/>
      <w:lvlText w:val="%1"/>
      <w:lvlJc w:val="left"/>
      <w:pPr>
        <w:tabs>
          <w:tab w:val="left" w:pos="714"/>
        </w:tabs>
        <w:ind w:left="714" w:hanging="360"/>
      </w:pPr>
      <w:rPr>
        <w:rFonts w:hint="default"/>
      </w:rPr>
    </w:lvl>
    <w:lvl w:ilvl="1" w:tentative="0">
      <w:start w:val="1"/>
      <w:numFmt w:val="lowerLetter"/>
      <w:pStyle w:val="195"/>
      <w:lvlText w:val="%2)"/>
      <w:lvlJc w:val="left"/>
      <w:pPr>
        <w:tabs>
          <w:tab w:val="left" w:pos="1194"/>
        </w:tabs>
        <w:ind w:left="1194" w:hanging="420"/>
      </w:pPr>
    </w:lvl>
    <w:lvl w:ilvl="2" w:tentative="0">
      <w:start w:val="1"/>
      <w:numFmt w:val="lowerRoman"/>
      <w:pStyle w:val="234"/>
      <w:lvlText w:val="%3."/>
      <w:lvlJc w:val="right"/>
      <w:pPr>
        <w:tabs>
          <w:tab w:val="left" w:pos="1614"/>
        </w:tabs>
        <w:ind w:left="1614" w:hanging="420"/>
      </w:pPr>
    </w:lvl>
    <w:lvl w:ilvl="3" w:tentative="0">
      <w:start w:val="1"/>
      <w:numFmt w:val="decimal"/>
      <w:pStyle w:val="403"/>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8">
    <w:nsid w:val="0000001A"/>
    <w:multiLevelType w:val="multilevel"/>
    <w:tmpl w:val="0000001A"/>
    <w:lvl w:ilvl="0" w:tentative="0">
      <w:start w:val="1"/>
      <w:numFmt w:val="decimal"/>
      <w:pStyle w:val="331"/>
      <w:lvlText w:val="%1)"/>
      <w:lvlJc w:val="left"/>
      <w:pPr>
        <w:tabs>
          <w:tab w:val="left" w:pos="420"/>
        </w:tabs>
        <w:ind w:left="420" w:hanging="420"/>
      </w:pPr>
    </w:lvl>
    <w:lvl w:ilvl="1" w:tentative="0">
      <w:start w:val="1"/>
      <w:numFmt w:val="lowerLetter"/>
      <w:pStyle w:val="483"/>
      <w:lvlText w:val="%2)"/>
      <w:lvlJc w:val="left"/>
      <w:pPr>
        <w:tabs>
          <w:tab w:val="left" w:pos="840"/>
        </w:tabs>
        <w:ind w:left="840" w:hanging="420"/>
      </w:pPr>
    </w:lvl>
    <w:lvl w:ilvl="2" w:tentative="0">
      <w:start w:val="1"/>
      <w:numFmt w:val="lowerRoman"/>
      <w:pStyle w:val="490"/>
      <w:lvlText w:val="%3."/>
      <w:lvlJc w:val="right"/>
      <w:pPr>
        <w:tabs>
          <w:tab w:val="left" w:pos="1260"/>
        </w:tabs>
        <w:ind w:left="1260" w:hanging="420"/>
      </w:pPr>
    </w:lvl>
    <w:lvl w:ilvl="3" w:tentative="0">
      <w:start w:val="1"/>
      <w:numFmt w:val="decimal"/>
      <w:pStyle w:val="26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D"/>
    <w:multiLevelType w:val="multilevel"/>
    <w:tmpl w:val="0000001D"/>
    <w:lvl w:ilvl="0" w:tentative="0">
      <w:start w:val="1"/>
      <w:numFmt w:val="decimal"/>
      <w:pStyle w:val="38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0000001E"/>
    <w:multiLevelType w:val="singleLevel"/>
    <w:tmpl w:val="0000001E"/>
    <w:lvl w:ilvl="0" w:tentative="0">
      <w:start w:val="1"/>
      <w:numFmt w:val="decimalEnclosedCircle"/>
      <w:lvlText w:val="%1"/>
      <w:lvlJc w:val="left"/>
      <w:pPr>
        <w:tabs>
          <w:tab w:val="left" w:pos="675"/>
        </w:tabs>
        <w:ind w:left="675" w:hanging="240"/>
      </w:pPr>
      <w:rPr>
        <w:rFonts w:hint="eastAsia"/>
      </w:rPr>
    </w:lvl>
  </w:abstractNum>
  <w:abstractNum w:abstractNumId="11">
    <w:nsid w:val="00000027"/>
    <w:multiLevelType w:val="multilevel"/>
    <w:tmpl w:val="00000027"/>
    <w:lvl w:ilvl="0" w:tentative="0">
      <w:start w:val="1"/>
      <w:numFmt w:val="bullet"/>
      <w:lvlText w:val=""/>
      <w:lvlJc w:val="left"/>
      <w:pPr>
        <w:tabs>
          <w:tab w:val="left" w:pos="1403"/>
        </w:tabs>
        <w:ind w:left="1403" w:hanging="420"/>
      </w:pPr>
      <w:rPr>
        <w:rFonts w:hint="default" w:ascii="Wingdings" w:hAnsi="Wingdings"/>
        <w:kern w:val="2"/>
        <w:sz w:val="28"/>
      </w:rPr>
    </w:lvl>
    <w:lvl w:ilvl="1" w:tentative="0">
      <w:start w:val="1"/>
      <w:numFmt w:val="bullet"/>
      <w:lvlText w:val=""/>
      <w:lvlJc w:val="left"/>
      <w:pPr>
        <w:tabs>
          <w:tab w:val="left" w:pos="840"/>
        </w:tabs>
        <w:ind w:left="840" w:hanging="420"/>
      </w:pPr>
      <w:rPr>
        <w:rFonts w:hint="default" w:ascii="Wingdings" w:hAnsi="Wingdings"/>
        <w:b w:val="0"/>
        <w:i w:val="0"/>
        <w:kern w:val="2"/>
        <w:sz w:val="24"/>
        <w:szCs w:val="24"/>
      </w:rPr>
    </w:lvl>
    <w:lvl w:ilvl="2" w:tentative="0">
      <w:start w:val="1"/>
      <w:numFmt w:val="bullet"/>
      <w:pStyle w:val="260"/>
      <w:lvlText w:val=""/>
      <w:lvlJc w:val="left"/>
      <w:pPr>
        <w:tabs>
          <w:tab w:val="left" w:pos="1500"/>
        </w:tabs>
        <w:ind w:left="1500" w:hanging="420"/>
      </w:pPr>
      <w:rPr>
        <w:rFonts w:hint="default" w:ascii="Wingdings" w:hAnsi="Wingdings"/>
        <w:b w:val="0"/>
        <w:i w:val="0"/>
        <w:kern w:val="2"/>
        <w:sz w:val="24"/>
        <w:szCs w:val="24"/>
      </w:rPr>
    </w:lvl>
    <w:lvl w:ilvl="3" w:tentative="0">
      <w:start w:val="1"/>
      <w:numFmt w:val="decimal"/>
      <w:lvlText w:val="%4."/>
      <w:lvlJc w:val="left"/>
      <w:pPr>
        <w:tabs>
          <w:tab w:val="left" w:pos="2663"/>
        </w:tabs>
        <w:ind w:left="2663" w:hanging="420"/>
      </w:pPr>
      <w:rPr>
        <w:rFonts w:hint="eastAsia"/>
      </w:rPr>
    </w:lvl>
    <w:lvl w:ilvl="4" w:tentative="0">
      <w:start w:val="1"/>
      <w:numFmt w:val="lowerLetter"/>
      <w:lvlText w:val="%5)"/>
      <w:lvlJc w:val="left"/>
      <w:pPr>
        <w:tabs>
          <w:tab w:val="left" w:pos="3083"/>
        </w:tabs>
        <w:ind w:left="3083" w:hanging="420"/>
      </w:pPr>
      <w:rPr>
        <w:rFonts w:hint="eastAsia"/>
      </w:rPr>
    </w:lvl>
    <w:lvl w:ilvl="5" w:tentative="0">
      <w:start w:val="1"/>
      <w:numFmt w:val="lowerRoman"/>
      <w:lvlText w:val="%6."/>
      <w:lvlJc w:val="right"/>
      <w:pPr>
        <w:tabs>
          <w:tab w:val="left" w:pos="3503"/>
        </w:tabs>
        <w:ind w:left="3503" w:hanging="420"/>
      </w:pPr>
      <w:rPr>
        <w:rFonts w:hint="eastAsia"/>
      </w:rPr>
    </w:lvl>
    <w:lvl w:ilvl="6" w:tentative="0">
      <w:start w:val="1"/>
      <w:numFmt w:val="decimal"/>
      <w:lvlText w:val="%7."/>
      <w:lvlJc w:val="left"/>
      <w:pPr>
        <w:tabs>
          <w:tab w:val="left" w:pos="3923"/>
        </w:tabs>
        <w:ind w:left="3923" w:hanging="420"/>
      </w:pPr>
      <w:rPr>
        <w:rFonts w:hint="eastAsia"/>
      </w:rPr>
    </w:lvl>
    <w:lvl w:ilvl="7" w:tentative="0">
      <w:start w:val="1"/>
      <w:numFmt w:val="lowerLetter"/>
      <w:lvlText w:val="%8)"/>
      <w:lvlJc w:val="left"/>
      <w:pPr>
        <w:tabs>
          <w:tab w:val="left" w:pos="4343"/>
        </w:tabs>
        <w:ind w:left="4343" w:hanging="420"/>
      </w:pPr>
      <w:rPr>
        <w:rFonts w:hint="eastAsia"/>
      </w:rPr>
    </w:lvl>
    <w:lvl w:ilvl="8" w:tentative="0">
      <w:start w:val="1"/>
      <w:numFmt w:val="lowerRoman"/>
      <w:lvlText w:val="%9."/>
      <w:lvlJc w:val="right"/>
      <w:pPr>
        <w:tabs>
          <w:tab w:val="left" w:pos="4763"/>
        </w:tabs>
        <w:ind w:left="4763" w:hanging="420"/>
      </w:pPr>
      <w:rPr>
        <w:rFonts w:hint="eastAsia"/>
      </w:rPr>
    </w:lvl>
  </w:abstractNum>
  <w:abstractNum w:abstractNumId="12">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6"/>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pStyle w:val="212"/>
      <w:isLgl/>
      <w:lvlText w:val="%1.%2.%3.%4.%5.%6"/>
      <w:lvlJc w:val="left"/>
      <w:pPr>
        <w:tabs>
          <w:tab w:val="left" w:pos="480"/>
        </w:tabs>
        <w:ind w:left="480" w:hanging="480"/>
      </w:pPr>
      <w:rPr>
        <w:rFonts w:hint="default"/>
      </w:rPr>
    </w:lvl>
    <w:lvl w:ilvl="6" w:tentative="0">
      <w:start w:val="1"/>
      <w:numFmt w:val="decimal"/>
      <w:pStyle w:val="211"/>
      <w:isLgl/>
      <w:lvlText w:val="%1.%2.%3.%4.%5.%6.%7"/>
      <w:lvlJc w:val="left"/>
      <w:pPr>
        <w:tabs>
          <w:tab w:val="left" w:pos="480"/>
        </w:tabs>
        <w:ind w:left="480" w:hanging="480"/>
      </w:pPr>
      <w:rPr>
        <w:rFonts w:hint="default"/>
      </w:rPr>
    </w:lvl>
    <w:lvl w:ilvl="7" w:tentative="0">
      <w:start w:val="1"/>
      <w:numFmt w:val="decimal"/>
      <w:pStyle w:val="465"/>
      <w:isLgl/>
      <w:lvlText w:val="%1.%2.%3.%4.%5.%6.%7.%8"/>
      <w:lvlJc w:val="left"/>
      <w:pPr>
        <w:tabs>
          <w:tab w:val="left" w:pos="480"/>
        </w:tabs>
        <w:ind w:left="480" w:hanging="480"/>
      </w:pPr>
      <w:rPr>
        <w:rFonts w:hint="default"/>
      </w:rPr>
    </w:lvl>
    <w:lvl w:ilvl="8" w:tentative="0">
      <w:start w:val="1"/>
      <w:numFmt w:val="decimal"/>
      <w:pStyle w:val="492"/>
      <w:isLgl/>
      <w:lvlText w:val="%1.%2.%3.%4.%5.%6.%7.%8.%9"/>
      <w:lvlJc w:val="left"/>
      <w:pPr>
        <w:tabs>
          <w:tab w:val="left" w:pos="480"/>
        </w:tabs>
        <w:ind w:left="480" w:hanging="480"/>
      </w:pPr>
      <w:rPr>
        <w:rFonts w:hint="default"/>
      </w:rPr>
    </w:lvl>
  </w:abstractNum>
  <w:abstractNum w:abstractNumId="13">
    <w:nsid w:val="0000002C"/>
    <w:multiLevelType w:val="multilevel"/>
    <w:tmpl w:val="0000002C"/>
    <w:lvl w:ilvl="0" w:tentative="0">
      <w:start w:val="1"/>
      <w:numFmt w:val="lowerLetter"/>
      <w:lvlText w:val="%1."/>
      <w:lvlJc w:val="left"/>
      <w:pPr>
        <w:tabs>
          <w:tab w:val="left" w:pos="1157"/>
        </w:tabs>
        <w:ind w:left="1157" w:hanging="360"/>
      </w:pPr>
      <w:rPr>
        <w:rFonts w:hint="eastAsia"/>
      </w:rPr>
    </w:lvl>
    <w:lvl w:ilvl="1" w:tentative="0">
      <w:start w:val="1"/>
      <w:numFmt w:val="lowerLetter"/>
      <w:lvlText w:val="%2)"/>
      <w:lvlJc w:val="left"/>
      <w:pPr>
        <w:tabs>
          <w:tab w:val="left" w:pos="1637"/>
        </w:tabs>
        <w:ind w:left="1637" w:hanging="420"/>
      </w:pPr>
    </w:lvl>
    <w:lvl w:ilvl="2" w:tentative="0">
      <w:start w:val="1"/>
      <w:numFmt w:val="lowerRoman"/>
      <w:pStyle w:val="247"/>
      <w:lvlText w:val="%3."/>
      <w:lvlJc w:val="right"/>
      <w:pPr>
        <w:tabs>
          <w:tab w:val="left" w:pos="2057"/>
        </w:tabs>
        <w:ind w:left="2057" w:hanging="420"/>
      </w:pPr>
    </w:lvl>
    <w:lvl w:ilvl="3" w:tentative="0">
      <w:start w:val="1"/>
      <w:numFmt w:val="decimal"/>
      <w:lvlText w:val="%4."/>
      <w:lvlJc w:val="left"/>
      <w:pPr>
        <w:tabs>
          <w:tab w:val="left" w:pos="2477"/>
        </w:tabs>
        <w:ind w:left="2477" w:hanging="420"/>
      </w:pPr>
    </w:lvl>
    <w:lvl w:ilvl="4" w:tentative="0">
      <w:start w:val="1"/>
      <w:numFmt w:val="lowerLetter"/>
      <w:lvlText w:val="%5)"/>
      <w:lvlJc w:val="left"/>
      <w:pPr>
        <w:tabs>
          <w:tab w:val="left" w:pos="2897"/>
        </w:tabs>
        <w:ind w:left="2897" w:hanging="420"/>
      </w:pPr>
    </w:lvl>
    <w:lvl w:ilvl="5" w:tentative="0">
      <w:start w:val="1"/>
      <w:numFmt w:val="lowerRoman"/>
      <w:lvlText w:val="%6."/>
      <w:lvlJc w:val="right"/>
      <w:pPr>
        <w:tabs>
          <w:tab w:val="left" w:pos="3317"/>
        </w:tabs>
        <w:ind w:left="3317" w:hanging="420"/>
      </w:pPr>
    </w:lvl>
    <w:lvl w:ilvl="6" w:tentative="0">
      <w:start w:val="1"/>
      <w:numFmt w:val="decimal"/>
      <w:lvlText w:val="%7."/>
      <w:lvlJc w:val="left"/>
      <w:pPr>
        <w:tabs>
          <w:tab w:val="left" w:pos="3737"/>
        </w:tabs>
        <w:ind w:left="3737" w:hanging="420"/>
      </w:pPr>
    </w:lvl>
    <w:lvl w:ilvl="7" w:tentative="0">
      <w:start w:val="1"/>
      <w:numFmt w:val="lowerLetter"/>
      <w:lvlText w:val="%8)"/>
      <w:lvlJc w:val="left"/>
      <w:pPr>
        <w:tabs>
          <w:tab w:val="left" w:pos="4157"/>
        </w:tabs>
        <w:ind w:left="4157" w:hanging="420"/>
      </w:pPr>
    </w:lvl>
    <w:lvl w:ilvl="8" w:tentative="0">
      <w:start w:val="1"/>
      <w:numFmt w:val="lowerRoman"/>
      <w:lvlText w:val="%9."/>
      <w:lvlJc w:val="right"/>
      <w:pPr>
        <w:tabs>
          <w:tab w:val="left" w:pos="4577"/>
        </w:tabs>
        <w:ind w:left="4577" w:hanging="420"/>
      </w:pPr>
    </w:lvl>
  </w:abstractNum>
  <w:abstractNum w:abstractNumId="14">
    <w:nsid w:val="0000002D"/>
    <w:multiLevelType w:val="multilevel"/>
    <w:tmpl w:val="0000002D"/>
    <w:lvl w:ilvl="0" w:tentative="0">
      <w:start w:val="1"/>
      <w:numFmt w:val="decimal"/>
      <w:lvlText w:val="（%1）"/>
      <w:lvlJc w:val="left"/>
      <w:pPr>
        <w:tabs>
          <w:tab w:val="left" w:pos="1140"/>
        </w:tabs>
        <w:ind w:left="-5" w:firstLine="425"/>
      </w:pPr>
      <w:rPr>
        <w:rFonts w:hint="eastAsia"/>
      </w:rPr>
    </w:lvl>
    <w:lvl w:ilvl="1" w:tentative="0">
      <w:start w:val="1"/>
      <w:numFmt w:val="decimal"/>
      <w:lvlText w:val="（%2）"/>
      <w:lvlJc w:val="left"/>
      <w:pPr>
        <w:tabs>
          <w:tab w:val="left" w:pos="1135"/>
        </w:tabs>
        <w:ind w:left="1135" w:hanging="720"/>
      </w:pPr>
      <w:rPr>
        <w:rFonts w:hint="eastAsia"/>
      </w:rPr>
    </w:lvl>
    <w:lvl w:ilvl="2" w:tentative="0">
      <w:start w:val="1"/>
      <w:numFmt w:val="lowerRoman"/>
      <w:pStyle w:val="426"/>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5">
    <w:nsid w:val="00000032"/>
    <w:multiLevelType w:val="singleLevel"/>
    <w:tmpl w:val="00000032"/>
    <w:lvl w:ilvl="0" w:tentative="0">
      <w:start w:val="1"/>
      <w:numFmt w:val="decimal"/>
      <w:pStyle w:val="26"/>
      <w:lvlText w:val="（%1）"/>
      <w:lvlJc w:val="left"/>
      <w:pPr>
        <w:tabs>
          <w:tab w:val="left" w:pos="705"/>
        </w:tabs>
        <w:ind w:left="705" w:hanging="705"/>
      </w:pPr>
    </w:lvl>
  </w:abstractNum>
  <w:abstractNum w:abstractNumId="16">
    <w:nsid w:val="17EF692C"/>
    <w:multiLevelType w:val="multilevel"/>
    <w:tmpl w:val="17EF692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217"/>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94F0DC7"/>
    <w:multiLevelType w:val="multilevel"/>
    <w:tmpl w:val="494F0DC7"/>
    <w:lvl w:ilvl="0" w:tentative="0">
      <w:start w:val="1"/>
      <w:numFmt w:val="decimal"/>
      <w:lvlText w:val="%1)"/>
      <w:lvlJc w:val="left"/>
      <w:pPr>
        <w:tabs>
          <w:tab w:val="left" w:pos="1260"/>
        </w:tabs>
        <w:ind w:left="1260" w:hanging="420"/>
      </w:pPr>
      <w:rPr>
        <w:rFonts w:hint="default" w:cs="Times New Roman"/>
      </w:rPr>
    </w:lvl>
    <w:lvl w:ilvl="1" w:tentative="0">
      <w:start w:val="1"/>
      <w:numFmt w:val="decimal"/>
      <w:pStyle w:val="15"/>
      <w:lvlText w:val="%2)"/>
      <w:lvlJc w:val="left"/>
      <w:pPr>
        <w:tabs>
          <w:tab w:val="left" w:pos="1680"/>
        </w:tabs>
        <w:ind w:left="1680" w:hanging="420"/>
      </w:pPr>
      <w:rPr>
        <w:rFonts w:hint="eastAsia" w:cs="Times New Roman"/>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9"/>
  </w:num>
  <w:num w:numId="2">
    <w:abstractNumId w:val="17"/>
  </w:num>
  <w:num w:numId="3">
    <w:abstractNumId w:val="15"/>
  </w:num>
  <w:num w:numId="4">
    <w:abstractNumId w:val="1"/>
  </w:num>
  <w:num w:numId="5">
    <w:abstractNumId w:val="0"/>
  </w:num>
  <w:num w:numId="6">
    <w:abstractNumId w:val="7"/>
  </w:num>
  <w:num w:numId="7">
    <w:abstractNumId w:val="12"/>
  </w:num>
  <w:num w:numId="8">
    <w:abstractNumId w:val="16"/>
  </w:num>
  <w:num w:numId="9">
    <w:abstractNumId w:val="10"/>
  </w:num>
  <w:num w:numId="10">
    <w:abstractNumId w:val="4"/>
  </w:num>
  <w:num w:numId="11">
    <w:abstractNumId w:val="13"/>
  </w:num>
  <w:num w:numId="12">
    <w:abstractNumId w:val="11"/>
  </w:num>
  <w:num w:numId="13">
    <w:abstractNumId w:val="8"/>
  </w:num>
  <w:num w:numId="14">
    <w:abstractNumId w:val="6"/>
  </w:num>
  <w:num w:numId="15">
    <w:abstractNumId w:val="2"/>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OTdiNmE4NmUwYTg4ZTM0MGE3YTY4ZWU4MjA3YTIifQ=="/>
  </w:docVars>
  <w:rsids>
    <w:rsidRoot w:val="00172A27"/>
    <w:rsid w:val="00005220"/>
    <w:rsid w:val="00006FF0"/>
    <w:rsid w:val="000073FF"/>
    <w:rsid w:val="00013599"/>
    <w:rsid w:val="000148F0"/>
    <w:rsid w:val="00016079"/>
    <w:rsid w:val="000165C6"/>
    <w:rsid w:val="000172B0"/>
    <w:rsid w:val="00020741"/>
    <w:rsid w:val="00020A3D"/>
    <w:rsid w:val="0002116C"/>
    <w:rsid w:val="0002195F"/>
    <w:rsid w:val="000219FF"/>
    <w:rsid w:val="00023434"/>
    <w:rsid w:val="00023789"/>
    <w:rsid w:val="000257B2"/>
    <w:rsid w:val="00027F56"/>
    <w:rsid w:val="00032E37"/>
    <w:rsid w:val="00033219"/>
    <w:rsid w:val="0003329E"/>
    <w:rsid w:val="00036555"/>
    <w:rsid w:val="000405BF"/>
    <w:rsid w:val="00041401"/>
    <w:rsid w:val="00042999"/>
    <w:rsid w:val="00043692"/>
    <w:rsid w:val="00043C74"/>
    <w:rsid w:val="00043E88"/>
    <w:rsid w:val="00045EF8"/>
    <w:rsid w:val="00055B6B"/>
    <w:rsid w:val="00056938"/>
    <w:rsid w:val="00056C74"/>
    <w:rsid w:val="000571B7"/>
    <w:rsid w:val="00060581"/>
    <w:rsid w:val="0006128F"/>
    <w:rsid w:val="000616E8"/>
    <w:rsid w:val="000637BB"/>
    <w:rsid w:val="00063C54"/>
    <w:rsid w:val="00064C31"/>
    <w:rsid w:val="000665F4"/>
    <w:rsid w:val="00071294"/>
    <w:rsid w:val="00071762"/>
    <w:rsid w:val="0007184D"/>
    <w:rsid w:val="00071EFD"/>
    <w:rsid w:val="000741FA"/>
    <w:rsid w:val="000754A0"/>
    <w:rsid w:val="0007601D"/>
    <w:rsid w:val="00076DF8"/>
    <w:rsid w:val="00081FA0"/>
    <w:rsid w:val="000845B4"/>
    <w:rsid w:val="00086E66"/>
    <w:rsid w:val="00087EA6"/>
    <w:rsid w:val="0009097D"/>
    <w:rsid w:val="00091BE3"/>
    <w:rsid w:val="000961EE"/>
    <w:rsid w:val="000967F1"/>
    <w:rsid w:val="000A1DA4"/>
    <w:rsid w:val="000A7D51"/>
    <w:rsid w:val="000B0086"/>
    <w:rsid w:val="000B6AB2"/>
    <w:rsid w:val="000C1592"/>
    <w:rsid w:val="000C1883"/>
    <w:rsid w:val="000C2C62"/>
    <w:rsid w:val="000C4A52"/>
    <w:rsid w:val="000C4CBE"/>
    <w:rsid w:val="000C55C7"/>
    <w:rsid w:val="000C6A96"/>
    <w:rsid w:val="000C757F"/>
    <w:rsid w:val="000D0E86"/>
    <w:rsid w:val="000D350D"/>
    <w:rsid w:val="000D427D"/>
    <w:rsid w:val="000E2DF7"/>
    <w:rsid w:val="000E3364"/>
    <w:rsid w:val="000E74F0"/>
    <w:rsid w:val="000E78B6"/>
    <w:rsid w:val="000F00DA"/>
    <w:rsid w:val="000F20A5"/>
    <w:rsid w:val="000F2D1D"/>
    <w:rsid w:val="000F4BF3"/>
    <w:rsid w:val="000F6B1F"/>
    <w:rsid w:val="000F6EEE"/>
    <w:rsid w:val="000F7147"/>
    <w:rsid w:val="001009BE"/>
    <w:rsid w:val="00100CDD"/>
    <w:rsid w:val="001045AD"/>
    <w:rsid w:val="001050AD"/>
    <w:rsid w:val="00120FE4"/>
    <w:rsid w:val="0012335C"/>
    <w:rsid w:val="00130703"/>
    <w:rsid w:val="0013200B"/>
    <w:rsid w:val="00141D59"/>
    <w:rsid w:val="0014668A"/>
    <w:rsid w:val="00150F30"/>
    <w:rsid w:val="00154A9E"/>
    <w:rsid w:val="001636AE"/>
    <w:rsid w:val="001660D7"/>
    <w:rsid w:val="0016628C"/>
    <w:rsid w:val="00167761"/>
    <w:rsid w:val="00170253"/>
    <w:rsid w:val="001725E3"/>
    <w:rsid w:val="00172A27"/>
    <w:rsid w:val="0018031A"/>
    <w:rsid w:val="0018036F"/>
    <w:rsid w:val="00181E2D"/>
    <w:rsid w:val="0018416D"/>
    <w:rsid w:val="00187967"/>
    <w:rsid w:val="0019002C"/>
    <w:rsid w:val="00190AD8"/>
    <w:rsid w:val="00191FED"/>
    <w:rsid w:val="001935BA"/>
    <w:rsid w:val="00193BD5"/>
    <w:rsid w:val="00197FDC"/>
    <w:rsid w:val="001A02EB"/>
    <w:rsid w:val="001A10A6"/>
    <w:rsid w:val="001A1A2D"/>
    <w:rsid w:val="001A2618"/>
    <w:rsid w:val="001A2D6D"/>
    <w:rsid w:val="001A32EC"/>
    <w:rsid w:val="001A341C"/>
    <w:rsid w:val="001A35A7"/>
    <w:rsid w:val="001A5DE4"/>
    <w:rsid w:val="001A6E79"/>
    <w:rsid w:val="001B0C2E"/>
    <w:rsid w:val="001B160D"/>
    <w:rsid w:val="001C10D8"/>
    <w:rsid w:val="001C4AA5"/>
    <w:rsid w:val="001C4C17"/>
    <w:rsid w:val="001D27A0"/>
    <w:rsid w:val="001D40B9"/>
    <w:rsid w:val="001D5D91"/>
    <w:rsid w:val="001E4D5D"/>
    <w:rsid w:val="001E7010"/>
    <w:rsid w:val="001E7C6D"/>
    <w:rsid w:val="001F6EA3"/>
    <w:rsid w:val="001F7AC5"/>
    <w:rsid w:val="002040FF"/>
    <w:rsid w:val="00206764"/>
    <w:rsid w:val="002074ED"/>
    <w:rsid w:val="002077F8"/>
    <w:rsid w:val="002103C6"/>
    <w:rsid w:val="00211059"/>
    <w:rsid w:val="00211161"/>
    <w:rsid w:val="002119C3"/>
    <w:rsid w:val="00211A69"/>
    <w:rsid w:val="00212C79"/>
    <w:rsid w:val="0021589F"/>
    <w:rsid w:val="00221AE1"/>
    <w:rsid w:val="00221D88"/>
    <w:rsid w:val="00222B85"/>
    <w:rsid w:val="002245AF"/>
    <w:rsid w:val="00224735"/>
    <w:rsid w:val="00230FE0"/>
    <w:rsid w:val="00235B49"/>
    <w:rsid w:val="00236A0D"/>
    <w:rsid w:val="002374AC"/>
    <w:rsid w:val="002403AE"/>
    <w:rsid w:val="00242A28"/>
    <w:rsid w:val="00242B4A"/>
    <w:rsid w:val="002464DA"/>
    <w:rsid w:val="00246E21"/>
    <w:rsid w:val="00247475"/>
    <w:rsid w:val="002531CD"/>
    <w:rsid w:val="00257D4A"/>
    <w:rsid w:val="00261955"/>
    <w:rsid w:val="00264096"/>
    <w:rsid w:val="00267770"/>
    <w:rsid w:val="00267DCF"/>
    <w:rsid w:val="00271710"/>
    <w:rsid w:val="002732B3"/>
    <w:rsid w:val="00273B0F"/>
    <w:rsid w:val="00273D63"/>
    <w:rsid w:val="002770E9"/>
    <w:rsid w:val="002804B1"/>
    <w:rsid w:val="00281C08"/>
    <w:rsid w:val="0028573F"/>
    <w:rsid w:val="00287D69"/>
    <w:rsid w:val="002900EC"/>
    <w:rsid w:val="0029163B"/>
    <w:rsid w:val="0029192E"/>
    <w:rsid w:val="00295075"/>
    <w:rsid w:val="00296236"/>
    <w:rsid w:val="00296A9D"/>
    <w:rsid w:val="00297910"/>
    <w:rsid w:val="002A0853"/>
    <w:rsid w:val="002A61EA"/>
    <w:rsid w:val="002B027B"/>
    <w:rsid w:val="002B287D"/>
    <w:rsid w:val="002B3025"/>
    <w:rsid w:val="002C3BAB"/>
    <w:rsid w:val="002C47E9"/>
    <w:rsid w:val="002C6308"/>
    <w:rsid w:val="002D1DA8"/>
    <w:rsid w:val="002D3A30"/>
    <w:rsid w:val="002D3A59"/>
    <w:rsid w:val="002D48E6"/>
    <w:rsid w:val="002D70CD"/>
    <w:rsid w:val="002E19C7"/>
    <w:rsid w:val="002E55FC"/>
    <w:rsid w:val="002E5699"/>
    <w:rsid w:val="002F5990"/>
    <w:rsid w:val="002F5BF0"/>
    <w:rsid w:val="002F76AB"/>
    <w:rsid w:val="003007B3"/>
    <w:rsid w:val="003014ED"/>
    <w:rsid w:val="00301BF2"/>
    <w:rsid w:val="00304152"/>
    <w:rsid w:val="00305161"/>
    <w:rsid w:val="00313F59"/>
    <w:rsid w:val="00321A17"/>
    <w:rsid w:val="00322855"/>
    <w:rsid w:val="0032295E"/>
    <w:rsid w:val="003241C9"/>
    <w:rsid w:val="00326877"/>
    <w:rsid w:val="003269A0"/>
    <w:rsid w:val="003333CA"/>
    <w:rsid w:val="00336554"/>
    <w:rsid w:val="00337769"/>
    <w:rsid w:val="00337A8C"/>
    <w:rsid w:val="0034158F"/>
    <w:rsid w:val="00345C29"/>
    <w:rsid w:val="0034648C"/>
    <w:rsid w:val="003506EC"/>
    <w:rsid w:val="00350CAF"/>
    <w:rsid w:val="00351DFF"/>
    <w:rsid w:val="00351EA3"/>
    <w:rsid w:val="00355C0D"/>
    <w:rsid w:val="00363183"/>
    <w:rsid w:val="003635AF"/>
    <w:rsid w:val="00365DD2"/>
    <w:rsid w:val="003679C5"/>
    <w:rsid w:val="00367E04"/>
    <w:rsid w:val="00367F77"/>
    <w:rsid w:val="00370AC6"/>
    <w:rsid w:val="0037297E"/>
    <w:rsid w:val="00372E9D"/>
    <w:rsid w:val="00374468"/>
    <w:rsid w:val="0037704A"/>
    <w:rsid w:val="00377C8C"/>
    <w:rsid w:val="003801A5"/>
    <w:rsid w:val="003803E9"/>
    <w:rsid w:val="003830B3"/>
    <w:rsid w:val="003846DD"/>
    <w:rsid w:val="00384A50"/>
    <w:rsid w:val="003855EC"/>
    <w:rsid w:val="00386919"/>
    <w:rsid w:val="00391F32"/>
    <w:rsid w:val="00392712"/>
    <w:rsid w:val="003A0449"/>
    <w:rsid w:val="003A25C8"/>
    <w:rsid w:val="003A51B7"/>
    <w:rsid w:val="003A69CA"/>
    <w:rsid w:val="003B09F4"/>
    <w:rsid w:val="003C144B"/>
    <w:rsid w:val="003C2E21"/>
    <w:rsid w:val="003C3662"/>
    <w:rsid w:val="003C3DD2"/>
    <w:rsid w:val="003C48CF"/>
    <w:rsid w:val="003C6AAB"/>
    <w:rsid w:val="003C75CA"/>
    <w:rsid w:val="003C7670"/>
    <w:rsid w:val="003C7D04"/>
    <w:rsid w:val="003D4024"/>
    <w:rsid w:val="003E3C5A"/>
    <w:rsid w:val="003E4AB0"/>
    <w:rsid w:val="003E59FF"/>
    <w:rsid w:val="003E67F8"/>
    <w:rsid w:val="003E6922"/>
    <w:rsid w:val="003F032F"/>
    <w:rsid w:val="003F10AF"/>
    <w:rsid w:val="003F1671"/>
    <w:rsid w:val="003F2179"/>
    <w:rsid w:val="003F3206"/>
    <w:rsid w:val="003F3C24"/>
    <w:rsid w:val="003F4C97"/>
    <w:rsid w:val="003F55D5"/>
    <w:rsid w:val="003F743C"/>
    <w:rsid w:val="003F789C"/>
    <w:rsid w:val="003F7D83"/>
    <w:rsid w:val="003F7D94"/>
    <w:rsid w:val="0040227E"/>
    <w:rsid w:val="00404F9C"/>
    <w:rsid w:val="00410BE5"/>
    <w:rsid w:val="00411D66"/>
    <w:rsid w:val="00413C61"/>
    <w:rsid w:val="00414BF6"/>
    <w:rsid w:val="004152E5"/>
    <w:rsid w:val="004158A8"/>
    <w:rsid w:val="00416022"/>
    <w:rsid w:val="00416811"/>
    <w:rsid w:val="00421D49"/>
    <w:rsid w:val="004235E0"/>
    <w:rsid w:val="00425180"/>
    <w:rsid w:val="00425E70"/>
    <w:rsid w:val="0042623F"/>
    <w:rsid w:val="00432708"/>
    <w:rsid w:val="00434323"/>
    <w:rsid w:val="004405AE"/>
    <w:rsid w:val="00440C37"/>
    <w:rsid w:val="004413CE"/>
    <w:rsid w:val="00442085"/>
    <w:rsid w:val="00442A45"/>
    <w:rsid w:val="00443F05"/>
    <w:rsid w:val="00445DFB"/>
    <w:rsid w:val="00446059"/>
    <w:rsid w:val="00446222"/>
    <w:rsid w:val="00447ADA"/>
    <w:rsid w:val="00452341"/>
    <w:rsid w:val="00455778"/>
    <w:rsid w:val="00466131"/>
    <w:rsid w:val="004677D0"/>
    <w:rsid w:val="00475155"/>
    <w:rsid w:val="00476038"/>
    <w:rsid w:val="00476656"/>
    <w:rsid w:val="00482D19"/>
    <w:rsid w:val="0048571A"/>
    <w:rsid w:val="00485A25"/>
    <w:rsid w:val="00485BD4"/>
    <w:rsid w:val="0048668E"/>
    <w:rsid w:val="004867E8"/>
    <w:rsid w:val="00487427"/>
    <w:rsid w:val="004900CD"/>
    <w:rsid w:val="004902AD"/>
    <w:rsid w:val="00490B99"/>
    <w:rsid w:val="0049183B"/>
    <w:rsid w:val="004949D6"/>
    <w:rsid w:val="004961F6"/>
    <w:rsid w:val="00497ACC"/>
    <w:rsid w:val="004A1BE9"/>
    <w:rsid w:val="004A6DAE"/>
    <w:rsid w:val="004A7BC7"/>
    <w:rsid w:val="004B3A4B"/>
    <w:rsid w:val="004B5C83"/>
    <w:rsid w:val="004B68B9"/>
    <w:rsid w:val="004C01F2"/>
    <w:rsid w:val="004C042B"/>
    <w:rsid w:val="004C7068"/>
    <w:rsid w:val="004D1233"/>
    <w:rsid w:val="004E0A83"/>
    <w:rsid w:val="004E0CF2"/>
    <w:rsid w:val="004E1608"/>
    <w:rsid w:val="004E744A"/>
    <w:rsid w:val="004E7F52"/>
    <w:rsid w:val="004F0060"/>
    <w:rsid w:val="004F3EA6"/>
    <w:rsid w:val="004F4125"/>
    <w:rsid w:val="004F60D7"/>
    <w:rsid w:val="004F6228"/>
    <w:rsid w:val="004F68B0"/>
    <w:rsid w:val="004F72AE"/>
    <w:rsid w:val="005003B0"/>
    <w:rsid w:val="00502208"/>
    <w:rsid w:val="00502C45"/>
    <w:rsid w:val="00502F49"/>
    <w:rsid w:val="00504A6F"/>
    <w:rsid w:val="00506536"/>
    <w:rsid w:val="00507630"/>
    <w:rsid w:val="005113B3"/>
    <w:rsid w:val="005149D6"/>
    <w:rsid w:val="00517345"/>
    <w:rsid w:val="00517B75"/>
    <w:rsid w:val="00517BB5"/>
    <w:rsid w:val="00520A50"/>
    <w:rsid w:val="00523DDD"/>
    <w:rsid w:val="005269D6"/>
    <w:rsid w:val="00527A33"/>
    <w:rsid w:val="00531A36"/>
    <w:rsid w:val="0054004F"/>
    <w:rsid w:val="00541B37"/>
    <w:rsid w:val="00543F95"/>
    <w:rsid w:val="00546DF1"/>
    <w:rsid w:val="005522ED"/>
    <w:rsid w:val="00552926"/>
    <w:rsid w:val="00555468"/>
    <w:rsid w:val="00562240"/>
    <w:rsid w:val="00563985"/>
    <w:rsid w:val="00563AD0"/>
    <w:rsid w:val="00564ABC"/>
    <w:rsid w:val="005674F8"/>
    <w:rsid w:val="00573C6F"/>
    <w:rsid w:val="00574B27"/>
    <w:rsid w:val="0057614B"/>
    <w:rsid w:val="0057627D"/>
    <w:rsid w:val="00580303"/>
    <w:rsid w:val="00586119"/>
    <w:rsid w:val="0058768D"/>
    <w:rsid w:val="005930DF"/>
    <w:rsid w:val="00593A33"/>
    <w:rsid w:val="005A0728"/>
    <w:rsid w:val="005A0A00"/>
    <w:rsid w:val="005A1C09"/>
    <w:rsid w:val="005A332F"/>
    <w:rsid w:val="005A36EC"/>
    <w:rsid w:val="005A5046"/>
    <w:rsid w:val="005A5CA4"/>
    <w:rsid w:val="005A5FE6"/>
    <w:rsid w:val="005A7F55"/>
    <w:rsid w:val="005B069E"/>
    <w:rsid w:val="005B2F02"/>
    <w:rsid w:val="005B517A"/>
    <w:rsid w:val="005B671E"/>
    <w:rsid w:val="005B732F"/>
    <w:rsid w:val="005B7EAF"/>
    <w:rsid w:val="005C0DB2"/>
    <w:rsid w:val="005C35EB"/>
    <w:rsid w:val="005C5B09"/>
    <w:rsid w:val="005D43B9"/>
    <w:rsid w:val="005D5E6A"/>
    <w:rsid w:val="005E35AE"/>
    <w:rsid w:val="005E3C82"/>
    <w:rsid w:val="005E4D53"/>
    <w:rsid w:val="005F3FBA"/>
    <w:rsid w:val="006023D4"/>
    <w:rsid w:val="00606338"/>
    <w:rsid w:val="00607CBE"/>
    <w:rsid w:val="00611C3E"/>
    <w:rsid w:val="0062019A"/>
    <w:rsid w:val="00620BC3"/>
    <w:rsid w:val="00622B0D"/>
    <w:rsid w:val="00630C64"/>
    <w:rsid w:val="00631822"/>
    <w:rsid w:val="00632EAC"/>
    <w:rsid w:val="00634270"/>
    <w:rsid w:val="006356DB"/>
    <w:rsid w:val="0064068A"/>
    <w:rsid w:val="00644D14"/>
    <w:rsid w:val="006505E2"/>
    <w:rsid w:val="00654A86"/>
    <w:rsid w:val="00654EF7"/>
    <w:rsid w:val="00655FAA"/>
    <w:rsid w:val="006562DA"/>
    <w:rsid w:val="006664C1"/>
    <w:rsid w:val="00671CD1"/>
    <w:rsid w:val="006736EF"/>
    <w:rsid w:val="00674977"/>
    <w:rsid w:val="006749D1"/>
    <w:rsid w:val="00677C7F"/>
    <w:rsid w:val="006821AD"/>
    <w:rsid w:val="0068461B"/>
    <w:rsid w:val="00687321"/>
    <w:rsid w:val="006925E4"/>
    <w:rsid w:val="006945AE"/>
    <w:rsid w:val="006948E8"/>
    <w:rsid w:val="006976D7"/>
    <w:rsid w:val="006A0982"/>
    <w:rsid w:val="006A0FEF"/>
    <w:rsid w:val="006A19B7"/>
    <w:rsid w:val="006A3B16"/>
    <w:rsid w:val="006A51C1"/>
    <w:rsid w:val="006B0FDD"/>
    <w:rsid w:val="006B13D7"/>
    <w:rsid w:val="006B2EB0"/>
    <w:rsid w:val="006B73DA"/>
    <w:rsid w:val="006B75CE"/>
    <w:rsid w:val="006B7937"/>
    <w:rsid w:val="006C143E"/>
    <w:rsid w:val="006C4734"/>
    <w:rsid w:val="006C4A0D"/>
    <w:rsid w:val="006D2157"/>
    <w:rsid w:val="006D5F47"/>
    <w:rsid w:val="006D69DA"/>
    <w:rsid w:val="006D7813"/>
    <w:rsid w:val="006E0208"/>
    <w:rsid w:val="006E16B6"/>
    <w:rsid w:val="006E22CF"/>
    <w:rsid w:val="006E5E44"/>
    <w:rsid w:val="006E7420"/>
    <w:rsid w:val="006E7D64"/>
    <w:rsid w:val="006F2FDD"/>
    <w:rsid w:val="006F389B"/>
    <w:rsid w:val="006F3DB4"/>
    <w:rsid w:val="0070027B"/>
    <w:rsid w:val="00701C58"/>
    <w:rsid w:val="00704B02"/>
    <w:rsid w:val="00707042"/>
    <w:rsid w:val="00707A42"/>
    <w:rsid w:val="00711F5E"/>
    <w:rsid w:val="0071237F"/>
    <w:rsid w:val="00715742"/>
    <w:rsid w:val="00715BD4"/>
    <w:rsid w:val="007160D0"/>
    <w:rsid w:val="00716EB2"/>
    <w:rsid w:val="007173F4"/>
    <w:rsid w:val="007226BA"/>
    <w:rsid w:val="00723192"/>
    <w:rsid w:val="00725331"/>
    <w:rsid w:val="00726322"/>
    <w:rsid w:val="00731CA4"/>
    <w:rsid w:val="007336B8"/>
    <w:rsid w:val="00734C73"/>
    <w:rsid w:val="007357A3"/>
    <w:rsid w:val="00735C0C"/>
    <w:rsid w:val="00735F38"/>
    <w:rsid w:val="007437FF"/>
    <w:rsid w:val="00744093"/>
    <w:rsid w:val="00751B31"/>
    <w:rsid w:val="007523E4"/>
    <w:rsid w:val="00752D76"/>
    <w:rsid w:val="00754CCA"/>
    <w:rsid w:val="00755367"/>
    <w:rsid w:val="00763670"/>
    <w:rsid w:val="00763B00"/>
    <w:rsid w:val="00764DBD"/>
    <w:rsid w:val="0076529E"/>
    <w:rsid w:val="0076762F"/>
    <w:rsid w:val="00771127"/>
    <w:rsid w:val="00771F8C"/>
    <w:rsid w:val="007770A7"/>
    <w:rsid w:val="00777286"/>
    <w:rsid w:val="0077742B"/>
    <w:rsid w:val="00783CB7"/>
    <w:rsid w:val="00785EBD"/>
    <w:rsid w:val="007868E9"/>
    <w:rsid w:val="0079029F"/>
    <w:rsid w:val="00791779"/>
    <w:rsid w:val="00794F4D"/>
    <w:rsid w:val="007A266A"/>
    <w:rsid w:val="007A47C9"/>
    <w:rsid w:val="007A5E9A"/>
    <w:rsid w:val="007C3378"/>
    <w:rsid w:val="007C458A"/>
    <w:rsid w:val="007C4993"/>
    <w:rsid w:val="007D181E"/>
    <w:rsid w:val="007D3682"/>
    <w:rsid w:val="007D5365"/>
    <w:rsid w:val="007D754C"/>
    <w:rsid w:val="007D78D4"/>
    <w:rsid w:val="007E6FF4"/>
    <w:rsid w:val="007F0921"/>
    <w:rsid w:val="007F1138"/>
    <w:rsid w:val="007F74AE"/>
    <w:rsid w:val="00803F8A"/>
    <w:rsid w:val="00804B42"/>
    <w:rsid w:val="00806992"/>
    <w:rsid w:val="00811941"/>
    <w:rsid w:val="00814DC0"/>
    <w:rsid w:val="00814E07"/>
    <w:rsid w:val="00814E38"/>
    <w:rsid w:val="00814EEC"/>
    <w:rsid w:val="00815A6F"/>
    <w:rsid w:val="00816A35"/>
    <w:rsid w:val="00817C05"/>
    <w:rsid w:val="008213C1"/>
    <w:rsid w:val="00821B34"/>
    <w:rsid w:val="00821E6E"/>
    <w:rsid w:val="00822686"/>
    <w:rsid w:val="0082326D"/>
    <w:rsid w:val="00823C6C"/>
    <w:rsid w:val="00825C77"/>
    <w:rsid w:val="00830B00"/>
    <w:rsid w:val="00831B9E"/>
    <w:rsid w:val="00832405"/>
    <w:rsid w:val="008327FE"/>
    <w:rsid w:val="00832944"/>
    <w:rsid w:val="00832B89"/>
    <w:rsid w:val="00833899"/>
    <w:rsid w:val="008357F1"/>
    <w:rsid w:val="0084485F"/>
    <w:rsid w:val="00845E14"/>
    <w:rsid w:val="00846563"/>
    <w:rsid w:val="00846FEE"/>
    <w:rsid w:val="008471E0"/>
    <w:rsid w:val="00850FF1"/>
    <w:rsid w:val="00854FF7"/>
    <w:rsid w:val="0085522C"/>
    <w:rsid w:val="00856B06"/>
    <w:rsid w:val="00860963"/>
    <w:rsid w:val="008623F1"/>
    <w:rsid w:val="008650F3"/>
    <w:rsid w:val="008707DD"/>
    <w:rsid w:val="00871F28"/>
    <w:rsid w:val="00871F83"/>
    <w:rsid w:val="008749D0"/>
    <w:rsid w:val="00875F9E"/>
    <w:rsid w:val="008769F7"/>
    <w:rsid w:val="008834E8"/>
    <w:rsid w:val="00886D82"/>
    <w:rsid w:val="0089406B"/>
    <w:rsid w:val="008A0A49"/>
    <w:rsid w:val="008A5327"/>
    <w:rsid w:val="008A5D9A"/>
    <w:rsid w:val="008A6EAD"/>
    <w:rsid w:val="008B15A1"/>
    <w:rsid w:val="008B42BE"/>
    <w:rsid w:val="008B4BCF"/>
    <w:rsid w:val="008B5ADE"/>
    <w:rsid w:val="008C06B6"/>
    <w:rsid w:val="008C0E95"/>
    <w:rsid w:val="008C1634"/>
    <w:rsid w:val="008C4C59"/>
    <w:rsid w:val="008C5E12"/>
    <w:rsid w:val="008C604B"/>
    <w:rsid w:val="008C6A0B"/>
    <w:rsid w:val="008D11C7"/>
    <w:rsid w:val="008D526F"/>
    <w:rsid w:val="008D72BF"/>
    <w:rsid w:val="008E1549"/>
    <w:rsid w:val="008E28F5"/>
    <w:rsid w:val="008E42C3"/>
    <w:rsid w:val="008E4CBA"/>
    <w:rsid w:val="008E56BA"/>
    <w:rsid w:val="008F013D"/>
    <w:rsid w:val="008F1793"/>
    <w:rsid w:val="008F41D6"/>
    <w:rsid w:val="008F4EB4"/>
    <w:rsid w:val="008F6683"/>
    <w:rsid w:val="00902104"/>
    <w:rsid w:val="00903C23"/>
    <w:rsid w:val="009062B0"/>
    <w:rsid w:val="009079CC"/>
    <w:rsid w:val="009105BF"/>
    <w:rsid w:val="00910EAE"/>
    <w:rsid w:val="00911916"/>
    <w:rsid w:val="00912CF2"/>
    <w:rsid w:val="009160E7"/>
    <w:rsid w:val="00916265"/>
    <w:rsid w:val="00916634"/>
    <w:rsid w:val="009174BA"/>
    <w:rsid w:val="0092436E"/>
    <w:rsid w:val="00925822"/>
    <w:rsid w:val="009265ED"/>
    <w:rsid w:val="00926C57"/>
    <w:rsid w:val="00932328"/>
    <w:rsid w:val="00935536"/>
    <w:rsid w:val="00941959"/>
    <w:rsid w:val="00944C1B"/>
    <w:rsid w:val="009507C4"/>
    <w:rsid w:val="00950964"/>
    <w:rsid w:val="00952056"/>
    <w:rsid w:val="009540B8"/>
    <w:rsid w:val="00954648"/>
    <w:rsid w:val="00962A20"/>
    <w:rsid w:val="00962D08"/>
    <w:rsid w:val="00971578"/>
    <w:rsid w:val="00973635"/>
    <w:rsid w:val="009756ED"/>
    <w:rsid w:val="00975DAA"/>
    <w:rsid w:val="0097740A"/>
    <w:rsid w:val="009801E3"/>
    <w:rsid w:val="009815C9"/>
    <w:rsid w:val="00983687"/>
    <w:rsid w:val="00984638"/>
    <w:rsid w:val="00987DE9"/>
    <w:rsid w:val="00990A1A"/>
    <w:rsid w:val="00992230"/>
    <w:rsid w:val="00996CB3"/>
    <w:rsid w:val="009A16A3"/>
    <w:rsid w:val="009A3032"/>
    <w:rsid w:val="009A35CE"/>
    <w:rsid w:val="009B2399"/>
    <w:rsid w:val="009B40F9"/>
    <w:rsid w:val="009B45A5"/>
    <w:rsid w:val="009C4F54"/>
    <w:rsid w:val="009C66E6"/>
    <w:rsid w:val="009D0090"/>
    <w:rsid w:val="009D0102"/>
    <w:rsid w:val="009D2134"/>
    <w:rsid w:val="009D650B"/>
    <w:rsid w:val="009E6022"/>
    <w:rsid w:val="009F0831"/>
    <w:rsid w:val="009F1B61"/>
    <w:rsid w:val="009F2231"/>
    <w:rsid w:val="009F6625"/>
    <w:rsid w:val="009F6E06"/>
    <w:rsid w:val="009F752D"/>
    <w:rsid w:val="009F75C4"/>
    <w:rsid w:val="00A00785"/>
    <w:rsid w:val="00A01236"/>
    <w:rsid w:val="00A0593B"/>
    <w:rsid w:val="00A103B1"/>
    <w:rsid w:val="00A12F0A"/>
    <w:rsid w:val="00A13694"/>
    <w:rsid w:val="00A13FB2"/>
    <w:rsid w:val="00A165CF"/>
    <w:rsid w:val="00A1793D"/>
    <w:rsid w:val="00A2008D"/>
    <w:rsid w:val="00A20328"/>
    <w:rsid w:val="00A22FFE"/>
    <w:rsid w:val="00A279B9"/>
    <w:rsid w:val="00A31AB7"/>
    <w:rsid w:val="00A32CEE"/>
    <w:rsid w:val="00A34C61"/>
    <w:rsid w:val="00A3608E"/>
    <w:rsid w:val="00A42199"/>
    <w:rsid w:val="00A4282D"/>
    <w:rsid w:val="00A475D7"/>
    <w:rsid w:val="00A47C1B"/>
    <w:rsid w:val="00A53E96"/>
    <w:rsid w:val="00A54B64"/>
    <w:rsid w:val="00A5539A"/>
    <w:rsid w:val="00A55711"/>
    <w:rsid w:val="00A61773"/>
    <w:rsid w:val="00A62F28"/>
    <w:rsid w:val="00A654E8"/>
    <w:rsid w:val="00A66BB2"/>
    <w:rsid w:val="00A66CA4"/>
    <w:rsid w:val="00A6769E"/>
    <w:rsid w:val="00A72615"/>
    <w:rsid w:val="00A73148"/>
    <w:rsid w:val="00A7462E"/>
    <w:rsid w:val="00A755B6"/>
    <w:rsid w:val="00A81E95"/>
    <w:rsid w:val="00A836EC"/>
    <w:rsid w:val="00A83D94"/>
    <w:rsid w:val="00A83F17"/>
    <w:rsid w:val="00A84B21"/>
    <w:rsid w:val="00A90789"/>
    <w:rsid w:val="00A91539"/>
    <w:rsid w:val="00A9222E"/>
    <w:rsid w:val="00A9673C"/>
    <w:rsid w:val="00A96814"/>
    <w:rsid w:val="00AA499F"/>
    <w:rsid w:val="00AA690D"/>
    <w:rsid w:val="00AA6B9A"/>
    <w:rsid w:val="00AB10E9"/>
    <w:rsid w:val="00AB1AF3"/>
    <w:rsid w:val="00AB2A2E"/>
    <w:rsid w:val="00AB45DB"/>
    <w:rsid w:val="00AB54A2"/>
    <w:rsid w:val="00AB5B09"/>
    <w:rsid w:val="00AB61F2"/>
    <w:rsid w:val="00AB6455"/>
    <w:rsid w:val="00AB6527"/>
    <w:rsid w:val="00AB6C0D"/>
    <w:rsid w:val="00AC100A"/>
    <w:rsid w:val="00AC1E0C"/>
    <w:rsid w:val="00AC6302"/>
    <w:rsid w:val="00AC6880"/>
    <w:rsid w:val="00AD0772"/>
    <w:rsid w:val="00AD1CBD"/>
    <w:rsid w:val="00AD335C"/>
    <w:rsid w:val="00AD3781"/>
    <w:rsid w:val="00AD4D84"/>
    <w:rsid w:val="00AD7B00"/>
    <w:rsid w:val="00AE5441"/>
    <w:rsid w:val="00AE7869"/>
    <w:rsid w:val="00AF6F44"/>
    <w:rsid w:val="00B002B1"/>
    <w:rsid w:val="00B0138E"/>
    <w:rsid w:val="00B017D9"/>
    <w:rsid w:val="00B017EF"/>
    <w:rsid w:val="00B0433F"/>
    <w:rsid w:val="00B0580A"/>
    <w:rsid w:val="00B12600"/>
    <w:rsid w:val="00B16282"/>
    <w:rsid w:val="00B21D52"/>
    <w:rsid w:val="00B2731B"/>
    <w:rsid w:val="00B340E3"/>
    <w:rsid w:val="00B40001"/>
    <w:rsid w:val="00B447B0"/>
    <w:rsid w:val="00B46AF0"/>
    <w:rsid w:val="00B47A75"/>
    <w:rsid w:val="00B50F45"/>
    <w:rsid w:val="00B53FA8"/>
    <w:rsid w:val="00B5601B"/>
    <w:rsid w:val="00B62C6C"/>
    <w:rsid w:val="00B65F2B"/>
    <w:rsid w:val="00B66A89"/>
    <w:rsid w:val="00B66C18"/>
    <w:rsid w:val="00B678E5"/>
    <w:rsid w:val="00B72EE7"/>
    <w:rsid w:val="00B74505"/>
    <w:rsid w:val="00B81A8C"/>
    <w:rsid w:val="00B833D2"/>
    <w:rsid w:val="00B851CC"/>
    <w:rsid w:val="00B86D6B"/>
    <w:rsid w:val="00B87265"/>
    <w:rsid w:val="00B8797C"/>
    <w:rsid w:val="00B91F0F"/>
    <w:rsid w:val="00B95087"/>
    <w:rsid w:val="00BA3862"/>
    <w:rsid w:val="00BA5FCB"/>
    <w:rsid w:val="00BA6A96"/>
    <w:rsid w:val="00BB3803"/>
    <w:rsid w:val="00BB4894"/>
    <w:rsid w:val="00BB50E7"/>
    <w:rsid w:val="00BB5545"/>
    <w:rsid w:val="00BB6946"/>
    <w:rsid w:val="00BC0865"/>
    <w:rsid w:val="00BC0BAC"/>
    <w:rsid w:val="00BC14DC"/>
    <w:rsid w:val="00BC3C95"/>
    <w:rsid w:val="00BC6EB3"/>
    <w:rsid w:val="00BD1559"/>
    <w:rsid w:val="00BD6354"/>
    <w:rsid w:val="00BD6AB4"/>
    <w:rsid w:val="00BD6C84"/>
    <w:rsid w:val="00BD6CF3"/>
    <w:rsid w:val="00BD7ECE"/>
    <w:rsid w:val="00BE6F7F"/>
    <w:rsid w:val="00BF0C87"/>
    <w:rsid w:val="00BF0D2B"/>
    <w:rsid w:val="00BF1B7F"/>
    <w:rsid w:val="00BF4137"/>
    <w:rsid w:val="00BF42AC"/>
    <w:rsid w:val="00BF4387"/>
    <w:rsid w:val="00BF5F0E"/>
    <w:rsid w:val="00C02F6C"/>
    <w:rsid w:val="00C035BE"/>
    <w:rsid w:val="00C045BA"/>
    <w:rsid w:val="00C04E47"/>
    <w:rsid w:val="00C05007"/>
    <w:rsid w:val="00C064FA"/>
    <w:rsid w:val="00C145AC"/>
    <w:rsid w:val="00C15C74"/>
    <w:rsid w:val="00C16698"/>
    <w:rsid w:val="00C21268"/>
    <w:rsid w:val="00C23122"/>
    <w:rsid w:val="00C376C4"/>
    <w:rsid w:val="00C444EF"/>
    <w:rsid w:val="00C44A48"/>
    <w:rsid w:val="00C44B7D"/>
    <w:rsid w:val="00C50521"/>
    <w:rsid w:val="00C51861"/>
    <w:rsid w:val="00C60931"/>
    <w:rsid w:val="00C60A83"/>
    <w:rsid w:val="00C61420"/>
    <w:rsid w:val="00C614D6"/>
    <w:rsid w:val="00C6365C"/>
    <w:rsid w:val="00C6575C"/>
    <w:rsid w:val="00C65DB8"/>
    <w:rsid w:val="00C66B51"/>
    <w:rsid w:val="00C725EA"/>
    <w:rsid w:val="00C75943"/>
    <w:rsid w:val="00C7653E"/>
    <w:rsid w:val="00C76D81"/>
    <w:rsid w:val="00C770D0"/>
    <w:rsid w:val="00C82A18"/>
    <w:rsid w:val="00C82E3E"/>
    <w:rsid w:val="00C932F3"/>
    <w:rsid w:val="00C94428"/>
    <w:rsid w:val="00C9452C"/>
    <w:rsid w:val="00C95FC9"/>
    <w:rsid w:val="00CA044D"/>
    <w:rsid w:val="00CA3A87"/>
    <w:rsid w:val="00CA51BA"/>
    <w:rsid w:val="00CA5BF6"/>
    <w:rsid w:val="00CB0299"/>
    <w:rsid w:val="00CB0D24"/>
    <w:rsid w:val="00CB25F7"/>
    <w:rsid w:val="00CB4780"/>
    <w:rsid w:val="00CB49DD"/>
    <w:rsid w:val="00CB6769"/>
    <w:rsid w:val="00CC2C37"/>
    <w:rsid w:val="00CC3912"/>
    <w:rsid w:val="00CC3B70"/>
    <w:rsid w:val="00CC3C16"/>
    <w:rsid w:val="00CC450F"/>
    <w:rsid w:val="00CC471E"/>
    <w:rsid w:val="00CD4CDF"/>
    <w:rsid w:val="00CD55F0"/>
    <w:rsid w:val="00CD62CB"/>
    <w:rsid w:val="00CE02CF"/>
    <w:rsid w:val="00CE0E1E"/>
    <w:rsid w:val="00CE2C89"/>
    <w:rsid w:val="00CE3385"/>
    <w:rsid w:val="00CE3E47"/>
    <w:rsid w:val="00CF7A3F"/>
    <w:rsid w:val="00D02828"/>
    <w:rsid w:val="00D06AC1"/>
    <w:rsid w:val="00D07FFE"/>
    <w:rsid w:val="00D2005D"/>
    <w:rsid w:val="00D219FB"/>
    <w:rsid w:val="00D22CE8"/>
    <w:rsid w:val="00D2343D"/>
    <w:rsid w:val="00D250FC"/>
    <w:rsid w:val="00D27C14"/>
    <w:rsid w:val="00D303A2"/>
    <w:rsid w:val="00D3061A"/>
    <w:rsid w:val="00D31538"/>
    <w:rsid w:val="00D319B2"/>
    <w:rsid w:val="00D332BF"/>
    <w:rsid w:val="00D3505F"/>
    <w:rsid w:val="00D3541F"/>
    <w:rsid w:val="00D3728C"/>
    <w:rsid w:val="00D373A2"/>
    <w:rsid w:val="00D37B0F"/>
    <w:rsid w:val="00D37EF9"/>
    <w:rsid w:val="00D450C7"/>
    <w:rsid w:val="00D46E4D"/>
    <w:rsid w:val="00D520DA"/>
    <w:rsid w:val="00D53257"/>
    <w:rsid w:val="00D571DD"/>
    <w:rsid w:val="00D60267"/>
    <w:rsid w:val="00D621EF"/>
    <w:rsid w:val="00D62DB3"/>
    <w:rsid w:val="00D63944"/>
    <w:rsid w:val="00D643CD"/>
    <w:rsid w:val="00D65653"/>
    <w:rsid w:val="00D66592"/>
    <w:rsid w:val="00D66854"/>
    <w:rsid w:val="00D67E78"/>
    <w:rsid w:val="00D75B9B"/>
    <w:rsid w:val="00D7719A"/>
    <w:rsid w:val="00D806DC"/>
    <w:rsid w:val="00D841F0"/>
    <w:rsid w:val="00D86992"/>
    <w:rsid w:val="00D8729D"/>
    <w:rsid w:val="00D90026"/>
    <w:rsid w:val="00D9146E"/>
    <w:rsid w:val="00D92CC0"/>
    <w:rsid w:val="00D93786"/>
    <w:rsid w:val="00D94039"/>
    <w:rsid w:val="00D975FE"/>
    <w:rsid w:val="00DA1C99"/>
    <w:rsid w:val="00DA1F78"/>
    <w:rsid w:val="00DA3ADF"/>
    <w:rsid w:val="00DA716E"/>
    <w:rsid w:val="00DA78FD"/>
    <w:rsid w:val="00DB1435"/>
    <w:rsid w:val="00DB149E"/>
    <w:rsid w:val="00DB2D81"/>
    <w:rsid w:val="00DB3AB7"/>
    <w:rsid w:val="00DB5752"/>
    <w:rsid w:val="00DB601B"/>
    <w:rsid w:val="00DC0290"/>
    <w:rsid w:val="00DC0B46"/>
    <w:rsid w:val="00DD40B7"/>
    <w:rsid w:val="00DD792F"/>
    <w:rsid w:val="00DE0D29"/>
    <w:rsid w:val="00DE355F"/>
    <w:rsid w:val="00DE3D88"/>
    <w:rsid w:val="00DE411C"/>
    <w:rsid w:val="00DE6B04"/>
    <w:rsid w:val="00DF0640"/>
    <w:rsid w:val="00E10BC3"/>
    <w:rsid w:val="00E11746"/>
    <w:rsid w:val="00E17DA8"/>
    <w:rsid w:val="00E21392"/>
    <w:rsid w:val="00E40380"/>
    <w:rsid w:val="00E43923"/>
    <w:rsid w:val="00E46D3E"/>
    <w:rsid w:val="00E505AA"/>
    <w:rsid w:val="00E528BF"/>
    <w:rsid w:val="00E52D8A"/>
    <w:rsid w:val="00E54751"/>
    <w:rsid w:val="00E5479B"/>
    <w:rsid w:val="00E54E90"/>
    <w:rsid w:val="00E573EA"/>
    <w:rsid w:val="00E60976"/>
    <w:rsid w:val="00E625B4"/>
    <w:rsid w:val="00E62CB2"/>
    <w:rsid w:val="00E63968"/>
    <w:rsid w:val="00E65085"/>
    <w:rsid w:val="00E67D5A"/>
    <w:rsid w:val="00E75E54"/>
    <w:rsid w:val="00E76C94"/>
    <w:rsid w:val="00E77FB0"/>
    <w:rsid w:val="00E80431"/>
    <w:rsid w:val="00E804BC"/>
    <w:rsid w:val="00E8083D"/>
    <w:rsid w:val="00E81257"/>
    <w:rsid w:val="00E81935"/>
    <w:rsid w:val="00E82D88"/>
    <w:rsid w:val="00E83AEA"/>
    <w:rsid w:val="00E845E4"/>
    <w:rsid w:val="00E85570"/>
    <w:rsid w:val="00E86534"/>
    <w:rsid w:val="00E869D1"/>
    <w:rsid w:val="00E87E32"/>
    <w:rsid w:val="00E903EA"/>
    <w:rsid w:val="00E912A6"/>
    <w:rsid w:val="00E9238F"/>
    <w:rsid w:val="00E94057"/>
    <w:rsid w:val="00E9421B"/>
    <w:rsid w:val="00E948C9"/>
    <w:rsid w:val="00E95C0A"/>
    <w:rsid w:val="00EA1953"/>
    <w:rsid w:val="00EA341A"/>
    <w:rsid w:val="00EA496B"/>
    <w:rsid w:val="00EA7515"/>
    <w:rsid w:val="00EB00A7"/>
    <w:rsid w:val="00EB2470"/>
    <w:rsid w:val="00EB6C37"/>
    <w:rsid w:val="00EB71C6"/>
    <w:rsid w:val="00EC3905"/>
    <w:rsid w:val="00EC43BC"/>
    <w:rsid w:val="00EC500D"/>
    <w:rsid w:val="00EC5959"/>
    <w:rsid w:val="00EC6387"/>
    <w:rsid w:val="00ED012C"/>
    <w:rsid w:val="00ED0CE2"/>
    <w:rsid w:val="00ED1050"/>
    <w:rsid w:val="00ED1E79"/>
    <w:rsid w:val="00ED421F"/>
    <w:rsid w:val="00ED6225"/>
    <w:rsid w:val="00ED7219"/>
    <w:rsid w:val="00ED7E7C"/>
    <w:rsid w:val="00EE1547"/>
    <w:rsid w:val="00EE4EF2"/>
    <w:rsid w:val="00EE600D"/>
    <w:rsid w:val="00EF153F"/>
    <w:rsid w:val="00EF1F7C"/>
    <w:rsid w:val="00EF280B"/>
    <w:rsid w:val="00F04F88"/>
    <w:rsid w:val="00F062EF"/>
    <w:rsid w:val="00F1062C"/>
    <w:rsid w:val="00F10891"/>
    <w:rsid w:val="00F13556"/>
    <w:rsid w:val="00F17EB3"/>
    <w:rsid w:val="00F17FA3"/>
    <w:rsid w:val="00F200A9"/>
    <w:rsid w:val="00F2051F"/>
    <w:rsid w:val="00F2210F"/>
    <w:rsid w:val="00F22B61"/>
    <w:rsid w:val="00F24CEE"/>
    <w:rsid w:val="00F25DC4"/>
    <w:rsid w:val="00F25F6C"/>
    <w:rsid w:val="00F26D7C"/>
    <w:rsid w:val="00F27965"/>
    <w:rsid w:val="00F30D39"/>
    <w:rsid w:val="00F32CFD"/>
    <w:rsid w:val="00F342C6"/>
    <w:rsid w:val="00F37524"/>
    <w:rsid w:val="00F37C23"/>
    <w:rsid w:val="00F40C06"/>
    <w:rsid w:val="00F40CCE"/>
    <w:rsid w:val="00F42FB1"/>
    <w:rsid w:val="00F4515B"/>
    <w:rsid w:val="00F46243"/>
    <w:rsid w:val="00F47476"/>
    <w:rsid w:val="00F50A31"/>
    <w:rsid w:val="00F53D8A"/>
    <w:rsid w:val="00F5514A"/>
    <w:rsid w:val="00F55792"/>
    <w:rsid w:val="00F55950"/>
    <w:rsid w:val="00F57679"/>
    <w:rsid w:val="00F577F2"/>
    <w:rsid w:val="00F60AC1"/>
    <w:rsid w:val="00F62F18"/>
    <w:rsid w:val="00F65139"/>
    <w:rsid w:val="00F659AA"/>
    <w:rsid w:val="00F679FE"/>
    <w:rsid w:val="00F70EEE"/>
    <w:rsid w:val="00F713E0"/>
    <w:rsid w:val="00F7182F"/>
    <w:rsid w:val="00F71EE1"/>
    <w:rsid w:val="00F73B74"/>
    <w:rsid w:val="00F770F0"/>
    <w:rsid w:val="00F864FD"/>
    <w:rsid w:val="00F92090"/>
    <w:rsid w:val="00F960E7"/>
    <w:rsid w:val="00F97A77"/>
    <w:rsid w:val="00FA1506"/>
    <w:rsid w:val="00FA253D"/>
    <w:rsid w:val="00FA46EA"/>
    <w:rsid w:val="00FA58C9"/>
    <w:rsid w:val="00FB1123"/>
    <w:rsid w:val="00FB3811"/>
    <w:rsid w:val="00FB442F"/>
    <w:rsid w:val="00FB5D05"/>
    <w:rsid w:val="00FC1A88"/>
    <w:rsid w:val="00FC1DA3"/>
    <w:rsid w:val="00FC31A7"/>
    <w:rsid w:val="00FC5BFE"/>
    <w:rsid w:val="00FC6DA9"/>
    <w:rsid w:val="00FC7F9D"/>
    <w:rsid w:val="00FD5491"/>
    <w:rsid w:val="00FD559A"/>
    <w:rsid w:val="00FD5ED5"/>
    <w:rsid w:val="00FD6541"/>
    <w:rsid w:val="00FD742B"/>
    <w:rsid w:val="00FE04EF"/>
    <w:rsid w:val="00FE09BB"/>
    <w:rsid w:val="00FE10AB"/>
    <w:rsid w:val="00FE1182"/>
    <w:rsid w:val="00FE3296"/>
    <w:rsid w:val="00FE5E77"/>
    <w:rsid w:val="00FE7AA7"/>
    <w:rsid w:val="00FF0AAE"/>
    <w:rsid w:val="00FF0F93"/>
    <w:rsid w:val="00FF25B5"/>
    <w:rsid w:val="00FF2638"/>
    <w:rsid w:val="00FF4A2B"/>
    <w:rsid w:val="00FF725C"/>
    <w:rsid w:val="00FF7DE1"/>
    <w:rsid w:val="01004130"/>
    <w:rsid w:val="011872C6"/>
    <w:rsid w:val="011943E9"/>
    <w:rsid w:val="01255442"/>
    <w:rsid w:val="01406DAE"/>
    <w:rsid w:val="01437FA0"/>
    <w:rsid w:val="01453446"/>
    <w:rsid w:val="0145372C"/>
    <w:rsid w:val="015610A0"/>
    <w:rsid w:val="015C425C"/>
    <w:rsid w:val="016554EB"/>
    <w:rsid w:val="017040E3"/>
    <w:rsid w:val="01777D20"/>
    <w:rsid w:val="01782C38"/>
    <w:rsid w:val="01792A76"/>
    <w:rsid w:val="017F0585"/>
    <w:rsid w:val="01801C3B"/>
    <w:rsid w:val="01920CEC"/>
    <w:rsid w:val="01951699"/>
    <w:rsid w:val="01A51196"/>
    <w:rsid w:val="01A9107A"/>
    <w:rsid w:val="01A91FDD"/>
    <w:rsid w:val="01BB706C"/>
    <w:rsid w:val="01CA4AE7"/>
    <w:rsid w:val="01CC183A"/>
    <w:rsid w:val="01CC6F64"/>
    <w:rsid w:val="01D53E6D"/>
    <w:rsid w:val="01EE2CF3"/>
    <w:rsid w:val="01FF49A8"/>
    <w:rsid w:val="02137756"/>
    <w:rsid w:val="02476093"/>
    <w:rsid w:val="0248190C"/>
    <w:rsid w:val="024A6F06"/>
    <w:rsid w:val="024D23D2"/>
    <w:rsid w:val="02564C90"/>
    <w:rsid w:val="0264681F"/>
    <w:rsid w:val="026A27E5"/>
    <w:rsid w:val="026B4DC6"/>
    <w:rsid w:val="026E7B77"/>
    <w:rsid w:val="02764D22"/>
    <w:rsid w:val="02877E80"/>
    <w:rsid w:val="028E3D62"/>
    <w:rsid w:val="02B11BBB"/>
    <w:rsid w:val="02C34AE9"/>
    <w:rsid w:val="02C75F1F"/>
    <w:rsid w:val="02C77D86"/>
    <w:rsid w:val="02CA60BA"/>
    <w:rsid w:val="02DC7B55"/>
    <w:rsid w:val="02E34246"/>
    <w:rsid w:val="02EC3C0D"/>
    <w:rsid w:val="02EC67A5"/>
    <w:rsid w:val="02EF3A83"/>
    <w:rsid w:val="02F858DD"/>
    <w:rsid w:val="03021D96"/>
    <w:rsid w:val="03063DE3"/>
    <w:rsid w:val="030829A5"/>
    <w:rsid w:val="030E7054"/>
    <w:rsid w:val="030F4F17"/>
    <w:rsid w:val="03165DDC"/>
    <w:rsid w:val="031D0BF8"/>
    <w:rsid w:val="03294C40"/>
    <w:rsid w:val="0337699F"/>
    <w:rsid w:val="03382E54"/>
    <w:rsid w:val="034F274B"/>
    <w:rsid w:val="03520321"/>
    <w:rsid w:val="03536F03"/>
    <w:rsid w:val="03553650"/>
    <w:rsid w:val="035C5ED3"/>
    <w:rsid w:val="03684CD2"/>
    <w:rsid w:val="036F47F4"/>
    <w:rsid w:val="038033FF"/>
    <w:rsid w:val="038541E9"/>
    <w:rsid w:val="038672A8"/>
    <w:rsid w:val="03953FE6"/>
    <w:rsid w:val="039E3CFA"/>
    <w:rsid w:val="03A607DC"/>
    <w:rsid w:val="03A8191E"/>
    <w:rsid w:val="03AC133F"/>
    <w:rsid w:val="03AC2E2C"/>
    <w:rsid w:val="03B33F25"/>
    <w:rsid w:val="03BB0FD1"/>
    <w:rsid w:val="03BE7EE8"/>
    <w:rsid w:val="03C67E93"/>
    <w:rsid w:val="03CD6C8F"/>
    <w:rsid w:val="03ED29B9"/>
    <w:rsid w:val="03F80092"/>
    <w:rsid w:val="03FF1473"/>
    <w:rsid w:val="040455E3"/>
    <w:rsid w:val="040476FD"/>
    <w:rsid w:val="0413437B"/>
    <w:rsid w:val="04165CEB"/>
    <w:rsid w:val="042820EC"/>
    <w:rsid w:val="04305BE7"/>
    <w:rsid w:val="04381BCE"/>
    <w:rsid w:val="043C223F"/>
    <w:rsid w:val="044524F8"/>
    <w:rsid w:val="045853EE"/>
    <w:rsid w:val="045A4167"/>
    <w:rsid w:val="0478148B"/>
    <w:rsid w:val="04875159"/>
    <w:rsid w:val="049149E6"/>
    <w:rsid w:val="04943427"/>
    <w:rsid w:val="04983001"/>
    <w:rsid w:val="049C253F"/>
    <w:rsid w:val="04A63B98"/>
    <w:rsid w:val="04B579A9"/>
    <w:rsid w:val="04B615DF"/>
    <w:rsid w:val="04BD1D1B"/>
    <w:rsid w:val="04C65839"/>
    <w:rsid w:val="04CA6422"/>
    <w:rsid w:val="04D375BE"/>
    <w:rsid w:val="04D431FE"/>
    <w:rsid w:val="04D95B73"/>
    <w:rsid w:val="04DD2D35"/>
    <w:rsid w:val="04E976BB"/>
    <w:rsid w:val="04EC17CA"/>
    <w:rsid w:val="04EE55FD"/>
    <w:rsid w:val="04F91ECB"/>
    <w:rsid w:val="04FF3E24"/>
    <w:rsid w:val="050F254E"/>
    <w:rsid w:val="050F4EC3"/>
    <w:rsid w:val="05130C4D"/>
    <w:rsid w:val="052028A4"/>
    <w:rsid w:val="052509ED"/>
    <w:rsid w:val="05364AC4"/>
    <w:rsid w:val="053F690B"/>
    <w:rsid w:val="054544F5"/>
    <w:rsid w:val="05494328"/>
    <w:rsid w:val="05515408"/>
    <w:rsid w:val="05574004"/>
    <w:rsid w:val="055F3AAE"/>
    <w:rsid w:val="057B7845"/>
    <w:rsid w:val="059200C3"/>
    <w:rsid w:val="059627F1"/>
    <w:rsid w:val="05C64E82"/>
    <w:rsid w:val="05D47B7A"/>
    <w:rsid w:val="05D96EAF"/>
    <w:rsid w:val="05EC2427"/>
    <w:rsid w:val="05F40070"/>
    <w:rsid w:val="05F40463"/>
    <w:rsid w:val="05F724ED"/>
    <w:rsid w:val="05FD0F03"/>
    <w:rsid w:val="05FF7F5B"/>
    <w:rsid w:val="060A7476"/>
    <w:rsid w:val="0610489A"/>
    <w:rsid w:val="06126315"/>
    <w:rsid w:val="06146FD8"/>
    <w:rsid w:val="06176694"/>
    <w:rsid w:val="061E3A4B"/>
    <w:rsid w:val="062325E4"/>
    <w:rsid w:val="06276E38"/>
    <w:rsid w:val="06293EDD"/>
    <w:rsid w:val="06307FC2"/>
    <w:rsid w:val="06352861"/>
    <w:rsid w:val="063546B9"/>
    <w:rsid w:val="063D55AA"/>
    <w:rsid w:val="064D2FF5"/>
    <w:rsid w:val="06582C78"/>
    <w:rsid w:val="06664198"/>
    <w:rsid w:val="066B65A9"/>
    <w:rsid w:val="0670260F"/>
    <w:rsid w:val="06734271"/>
    <w:rsid w:val="0674150B"/>
    <w:rsid w:val="067B5947"/>
    <w:rsid w:val="067D5E08"/>
    <w:rsid w:val="06806700"/>
    <w:rsid w:val="068A0C67"/>
    <w:rsid w:val="069342FC"/>
    <w:rsid w:val="069C5BA0"/>
    <w:rsid w:val="069C61E7"/>
    <w:rsid w:val="06A00DB1"/>
    <w:rsid w:val="06A27FD8"/>
    <w:rsid w:val="06AC0076"/>
    <w:rsid w:val="06B33EB0"/>
    <w:rsid w:val="06B90066"/>
    <w:rsid w:val="06C149EF"/>
    <w:rsid w:val="06D93CE8"/>
    <w:rsid w:val="06DD61D3"/>
    <w:rsid w:val="06E01BDB"/>
    <w:rsid w:val="06E92303"/>
    <w:rsid w:val="06EB6070"/>
    <w:rsid w:val="06FA578C"/>
    <w:rsid w:val="07023C9A"/>
    <w:rsid w:val="070D6BBA"/>
    <w:rsid w:val="07196688"/>
    <w:rsid w:val="072256A4"/>
    <w:rsid w:val="07240C03"/>
    <w:rsid w:val="07346A6A"/>
    <w:rsid w:val="073C4D06"/>
    <w:rsid w:val="073D5FF5"/>
    <w:rsid w:val="07426EAB"/>
    <w:rsid w:val="07623AAC"/>
    <w:rsid w:val="076B4EFA"/>
    <w:rsid w:val="07716473"/>
    <w:rsid w:val="077F3610"/>
    <w:rsid w:val="07846754"/>
    <w:rsid w:val="0784736B"/>
    <w:rsid w:val="078E7C70"/>
    <w:rsid w:val="078F597F"/>
    <w:rsid w:val="079311C5"/>
    <w:rsid w:val="07967C82"/>
    <w:rsid w:val="07976E6E"/>
    <w:rsid w:val="07A117BD"/>
    <w:rsid w:val="07A561EC"/>
    <w:rsid w:val="07A96B82"/>
    <w:rsid w:val="07B2029C"/>
    <w:rsid w:val="07CC5C57"/>
    <w:rsid w:val="07D12A1F"/>
    <w:rsid w:val="07DC7576"/>
    <w:rsid w:val="07E62046"/>
    <w:rsid w:val="07E872F9"/>
    <w:rsid w:val="07E9237E"/>
    <w:rsid w:val="07EE5B32"/>
    <w:rsid w:val="07EF6389"/>
    <w:rsid w:val="07F207C5"/>
    <w:rsid w:val="07F74D3B"/>
    <w:rsid w:val="08045843"/>
    <w:rsid w:val="08093BFF"/>
    <w:rsid w:val="080F3238"/>
    <w:rsid w:val="08165C70"/>
    <w:rsid w:val="08177B01"/>
    <w:rsid w:val="081912E3"/>
    <w:rsid w:val="081E24F0"/>
    <w:rsid w:val="0823289A"/>
    <w:rsid w:val="082E4846"/>
    <w:rsid w:val="083146E3"/>
    <w:rsid w:val="083F5EAF"/>
    <w:rsid w:val="08540489"/>
    <w:rsid w:val="085F3BDD"/>
    <w:rsid w:val="08885913"/>
    <w:rsid w:val="088C2FF3"/>
    <w:rsid w:val="08B5475B"/>
    <w:rsid w:val="08B76175"/>
    <w:rsid w:val="08BB67CB"/>
    <w:rsid w:val="08C66F28"/>
    <w:rsid w:val="08CC7681"/>
    <w:rsid w:val="08CF1185"/>
    <w:rsid w:val="08D529A9"/>
    <w:rsid w:val="08D84649"/>
    <w:rsid w:val="08E27B26"/>
    <w:rsid w:val="08E60EAC"/>
    <w:rsid w:val="08F67E67"/>
    <w:rsid w:val="08FB2B50"/>
    <w:rsid w:val="08FD535E"/>
    <w:rsid w:val="08FF6B38"/>
    <w:rsid w:val="0902208D"/>
    <w:rsid w:val="09092E0E"/>
    <w:rsid w:val="09204863"/>
    <w:rsid w:val="092A2423"/>
    <w:rsid w:val="092E3581"/>
    <w:rsid w:val="092E360B"/>
    <w:rsid w:val="093357F3"/>
    <w:rsid w:val="09356834"/>
    <w:rsid w:val="094351D7"/>
    <w:rsid w:val="094F6341"/>
    <w:rsid w:val="09573410"/>
    <w:rsid w:val="09610734"/>
    <w:rsid w:val="09670A36"/>
    <w:rsid w:val="09794AC1"/>
    <w:rsid w:val="09814835"/>
    <w:rsid w:val="098E03F4"/>
    <w:rsid w:val="099C0AAF"/>
    <w:rsid w:val="09AF66D3"/>
    <w:rsid w:val="09B07569"/>
    <w:rsid w:val="09BC3061"/>
    <w:rsid w:val="09C20798"/>
    <w:rsid w:val="09C461D4"/>
    <w:rsid w:val="09C722AF"/>
    <w:rsid w:val="09CD4C81"/>
    <w:rsid w:val="09D95761"/>
    <w:rsid w:val="09DC727B"/>
    <w:rsid w:val="09E14E5C"/>
    <w:rsid w:val="09E518C5"/>
    <w:rsid w:val="09F62469"/>
    <w:rsid w:val="09F8159C"/>
    <w:rsid w:val="0A0614B6"/>
    <w:rsid w:val="0A097264"/>
    <w:rsid w:val="0A180363"/>
    <w:rsid w:val="0A1D6C37"/>
    <w:rsid w:val="0A260A4F"/>
    <w:rsid w:val="0A286472"/>
    <w:rsid w:val="0A3558AB"/>
    <w:rsid w:val="0A3B44A0"/>
    <w:rsid w:val="0A4D3F88"/>
    <w:rsid w:val="0A4D4858"/>
    <w:rsid w:val="0A52716B"/>
    <w:rsid w:val="0A56753D"/>
    <w:rsid w:val="0A61554D"/>
    <w:rsid w:val="0A6664D6"/>
    <w:rsid w:val="0A8437B6"/>
    <w:rsid w:val="0A876F52"/>
    <w:rsid w:val="0A9A1F8B"/>
    <w:rsid w:val="0AAA0621"/>
    <w:rsid w:val="0AAB3000"/>
    <w:rsid w:val="0AB90E43"/>
    <w:rsid w:val="0ABF3A00"/>
    <w:rsid w:val="0AC3223E"/>
    <w:rsid w:val="0ACD0087"/>
    <w:rsid w:val="0AD81C67"/>
    <w:rsid w:val="0ADD08A2"/>
    <w:rsid w:val="0AE03CFF"/>
    <w:rsid w:val="0AFA01B3"/>
    <w:rsid w:val="0AFC20EB"/>
    <w:rsid w:val="0AFD272F"/>
    <w:rsid w:val="0B002D2C"/>
    <w:rsid w:val="0B0219E7"/>
    <w:rsid w:val="0B122790"/>
    <w:rsid w:val="0B1820A4"/>
    <w:rsid w:val="0B231CAA"/>
    <w:rsid w:val="0B263FF5"/>
    <w:rsid w:val="0B264D27"/>
    <w:rsid w:val="0B3A28A9"/>
    <w:rsid w:val="0B3A342D"/>
    <w:rsid w:val="0B501611"/>
    <w:rsid w:val="0B610445"/>
    <w:rsid w:val="0B6641B0"/>
    <w:rsid w:val="0B6E4BA0"/>
    <w:rsid w:val="0B756EB5"/>
    <w:rsid w:val="0B774EBE"/>
    <w:rsid w:val="0B863E3A"/>
    <w:rsid w:val="0B8A7801"/>
    <w:rsid w:val="0B99001B"/>
    <w:rsid w:val="0BB252A3"/>
    <w:rsid w:val="0BC15F4C"/>
    <w:rsid w:val="0BC53F14"/>
    <w:rsid w:val="0BC7082F"/>
    <w:rsid w:val="0BC864E2"/>
    <w:rsid w:val="0BC92DAD"/>
    <w:rsid w:val="0BDF5CA4"/>
    <w:rsid w:val="0BE261E9"/>
    <w:rsid w:val="0BE4606B"/>
    <w:rsid w:val="0BF01F9C"/>
    <w:rsid w:val="0BF87E2F"/>
    <w:rsid w:val="0BFA1F9F"/>
    <w:rsid w:val="0BFB528F"/>
    <w:rsid w:val="0BFD5880"/>
    <w:rsid w:val="0C0306FA"/>
    <w:rsid w:val="0C052AC7"/>
    <w:rsid w:val="0C0D5264"/>
    <w:rsid w:val="0C246D04"/>
    <w:rsid w:val="0C277947"/>
    <w:rsid w:val="0C295CE1"/>
    <w:rsid w:val="0C2B54A1"/>
    <w:rsid w:val="0C2C3D7F"/>
    <w:rsid w:val="0C310346"/>
    <w:rsid w:val="0C313C60"/>
    <w:rsid w:val="0C333ED9"/>
    <w:rsid w:val="0C383318"/>
    <w:rsid w:val="0C3B2DB1"/>
    <w:rsid w:val="0C41581C"/>
    <w:rsid w:val="0C42407C"/>
    <w:rsid w:val="0C4454FF"/>
    <w:rsid w:val="0C4D133E"/>
    <w:rsid w:val="0C55409E"/>
    <w:rsid w:val="0C660126"/>
    <w:rsid w:val="0C693BF6"/>
    <w:rsid w:val="0C912815"/>
    <w:rsid w:val="0C9C6DE8"/>
    <w:rsid w:val="0C9C73A8"/>
    <w:rsid w:val="0CA94077"/>
    <w:rsid w:val="0CB87A17"/>
    <w:rsid w:val="0CB95388"/>
    <w:rsid w:val="0CBD088E"/>
    <w:rsid w:val="0CC67DB8"/>
    <w:rsid w:val="0CD60F19"/>
    <w:rsid w:val="0CDC160C"/>
    <w:rsid w:val="0CE018D4"/>
    <w:rsid w:val="0CE44F51"/>
    <w:rsid w:val="0CEC56AB"/>
    <w:rsid w:val="0CF65C40"/>
    <w:rsid w:val="0CFF6096"/>
    <w:rsid w:val="0D08187E"/>
    <w:rsid w:val="0D0E3040"/>
    <w:rsid w:val="0D140D1E"/>
    <w:rsid w:val="0D326395"/>
    <w:rsid w:val="0D482DD7"/>
    <w:rsid w:val="0D4968A6"/>
    <w:rsid w:val="0D4A567E"/>
    <w:rsid w:val="0D4B67FF"/>
    <w:rsid w:val="0D54061F"/>
    <w:rsid w:val="0D6E2D5F"/>
    <w:rsid w:val="0D7029C2"/>
    <w:rsid w:val="0D89384B"/>
    <w:rsid w:val="0D8B55B3"/>
    <w:rsid w:val="0D8E1ED6"/>
    <w:rsid w:val="0D8E50AA"/>
    <w:rsid w:val="0D9F0AEE"/>
    <w:rsid w:val="0D9F2810"/>
    <w:rsid w:val="0DA8791E"/>
    <w:rsid w:val="0DAE25F6"/>
    <w:rsid w:val="0DB00F86"/>
    <w:rsid w:val="0DD01183"/>
    <w:rsid w:val="0DD85099"/>
    <w:rsid w:val="0DE712C8"/>
    <w:rsid w:val="0DEE5347"/>
    <w:rsid w:val="0E13770C"/>
    <w:rsid w:val="0E1A496D"/>
    <w:rsid w:val="0E282A95"/>
    <w:rsid w:val="0E366B99"/>
    <w:rsid w:val="0E3F1F8D"/>
    <w:rsid w:val="0E4C04CD"/>
    <w:rsid w:val="0E4E1832"/>
    <w:rsid w:val="0E4E7102"/>
    <w:rsid w:val="0E5C6539"/>
    <w:rsid w:val="0E6114A4"/>
    <w:rsid w:val="0E6C64AA"/>
    <w:rsid w:val="0E6D17E3"/>
    <w:rsid w:val="0E7861F5"/>
    <w:rsid w:val="0E7B0D60"/>
    <w:rsid w:val="0E7C78A6"/>
    <w:rsid w:val="0E876A74"/>
    <w:rsid w:val="0E993B9E"/>
    <w:rsid w:val="0E9B5D42"/>
    <w:rsid w:val="0E9E2B44"/>
    <w:rsid w:val="0EA32CF7"/>
    <w:rsid w:val="0EBE3C72"/>
    <w:rsid w:val="0EBF1216"/>
    <w:rsid w:val="0EBF3ECF"/>
    <w:rsid w:val="0EC93EF8"/>
    <w:rsid w:val="0EE94AE9"/>
    <w:rsid w:val="0EED1250"/>
    <w:rsid w:val="0EFB1755"/>
    <w:rsid w:val="0EFB52A8"/>
    <w:rsid w:val="0F034D41"/>
    <w:rsid w:val="0F164466"/>
    <w:rsid w:val="0F1C1552"/>
    <w:rsid w:val="0F1F3B54"/>
    <w:rsid w:val="0F230706"/>
    <w:rsid w:val="0F2867E7"/>
    <w:rsid w:val="0F342369"/>
    <w:rsid w:val="0F35659E"/>
    <w:rsid w:val="0F363AE8"/>
    <w:rsid w:val="0F391A1A"/>
    <w:rsid w:val="0F4277EE"/>
    <w:rsid w:val="0F47376D"/>
    <w:rsid w:val="0F483884"/>
    <w:rsid w:val="0F4D0B28"/>
    <w:rsid w:val="0F4F5AA7"/>
    <w:rsid w:val="0F552714"/>
    <w:rsid w:val="0F563E11"/>
    <w:rsid w:val="0F596C81"/>
    <w:rsid w:val="0F5D3837"/>
    <w:rsid w:val="0F805CC3"/>
    <w:rsid w:val="0F947426"/>
    <w:rsid w:val="0F9728AF"/>
    <w:rsid w:val="0F9A7103"/>
    <w:rsid w:val="0FB1622F"/>
    <w:rsid w:val="0FC27485"/>
    <w:rsid w:val="0FC33642"/>
    <w:rsid w:val="0FD45018"/>
    <w:rsid w:val="101177EF"/>
    <w:rsid w:val="102C6033"/>
    <w:rsid w:val="102D0D34"/>
    <w:rsid w:val="102D7E94"/>
    <w:rsid w:val="103258D2"/>
    <w:rsid w:val="10354A86"/>
    <w:rsid w:val="10374524"/>
    <w:rsid w:val="103C6745"/>
    <w:rsid w:val="103F0EEE"/>
    <w:rsid w:val="1040065A"/>
    <w:rsid w:val="10461CBD"/>
    <w:rsid w:val="105E401F"/>
    <w:rsid w:val="105F7C53"/>
    <w:rsid w:val="106724E2"/>
    <w:rsid w:val="1070799A"/>
    <w:rsid w:val="1071253C"/>
    <w:rsid w:val="107135CE"/>
    <w:rsid w:val="10716685"/>
    <w:rsid w:val="107C3676"/>
    <w:rsid w:val="10872781"/>
    <w:rsid w:val="109134FB"/>
    <w:rsid w:val="10941705"/>
    <w:rsid w:val="109707F6"/>
    <w:rsid w:val="109D245E"/>
    <w:rsid w:val="10A425B0"/>
    <w:rsid w:val="10B30F35"/>
    <w:rsid w:val="10BB38D6"/>
    <w:rsid w:val="10C703CD"/>
    <w:rsid w:val="10CA7049"/>
    <w:rsid w:val="10CA75EC"/>
    <w:rsid w:val="10D95548"/>
    <w:rsid w:val="10E03859"/>
    <w:rsid w:val="10ED761D"/>
    <w:rsid w:val="10EE27A1"/>
    <w:rsid w:val="10F27AB9"/>
    <w:rsid w:val="10F968C8"/>
    <w:rsid w:val="110C03CB"/>
    <w:rsid w:val="110C1251"/>
    <w:rsid w:val="11156B62"/>
    <w:rsid w:val="11182760"/>
    <w:rsid w:val="11194296"/>
    <w:rsid w:val="111E7160"/>
    <w:rsid w:val="11212A4C"/>
    <w:rsid w:val="112A101A"/>
    <w:rsid w:val="114F695E"/>
    <w:rsid w:val="11510210"/>
    <w:rsid w:val="115A0607"/>
    <w:rsid w:val="115D656B"/>
    <w:rsid w:val="115F0F0D"/>
    <w:rsid w:val="11655F23"/>
    <w:rsid w:val="116A1604"/>
    <w:rsid w:val="116E53BC"/>
    <w:rsid w:val="117376BD"/>
    <w:rsid w:val="117615D2"/>
    <w:rsid w:val="117B17A2"/>
    <w:rsid w:val="118A2C23"/>
    <w:rsid w:val="118C1C0A"/>
    <w:rsid w:val="118D282A"/>
    <w:rsid w:val="11955903"/>
    <w:rsid w:val="11955DF9"/>
    <w:rsid w:val="119B4AA6"/>
    <w:rsid w:val="119E23E8"/>
    <w:rsid w:val="119F7975"/>
    <w:rsid w:val="11A628B4"/>
    <w:rsid w:val="11AB0489"/>
    <w:rsid w:val="11AE1162"/>
    <w:rsid w:val="11B238A8"/>
    <w:rsid w:val="11B36AC0"/>
    <w:rsid w:val="11B57348"/>
    <w:rsid w:val="11C814EE"/>
    <w:rsid w:val="11CC78C1"/>
    <w:rsid w:val="11CD5BBB"/>
    <w:rsid w:val="11D13C12"/>
    <w:rsid w:val="11DC3466"/>
    <w:rsid w:val="11DE01BF"/>
    <w:rsid w:val="11E26B61"/>
    <w:rsid w:val="11E27252"/>
    <w:rsid w:val="1204243B"/>
    <w:rsid w:val="12046400"/>
    <w:rsid w:val="12077042"/>
    <w:rsid w:val="120A5177"/>
    <w:rsid w:val="12100616"/>
    <w:rsid w:val="12461873"/>
    <w:rsid w:val="12487BF0"/>
    <w:rsid w:val="124902B8"/>
    <w:rsid w:val="124A0DC1"/>
    <w:rsid w:val="124A3DF5"/>
    <w:rsid w:val="124E2932"/>
    <w:rsid w:val="124E2E7E"/>
    <w:rsid w:val="125D2F14"/>
    <w:rsid w:val="125D5518"/>
    <w:rsid w:val="12691D5A"/>
    <w:rsid w:val="126C7065"/>
    <w:rsid w:val="12841795"/>
    <w:rsid w:val="129F7E9C"/>
    <w:rsid w:val="12AA1205"/>
    <w:rsid w:val="12AA6CC1"/>
    <w:rsid w:val="12AE36E6"/>
    <w:rsid w:val="12B41E0F"/>
    <w:rsid w:val="12C95E99"/>
    <w:rsid w:val="12CF0A0A"/>
    <w:rsid w:val="12CF26D5"/>
    <w:rsid w:val="12D52CC4"/>
    <w:rsid w:val="12D81F98"/>
    <w:rsid w:val="12E460C6"/>
    <w:rsid w:val="12E67583"/>
    <w:rsid w:val="12E8579B"/>
    <w:rsid w:val="12E967F1"/>
    <w:rsid w:val="12F355E4"/>
    <w:rsid w:val="13204BB2"/>
    <w:rsid w:val="132D0582"/>
    <w:rsid w:val="133E24A5"/>
    <w:rsid w:val="13405F8C"/>
    <w:rsid w:val="13441534"/>
    <w:rsid w:val="134526AD"/>
    <w:rsid w:val="13466581"/>
    <w:rsid w:val="135F0C8C"/>
    <w:rsid w:val="13610A27"/>
    <w:rsid w:val="13670B12"/>
    <w:rsid w:val="13686F9E"/>
    <w:rsid w:val="136C4258"/>
    <w:rsid w:val="136E04CE"/>
    <w:rsid w:val="136E4268"/>
    <w:rsid w:val="13723B60"/>
    <w:rsid w:val="137B385A"/>
    <w:rsid w:val="137E747B"/>
    <w:rsid w:val="1389144B"/>
    <w:rsid w:val="138916F3"/>
    <w:rsid w:val="139B48BE"/>
    <w:rsid w:val="13B10215"/>
    <w:rsid w:val="13D46477"/>
    <w:rsid w:val="13E313F8"/>
    <w:rsid w:val="13EC15B1"/>
    <w:rsid w:val="13EE4166"/>
    <w:rsid w:val="13F7281B"/>
    <w:rsid w:val="13FC755E"/>
    <w:rsid w:val="14030DE2"/>
    <w:rsid w:val="14047DA5"/>
    <w:rsid w:val="140D2277"/>
    <w:rsid w:val="14185E3E"/>
    <w:rsid w:val="141A2568"/>
    <w:rsid w:val="14207EB8"/>
    <w:rsid w:val="143F414C"/>
    <w:rsid w:val="14463CA3"/>
    <w:rsid w:val="1450219D"/>
    <w:rsid w:val="14570A9A"/>
    <w:rsid w:val="145D5E25"/>
    <w:rsid w:val="14644A8C"/>
    <w:rsid w:val="149759D3"/>
    <w:rsid w:val="149B5816"/>
    <w:rsid w:val="149E6099"/>
    <w:rsid w:val="14A048C7"/>
    <w:rsid w:val="14AF7D8D"/>
    <w:rsid w:val="14B13160"/>
    <w:rsid w:val="14B35CF2"/>
    <w:rsid w:val="14BA3365"/>
    <w:rsid w:val="14C3704E"/>
    <w:rsid w:val="14C91A20"/>
    <w:rsid w:val="14CB1572"/>
    <w:rsid w:val="14D22C23"/>
    <w:rsid w:val="14E21349"/>
    <w:rsid w:val="14E607CA"/>
    <w:rsid w:val="14F2767D"/>
    <w:rsid w:val="14F87B2E"/>
    <w:rsid w:val="14FD5CDF"/>
    <w:rsid w:val="14FF726F"/>
    <w:rsid w:val="150C68E8"/>
    <w:rsid w:val="15193EF7"/>
    <w:rsid w:val="151D7627"/>
    <w:rsid w:val="151F2B7C"/>
    <w:rsid w:val="152E636F"/>
    <w:rsid w:val="153A5AAB"/>
    <w:rsid w:val="153D272E"/>
    <w:rsid w:val="15412DAD"/>
    <w:rsid w:val="155438D3"/>
    <w:rsid w:val="15563D5B"/>
    <w:rsid w:val="15582B05"/>
    <w:rsid w:val="1559303E"/>
    <w:rsid w:val="155E23BE"/>
    <w:rsid w:val="15665C0A"/>
    <w:rsid w:val="156C3032"/>
    <w:rsid w:val="15756040"/>
    <w:rsid w:val="158458AD"/>
    <w:rsid w:val="15984A3B"/>
    <w:rsid w:val="159F406A"/>
    <w:rsid w:val="15A52185"/>
    <w:rsid w:val="15AF33BF"/>
    <w:rsid w:val="15B3105A"/>
    <w:rsid w:val="15B54460"/>
    <w:rsid w:val="15C46A33"/>
    <w:rsid w:val="15C60D26"/>
    <w:rsid w:val="15D751B4"/>
    <w:rsid w:val="15E20894"/>
    <w:rsid w:val="15E62444"/>
    <w:rsid w:val="15EA3E87"/>
    <w:rsid w:val="15EB30B3"/>
    <w:rsid w:val="15FA3B8D"/>
    <w:rsid w:val="15FC1C2A"/>
    <w:rsid w:val="160127DE"/>
    <w:rsid w:val="16022EE9"/>
    <w:rsid w:val="160D61E4"/>
    <w:rsid w:val="16194B6B"/>
    <w:rsid w:val="162B5B83"/>
    <w:rsid w:val="1635378F"/>
    <w:rsid w:val="163B1EE5"/>
    <w:rsid w:val="163D0F99"/>
    <w:rsid w:val="16430D39"/>
    <w:rsid w:val="16491E01"/>
    <w:rsid w:val="164F3708"/>
    <w:rsid w:val="165139D5"/>
    <w:rsid w:val="16563830"/>
    <w:rsid w:val="1664591F"/>
    <w:rsid w:val="16672A1F"/>
    <w:rsid w:val="166A4F78"/>
    <w:rsid w:val="166C60CB"/>
    <w:rsid w:val="166F2AC9"/>
    <w:rsid w:val="16754C72"/>
    <w:rsid w:val="16765456"/>
    <w:rsid w:val="16782DB5"/>
    <w:rsid w:val="168468FE"/>
    <w:rsid w:val="168F0783"/>
    <w:rsid w:val="16915605"/>
    <w:rsid w:val="169B0A28"/>
    <w:rsid w:val="169E30E4"/>
    <w:rsid w:val="169E668A"/>
    <w:rsid w:val="16AC4A33"/>
    <w:rsid w:val="16AE1E3E"/>
    <w:rsid w:val="16B2104B"/>
    <w:rsid w:val="16B273C0"/>
    <w:rsid w:val="16EA6E25"/>
    <w:rsid w:val="16FD2729"/>
    <w:rsid w:val="17067C59"/>
    <w:rsid w:val="17111071"/>
    <w:rsid w:val="17165A09"/>
    <w:rsid w:val="171B1D62"/>
    <w:rsid w:val="171D11BE"/>
    <w:rsid w:val="17240A50"/>
    <w:rsid w:val="173073DC"/>
    <w:rsid w:val="174047C6"/>
    <w:rsid w:val="17464F46"/>
    <w:rsid w:val="175747BE"/>
    <w:rsid w:val="176823B5"/>
    <w:rsid w:val="17741892"/>
    <w:rsid w:val="177D776E"/>
    <w:rsid w:val="177F6D9E"/>
    <w:rsid w:val="178A1080"/>
    <w:rsid w:val="178A6914"/>
    <w:rsid w:val="179014F3"/>
    <w:rsid w:val="17933988"/>
    <w:rsid w:val="179C39F0"/>
    <w:rsid w:val="17A57987"/>
    <w:rsid w:val="17AD4435"/>
    <w:rsid w:val="17B83A49"/>
    <w:rsid w:val="17C45047"/>
    <w:rsid w:val="17C45BC6"/>
    <w:rsid w:val="17C566E5"/>
    <w:rsid w:val="17C56E8A"/>
    <w:rsid w:val="17C62187"/>
    <w:rsid w:val="17CA7D10"/>
    <w:rsid w:val="17D56400"/>
    <w:rsid w:val="17DF17B0"/>
    <w:rsid w:val="17E04E83"/>
    <w:rsid w:val="17E80169"/>
    <w:rsid w:val="17F425A5"/>
    <w:rsid w:val="17F51A88"/>
    <w:rsid w:val="17FF646F"/>
    <w:rsid w:val="18050743"/>
    <w:rsid w:val="180555AD"/>
    <w:rsid w:val="180919D7"/>
    <w:rsid w:val="180A5B39"/>
    <w:rsid w:val="18115D7E"/>
    <w:rsid w:val="18126F65"/>
    <w:rsid w:val="181470E4"/>
    <w:rsid w:val="181D5DF9"/>
    <w:rsid w:val="182A5C75"/>
    <w:rsid w:val="183775BA"/>
    <w:rsid w:val="183D1B2A"/>
    <w:rsid w:val="184D4632"/>
    <w:rsid w:val="185018EF"/>
    <w:rsid w:val="1853399B"/>
    <w:rsid w:val="185457B0"/>
    <w:rsid w:val="185E754A"/>
    <w:rsid w:val="18741194"/>
    <w:rsid w:val="187A44D7"/>
    <w:rsid w:val="187E37CD"/>
    <w:rsid w:val="188062E2"/>
    <w:rsid w:val="188477E6"/>
    <w:rsid w:val="18883F92"/>
    <w:rsid w:val="188D3A55"/>
    <w:rsid w:val="18A71406"/>
    <w:rsid w:val="18B920EC"/>
    <w:rsid w:val="18BD6BF6"/>
    <w:rsid w:val="18C43E61"/>
    <w:rsid w:val="18D01156"/>
    <w:rsid w:val="18E345B3"/>
    <w:rsid w:val="18E52552"/>
    <w:rsid w:val="18F80FD7"/>
    <w:rsid w:val="18FB1E1F"/>
    <w:rsid w:val="19076D2C"/>
    <w:rsid w:val="19230695"/>
    <w:rsid w:val="1937222C"/>
    <w:rsid w:val="19411611"/>
    <w:rsid w:val="194B6F58"/>
    <w:rsid w:val="195F6A66"/>
    <w:rsid w:val="19612EBA"/>
    <w:rsid w:val="1966218D"/>
    <w:rsid w:val="196770DC"/>
    <w:rsid w:val="196F28B5"/>
    <w:rsid w:val="197A1E0F"/>
    <w:rsid w:val="197B70C6"/>
    <w:rsid w:val="197F6B36"/>
    <w:rsid w:val="19910125"/>
    <w:rsid w:val="199D0D22"/>
    <w:rsid w:val="19A24F93"/>
    <w:rsid w:val="19AF37E4"/>
    <w:rsid w:val="19B10044"/>
    <w:rsid w:val="19B22CB2"/>
    <w:rsid w:val="19CE7589"/>
    <w:rsid w:val="19D47FCC"/>
    <w:rsid w:val="19DD104F"/>
    <w:rsid w:val="19EB3050"/>
    <w:rsid w:val="19EF6C87"/>
    <w:rsid w:val="19FB55AC"/>
    <w:rsid w:val="1A021D98"/>
    <w:rsid w:val="1A0E2D08"/>
    <w:rsid w:val="1A114C64"/>
    <w:rsid w:val="1A153EDC"/>
    <w:rsid w:val="1A1F26E1"/>
    <w:rsid w:val="1A20687C"/>
    <w:rsid w:val="1A28543F"/>
    <w:rsid w:val="1A30586A"/>
    <w:rsid w:val="1A344B0A"/>
    <w:rsid w:val="1A346A8C"/>
    <w:rsid w:val="1A3A07E3"/>
    <w:rsid w:val="1A421A63"/>
    <w:rsid w:val="1A4965DB"/>
    <w:rsid w:val="1A4C0ACC"/>
    <w:rsid w:val="1A5F2387"/>
    <w:rsid w:val="1A6033B8"/>
    <w:rsid w:val="1A614810"/>
    <w:rsid w:val="1A641D04"/>
    <w:rsid w:val="1A6930A4"/>
    <w:rsid w:val="1A6E3558"/>
    <w:rsid w:val="1A706492"/>
    <w:rsid w:val="1A7D1F83"/>
    <w:rsid w:val="1A85257F"/>
    <w:rsid w:val="1A924294"/>
    <w:rsid w:val="1A9F4CA8"/>
    <w:rsid w:val="1AA13DD8"/>
    <w:rsid w:val="1AA45A77"/>
    <w:rsid w:val="1AA842C2"/>
    <w:rsid w:val="1AA91A55"/>
    <w:rsid w:val="1AB064B2"/>
    <w:rsid w:val="1AB66D0A"/>
    <w:rsid w:val="1AB7264D"/>
    <w:rsid w:val="1AC47212"/>
    <w:rsid w:val="1AD20B2F"/>
    <w:rsid w:val="1AD461C3"/>
    <w:rsid w:val="1AE9679E"/>
    <w:rsid w:val="1B01568C"/>
    <w:rsid w:val="1B0D4D39"/>
    <w:rsid w:val="1B121664"/>
    <w:rsid w:val="1B135451"/>
    <w:rsid w:val="1B19197D"/>
    <w:rsid w:val="1B22572B"/>
    <w:rsid w:val="1B227349"/>
    <w:rsid w:val="1B237A59"/>
    <w:rsid w:val="1B2F4455"/>
    <w:rsid w:val="1B3A149C"/>
    <w:rsid w:val="1B401BDE"/>
    <w:rsid w:val="1B506432"/>
    <w:rsid w:val="1B653EF3"/>
    <w:rsid w:val="1B7410B7"/>
    <w:rsid w:val="1B7B4CC1"/>
    <w:rsid w:val="1B854EF9"/>
    <w:rsid w:val="1BA31363"/>
    <w:rsid w:val="1BAF1606"/>
    <w:rsid w:val="1BAF66BA"/>
    <w:rsid w:val="1BB23534"/>
    <w:rsid w:val="1BB60F76"/>
    <w:rsid w:val="1BB8160A"/>
    <w:rsid w:val="1BC67DE5"/>
    <w:rsid w:val="1BE14326"/>
    <w:rsid w:val="1BFE2022"/>
    <w:rsid w:val="1C0D1A98"/>
    <w:rsid w:val="1C0D24C9"/>
    <w:rsid w:val="1C1E625F"/>
    <w:rsid w:val="1C263FC9"/>
    <w:rsid w:val="1C2B35C6"/>
    <w:rsid w:val="1C2E0908"/>
    <w:rsid w:val="1C2E4B73"/>
    <w:rsid w:val="1C424499"/>
    <w:rsid w:val="1C48481B"/>
    <w:rsid w:val="1C633179"/>
    <w:rsid w:val="1C6636B0"/>
    <w:rsid w:val="1C6F76A3"/>
    <w:rsid w:val="1C711AB1"/>
    <w:rsid w:val="1C837FFE"/>
    <w:rsid w:val="1C8A1778"/>
    <w:rsid w:val="1C9D5866"/>
    <w:rsid w:val="1CAA442A"/>
    <w:rsid w:val="1CC503DA"/>
    <w:rsid w:val="1CC91018"/>
    <w:rsid w:val="1CCD32CA"/>
    <w:rsid w:val="1CD75815"/>
    <w:rsid w:val="1CDA1329"/>
    <w:rsid w:val="1CDC1340"/>
    <w:rsid w:val="1CE21170"/>
    <w:rsid w:val="1CE81DE7"/>
    <w:rsid w:val="1CF55F82"/>
    <w:rsid w:val="1D0F1CA7"/>
    <w:rsid w:val="1D186EDB"/>
    <w:rsid w:val="1D2D3314"/>
    <w:rsid w:val="1D315A07"/>
    <w:rsid w:val="1D3F4956"/>
    <w:rsid w:val="1D4351AA"/>
    <w:rsid w:val="1D4463CA"/>
    <w:rsid w:val="1D48045E"/>
    <w:rsid w:val="1D551A1E"/>
    <w:rsid w:val="1D5A4904"/>
    <w:rsid w:val="1D5D5ECE"/>
    <w:rsid w:val="1D6A74FC"/>
    <w:rsid w:val="1D6B7F87"/>
    <w:rsid w:val="1D76393C"/>
    <w:rsid w:val="1D77078F"/>
    <w:rsid w:val="1D7F18B8"/>
    <w:rsid w:val="1D8210D7"/>
    <w:rsid w:val="1D825067"/>
    <w:rsid w:val="1D8A0B0B"/>
    <w:rsid w:val="1D8B7BEC"/>
    <w:rsid w:val="1D8F5A27"/>
    <w:rsid w:val="1D950E5B"/>
    <w:rsid w:val="1D977810"/>
    <w:rsid w:val="1D9A5560"/>
    <w:rsid w:val="1DA62041"/>
    <w:rsid w:val="1DB71DEC"/>
    <w:rsid w:val="1DC04E2E"/>
    <w:rsid w:val="1DC819F2"/>
    <w:rsid w:val="1DD64C54"/>
    <w:rsid w:val="1DD83982"/>
    <w:rsid w:val="1DDF4197"/>
    <w:rsid w:val="1E071A8C"/>
    <w:rsid w:val="1E2122DB"/>
    <w:rsid w:val="1E275CE0"/>
    <w:rsid w:val="1E3110F1"/>
    <w:rsid w:val="1E336EAA"/>
    <w:rsid w:val="1E43235A"/>
    <w:rsid w:val="1E4E7F1C"/>
    <w:rsid w:val="1E5414FE"/>
    <w:rsid w:val="1E6A5051"/>
    <w:rsid w:val="1E704E87"/>
    <w:rsid w:val="1E771F9A"/>
    <w:rsid w:val="1E7870A4"/>
    <w:rsid w:val="1E7C7DC8"/>
    <w:rsid w:val="1E993011"/>
    <w:rsid w:val="1EA14E58"/>
    <w:rsid w:val="1EA35138"/>
    <w:rsid w:val="1EA96937"/>
    <w:rsid w:val="1EA97A6B"/>
    <w:rsid w:val="1EB214AB"/>
    <w:rsid w:val="1EC2704F"/>
    <w:rsid w:val="1EC74F6F"/>
    <w:rsid w:val="1EC81841"/>
    <w:rsid w:val="1EC855F0"/>
    <w:rsid w:val="1ED10E36"/>
    <w:rsid w:val="1ED25218"/>
    <w:rsid w:val="1EDD00CB"/>
    <w:rsid w:val="1EE37C5F"/>
    <w:rsid w:val="1EE44C10"/>
    <w:rsid w:val="1EE65E56"/>
    <w:rsid w:val="1EE70C61"/>
    <w:rsid w:val="1EEC2CD5"/>
    <w:rsid w:val="1EF97DCF"/>
    <w:rsid w:val="1F0A6D61"/>
    <w:rsid w:val="1F112EF4"/>
    <w:rsid w:val="1F144AA0"/>
    <w:rsid w:val="1F1B0550"/>
    <w:rsid w:val="1F37636A"/>
    <w:rsid w:val="1F386C5E"/>
    <w:rsid w:val="1F507A34"/>
    <w:rsid w:val="1F5427A9"/>
    <w:rsid w:val="1F5809D6"/>
    <w:rsid w:val="1F5A6DF2"/>
    <w:rsid w:val="1F620BD0"/>
    <w:rsid w:val="1F716834"/>
    <w:rsid w:val="1F732974"/>
    <w:rsid w:val="1F7D24BC"/>
    <w:rsid w:val="1FA46478"/>
    <w:rsid w:val="1FA70850"/>
    <w:rsid w:val="1FA91B10"/>
    <w:rsid w:val="1FAA1DDF"/>
    <w:rsid w:val="1FBA3057"/>
    <w:rsid w:val="1FBA48F8"/>
    <w:rsid w:val="1FBF40F0"/>
    <w:rsid w:val="1FC65C4E"/>
    <w:rsid w:val="1FC924C4"/>
    <w:rsid w:val="1FD24FD1"/>
    <w:rsid w:val="1FDB6775"/>
    <w:rsid w:val="1FDE13CE"/>
    <w:rsid w:val="1FE45512"/>
    <w:rsid w:val="1FE45ACE"/>
    <w:rsid w:val="1FEB1CCB"/>
    <w:rsid w:val="20012158"/>
    <w:rsid w:val="20081750"/>
    <w:rsid w:val="200A0640"/>
    <w:rsid w:val="200A227E"/>
    <w:rsid w:val="201015B3"/>
    <w:rsid w:val="2014212D"/>
    <w:rsid w:val="20370A5F"/>
    <w:rsid w:val="203B7B64"/>
    <w:rsid w:val="204361A2"/>
    <w:rsid w:val="204A604E"/>
    <w:rsid w:val="205D49F8"/>
    <w:rsid w:val="20601037"/>
    <w:rsid w:val="2060387F"/>
    <w:rsid w:val="20637EBE"/>
    <w:rsid w:val="20706B04"/>
    <w:rsid w:val="207842E9"/>
    <w:rsid w:val="20791494"/>
    <w:rsid w:val="207C65C2"/>
    <w:rsid w:val="2085536C"/>
    <w:rsid w:val="20887603"/>
    <w:rsid w:val="20891C75"/>
    <w:rsid w:val="209F7BD8"/>
    <w:rsid w:val="20A847EB"/>
    <w:rsid w:val="20A84A09"/>
    <w:rsid w:val="20B04006"/>
    <w:rsid w:val="20B112EE"/>
    <w:rsid w:val="20BC3BD9"/>
    <w:rsid w:val="20BF6179"/>
    <w:rsid w:val="20D72FCC"/>
    <w:rsid w:val="20DA1044"/>
    <w:rsid w:val="20E00BB1"/>
    <w:rsid w:val="210236C1"/>
    <w:rsid w:val="21075085"/>
    <w:rsid w:val="2109763C"/>
    <w:rsid w:val="21122517"/>
    <w:rsid w:val="21174BA0"/>
    <w:rsid w:val="21206780"/>
    <w:rsid w:val="21240140"/>
    <w:rsid w:val="213F0766"/>
    <w:rsid w:val="21447956"/>
    <w:rsid w:val="2145619F"/>
    <w:rsid w:val="2147491E"/>
    <w:rsid w:val="21477C85"/>
    <w:rsid w:val="214D7689"/>
    <w:rsid w:val="21555F4A"/>
    <w:rsid w:val="21594F59"/>
    <w:rsid w:val="215C6B22"/>
    <w:rsid w:val="216119ED"/>
    <w:rsid w:val="216676E3"/>
    <w:rsid w:val="21802FB2"/>
    <w:rsid w:val="2189753C"/>
    <w:rsid w:val="219D3942"/>
    <w:rsid w:val="21A6021A"/>
    <w:rsid w:val="21AF25F0"/>
    <w:rsid w:val="21B84074"/>
    <w:rsid w:val="21BB5AD8"/>
    <w:rsid w:val="21C160EC"/>
    <w:rsid w:val="21C453F8"/>
    <w:rsid w:val="21C7414C"/>
    <w:rsid w:val="21CE1DD9"/>
    <w:rsid w:val="21CE6512"/>
    <w:rsid w:val="21D21809"/>
    <w:rsid w:val="21D54A98"/>
    <w:rsid w:val="21D850E5"/>
    <w:rsid w:val="21EC0FA0"/>
    <w:rsid w:val="21F04760"/>
    <w:rsid w:val="21F45F45"/>
    <w:rsid w:val="22137394"/>
    <w:rsid w:val="221A7C2A"/>
    <w:rsid w:val="222B0121"/>
    <w:rsid w:val="223B3E3F"/>
    <w:rsid w:val="223D6546"/>
    <w:rsid w:val="224915FD"/>
    <w:rsid w:val="224A0744"/>
    <w:rsid w:val="2254393E"/>
    <w:rsid w:val="2262285B"/>
    <w:rsid w:val="22693AB7"/>
    <w:rsid w:val="22792E69"/>
    <w:rsid w:val="228455A1"/>
    <w:rsid w:val="228F0A83"/>
    <w:rsid w:val="22A971C8"/>
    <w:rsid w:val="22AE7495"/>
    <w:rsid w:val="22B436D4"/>
    <w:rsid w:val="22D8540C"/>
    <w:rsid w:val="22DB027A"/>
    <w:rsid w:val="22E63989"/>
    <w:rsid w:val="22EB482C"/>
    <w:rsid w:val="22EB5EFD"/>
    <w:rsid w:val="22FF7BC3"/>
    <w:rsid w:val="230D2D5D"/>
    <w:rsid w:val="23316B19"/>
    <w:rsid w:val="2334717F"/>
    <w:rsid w:val="23407033"/>
    <w:rsid w:val="235B1A23"/>
    <w:rsid w:val="235D1586"/>
    <w:rsid w:val="235D7046"/>
    <w:rsid w:val="2366177B"/>
    <w:rsid w:val="23825E24"/>
    <w:rsid w:val="23850102"/>
    <w:rsid w:val="23892E14"/>
    <w:rsid w:val="239C17D2"/>
    <w:rsid w:val="23A65AA6"/>
    <w:rsid w:val="23AA24A5"/>
    <w:rsid w:val="23AA6FAF"/>
    <w:rsid w:val="23AC6D38"/>
    <w:rsid w:val="23BB4C51"/>
    <w:rsid w:val="23DF7FF4"/>
    <w:rsid w:val="23E60FB9"/>
    <w:rsid w:val="23E80BCE"/>
    <w:rsid w:val="23EB5A59"/>
    <w:rsid w:val="23F62BBB"/>
    <w:rsid w:val="23FA3106"/>
    <w:rsid w:val="23FD157E"/>
    <w:rsid w:val="240079A9"/>
    <w:rsid w:val="24011E69"/>
    <w:rsid w:val="241106FB"/>
    <w:rsid w:val="241E3DBF"/>
    <w:rsid w:val="24217E96"/>
    <w:rsid w:val="242D7498"/>
    <w:rsid w:val="24356A94"/>
    <w:rsid w:val="24386049"/>
    <w:rsid w:val="243879C1"/>
    <w:rsid w:val="243F0875"/>
    <w:rsid w:val="24436028"/>
    <w:rsid w:val="244377EC"/>
    <w:rsid w:val="2456720D"/>
    <w:rsid w:val="24635095"/>
    <w:rsid w:val="2465131C"/>
    <w:rsid w:val="2476514F"/>
    <w:rsid w:val="247F5F8A"/>
    <w:rsid w:val="24934596"/>
    <w:rsid w:val="249376DA"/>
    <w:rsid w:val="24993B27"/>
    <w:rsid w:val="24A0069E"/>
    <w:rsid w:val="24A938AB"/>
    <w:rsid w:val="24B274DB"/>
    <w:rsid w:val="24BD6002"/>
    <w:rsid w:val="24C3367A"/>
    <w:rsid w:val="24CC3E3E"/>
    <w:rsid w:val="24D00EE9"/>
    <w:rsid w:val="24E17083"/>
    <w:rsid w:val="24EA5B24"/>
    <w:rsid w:val="24EB0FF9"/>
    <w:rsid w:val="250A5018"/>
    <w:rsid w:val="250B44DD"/>
    <w:rsid w:val="2515468F"/>
    <w:rsid w:val="251A312F"/>
    <w:rsid w:val="251B5644"/>
    <w:rsid w:val="251D2FD8"/>
    <w:rsid w:val="2524187D"/>
    <w:rsid w:val="25277B47"/>
    <w:rsid w:val="25282EA5"/>
    <w:rsid w:val="252B41A1"/>
    <w:rsid w:val="253138FF"/>
    <w:rsid w:val="25331DB9"/>
    <w:rsid w:val="254178B9"/>
    <w:rsid w:val="2548117B"/>
    <w:rsid w:val="255B28C7"/>
    <w:rsid w:val="255B3E35"/>
    <w:rsid w:val="255C1F37"/>
    <w:rsid w:val="25614218"/>
    <w:rsid w:val="256223E9"/>
    <w:rsid w:val="25790570"/>
    <w:rsid w:val="257D13B3"/>
    <w:rsid w:val="257F794F"/>
    <w:rsid w:val="25801B0E"/>
    <w:rsid w:val="258427D2"/>
    <w:rsid w:val="25861F45"/>
    <w:rsid w:val="25862F9E"/>
    <w:rsid w:val="25894BA2"/>
    <w:rsid w:val="259051EB"/>
    <w:rsid w:val="25933C76"/>
    <w:rsid w:val="25944085"/>
    <w:rsid w:val="25972E62"/>
    <w:rsid w:val="259F2C8C"/>
    <w:rsid w:val="25A8353A"/>
    <w:rsid w:val="25AB75AF"/>
    <w:rsid w:val="25AB76EF"/>
    <w:rsid w:val="25BA7460"/>
    <w:rsid w:val="25D3632C"/>
    <w:rsid w:val="25D519A0"/>
    <w:rsid w:val="25D66848"/>
    <w:rsid w:val="25E86F5C"/>
    <w:rsid w:val="25F45184"/>
    <w:rsid w:val="25FA11A9"/>
    <w:rsid w:val="25FF2186"/>
    <w:rsid w:val="26072A26"/>
    <w:rsid w:val="263746A7"/>
    <w:rsid w:val="26420A54"/>
    <w:rsid w:val="264664B9"/>
    <w:rsid w:val="264A79CF"/>
    <w:rsid w:val="26544E4D"/>
    <w:rsid w:val="26693470"/>
    <w:rsid w:val="266B57AB"/>
    <w:rsid w:val="266F1C57"/>
    <w:rsid w:val="266F72EC"/>
    <w:rsid w:val="26707B90"/>
    <w:rsid w:val="267E36E7"/>
    <w:rsid w:val="26867429"/>
    <w:rsid w:val="268D2B28"/>
    <w:rsid w:val="269600B6"/>
    <w:rsid w:val="26A1060B"/>
    <w:rsid w:val="26A82F7E"/>
    <w:rsid w:val="26AE336C"/>
    <w:rsid w:val="26B51305"/>
    <w:rsid w:val="26B9604F"/>
    <w:rsid w:val="26BB1983"/>
    <w:rsid w:val="26C94CA5"/>
    <w:rsid w:val="26CE1764"/>
    <w:rsid w:val="26D65A5E"/>
    <w:rsid w:val="26E775B6"/>
    <w:rsid w:val="26ED6DA7"/>
    <w:rsid w:val="26F625DB"/>
    <w:rsid w:val="26FF18B0"/>
    <w:rsid w:val="27182174"/>
    <w:rsid w:val="272525A8"/>
    <w:rsid w:val="272E5432"/>
    <w:rsid w:val="27345A69"/>
    <w:rsid w:val="273A4672"/>
    <w:rsid w:val="273C2551"/>
    <w:rsid w:val="273E2F74"/>
    <w:rsid w:val="274A677B"/>
    <w:rsid w:val="274B3AC7"/>
    <w:rsid w:val="274D46EB"/>
    <w:rsid w:val="275E6751"/>
    <w:rsid w:val="27606998"/>
    <w:rsid w:val="27723BC5"/>
    <w:rsid w:val="2775197B"/>
    <w:rsid w:val="27826CC1"/>
    <w:rsid w:val="2789789F"/>
    <w:rsid w:val="278E05BC"/>
    <w:rsid w:val="27911BC0"/>
    <w:rsid w:val="27935D00"/>
    <w:rsid w:val="27945C20"/>
    <w:rsid w:val="27980202"/>
    <w:rsid w:val="27A54826"/>
    <w:rsid w:val="27A747CB"/>
    <w:rsid w:val="27AE2156"/>
    <w:rsid w:val="27CB33EE"/>
    <w:rsid w:val="27CF0242"/>
    <w:rsid w:val="27E066D4"/>
    <w:rsid w:val="27E81490"/>
    <w:rsid w:val="27EA0D3F"/>
    <w:rsid w:val="27EC72A9"/>
    <w:rsid w:val="27ED06D2"/>
    <w:rsid w:val="27F001CC"/>
    <w:rsid w:val="28090D4C"/>
    <w:rsid w:val="28177826"/>
    <w:rsid w:val="282910E4"/>
    <w:rsid w:val="282A282E"/>
    <w:rsid w:val="282C16BE"/>
    <w:rsid w:val="282E5482"/>
    <w:rsid w:val="28304D45"/>
    <w:rsid w:val="28395D40"/>
    <w:rsid w:val="284B1A05"/>
    <w:rsid w:val="284E5184"/>
    <w:rsid w:val="285471C4"/>
    <w:rsid w:val="285E4501"/>
    <w:rsid w:val="286125C0"/>
    <w:rsid w:val="28712FEF"/>
    <w:rsid w:val="28733146"/>
    <w:rsid w:val="287A7300"/>
    <w:rsid w:val="287E4105"/>
    <w:rsid w:val="28806BEC"/>
    <w:rsid w:val="28821AD5"/>
    <w:rsid w:val="288329FB"/>
    <w:rsid w:val="288C32A0"/>
    <w:rsid w:val="289502BA"/>
    <w:rsid w:val="289C380C"/>
    <w:rsid w:val="28A93217"/>
    <w:rsid w:val="28AB01CC"/>
    <w:rsid w:val="28B06584"/>
    <w:rsid w:val="28BE799C"/>
    <w:rsid w:val="28C000D3"/>
    <w:rsid w:val="28C014BB"/>
    <w:rsid w:val="28C96C16"/>
    <w:rsid w:val="28D04101"/>
    <w:rsid w:val="28D75D6E"/>
    <w:rsid w:val="28F30FA7"/>
    <w:rsid w:val="28F35924"/>
    <w:rsid w:val="2904611F"/>
    <w:rsid w:val="29057C52"/>
    <w:rsid w:val="29101D07"/>
    <w:rsid w:val="29115DB2"/>
    <w:rsid w:val="29125527"/>
    <w:rsid w:val="291F55A0"/>
    <w:rsid w:val="2926164E"/>
    <w:rsid w:val="293005AD"/>
    <w:rsid w:val="29313FE8"/>
    <w:rsid w:val="29373638"/>
    <w:rsid w:val="29451D0D"/>
    <w:rsid w:val="294A514B"/>
    <w:rsid w:val="29540F06"/>
    <w:rsid w:val="29616C30"/>
    <w:rsid w:val="2969534F"/>
    <w:rsid w:val="297733C6"/>
    <w:rsid w:val="297753B3"/>
    <w:rsid w:val="29896524"/>
    <w:rsid w:val="29940EC1"/>
    <w:rsid w:val="29982D82"/>
    <w:rsid w:val="299E1F0E"/>
    <w:rsid w:val="29A315E0"/>
    <w:rsid w:val="29AA43AD"/>
    <w:rsid w:val="29AD462E"/>
    <w:rsid w:val="29AE5DFE"/>
    <w:rsid w:val="29B05114"/>
    <w:rsid w:val="29B5534A"/>
    <w:rsid w:val="29B821B6"/>
    <w:rsid w:val="29BE11CB"/>
    <w:rsid w:val="29D447F9"/>
    <w:rsid w:val="29EF584D"/>
    <w:rsid w:val="29F714C2"/>
    <w:rsid w:val="2A00714B"/>
    <w:rsid w:val="2A0075B7"/>
    <w:rsid w:val="2A0B43A9"/>
    <w:rsid w:val="2A0C57CB"/>
    <w:rsid w:val="2A1D1FAB"/>
    <w:rsid w:val="2A364FD7"/>
    <w:rsid w:val="2A3E39CA"/>
    <w:rsid w:val="2A403F2F"/>
    <w:rsid w:val="2A490C29"/>
    <w:rsid w:val="2A4A767F"/>
    <w:rsid w:val="2A4C11B1"/>
    <w:rsid w:val="2A4D62A4"/>
    <w:rsid w:val="2A6142D7"/>
    <w:rsid w:val="2A6A78AE"/>
    <w:rsid w:val="2A732E4D"/>
    <w:rsid w:val="2A944E23"/>
    <w:rsid w:val="2A9D55A4"/>
    <w:rsid w:val="2AA02245"/>
    <w:rsid w:val="2AA02DE1"/>
    <w:rsid w:val="2AA36507"/>
    <w:rsid w:val="2AA578DC"/>
    <w:rsid w:val="2AAA09B6"/>
    <w:rsid w:val="2AB4127C"/>
    <w:rsid w:val="2AB562A8"/>
    <w:rsid w:val="2ABB176E"/>
    <w:rsid w:val="2AC27158"/>
    <w:rsid w:val="2ACE7C15"/>
    <w:rsid w:val="2AD16BB0"/>
    <w:rsid w:val="2AD65DBC"/>
    <w:rsid w:val="2ADB7FEA"/>
    <w:rsid w:val="2AE070D6"/>
    <w:rsid w:val="2AE75DF0"/>
    <w:rsid w:val="2AE96F6E"/>
    <w:rsid w:val="2AEA0756"/>
    <w:rsid w:val="2AFC4301"/>
    <w:rsid w:val="2B0179DF"/>
    <w:rsid w:val="2B026297"/>
    <w:rsid w:val="2B0A0FC2"/>
    <w:rsid w:val="2B0B2B45"/>
    <w:rsid w:val="2B0E0776"/>
    <w:rsid w:val="2B105799"/>
    <w:rsid w:val="2B1C34A4"/>
    <w:rsid w:val="2B1C4084"/>
    <w:rsid w:val="2B21480D"/>
    <w:rsid w:val="2B246928"/>
    <w:rsid w:val="2B261A2C"/>
    <w:rsid w:val="2B346868"/>
    <w:rsid w:val="2B38350B"/>
    <w:rsid w:val="2B3A7F8F"/>
    <w:rsid w:val="2B481FDF"/>
    <w:rsid w:val="2B49108F"/>
    <w:rsid w:val="2B4B7826"/>
    <w:rsid w:val="2B4E6501"/>
    <w:rsid w:val="2B504041"/>
    <w:rsid w:val="2B5455F2"/>
    <w:rsid w:val="2B5C24C0"/>
    <w:rsid w:val="2B5E4CA7"/>
    <w:rsid w:val="2B6068AB"/>
    <w:rsid w:val="2B773770"/>
    <w:rsid w:val="2B7D75A8"/>
    <w:rsid w:val="2B84661A"/>
    <w:rsid w:val="2B885FD1"/>
    <w:rsid w:val="2B886D5F"/>
    <w:rsid w:val="2B90042C"/>
    <w:rsid w:val="2B9B408D"/>
    <w:rsid w:val="2BA203F7"/>
    <w:rsid w:val="2BA66E13"/>
    <w:rsid w:val="2BA72C42"/>
    <w:rsid w:val="2BB91C06"/>
    <w:rsid w:val="2BCA167C"/>
    <w:rsid w:val="2BDA405A"/>
    <w:rsid w:val="2BE678E0"/>
    <w:rsid w:val="2BEB6772"/>
    <w:rsid w:val="2C026072"/>
    <w:rsid w:val="2C0753EF"/>
    <w:rsid w:val="2C1202CA"/>
    <w:rsid w:val="2C1B367B"/>
    <w:rsid w:val="2C2B7948"/>
    <w:rsid w:val="2C2D0184"/>
    <w:rsid w:val="2C4922F5"/>
    <w:rsid w:val="2C4C6AE5"/>
    <w:rsid w:val="2C4D0134"/>
    <w:rsid w:val="2C5D741C"/>
    <w:rsid w:val="2C7273B2"/>
    <w:rsid w:val="2C7B3EF1"/>
    <w:rsid w:val="2C855BC6"/>
    <w:rsid w:val="2C8B7DD8"/>
    <w:rsid w:val="2C953C92"/>
    <w:rsid w:val="2C955C5E"/>
    <w:rsid w:val="2C9B7E71"/>
    <w:rsid w:val="2CA065C1"/>
    <w:rsid w:val="2CAD0FAA"/>
    <w:rsid w:val="2CB517C8"/>
    <w:rsid w:val="2CB74AAE"/>
    <w:rsid w:val="2CB92A6A"/>
    <w:rsid w:val="2CBD21E8"/>
    <w:rsid w:val="2CC43113"/>
    <w:rsid w:val="2CDA4280"/>
    <w:rsid w:val="2CDB3608"/>
    <w:rsid w:val="2D071164"/>
    <w:rsid w:val="2D0832E1"/>
    <w:rsid w:val="2D083E5F"/>
    <w:rsid w:val="2D0F6103"/>
    <w:rsid w:val="2D166139"/>
    <w:rsid w:val="2D1F5C8F"/>
    <w:rsid w:val="2D2C11A2"/>
    <w:rsid w:val="2D3217AE"/>
    <w:rsid w:val="2D385A8E"/>
    <w:rsid w:val="2D3A7537"/>
    <w:rsid w:val="2D3B514A"/>
    <w:rsid w:val="2D3C34A4"/>
    <w:rsid w:val="2D4E1B98"/>
    <w:rsid w:val="2D503162"/>
    <w:rsid w:val="2D572242"/>
    <w:rsid w:val="2D655F01"/>
    <w:rsid w:val="2D69525C"/>
    <w:rsid w:val="2D7C39D4"/>
    <w:rsid w:val="2D8273EA"/>
    <w:rsid w:val="2D8F3896"/>
    <w:rsid w:val="2D8F55BB"/>
    <w:rsid w:val="2D9305A1"/>
    <w:rsid w:val="2DA33FA1"/>
    <w:rsid w:val="2DAD2648"/>
    <w:rsid w:val="2DB341AE"/>
    <w:rsid w:val="2DB65499"/>
    <w:rsid w:val="2DCD254B"/>
    <w:rsid w:val="2DD8523C"/>
    <w:rsid w:val="2DE0004F"/>
    <w:rsid w:val="2DE610B0"/>
    <w:rsid w:val="2DE86703"/>
    <w:rsid w:val="2DEF4777"/>
    <w:rsid w:val="2DF465E7"/>
    <w:rsid w:val="2DF56C46"/>
    <w:rsid w:val="2E05197A"/>
    <w:rsid w:val="2E2241B9"/>
    <w:rsid w:val="2E250F8C"/>
    <w:rsid w:val="2E390391"/>
    <w:rsid w:val="2E3961D7"/>
    <w:rsid w:val="2E43322B"/>
    <w:rsid w:val="2E462D33"/>
    <w:rsid w:val="2E504052"/>
    <w:rsid w:val="2E50773A"/>
    <w:rsid w:val="2E5500F4"/>
    <w:rsid w:val="2E555217"/>
    <w:rsid w:val="2E6F2E01"/>
    <w:rsid w:val="2E760251"/>
    <w:rsid w:val="2E783F80"/>
    <w:rsid w:val="2E821516"/>
    <w:rsid w:val="2E84419D"/>
    <w:rsid w:val="2E845AC8"/>
    <w:rsid w:val="2E87012D"/>
    <w:rsid w:val="2E8E5A7E"/>
    <w:rsid w:val="2E8F53DE"/>
    <w:rsid w:val="2E9169D0"/>
    <w:rsid w:val="2EA12B0B"/>
    <w:rsid w:val="2EA965A2"/>
    <w:rsid w:val="2EAB0096"/>
    <w:rsid w:val="2ED0657A"/>
    <w:rsid w:val="2ED17939"/>
    <w:rsid w:val="2EE85927"/>
    <w:rsid w:val="2EEE39AB"/>
    <w:rsid w:val="2EF03477"/>
    <w:rsid w:val="2EF278C6"/>
    <w:rsid w:val="2F182D5B"/>
    <w:rsid w:val="2F1A31B9"/>
    <w:rsid w:val="2F2253EF"/>
    <w:rsid w:val="2F2840AC"/>
    <w:rsid w:val="2F3377BA"/>
    <w:rsid w:val="2F442B83"/>
    <w:rsid w:val="2F493EA6"/>
    <w:rsid w:val="2F5A2A9C"/>
    <w:rsid w:val="2F5F609B"/>
    <w:rsid w:val="2F636DC0"/>
    <w:rsid w:val="2F6F093D"/>
    <w:rsid w:val="2F777190"/>
    <w:rsid w:val="2F7B5279"/>
    <w:rsid w:val="2F826E47"/>
    <w:rsid w:val="2F840125"/>
    <w:rsid w:val="2F916A0B"/>
    <w:rsid w:val="2F955BBB"/>
    <w:rsid w:val="2F9B3BE5"/>
    <w:rsid w:val="2F9C4C56"/>
    <w:rsid w:val="2FA21D81"/>
    <w:rsid w:val="2FA91F2A"/>
    <w:rsid w:val="2FB3043A"/>
    <w:rsid w:val="2FB72E8F"/>
    <w:rsid w:val="2FBC3A92"/>
    <w:rsid w:val="2FC504C1"/>
    <w:rsid w:val="2FC51F39"/>
    <w:rsid w:val="2FCD2CCC"/>
    <w:rsid w:val="2FD52CAA"/>
    <w:rsid w:val="2FDB1934"/>
    <w:rsid w:val="2FEA69F8"/>
    <w:rsid w:val="2FEE2EAF"/>
    <w:rsid w:val="2FF40310"/>
    <w:rsid w:val="2FFB52B9"/>
    <w:rsid w:val="2FFB52DC"/>
    <w:rsid w:val="300161AE"/>
    <w:rsid w:val="30017F29"/>
    <w:rsid w:val="301B33F6"/>
    <w:rsid w:val="3030046A"/>
    <w:rsid w:val="3031600C"/>
    <w:rsid w:val="3035364B"/>
    <w:rsid w:val="3043359C"/>
    <w:rsid w:val="30465305"/>
    <w:rsid w:val="30491A8E"/>
    <w:rsid w:val="3049298B"/>
    <w:rsid w:val="304E5EC9"/>
    <w:rsid w:val="305471C6"/>
    <w:rsid w:val="305C2F85"/>
    <w:rsid w:val="305D0AF9"/>
    <w:rsid w:val="306160E8"/>
    <w:rsid w:val="30637CA5"/>
    <w:rsid w:val="3068563B"/>
    <w:rsid w:val="306C205D"/>
    <w:rsid w:val="306E3C25"/>
    <w:rsid w:val="307E64E7"/>
    <w:rsid w:val="30807601"/>
    <w:rsid w:val="308A449F"/>
    <w:rsid w:val="308B2077"/>
    <w:rsid w:val="308B2D55"/>
    <w:rsid w:val="30B600FA"/>
    <w:rsid w:val="30D868F1"/>
    <w:rsid w:val="30DF599A"/>
    <w:rsid w:val="30F043AE"/>
    <w:rsid w:val="30FD453C"/>
    <w:rsid w:val="31030728"/>
    <w:rsid w:val="310622FB"/>
    <w:rsid w:val="310709E0"/>
    <w:rsid w:val="310C1218"/>
    <w:rsid w:val="31280326"/>
    <w:rsid w:val="31280A48"/>
    <w:rsid w:val="313B5146"/>
    <w:rsid w:val="31443B78"/>
    <w:rsid w:val="31491900"/>
    <w:rsid w:val="31493DF3"/>
    <w:rsid w:val="314E0862"/>
    <w:rsid w:val="315272CC"/>
    <w:rsid w:val="315F5123"/>
    <w:rsid w:val="3167200F"/>
    <w:rsid w:val="31765A4B"/>
    <w:rsid w:val="317A0474"/>
    <w:rsid w:val="317F0344"/>
    <w:rsid w:val="317F3A95"/>
    <w:rsid w:val="318C660C"/>
    <w:rsid w:val="319047A3"/>
    <w:rsid w:val="319449BB"/>
    <w:rsid w:val="31995647"/>
    <w:rsid w:val="31AA4B96"/>
    <w:rsid w:val="31AB0590"/>
    <w:rsid w:val="31B16A84"/>
    <w:rsid w:val="31B5456B"/>
    <w:rsid w:val="31DD7AF5"/>
    <w:rsid w:val="31F207D1"/>
    <w:rsid w:val="31F40CBD"/>
    <w:rsid w:val="31F65FE3"/>
    <w:rsid w:val="31F66D37"/>
    <w:rsid w:val="31F8621D"/>
    <w:rsid w:val="32046185"/>
    <w:rsid w:val="320A46BD"/>
    <w:rsid w:val="322264AC"/>
    <w:rsid w:val="32237586"/>
    <w:rsid w:val="3226147B"/>
    <w:rsid w:val="322A539E"/>
    <w:rsid w:val="3238271F"/>
    <w:rsid w:val="32531BB9"/>
    <w:rsid w:val="32626479"/>
    <w:rsid w:val="326A1B35"/>
    <w:rsid w:val="326C25DC"/>
    <w:rsid w:val="32731DE9"/>
    <w:rsid w:val="32766EB0"/>
    <w:rsid w:val="327E0755"/>
    <w:rsid w:val="328540D5"/>
    <w:rsid w:val="329207B4"/>
    <w:rsid w:val="329C1138"/>
    <w:rsid w:val="329D7EFB"/>
    <w:rsid w:val="32B5353F"/>
    <w:rsid w:val="32BC48B5"/>
    <w:rsid w:val="32D1403B"/>
    <w:rsid w:val="32D623C2"/>
    <w:rsid w:val="32D75BBC"/>
    <w:rsid w:val="32EB681F"/>
    <w:rsid w:val="32EE667B"/>
    <w:rsid w:val="32EF171A"/>
    <w:rsid w:val="32FD6F7B"/>
    <w:rsid w:val="33016284"/>
    <w:rsid w:val="330A2A20"/>
    <w:rsid w:val="3317708F"/>
    <w:rsid w:val="33185AEE"/>
    <w:rsid w:val="331F6F1B"/>
    <w:rsid w:val="33242CF9"/>
    <w:rsid w:val="33253BD7"/>
    <w:rsid w:val="333339D8"/>
    <w:rsid w:val="333C6275"/>
    <w:rsid w:val="33504BEA"/>
    <w:rsid w:val="33511C2A"/>
    <w:rsid w:val="33522D45"/>
    <w:rsid w:val="336212BC"/>
    <w:rsid w:val="336B6042"/>
    <w:rsid w:val="336C7CC8"/>
    <w:rsid w:val="337A286F"/>
    <w:rsid w:val="337D7084"/>
    <w:rsid w:val="33874A99"/>
    <w:rsid w:val="338968C4"/>
    <w:rsid w:val="33905EEC"/>
    <w:rsid w:val="33964F41"/>
    <w:rsid w:val="33A46CEA"/>
    <w:rsid w:val="33A46D5A"/>
    <w:rsid w:val="33A571E7"/>
    <w:rsid w:val="33DD2D6D"/>
    <w:rsid w:val="33DD3F85"/>
    <w:rsid w:val="33E52A07"/>
    <w:rsid w:val="33E87AA0"/>
    <w:rsid w:val="33F600D7"/>
    <w:rsid w:val="34006F27"/>
    <w:rsid w:val="34155936"/>
    <w:rsid w:val="342425E3"/>
    <w:rsid w:val="343133C4"/>
    <w:rsid w:val="34346A05"/>
    <w:rsid w:val="343722E2"/>
    <w:rsid w:val="34382F7B"/>
    <w:rsid w:val="344407C7"/>
    <w:rsid w:val="34466D68"/>
    <w:rsid w:val="344A0CA4"/>
    <w:rsid w:val="34516445"/>
    <w:rsid w:val="346E097B"/>
    <w:rsid w:val="346F7670"/>
    <w:rsid w:val="347405F4"/>
    <w:rsid w:val="347B4149"/>
    <w:rsid w:val="347B44A9"/>
    <w:rsid w:val="34890944"/>
    <w:rsid w:val="349A3C97"/>
    <w:rsid w:val="349B3B18"/>
    <w:rsid w:val="34A65FAE"/>
    <w:rsid w:val="34BC5A32"/>
    <w:rsid w:val="34BF216D"/>
    <w:rsid w:val="34C5378A"/>
    <w:rsid w:val="34CF488B"/>
    <w:rsid w:val="34D55A02"/>
    <w:rsid w:val="34DB411E"/>
    <w:rsid w:val="34EB3CD6"/>
    <w:rsid w:val="34F01A6A"/>
    <w:rsid w:val="34F46D19"/>
    <w:rsid w:val="34F54251"/>
    <w:rsid w:val="34F63D4D"/>
    <w:rsid w:val="34FA6BAC"/>
    <w:rsid w:val="35074A30"/>
    <w:rsid w:val="350E613A"/>
    <w:rsid w:val="351157D6"/>
    <w:rsid w:val="35206CED"/>
    <w:rsid w:val="352E13B4"/>
    <w:rsid w:val="352E2239"/>
    <w:rsid w:val="353333C2"/>
    <w:rsid w:val="35384FF2"/>
    <w:rsid w:val="354B1220"/>
    <w:rsid w:val="355244E5"/>
    <w:rsid w:val="3564548A"/>
    <w:rsid w:val="357C0BE8"/>
    <w:rsid w:val="357E2DFF"/>
    <w:rsid w:val="35820076"/>
    <w:rsid w:val="35856474"/>
    <w:rsid w:val="358879F9"/>
    <w:rsid w:val="35935815"/>
    <w:rsid w:val="35A83C2D"/>
    <w:rsid w:val="35AF78C1"/>
    <w:rsid w:val="35B77F2C"/>
    <w:rsid w:val="35BD0755"/>
    <w:rsid w:val="35BF4905"/>
    <w:rsid w:val="35CA75C6"/>
    <w:rsid w:val="35D023F4"/>
    <w:rsid w:val="35D31B0D"/>
    <w:rsid w:val="35D63964"/>
    <w:rsid w:val="35DC342E"/>
    <w:rsid w:val="35E65EA8"/>
    <w:rsid w:val="35E90813"/>
    <w:rsid w:val="35EB2E0C"/>
    <w:rsid w:val="35EE66EC"/>
    <w:rsid w:val="35FC4303"/>
    <w:rsid w:val="360A5484"/>
    <w:rsid w:val="360C51F4"/>
    <w:rsid w:val="36102B7C"/>
    <w:rsid w:val="36271AA4"/>
    <w:rsid w:val="362B2FD6"/>
    <w:rsid w:val="362F5295"/>
    <w:rsid w:val="363F70D2"/>
    <w:rsid w:val="36404210"/>
    <w:rsid w:val="36416B16"/>
    <w:rsid w:val="364D7436"/>
    <w:rsid w:val="365110EC"/>
    <w:rsid w:val="3655146A"/>
    <w:rsid w:val="365A614A"/>
    <w:rsid w:val="366445F2"/>
    <w:rsid w:val="367C3E1D"/>
    <w:rsid w:val="368F0F38"/>
    <w:rsid w:val="368F1083"/>
    <w:rsid w:val="36986422"/>
    <w:rsid w:val="36A91E53"/>
    <w:rsid w:val="36AA176A"/>
    <w:rsid w:val="36AB1929"/>
    <w:rsid w:val="36B7173F"/>
    <w:rsid w:val="36BC32EF"/>
    <w:rsid w:val="36BE6E1B"/>
    <w:rsid w:val="36C15047"/>
    <w:rsid w:val="36C24C00"/>
    <w:rsid w:val="36D24E63"/>
    <w:rsid w:val="36DB7953"/>
    <w:rsid w:val="36F70935"/>
    <w:rsid w:val="36F96691"/>
    <w:rsid w:val="36F97838"/>
    <w:rsid w:val="36FD3700"/>
    <w:rsid w:val="370B0D29"/>
    <w:rsid w:val="3710683D"/>
    <w:rsid w:val="37116278"/>
    <w:rsid w:val="371D1758"/>
    <w:rsid w:val="37212F6A"/>
    <w:rsid w:val="3723351D"/>
    <w:rsid w:val="37281A36"/>
    <w:rsid w:val="3736761B"/>
    <w:rsid w:val="373776FE"/>
    <w:rsid w:val="373A5E15"/>
    <w:rsid w:val="373F266A"/>
    <w:rsid w:val="37415A1F"/>
    <w:rsid w:val="3751069B"/>
    <w:rsid w:val="375F1E83"/>
    <w:rsid w:val="375F6AD5"/>
    <w:rsid w:val="37672F2D"/>
    <w:rsid w:val="37702A11"/>
    <w:rsid w:val="37753016"/>
    <w:rsid w:val="37785791"/>
    <w:rsid w:val="378546F4"/>
    <w:rsid w:val="378F565B"/>
    <w:rsid w:val="37963E91"/>
    <w:rsid w:val="379D5F59"/>
    <w:rsid w:val="37A14D1A"/>
    <w:rsid w:val="37A724A2"/>
    <w:rsid w:val="37B40040"/>
    <w:rsid w:val="37BA05D4"/>
    <w:rsid w:val="37C24187"/>
    <w:rsid w:val="37CE4A41"/>
    <w:rsid w:val="37D32CAE"/>
    <w:rsid w:val="37D42193"/>
    <w:rsid w:val="37D77909"/>
    <w:rsid w:val="37DE03C7"/>
    <w:rsid w:val="37F8263D"/>
    <w:rsid w:val="37FA6AF1"/>
    <w:rsid w:val="37FD1676"/>
    <w:rsid w:val="38024447"/>
    <w:rsid w:val="38041E62"/>
    <w:rsid w:val="38092F91"/>
    <w:rsid w:val="380E3F58"/>
    <w:rsid w:val="380F348D"/>
    <w:rsid w:val="381F081F"/>
    <w:rsid w:val="38254374"/>
    <w:rsid w:val="38276C4C"/>
    <w:rsid w:val="38294534"/>
    <w:rsid w:val="382C3AD9"/>
    <w:rsid w:val="38394BCC"/>
    <w:rsid w:val="383F2260"/>
    <w:rsid w:val="384376FF"/>
    <w:rsid w:val="38475701"/>
    <w:rsid w:val="384E083E"/>
    <w:rsid w:val="38521CBD"/>
    <w:rsid w:val="38600F5E"/>
    <w:rsid w:val="386247E7"/>
    <w:rsid w:val="386901A9"/>
    <w:rsid w:val="386E6CEB"/>
    <w:rsid w:val="386F3668"/>
    <w:rsid w:val="387115A4"/>
    <w:rsid w:val="387975BF"/>
    <w:rsid w:val="387C262B"/>
    <w:rsid w:val="38873C67"/>
    <w:rsid w:val="388D3C43"/>
    <w:rsid w:val="38987F97"/>
    <w:rsid w:val="38A12739"/>
    <w:rsid w:val="38AE6614"/>
    <w:rsid w:val="38B65387"/>
    <w:rsid w:val="38C0389C"/>
    <w:rsid w:val="38C86318"/>
    <w:rsid w:val="38CE6AD3"/>
    <w:rsid w:val="38D315E2"/>
    <w:rsid w:val="38D458DC"/>
    <w:rsid w:val="38D95E51"/>
    <w:rsid w:val="38E10F68"/>
    <w:rsid w:val="38E3438A"/>
    <w:rsid w:val="38E57C59"/>
    <w:rsid w:val="38EF012A"/>
    <w:rsid w:val="39003667"/>
    <w:rsid w:val="39003C97"/>
    <w:rsid w:val="3908087D"/>
    <w:rsid w:val="390F245B"/>
    <w:rsid w:val="39237827"/>
    <w:rsid w:val="39343831"/>
    <w:rsid w:val="393651DB"/>
    <w:rsid w:val="393A6203"/>
    <w:rsid w:val="394A0631"/>
    <w:rsid w:val="396F3C85"/>
    <w:rsid w:val="39825127"/>
    <w:rsid w:val="398906CA"/>
    <w:rsid w:val="398F0A0E"/>
    <w:rsid w:val="399E713C"/>
    <w:rsid w:val="39AC530A"/>
    <w:rsid w:val="39B15F1F"/>
    <w:rsid w:val="39B3345B"/>
    <w:rsid w:val="39C90D00"/>
    <w:rsid w:val="39CA6073"/>
    <w:rsid w:val="39CE4725"/>
    <w:rsid w:val="39D97AE2"/>
    <w:rsid w:val="39E20705"/>
    <w:rsid w:val="39E64255"/>
    <w:rsid w:val="39E77465"/>
    <w:rsid w:val="39EA048B"/>
    <w:rsid w:val="39FC79F5"/>
    <w:rsid w:val="3A0339AD"/>
    <w:rsid w:val="3A176C5A"/>
    <w:rsid w:val="3A1A7B15"/>
    <w:rsid w:val="3A1F2812"/>
    <w:rsid w:val="3A25129C"/>
    <w:rsid w:val="3A382C8F"/>
    <w:rsid w:val="3A4B298C"/>
    <w:rsid w:val="3A4E2D7C"/>
    <w:rsid w:val="3A5440AF"/>
    <w:rsid w:val="3A58730F"/>
    <w:rsid w:val="3A590416"/>
    <w:rsid w:val="3A6A451A"/>
    <w:rsid w:val="3A6D01E7"/>
    <w:rsid w:val="3A704457"/>
    <w:rsid w:val="3A75574D"/>
    <w:rsid w:val="3A833863"/>
    <w:rsid w:val="3A836CDE"/>
    <w:rsid w:val="3A8E243C"/>
    <w:rsid w:val="3A8E4244"/>
    <w:rsid w:val="3A95049B"/>
    <w:rsid w:val="3A9A74D3"/>
    <w:rsid w:val="3A9B212A"/>
    <w:rsid w:val="3A9E1CEE"/>
    <w:rsid w:val="3AA51DA0"/>
    <w:rsid w:val="3AAA4C98"/>
    <w:rsid w:val="3AC47C75"/>
    <w:rsid w:val="3AC47F2D"/>
    <w:rsid w:val="3AC858C3"/>
    <w:rsid w:val="3AD437B5"/>
    <w:rsid w:val="3AF673BE"/>
    <w:rsid w:val="3AF70F89"/>
    <w:rsid w:val="3AF73710"/>
    <w:rsid w:val="3AF93D38"/>
    <w:rsid w:val="3B04356C"/>
    <w:rsid w:val="3B086F16"/>
    <w:rsid w:val="3B0F7B3C"/>
    <w:rsid w:val="3B170D09"/>
    <w:rsid w:val="3B2A1C4D"/>
    <w:rsid w:val="3B2A2491"/>
    <w:rsid w:val="3B2E5D56"/>
    <w:rsid w:val="3B372459"/>
    <w:rsid w:val="3B3842AA"/>
    <w:rsid w:val="3B3F7E2C"/>
    <w:rsid w:val="3B40699D"/>
    <w:rsid w:val="3B4A02D9"/>
    <w:rsid w:val="3B4B7A83"/>
    <w:rsid w:val="3B525924"/>
    <w:rsid w:val="3B7C535B"/>
    <w:rsid w:val="3B7F4429"/>
    <w:rsid w:val="3B7F6B8D"/>
    <w:rsid w:val="3B892B2C"/>
    <w:rsid w:val="3B9071BE"/>
    <w:rsid w:val="3B9E6446"/>
    <w:rsid w:val="3B9F5B1B"/>
    <w:rsid w:val="3BA72E58"/>
    <w:rsid w:val="3BAF489D"/>
    <w:rsid w:val="3BAF5B94"/>
    <w:rsid w:val="3BB448CB"/>
    <w:rsid w:val="3BB45F3D"/>
    <w:rsid w:val="3BBD6F4D"/>
    <w:rsid w:val="3BC30BDC"/>
    <w:rsid w:val="3BC61F46"/>
    <w:rsid w:val="3BCD2983"/>
    <w:rsid w:val="3BCE2237"/>
    <w:rsid w:val="3BD11F57"/>
    <w:rsid w:val="3BDB0376"/>
    <w:rsid w:val="3BEE121B"/>
    <w:rsid w:val="3C1048FE"/>
    <w:rsid w:val="3C104AB2"/>
    <w:rsid w:val="3C295233"/>
    <w:rsid w:val="3C3F537A"/>
    <w:rsid w:val="3C4C669B"/>
    <w:rsid w:val="3C611322"/>
    <w:rsid w:val="3C6701EA"/>
    <w:rsid w:val="3C67573A"/>
    <w:rsid w:val="3C6A6B47"/>
    <w:rsid w:val="3C7916F2"/>
    <w:rsid w:val="3C800173"/>
    <w:rsid w:val="3C936BE5"/>
    <w:rsid w:val="3C951510"/>
    <w:rsid w:val="3CA324B9"/>
    <w:rsid w:val="3CA3543D"/>
    <w:rsid w:val="3CA8680A"/>
    <w:rsid w:val="3CCA153F"/>
    <w:rsid w:val="3CCD4524"/>
    <w:rsid w:val="3CCE3D8F"/>
    <w:rsid w:val="3CD3234E"/>
    <w:rsid w:val="3CD5341E"/>
    <w:rsid w:val="3CD94E0E"/>
    <w:rsid w:val="3CE9718F"/>
    <w:rsid w:val="3CE97E80"/>
    <w:rsid w:val="3CEA35D8"/>
    <w:rsid w:val="3CEB7F03"/>
    <w:rsid w:val="3CF37453"/>
    <w:rsid w:val="3CF75CA7"/>
    <w:rsid w:val="3D021454"/>
    <w:rsid w:val="3D0C0DDD"/>
    <w:rsid w:val="3D19037D"/>
    <w:rsid w:val="3D320F8C"/>
    <w:rsid w:val="3D430A53"/>
    <w:rsid w:val="3D4A7BA3"/>
    <w:rsid w:val="3D4D5342"/>
    <w:rsid w:val="3D5B0FE0"/>
    <w:rsid w:val="3D6C7537"/>
    <w:rsid w:val="3D6F305F"/>
    <w:rsid w:val="3D7375AE"/>
    <w:rsid w:val="3D7B330D"/>
    <w:rsid w:val="3D7B7147"/>
    <w:rsid w:val="3D9E7372"/>
    <w:rsid w:val="3DA93786"/>
    <w:rsid w:val="3DB135CB"/>
    <w:rsid w:val="3DC56774"/>
    <w:rsid w:val="3DCF5DEB"/>
    <w:rsid w:val="3DD11E71"/>
    <w:rsid w:val="3DD41FBA"/>
    <w:rsid w:val="3DEA1BFD"/>
    <w:rsid w:val="3DFA2FD5"/>
    <w:rsid w:val="3DFB7104"/>
    <w:rsid w:val="3E0063B0"/>
    <w:rsid w:val="3E063458"/>
    <w:rsid w:val="3E0F39C0"/>
    <w:rsid w:val="3E3B5F59"/>
    <w:rsid w:val="3E3E1723"/>
    <w:rsid w:val="3E462767"/>
    <w:rsid w:val="3E487183"/>
    <w:rsid w:val="3E4F5464"/>
    <w:rsid w:val="3E775204"/>
    <w:rsid w:val="3E842593"/>
    <w:rsid w:val="3E85484E"/>
    <w:rsid w:val="3E89157A"/>
    <w:rsid w:val="3E99099E"/>
    <w:rsid w:val="3EBB5322"/>
    <w:rsid w:val="3EBC4DA5"/>
    <w:rsid w:val="3EC4274C"/>
    <w:rsid w:val="3ED90757"/>
    <w:rsid w:val="3EE132C5"/>
    <w:rsid w:val="3EE9744F"/>
    <w:rsid w:val="3EF17959"/>
    <w:rsid w:val="3EF57C2F"/>
    <w:rsid w:val="3EFE28C3"/>
    <w:rsid w:val="3F24397D"/>
    <w:rsid w:val="3F26749F"/>
    <w:rsid w:val="3F271729"/>
    <w:rsid w:val="3F295F84"/>
    <w:rsid w:val="3F2A3656"/>
    <w:rsid w:val="3F2C2CF1"/>
    <w:rsid w:val="3F514579"/>
    <w:rsid w:val="3F524FED"/>
    <w:rsid w:val="3F5A5A37"/>
    <w:rsid w:val="3F5B2595"/>
    <w:rsid w:val="3F63244B"/>
    <w:rsid w:val="3F696882"/>
    <w:rsid w:val="3F6F70D2"/>
    <w:rsid w:val="3F7A2080"/>
    <w:rsid w:val="3F7A6F3D"/>
    <w:rsid w:val="3F7B4E05"/>
    <w:rsid w:val="3F821498"/>
    <w:rsid w:val="3F867810"/>
    <w:rsid w:val="3F887706"/>
    <w:rsid w:val="3FA044F5"/>
    <w:rsid w:val="3FA312E0"/>
    <w:rsid w:val="3FA825B5"/>
    <w:rsid w:val="3FA97F2E"/>
    <w:rsid w:val="3FB31161"/>
    <w:rsid w:val="3FBA6F61"/>
    <w:rsid w:val="3FBC19FD"/>
    <w:rsid w:val="3FCB43CF"/>
    <w:rsid w:val="3FCF366C"/>
    <w:rsid w:val="3FD3611E"/>
    <w:rsid w:val="3FDB2378"/>
    <w:rsid w:val="3FDC6B0D"/>
    <w:rsid w:val="3FDF5225"/>
    <w:rsid w:val="3FE176EE"/>
    <w:rsid w:val="3FE4163F"/>
    <w:rsid w:val="3FE41ABE"/>
    <w:rsid w:val="3FED54AE"/>
    <w:rsid w:val="3FF770F8"/>
    <w:rsid w:val="3FFF0EB5"/>
    <w:rsid w:val="40167468"/>
    <w:rsid w:val="401B3A6C"/>
    <w:rsid w:val="401D032F"/>
    <w:rsid w:val="402255AB"/>
    <w:rsid w:val="40244970"/>
    <w:rsid w:val="4028133B"/>
    <w:rsid w:val="402A2435"/>
    <w:rsid w:val="402F4E6B"/>
    <w:rsid w:val="403F7439"/>
    <w:rsid w:val="405C734A"/>
    <w:rsid w:val="406214BF"/>
    <w:rsid w:val="40642024"/>
    <w:rsid w:val="40790495"/>
    <w:rsid w:val="408C4C2E"/>
    <w:rsid w:val="40935169"/>
    <w:rsid w:val="409537C0"/>
    <w:rsid w:val="40A44D39"/>
    <w:rsid w:val="40AF2BFB"/>
    <w:rsid w:val="40B953F2"/>
    <w:rsid w:val="40BC04ED"/>
    <w:rsid w:val="40CE697E"/>
    <w:rsid w:val="40DD4F4B"/>
    <w:rsid w:val="40E5055B"/>
    <w:rsid w:val="40F115A7"/>
    <w:rsid w:val="40F46E2C"/>
    <w:rsid w:val="410666F8"/>
    <w:rsid w:val="411C6D3E"/>
    <w:rsid w:val="4122258D"/>
    <w:rsid w:val="41297FC2"/>
    <w:rsid w:val="41374CB5"/>
    <w:rsid w:val="41421165"/>
    <w:rsid w:val="41430E9C"/>
    <w:rsid w:val="415774D3"/>
    <w:rsid w:val="41624CC3"/>
    <w:rsid w:val="41646EE5"/>
    <w:rsid w:val="41672FE1"/>
    <w:rsid w:val="41692417"/>
    <w:rsid w:val="41875397"/>
    <w:rsid w:val="418C19FB"/>
    <w:rsid w:val="419725B4"/>
    <w:rsid w:val="4199471C"/>
    <w:rsid w:val="419B1886"/>
    <w:rsid w:val="419F0B51"/>
    <w:rsid w:val="41A33229"/>
    <w:rsid w:val="41AC59D3"/>
    <w:rsid w:val="41AD2298"/>
    <w:rsid w:val="41B6125A"/>
    <w:rsid w:val="41BD210A"/>
    <w:rsid w:val="41C81C73"/>
    <w:rsid w:val="41CB1C84"/>
    <w:rsid w:val="41D272C5"/>
    <w:rsid w:val="41D94A2C"/>
    <w:rsid w:val="41D95F40"/>
    <w:rsid w:val="41DA5E1F"/>
    <w:rsid w:val="41E57DDC"/>
    <w:rsid w:val="41E900E4"/>
    <w:rsid w:val="41FA3CF6"/>
    <w:rsid w:val="41FB5B68"/>
    <w:rsid w:val="420756FD"/>
    <w:rsid w:val="421950DB"/>
    <w:rsid w:val="42215569"/>
    <w:rsid w:val="42236CD8"/>
    <w:rsid w:val="42244FDC"/>
    <w:rsid w:val="4232492B"/>
    <w:rsid w:val="42340516"/>
    <w:rsid w:val="424708CA"/>
    <w:rsid w:val="42482DD0"/>
    <w:rsid w:val="42570F25"/>
    <w:rsid w:val="425B4173"/>
    <w:rsid w:val="425F2113"/>
    <w:rsid w:val="42664507"/>
    <w:rsid w:val="4268721F"/>
    <w:rsid w:val="427A09D7"/>
    <w:rsid w:val="427A26AB"/>
    <w:rsid w:val="428966F0"/>
    <w:rsid w:val="429C752D"/>
    <w:rsid w:val="42A2381B"/>
    <w:rsid w:val="42A368AD"/>
    <w:rsid w:val="42B12314"/>
    <w:rsid w:val="42B93B2A"/>
    <w:rsid w:val="42C85BD2"/>
    <w:rsid w:val="42C8732C"/>
    <w:rsid w:val="42CE397E"/>
    <w:rsid w:val="42CF42E5"/>
    <w:rsid w:val="42E66E03"/>
    <w:rsid w:val="42F05C5B"/>
    <w:rsid w:val="42F425CC"/>
    <w:rsid w:val="42F71125"/>
    <w:rsid w:val="42F72C54"/>
    <w:rsid w:val="430019D2"/>
    <w:rsid w:val="430038E9"/>
    <w:rsid w:val="430B16F8"/>
    <w:rsid w:val="431C6E8F"/>
    <w:rsid w:val="431F7AAD"/>
    <w:rsid w:val="433214AD"/>
    <w:rsid w:val="43376388"/>
    <w:rsid w:val="43460161"/>
    <w:rsid w:val="43481E09"/>
    <w:rsid w:val="43497883"/>
    <w:rsid w:val="43514320"/>
    <w:rsid w:val="43653541"/>
    <w:rsid w:val="436E18F2"/>
    <w:rsid w:val="437053E5"/>
    <w:rsid w:val="43705714"/>
    <w:rsid w:val="437A59C8"/>
    <w:rsid w:val="43843F0B"/>
    <w:rsid w:val="43896690"/>
    <w:rsid w:val="438F2B48"/>
    <w:rsid w:val="439310A1"/>
    <w:rsid w:val="43954A1F"/>
    <w:rsid w:val="439926E7"/>
    <w:rsid w:val="439A40F0"/>
    <w:rsid w:val="43AC1AEC"/>
    <w:rsid w:val="43AF2DF1"/>
    <w:rsid w:val="43B211B1"/>
    <w:rsid w:val="43B67586"/>
    <w:rsid w:val="43B92DD6"/>
    <w:rsid w:val="43C46B24"/>
    <w:rsid w:val="43CC5F8B"/>
    <w:rsid w:val="43D552C1"/>
    <w:rsid w:val="43D634B0"/>
    <w:rsid w:val="43D662AE"/>
    <w:rsid w:val="43DF3E7F"/>
    <w:rsid w:val="43E827FE"/>
    <w:rsid w:val="43EA5109"/>
    <w:rsid w:val="43F07025"/>
    <w:rsid w:val="43F10BF2"/>
    <w:rsid w:val="44002A7C"/>
    <w:rsid w:val="440E65F4"/>
    <w:rsid w:val="440F242F"/>
    <w:rsid w:val="44101950"/>
    <w:rsid w:val="44102136"/>
    <w:rsid w:val="4412126B"/>
    <w:rsid w:val="44126C0B"/>
    <w:rsid w:val="44154597"/>
    <w:rsid w:val="441904C3"/>
    <w:rsid w:val="442C5375"/>
    <w:rsid w:val="442C7A61"/>
    <w:rsid w:val="44305455"/>
    <w:rsid w:val="443D0D70"/>
    <w:rsid w:val="443F47A5"/>
    <w:rsid w:val="4443045D"/>
    <w:rsid w:val="44440B81"/>
    <w:rsid w:val="44462E7B"/>
    <w:rsid w:val="44465DD7"/>
    <w:rsid w:val="44472775"/>
    <w:rsid w:val="444B7AA9"/>
    <w:rsid w:val="444E2612"/>
    <w:rsid w:val="44652343"/>
    <w:rsid w:val="44657B9D"/>
    <w:rsid w:val="4472112B"/>
    <w:rsid w:val="447865FD"/>
    <w:rsid w:val="44B312EF"/>
    <w:rsid w:val="44B57BD0"/>
    <w:rsid w:val="44B90419"/>
    <w:rsid w:val="44BD33EE"/>
    <w:rsid w:val="44C86361"/>
    <w:rsid w:val="44CC73C7"/>
    <w:rsid w:val="44D5701A"/>
    <w:rsid w:val="44E528D5"/>
    <w:rsid w:val="44ED6F90"/>
    <w:rsid w:val="44EF3D78"/>
    <w:rsid w:val="44F31595"/>
    <w:rsid w:val="44F44CB1"/>
    <w:rsid w:val="44F842D0"/>
    <w:rsid w:val="44F86AA3"/>
    <w:rsid w:val="44FA5702"/>
    <w:rsid w:val="44FA7702"/>
    <w:rsid w:val="44FB241C"/>
    <w:rsid w:val="44FC505B"/>
    <w:rsid w:val="451E5581"/>
    <w:rsid w:val="45214B48"/>
    <w:rsid w:val="45240915"/>
    <w:rsid w:val="45300967"/>
    <w:rsid w:val="45377716"/>
    <w:rsid w:val="453B377E"/>
    <w:rsid w:val="45421809"/>
    <w:rsid w:val="45445D3E"/>
    <w:rsid w:val="4559106D"/>
    <w:rsid w:val="4559633E"/>
    <w:rsid w:val="455C493C"/>
    <w:rsid w:val="45646956"/>
    <w:rsid w:val="456B2E62"/>
    <w:rsid w:val="456E771A"/>
    <w:rsid w:val="456F3003"/>
    <w:rsid w:val="4572061D"/>
    <w:rsid w:val="45774FDD"/>
    <w:rsid w:val="4587764B"/>
    <w:rsid w:val="458F3ADD"/>
    <w:rsid w:val="45997627"/>
    <w:rsid w:val="45AA6AD3"/>
    <w:rsid w:val="45B91B71"/>
    <w:rsid w:val="45BD1056"/>
    <w:rsid w:val="45C34038"/>
    <w:rsid w:val="45C43DD6"/>
    <w:rsid w:val="45CF1DAB"/>
    <w:rsid w:val="45D11F57"/>
    <w:rsid w:val="45D739C9"/>
    <w:rsid w:val="45DD0AF2"/>
    <w:rsid w:val="45E93E94"/>
    <w:rsid w:val="45E977D6"/>
    <w:rsid w:val="45EB03A8"/>
    <w:rsid w:val="45F4080C"/>
    <w:rsid w:val="45F41DAE"/>
    <w:rsid w:val="45F44332"/>
    <w:rsid w:val="45F57CD3"/>
    <w:rsid w:val="45F76321"/>
    <w:rsid w:val="45FA4B2D"/>
    <w:rsid w:val="45FC4B45"/>
    <w:rsid w:val="461A72F3"/>
    <w:rsid w:val="461D1E58"/>
    <w:rsid w:val="46242E68"/>
    <w:rsid w:val="462C45CC"/>
    <w:rsid w:val="463556A6"/>
    <w:rsid w:val="46394776"/>
    <w:rsid w:val="465C62FB"/>
    <w:rsid w:val="466775A2"/>
    <w:rsid w:val="46700F9E"/>
    <w:rsid w:val="46706753"/>
    <w:rsid w:val="46707BFF"/>
    <w:rsid w:val="46745A98"/>
    <w:rsid w:val="46776960"/>
    <w:rsid w:val="4680653A"/>
    <w:rsid w:val="46857C05"/>
    <w:rsid w:val="468A55E0"/>
    <w:rsid w:val="468C611D"/>
    <w:rsid w:val="46A33C81"/>
    <w:rsid w:val="46A418B6"/>
    <w:rsid w:val="46A52461"/>
    <w:rsid w:val="46BE2367"/>
    <w:rsid w:val="46C13E88"/>
    <w:rsid w:val="46C50167"/>
    <w:rsid w:val="46CC1A20"/>
    <w:rsid w:val="46DD3944"/>
    <w:rsid w:val="46E52BC0"/>
    <w:rsid w:val="46EE1A78"/>
    <w:rsid w:val="46F319D1"/>
    <w:rsid w:val="46F34BCE"/>
    <w:rsid w:val="46F5018D"/>
    <w:rsid w:val="46F908C0"/>
    <w:rsid w:val="46FE6F84"/>
    <w:rsid w:val="46FF5A9D"/>
    <w:rsid w:val="47074540"/>
    <w:rsid w:val="470A3A12"/>
    <w:rsid w:val="471561E0"/>
    <w:rsid w:val="472C6774"/>
    <w:rsid w:val="4730286B"/>
    <w:rsid w:val="4732717F"/>
    <w:rsid w:val="473628E6"/>
    <w:rsid w:val="4740427D"/>
    <w:rsid w:val="47443BCD"/>
    <w:rsid w:val="4745435E"/>
    <w:rsid w:val="47490360"/>
    <w:rsid w:val="474B54B5"/>
    <w:rsid w:val="474F1B7B"/>
    <w:rsid w:val="475446EC"/>
    <w:rsid w:val="47576B4F"/>
    <w:rsid w:val="476E6331"/>
    <w:rsid w:val="47834BDB"/>
    <w:rsid w:val="47996193"/>
    <w:rsid w:val="479A7985"/>
    <w:rsid w:val="47A246DC"/>
    <w:rsid w:val="47B911AF"/>
    <w:rsid w:val="47BF01ED"/>
    <w:rsid w:val="47C035F7"/>
    <w:rsid w:val="47CA5501"/>
    <w:rsid w:val="47D03584"/>
    <w:rsid w:val="47D76460"/>
    <w:rsid w:val="47F11532"/>
    <w:rsid w:val="47F11745"/>
    <w:rsid w:val="48004B57"/>
    <w:rsid w:val="480F0A75"/>
    <w:rsid w:val="480F507D"/>
    <w:rsid w:val="48141FB3"/>
    <w:rsid w:val="4815726B"/>
    <w:rsid w:val="481630B2"/>
    <w:rsid w:val="481D04DB"/>
    <w:rsid w:val="482D057E"/>
    <w:rsid w:val="484526DC"/>
    <w:rsid w:val="484606D7"/>
    <w:rsid w:val="485176DE"/>
    <w:rsid w:val="485466ED"/>
    <w:rsid w:val="48576CB2"/>
    <w:rsid w:val="48577D2E"/>
    <w:rsid w:val="485A2966"/>
    <w:rsid w:val="485C5E10"/>
    <w:rsid w:val="485D020A"/>
    <w:rsid w:val="486406D9"/>
    <w:rsid w:val="48644A2D"/>
    <w:rsid w:val="486C504E"/>
    <w:rsid w:val="487010D8"/>
    <w:rsid w:val="48742051"/>
    <w:rsid w:val="488C6E12"/>
    <w:rsid w:val="488F0233"/>
    <w:rsid w:val="488F2F42"/>
    <w:rsid w:val="4890015D"/>
    <w:rsid w:val="48956FC8"/>
    <w:rsid w:val="489E3221"/>
    <w:rsid w:val="489F7E0C"/>
    <w:rsid w:val="48A17BDC"/>
    <w:rsid w:val="48AD05FF"/>
    <w:rsid w:val="48B52D7D"/>
    <w:rsid w:val="48C50A88"/>
    <w:rsid w:val="48DA5624"/>
    <w:rsid w:val="48DC46A1"/>
    <w:rsid w:val="48DE2FAE"/>
    <w:rsid w:val="48EC0D2B"/>
    <w:rsid w:val="48EF0899"/>
    <w:rsid w:val="48F225BD"/>
    <w:rsid w:val="48F26DDF"/>
    <w:rsid w:val="48FF66C3"/>
    <w:rsid w:val="49056089"/>
    <w:rsid w:val="490806C4"/>
    <w:rsid w:val="49086F4E"/>
    <w:rsid w:val="49097D9C"/>
    <w:rsid w:val="490A2655"/>
    <w:rsid w:val="492045AC"/>
    <w:rsid w:val="49263CDE"/>
    <w:rsid w:val="492908EC"/>
    <w:rsid w:val="493426DA"/>
    <w:rsid w:val="4943525B"/>
    <w:rsid w:val="494662D3"/>
    <w:rsid w:val="494A5919"/>
    <w:rsid w:val="49501DA7"/>
    <w:rsid w:val="495A5B67"/>
    <w:rsid w:val="495E1129"/>
    <w:rsid w:val="496314E1"/>
    <w:rsid w:val="4988144A"/>
    <w:rsid w:val="498E4E25"/>
    <w:rsid w:val="498F1106"/>
    <w:rsid w:val="499D4EB3"/>
    <w:rsid w:val="49AB04E3"/>
    <w:rsid w:val="49C01A82"/>
    <w:rsid w:val="49C35CCB"/>
    <w:rsid w:val="49CA48AA"/>
    <w:rsid w:val="49CD71C5"/>
    <w:rsid w:val="49CE5E3C"/>
    <w:rsid w:val="49D17AFF"/>
    <w:rsid w:val="49D3424D"/>
    <w:rsid w:val="49D9787B"/>
    <w:rsid w:val="49DD0150"/>
    <w:rsid w:val="49DF5AEA"/>
    <w:rsid w:val="49EC0E89"/>
    <w:rsid w:val="49F00A3B"/>
    <w:rsid w:val="49F21876"/>
    <w:rsid w:val="49F3703A"/>
    <w:rsid w:val="4A146099"/>
    <w:rsid w:val="4A196A9A"/>
    <w:rsid w:val="4A1C495B"/>
    <w:rsid w:val="4A252F44"/>
    <w:rsid w:val="4A310045"/>
    <w:rsid w:val="4A347580"/>
    <w:rsid w:val="4A3E2A6C"/>
    <w:rsid w:val="4A410040"/>
    <w:rsid w:val="4A495740"/>
    <w:rsid w:val="4A6C1D5B"/>
    <w:rsid w:val="4A720C86"/>
    <w:rsid w:val="4A836C04"/>
    <w:rsid w:val="4A864891"/>
    <w:rsid w:val="4A8D5AC7"/>
    <w:rsid w:val="4A944493"/>
    <w:rsid w:val="4AA77074"/>
    <w:rsid w:val="4AA94C88"/>
    <w:rsid w:val="4AB70B2E"/>
    <w:rsid w:val="4ABF4C0B"/>
    <w:rsid w:val="4AC43919"/>
    <w:rsid w:val="4AC857AC"/>
    <w:rsid w:val="4ACB120F"/>
    <w:rsid w:val="4AD7296D"/>
    <w:rsid w:val="4ADE0421"/>
    <w:rsid w:val="4ADF72CC"/>
    <w:rsid w:val="4AE65316"/>
    <w:rsid w:val="4AEA7CC8"/>
    <w:rsid w:val="4AF167A8"/>
    <w:rsid w:val="4AF24646"/>
    <w:rsid w:val="4AF41EF0"/>
    <w:rsid w:val="4AFF6E4B"/>
    <w:rsid w:val="4B0D6FED"/>
    <w:rsid w:val="4B20663E"/>
    <w:rsid w:val="4B264985"/>
    <w:rsid w:val="4B274607"/>
    <w:rsid w:val="4B2A2BE1"/>
    <w:rsid w:val="4B2F0A59"/>
    <w:rsid w:val="4B33375B"/>
    <w:rsid w:val="4B4835C7"/>
    <w:rsid w:val="4B5300C3"/>
    <w:rsid w:val="4B530B57"/>
    <w:rsid w:val="4B54214B"/>
    <w:rsid w:val="4B591F42"/>
    <w:rsid w:val="4B5B683F"/>
    <w:rsid w:val="4B604865"/>
    <w:rsid w:val="4B666F14"/>
    <w:rsid w:val="4B6B2CAA"/>
    <w:rsid w:val="4B734643"/>
    <w:rsid w:val="4B7361F0"/>
    <w:rsid w:val="4B7E0567"/>
    <w:rsid w:val="4B81561C"/>
    <w:rsid w:val="4B8967B8"/>
    <w:rsid w:val="4B8A7A6B"/>
    <w:rsid w:val="4B98759C"/>
    <w:rsid w:val="4BA867BC"/>
    <w:rsid w:val="4BB174DD"/>
    <w:rsid w:val="4BB54A1A"/>
    <w:rsid w:val="4BB91ADD"/>
    <w:rsid w:val="4BBA26FF"/>
    <w:rsid w:val="4BC40FEF"/>
    <w:rsid w:val="4BC46994"/>
    <w:rsid w:val="4BD407BD"/>
    <w:rsid w:val="4BD43324"/>
    <w:rsid w:val="4BDC22D8"/>
    <w:rsid w:val="4BE621F5"/>
    <w:rsid w:val="4BEA7F30"/>
    <w:rsid w:val="4BEB6FC1"/>
    <w:rsid w:val="4BF60555"/>
    <w:rsid w:val="4BF80665"/>
    <w:rsid w:val="4C0B317C"/>
    <w:rsid w:val="4C153152"/>
    <w:rsid w:val="4C3040C5"/>
    <w:rsid w:val="4C44121A"/>
    <w:rsid w:val="4C480355"/>
    <w:rsid w:val="4C5A0092"/>
    <w:rsid w:val="4C607C97"/>
    <w:rsid w:val="4C612039"/>
    <w:rsid w:val="4C6C25FF"/>
    <w:rsid w:val="4C6C358B"/>
    <w:rsid w:val="4C6D7F66"/>
    <w:rsid w:val="4C741783"/>
    <w:rsid w:val="4C7B2FE4"/>
    <w:rsid w:val="4C8039FA"/>
    <w:rsid w:val="4C81118B"/>
    <w:rsid w:val="4C84390B"/>
    <w:rsid w:val="4C897429"/>
    <w:rsid w:val="4C9B5BA9"/>
    <w:rsid w:val="4CA2035F"/>
    <w:rsid w:val="4CA3775E"/>
    <w:rsid w:val="4CB40A2F"/>
    <w:rsid w:val="4CC16C30"/>
    <w:rsid w:val="4CD329B9"/>
    <w:rsid w:val="4CD418B6"/>
    <w:rsid w:val="4CD905E3"/>
    <w:rsid w:val="4CE43123"/>
    <w:rsid w:val="4CED38B0"/>
    <w:rsid w:val="4CFA4459"/>
    <w:rsid w:val="4CFC3434"/>
    <w:rsid w:val="4CFE2698"/>
    <w:rsid w:val="4D080A7F"/>
    <w:rsid w:val="4D0D71F5"/>
    <w:rsid w:val="4D170E16"/>
    <w:rsid w:val="4D1B6DB5"/>
    <w:rsid w:val="4D387620"/>
    <w:rsid w:val="4D4E5569"/>
    <w:rsid w:val="4D5167FD"/>
    <w:rsid w:val="4D5474DD"/>
    <w:rsid w:val="4D62728A"/>
    <w:rsid w:val="4D671E52"/>
    <w:rsid w:val="4D6903D8"/>
    <w:rsid w:val="4D6C1A76"/>
    <w:rsid w:val="4D6D2468"/>
    <w:rsid w:val="4D7808DE"/>
    <w:rsid w:val="4D7F54C4"/>
    <w:rsid w:val="4D822263"/>
    <w:rsid w:val="4D8228BE"/>
    <w:rsid w:val="4D834DA8"/>
    <w:rsid w:val="4DA73526"/>
    <w:rsid w:val="4DAA6A4D"/>
    <w:rsid w:val="4DB34793"/>
    <w:rsid w:val="4DB508B6"/>
    <w:rsid w:val="4DCA01A6"/>
    <w:rsid w:val="4DD579D4"/>
    <w:rsid w:val="4DEB04F7"/>
    <w:rsid w:val="4DF02D5A"/>
    <w:rsid w:val="4DF816D6"/>
    <w:rsid w:val="4E117184"/>
    <w:rsid w:val="4E1A2295"/>
    <w:rsid w:val="4E1C5B0C"/>
    <w:rsid w:val="4E207B4A"/>
    <w:rsid w:val="4E2C32D3"/>
    <w:rsid w:val="4E2D6F0A"/>
    <w:rsid w:val="4E341E6B"/>
    <w:rsid w:val="4E3E15D5"/>
    <w:rsid w:val="4E501E48"/>
    <w:rsid w:val="4E564C27"/>
    <w:rsid w:val="4E570370"/>
    <w:rsid w:val="4E685745"/>
    <w:rsid w:val="4E7324FE"/>
    <w:rsid w:val="4E781B1E"/>
    <w:rsid w:val="4E8B5482"/>
    <w:rsid w:val="4E95259A"/>
    <w:rsid w:val="4E955F15"/>
    <w:rsid w:val="4E9C15F2"/>
    <w:rsid w:val="4EA31F6C"/>
    <w:rsid w:val="4EA522C0"/>
    <w:rsid w:val="4EBC7D63"/>
    <w:rsid w:val="4EC047A5"/>
    <w:rsid w:val="4EC15AFB"/>
    <w:rsid w:val="4ECB62D3"/>
    <w:rsid w:val="4ED6146E"/>
    <w:rsid w:val="4EE96F64"/>
    <w:rsid w:val="4F007420"/>
    <w:rsid w:val="4F0107AF"/>
    <w:rsid w:val="4F1023DB"/>
    <w:rsid w:val="4F103778"/>
    <w:rsid w:val="4F225711"/>
    <w:rsid w:val="4F230DE0"/>
    <w:rsid w:val="4F256DDF"/>
    <w:rsid w:val="4F265BE1"/>
    <w:rsid w:val="4F3F18BA"/>
    <w:rsid w:val="4F4D3D0A"/>
    <w:rsid w:val="4F4F574D"/>
    <w:rsid w:val="4F530A90"/>
    <w:rsid w:val="4F61136B"/>
    <w:rsid w:val="4F6A57AA"/>
    <w:rsid w:val="4F753D4C"/>
    <w:rsid w:val="4F754598"/>
    <w:rsid w:val="4F8D1483"/>
    <w:rsid w:val="4F9A082A"/>
    <w:rsid w:val="4F9C0980"/>
    <w:rsid w:val="4F9E3756"/>
    <w:rsid w:val="4FB452B1"/>
    <w:rsid w:val="4FC950C9"/>
    <w:rsid w:val="4FCC619D"/>
    <w:rsid w:val="4FD3127D"/>
    <w:rsid w:val="4FD4375B"/>
    <w:rsid w:val="4FE034E7"/>
    <w:rsid w:val="4FE075DD"/>
    <w:rsid w:val="4FEC453D"/>
    <w:rsid w:val="4FED2535"/>
    <w:rsid w:val="4FEE2FA1"/>
    <w:rsid w:val="4FF11531"/>
    <w:rsid w:val="4FF851BD"/>
    <w:rsid w:val="4FF941ED"/>
    <w:rsid w:val="4FFE6D00"/>
    <w:rsid w:val="500134D4"/>
    <w:rsid w:val="500256A4"/>
    <w:rsid w:val="50057D0C"/>
    <w:rsid w:val="50063716"/>
    <w:rsid w:val="500D5E37"/>
    <w:rsid w:val="500F6693"/>
    <w:rsid w:val="5014253B"/>
    <w:rsid w:val="50144E94"/>
    <w:rsid w:val="501841F4"/>
    <w:rsid w:val="5026153B"/>
    <w:rsid w:val="502D1C30"/>
    <w:rsid w:val="503A759A"/>
    <w:rsid w:val="50407739"/>
    <w:rsid w:val="50426642"/>
    <w:rsid w:val="50457735"/>
    <w:rsid w:val="506B4BBA"/>
    <w:rsid w:val="508D0805"/>
    <w:rsid w:val="50903685"/>
    <w:rsid w:val="50904434"/>
    <w:rsid w:val="509D2273"/>
    <w:rsid w:val="509F1230"/>
    <w:rsid w:val="50B42974"/>
    <w:rsid w:val="50B80D70"/>
    <w:rsid w:val="50BB4B3E"/>
    <w:rsid w:val="50C41E20"/>
    <w:rsid w:val="50C6377A"/>
    <w:rsid w:val="50C6486E"/>
    <w:rsid w:val="50D0319B"/>
    <w:rsid w:val="50D17F62"/>
    <w:rsid w:val="50D31CE8"/>
    <w:rsid w:val="50D92EC9"/>
    <w:rsid w:val="50DF3BD0"/>
    <w:rsid w:val="50E770D7"/>
    <w:rsid w:val="50F71212"/>
    <w:rsid w:val="50F87D74"/>
    <w:rsid w:val="50F92419"/>
    <w:rsid w:val="51024344"/>
    <w:rsid w:val="51084BCE"/>
    <w:rsid w:val="511031FE"/>
    <w:rsid w:val="51172BBE"/>
    <w:rsid w:val="51245450"/>
    <w:rsid w:val="51282E72"/>
    <w:rsid w:val="512B4F66"/>
    <w:rsid w:val="51457988"/>
    <w:rsid w:val="51467367"/>
    <w:rsid w:val="51467C67"/>
    <w:rsid w:val="514D19B5"/>
    <w:rsid w:val="51506A68"/>
    <w:rsid w:val="51573255"/>
    <w:rsid w:val="515A3843"/>
    <w:rsid w:val="516D15A7"/>
    <w:rsid w:val="51747D0C"/>
    <w:rsid w:val="518E5A35"/>
    <w:rsid w:val="51A1405A"/>
    <w:rsid w:val="51A356A8"/>
    <w:rsid w:val="51B2130E"/>
    <w:rsid w:val="51D83F7E"/>
    <w:rsid w:val="51DC0200"/>
    <w:rsid w:val="51E719D0"/>
    <w:rsid w:val="51F33F9C"/>
    <w:rsid w:val="51FC3C9B"/>
    <w:rsid w:val="52104027"/>
    <w:rsid w:val="521A71C9"/>
    <w:rsid w:val="5222662E"/>
    <w:rsid w:val="52243866"/>
    <w:rsid w:val="5224644A"/>
    <w:rsid w:val="52274599"/>
    <w:rsid w:val="522E031C"/>
    <w:rsid w:val="52386E4A"/>
    <w:rsid w:val="523B0175"/>
    <w:rsid w:val="523D3DBD"/>
    <w:rsid w:val="52516D2E"/>
    <w:rsid w:val="52565FCD"/>
    <w:rsid w:val="525E66BB"/>
    <w:rsid w:val="52674390"/>
    <w:rsid w:val="52677D37"/>
    <w:rsid w:val="527264C9"/>
    <w:rsid w:val="5273389D"/>
    <w:rsid w:val="527573C7"/>
    <w:rsid w:val="527C298B"/>
    <w:rsid w:val="52855233"/>
    <w:rsid w:val="52970395"/>
    <w:rsid w:val="52A003CF"/>
    <w:rsid w:val="52A04269"/>
    <w:rsid w:val="52A44978"/>
    <w:rsid w:val="52B52271"/>
    <w:rsid w:val="52BB068B"/>
    <w:rsid w:val="52D46FAA"/>
    <w:rsid w:val="52DB5CD9"/>
    <w:rsid w:val="52EA4A30"/>
    <w:rsid w:val="52EC73C7"/>
    <w:rsid w:val="52F76990"/>
    <w:rsid w:val="5313329D"/>
    <w:rsid w:val="53157527"/>
    <w:rsid w:val="53252872"/>
    <w:rsid w:val="53284029"/>
    <w:rsid w:val="53297BFE"/>
    <w:rsid w:val="532D2735"/>
    <w:rsid w:val="5341623B"/>
    <w:rsid w:val="53420B68"/>
    <w:rsid w:val="534C73DF"/>
    <w:rsid w:val="535108D6"/>
    <w:rsid w:val="53584A8E"/>
    <w:rsid w:val="536461B1"/>
    <w:rsid w:val="536735AB"/>
    <w:rsid w:val="536D174C"/>
    <w:rsid w:val="53797A22"/>
    <w:rsid w:val="537D29CD"/>
    <w:rsid w:val="537E63EF"/>
    <w:rsid w:val="53865604"/>
    <w:rsid w:val="538C6550"/>
    <w:rsid w:val="53964A2C"/>
    <w:rsid w:val="53994DE0"/>
    <w:rsid w:val="539A0DCA"/>
    <w:rsid w:val="539C2903"/>
    <w:rsid w:val="539D6B8B"/>
    <w:rsid w:val="539F04B8"/>
    <w:rsid w:val="53A738C0"/>
    <w:rsid w:val="53B43A3A"/>
    <w:rsid w:val="53BE2D64"/>
    <w:rsid w:val="53C45D04"/>
    <w:rsid w:val="53E66EEC"/>
    <w:rsid w:val="53F61E7F"/>
    <w:rsid w:val="54124761"/>
    <w:rsid w:val="541D1A5A"/>
    <w:rsid w:val="54376AEE"/>
    <w:rsid w:val="543A6F5E"/>
    <w:rsid w:val="544064D5"/>
    <w:rsid w:val="5444699E"/>
    <w:rsid w:val="544517BA"/>
    <w:rsid w:val="5445411A"/>
    <w:rsid w:val="54587BA4"/>
    <w:rsid w:val="546453C1"/>
    <w:rsid w:val="546B5DA9"/>
    <w:rsid w:val="54740F6C"/>
    <w:rsid w:val="547A285E"/>
    <w:rsid w:val="54846A8F"/>
    <w:rsid w:val="54997F8A"/>
    <w:rsid w:val="549D19FD"/>
    <w:rsid w:val="549E22F5"/>
    <w:rsid w:val="54A13D79"/>
    <w:rsid w:val="54A45F07"/>
    <w:rsid w:val="54A4646A"/>
    <w:rsid w:val="54A869BA"/>
    <w:rsid w:val="54AA66DE"/>
    <w:rsid w:val="54B06F2A"/>
    <w:rsid w:val="54B51AE8"/>
    <w:rsid w:val="54B70A12"/>
    <w:rsid w:val="54BC267B"/>
    <w:rsid w:val="54D23C2D"/>
    <w:rsid w:val="54D47B1B"/>
    <w:rsid w:val="54D971F9"/>
    <w:rsid w:val="54E85537"/>
    <w:rsid w:val="550129AF"/>
    <w:rsid w:val="55063C91"/>
    <w:rsid w:val="5513408D"/>
    <w:rsid w:val="551B5369"/>
    <w:rsid w:val="55312A76"/>
    <w:rsid w:val="553266A6"/>
    <w:rsid w:val="553717ED"/>
    <w:rsid w:val="553B0B7C"/>
    <w:rsid w:val="553B5478"/>
    <w:rsid w:val="55444092"/>
    <w:rsid w:val="554D3085"/>
    <w:rsid w:val="55511897"/>
    <w:rsid w:val="55561D3A"/>
    <w:rsid w:val="556573D1"/>
    <w:rsid w:val="5566114C"/>
    <w:rsid w:val="558765E8"/>
    <w:rsid w:val="558C142A"/>
    <w:rsid w:val="55A159CC"/>
    <w:rsid w:val="55A30B7B"/>
    <w:rsid w:val="55A857DC"/>
    <w:rsid w:val="55A93EB2"/>
    <w:rsid w:val="55AA12FE"/>
    <w:rsid w:val="55B21373"/>
    <w:rsid w:val="55B852D1"/>
    <w:rsid w:val="55B96294"/>
    <w:rsid w:val="55BE22F5"/>
    <w:rsid w:val="55D167BE"/>
    <w:rsid w:val="55D273D7"/>
    <w:rsid w:val="55DA618F"/>
    <w:rsid w:val="55E21D14"/>
    <w:rsid w:val="55F818EC"/>
    <w:rsid w:val="55FB568C"/>
    <w:rsid w:val="56005BBE"/>
    <w:rsid w:val="560275DB"/>
    <w:rsid w:val="56083164"/>
    <w:rsid w:val="561A3F8F"/>
    <w:rsid w:val="562F0236"/>
    <w:rsid w:val="56365B53"/>
    <w:rsid w:val="56522B9E"/>
    <w:rsid w:val="56531180"/>
    <w:rsid w:val="565536E0"/>
    <w:rsid w:val="565700D9"/>
    <w:rsid w:val="567A68A7"/>
    <w:rsid w:val="56810410"/>
    <w:rsid w:val="5691049C"/>
    <w:rsid w:val="56974CA8"/>
    <w:rsid w:val="569B4125"/>
    <w:rsid w:val="56A12AE4"/>
    <w:rsid w:val="56A41651"/>
    <w:rsid w:val="56AF6590"/>
    <w:rsid w:val="56B03E13"/>
    <w:rsid w:val="56B25DE2"/>
    <w:rsid w:val="56C860D1"/>
    <w:rsid w:val="56D1536E"/>
    <w:rsid w:val="56D376C7"/>
    <w:rsid w:val="56EA6C17"/>
    <w:rsid w:val="56EB653C"/>
    <w:rsid w:val="56F717FD"/>
    <w:rsid w:val="56F71F8D"/>
    <w:rsid w:val="56FF4FC1"/>
    <w:rsid w:val="57125948"/>
    <w:rsid w:val="571A61FF"/>
    <w:rsid w:val="571A6B57"/>
    <w:rsid w:val="572941CE"/>
    <w:rsid w:val="573434DC"/>
    <w:rsid w:val="573618D7"/>
    <w:rsid w:val="573B5F9C"/>
    <w:rsid w:val="575D3454"/>
    <w:rsid w:val="57645D7D"/>
    <w:rsid w:val="57700075"/>
    <w:rsid w:val="577A578A"/>
    <w:rsid w:val="577B61C2"/>
    <w:rsid w:val="577E62BC"/>
    <w:rsid w:val="577F0EBF"/>
    <w:rsid w:val="578D6067"/>
    <w:rsid w:val="57957D86"/>
    <w:rsid w:val="579829F2"/>
    <w:rsid w:val="57A10287"/>
    <w:rsid w:val="57A51D41"/>
    <w:rsid w:val="57BC1B81"/>
    <w:rsid w:val="57C10D7F"/>
    <w:rsid w:val="57CB2292"/>
    <w:rsid w:val="57CB3A5B"/>
    <w:rsid w:val="57D51F49"/>
    <w:rsid w:val="57D604C2"/>
    <w:rsid w:val="57DF6FC9"/>
    <w:rsid w:val="57E90D04"/>
    <w:rsid w:val="57EB2224"/>
    <w:rsid w:val="57F55D94"/>
    <w:rsid w:val="57F5633C"/>
    <w:rsid w:val="57F57BDA"/>
    <w:rsid w:val="57F664DA"/>
    <w:rsid w:val="58020BD4"/>
    <w:rsid w:val="5808109A"/>
    <w:rsid w:val="580F7AFF"/>
    <w:rsid w:val="581644CB"/>
    <w:rsid w:val="58176960"/>
    <w:rsid w:val="58377C6E"/>
    <w:rsid w:val="58440F06"/>
    <w:rsid w:val="585F43B0"/>
    <w:rsid w:val="586952B9"/>
    <w:rsid w:val="586A0BD9"/>
    <w:rsid w:val="586D329C"/>
    <w:rsid w:val="586F25DF"/>
    <w:rsid w:val="5877412A"/>
    <w:rsid w:val="587B273E"/>
    <w:rsid w:val="587C1391"/>
    <w:rsid w:val="587D2C10"/>
    <w:rsid w:val="58834918"/>
    <w:rsid w:val="588457C2"/>
    <w:rsid w:val="588F3550"/>
    <w:rsid w:val="58A068FE"/>
    <w:rsid w:val="58AF6400"/>
    <w:rsid w:val="58AF68A2"/>
    <w:rsid w:val="58B91327"/>
    <w:rsid w:val="58BC59DA"/>
    <w:rsid w:val="58D17B94"/>
    <w:rsid w:val="58D23C1C"/>
    <w:rsid w:val="58E553F6"/>
    <w:rsid w:val="58EA3302"/>
    <w:rsid w:val="58EB33A6"/>
    <w:rsid w:val="58F82BC0"/>
    <w:rsid w:val="58FC17E4"/>
    <w:rsid w:val="58FD5BE8"/>
    <w:rsid w:val="59071B7E"/>
    <w:rsid w:val="591630D2"/>
    <w:rsid w:val="59234731"/>
    <w:rsid w:val="592745E3"/>
    <w:rsid w:val="5931362C"/>
    <w:rsid w:val="593A16A5"/>
    <w:rsid w:val="59493561"/>
    <w:rsid w:val="5956645C"/>
    <w:rsid w:val="59632A45"/>
    <w:rsid w:val="59685AE5"/>
    <w:rsid w:val="597B3CAD"/>
    <w:rsid w:val="59853376"/>
    <w:rsid w:val="598653AF"/>
    <w:rsid w:val="598C0181"/>
    <w:rsid w:val="599548C4"/>
    <w:rsid w:val="599E1DCD"/>
    <w:rsid w:val="59A72EE9"/>
    <w:rsid w:val="59A7322F"/>
    <w:rsid w:val="59AE5B50"/>
    <w:rsid w:val="59B22E38"/>
    <w:rsid w:val="59C94F9F"/>
    <w:rsid w:val="59D260F9"/>
    <w:rsid w:val="59DA1758"/>
    <w:rsid w:val="59FD39C8"/>
    <w:rsid w:val="5A034AAE"/>
    <w:rsid w:val="5A0C0A5F"/>
    <w:rsid w:val="5A0F7D6B"/>
    <w:rsid w:val="5A122F86"/>
    <w:rsid w:val="5A130D64"/>
    <w:rsid w:val="5A133B6B"/>
    <w:rsid w:val="5A15490F"/>
    <w:rsid w:val="5A2364D8"/>
    <w:rsid w:val="5A2914C3"/>
    <w:rsid w:val="5A2978DA"/>
    <w:rsid w:val="5A3D3FAD"/>
    <w:rsid w:val="5A492317"/>
    <w:rsid w:val="5A4C420A"/>
    <w:rsid w:val="5A530E87"/>
    <w:rsid w:val="5A6128DB"/>
    <w:rsid w:val="5A651F10"/>
    <w:rsid w:val="5A6C42CB"/>
    <w:rsid w:val="5A7A6D4D"/>
    <w:rsid w:val="5A7E2172"/>
    <w:rsid w:val="5A8C7C63"/>
    <w:rsid w:val="5A8E0F5F"/>
    <w:rsid w:val="5A96619B"/>
    <w:rsid w:val="5A996110"/>
    <w:rsid w:val="5A9A6FAA"/>
    <w:rsid w:val="5AA85911"/>
    <w:rsid w:val="5AAD0035"/>
    <w:rsid w:val="5AB91F8D"/>
    <w:rsid w:val="5AC340F9"/>
    <w:rsid w:val="5AC6178D"/>
    <w:rsid w:val="5AC964A6"/>
    <w:rsid w:val="5AD80B7E"/>
    <w:rsid w:val="5AF24EF9"/>
    <w:rsid w:val="5AFB29C3"/>
    <w:rsid w:val="5AFD5990"/>
    <w:rsid w:val="5B011856"/>
    <w:rsid w:val="5B03776D"/>
    <w:rsid w:val="5B043EC0"/>
    <w:rsid w:val="5B124F7B"/>
    <w:rsid w:val="5B165A7B"/>
    <w:rsid w:val="5B186B28"/>
    <w:rsid w:val="5B1D605D"/>
    <w:rsid w:val="5B202518"/>
    <w:rsid w:val="5B256D04"/>
    <w:rsid w:val="5B3F2678"/>
    <w:rsid w:val="5B5C5B47"/>
    <w:rsid w:val="5B5D5624"/>
    <w:rsid w:val="5B6E7DB2"/>
    <w:rsid w:val="5B7042D9"/>
    <w:rsid w:val="5B723B64"/>
    <w:rsid w:val="5B72464C"/>
    <w:rsid w:val="5B7E4396"/>
    <w:rsid w:val="5B8178AB"/>
    <w:rsid w:val="5B8D7138"/>
    <w:rsid w:val="5BA047BD"/>
    <w:rsid w:val="5BA6003A"/>
    <w:rsid w:val="5BA73A29"/>
    <w:rsid w:val="5BA8798F"/>
    <w:rsid w:val="5BAC1131"/>
    <w:rsid w:val="5BB7067E"/>
    <w:rsid w:val="5BBB04B5"/>
    <w:rsid w:val="5BC649D4"/>
    <w:rsid w:val="5BCE2540"/>
    <w:rsid w:val="5BD32994"/>
    <w:rsid w:val="5BDA6292"/>
    <w:rsid w:val="5BDB3C88"/>
    <w:rsid w:val="5BDD0465"/>
    <w:rsid w:val="5BDF1A01"/>
    <w:rsid w:val="5BE11A2C"/>
    <w:rsid w:val="5BE50F95"/>
    <w:rsid w:val="5BEC3EDA"/>
    <w:rsid w:val="5BEF29A4"/>
    <w:rsid w:val="5BF647EA"/>
    <w:rsid w:val="5BFE24D6"/>
    <w:rsid w:val="5C070D74"/>
    <w:rsid w:val="5C08288E"/>
    <w:rsid w:val="5C166AB9"/>
    <w:rsid w:val="5C192774"/>
    <w:rsid w:val="5C1B40ED"/>
    <w:rsid w:val="5C1C741F"/>
    <w:rsid w:val="5C1E6460"/>
    <w:rsid w:val="5C2B4DDD"/>
    <w:rsid w:val="5C32687B"/>
    <w:rsid w:val="5C36375A"/>
    <w:rsid w:val="5C3C2E28"/>
    <w:rsid w:val="5C3F4279"/>
    <w:rsid w:val="5C3F666A"/>
    <w:rsid w:val="5C433B6E"/>
    <w:rsid w:val="5C4F58D8"/>
    <w:rsid w:val="5C6F1813"/>
    <w:rsid w:val="5C754A98"/>
    <w:rsid w:val="5C7753B7"/>
    <w:rsid w:val="5C895365"/>
    <w:rsid w:val="5C8B3F4C"/>
    <w:rsid w:val="5C8E33E7"/>
    <w:rsid w:val="5C9B7152"/>
    <w:rsid w:val="5CA626B0"/>
    <w:rsid w:val="5CB733EB"/>
    <w:rsid w:val="5CBA3F7B"/>
    <w:rsid w:val="5CBD3138"/>
    <w:rsid w:val="5CCB1ABF"/>
    <w:rsid w:val="5CCE5698"/>
    <w:rsid w:val="5CD17C37"/>
    <w:rsid w:val="5CD25053"/>
    <w:rsid w:val="5CD85A70"/>
    <w:rsid w:val="5CDC3610"/>
    <w:rsid w:val="5CE526A7"/>
    <w:rsid w:val="5CE74DCB"/>
    <w:rsid w:val="5CF62944"/>
    <w:rsid w:val="5CF83225"/>
    <w:rsid w:val="5CFE3A32"/>
    <w:rsid w:val="5D050398"/>
    <w:rsid w:val="5D0D5825"/>
    <w:rsid w:val="5D1D2C24"/>
    <w:rsid w:val="5D341157"/>
    <w:rsid w:val="5D39104E"/>
    <w:rsid w:val="5D3B5EA4"/>
    <w:rsid w:val="5D3C00C7"/>
    <w:rsid w:val="5D406240"/>
    <w:rsid w:val="5D4412F8"/>
    <w:rsid w:val="5D526B12"/>
    <w:rsid w:val="5D5640EF"/>
    <w:rsid w:val="5D751713"/>
    <w:rsid w:val="5D8E2ED3"/>
    <w:rsid w:val="5D976F9C"/>
    <w:rsid w:val="5D9B2711"/>
    <w:rsid w:val="5D9D70D6"/>
    <w:rsid w:val="5DA7200A"/>
    <w:rsid w:val="5DAA21F3"/>
    <w:rsid w:val="5DB164DB"/>
    <w:rsid w:val="5DB22505"/>
    <w:rsid w:val="5DB521D8"/>
    <w:rsid w:val="5DB875B0"/>
    <w:rsid w:val="5DBA5475"/>
    <w:rsid w:val="5DBB6120"/>
    <w:rsid w:val="5DC978DD"/>
    <w:rsid w:val="5DCC4E0A"/>
    <w:rsid w:val="5DD64F9A"/>
    <w:rsid w:val="5DDA4F32"/>
    <w:rsid w:val="5DEE2E7D"/>
    <w:rsid w:val="5DF71309"/>
    <w:rsid w:val="5E023D1F"/>
    <w:rsid w:val="5E0D0175"/>
    <w:rsid w:val="5E0D09B2"/>
    <w:rsid w:val="5E115DF0"/>
    <w:rsid w:val="5E132A3D"/>
    <w:rsid w:val="5E1A01D4"/>
    <w:rsid w:val="5E260E2F"/>
    <w:rsid w:val="5E285A19"/>
    <w:rsid w:val="5E55362B"/>
    <w:rsid w:val="5E5902CF"/>
    <w:rsid w:val="5E630799"/>
    <w:rsid w:val="5E68019E"/>
    <w:rsid w:val="5E6856C1"/>
    <w:rsid w:val="5E6F1AC7"/>
    <w:rsid w:val="5E706DB4"/>
    <w:rsid w:val="5E7F1D37"/>
    <w:rsid w:val="5E8160ED"/>
    <w:rsid w:val="5E8F10D6"/>
    <w:rsid w:val="5E917533"/>
    <w:rsid w:val="5E9D3ED8"/>
    <w:rsid w:val="5EA30234"/>
    <w:rsid w:val="5EAA754E"/>
    <w:rsid w:val="5EAD76BD"/>
    <w:rsid w:val="5EB617C3"/>
    <w:rsid w:val="5EC27E41"/>
    <w:rsid w:val="5EC302B0"/>
    <w:rsid w:val="5EC9772F"/>
    <w:rsid w:val="5ECE4ABF"/>
    <w:rsid w:val="5EDE0280"/>
    <w:rsid w:val="5EE869D4"/>
    <w:rsid w:val="5EF14B42"/>
    <w:rsid w:val="5EFB26C5"/>
    <w:rsid w:val="5F017E1D"/>
    <w:rsid w:val="5F0C5EF6"/>
    <w:rsid w:val="5F26576E"/>
    <w:rsid w:val="5F2A2359"/>
    <w:rsid w:val="5F2A2FDF"/>
    <w:rsid w:val="5F2A6666"/>
    <w:rsid w:val="5F2F203E"/>
    <w:rsid w:val="5F38078A"/>
    <w:rsid w:val="5F490E9E"/>
    <w:rsid w:val="5F492413"/>
    <w:rsid w:val="5F5144F9"/>
    <w:rsid w:val="5F544502"/>
    <w:rsid w:val="5F566C96"/>
    <w:rsid w:val="5F7748A1"/>
    <w:rsid w:val="5F8644DC"/>
    <w:rsid w:val="5F872D5C"/>
    <w:rsid w:val="5F8A2DAD"/>
    <w:rsid w:val="5F976D0E"/>
    <w:rsid w:val="5F9A3E7C"/>
    <w:rsid w:val="5FAE5B91"/>
    <w:rsid w:val="5FB67EDB"/>
    <w:rsid w:val="5FBA18AF"/>
    <w:rsid w:val="5FC902AA"/>
    <w:rsid w:val="5FCC5E96"/>
    <w:rsid w:val="5FD3656C"/>
    <w:rsid w:val="5FD6616F"/>
    <w:rsid w:val="5FDC1A10"/>
    <w:rsid w:val="5FE564DF"/>
    <w:rsid w:val="5FFD7482"/>
    <w:rsid w:val="60025943"/>
    <w:rsid w:val="600927B0"/>
    <w:rsid w:val="602B12D2"/>
    <w:rsid w:val="60300022"/>
    <w:rsid w:val="6033782E"/>
    <w:rsid w:val="60341354"/>
    <w:rsid w:val="60371C15"/>
    <w:rsid w:val="60432674"/>
    <w:rsid w:val="6044053B"/>
    <w:rsid w:val="60471828"/>
    <w:rsid w:val="604F32B7"/>
    <w:rsid w:val="60545885"/>
    <w:rsid w:val="6060135B"/>
    <w:rsid w:val="60687036"/>
    <w:rsid w:val="606A5FAC"/>
    <w:rsid w:val="60710F14"/>
    <w:rsid w:val="607379D9"/>
    <w:rsid w:val="6083173D"/>
    <w:rsid w:val="608367BE"/>
    <w:rsid w:val="608E4356"/>
    <w:rsid w:val="608E66C6"/>
    <w:rsid w:val="609E07D6"/>
    <w:rsid w:val="609E21B8"/>
    <w:rsid w:val="60A448C6"/>
    <w:rsid w:val="60B465F3"/>
    <w:rsid w:val="60C05A07"/>
    <w:rsid w:val="60CE0624"/>
    <w:rsid w:val="60CE35CB"/>
    <w:rsid w:val="60DA3D5D"/>
    <w:rsid w:val="610253C5"/>
    <w:rsid w:val="61035449"/>
    <w:rsid w:val="61082F97"/>
    <w:rsid w:val="612476CE"/>
    <w:rsid w:val="612672B0"/>
    <w:rsid w:val="612D699A"/>
    <w:rsid w:val="61370075"/>
    <w:rsid w:val="6143240D"/>
    <w:rsid w:val="61507664"/>
    <w:rsid w:val="615654D5"/>
    <w:rsid w:val="615753EF"/>
    <w:rsid w:val="6164511C"/>
    <w:rsid w:val="61676417"/>
    <w:rsid w:val="616C47B1"/>
    <w:rsid w:val="61767C9B"/>
    <w:rsid w:val="618446CD"/>
    <w:rsid w:val="618672C2"/>
    <w:rsid w:val="618A7506"/>
    <w:rsid w:val="618C1EDC"/>
    <w:rsid w:val="619873B2"/>
    <w:rsid w:val="619A50C0"/>
    <w:rsid w:val="619D3A1C"/>
    <w:rsid w:val="619F6DFA"/>
    <w:rsid w:val="61C970B5"/>
    <w:rsid w:val="61CD123A"/>
    <w:rsid w:val="61D435A1"/>
    <w:rsid w:val="61DC0614"/>
    <w:rsid w:val="61DC24B0"/>
    <w:rsid w:val="61DC62F4"/>
    <w:rsid w:val="61E74848"/>
    <w:rsid w:val="61E778BC"/>
    <w:rsid w:val="61EC15C9"/>
    <w:rsid w:val="61EE6B67"/>
    <w:rsid w:val="620F5385"/>
    <w:rsid w:val="62300077"/>
    <w:rsid w:val="623227C9"/>
    <w:rsid w:val="623720C2"/>
    <w:rsid w:val="62423710"/>
    <w:rsid w:val="6248391B"/>
    <w:rsid w:val="624C75E2"/>
    <w:rsid w:val="62513C24"/>
    <w:rsid w:val="62626757"/>
    <w:rsid w:val="62695307"/>
    <w:rsid w:val="626B768E"/>
    <w:rsid w:val="626C6314"/>
    <w:rsid w:val="626E5D58"/>
    <w:rsid w:val="62770A77"/>
    <w:rsid w:val="62784CAA"/>
    <w:rsid w:val="62807342"/>
    <w:rsid w:val="62837249"/>
    <w:rsid w:val="628E34FC"/>
    <w:rsid w:val="6293113D"/>
    <w:rsid w:val="629576A9"/>
    <w:rsid w:val="62980265"/>
    <w:rsid w:val="62A134AC"/>
    <w:rsid w:val="62B46108"/>
    <w:rsid w:val="62B60DA9"/>
    <w:rsid w:val="62B675E3"/>
    <w:rsid w:val="62BC4A47"/>
    <w:rsid w:val="62CE10E9"/>
    <w:rsid w:val="62CF768E"/>
    <w:rsid w:val="62D63E38"/>
    <w:rsid w:val="62EB5C21"/>
    <w:rsid w:val="62EF55CC"/>
    <w:rsid w:val="62F078EF"/>
    <w:rsid w:val="62F96946"/>
    <w:rsid w:val="62FB6905"/>
    <w:rsid w:val="6305368D"/>
    <w:rsid w:val="630879A3"/>
    <w:rsid w:val="630A52C0"/>
    <w:rsid w:val="63102F35"/>
    <w:rsid w:val="631169BB"/>
    <w:rsid w:val="631E70F3"/>
    <w:rsid w:val="6320642F"/>
    <w:rsid w:val="6325347A"/>
    <w:rsid w:val="63262DFC"/>
    <w:rsid w:val="632C5E28"/>
    <w:rsid w:val="63375805"/>
    <w:rsid w:val="633A175E"/>
    <w:rsid w:val="6346322F"/>
    <w:rsid w:val="634B6346"/>
    <w:rsid w:val="635E78B5"/>
    <w:rsid w:val="635F4B7A"/>
    <w:rsid w:val="63686131"/>
    <w:rsid w:val="636C7541"/>
    <w:rsid w:val="63725DFB"/>
    <w:rsid w:val="637973C2"/>
    <w:rsid w:val="637D0272"/>
    <w:rsid w:val="637F7D59"/>
    <w:rsid w:val="638D4ADD"/>
    <w:rsid w:val="639A6F14"/>
    <w:rsid w:val="63A2431A"/>
    <w:rsid w:val="63A25D9B"/>
    <w:rsid w:val="63A90D91"/>
    <w:rsid w:val="63B0502B"/>
    <w:rsid w:val="63B248F3"/>
    <w:rsid w:val="63B478F0"/>
    <w:rsid w:val="63C53B08"/>
    <w:rsid w:val="63CD7B1C"/>
    <w:rsid w:val="63E8258E"/>
    <w:rsid w:val="63EB56C7"/>
    <w:rsid w:val="63ED2F26"/>
    <w:rsid w:val="63ED4E8C"/>
    <w:rsid w:val="64007149"/>
    <w:rsid w:val="64141801"/>
    <w:rsid w:val="64192579"/>
    <w:rsid w:val="641C2D1F"/>
    <w:rsid w:val="642D6304"/>
    <w:rsid w:val="642E1F19"/>
    <w:rsid w:val="643E003B"/>
    <w:rsid w:val="644D0FBC"/>
    <w:rsid w:val="645972EE"/>
    <w:rsid w:val="64603049"/>
    <w:rsid w:val="64684E9B"/>
    <w:rsid w:val="64693C00"/>
    <w:rsid w:val="646B742C"/>
    <w:rsid w:val="646D08D3"/>
    <w:rsid w:val="64821A6B"/>
    <w:rsid w:val="64913A93"/>
    <w:rsid w:val="6498606C"/>
    <w:rsid w:val="64CA6566"/>
    <w:rsid w:val="64D32D34"/>
    <w:rsid w:val="64D93BDF"/>
    <w:rsid w:val="64DD03DF"/>
    <w:rsid w:val="64DD6F84"/>
    <w:rsid w:val="64F132EA"/>
    <w:rsid w:val="64F9473D"/>
    <w:rsid w:val="65021DF3"/>
    <w:rsid w:val="650A1060"/>
    <w:rsid w:val="6514685A"/>
    <w:rsid w:val="6518646B"/>
    <w:rsid w:val="65193377"/>
    <w:rsid w:val="65331548"/>
    <w:rsid w:val="65333775"/>
    <w:rsid w:val="653B4303"/>
    <w:rsid w:val="653D0ECF"/>
    <w:rsid w:val="65492A0B"/>
    <w:rsid w:val="654A3338"/>
    <w:rsid w:val="65691DE7"/>
    <w:rsid w:val="65825B3F"/>
    <w:rsid w:val="65846C61"/>
    <w:rsid w:val="658657D4"/>
    <w:rsid w:val="659010B3"/>
    <w:rsid w:val="65976F06"/>
    <w:rsid w:val="65993468"/>
    <w:rsid w:val="659D2877"/>
    <w:rsid w:val="65A03C54"/>
    <w:rsid w:val="65A54422"/>
    <w:rsid w:val="65A81E41"/>
    <w:rsid w:val="65AE5DD8"/>
    <w:rsid w:val="65B32B29"/>
    <w:rsid w:val="65BD4302"/>
    <w:rsid w:val="65D14AE1"/>
    <w:rsid w:val="65D32D67"/>
    <w:rsid w:val="65D35468"/>
    <w:rsid w:val="65D73C60"/>
    <w:rsid w:val="65DA74D4"/>
    <w:rsid w:val="65DB5FDE"/>
    <w:rsid w:val="65E31FD2"/>
    <w:rsid w:val="65E7150B"/>
    <w:rsid w:val="66071516"/>
    <w:rsid w:val="660D52A3"/>
    <w:rsid w:val="661212A6"/>
    <w:rsid w:val="66124B51"/>
    <w:rsid w:val="661713D9"/>
    <w:rsid w:val="66187D19"/>
    <w:rsid w:val="661A6E58"/>
    <w:rsid w:val="66241DD6"/>
    <w:rsid w:val="66255FA0"/>
    <w:rsid w:val="662D3380"/>
    <w:rsid w:val="66346306"/>
    <w:rsid w:val="664171EA"/>
    <w:rsid w:val="664B3C81"/>
    <w:rsid w:val="66575D05"/>
    <w:rsid w:val="665F6AC9"/>
    <w:rsid w:val="666373B0"/>
    <w:rsid w:val="667902C9"/>
    <w:rsid w:val="667C27AD"/>
    <w:rsid w:val="669F70B4"/>
    <w:rsid w:val="66A5422A"/>
    <w:rsid w:val="66A90318"/>
    <w:rsid w:val="66B12A4F"/>
    <w:rsid w:val="66B3060B"/>
    <w:rsid w:val="66B64C25"/>
    <w:rsid w:val="66C47D0B"/>
    <w:rsid w:val="66CC1DC5"/>
    <w:rsid w:val="66D20D7C"/>
    <w:rsid w:val="66D356DB"/>
    <w:rsid w:val="66DF47C2"/>
    <w:rsid w:val="66DF5C30"/>
    <w:rsid w:val="66EE6853"/>
    <w:rsid w:val="66F53AC7"/>
    <w:rsid w:val="66F62373"/>
    <w:rsid w:val="670719D0"/>
    <w:rsid w:val="67080234"/>
    <w:rsid w:val="670B2112"/>
    <w:rsid w:val="672028DF"/>
    <w:rsid w:val="672B6DCF"/>
    <w:rsid w:val="673D2B3B"/>
    <w:rsid w:val="673F0616"/>
    <w:rsid w:val="673F36E2"/>
    <w:rsid w:val="67457EC9"/>
    <w:rsid w:val="674D2AC9"/>
    <w:rsid w:val="675E5570"/>
    <w:rsid w:val="67636295"/>
    <w:rsid w:val="67674B8F"/>
    <w:rsid w:val="6768593B"/>
    <w:rsid w:val="67825862"/>
    <w:rsid w:val="67852EA8"/>
    <w:rsid w:val="67876598"/>
    <w:rsid w:val="67882DB8"/>
    <w:rsid w:val="678B63DC"/>
    <w:rsid w:val="678C4ACB"/>
    <w:rsid w:val="678D756E"/>
    <w:rsid w:val="678F4181"/>
    <w:rsid w:val="67951267"/>
    <w:rsid w:val="67992342"/>
    <w:rsid w:val="67A46445"/>
    <w:rsid w:val="67AA04A1"/>
    <w:rsid w:val="67AC2C8C"/>
    <w:rsid w:val="67C163FC"/>
    <w:rsid w:val="67C35781"/>
    <w:rsid w:val="67CF4F5B"/>
    <w:rsid w:val="67D408FE"/>
    <w:rsid w:val="67E13008"/>
    <w:rsid w:val="67E238AD"/>
    <w:rsid w:val="67E324AA"/>
    <w:rsid w:val="67EE35D0"/>
    <w:rsid w:val="67EF06A3"/>
    <w:rsid w:val="68052729"/>
    <w:rsid w:val="68060608"/>
    <w:rsid w:val="680E68C6"/>
    <w:rsid w:val="680E7B74"/>
    <w:rsid w:val="681200BC"/>
    <w:rsid w:val="681E436E"/>
    <w:rsid w:val="68244E50"/>
    <w:rsid w:val="68273787"/>
    <w:rsid w:val="6827627D"/>
    <w:rsid w:val="682D4F52"/>
    <w:rsid w:val="68303F22"/>
    <w:rsid w:val="683513CB"/>
    <w:rsid w:val="684A78A7"/>
    <w:rsid w:val="684D6F92"/>
    <w:rsid w:val="685C14C7"/>
    <w:rsid w:val="685E0C38"/>
    <w:rsid w:val="685F2FAB"/>
    <w:rsid w:val="686E6208"/>
    <w:rsid w:val="686E6A8B"/>
    <w:rsid w:val="6871291D"/>
    <w:rsid w:val="687353A5"/>
    <w:rsid w:val="687B35B6"/>
    <w:rsid w:val="687C764B"/>
    <w:rsid w:val="687D71A6"/>
    <w:rsid w:val="6883671B"/>
    <w:rsid w:val="688A4ACB"/>
    <w:rsid w:val="688C2A87"/>
    <w:rsid w:val="68907BD9"/>
    <w:rsid w:val="689A5C80"/>
    <w:rsid w:val="68A045D5"/>
    <w:rsid w:val="68AD276A"/>
    <w:rsid w:val="68B91FCC"/>
    <w:rsid w:val="68BF2F79"/>
    <w:rsid w:val="68C73895"/>
    <w:rsid w:val="68D25B8D"/>
    <w:rsid w:val="68D73EC6"/>
    <w:rsid w:val="68EE1E26"/>
    <w:rsid w:val="68EF24BF"/>
    <w:rsid w:val="68F40677"/>
    <w:rsid w:val="68F90DEF"/>
    <w:rsid w:val="690D0DA0"/>
    <w:rsid w:val="691E3A39"/>
    <w:rsid w:val="692B2818"/>
    <w:rsid w:val="693075D9"/>
    <w:rsid w:val="69322EFF"/>
    <w:rsid w:val="69393EEB"/>
    <w:rsid w:val="693C3F82"/>
    <w:rsid w:val="693F0D3C"/>
    <w:rsid w:val="69475576"/>
    <w:rsid w:val="694A18B8"/>
    <w:rsid w:val="6954698E"/>
    <w:rsid w:val="69557C2E"/>
    <w:rsid w:val="695F2FB9"/>
    <w:rsid w:val="696257FD"/>
    <w:rsid w:val="69643357"/>
    <w:rsid w:val="6964606B"/>
    <w:rsid w:val="69715563"/>
    <w:rsid w:val="69776E37"/>
    <w:rsid w:val="697A53D8"/>
    <w:rsid w:val="698E41B9"/>
    <w:rsid w:val="69945EF8"/>
    <w:rsid w:val="69954E79"/>
    <w:rsid w:val="69967870"/>
    <w:rsid w:val="699C2E6A"/>
    <w:rsid w:val="69A62708"/>
    <w:rsid w:val="69AA5325"/>
    <w:rsid w:val="69AA58E0"/>
    <w:rsid w:val="69AD48EC"/>
    <w:rsid w:val="69BC22E1"/>
    <w:rsid w:val="69C72736"/>
    <w:rsid w:val="69C76E7D"/>
    <w:rsid w:val="69C970F5"/>
    <w:rsid w:val="69E54FE5"/>
    <w:rsid w:val="69F049DF"/>
    <w:rsid w:val="69F720D8"/>
    <w:rsid w:val="69F76EC6"/>
    <w:rsid w:val="6A005C88"/>
    <w:rsid w:val="6A046DC2"/>
    <w:rsid w:val="6A0A05A9"/>
    <w:rsid w:val="6A1B1C65"/>
    <w:rsid w:val="6A1F0B52"/>
    <w:rsid w:val="6A23115C"/>
    <w:rsid w:val="6A3145A5"/>
    <w:rsid w:val="6A3E69A6"/>
    <w:rsid w:val="6A3F5C16"/>
    <w:rsid w:val="6A414586"/>
    <w:rsid w:val="6A5323CF"/>
    <w:rsid w:val="6A5F370C"/>
    <w:rsid w:val="6A6218C4"/>
    <w:rsid w:val="6A6B7715"/>
    <w:rsid w:val="6A6E712A"/>
    <w:rsid w:val="6A702F45"/>
    <w:rsid w:val="6A7512A7"/>
    <w:rsid w:val="6A75777C"/>
    <w:rsid w:val="6A85070F"/>
    <w:rsid w:val="6A85508E"/>
    <w:rsid w:val="6A8B023D"/>
    <w:rsid w:val="6A8C6D97"/>
    <w:rsid w:val="6A8D43F0"/>
    <w:rsid w:val="6A917EEC"/>
    <w:rsid w:val="6A960F04"/>
    <w:rsid w:val="6AA119FC"/>
    <w:rsid w:val="6AB03A93"/>
    <w:rsid w:val="6AB214A4"/>
    <w:rsid w:val="6AB52737"/>
    <w:rsid w:val="6AB64E3E"/>
    <w:rsid w:val="6AE3210C"/>
    <w:rsid w:val="6AE539E9"/>
    <w:rsid w:val="6AFC5ABE"/>
    <w:rsid w:val="6B01561E"/>
    <w:rsid w:val="6B024AA8"/>
    <w:rsid w:val="6B0276DC"/>
    <w:rsid w:val="6B0350FB"/>
    <w:rsid w:val="6B055B64"/>
    <w:rsid w:val="6B141C2A"/>
    <w:rsid w:val="6B153204"/>
    <w:rsid w:val="6B1D26DA"/>
    <w:rsid w:val="6B2227ED"/>
    <w:rsid w:val="6B23788B"/>
    <w:rsid w:val="6B25547A"/>
    <w:rsid w:val="6B271585"/>
    <w:rsid w:val="6B322D98"/>
    <w:rsid w:val="6B346CB7"/>
    <w:rsid w:val="6B386CA3"/>
    <w:rsid w:val="6B3B7A50"/>
    <w:rsid w:val="6B3D1E7D"/>
    <w:rsid w:val="6B45612F"/>
    <w:rsid w:val="6B47617C"/>
    <w:rsid w:val="6B4A5071"/>
    <w:rsid w:val="6B4D6841"/>
    <w:rsid w:val="6B541396"/>
    <w:rsid w:val="6B58136C"/>
    <w:rsid w:val="6B5B3ABA"/>
    <w:rsid w:val="6B5E49DC"/>
    <w:rsid w:val="6B602DC6"/>
    <w:rsid w:val="6B62134C"/>
    <w:rsid w:val="6B6A1ED5"/>
    <w:rsid w:val="6B6B7357"/>
    <w:rsid w:val="6B6E03A5"/>
    <w:rsid w:val="6B6E722D"/>
    <w:rsid w:val="6B8B420A"/>
    <w:rsid w:val="6B8C1133"/>
    <w:rsid w:val="6B9A251F"/>
    <w:rsid w:val="6BAE3452"/>
    <w:rsid w:val="6BB02F83"/>
    <w:rsid w:val="6BB05DED"/>
    <w:rsid w:val="6BB2534C"/>
    <w:rsid w:val="6BC0787C"/>
    <w:rsid w:val="6BD23BB1"/>
    <w:rsid w:val="6BD72D4F"/>
    <w:rsid w:val="6BF37667"/>
    <w:rsid w:val="6BFF61A1"/>
    <w:rsid w:val="6C027497"/>
    <w:rsid w:val="6C037A10"/>
    <w:rsid w:val="6C160FEF"/>
    <w:rsid w:val="6C2501E7"/>
    <w:rsid w:val="6C276C86"/>
    <w:rsid w:val="6C327882"/>
    <w:rsid w:val="6C342CBC"/>
    <w:rsid w:val="6C4E1443"/>
    <w:rsid w:val="6C530048"/>
    <w:rsid w:val="6C6044BA"/>
    <w:rsid w:val="6C706304"/>
    <w:rsid w:val="6C880F2F"/>
    <w:rsid w:val="6C90551E"/>
    <w:rsid w:val="6C937535"/>
    <w:rsid w:val="6C977306"/>
    <w:rsid w:val="6C9938C0"/>
    <w:rsid w:val="6C9A4830"/>
    <w:rsid w:val="6C9D2C07"/>
    <w:rsid w:val="6C9E4546"/>
    <w:rsid w:val="6CBB6ED9"/>
    <w:rsid w:val="6CBE74CA"/>
    <w:rsid w:val="6CC20A8A"/>
    <w:rsid w:val="6CC93EA1"/>
    <w:rsid w:val="6CD2078F"/>
    <w:rsid w:val="6CDE5C32"/>
    <w:rsid w:val="6CE221C6"/>
    <w:rsid w:val="6CE52B50"/>
    <w:rsid w:val="6CF27196"/>
    <w:rsid w:val="6CF946E4"/>
    <w:rsid w:val="6D114AE0"/>
    <w:rsid w:val="6D154B97"/>
    <w:rsid w:val="6D344817"/>
    <w:rsid w:val="6D4359FD"/>
    <w:rsid w:val="6D596E81"/>
    <w:rsid w:val="6D5D7259"/>
    <w:rsid w:val="6D5F2FB3"/>
    <w:rsid w:val="6D615CFA"/>
    <w:rsid w:val="6D6574B6"/>
    <w:rsid w:val="6D6B2817"/>
    <w:rsid w:val="6D6C4648"/>
    <w:rsid w:val="6D740954"/>
    <w:rsid w:val="6D8C3745"/>
    <w:rsid w:val="6D9C449C"/>
    <w:rsid w:val="6DAF07EF"/>
    <w:rsid w:val="6DB261FF"/>
    <w:rsid w:val="6DB50074"/>
    <w:rsid w:val="6DBD715C"/>
    <w:rsid w:val="6DC04DEF"/>
    <w:rsid w:val="6DD0575A"/>
    <w:rsid w:val="6DD575E4"/>
    <w:rsid w:val="6DE37C68"/>
    <w:rsid w:val="6DE410C2"/>
    <w:rsid w:val="6DE43692"/>
    <w:rsid w:val="6DEC33E3"/>
    <w:rsid w:val="6DEE09EF"/>
    <w:rsid w:val="6DEF38D0"/>
    <w:rsid w:val="6DF035C8"/>
    <w:rsid w:val="6DF266EB"/>
    <w:rsid w:val="6E1454FE"/>
    <w:rsid w:val="6E1F5024"/>
    <w:rsid w:val="6E336314"/>
    <w:rsid w:val="6E4F5B55"/>
    <w:rsid w:val="6E536C83"/>
    <w:rsid w:val="6E590494"/>
    <w:rsid w:val="6E5C0C3F"/>
    <w:rsid w:val="6E71213E"/>
    <w:rsid w:val="6E75686A"/>
    <w:rsid w:val="6E83334C"/>
    <w:rsid w:val="6E8E4803"/>
    <w:rsid w:val="6E9A5D94"/>
    <w:rsid w:val="6EA64261"/>
    <w:rsid w:val="6EAB1B1B"/>
    <w:rsid w:val="6EAC7503"/>
    <w:rsid w:val="6EAD6C5A"/>
    <w:rsid w:val="6EBE5E53"/>
    <w:rsid w:val="6EC438F3"/>
    <w:rsid w:val="6ECC003B"/>
    <w:rsid w:val="6ECC2107"/>
    <w:rsid w:val="6ED0076F"/>
    <w:rsid w:val="6ED01EE7"/>
    <w:rsid w:val="6ED90885"/>
    <w:rsid w:val="6EDA4334"/>
    <w:rsid w:val="6EE03B6D"/>
    <w:rsid w:val="6EE77986"/>
    <w:rsid w:val="6EE84699"/>
    <w:rsid w:val="6EED2E70"/>
    <w:rsid w:val="6EF14580"/>
    <w:rsid w:val="6F031BE6"/>
    <w:rsid w:val="6F0844F4"/>
    <w:rsid w:val="6F0F68A3"/>
    <w:rsid w:val="6F267807"/>
    <w:rsid w:val="6F2C4838"/>
    <w:rsid w:val="6F307ADF"/>
    <w:rsid w:val="6F3854B1"/>
    <w:rsid w:val="6F427379"/>
    <w:rsid w:val="6F442DEB"/>
    <w:rsid w:val="6F501F4E"/>
    <w:rsid w:val="6F517638"/>
    <w:rsid w:val="6F570D58"/>
    <w:rsid w:val="6F5E378F"/>
    <w:rsid w:val="6F5F3982"/>
    <w:rsid w:val="6F611D32"/>
    <w:rsid w:val="6F6B501B"/>
    <w:rsid w:val="6F7A1A73"/>
    <w:rsid w:val="6F813825"/>
    <w:rsid w:val="6F9112DA"/>
    <w:rsid w:val="6FA373C5"/>
    <w:rsid w:val="6FA77DDA"/>
    <w:rsid w:val="6FB36347"/>
    <w:rsid w:val="6FB450F3"/>
    <w:rsid w:val="6FCD3B60"/>
    <w:rsid w:val="6FCD4301"/>
    <w:rsid w:val="6FD2495C"/>
    <w:rsid w:val="6FDD69FD"/>
    <w:rsid w:val="6FE06786"/>
    <w:rsid w:val="6FF13A54"/>
    <w:rsid w:val="6FFD698E"/>
    <w:rsid w:val="6FFE31D8"/>
    <w:rsid w:val="70054F28"/>
    <w:rsid w:val="70092738"/>
    <w:rsid w:val="700A535E"/>
    <w:rsid w:val="701333E3"/>
    <w:rsid w:val="7019646B"/>
    <w:rsid w:val="701B6E5B"/>
    <w:rsid w:val="70254D13"/>
    <w:rsid w:val="702E20D4"/>
    <w:rsid w:val="70494052"/>
    <w:rsid w:val="70503291"/>
    <w:rsid w:val="705B4FBA"/>
    <w:rsid w:val="70610A62"/>
    <w:rsid w:val="706F39A5"/>
    <w:rsid w:val="7098688A"/>
    <w:rsid w:val="709E69AA"/>
    <w:rsid w:val="70AE3902"/>
    <w:rsid w:val="70B97DC2"/>
    <w:rsid w:val="70BD32AD"/>
    <w:rsid w:val="70C4347A"/>
    <w:rsid w:val="70C81EBE"/>
    <w:rsid w:val="70D018E7"/>
    <w:rsid w:val="70D8745B"/>
    <w:rsid w:val="70DA3944"/>
    <w:rsid w:val="70ED4AFF"/>
    <w:rsid w:val="70FE55F4"/>
    <w:rsid w:val="710118B2"/>
    <w:rsid w:val="710577B6"/>
    <w:rsid w:val="711A6DC4"/>
    <w:rsid w:val="711E2111"/>
    <w:rsid w:val="711F1945"/>
    <w:rsid w:val="712C067E"/>
    <w:rsid w:val="712D0CE2"/>
    <w:rsid w:val="713B7A12"/>
    <w:rsid w:val="714160AA"/>
    <w:rsid w:val="71426164"/>
    <w:rsid w:val="71436588"/>
    <w:rsid w:val="71445271"/>
    <w:rsid w:val="714A072F"/>
    <w:rsid w:val="714A4EAE"/>
    <w:rsid w:val="714C4846"/>
    <w:rsid w:val="714E3301"/>
    <w:rsid w:val="714F2169"/>
    <w:rsid w:val="715050DF"/>
    <w:rsid w:val="715B77B7"/>
    <w:rsid w:val="715C2177"/>
    <w:rsid w:val="715F56FD"/>
    <w:rsid w:val="71630A1E"/>
    <w:rsid w:val="716E27C7"/>
    <w:rsid w:val="71722690"/>
    <w:rsid w:val="71755916"/>
    <w:rsid w:val="718576F9"/>
    <w:rsid w:val="71906121"/>
    <w:rsid w:val="719D7D1C"/>
    <w:rsid w:val="71AD011C"/>
    <w:rsid w:val="71B63048"/>
    <w:rsid w:val="71B864BB"/>
    <w:rsid w:val="71D23C4F"/>
    <w:rsid w:val="71D414AA"/>
    <w:rsid w:val="71D502FA"/>
    <w:rsid w:val="71DB6256"/>
    <w:rsid w:val="71DC4B73"/>
    <w:rsid w:val="71DD3686"/>
    <w:rsid w:val="71E17E8B"/>
    <w:rsid w:val="71E62366"/>
    <w:rsid w:val="71E9166D"/>
    <w:rsid w:val="721B766B"/>
    <w:rsid w:val="72224DD9"/>
    <w:rsid w:val="72264494"/>
    <w:rsid w:val="722B0A2A"/>
    <w:rsid w:val="722C0091"/>
    <w:rsid w:val="7237416D"/>
    <w:rsid w:val="724231E6"/>
    <w:rsid w:val="724241FA"/>
    <w:rsid w:val="724376B1"/>
    <w:rsid w:val="72584112"/>
    <w:rsid w:val="72666134"/>
    <w:rsid w:val="72785572"/>
    <w:rsid w:val="727E506D"/>
    <w:rsid w:val="727F1DEE"/>
    <w:rsid w:val="728235D2"/>
    <w:rsid w:val="7284637D"/>
    <w:rsid w:val="72882E3E"/>
    <w:rsid w:val="729905EB"/>
    <w:rsid w:val="72991C46"/>
    <w:rsid w:val="72A2448C"/>
    <w:rsid w:val="72AD7533"/>
    <w:rsid w:val="72BB0341"/>
    <w:rsid w:val="72C266AB"/>
    <w:rsid w:val="72DD41E9"/>
    <w:rsid w:val="72EA5CC7"/>
    <w:rsid w:val="73060CCE"/>
    <w:rsid w:val="73072E59"/>
    <w:rsid w:val="7311407F"/>
    <w:rsid w:val="73254CC9"/>
    <w:rsid w:val="732F5290"/>
    <w:rsid w:val="73306149"/>
    <w:rsid w:val="733D23B8"/>
    <w:rsid w:val="7351223B"/>
    <w:rsid w:val="73541463"/>
    <w:rsid w:val="7358627E"/>
    <w:rsid w:val="73712744"/>
    <w:rsid w:val="737B649C"/>
    <w:rsid w:val="738129FA"/>
    <w:rsid w:val="738A6565"/>
    <w:rsid w:val="738D0FD5"/>
    <w:rsid w:val="73AA53E1"/>
    <w:rsid w:val="73B82340"/>
    <w:rsid w:val="73C30216"/>
    <w:rsid w:val="73E73CEB"/>
    <w:rsid w:val="73EE1E43"/>
    <w:rsid w:val="73EE26A8"/>
    <w:rsid w:val="74003E51"/>
    <w:rsid w:val="74032B7F"/>
    <w:rsid w:val="740A247C"/>
    <w:rsid w:val="741054C2"/>
    <w:rsid w:val="74200253"/>
    <w:rsid w:val="742102D8"/>
    <w:rsid w:val="7424416F"/>
    <w:rsid w:val="743153CB"/>
    <w:rsid w:val="743539C3"/>
    <w:rsid w:val="74464AB4"/>
    <w:rsid w:val="7449633D"/>
    <w:rsid w:val="74507672"/>
    <w:rsid w:val="745942DF"/>
    <w:rsid w:val="745B0848"/>
    <w:rsid w:val="745D6A6E"/>
    <w:rsid w:val="746A1480"/>
    <w:rsid w:val="746B708C"/>
    <w:rsid w:val="746F2921"/>
    <w:rsid w:val="747546B0"/>
    <w:rsid w:val="74790FE6"/>
    <w:rsid w:val="74870722"/>
    <w:rsid w:val="7487680E"/>
    <w:rsid w:val="748C44F3"/>
    <w:rsid w:val="749B01B1"/>
    <w:rsid w:val="74A05AF1"/>
    <w:rsid w:val="74A40AC9"/>
    <w:rsid w:val="74B13AF7"/>
    <w:rsid w:val="74C45A98"/>
    <w:rsid w:val="74CD20B9"/>
    <w:rsid w:val="74CE417C"/>
    <w:rsid w:val="74D76259"/>
    <w:rsid w:val="74E65BFD"/>
    <w:rsid w:val="74FC5298"/>
    <w:rsid w:val="750B20BC"/>
    <w:rsid w:val="750C512A"/>
    <w:rsid w:val="750F4274"/>
    <w:rsid w:val="752354D4"/>
    <w:rsid w:val="754145F8"/>
    <w:rsid w:val="755A46E5"/>
    <w:rsid w:val="755F18ED"/>
    <w:rsid w:val="75651007"/>
    <w:rsid w:val="756912AA"/>
    <w:rsid w:val="7576508F"/>
    <w:rsid w:val="757C0CF7"/>
    <w:rsid w:val="75810752"/>
    <w:rsid w:val="758416B7"/>
    <w:rsid w:val="75901B82"/>
    <w:rsid w:val="7590348E"/>
    <w:rsid w:val="75C05E46"/>
    <w:rsid w:val="75C47FF1"/>
    <w:rsid w:val="75CC51D6"/>
    <w:rsid w:val="75DA2480"/>
    <w:rsid w:val="75EF0503"/>
    <w:rsid w:val="75F051A0"/>
    <w:rsid w:val="75F3212D"/>
    <w:rsid w:val="760106EE"/>
    <w:rsid w:val="76012FC3"/>
    <w:rsid w:val="760A0C28"/>
    <w:rsid w:val="761F0442"/>
    <w:rsid w:val="761F2A94"/>
    <w:rsid w:val="762259F8"/>
    <w:rsid w:val="762F12A5"/>
    <w:rsid w:val="76365233"/>
    <w:rsid w:val="763F2DBC"/>
    <w:rsid w:val="76426B57"/>
    <w:rsid w:val="764D703A"/>
    <w:rsid w:val="765E108C"/>
    <w:rsid w:val="76616C83"/>
    <w:rsid w:val="766D0412"/>
    <w:rsid w:val="766D54DD"/>
    <w:rsid w:val="766D70D0"/>
    <w:rsid w:val="767341FF"/>
    <w:rsid w:val="76741236"/>
    <w:rsid w:val="767E53E2"/>
    <w:rsid w:val="768A0254"/>
    <w:rsid w:val="76A16C87"/>
    <w:rsid w:val="76A72BD1"/>
    <w:rsid w:val="76AD2EA1"/>
    <w:rsid w:val="76B65B45"/>
    <w:rsid w:val="76BA1F19"/>
    <w:rsid w:val="76E80219"/>
    <w:rsid w:val="770B0AF4"/>
    <w:rsid w:val="77146BBE"/>
    <w:rsid w:val="771B1458"/>
    <w:rsid w:val="771D6982"/>
    <w:rsid w:val="771F2525"/>
    <w:rsid w:val="77216C0D"/>
    <w:rsid w:val="77412173"/>
    <w:rsid w:val="774354AF"/>
    <w:rsid w:val="775F5706"/>
    <w:rsid w:val="77710BBB"/>
    <w:rsid w:val="777E67F6"/>
    <w:rsid w:val="777F6934"/>
    <w:rsid w:val="778239F2"/>
    <w:rsid w:val="779634CB"/>
    <w:rsid w:val="77974789"/>
    <w:rsid w:val="77990349"/>
    <w:rsid w:val="77B96D71"/>
    <w:rsid w:val="77BC4D3E"/>
    <w:rsid w:val="77BF094A"/>
    <w:rsid w:val="77D32DD6"/>
    <w:rsid w:val="77D7187F"/>
    <w:rsid w:val="77D74873"/>
    <w:rsid w:val="77D851BD"/>
    <w:rsid w:val="77D87F85"/>
    <w:rsid w:val="77DE5EA6"/>
    <w:rsid w:val="77EE0081"/>
    <w:rsid w:val="77F4588D"/>
    <w:rsid w:val="77F577A0"/>
    <w:rsid w:val="77F8683C"/>
    <w:rsid w:val="77FE24A6"/>
    <w:rsid w:val="7801475A"/>
    <w:rsid w:val="780D32B2"/>
    <w:rsid w:val="78127254"/>
    <w:rsid w:val="78183575"/>
    <w:rsid w:val="782053AF"/>
    <w:rsid w:val="78243792"/>
    <w:rsid w:val="782B3ADC"/>
    <w:rsid w:val="783059C6"/>
    <w:rsid w:val="783375DB"/>
    <w:rsid w:val="783A2D68"/>
    <w:rsid w:val="783C2160"/>
    <w:rsid w:val="78693DDE"/>
    <w:rsid w:val="78703D09"/>
    <w:rsid w:val="7884094C"/>
    <w:rsid w:val="788C33DC"/>
    <w:rsid w:val="788C3CD6"/>
    <w:rsid w:val="788D3060"/>
    <w:rsid w:val="789649DC"/>
    <w:rsid w:val="78A2169D"/>
    <w:rsid w:val="78A5312E"/>
    <w:rsid w:val="78B004CC"/>
    <w:rsid w:val="78B30755"/>
    <w:rsid w:val="78B83CF2"/>
    <w:rsid w:val="78B86A95"/>
    <w:rsid w:val="78C11BA0"/>
    <w:rsid w:val="78C857EF"/>
    <w:rsid w:val="78D53504"/>
    <w:rsid w:val="78D569B2"/>
    <w:rsid w:val="78DD71A7"/>
    <w:rsid w:val="790549BF"/>
    <w:rsid w:val="790D6D23"/>
    <w:rsid w:val="7914413E"/>
    <w:rsid w:val="791455B8"/>
    <w:rsid w:val="79181D05"/>
    <w:rsid w:val="791D1ADD"/>
    <w:rsid w:val="793301D1"/>
    <w:rsid w:val="7939666E"/>
    <w:rsid w:val="793B63E3"/>
    <w:rsid w:val="795547A5"/>
    <w:rsid w:val="796A1166"/>
    <w:rsid w:val="79776CC6"/>
    <w:rsid w:val="79800CCA"/>
    <w:rsid w:val="79896AF6"/>
    <w:rsid w:val="7992100B"/>
    <w:rsid w:val="79A71D17"/>
    <w:rsid w:val="79BB7F34"/>
    <w:rsid w:val="79C82248"/>
    <w:rsid w:val="79CA75C6"/>
    <w:rsid w:val="79D94CDC"/>
    <w:rsid w:val="79DA55C4"/>
    <w:rsid w:val="79DC4D58"/>
    <w:rsid w:val="79E1668A"/>
    <w:rsid w:val="79EE5D91"/>
    <w:rsid w:val="79EF0832"/>
    <w:rsid w:val="79FF4A2D"/>
    <w:rsid w:val="7A017F9A"/>
    <w:rsid w:val="7A027042"/>
    <w:rsid w:val="7A041A24"/>
    <w:rsid w:val="7A155F47"/>
    <w:rsid w:val="7A1F101B"/>
    <w:rsid w:val="7A234057"/>
    <w:rsid w:val="7A316140"/>
    <w:rsid w:val="7A3856DC"/>
    <w:rsid w:val="7A3916B0"/>
    <w:rsid w:val="7A4E1A62"/>
    <w:rsid w:val="7A544E62"/>
    <w:rsid w:val="7A58404E"/>
    <w:rsid w:val="7A5E6108"/>
    <w:rsid w:val="7A6276FF"/>
    <w:rsid w:val="7A6861F0"/>
    <w:rsid w:val="7A691402"/>
    <w:rsid w:val="7A7C5810"/>
    <w:rsid w:val="7A8C232B"/>
    <w:rsid w:val="7A936E24"/>
    <w:rsid w:val="7A9A588D"/>
    <w:rsid w:val="7A9B12C2"/>
    <w:rsid w:val="7A9E2737"/>
    <w:rsid w:val="7AA84A5E"/>
    <w:rsid w:val="7AC7245C"/>
    <w:rsid w:val="7AD076F6"/>
    <w:rsid w:val="7AE20D20"/>
    <w:rsid w:val="7AE93FC1"/>
    <w:rsid w:val="7AF44D8E"/>
    <w:rsid w:val="7AF86580"/>
    <w:rsid w:val="7AF944AA"/>
    <w:rsid w:val="7B010023"/>
    <w:rsid w:val="7B053338"/>
    <w:rsid w:val="7B096E93"/>
    <w:rsid w:val="7B171E7A"/>
    <w:rsid w:val="7B1B33B3"/>
    <w:rsid w:val="7B1E144E"/>
    <w:rsid w:val="7B2238E5"/>
    <w:rsid w:val="7B224489"/>
    <w:rsid w:val="7B3D41AE"/>
    <w:rsid w:val="7B462E90"/>
    <w:rsid w:val="7B5D73D3"/>
    <w:rsid w:val="7B5F3D34"/>
    <w:rsid w:val="7B792827"/>
    <w:rsid w:val="7B80261B"/>
    <w:rsid w:val="7B85736D"/>
    <w:rsid w:val="7BB27A2B"/>
    <w:rsid w:val="7BB3544C"/>
    <w:rsid w:val="7BB41408"/>
    <w:rsid w:val="7BB56551"/>
    <w:rsid w:val="7BB61AB5"/>
    <w:rsid w:val="7BC43F82"/>
    <w:rsid w:val="7BC856A3"/>
    <w:rsid w:val="7BC9543D"/>
    <w:rsid w:val="7BCD4C49"/>
    <w:rsid w:val="7BCE16EA"/>
    <w:rsid w:val="7BD17FA6"/>
    <w:rsid w:val="7BD70FCC"/>
    <w:rsid w:val="7BDF636A"/>
    <w:rsid w:val="7BE15403"/>
    <w:rsid w:val="7BE17586"/>
    <w:rsid w:val="7BF04EE0"/>
    <w:rsid w:val="7BF242E3"/>
    <w:rsid w:val="7BFC6687"/>
    <w:rsid w:val="7C0F50BA"/>
    <w:rsid w:val="7C122CA2"/>
    <w:rsid w:val="7C1417DB"/>
    <w:rsid w:val="7C1E0D1D"/>
    <w:rsid w:val="7C2A2FB4"/>
    <w:rsid w:val="7C316AC3"/>
    <w:rsid w:val="7C3A1FDB"/>
    <w:rsid w:val="7C406FDA"/>
    <w:rsid w:val="7C464C5A"/>
    <w:rsid w:val="7C472C16"/>
    <w:rsid w:val="7C525146"/>
    <w:rsid w:val="7C563D7B"/>
    <w:rsid w:val="7C5D4B7D"/>
    <w:rsid w:val="7C685DDF"/>
    <w:rsid w:val="7C6E0767"/>
    <w:rsid w:val="7C6F2454"/>
    <w:rsid w:val="7C7432D8"/>
    <w:rsid w:val="7C8B2516"/>
    <w:rsid w:val="7C8F716D"/>
    <w:rsid w:val="7C9036FB"/>
    <w:rsid w:val="7C9B5CFB"/>
    <w:rsid w:val="7C9D0F89"/>
    <w:rsid w:val="7CBF2453"/>
    <w:rsid w:val="7CCC44C5"/>
    <w:rsid w:val="7CCD28C9"/>
    <w:rsid w:val="7CD43A2F"/>
    <w:rsid w:val="7CE327B1"/>
    <w:rsid w:val="7CE42FA7"/>
    <w:rsid w:val="7CE4517E"/>
    <w:rsid w:val="7D1551F4"/>
    <w:rsid w:val="7D17779F"/>
    <w:rsid w:val="7D20743A"/>
    <w:rsid w:val="7D2771B0"/>
    <w:rsid w:val="7D3B6A95"/>
    <w:rsid w:val="7D487FF8"/>
    <w:rsid w:val="7D4C64C3"/>
    <w:rsid w:val="7D513256"/>
    <w:rsid w:val="7D5A483F"/>
    <w:rsid w:val="7D6542B6"/>
    <w:rsid w:val="7D655148"/>
    <w:rsid w:val="7D72484E"/>
    <w:rsid w:val="7D7B28F5"/>
    <w:rsid w:val="7D8875FC"/>
    <w:rsid w:val="7D891C6B"/>
    <w:rsid w:val="7D89518F"/>
    <w:rsid w:val="7D8D1462"/>
    <w:rsid w:val="7D950CE7"/>
    <w:rsid w:val="7D9A0E98"/>
    <w:rsid w:val="7D9C338A"/>
    <w:rsid w:val="7DA235D6"/>
    <w:rsid w:val="7DA41DA6"/>
    <w:rsid w:val="7DC448F6"/>
    <w:rsid w:val="7DC56B11"/>
    <w:rsid w:val="7DCE5A43"/>
    <w:rsid w:val="7DDA1334"/>
    <w:rsid w:val="7DE3102E"/>
    <w:rsid w:val="7DE34E90"/>
    <w:rsid w:val="7DF358D5"/>
    <w:rsid w:val="7E023F7D"/>
    <w:rsid w:val="7E065278"/>
    <w:rsid w:val="7E0C5C80"/>
    <w:rsid w:val="7E171820"/>
    <w:rsid w:val="7E1D4319"/>
    <w:rsid w:val="7E283D2C"/>
    <w:rsid w:val="7E390DF3"/>
    <w:rsid w:val="7E3D2F2E"/>
    <w:rsid w:val="7E4B4115"/>
    <w:rsid w:val="7E504DFD"/>
    <w:rsid w:val="7E5736B5"/>
    <w:rsid w:val="7E583D92"/>
    <w:rsid w:val="7E5869E9"/>
    <w:rsid w:val="7E5B4A35"/>
    <w:rsid w:val="7E5B4AD0"/>
    <w:rsid w:val="7E5F7DC6"/>
    <w:rsid w:val="7E660F75"/>
    <w:rsid w:val="7E762244"/>
    <w:rsid w:val="7E7A1029"/>
    <w:rsid w:val="7E7B1437"/>
    <w:rsid w:val="7E842AF0"/>
    <w:rsid w:val="7E924E59"/>
    <w:rsid w:val="7E9411FD"/>
    <w:rsid w:val="7E953F38"/>
    <w:rsid w:val="7E990D9E"/>
    <w:rsid w:val="7E9B5496"/>
    <w:rsid w:val="7E9C5ABC"/>
    <w:rsid w:val="7EA60358"/>
    <w:rsid w:val="7EB33587"/>
    <w:rsid w:val="7EB85BCF"/>
    <w:rsid w:val="7EC25B98"/>
    <w:rsid w:val="7ED6260B"/>
    <w:rsid w:val="7EE6654F"/>
    <w:rsid w:val="7EE948D4"/>
    <w:rsid w:val="7EF20A66"/>
    <w:rsid w:val="7F0339A1"/>
    <w:rsid w:val="7F0347A7"/>
    <w:rsid w:val="7F0C7BA9"/>
    <w:rsid w:val="7F185BB3"/>
    <w:rsid w:val="7F1C6A5C"/>
    <w:rsid w:val="7F204DFD"/>
    <w:rsid w:val="7F220257"/>
    <w:rsid w:val="7F224D66"/>
    <w:rsid w:val="7F231873"/>
    <w:rsid w:val="7F282957"/>
    <w:rsid w:val="7F306DF4"/>
    <w:rsid w:val="7F403655"/>
    <w:rsid w:val="7F5068D6"/>
    <w:rsid w:val="7F513A94"/>
    <w:rsid w:val="7F59008A"/>
    <w:rsid w:val="7F590E64"/>
    <w:rsid w:val="7F6B4303"/>
    <w:rsid w:val="7F762FA4"/>
    <w:rsid w:val="7F8563B0"/>
    <w:rsid w:val="7F894B54"/>
    <w:rsid w:val="7F8F2054"/>
    <w:rsid w:val="7F93754E"/>
    <w:rsid w:val="7F9820C2"/>
    <w:rsid w:val="7FB81831"/>
    <w:rsid w:val="7FBC005B"/>
    <w:rsid w:val="7FBF66D3"/>
    <w:rsid w:val="7FC34F21"/>
    <w:rsid w:val="7FD37998"/>
    <w:rsid w:val="7FDF115E"/>
    <w:rsid w:val="7FEA7F9B"/>
    <w:rsid w:val="7FEE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30" w:after="30" w:line="360" w:lineRule="auto"/>
      <w:ind w:firstLine="200" w:firstLineChars="200"/>
      <w:jc w:val="both"/>
    </w:pPr>
    <w:rPr>
      <w:rFonts w:ascii="仿宋" w:hAnsi="仿宋" w:eastAsia="仿宋" w:cs="Times New Roman"/>
      <w:sz w:val="21"/>
      <w:lang w:val="en-US" w:eastAsia="zh-CN" w:bidi="ar-SA"/>
    </w:rPr>
  </w:style>
  <w:style w:type="paragraph" w:styleId="3">
    <w:name w:val="heading 1"/>
    <w:basedOn w:val="1"/>
    <w:next w:val="1"/>
    <w:link w:val="80"/>
    <w:qFormat/>
    <w:uiPriority w:val="9"/>
    <w:pPr>
      <w:keepNext/>
      <w:keepLines/>
      <w:adjustRightInd w:val="0"/>
      <w:spacing w:line="240" w:lineRule="auto"/>
      <w:ind w:firstLine="0" w:firstLineChars="0"/>
      <w:jc w:val="center"/>
      <w:outlineLvl w:val="0"/>
    </w:pPr>
    <w:rPr>
      <w:b/>
      <w:bCs/>
      <w:kern w:val="44"/>
      <w:sz w:val="30"/>
      <w:szCs w:val="44"/>
    </w:rPr>
  </w:style>
  <w:style w:type="paragraph" w:styleId="4">
    <w:name w:val="heading 2"/>
    <w:basedOn w:val="1"/>
    <w:next w:val="1"/>
    <w:link w:val="81"/>
    <w:qFormat/>
    <w:uiPriority w:val="9"/>
    <w:pPr>
      <w:keepNext/>
      <w:keepLines/>
      <w:adjustRightInd w:val="0"/>
      <w:snapToGrid w:val="0"/>
      <w:spacing w:line="312" w:lineRule="auto"/>
      <w:ind w:firstLine="0" w:firstLineChars="0"/>
      <w:outlineLvl w:val="1"/>
    </w:pPr>
    <w:rPr>
      <w:b/>
      <w:color w:val="000000"/>
      <w:sz w:val="24"/>
    </w:rPr>
  </w:style>
  <w:style w:type="paragraph" w:styleId="5">
    <w:name w:val="heading 3"/>
    <w:basedOn w:val="1"/>
    <w:next w:val="1"/>
    <w:link w:val="82"/>
    <w:qFormat/>
    <w:uiPriority w:val="9"/>
    <w:pPr>
      <w:keepNext/>
      <w:keepLines/>
      <w:spacing w:line="240" w:lineRule="auto"/>
      <w:ind w:firstLine="0" w:firstLineChars="0"/>
      <w:outlineLvl w:val="2"/>
    </w:pPr>
    <w:rPr>
      <w:b/>
      <w:bCs/>
      <w:sz w:val="24"/>
      <w:szCs w:val="32"/>
    </w:rPr>
  </w:style>
  <w:style w:type="paragraph" w:styleId="6">
    <w:name w:val="heading 4"/>
    <w:basedOn w:val="1"/>
    <w:next w:val="1"/>
    <w:link w:val="83"/>
    <w:qFormat/>
    <w:uiPriority w:val="9"/>
    <w:pPr>
      <w:spacing w:before="160" w:after="160" w:line="600" w:lineRule="exact"/>
      <w:jc w:val="left"/>
      <w:outlineLvl w:val="3"/>
    </w:pPr>
    <w:rPr>
      <w:rFonts w:ascii="宋体" w:hAnsi="宋体"/>
      <w:b/>
      <w:color w:val="000000"/>
      <w:spacing w:val="10"/>
      <w:kern w:val="24"/>
      <w:szCs w:val="32"/>
    </w:rPr>
  </w:style>
  <w:style w:type="paragraph" w:styleId="7">
    <w:name w:val="heading 5"/>
    <w:basedOn w:val="1"/>
    <w:next w:val="1"/>
    <w:link w:val="84"/>
    <w:qFormat/>
    <w:uiPriority w:val="9"/>
    <w:pPr>
      <w:widowControl/>
      <w:spacing w:before="240" w:after="60"/>
      <w:jc w:val="left"/>
      <w:outlineLvl w:val="4"/>
    </w:pPr>
    <w:rPr>
      <w:rFonts w:ascii="楷体" w:eastAsia="楷体"/>
    </w:rPr>
  </w:style>
  <w:style w:type="paragraph" w:styleId="8">
    <w:name w:val="heading 6"/>
    <w:basedOn w:val="1"/>
    <w:next w:val="9"/>
    <w:link w:val="85"/>
    <w:qFormat/>
    <w:uiPriority w:val="9"/>
    <w:pPr>
      <w:keepNext/>
      <w:keepLines/>
      <w:numPr>
        <w:ilvl w:val="5"/>
        <w:numId w:val="1"/>
      </w:numPr>
      <w:spacing w:before="240" w:after="64" w:line="317" w:lineRule="auto"/>
      <w:jc w:val="left"/>
      <w:outlineLvl w:val="5"/>
    </w:pPr>
    <w:rPr>
      <w:rFonts w:ascii="Arial" w:hAnsi="Arial" w:eastAsia="黑体"/>
      <w:b/>
      <w:bCs/>
      <w:spacing w:val="6"/>
      <w:kern w:val="2"/>
      <w:szCs w:val="24"/>
    </w:rPr>
  </w:style>
  <w:style w:type="paragraph" w:styleId="10">
    <w:name w:val="heading 7"/>
    <w:basedOn w:val="1"/>
    <w:next w:val="9"/>
    <w:link w:val="87"/>
    <w:qFormat/>
    <w:uiPriority w:val="9"/>
    <w:pPr>
      <w:keepNext/>
      <w:keepLines/>
      <w:numPr>
        <w:ilvl w:val="6"/>
        <w:numId w:val="1"/>
      </w:numPr>
      <w:spacing w:before="240" w:after="64" w:line="317" w:lineRule="auto"/>
      <w:jc w:val="left"/>
      <w:outlineLvl w:val="6"/>
    </w:pPr>
    <w:rPr>
      <w:b/>
      <w:bCs/>
      <w:spacing w:val="6"/>
      <w:kern w:val="2"/>
      <w:szCs w:val="24"/>
    </w:rPr>
  </w:style>
  <w:style w:type="paragraph" w:styleId="11">
    <w:name w:val="heading 8"/>
    <w:basedOn w:val="1"/>
    <w:next w:val="9"/>
    <w:link w:val="88"/>
    <w:qFormat/>
    <w:uiPriority w:val="9"/>
    <w:pPr>
      <w:keepNext/>
      <w:keepLines/>
      <w:numPr>
        <w:ilvl w:val="7"/>
        <w:numId w:val="1"/>
      </w:numPr>
      <w:spacing w:before="240" w:after="64" w:line="317" w:lineRule="auto"/>
      <w:jc w:val="left"/>
      <w:outlineLvl w:val="7"/>
    </w:pPr>
    <w:rPr>
      <w:rFonts w:ascii="Arial" w:hAnsi="Arial" w:eastAsia="黑体"/>
      <w:spacing w:val="6"/>
      <w:kern w:val="2"/>
      <w:szCs w:val="24"/>
    </w:rPr>
  </w:style>
  <w:style w:type="paragraph" w:styleId="12">
    <w:name w:val="heading 9"/>
    <w:basedOn w:val="1"/>
    <w:next w:val="9"/>
    <w:link w:val="89"/>
    <w:qFormat/>
    <w:uiPriority w:val="9"/>
    <w:pPr>
      <w:keepNext/>
      <w:keepLines/>
      <w:numPr>
        <w:ilvl w:val="8"/>
        <w:numId w:val="1"/>
      </w:numPr>
      <w:spacing w:before="240" w:after="64" w:line="317" w:lineRule="auto"/>
      <w:jc w:val="left"/>
      <w:outlineLvl w:val="8"/>
    </w:pPr>
    <w:rPr>
      <w:rFonts w:ascii="Arial" w:hAnsi="Arial" w:eastAsia="黑体"/>
      <w:spacing w:val="6"/>
      <w:kern w:val="2"/>
      <w:szCs w:val="24"/>
    </w:rPr>
  </w:style>
  <w:style w:type="character" w:default="1" w:styleId="70">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djustRightInd w:val="0"/>
      <w:snapToGrid w:val="0"/>
      <w:jc w:val="left"/>
    </w:pPr>
    <w:rPr>
      <w:rFonts w:ascii="Times New Roman"/>
      <w:b/>
      <w:bCs/>
      <w:caps/>
      <w:sz w:val="24"/>
    </w:rPr>
  </w:style>
  <w:style w:type="paragraph" w:styleId="9">
    <w:name w:val="Normal Indent"/>
    <w:basedOn w:val="1"/>
    <w:next w:val="1"/>
    <w:link w:val="86"/>
    <w:qFormat/>
    <w:uiPriority w:val="0"/>
    <w:pPr>
      <w:spacing w:line="460" w:lineRule="exact"/>
      <w:ind w:firstLine="420"/>
    </w:pPr>
    <w:rPr>
      <w:spacing w:val="14"/>
      <w:kern w:val="24"/>
    </w:rPr>
  </w:style>
  <w:style w:type="paragraph" w:styleId="13">
    <w:name w:val="List 3"/>
    <w:basedOn w:val="1"/>
    <w:qFormat/>
    <w:uiPriority w:val="99"/>
    <w:pPr>
      <w:spacing w:line="240" w:lineRule="auto"/>
      <w:ind w:left="100" w:leftChars="400" w:hanging="200" w:hangingChars="200"/>
    </w:pPr>
    <w:rPr>
      <w:rFonts w:ascii="Arial" w:hAnsi="Arial"/>
      <w:kern w:val="2"/>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99"/>
    <w:pPr>
      <w:widowControl/>
      <w:numPr>
        <w:ilvl w:val="1"/>
        <w:numId w:val="2"/>
      </w:numPr>
      <w:spacing w:afterLines="50" w:line="240" w:lineRule="auto"/>
      <w:ind w:firstLine="0" w:firstLineChars="0"/>
    </w:pPr>
    <w:rPr>
      <w:rFonts w:ascii="宋体" w:hAnsi="Courier New" w:cs="Courier New"/>
    </w:rPr>
  </w:style>
  <w:style w:type="paragraph" w:styleId="16">
    <w:name w:val="table of authorities"/>
    <w:basedOn w:val="1"/>
    <w:next w:val="1"/>
    <w:qFormat/>
    <w:uiPriority w:val="99"/>
    <w:pPr>
      <w:spacing w:line="240" w:lineRule="auto"/>
      <w:ind w:left="420" w:leftChars="200" w:firstLine="0" w:firstLineChars="0"/>
    </w:pPr>
    <w:rPr>
      <w:rFonts w:ascii="Arial" w:hAnsi="Arial"/>
      <w:kern w:val="2"/>
    </w:rPr>
  </w:style>
  <w:style w:type="paragraph" w:styleId="17">
    <w:name w:val="List Number"/>
    <w:basedOn w:val="1"/>
    <w:qFormat/>
    <w:uiPriority w:val="99"/>
    <w:pPr>
      <w:widowControl/>
      <w:tabs>
        <w:tab w:val="left" w:pos="420"/>
        <w:tab w:val="left" w:pos="454"/>
      </w:tabs>
      <w:spacing w:after="156" w:afterLines="50"/>
      <w:ind w:left="454" w:hanging="284"/>
      <w:jc w:val="left"/>
    </w:pPr>
    <w:rPr>
      <w:rFonts w:ascii="Arial" w:hAnsi="Arial" w:cs="Arial"/>
      <w:sz w:val="24"/>
    </w:rPr>
  </w:style>
  <w:style w:type="paragraph" w:styleId="18">
    <w:name w:val="caption"/>
    <w:basedOn w:val="1"/>
    <w:next w:val="1"/>
    <w:link w:val="90"/>
    <w:qFormat/>
    <w:uiPriority w:val="0"/>
    <w:rPr>
      <w:rFonts w:ascii="Arial" w:hAnsi="Arial" w:eastAsia="黑体"/>
      <w:kern w:val="2"/>
      <w:sz w:val="20"/>
    </w:rPr>
  </w:style>
  <w:style w:type="paragraph" w:styleId="19">
    <w:name w:val="index 5"/>
    <w:basedOn w:val="1"/>
    <w:next w:val="1"/>
    <w:qFormat/>
    <w:uiPriority w:val="99"/>
    <w:pPr>
      <w:spacing w:line="240" w:lineRule="auto"/>
      <w:ind w:left="800" w:leftChars="800" w:firstLine="0" w:firstLineChars="0"/>
    </w:pPr>
    <w:rPr>
      <w:rFonts w:ascii="Arial" w:hAnsi="Arial"/>
      <w:kern w:val="2"/>
    </w:rPr>
  </w:style>
  <w:style w:type="paragraph" w:styleId="20">
    <w:name w:val="List Bullet"/>
    <w:basedOn w:val="1"/>
    <w:qFormat/>
    <w:uiPriority w:val="99"/>
    <w:pPr>
      <w:tabs>
        <w:tab w:val="left" w:pos="360"/>
      </w:tabs>
      <w:ind w:left="675" w:hanging="240"/>
    </w:pPr>
  </w:style>
  <w:style w:type="paragraph" w:styleId="21">
    <w:name w:val="Document Map"/>
    <w:basedOn w:val="1"/>
    <w:link w:val="91"/>
    <w:qFormat/>
    <w:uiPriority w:val="99"/>
    <w:pPr>
      <w:shd w:val="clear" w:color="auto" w:fill="000080"/>
    </w:pPr>
    <w:rPr>
      <w:kern w:val="2"/>
      <w:szCs w:val="24"/>
    </w:rPr>
  </w:style>
  <w:style w:type="paragraph" w:styleId="22">
    <w:name w:val="toa heading"/>
    <w:basedOn w:val="1"/>
    <w:next w:val="1"/>
    <w:qFormat/>
    <w:uiPriority w:val="99"/>
    <w:pPr>
      <w:spacing w:before="120"/>
    </w:pPr>
    <w:rPr>
      <w:rFonts w:ascii="Arial" w:hAnsi="Arial" w:cs="Arial"/>
      <w:sz w:val="24"/>
    </w:rPr>
  </w:style>
  <w:style w:type="paragraph" w:styleId="23">
    <w:name w:val="annotation text"/>
    <w:basedOn w:val="1"/>
    <w:link w:val="92"/>
    <w:qFormat/>
    <w:uiPriority w:val="0"/>
    <w:pPr>
      <w:jc w:val="left"/>
    </w:pPr>
    <w:rPr>
      <w:kern w:val="2"/>
      <w:szCs w:val="24"/>
    </w:rPr>
  </w:style>
  <w:style w:type="paragraph" w:styleId="24">
    <w:name w:val="Salutation"/>
    <w:basedOn w:val="1"/>
    <w:next w:val="1"/>
    <w:qFormat/>
    <w:uiPriority w:val="0"/>
    <w:rPr>
      <w:sz w:val="24"/>
    </w:rPr>
  </w:style>
  <w:style w:type="paragraph" w:styleId="25">
    <w:name w:val="Body Text 3"/>
    <w:basedOn w:val="1"/>
    <w:link w:val="93"/>
    <w:qFormat/>
    <w:uiPriority w:val="99"/>
    <w:pPr>
      <w:jc w:val="center"/>
    </w:pPr>
    <w:rPr>
      <w:rFonts w:ascii="宋体" w:hAnsi="Courier New"/>
    </w:rPr>
  </w:style>
  <w:style w:type="paragraph" w:styleId="26">
    <w:name w:val="List Bullet 3"/>
    <w:basedOn w:val="1"/>
    <w:qFormat/>
    <w:uiPriority w:val="0"/>
    <w:pPr>
      <w:numPr>
        <w:ilvl w:val="0"/>
        <w:numId w:val="3"/>
      </w:numPr>
      <w:tabs>
        <w:tab w:val="left" w:pos="915"/>
        <w:tab w:val="clear" w:pos="705"/>
      </w:tabs>
    </w:pPr>
    <w:rPr>
      <w:sz w:val="24"/>
    </w:rPr>
  </w:style>
  <w:style w:type="paragraph" w:styleId="27">
    <w:name w:val="Body Text"/>
    <w:basedOn w:val="1"/>
    <w:next w:val="28"/>
    <w:link w:val="94"/>
    <w:qFormat/>
    <w:uiPriority w:val="99"/>
    <w:pPr>
      <w:adjustRightInd w:val="0"/>
      <w:jc w:val="left"/>
    </w:pPr>
    <w:rPr>
      <w:rFonts w:ascii="宋体" w:hAnsi="宋体"/>
      <w:kern w:val="2"/>
    </w:rPr>
  </w:style>
  <w:style w:type="paragraph" w:customStyle="1" w:styleId="28">
    <w:name w:val="表格"/>
    <w:next w:val="27"/>
    <w:qFormat/>
    <w:uiPriority w:val="0"/>
    <w:pPr>
      <w:adjustRightInd w:val="0"/>
      <w:snapToGrid w:val="0"/>
      <w:spacing w:line="312" w:lineRule="auto"/>
      <w:jc w:val="both"/>
    </w:pPr>
    <w:rPr>
      <w:rFonts w:ascii="仿宋" w:hAnsi="仿宋" w:eastAsia="仿宋" w:cs="Times New Roman"/>
      <w:sz w:val="21"/>
      <w:lang w:val="en-US" w:eastAsia="zh-CN" w:bidi="ar-SA"/>
    </w:rPr>
  </w:style>
  <w:style w:type="paragraph" w:styleId="29">
    <w:name w:val="Body Text Indent"/>
    <w:basedOn w:val="1"/>
    <w:next w:val="30"/>
    <w:link w:val="95"/>
    <w:qFormat/>
    <w:uiPriority w:val="0"/>
    <w:pPr>
      <w:adjustRightInd w:val="0"/>
      <w:ind w:firstLine="490"/>
      <w:jc w:val="left"/>
    </w:pPr>
    <w:rPr>
      <w:rFonts w:ascii="宋体" w:hAnsi="宋体"/>
      <w:kern w:val="2"/>
    </w:rPr>
  </w:style>
  <w:style w:type="paragraph" w:styleId="30">
    <w:name w:val="Body Text First Indent 2"/>
    <w:basedOn w:val="29"/>
    <w:next w:val="1"/>
    <w:link w:val="111"/>
    <w:qFormat/>
    <w:uiPriority w:val="99"/>
    <w:pPr>
      <w:widowControl/>
      <w:spacing w:after="120"/>
      <w:ind w:left="420" w:leftChars="200" w:firstLine="420"/>
    </w:pPr>
    <w:rPr>
      <w:rFonts w:ascii="仿宋_GB2312" w:hAnsi="Times New Roman" w:eastAsia="仿宋_GB2312"/>
      <w:color w:val="FF6600"/>
      <w:kern w:val="0"/>
    </w:rPr>
  </w:style>
  <w:style w:type="paragraph" w:styleId="31">
    <w:name w:val="List Number 3"/>
    <w:basedOn w:val="1"/>
    <w:qFormat/>
    <w:uiPriority w:val="99"/>
    <w:pPr>
      <w:widowControl/>
      <w:tabs>
        <w:tab w:val="left" w:pos="482"/>
        <w:tab w:val="left" w:pos="1157"/>
      </w:tabs>
      <w:spacing w:after="156" w:afterLines="50"/>
      <w:ind w:left="482" w:hanging="340"/>
      <w:jc w:val="left"/>
    </w:pPr>
    <w:rPr>
      <w:rFonts w:ascii="Arial" w:hAnsi="Arial" w:cs="Arial"/>
      <w:sz w:val="24"/>
    </w:rPr>
  </w:style>
  <w:style w:type="paragraph" w:styleId="32">
    <w:name w:val="List 2"/>
    <w:basedOn w:val="1"/>
    <w:qFormat/>
    <w:uiPriority w:val="99"/>
    <w:pPr>
      <w:spacing w:line="240" w:lineRule="auto"/>
      <w:ind w:left="100" w:leftChars="200" w:hanging="200" w:hangingChars="200"/>
    </w:pPr>
    <w:rPr>
      <w:rFonts w:ascii="Arial" w:hAnsi="Arial"/>
      <w:kern w:val="2"/>
      <w:szCs w:val="24"/>
    </w:rPr>
  </w:style>
  <w:style w:type="paragraph" w:styleId="33">
    <w:name w:val="List Continue"/>
    <w:basedOn w:val="1"/>
    <w:qFormat/>
    <w:uiPriority w:val="99"/>
    <w:pPr>
      <w:spacing w:after="120" w:line="240" w:lineRule="auto"/>
      <w:ind w:left="420" w:leftChars="200" w:firstLine="0" w:firstLineChars="0"/>
    </w:pPr>
    <w:rPr>
      <w:rFonts w:ascii="Arial" w:hAnsi="Arial"/>
      <w:kern w:val="2"/>
    </w:rPr>
  </w:style>
  <w:style w:type="paragraph" w:styleId="34">
    <w:name w:val="Block Text"/>
    <w:basedOn w:val="1"/>
    <w:qFormat/>
    <w:uiPriority w:val="99"/>
    <w:pPr>
      <w:adjustRightInd w:val="0"/>
      <w:snapToGrid w:val="0"/>
      <w:spacing w:line="300" w:lineRule="auto"/>
      <w:ind w:left="958" w:right="-120" w:rightChars="-120"/>
      <w:jc w:val="left"/>
    </w:pPr>
    <w:rPr>
      <w:rFonts w:hint="eastAsia" w:ascii="宋体" w:hAnsi="宋体"/>
      <w:sz w:val="28"/>
    </w:rPr>
  </w:style>
  <w:style w:type="paragraph" w:styleId="35">
    <w:name w:val="List Bullet 2"/>
    <w:basedOn w:val="1"/>
    <w:qFormat/>
    <w:uiPriority w:val="99"/>
    <w:pPr>
      <w:numPr>
        <w:ilvl w:val="0"/>
        <w:numId w:val="4"/>
      </w:numPr>
      <w:tabs>
        <w:tab w:val="left" w:pos="1560"/>
        <w:tab w:val="clear" w:pos="780"/>
      </w:tabs>
      <w:spacing w:line="240" w:lineRule="auto"/>
      <w:ind w:left="1560" w:hanging="420" w:firstLineChars="0"/>
    </w:pPr>
    <w:rPr>
      <w:rFonts w:ascii="Arial" w:hAnsi="Arial"/>
      <w:kern w:val="2"/>
    </w:rPr>
  </w:style>
  <w:style w:type="paragraph" w:styleId="36">
    <w:name w:val="toc 5"/>
    <w:basedOn w:val="1"/>
    <w:next w:val="1"/>
    <w:qFormat/>
    <w:uiPriority w:val="39"/>
    <w:pPr>
      <w:ind w:left="840"/>
      <w:jc w:val="left"/>
    </w:pPr>
    <w:rPr>
      <w:sz w:val="18"/>
      <w:szCs w:val="18"/>
    </w:rPr>
  </w:style>
  <w:style w:type="paragraph" w:styleId="37">
    <w:name w:val="toc 3"/>
    <w:basedOn w:val="1"/>
    <w:next w:val="1"/>
    <w:qFormat/>
    <w:uiPriority w:val="39"/>
    <w:pPr>
      <w:ind w:left="420"/>
      <w:jc w:val="left"/>
    </w:pPr>
    <w:rPr>
      <w:i/>
      <w:iCs/>
      <w:sz w:val="20"/>
    </w:rPr>
  </w:style>
  <w:style w:type="paragraph" w:styleId="38">
    <w:name w:val="Plain Text"/>
    <w:basedOn w:val="1"/>
    <w:link w:val="96"/>
    <w:qFormat/>
    <w:uiPriority w:val="0"/>
    <w:rPr>
      <w:rFonts w:ascii="宋体" w:hAnsi="Courier New" w:cs="Courier New"/>
      <w:kern w:val="2"/>
      <w:szCs w:val="21"/>
    </w:rPr>
  </w:style>
  <w:style w:type="paragraph" w:styleId="39">
    <w:name w:val="List Number 4"/>
    <w:basedOn w:val="1"/>
    <w:qFormat/>
    <w:uiPriority w:val="99"/>
    <w:pPr>
      <w:widowControl/>
      <w:numPr>
        <w:ilvl w:val="0"/>
        <w:numId w:val="5"/>
      </w:numPr>
      <w:tabs>
        <w:tab w:val="left" w:pos="1531"/>
        <w:tab w:val="clear" w:pos="1620"/>
      </w:tabs>
      <w:spacing w:afterLines="50" w:line="240" w:lineRule="auto"/>
      <w:ind w:left="1531" w:hanging="397" w:firstLineChars="0"/>
    </w:pPr>
    <w:rPr>
      <w:rFonts w:ascii="宋体" w:hAnsi="Courier New" w:cs="Courier New"/>
    </w:rPr>
  </w:style>
  <w:style w:type="paragraph" w:styleId="40">
    <w:name w:val="toc 8"/>
    <w:basedOn w:val="1"/>
    <w:next w:val="1"/>
    <w:qFormat/>
    <w:uiPriority w:val="39"/>
    <w:pPr>
      <w:ind w:left="1470"/>
      <w:jc w:val="left"/>
    </w:pPr>
    <w:rPr>
      <w:sz w:val="18"/>
      <w:szCs w:val="18"/>
    </w:rPr>
  </w:style>
  <w:style w:type="paragraph" w:styleId="41">
    <w:name w:val="Date"/>
    <w:basedOn w:val="1"/>
    <w:next w:val="1"/>
    <w:link w:val="97"/>
    <w:qFormat/>
    <w:uiPriority w:val="99"/>
    <w:pPr>
      <w:ind w:left="2500" w:leftChars="2500"/>
    </w:pPr>
    <w:rPr>
      <w:rFonts w:ascii="宋体" w:hAnsi="宋体"/>
      <w:kern w:val="2"/>
      <w:szCs w:val="24"/>
    </w:rPr>
  </w:style>
  <w:style w:type="paragraph" w:styleId="42">
    <w:name w:val="Body Text Indent 2"/>
    <w:basedOn w:val="1"/>
    <w:link w:val="98"/>
    <w:qFormat/>
    <w:uiPriority w:val="99"/>
    <w:pPr>
      <w:adjustRightInd w:val="0"/>
      <w:ind w:firstLine="504" w:firstLineChars="210"/>
      <w:jc w:val="left"/>
    </w:pPr>
    <w:rPr>
      <w:rFonts w:ascii="宋体" w:hAnsi="宋体"/>
    </w:rPr>
  </w:style>
  <w:style w:type="paragraph" w:styleId="43">
    <w:name w:val="Balloon Text"/>
    <w:basedOn w:val="1"/>
    <w:link w:val="99"/>
    <w:qFormat/>
    <w:uiPriority w:val="99"/>
    <w:rPr>
      <w:rFonts w:ascii="Arial" w:hAnsi="Arial"/>
      <w:sz w:val="18"/>
      <w:szCs w:val="18"/>
    </w:rPr>
  </w:style>
  <w:style w:type="paragraph" w:styleId="44">
    <w:name w:val="footer"/>
    <w:basedOn w:val="1"/>
    <w:link w:val="100"/>
    <w:qFormat/>
    <w:uiPriority w:val="0"/>
    <w:pPr>
      <w:tabs>
        <w:tab w:val="center" w:pos="4153"/>
        <w:tab w:val="right" w:pos="8306"/>
      </w:tabs>
      <w:snapToGrid w:val="0"/>
      <w:jc w:val="left"/>
    </w:pPr>
    <w:rPr>
      <w:kern w:val="2"/>
      <w:sz w:val="18"/>
      <w:szCs w:val="18"/>
    </w:rPr>
  </w:style>
  <w:style w:type="paragraph" w:styleId="45">
    <w:name w:val="header"/>
    <w:basedOn w:val="1"/>
    <w:link w:val="101"/>
    <w:qFormat/>
    <w:uiPriority w:val="99"/>
    <w:pPr>
      <w:pBdr>
        <w:bottom w:val="single" w:color="auto" w:sz="6" w:space="1"/>
      </w:pBdr>
      <w:tabs>
        <w:tab w:val="center" w:pos="4153"/>
        <w:tab w:val="right" w:pos="8306"/>
      </w:tabs>
      <w:snapToGrid w:val="0"/>
      <w:jc w:val="center"/>
    </w:pPr>
    <w:rPr>
      <w:kern w:val="2"/>
      <w:sz w:val="18"/>
      <w:szCs w:val="18"/>
    </w:rPr>
  </w:style>
  <w:style w:type="paragraph" w:styleId="46">
    <w:name w:val="Signature"/>
    <w:basedOn w:val="1"/>
    <w:link w:val="102"/>
    <w:qFormat/>
    <w:uiPriority w:val="0"/>
    <w:pPr>
      <w:ind w:left="100" w:leftChars="2100"/>
    </w:pPr>
    <w:rPr>
      <w:kern w:val="2"/>
    </w:rPr>
  </w:style>
  <w:style w:type="paragraph" w:styleId="47">
    <w:name w:val="toc 4"/>
    <w:basedOn w:val="1"/>
    <w:next w:val="1"/>
    <w:qFormat/>
    <w:uiPriority w:val="39"/>
    <w:pPr>
      <w:ind w:left="630"/>
      <w:jc w:val="left"/>
    </w:pPr>
    <w:rPr>
      <w:sz w:val="18"/>
      <w:szCs w:val="18"/>
    </w:rPr>
  </w:style>
  <w:style w:type="paragraph" w:styleId="48">
    <w:name w:val="index heading"/>
    <w:basedOn w:val="1"/>
    <w:next w:val="49"/>
    <w:qFormat/>
    <w:uiPriority w:val="0"/>
    <w:rPr>
      <w:sz w:val="28"/>
    </w:rPr>
  </w:style>
  <w:style w:type="paragraph" w:styleId="49">
    <w:name w:val="index 1"/>
    <w:basedOn w:val="22"/>
    <w:next w:val="1"/>
    <w:qFormat/>
    <w:uiPriority w:val="99"/>
  </w:style>
  <w:style w:type="paragraph" w:styleId="50">
    <w:name w:val="Subtitle"/>
    <w:basedOn w:val="1"/>
    <w:next w:val="1"/>
    <w:link w:val="103"/>
    <w:qFormat/>
    <w:uiPriority w:val="0"/>
    <w:pPr>
      <w:spacing w:before="200" w:after="900" w:line="240" w:lineRule="auto"/>
      <w:ind w:firstLine="0" w:firstLineChars="0"/>
      <w:jc w:val="right"/>
    </w:pPr>
    <w:rPr>
      <w:rFonts w:ascii="Calibri" w:hAnsi="Calibri"/>
      <w:i/>
      <w:iCs/>
      <w:kern w:val="2"/>
      <w:szCs w:val="24"/>
    </w:rPr>
  </w:style>
  <w:style w:type="paragraph" w:styleId="51">
    <w:name w:val="List"/>
    <w:basedOn w:val="1"/>
    <w:qFormat/>
    <w:uiPriority w:val="99"/>
    <w:pPr>
      <w:ind w:left="420" w:hanging="420"/>
    </w:pPr>
  </w:style>
  <w:style w:type="paragraph" w:styleId="52">
    <w:name w:val="footnote text"/>
    <w:basedOn w:val="1"/>
    <w:link w:val="104"/>
    <w:qFormat/>
    <w:uiPriority w:val="0"/>
    <w:pPr>
      <w:snapToGrid w:val="0"/>
      <w:jc w:val="left"/>
    </w:pPr>
    <w:rPr>
      <w:rFonts w:eastAsia="仿宋_GB2312"/>
      <w:sz w:val="18"/>
    </w:rPr>
  </w:style>
  <w:style w:type="paragraph" w:styleId="53">
    <w:name w:val="toc 6"/>
    <w:basedOn w:val="1"/>
    <w:next w:val="1"/>
    <w:qFormat/>
    <w:uiPriority w:val="39"/>
    <w:pPr>
      <w:ind w:left="1050"/>
      <w:jc w:val="left"/>
    </w:pPr>
    <w:rPr>
      <w:sz w:val="18"/>
      <w:szCs w:val="18"/>
    </w:rPr>
  </w:style>
  <w:style w:type="paragraph" w:styleId="54">
    <w:name w:val="List 5"/>
    <w:basedOn w:val="1"/>
    <w:qFormat/>
    <w:uiPriority w:val="99"/>
    <w:pPr>
      <w:ind w:left="100" w:leftChars="800" w:hanging="200" w:hangingChars="200"/>
    </w:pPr>
  </w:style>
  <w:style w:type="paragraph" w:styleId="55">
    <w:name w:val="Body Text Indent 3"/>
    <w:basedOn w:val="1"/>
    <w:link w:val="105"/>
    <w:qFormat/>
    <w:uiPriority w:val="0"/>
    <w:pPr>
      <w:adjustRightInd w:val="0"/>
      <w:snapToGrid w:val="0"/>
      <w:ind w:firstLine="480"/>
    </w:pPr>
    <w:rPr>
      <w:rFonts w:ascii="宋体" w:hAnsi="宋体"/>
    </w:rPr>
  </w:style>
  <w:style w:type="paragraph" w:styleId="56">
    <w:name w:val="table of figures"/>
    <w:basedOn w:val="1"/>
    <w:next w:val="1"/>
    <w:qFormat/>
    <w:uiPriority w:val="0"/>
    <w:pPr>
      <w:ind w:left="840" w:leftChars="200" w:hanging="420" w:hangingChars="200"/>
    </w:pPr>
    <w:rPr>
      <w:rFonts w:eastAsia="仿宋_GB2312"/>
      <w:sz w:val="32"/>
    </w:rPr>
  </w:style>
  <w:style w:type="paragraph" w:styleId="57">
    <w:name w:val="toc 2"/>
    <w:basedOn w:val="1"/>
    <w:next w:val="1"/>
    <w:qFormat/>
    <w:uiPriority w:val="39"/>
    <w:pPr>
      <w:adjustRightInd w:val="0"/>
      <w:snapToGrid w:val="0"/>
      <w:ind w:left="200" w:leftChars="200"/>
      <w:jc w:val="left"/>
    </w:pPr>
    <w:rPr>
      <w:rFonts w:ascii="Times New Roman"/>
      <w:smallCaps/>
      <w:sz w:val="24"/>
    </w:rPr>
  </w:style>
  <w:style w:type="paragraph" w:styleId="58">
    <w:name w:val="toc 9"/>
    <w:basedOn w:val="1"/>
    <w:next w:val="1"/>
    <w:qFormat/>
    <w:uiPriority w:val="39"/>
    <w:pPr>
      <w:ind w:left="1680"/>
      <w:jc w:val="left"/>
    </w:pPr>
    <w:rPr>
      <w:sz w:val="18"/>
      <w:szCs w:val="18"/>
    </w:rPr>
  </w:style>
  <w:style w:type="paragraph" w:styleId="59">
    <w:name w:val="Body Text 2"/>
    <w:basedOn w:val="1"/>
    <w:next w:val="1"/>
    <w:link w:val="106"/>
    <w:qFormat/>
    <w:uiPriority w:val="99"/>
    <w:pPr>
      <w:spacing w:after="120" w:line="480" w:lineRule="auto"/>
    </w:pPr>
    <w:rPr>
      <w:kern w:val="2"/>
      <w:szCs w:val="24"/>
    </w:rPr>
  </w:style>
  <w:style w:type="paragraph" w:styleId="60">
    <w:name w:val="List 4"/>
    <w:basedOn w:val="1"/>
    <w:qFormat/>
    <w:uiPriority w:val="99"/>
    <w:pPr>
      <w:spacing w:line="240" w:lineRule="auto"/>
      <w:ind w:left="100" w:leftChars="600" w:hanging="200" w:hangingChars="200"/>
    </w:pPr>
    <w:rPr>
      <w:rFonts w:ascii="Arial" w:hAnsi="Arial"/>
      <w:kern w:val="2"/>
    </w:rPr>
  </w:style>
  <w:style w:type="paragraph" w:styleId="61">
    <w:name w:val="List Continue 2"/>
    <w:basedOn w:val="1"/>
    <w:qFormat/>
    <w:uiPriority w:val="99"/>
    <w:pPr>
      <w:spacing w:after="120" w:line="240" w:lineRule="auto"/>
      <w:ind w:left="840" w:leftChars="400" w:firstLine="0" w:firstLineChars="0"/>
    </w:pPr>
    <w:rPr>
      <w:rFonts w:ascii="Arial" w:hAnsi="Arial"/>
      <w:kern w:val="2"/>
    </w:rPr>
  </w:style>
  <w:style w:type="paragraph" w:styleId="62">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rPr>
  </w:style>
  <w:style w:type="paragraph" w:styleId="63">
    <w:name w:val="Normal (Web)"/>
    <w:basedOn w:val="1"/>
    <w:qFormat/>
    <w:uiPriority w:val="0"/>
    <w:pPr>
      <w:widowControl/>
      <w:spacing w:before="100" w:beforeAutospacing="1" w:after="100" w:afterAutospacing="1"/>
      <w:jc w:val="left"/>
    </w:pPr>
    <w:rPr>
      <w:rFonts w:ascii="宋体"/>
      <w:sz w:val="18"/>
      <w:szCs w:val="18"/>
      <w:lang w:eastAsia="en-US"/>
    </w:rPr>
  </w:style>
  <w:style w:type="paragraph" w:styleId="64">
    <w:name w:val="Title"/>
    <w:basedOn w:val="1"/>
    <w:next w:val="1"/>
    <w:link w:val="108"/>
    <w:qFormat/>
    <w:uiPriority w:val="10"/>
    <w:pPr>
      <w:outlineLvl w:val="0"/>
    </w:pPr>
    <w:rPr>
      <w:rFonts w:ascii="黑体" w:hAnsi="Cambria" w:eastAsia="黑体"/>
      <w:bCs/>
      <w:kern w:val="2"/>
      <w:sz w:val="30"/>
      <w:szCs w:val="32"/>
    </w:rPr>
  </w:style>
  <w:style w:type="paragraph" w:styleId="65">
    <w:name w:val="annotation subject"/>
    <w:basedOn w:val="23"/>
    <w:next w:val="23"/>
    <w:link w:val="109"/>
    <w:qFormat/>
    <w:uiPriority w:val="99"/>
    <w:rPr>
      <w:rFonts w:ascii="Arial" w:hAnsi="Arial" w:cs="Arial"/>
      <w:b/>
      <w:bCs/>
    </w:rPr>
  </w:style>
  <w:style w:type="paragraph" w:styleId="66">
    <w:name w:val="Body Text First Indent"/>
    <w:basedOn w:val="27"/>
    <w:next w:val="1"/>
    <w:link w:val="110"/>
    <w:qFormat/>
    <w:uiPriority w:val="99"/>
    <w:pPr>
      <w:widowControl/>
      <w:tabs>
        <w:tab w:val="left" w:pos="2020"/>
        <w:tab w:val="center" w:pos="4535"/>
      </w:tabs>
      <w:ind w:firstLine="420" w:firstLineChars="100"/>
    </w:pPr>
    <w:rPr>
      <w:rFonts w:ascii="Calibri" w:hAnsi="Calibri"/>
      <w:kern w:val="0"/>
    </w:rPr>
  </w:style>
  <w:style w:type="table" w:styleId="68">
    <w:name w:val="Table Grid"/>
    <w:basedOn w:val="6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basedOn w:val="70"/>
    <w:qFormat/>
    <w:uiPriority w:val="22"/>
    <w:rPr>
      <w:b/>
    </w:rPr>
  </w:style>
  <w:style w:type="character" w:styleId="72">
    <w:name w:val="page number"/>
    <w:qFormat/>
    <w:uiPriority w:val="99"/>
  </w:style>
  <w:style w:type="character" w:styleId="73">
    <w:name w:val="FollowedHyperlink"/>
    <w:qFormat/>
    <w:uiPriority w:val="99"/>
    <w:rPr>
      <w:color w:val="800080"/>
      <w:u w:val="single"/>
    </w:rPr>
  </w:style>
  <w:style w:type="character" w:styleId="74">
    <w:name w:val="Emphasis"/>
    <w:qFormat/>
    <w:uiPriority w:val="0"/>
    <w:rPr>
      <w:color w:val="CC0033"/>
    </w:rPr>
  </w:style>
  <w:style w:type="character" w:styleId="75">
    <w:name w:val="Hyperlink"/>
    <w:qFormat/>
    <w:uiPriority w:val="99"/>
    <w:rPr>
      <w:color w:val="0000FF"/>
      <w:u w:val="single"/>
    </w:rPr>
  </w:style>
  <w:style w:type="character" w:styleId="76">
    <w:name w:val="annotation reference"/>
    <w:qFormat/>
    <w:uiPriority w:val="0"/>
    <w:rPr>
      <w:sz w:val="21"/>
      <w:szCs w:val="21"/>
    </w:rPr>
  </w:style>
  <w:style w:type="character" w:styleId="77">
    <w:name w:val="footnote reference"/>
    <w:qFormat/>
    <w:uiPriority w:val="0"/>
    <w:rPr>
      <w:vertAlign w:val="superscript"/>
    </w:rPr>
  </w:style>
  <w:style w:type="paragraph" w:customStyle="1" w:styleId="78">
    <w:name w:val="自动更正"/>
    <w:next w:val="79"/>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79">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pPr>
    <w:rPr>
      <w:rFonts w:hint="eastAsia" w:ascii="华文细黑" w:hAnsi="华文细黑" w:eastAsia="华文细黑"/>
      <w:b/>
      <w:bCs/>
      <w:color w:val="333399"/>
      <w:sz w:val="20"/>
    </w:rPr>
  </w:style>
  <w:style w:type="character" w:customStyle="1" w:styleId="80">
    <w:name w:val="标题 1 字符"/>
    <w:link w:val="3"/>
    <w:qFormat/>
    <w:uiPriority w:val="9"/>
    <w:rPr>
      <w:rFonts w:eastAsia="仿宋"/>
      <w:b/>
      <w:bCs/>
      <w:kern w:val="44"/>
      <w:sz w:val="30"/>
      <w:szCs w:val="44"/>
    </w:rPr>
  </w:style>
  <w:style w:type="character" w:customStyle="1" w:styleId="81">
    <w:name w:val="标题 2 字符"/>
    <w:link w:val="4"/>
    <w:qFormat/>
    <w:uiPriority w:val="9"/>
    <w:rPr>
      <w:rFonts w:ascii="仿宋" w:hAnsi="仿宋" w:eastAsia="仿宋"/>
      <w:b/>
      <w:color w:val="000000"/>
      <w:sz w:val="24"/>
    </w:rPr>
  </w:style>
  <w:style w:type="character" w:customStyle="1" w:styleId="82">
    <w:name w:val="标题 3 字符"/>
    <w:link w:val="5"/>
    <w:qFormat/>
    <w:uiPriority w:val="9"/>
    <w:rPr>
      <w:rFonts w:ascii="仿宋" w:hAnsi="仿宋" w:eastAsia="仿宋"/>
      <w:b/>
      <w:bCs/>
      <w:sz w:val="24"/>
      <w:szCs w:val="32"/>
    </w:rPr>
  </w:style>
  <w:style w:type="character" w:customStyle="1" w:styleId="83">
    <w:name w:val="标题 4 字符"/>
    <w:link w:val="6"/>
    <w:qFormat/>
    <w:uiPriority w:val="9"/>
    <w:rPr>
      <w:rFonts w:ascii="宋体" w:hAnsi="宋体" w:eastAsia="宋体"/>
      <w:b/>
      <w:color w:val="000000"/>
      <w:spacing w:val="10"/>
      <w:kern w:val="24"/>
      <w:sz w:val="24"/>
      <w:szCs w:val="32"/>
      <w:lang w:val="en-US" w:eastAsia="zh-CN" w:bidi="ar-SA"/>
    </w:rPr>
  </w:style>
  <w:style w:type="character" w:customStyle="1" w:styleId="84">
    <w:name w:val="标题 5 字符"/>
    <w:link w:val="7"/>
    <w:qFormat/>
    <w:uiPriority w:val="9"/>
    <w:rPr>
      <w:rFonts w:ascii="楷体" w:eastAsia="楷体"/>
      <w:sz w:val="24"/>
      <w:lang w:val="en-US" w:eastAsia="zh-CN" w:bidi="ar-SA"/>
    </w:rPr>
  </w:style>
  <w:style w:type="character" w:customStyle="1" w:styleId="85">
    <w:name w:val="标题 6 字符"/>
    <w:link w:val="8"/>
    <w:qFormat/>
    <w:uiPriority w:val="9"/>
    <w:rPr>
      <w:rFonts w:ascii="Arial" w:hAnsi="Arial" w:eastAsia="黑体"/>
      <w:b/>
      <w:bCs/>
      <w:spacing w:val="6"/>
      <w:kern w:val="2"/>
      <w:sz w:val="24"/>
      <w:szCs w:val="24"/>
      <w:lang w:val="en-US" w:eastAsia="zh-CN" w:bidi="ar-SA"/>
    </w:rPr>
  </w:style>
  <w:style w:type="character" w:customStyle="1" w:styleId="86">
    <w:name w:val="正文缩进 字符"/>
    <w:link w:val="9"/>
    <w:qFormat/>
    <w:uiPriority w:val="0"/>
    <w:rPr>
      <w:rFonts w:eastAsia="宋体"/>
      <w:spacing w:val="14"/>
      <w:kern w:val="24"/>
      <w:sz w:val="24"/>
      <w:lang w:val="en-US" w:eastAsia="zh-CN" w:bidi="ar-SA"/>
    </w:rPr>
  </w:style>
  <w:style w:type="character" w:customStyle="1" w:styleId="87">
    <w:name w:val="标题 7 字符"/>
    <w:link w:val="10"/>
    <w:qFormat/>
    <w:uiPriority w:val="9"/>
    <w:rPr>
      <w:rFonts w:eastAsia="宋体"/>
      <w:b/>
      <w:bCs/>
      <w:spacing w:val="6"/>
      <w:kern w:val="2"/>
      <w:sz w:val="24"/>
      <w:szCs w:val="24"/>
      <w:lang w:val="en-US" w:eastAsia="zh-CN" w:bidi="ar-SA"/>
    </w:rPr>
  </w:style>
  <w:style w:type="character" w:customStyle="1" w:styleId="88">
    <w:name w:val="标题 8 字符"/>
    <w:link w:val="11"/>
    <w:qFormat/>
    <w:uiPriority w:val="9"/>
    <w:rPr>
      <w:rFonts w:ascii="Arial" w:hAnsi="Arial" w:eastAsia="黑体"/>
      <w:spacing w:val="6"/>
      <w:kern w:val="2"/>
      <w:sz w:val="24"/>
      <w:szCs w:val="24"/>
      <w:lang w:val="en-US" w:eastAsia="zh-CN" w:bidi="ar-SA"/>
    </w:rPr>
  </w:style>
  <w:style w:type="character" w:customStyle="1" w:styleId="89">
    <w:name w:val="标题 9 字符"/>
    <w:link w:val="12"/>
    <w:qFormat/>
    <w:uiPriority w:val="9"/>
    <w:rPr>
      <w:rFonts w:ascii="Arial" w:hAnsi="Arial" w:eastAsia="黑体"/>
      <w:spacing w:val="6"/>
      <w:kern w:val="2"/>
      <w:sz w:val="24"/>
      <w:szCs w:val="24"/>
      <w:lang w:val="en-US" w:eastAsia="zh-CN" w:bidi="ar-SA"/>
    </w:rPr>
  </w:style>
  <w:style w:type="character" w:customStyle="1" w:styleId="90">
    <w:name w:val="题注 字符"/>
    <w:link w:val="18"/>
    <w:qFormat/>
    <w:uiPriority w:val="0"/>
    <w:rPr>
      <w:rFonts w:ascii="Arial" w:hAnsi="Arial" w:eastAsia="黑体"/>
      <w:kern w:val="2"/>
    </w:rPr>
  </w:style>
  <w:style w:type="character" w:customStyle="1" w:styleId="91">
    <w:name w:val="文档结构图 字符"/>
    <w:link w:val="21"/>
    <w:qFormat/>
    <w:uiPriority w:val="99"/>
    <w:rPr>
      <w:rFonts w:eastAsia="宋体"/>
      <w:kern w:val="2"/>
      <w:sz w:val="21"/>
      <w:szCs w:val="24"/>
      <w:lang w:val="en-US" w:eastAsia="zh-CN" w:bidi="ar-SA"/>
    </w:rPr>
  </w:style>
  <w:style w:type="character" w:customStyle="1" w:styleId="92">
    <w:name w:val="批注文字 字符"/>
    <w:link w:val="23"/>
    <w:qFormat/>
    <w:uiPriority w:val="0"/>
    <w:rPr>
      <w:rFonts w:eastAsia="宋体"/>
      <w:kern w:val="2"/>
      <w:sz w:val="21"/>
      <w:szCs w:val="24"/>
      <w:lang w:val="en-US" w:eastAsia="zh-CN" w:bidi="ar-SA"/>
    </w:rPr>
  </w:style>
  <w:style w:type="character" w:customStyle="1" w:styleId="93">
    <w:name w:val="正文文本 3 字符"/>
    <w:link w:val="25"/>
    <w:qFormat/>
    <w:uiPriority w:val="99"/>
    <w:rPr>
      <w:rFonts w:ascii="宋体" w:hAnsi="Courier New" w:eastAsia="宋体"/>
      <w:sz w:val="21"/>
      <w:lang w:val="en-US" w:eastAsia="zh-CN" w:bidi="ar-SA"/>
    </w:rPr>
  </w:style>
  <w:style w:type="character" w:customStyle="1" w:styleId="94">
    <w:name w:val="正文文本 字符"/>
    <w:link w:val="27"/>
    <w:qFormat/>
    <w:uiPriority w:val="99"/>
    <w:rPr>
      <w:rFonts w:ascii="宋体" w:hAnsi="宋体" w:eastAsia="宋体"/>
      <w:kern w:val="2"/>
      <w:sz w:val="24"/>
      <w:lang w:val="en-US" w:eastAsia="zh-CN" w:bidi="ar-SA"/>
    </w:rPr>
  </w:style>
  <w:style w:type="character" w:customStyle="1" w:styleId="95">
    <w:name w:val="正文文本缩进 字符"/>
    <w:link w:val="29"/>
    <w:qFormat/>
    <w:uiPriority w:val="0"/>
    <w:rPr>
      <w:rFonts w:ascii="宋体" w:hAnsi="宋体" w:eastAsia="宋体"/>
      <w:kern w:val="2"/>
      <w:sz w:val="24"/>
      <w:lang w:val="en-US" w:eastAsia="zh-CN" w:bidi="ar-SA"/>
    </w:rPr>
  </w:style>
  <w:style w:type="character" w:customStyle="1" w:styleId="96">
    <w:name w:val="纯文本 字符1"/>
    <w:link w:val="38"/>
    <w:qFormat/>
    <w:uiPriority w:val="0"/>
    <w:rPr>
      <w:rFonts w:ascii="宋体" w:hAnsi="Courier New" w:eastAsia="宋体" w:cs="Courier New"/>
      <w:kern w:val="2"/>
      <w:sz w:val="21"/>
      <w:szCs w:val="21"/>
      <w:lang w:val="en-US" w:eastAsia="zh-CN" w:bidi="ar-SA"/>
    </w:rPr>
  </w:style>
  <w:style w:type="character" w:customStyle="1" w:styleId="97">
    <w:name w:val="日期 字符"/>
    <w:link w:val="41"/>
    <w:qFormat/>
    <w:uiPriority w:val="99"/>
    <w:rPr>
      <w:rFonts w:ascii="宋体" w:hAnsi="宋体"/>
      <w:kern w:val="2"/>
      <w:sz w:val="24"/>
      <w:szCs w:val="24"/>
    </w:rPr>
  </w:style>
  <w:style w:type="character" w:customStyle="1" w:styleId="98">
    <w:name w:val="正文文本缩进 2 字符"/>
    <w:link w:val="42"/>
    <w:qFormat/>
    <w:uiPriority w:val="99"/>
    <w:rPr>
      <w:rFonts w:ascii="宋体" w:hAnsi="宋体"/>
      <w:sz w:val="24"/>
    </w:rPr>
  </w:style>
  <w:style w:type="character" w:customStyle="1" w:styleId="99">
    <w:name w:val="批注框文本 字符"/>
    <w:link w:val="43"/>
    <w:qFormat/>
    <w:uiPriority w:val="99"/>
    <w:rPr>
      <w:rFonts w:ascii="Arial" w:hAnsi="Arial" w:cs="Arial"/>
      <w:sz w:val="18"/>
      <w:szCs w:val="18"/>
    </w:rPr>
  </w:style>
  <w:style w:type="character" w:customStyle="1" w:styleId="100">
    <w:name w:val="页脚 字符"/>
    <w:link w:val="44"/>
    <w:qFormat/>
    <w:uiPriority w:val="0"/>
    <w:rPr>
      <w:rFonts w:eastAsia="宋体"/>
      <w:kern w:val="2"/>
      <w:sz w:val="18"/>
      <w:szCs w:val="18"/>
      <w:lang w:val="en-US" w:eastAsia="zh-CN" w:bidi="ar-SA"/>
    </w:rPr>
  </w:style>
  <w:style w:type="character" w:customStyle="1" w:styleId="101">
    <w:name w:val="页眉 字符"/>
    <w:link w:val="45"/>
    <w:qFormat/>
    <w:uiPriority w:val="99"/>
    <w:rPr>
      <w:rFonts w:eastAsia="宋体"/>
      <w:kern w:val="2"/>
      <w:sz w:val="18"/>
      <w:szCs w:val="18"/>
      <w:lang w:val="en-US" w:eastAsia="zh-CN" w:bidi="ar-SA"/>
    </w:rPr>
  </w:style>
  <w:style w:type="character" w:customStyle="1" w:styleId="102">
    <w:name w:val="签名 字符"/>
    <w:link w:val="46"/>
    <w:qFormat/>
    <w:uiPriority w:val="0"/>
    <w:rPr>
      <w:kern w:val="2"/>
      <w:sz w:val="21"/>
      <w:lang w:bidi="ar-SA"/>
    </w:rPr>
  </w:style>
  <w:style w:type="character" w:customStyle="1" w:styleId="103">
    <w:name w:val="副标题 字符"/>
    <w:link w:val="50"/>
    <w:qFormat/>
    <w:uiPriority w:val="0"/>
    <w:rPr>
      <w:rFonts w:ascii="Calibri" w:hAnsi="Calibri"/>
      <w:i/>
      <w:iCs/>
      <w:kern w:val="2"/>
      <w:sz w:val="24"/>
      <w:szCs w:val="24"/>
    </w:rPr>
  </w:style>
  <w:style w:type="character" w:customStyle="1" w:styleId="104">
    <w:name w:val="脚注文本 字符"/>
    <w:link w:val="52"/>
    <w:qFormat/>
    <w:uiPriority w:val="0"/>
    <w:rPr>
      <w:rFonts w:eastAsia="仿宋_GB2312"/>
      <w:sz w:val="18"/>
    </w:rPr>
  </w:style>
  <w:style w:type="character" w:customStyle="1" w:styleId="105">
    <w:name w:val="正文文本缩进 3 字符"/>
    <w:link w:val="55"/>
    <w:qFormat/>
    <w:uiPriority w:val="0"/>
    <w:rPr>
      <w:rFonts w:ascii="宋体" w:hAnsi="宋体"/>
      <w:sz w:val="24"/>
    </w:rPr>
  </w:style>
  <w:style w:type="character" w:customStyle="1" w:styleId="106">
    <w:name w:val="正文文本 2 字符"/>
    <w:link w:val="59"/>
    <w:qFormat/>
    <w:uiPriority w:val="99"/>
    <w:rPr>
      <w:rFonts w:eastAsia="宋体"/>
      <w:kern w:val="2"/>
      <w:sz w:val="21"/>
      <w:szCs w:val="24"/>
      <w:lang w:val="en-US" w:eastAsia="zh-CN" w:bidi="ar-SA"/>
    </w:rPr>
  </w:style>
  <w:style w:type="character" w:customStyle="1" w:styleId="107">
    <w:name w:val="HTML 预设格式 字符"/>
    <w:link w:val="62"/>
    <w:qFormat/>
    <w:uiPriority w:val="0"/>
    <w:rPr>
      <w:rFonts w:ascii="宋体" w:hAnsi="宋体" w:cs="宋体"/>
      <w:sz w:val="24"/>
      <w:szCs w:val="24"/>
    </w:rPr>
  </w:style>
  <w:style w:type="character" w:customStyle="1" w:styleId="108">
    <w:name w:val="标题 字符"/>
    <w:link w:val="64"/>
    <w:qFormat/>
    <w:uiPriority w:val="10"/>
    <w:rPr>
      <w:rFonts w:ascii="黑体" w:hAnsi="Cambria" w:eastAsia="黑体"/>
      <w:bCs/>
      <w:kern w:val="2"/>
      <w:sz w:val="30"/>
      <w:szCs w:val="32"/>
      <w:lang w:val="en-US" w:eastAsia="zh-CN" w:bidi="ar-SA"/>
    </w:rPr>
  </w:style>
  <w:style w:type="character" w:customStyle="1" w:styleId="109">
    <w:name w:val="批注主题 字符"/>
    <w:link w:val="65"/>
    <w:qFormat/>
    <w:uiPriority w:val="99"/>
    <w:rPr>
      <w:rFonts w:ascii="Arial" w:hAnsi="Arial" w:eastAsia="宋体" w:cs="Arial"/>
      <w:b/>
      <w:bCs/>
      <w:kern w:val="2"/>
      <w:sz w:val="21"/>
      <w:szCs w:val="24"/>
      <w:lang w:val="en-US" w:eastAsia="zh-CN" w:bidi="ar-SA"/>
    </w:rPr>
  </w:style>
  <w:style w:type="character" w:customStyle="1" w:styleId="110">
    <w:name w:val="正文首行缩进 字符"/>
    <w:link w:val="66"/>
    <w:qFormat/>
    <w:uiPriority w:val="99"/>
    <w:rPr>
      <w:rFonts w:ascii="Calibri" w:hAnsi="Calibri"/>
      <w:sz w:val="24"/>
    </w:rPr>
  </w:style>
  <w:style w:type="character" w:customStyle="1" w:styleId="111">
    <w:name w:val="正文首行缩进 2 字符"/>
    <w:link w:val="30"/>
    <w:qFormat/>
    <w:uiPriority w:val="99"/>
    <w:rPr>
      <w:rFonts w:ascii="仿宋_GB2312" w:eastAsia="仿宋_GB2312"/>
      <w:color w:val="FF6600"/>
      <w:sz w:val="21"/>
    </w:rPr>
  </w:style>
  <w:style w:type="paragraph" w:customStyle="1" w:styleId="112">
    <w:name w:val="招标文件－标准正文"/>
    <w:basedOn w:val="38"/>
    <w:link w:val="113"/>
    <w:qFormat/>
    <w:uiPriority w:val="0"/>
    <w:pPr>
      <w:ind w:firstLine="0" w:firstLineChars="0"/>
    </w:pPr>
    <w:rPr>
      <w:rFonts w:hAnsi="宋体" w:cs="Times New Roman"/>
      <w:color w:val="000000"/>
      <w:sz w:val="24"/>
    </w:rPr>
  </w:style>
  <w:style w:type="character" w:customStyle="1" w:styleId="113">
    <w:name w:val="招标文件－标准正文 Char"/>
    <w:link w:val="112"/>
    <w:qFormat/>
    <w:locked/>
    <w:uiPriority w:val="0"/>
    <w:rPr>
      <w:rFonts w:ascii="宋体" w:hAnsi="宋体"/>
      <w:color w:val="000000"/>
      <w:kern w:val="2"/>
      <w:sz w:val="24"/>
      <w:szCs w:val="21"/>
    </w:rPr>
  </w:style>
  <w:style w:type="paragraph" w:customStyle="1" w:styleId="114">
    <w:name w:val="样式 表格正文 + 两端对齐"/>
    <w:basedOn w:val="1"/>
    <w:next w:val="115"/>
    <w:qFormat/>
    <w:uiPriority w:val="99"/>
    <w:pPr>
      <w:spacing w:line="300" w:lineRule="auto"/>
    </w:pPr>
  </w:style>
  <w:style w:type="paragraph" w:customStyle="1" w:styleId="115">
    <w:name w:val="正文1"/>
    <w:basedOn w:val="21"/>
    <w:qFormat/>
    <w:uiPriority w:val="0"/>
    <w:pPr>
      <w:adjustRightInd w:val="0"/>
      <w:spacing w:before="120" w:after="120" w:line="180" w:lineRule="auto"/>
      <w:contextualSpacing/>
    </w:pPr>
    <w:rPr>
      <w:rFonts w:eastAsia="Adobe 仿宋 Std R"/>
      <w:szCs w:val="21"/>
    </w:rPr>
  </w:style>
  <w:style w:type="paragraph" w:customStyle="1" w:styleId="1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7">
    <w:name w:val="_Style 79"/>
    <w:basedOn w:val="1"/>
    <w:link w:val="118"/>
    <w:qFormat/>
    <w:uiPriority w:val="0"/>
  </w:style>
  <w:style w:type="character" w:customStyle="1" w:styleId="118">
    <w:name w:val="列出段落 Char"/>
    <w:link w:val="117"/>
    <w:qFormat/>
    <w:uiPriority w:val="0"/>
    <w:rPr>
      <w:sz w:val="24"/>
    </w:rPr>
  </w:style>
  <w:style w:type="character" w:customStyle="1" w:styleId="119">
    <w:name w:val="style41"/>
    <w:qFormat/>
    <w:uiPriority w:val="0"/>
    <w:rPr>
      <w:color w:val="4C79A2"/>
      <w:sz w:val="15"/>
      <w:szCs w:val="15"/>
    </w:rPr>
  </w:style>
  <w:style w:type="character" w:customStyle="1" w:styleId="120">
    <w:name w:val="Char Char1"/>
    <w:link w:val="121"/>
    <w:qFormat/>
    <w:locked/>
    <w:uiPriority w:val="0"/>
    <w:rPr>
      <w:kern w:val="2"/>
      <w:sz w:val="21"/>
      <w:szCs w:val="24"/>
    </w:rPr>
  </w:style>
  <w:style w:type="paragraph" w:customStyle="1" w:styleId="121">
    <w:name w:val="Char"/>
    <w:basedOn w:val="1"/>
    <w:link w:val="120"/>
    <w:qFormat/>
    <w:uiPriority w:val="0"/>
    <w:rPr>
      <w:kern w:val="2"/>
      <w:szCs w:val="24"/>
    </w:rPr>
  </w:style>
  <w:style w:type="character" w:customStyle="1" w:styleId="122">
    <w:name w:val="纯文本 Char Char Char Char Char Char Char Char Char Char Char Char Char Char2"/>
    <w:qFormat/>
    <w:uiPriority w:val="0"/>
    <w:rPr>
      <w:rFonts w:ascii="宋体" w:hAnsi="Courier New" w:eastAsia="宋体"/>
      <w:kern w:val="2"/>
      <w:sz w:val="21"/>
      <w:lang w:val="en-US" w:eastAsia="zh-CN" w:bidi="ar-SA"/>
    </w:rPr>
  </w:style>
  <w:style w:type="character" w:customStyle="1" w:styleId="123">
    <w:name w:val="内文 Char"/>
    <w:link w:val="124"/>
    <w:qFormat/>
    <w:uiPriority w:val="0"/>
    <w:rPr>
      <w:rFonts w:ascii="Arial" w:hAnsi="Arial"/>
      <w:kern w:val="2"/>
      <w:sz w:val="21"/>
      <w:lang w:val="en-US" w:eastAsia="zh-CN" w:bidi="ar-SA"/>
    </w:rPr>
  </w:style>
  <w:style w:type="paragraph" w:customStyle="1" w:styleId="124">
    <w:name w:val="内文"/>
    <w:link w:val="123"/>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25">
    <w:name w:val="style1"/>
    <w:qFormat/>
    <w:uiPriority w:val="0"/>
  </w:style>
  <w:style w:type="character" w:customStyle="1" w:styleId="126">
    <w:name w:val="Font Style15"/>
    <w:qFormat/>
    <w:uiPriority w:val="0"/>
    <w:rPr>
      <w:rFonts w:ascii="MingLiU" w:eastAsia="MingLiU"/>
      <w:sz w:val="58"/>
    </w:rPr>
  </w:style>
  <w:style w:type="character" w:customStyle="1" w:styleId="127">
    <w:name w:val="表正文 Char1"/>
    <w:qFormat/>
    <w:uiPriority w:val="0"/>
    <w:rPr>
      <w:rFonts w:eastAsia="宋体"/>
      <w:kern w:val="2"/>
      <w:sz w:val="21"/>
      <w:lang w:val="en-US" w:eastAsia="zh-CN"/>
    </w:rPr>
  </w:style>
  <w:style w:type="character" w:customStyle="1" w:styleId="128">
    <w:name w:val="Char Char7"/>
    <w:qFormat/>
    <w:uiPriority w:val="0"/>
    <w:rPr>
      <w:rFonts w:ascii="Arial" w:hAnsi="Arial" w:eastAsia="宋体" w:cs="Arial"/>
      <w:b/>
      <w:bCs/>
      <w:kern w:val="44"/>
      <w:sz w:val="44"/>
      <w:szCs w:val="44"/>
      <w:lang w:val="en-US" w:eastAsia="zh-CN" w:bidi="ar-SA"/>
    </w:rPr>
  </w:style>
  <w:style w:type="character" w:customStyle="1" w:styleId="129">
    <w:name w:val="tpc_content1"/>
    <w:qFormat/>
    <w:uiPriority w:val="0"/>
    <w:rPr>
      <w:sz w:val="20"/>
      <w:szCs w:val="20"/>
    </w:rPr>
  </w:style>
  <w:style w:type="character" w:customStyle="1" w:styleId="130">
    <w:name w:val="纯文本 Char Char Char Char Char Char Char Char Char Char Char Char Char Char1"/>
    <w:qFormat/>
    <w:uiPriority w:val="99"/>
    <w:rPr>
      <w:rFonts w:ascii="宋体" w:hAnsi="Courier New" w:eastAsia="宋体"/>
      <w:snapToGrid w:val="0"/>
      <w:sz w:val="18"/>
      <w:lang w:val="en-US" w:eastAsia="zh-CN" w:bidi="ar-SA"/>
    </w:rPr>
  </w:style>
  <w:style w:type="character" w:customStyle="1" w:styleId="131">
    <w:name w:val="font41"/>
    <w:qFormat/>
    <w:uiPriority w:val="0"/>
    <w:rPr>
      <w:rFonts w:hint="eastAsia" w:ascii="宋体" w:hAnsi="宋体" w:eastAsia="宋体" w:cs="宋体"/>
      <w:color w:val="000000"/>
      <w:sz w:val="21"/>
      <w:szCs w:val="21"/>
      <w:u w:val="none"/>
    </w:rPr>
  </w:style>
  <w:style w:type="character" w:customStyle="1" w:styleId="132">
    <w:name w:val="正文缩进 Char"/>
    <w:qFormat/>
    <w:uiPriority w:val="0"/>
    <w:rPr>
      <w:rFonts w:eastAsia="宋体"/>
      <w:kern w:val="2"/>
      <w:sz w:val="21"/>
      <w:lang w:val="en-US" w:eastAsia="zh-CN"/>
    </w:rPr>
  </w:style>
  <w:style w:type="character" w:customStyle="1" w:styleId="133">
    <w:name w:val="纯文本 Char Char Char Char Char Char Char Char Char Char Char Char Char Char3"/>
    <w:qFormat/>
    <w:uiPriority w:val="0"/>
    <w:rPr>
      <w:rFonts w:ascii="宋体" w:hAnsi="Courier New"/>
      <w:snapToGrid/>
      <w:sz w:val="18"/>
    </w:rPr>
  </w:style>
  <w:style w:type="character" w:customStyle="1" w:styleId="134">
    <w:name w:val="标题 1 Char Char"/>
    <w:qFormat/>
    <w:uiPriority w:val="0"/>
    <w:rPr>
      <w:rFonts w:ascii="黑体" w:eastAsia="宋体"/>
      <w:b/>
      <w:bCs/>
      <w:spacing w:val="-2"/>
      <w:sz w:val="24"/>
      <w:lang w:val="en-US" w:eastAsia="zh-CN" w:bidi="ar-SA"/>
    </w:rPr>
  </w:style>
  <w:style w:type="character" w:customStyle="1" w:styleId="135">
    <w:name w:val="页脚 Char"/>
    <w:qFormat/>
    <w:uiPriority w:val="99"/>
    <w:rPr>
      <w:rFonts w:eastAsia="宋体"/>
      <w:snapToGrid w:val="0"/>
      <w:sz w:val="18"/>
      <w:lang w:val="en-US" w:eastAsia="zh-CN"/>
    </w:rPr>
  </w:style>
  <w:style w:type="character" w:customStyle="1" w:styleId="136">
    <w:name w:val="font31"/>
    <w:qFormat/>
    <w:uiPriority w:val="0"/>
    <w:rPr>
      <w:rFonts w:hint="eastAsia" w:ascii="宋体" w:hAnsi="宋体" w:eastAsia="宋体" w:cs="宋体"/>
      <w:b/>
      <w:color w:val="000000"/>
      <w:sz w:val="21"/>
      <w:szCs w:val="21"/>
      <w:u w:val="none"/>
    </w:rPr>
  </w:style>
  <w:style w:type="character" w:customStyle="1" w:styleId="137">
    <w:name w:val="正文段 Char Char"/>
    <w:link w:val="138"/>
    <w:qFormat/>
    <w:uiPriority w:val="0"/>
    <w:rPr>
      <w:rFonts w:ascii="Arial" w:hAnsi="Arial" w:eastAsia="宋体" w:cs="Arial"/>
      <w:sz w:val="24"/>
      <w:lang w:val="en-US" w:eastAsia="zh-CN" w:bidi="ar-SA"/>
    </w:rPr>
  </w:style>
  <w:style w:type="paragraph" w:customStyle="1" w:styleId="138">
    <w:name w:val="正文段"/>
    <w:basedOn w:val="1"/>
    <w:link w:val="137"/>
    <w:qFormat/>
    <w:uiPriority w:val="0"/>
    <w:pPr>
      <w:widowControl/>
      <w:snapToGrid w:val="0"/>
      <w:spacing w:after="156" w:afterLines="50"/>
    </w:pPr>
    <w:rPr>
      <w:rFonts w:ascii="Arial" w:hAnsi="Arial" w:cs="Arial"/>
    </w:rPr>
  </w:style>
  <w:style w:type="character" w:customStyle="1" w:styleId="139">
    <w:name w:val="正文（新）"/>
    <w:qFormat/>
    <w:uiPriority w:val="0"/>
    <w:rPr>
      <w:rFonts w:ascii="Times New Roman" w:hAnsi="Times New Roman" w:eastAsia="宋体"/>
      <w:color w:val="000000"/>
      <w:kern w:val="0"/>
      <w:sz w:val="28"/>
      <w:szCs w:val="28"/>
    </w:rPr>
  </w:style>
  <w:style w:type="character" w:customStyle="1" w:styleId="140">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41">
    <w:name w:val="章 Char"/>
    <w:link w:val="142"/>
    <w:qFormat/>
    <w:uiPriority w:val="0"/>
    <w:rPr>
      <w:rFonts w:eastAsia="黑体"/>
      <w:kern w:val="44"/>
      <w:sz w:val="32"/>
      <w:lang w:bidi="ar-SA"/>
    </w:rPr>
  </w:style>
  <w:style w:type="paragraph" w:customStyle="1" w:styleId="142">
    <w:name w:val="章"/>
    <w:basedOn w:val="3"/>
    <w:link w:val="141"/>
    <w:qFormat/>
    <w:uiPriority w:val="0"/>
    <w:pPr>
      <w:adjustRightInd/>
      <w:spacing w:before="0" w:after="0" w:line="600" w:lineRule="exact"/>
    </w:pPr>
    <w:rPr>
      <w:rFonts w:eastAsia="黑体"/>
      <w:b w:val="0"/>
      <w:bCs w:val="0"/>
      <w:sz w:val="32"/>
      <w:szCs w:val="20"/>
    </w:rPr>
  </w:style>
  <w:style w:type="character" w:customStyle="1" w:styleId="143">
    <w:name w:val="zbggtop11 style5"/>
    <w:qFormat/>
    <w:uiPriority w:val="0"/>
  </w:style>
  <w:style w:type="character" w:customStyle="1" w:styleId="144">
    <w:name w:val="bulletintext1"/>
    <w:qFormat/>
    <w:uiPriority w:val="0"/>
    <w:rPr>
      <w:color w:val="000000"/>
      <w:sz w:val="18"/>
    </w:rPr>
  </w:style>
  <w:style w:type="character" w:customStyle="1" w:styleId="145">
    <w:name w:val="正文文本 3 Char1"/>
    <w:qFormat/>
    <w:uiPriority w:val="0"/>
    <w:rPr>
      <w:rFonts w:ascii="Arial" w:hAnsi="Arial" w:cs="Arial"/>
      <w:kern w:val="2"/>
      <w:sz w:val="16"/>
      <w:szCs w:val="16"/>
    </w:rPr>
  </w:style>
  <w:style w:type="character" w:customStyle="1" w:styleId="146">
    <w:name w:val="标题4 字符"/>
    <w:link w:val="147"/>
    <w:qFormat/>
    <w:uiPriority w:val="0"/>
    <w:rPr>
      <w:b/>
      <w:kern w:val="2"/>
      <w:sz w:val="21"/>
      <w:szCs w:val="24"/>
    </w:rPr>
  </w:style>
  <w:style w:type="paragraph" w:customStyle="1" w:styleId="147">
    <w:name w:val="标题4"/>
    <w:basedOn w:val="1"/>
    <w:next w:val="1"/>
    <w:link w:val="146"/>
    <w:qFormat/>
    <w:uiPriority w:val="0"/>
    <w:pPr>
      <w:ind w:firstLine="0" w:firstLineChars="0"/>
      <w:jc w:val="center"/>
    </w:pPr>
    <w:rPr>
      <w:b/>
      <w:kern w:val="2"/>
      <w:szCs w:val="24"/>
    </w:rPr>
  </w:style>
  <w:style w:type="character" w:customStyle="1" w:styleId="148">
    <w:name w:val="标书正文 Char"/>
    <w:qFormat/>
    <w:uiPriority w:val="0"/>
    <w:rPr>
      <w:rFonts w:ascii="宋体" w:hAnsi="宋体" w:eastAsia="宋体"/>
      <w:color w:val="000000"/>
      <w:kern w:val="2"/>
      <w:sz w:val="24"/>
      <w:lang w:val="en-US" w:eastAsia="zh-CN"/>
    </w:rPr>
  </w:style>
  <w:style w:type="character" w:customStyle="1" w:styleId="149">
    <w:name w:val="apple-converted-space"/>
    <w:qFormat/>
    <w:uiPriority w:val="0"/>
  </w:style>
  <w:style w:type="character" w:customStyle="1" w:styleId="150">
    <w:name w:val="正文文本 Char"/>
    <w:qFormat/>
    <w:uiPriority w:val="0"/>
    <w:rPr>
      <w:rFonts w:eastAsia="宋体"/>
      <w:snapToGrid w:val="0"/>
      <w:sz w:val="21"/>
      <w:lang w:val="en-US" w:eastAsia="zh-CN" w:bidi="ar-SA"/>
    </w:rPr>
  </w:style>
  <w:style w:type="character" w:customStyle="1" w:styleId="151">
    <w:name w:val="正文2 Char"/>
    <w:link w:val="152"/>
    <w:qFormat/>
    <w:uiPriority w:val="0"/>
    <w:rPr>
      <w:rFonts w:eastAsia="宋体"/>
      <w:spacing w:val="20"/>
      <w:sz w:val="24"/>
      <w:lang w:val="en-US" w:eastAsia="zh-CN" w:bidi="ar-SA"/>
    </w:rPr>
  </w:style>
  <w:style w:type="paragraph" w:customStyle="1" w:styleId="152">
    <w:name w:val="正文2"/>
    <w:basedOn w:val="1"/>
    <w:link w:val="151"/>
    <w:qFormat/>
    <w:uiPriority w:val="0"/>
    <w:pPr>
      <w:widowControl/>
      <w:suppressAutoHyphens/>
      <w:spacing w:line="560" w:lineRule="exact"/>
      <w:ind w:left="220" w:hanging="220" w:hangingChars="220"/>
      <w:jc w:val="left"/>
    </w:pPr>
    <w:rPr>
      <w:spacing w:val="20"/>
    </w:rPr>
  </w:style>
  <w:style w:type="character" w:customStyle="1" w:styleId="153">
    <w:name w:val="+正文 Char4"/>
    <w:link w:val="154"/>
    <w:qFormat/>
    <w:uiPriority w:val="0"/>
    <w:rPr>
      <w:rFonts w:eastAsia="宋体"/>
      <w:kern w:val="2"/>
      <w:sz w:val="24"/>
      <w:lang w:val="en-US" w:eastAsia="zh-CN" w:bidi="ar-SA"/>
    </w:rPr>
  </w:style>
  <w:style w:type="paragraph" w:customStyle="1" w:styleId="154">
    <w:name w:val="+正文"/>
    <w:basedOn w:val="1"/>
    <w:link w:val="153"/>
    <w:qFormat/>
    <w:uiPriority w:val="0"/>
    <w:rPr>
      <w:kern w:val="2"/>
    </w:rPr>
  </w:style>
  <w:style w:type="character" w:customStyle="1" w:styleId="155">
    <w:name w:val="标准文本 Char"/>
    <w:link w:val="156"/>
    <w:qFormat/>
    <w:uiPriority w:val="0"/>
    <w:rPr>
      <w:rFonts w:eastAsia="宋体" w:cs="宋体"/>
      <w:kern w:val="2"/>
      <w:sz w:val="24"/>
      <w:lang w:val="en-US" w:eastAsia="zh-CN" w:bidi="ar-SA"/>
    </w:rPr>
  </w:style>
  <w:style w:type="paragraph" w:customStyle="1" w:styleId="156">
    <w:name w:val="标准文本"/>
    <w:basedOn w:val="1"/>
    <w:link w:val="155"/>
    <w:qFormat/>
    <w:uiPriority w:val="0"/>
    <w:pPr>
      <w:ind w:firstLine="480"/>
    </w:pPr>
    <w:rPr>
      <w:rFonts w:cs="宋体"/>
      <w:kern w:val="2"/>
    </w:rPr>
  </w:style>
  <w:style w:type="character" w:customStyle="1" w:styleId="157">
    <w:name w:val="文档结构图 Char"/>
    <w:qFormat/>
    <w:uiPriority w:val="0"/>
    <w:rPr>
      <w:rFonts w:eastAsia="宋体"/>
      <w:snapToGrid w:val="0"/>
      <w:sz w:val="21"/>
      <w:lang w:val="en-US" w:eastAsia="zh-CN" w:bidi="ar-SA"/>
    </w:rPr>
  </w:style>
  <w:style w:type="character" w:customStyle="1" w:styleId="158">
    <w:name w:val="td_space1"/>
    <w:qFormat/>
    <w:uiPriority w:val="0"/>
    <w:rPr>
      <w:rFonts w:hint="eastAsia" w:ascii="宋体" w:hAnsi="宋体" w:eastAsia="宋体"/>
      <w:sz w:val="18"/>
      <w:szCs w:val="18"/>
      <w:u w:val="none"/>
    </w:rPr>
  </w:style>
  <w:style w:type="character" w:customStyle="1" w:styleId="159">
    <w:name w:val="签名 Char1"/>
    <w:qFormat/>
    <w:uiPriority w:val="0"/>
    <w:rPr>
      <w:rFonts w:ascii="Arial" w:hAnsi="Arial" w:cs="Arial"/>
      <w:kern w:val="2"/>
      <w:sz w:val="21"/>
      <w:szCs w:val="24"/>
    </w:rPr>
  </w:style>
  <w:style w:type="character" w:customStyle="1" w:styleId="160">
    <w:name w:val="bodyfont"/>
    <w:qFormat/>
    <w:uiPriority w:val="0"/>
  </w:style>
  <w:style w:type="character" w:customStyle="1" w:styleId="161">
    <w:name w:val="纯文本 Char1"/>
    <w:qFormat/>
    <w:uiPriority w:val="0"/>
    <w:rPr>
      <w:rFonts w:ascii="宋体" w:hAnsi="Courier New"/>
      <w:snapToGrid/>
      <w:sz w:val="18"/>
    </w:rPr>
  </w:style>
  <w:style w:type="character" w:customStyle="1" w:styleId="162">
    <w:name w:val="正文标准 Char"/>
    <w:link w:val="163"/>
    <w:qFormat/>
    <w:uiPriority w:val="0"/>
    <w:rPr>
      <w:kern w:val="2"/>
      <w:sz w:val="24"/>
      <w:szCs w:val="21"/>
      <w:lang w:bidi="ar-SA"/>
    </w:rPr>
  </w:style>
  <w:style w:type="paragraph" w:customStyle="1" w:styleId="163">
    <w:name w:val="正文标准"/>
    <w:basedOn w:val="1"/>
    <w:link w:val="162"/>
    <w:qFormat/>
    <w:uiPriority w:val="0"/>
    <w:pPr>
      <w:spacing w:before="156" w:beforeLines="50"/>
    </w:pPr>
    <w:rPr>
      <w:kern w:val="2"/>
      <w:szCs w:val="21"/>
    </w:rPr>
  </w:style>
  <w:style w:type="character" w:customStyle="1" w:styleId="164">
    <w:name w:val="Char Char10"/>
    <w:qFormat/>
    <w:uiPriority w:val="0"/>
    <w:rPr>
      <w:rFonts w:ascii="宋体" w:hAnsi="Courier New"/>
      <w:snapToGrid/>
      <w:sz w:val="18"/>
    </w:rPr>
  </w:style>
  <w:style w:type="character" w:customStyle="1" w:styleId="165">
    <w:name w:val="正文文本 3 Char"/>
    <w:qFormat/>
    <w:uiPriority w:val="0"/>
    <w:rPr>
      <w:rFonts w:eastAsia="宋体"/>
      <w:kern w:val="2"/>
      <w:sz w:val="16"/>
      <w:lang w:val="en-US" w:eastAsia="zh-CN" w:bidi="ar-SA"/>
    </w:rPr>
  </w:style>
  <w:style w:type="character" w:customStyle="1" w:styleId="166">
    <w:name w:val="正文文本缩进 Char"/>
    <w:qFormat/>
    <w:uiPriority w:val="0"/>
    <w:rPr>
      <w:rFonts w:ascii="宋体" w:hAnsi="宋体" w:eastAsia="宋体"/>
      <w:snapToGrid w:val="0"/>
      <w:sz w:val="24"/>
      <w:lang w:val="en-US" w:eastAsia="zh-CN" w:bidi="ar-SA"/>
    </w:rPr>
  </w:style>
  <w:style w:type="character" w:customStyle="1" w:styleId="167">
    <w:name w:val="style31"/>
    <w:qFormat/>
    <w:uiPriority w:val="0"/>
    <w:rPr>
      <w:sz w:val="18"/>
      <w:szCs w:val="18"/>
    </w:rPr>
  </w:style>
  <w:style w:type="character" w:customStyle="1" w:styleId="168">
    <w:name w:val="font01"/>
    <w:qFormat/>
    <w:uiPriority w:val="0"/>
    <w:rPr>
      <w:rFonts w:ascii="Calibri" w:hAnsi="Calibri" w:cs="Calibri"/>
      <w:color w:val="000000"/>
      <w:sz w:val="21"/>
      <w:szCs w:val="21"/>
      <w:u w:val="none"/>
    </w:rPr>
  </w:style>
  <w:style w:type="character" w:customStyle="1" w:styleId="169">
    <w:name w:val="标题 1 Char1"/>
    <w:qFormat/>
    <w:uiPriority w:val="0"/>
    <w:rPr>
      <w:rFonts w:eastAsia="黑体"/>
      <w:b/>
      <w:snapToGrid w:val="0"/>
      <w:kern w:val="44"/>
      <w:sz w:val="36"/>
      <w:lang w:val="en-US" w:eastAsia="zh-CN" w:bidi="ar-SA"/>
    </w:rPr>
  </w:style>
  <w:style w:type="character" w:customStyle="1" w:styleId="170">
    <w:name w:val="页眉 Char"/>
    <w:qFormat/>
    <w:uiPriority w:val="0"/>
    <w:rPr>
      <w:rFonts w:eastAsia="宋体"/>
      <w:snapToGrid w:val="0"/>
      <w:sz w:val="18"/>
      <w:lang w:val="en-US" w:eastAsia="zh-CN"/>
    </w:rPr>
  </w:style>
  <w:style w:type="character" w:customStyle="1" w:styleId="171">
    <w:name w:val="批注文字 Char"/>
    <w:qFormat/>
    <w:uiPriority w:val="0"/>
    <w:rPr>
      <w:kern w:val="2"/>
      <w:sz w:val="21"/>
    </w:rPr>
  </w:style>
  <w:style w:type="character" w:customStyle="1" w:styleId="172">
    <w:name w:val="标题 3 Char"/>
    <w:qFormat/>
    <w:uiPriority w:val="9"/>
    <w:rPr>
      <w:rFonts w:ascii="宋体" w:eastAsia="宋体"/>
      <w:b/>
      <w:kern w:val="2"/>
      <w:sz w:val="28"/>
      <w:lang w:val="en-US" w:eastAsia="zh-CN" w:bidi="ar-SA"/>
    </w:rPr>
  </w:style>
  <w:style w:type="character" w:customStyle="1" w:styleId="173">
    <w:name w:val="line1"/>
    <w:qFormat/>
    <w:uiPriority w:val="0"/>
    <w:rPr>
      <w:sz w:val="18"/>
    </w:rPr>
  </w:style>
  <w:style w:type="character" w:customStyle="1" w:styleId="174">
    <w:name w:val="未处理的提及"/>
    <w:unhideWhenUsed/>
    <w:qFormat/>
    <w:uiPriority w:val="99"/>
    <w:rPr>
      <w:color w:val="605E5C"/>
      <w:shd w:val="clear" w:color="auto" w:fill="E1DFDD"/>
    </w:rPr>
  </w:style>
  <w:style w:type="character" w:customStyle="1" w:styleId="175">
    <w:name w:val="样式 黑色"/>
    <w:qFormat/>
    <w:uiPriority w:val="0"/>
    <w:rPr>
      <w:color w:val="000000"/>
      <w:spacing w:val="4"/>
    </w:rPr>
  </w:style>
  <w:style w:type="character" w:customStyle="1" w:styleId="176">
    <w:name w:val="font51"/>
    <w:qFormat/>
    <w:uiPriority w:val="0"/>
    <w:rPr>
      <w:rFonts w:hint="default" w:ascii="Times New Roman" w:hAnsi="Times New Roman" w:cs="Times New Roman"/>
      <w:b/>
      <w:color w:val="000000"/>
      <w:sz w:val="21"/>
      <w:szCs w:val="21"/>
      <w:u w:val="none"/>
    </w:rPr>
  </w:style>
  <w:style w:type="character" w:customStyle="1" w:styleId="177">
    <w:name w:val="Char Char21"/>
    <w:qFormat/>
    <w:uiPriority w:val="0"/>
    <w:rPr>
      <w:rFonts w:eastAsia="Century Gothic"/>
      <w:b/>
      <w:bCs/>
      <w:kern w:val="44"/>
      <w:sz w:val="32"/>
      <w:szCs w:val="44"/>
      <w:lang w:val="en-US" w:eastAsia="zh-CN" w:bidi="ar-SA"/>
    </w:rPr>
  </w:style>
  <w:style w:type="character" w:customStyle="1" w:styleId="178">
    <w:name w:val="纯文本 字符"/>
    <w:qFormat/>
    <w:uiPriority w:val="0"/>
    <w:rPr>
      <w:rFonts w:ascii="宋体" w:hAnsi="Courier New" w:eastAsia="宋体"/>
      <w:kern w:val="2"/>
      <w:sz w:val="21"/>
      <w:lang w:val="en-US" w:eastAsia="zh-CN" w:bidi="ar-SA"/>
    </w:rPr>
  </w:style>
  <w:style w:type="character" w:customStyle="1" w:styleId="179">
    <w:name w:val="正文文字 Char"/>
    <w:qFormat/>
    <w:uiPriority w:val="0"/>
    <w:rPr>
      <w:rFonts w:eastAsia="宋体"/>
      <w:kern w:val="2"/>
      <w:sz w:val="21"/>
      <w:lang w:val="en-US" w:eastAsia="zh-CN"/>
    </w:rPr>
  </w:style>
  <w:style w:type="character" w:customStyle="1" w:styleId="180">
    <w:name w:val="带缩进的正文 Char"/>
    <w:link w:val="181"/>
    <w:qFormat/>
    <w:uiPriority w:val="0"/>
    <w:rPr>
      <w:rFonts w:ascii="Calibri" w:hAnsi="Calibri"/>
      <w:sz w:val="24"/>
      <w:lang w:val="zh-CN"/>
    </w:rPr>
  </w:style>
  <w:style w:type="paragraph" w:customStyle="1" w:styleId="181">
    <w:name w:val="带缩进的正文"/>
    <w:basedOn w:val="1"/>
    <w:link w:val="180"/>
    <w:qFormat/>
    <w:uiPriority w:val="0"/>
    <w:pPr>
      <w:ind w:firstLine="480"/>
    </w:pPr>
    <w:rPr>
      <w:rFonts w:ascii="Calibri" w:hAnsi="Calibri"/>
      <w:lang w:val="zh-CN"/>
    </w:rPr>
  </w:style>
  <w:style w:type="character" w:customStyle="1" w:styleId="182">
    <w:name w:val="text5"/>
    <w:qFormat/>
    <w:uiPriority w:val="0"/>
    <w:rPr>
      <w:rFonts w:ascii="_x000B__x000C_" w:hAnsi="_x000B__x000C_"/>
      <w:color w:val="000066"/>
      <w:spacing w:val="0"/>
      <w:sz w:val="18"/>
    </w:rPr>
  </w:style>
  <w:style w:type="character" w:customStyle="1" w:styleId="183">
    <w:name w:val="标题 1 Char"/>
    <w:qFormat/>
    <w:uiPriority w:val="0"/>
    <w:rPr>
      <w:rFonts w:eastAsia="宋体"/>
      <w:b/>
      <w:bCs/>
      <w:kern w:val="44"/>
      <w:sz w:val="30"/>
      <w:szCs w:val="44"/>
      <w:lang w:val="en-US" w:eastAsia="zh-CN" w:bidi="ar-SA"/>
    </w:rPr>
  </w:style>
  <w:style w:type="character" w:customStyle="1" w:styleId="184">
    <w:name w:val="zbggmain style9"/>
    <w:qFormat/>
    <w:uiPriority w:val="0"/>
    <w:rPr>
      <w:rFonts w:ascii="仿宋_GB2312" w:eastAsia="仿宋_GB2312"/>
      <w:b/>
      <w:kern w:val="2"/>
      <w:sz w:val="32"/>
      <w:szCs w:val="32"/>
      <w:lang w:val="en-US" w:eastAsia="zh-CN" w:bidi="ar-SA"/>
    </w:rPr>
  </w:style>
  <w:style w:type="character" w:customStyle="1" w:styleId="185">
    <w:name w:val="标题 2 Char"/>
    <w:qFormat/>
    <w:uiPriority w:val="0"/>
    <w:rPr>
      <w:rFonts w:ascii="Arial" w:hAnsi="Arial" w:eastAsia="黑体"/>
      <w:spacing w:val="2"/>
      <w:kern w:val="24"/>
      <w:sz w:val="32"/>
      <w:lang w:val="en-US" w:eastAsia="zh-CN"/>
    </w:rPr>
  </w:style>
  <w:style w:type="character" w:customStyle="1" w:styleId="186">
    <w:name w:val="纯文本 Char"/>
    <w:link w:val="187"/>
    <w:qFormat/>
    <w:uiPriority w:val="0"/>
    <w:rPr>
      <w:rFonts w:ascii="宋体" w:hAnsi="Courier New" w:eastAsia="宋体"/>
      <w:kern w:val="2"/>
      <w:sz w:val="21"/>
      <w:lang w:val="en-US" w:eastAsia="zh-CN" w:bidi="ar-SA"/>
    </w:rPr>
  </w:style>
  <w:style w:type="paragraph" w:customStyle="1" w:styleId="187">
    <w:name w:val="纯文本1"/>
    <w:basedOn w:val="1"/>
    <w:link w:val="186"/>
    <w:qFormat/>
    <w:uiPriority w:val="0"/>
    <w:pPr>
      <w:snapToGrid w:val="0"/>
      <w:jc w:val="left"/>
    </w:pPr>
    <w:rPr>
      <w:rFonts w:ascii="宋体" w:hAnsi="Courier New"/>
      <w:kern w:val="2"/>
    </w:rPr>
  </w:style>
  <w:style w:type="character" w:customStyle="1" w:styleId="188">
    <w:name w:val="Char Char12"/>
    <w:qFormat/>
    <w:uiPriority w:val="0"/>
    <w:rPr>
      <w:rFonts w:ascii="Century Gothic" w:hAnsi="楷体_GB2312" w:eastAsia="Century Gothic" w:cs="楷体_GB2312"/>
      <w:kern w:val="2"/>
      <w:sz w:val="21"/>
      <w:szCs w:val="21"/>
      <w:lang w:val="en-US" w:eastAsia="zh-CN" w:bidi="ar-SA"/>
    </w:rPr>
  </w:style>
  <w:style w:type="character" w:customStyle="1" w:styleId="189">
    <w:name w:val="FA正文 Char Char"/>
    <w:link w:val="190"/>
    <w:qFormat/>
    <w:uiPriority w:val="0"/>
    <w:rPr>
      <w:rFonts w:hAnsi="宋体"/>
      <w:kern w:val="2"/>
      <w:sz w:val="24"/>
      <w:lang w:bidi="ar-SA"/>
    </w:rPr>
  </w:style>
  <w:style w:type="paragraph" w:customStyle="1" w:styleId="190">
    <w:name w:val="FA正文"/>
    <w:basedOn w:val="1"/>
    <w:link w:val="189"/>
    <w:qFormat/>
    <w:uiPriority w:val="0"/>
    <w:pPr>
      <w:ind w:firstLine="480"/>
    </w:pPr>
    <w:rPr>
      <w:rFonts w:hAnsi="宋体"/>
      <w:kern w:val="2"/>
    </w:rPr>
  </w:style>
  <w:style w:type="character" w:customStyle="1" w:styleId="191">
    <w:name w:val="htd0"/>
    <w:qFormat/>
    <w:uiPriority w:val="0"/>
  </w:style>
  <w:style w:type="character" w:customStyle="1" w:styleId="192">
    <w:name w:val="表正文 Char"/>
    <w:qFormat/>
    <w:uiPriority w:val="0"/>
    <w:rPr>
      <w:sz w:val="21"/>
    </w:rPr>
  </w:style>
  <w:style w:type="character" w:customStyle="1" w:styleId="193">
    <w:name w:val="style4 style24"/>
    <w:qFormat/>
    <w:uiPriority w:val="0"/>
  </w:style>
  <w:style w:type="paragraph" w:customStyle="1" w:styleId="194">
    <w:name w:val="xl1238"/>
    <w:basedOn w:val="1"/>
    <w:qFormat/>
    <w:uiPriority w:val="0"/>
    <w:pPr>
      <w:widowControl/>
      <w:pBdr>
        <w:bottom w:val="single" w:color="auto" w:sz="4" w:space="0"/>
      </w:pBdr>
      <w:spacing w:before="100" w:after="100"/>
      <w:jc w:val="center"/>
      <w:textAlignment w:val="center"/>
    </w:pPr>
    <w:rPr>
      <w:rFonts w:ascii="Arial Unicode MS" w:hAnsi="Arial Unicode MS" w:eastAsia="Arial Unicode MS"/>
      <w:sz w:val="20"/>
    </w:rPr>
  </w:style>
  <w:style w:type="paragraph" w:customStyle="1" w:styleId="195">
    <w:name w:val="说明标题2"/>
    <w:basedOn w:val="1"/>
    <w:qFormat/>
    <w:uiPriority w:val="0"/>
    <w:pPr>
      <w:numPr>
        <w:ilvl w:val="1"/>
        <w:numId w:val="6"/>
      </w:numPr>
      <w:tabs>
        <w:tab w:val="left" w:pos="360"/>
        <w:tab w:val="clear" w:pos="1194"/>
      </w:tabs>
    </w:pPr>
    <w:rPr>
      <w:sz w:val="28"/>
    </w:rPr>
  </w:style>
  <w:style w:type="paragraph" w:customStyle="1" w:styleId="196">
    <w:name w:val="p16"/>
    <w:basedOn w:val="1"/>
    <w:qFormat/>
    <w:uiPriority w:val="0"/>
    <w:pPr>
      <w:widowControl/>
      <w:spacing w:before="100" w:after="100"/>
      <w:jc w:val="left"/>
    </w:pPr>
    <w:rPr>
      <w:rFonts w:ascii="宋体" w:hAnsi="宋体" w:cs="宋体"/>
      <w:snapToGrid w:val="0"/>
      <w:color w:val="000000"/>
      <w:sz w:val="24"/>
    </w:rPr>
  </w:style>
  <w:style w:type="paragraph" w:customStyle="1" w:styleId="197">
    <w:name w:val="xl113"/>
    <w:basedOn w:val="1"/>
    <w:qFormat/>
    <w:uiPriority w:val="0"/>
    <w:pPr>
      <w:widowControl/>
      <w:pBdr>
        <w:top w:val="single" w:color="auto" w:sz="4" w:space="0"/>
        <w:left w:val="single" w:color="auto" w:sz="8" w:space="0"/>
        <w:right w:val="single" w:color="auto" w:sz="4" w:space="0"/>
      </w:pBdr>
      <w:spacing w:before="100" w:after="100"/>
      <w:jc w:val="left"/>
      <w:textAlignment w:val="center"/>
    </w:pPr>
    <w:rPr>
      <w:sz w:val="20"/>
    </w:rPr>
  </w:style>
  <w:style w:type="paragraph" w:customStyle="1" w:styleId="198">
    <w:name w:val="xl79"/>
    <w:basedOn w:val="1"/>
    <w:qFormat/>
    <w:uiPriority w:val="0"/>
    <w:pPr>
      <w:widowControl/>
      <w:pBdr>
        <w:top w:val="single" w:color="auto" w:sz="8" w:space="0"/>
        <w:left w:val="single" w:color="auto" w:sz="4" w:space="0"/>
        <w:bottom w:val="single" w:color="auto" w:sz="4" w:space="0"/>
      </w:pBdr>
      <w:spacing w:before="100" w:after="100"/>
      <w:jc w:val="left"/>
      <w:textAlignment w:val="center"/>
    </w:pPr>
    <w:rPr>
      <w:rFonts w:ascii="宋体" w:hAnsi="宋体"/>
      <w:sz w:val="20"/>
    </w:rPr>
  </w:style>
  <w:style w:type="paragraph" w:customStyle="1" w:styleId="199">
    <w:name w:val="xl82"/>
    <w:basedOn w:val="1"/>
    <w:qFormat/>
    <w:uiPriority w:val="0"/>
    <w:pPr>
      <w:widowControl/>
      <w:pBdr>
        <w:top w:val="single" w:color="auto" w:sz="8" w:space="0"/>
        <w:left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200">
    <w:name w:val="xl1248"/>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201">
    <w:name w:val="font9"/>
    <w:basedOn w:val="1"/>
    <w:qFormat/>
    <w:uiPriority w:val="0"/>
    <w:pPr>
      <w:widowControl/>
      <w:spacing w:before="100" w:beforeAutospacing="1" w:after="100" w:afterAutospacing="1"/>
      <w:jc w:val="left"/>
    </w:pPr>
    <w:rPr>
      <w:b/>
      <w:bCs/>
      <w:sz w:val="24"/>
    </w:rPr>
  </w:style>
  <w:style w:type="paragraph" w:customStyle="1" w:styleId="202">
    <w:name w:val="xl89"/>
    <w:basedOn w:val="1"/>
    <w:qFormat/>
    <w:uiPriority w:val="0"/>
    <w:pPr>
      <w:widowControl/>
      <w:pBdr>
        <w:top w:val="single" w:color="auto" w:sz="4" w:space="0"/>
        <w:left w:val="single" w:color="auto" w:sz="4" w:space="0"/>
        <w:bottom w:val="single" w:color="auto" w:sz="8" w:space="0"/>
        <w:right w:val="single" w:color="auto" w:sz="4" w:space="0"/>
      </w:pBdr>
      <w:spacing w:before="100" w:after="100"/>
      <w:jc w:val="right"/>
      <w:textAlignment w:val="center"/>
    </w:pPr>
    <w:rPr>
      <w:rFonts w:ascii="宋体" w:hAnsi="宋体"/>
      <w:sz w:val="20"/>
    </w:rPr>
  </w:style>
  <w:style w:type="paragraph" w:customStyle="1" w:styleId="203">
    <w:name w:val="xl1239"/>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204">
    <w:name w:val="Char Char Char Char Char Char Char Char Char Char Char"/>
    <w:basedOn w:val="1"/>
    <w:qFormat/>
    <w:uiPriority w:val="0"/>
    <w:rPr>
      <w:rFonts w:ascii="Tahoma" w:hAnsi="Tahoma"/>
      <w:sz w:val="24"/>
    </w:rPr>
  </w:style>
  <w:style w:type="paragraph" w:customStyle="1" w:styleId="205">
    <w:name w:val="模板普通正文"/>
    <w:basedOn w:val="29"/>
    <w:qFormat/>
    <w:uiPriority w:val="0"/>
    <w:pPr>
      <w:adjustRightInd/>
      <w:spacing w:before="156" w:beforeLines="50" w:after="10"/>
      <w:ind w:firstLine="175" w:firstLineChars="175"/>
    </w:pPr>
    <w:rPr>
      <w:rFonts w:ascii="Times New Roman" w:hAnsi="Times New Roman"/>
    </w:rPr>
  </w:style>
  <w:style w:type="paragraph" w:customStyle="1" w:styleId="206">
    <w:name w:val="正文首行缩进 21"/>
    <w:basedOn w:val="207"/>
    <w:qFormat/>
    <w:uiPriority w:val="0"/>
    <w:pPr>
      <w:spacing w:line="240" w:lineRule="auto"/>
      <w:ind w:firstLine="420"/>
    </w:pPr>
    <w:rPr>
      <w:rFonts w:ascii="Times New Roman" w:hAnsi="Times New Roman" w:eastAsia="宋体" w:cs="宋体"/>
      <w:sz w:val="21"/>
    </w:rPr>
  </w:style>
  <w:style w:type="paragraph" w:customStyle="1" w:styleId="207">
    <w:name w:val="正文文本缩进1"/>
    <w:basedOn w:val="1"/>
    <w:next w:val="1"/>
    <w:qFormat/>
    <w:uiPriority w:val="0"/>
    <w:pPr>
      <w:spacing w:after="120"/>
      <w:ind w:left="420" w:leftChars="200"/>
    </w:pPr>
    <w:rPr>
      <w:sz w:val="24"/>
      <w:szCs w:val="21"/>
    </w:rPr>
  </w:style>
  <w:style w:type="paragraph" w:customStyle="1" w:styleId="208">
    <w:name w:val="xl86"/>
    <w:basedOn w:val="1"/>
    <w:qFormat/>
    <w:uiPriority w:val="0"/>
    <w:pPr>
      <w:widowControl/>
      <w:pBdr>
        <w:top w:val="single" w:color="auto" w:sz="4" w:space="0"/>
        <w:left w:val="single" w:color="auto" w:sz="8" w:space="0"/>
        <w:right w:val="single" w:color="auto" w:sz="4" w:space="0"/>
      </w:pBdr>
      <w:spacing w:before="100" w:after="100"/>
      <w:jc w:val="left"/>
      <w:textAlignment w:val="center"/>
    </w:pPr>
    <w:rPr>
      <w:rFonts w:ascii="宋体" w:hAnsi="宋体"/>
      <w:sz w:val="20"/>
    </w:rPr>
  </w:style>
  <w:style w:type="paragraph" w:customStyle="1" w:styleId="209">
    <w:name w:val="yyn2"/>
    <w:basedOn w:val="1"/>
    <w:qFormat/>
    <w:uiPriority w:val="0"/>
    <w:pPr>
      <w:keepNext/>
      <w:widowControl/>
      <w:overflowPunct w:val="0"/>
      <w:autoSpaceDE w:val="0"/>
      <w:autoSpaceDN w:val="0"/>
      <w:adjustRightInd w:val="0"/>
      <w:spacing w:before="60"/>
      <w:jc w:val="center"/>
      <w:textAlignment w:val="baseline"/>
    </w:pPr>
    <w:rPr>
      <w:rFonts w:ascii="楷体_GB2312" w:eastAsia="楷体_GB2312"/>
      <w:kern w:val="16"/>
    </w:rPr>
  </w:style>
  <w:style w:type="paragraph" w:customStyle="1" w:styleId="210">
    <w:name w:val="F00_02"/>
    <w:basedOn w:val="1"/>
    <w:qFormat/>
    <w:uiPriority w:val="0"/>
    <w:pPr>
      <w:spacing w:before="120" w:line="0" w:lineRule="atLeast"/>
      <w:ind w:firstLine="562"/>
    </w:pPr>
    <w:rPr>
      <w:rFonts w:eastAsia="仿宋_GB2312"/>
      <w:b/>
      <w:sz w:val="28"/>
    </w:rPr>
  </w:style>
  <w:style w:type="paragraph" w:customStyle="1" w:styleId="211">
    <w:name w:val="1)"/>
    <w:basedOn w:val="1"/>
    <w:qFormat/>
    <w:uiPriority w:val="0"/>
    <w:pPr>
      <w:widowControl/>
      <w:numPr>
        <w:ilvl w:val="6"/>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212">
    <w:name w:val="1."/>
    <w:basedOn w:val="1"/>
    <w:qFormat/>
    <w:uiPriority w:val="0"/>
    <w:pPr>
      <w:widowControl/>
      <w:numPr>
        <w:ilvl w:val="5"/>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213">
    <w:name w:val="xl126"/>
    <w:basedOn w:val="1"/>
    <w:qFormat/>
    <w:uiPriority w:val="0"/>
    <w:pPr>
      <w:widowControl/>
      <w:pBdr>
        <w:top w:val="single" w:color="auto" w:sz="4" w:space="0"/>
        <w:left w:val="single" w:color="auto" w:sz="8" w:space="0"/>
        <w:bottom w:val="single" w:color="auto" w:sz="8" w:space="0"/>
        <w:right w:val="single" w:color="auto" w:sz="8" w:space="0"/>
      </w:pBdr>
      <w:spacing w:before="100" w:after="100"/>
      <w:jc w:val="left"/>
    </w:pPr>
    <w:rPr>
      <w:rFonts w:ascii="宋体" w:hAnsi="宋体"/>
      <w:sz w:val="24"/>
    </w:rPr>
  </w:style>
  <w:style w:type="paragraph" w:customStyle="1" w:styleId="214">
    <w:name w:val="Char Char Char Char Char Char Char Char"/>
    <w:basedOn w:val="1"/>
    <w:qFormat/>
    <w:uiPriority w:val="0"/>
    <w:pPr>
      <w:tabs>
        <w:tab w:val="left" w:pos="360"/>
      </w:tabs>
    </w:pPr>
    <w:rPr>
      <w:rFonts w:ascii="Calibri" w:hAnsi="Calibri"/>
    </w:rPr>
  </w:style>
  <w:style w:type="paragraph" w:customStyle="1" w:styleId="215">
    <w:name w:val="xl1265"/>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216">
    <w:name w:val="xl1219"/>
    <w:basedOn w:val="1"/>
    <w:qFormat/>
    <w:uiPriority w:val="0"/>
    <w:pPr>
      <w:widowControl/>
      <w:spacing w:before="100" w:after="100"/>
      <w:jc w:val="left"/>
      <w:textAlignment w:val="center"/>
    </w:pPr>
    <w:rPr>
      <w:rFonts w:ascii="Arial Unicode MS" w:hAnsi="Arial Unicode MS" w:eastAsia="Arial Unicode MS"/>
      <w:sz w:val="20"/>
    </w:rPr>
  </w:style>
  <w:style w:type="paragraph" w:customStyle="1" w:styleId="217">
    <w:name w:val="缺省文本"/>
    <w:basedOn w:val="1"/>
    <w:qFormat/>
    <w:uiPriority w:val="0"/>
    <w:pPr>
      <w:numPr>
        <w:ilvl w:val="2"/>
        <w:numId w:val="8"/>
      </w:numPr>
      <w:autoSpaceDE w:val="0"/>
      <w:autoSpaceDN w:val="0"/>
      <w:adjustRightInd w:val="0"/>
      <w:jc w:val="left"/>
    </w:pPr>
    <w:rPr>
      <w:sz w:val="24"/>
    </w:rPr>
  </w:style>
  <w:style w:type="paragraph" w:customStyle="1" w:styleId="2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19">
    <w:name w:val="样式 样式 样式 小四 左 首行缩进:  2 字符 + 首行缩进:  2 字符 Char + 右  0 字符1"/>
    <w:basedOn w:val="1"/>
    <w:qFormat/>
    <w:uiPriority w:val="0"/>
    <w:pPr>
      <w:adjustRightInd w:val="0"/>
      <w:jc w:val="left"/>
      <w:textAlignment w:val="baseline"/>
    </w:pPr>
    <w:rPr>
      <w:sz w:val="24"/>
    </w:rPr>
  </w:style>
  <w:style w:type="paragraph" w:customStyle="1" w:styleId="220">
    <w:name w:val="xl95"/>
    <w:basedOn w:val="1"/>
    <w:qFormat/>
    <w:uiPriority w:val="0"/>
    <w:pPr>
      <w:widowControl/>
      <w:pBdr>
        <w:left w:val="single" w:color="auto" w:sz="8" w:space="0"/>
        <w:right w:val="single" w:color="auto" w:sz="8" w:space="0"/>
      </w:pBdr>
      <w:spacing w:before="100" w:after="100"/>
      <w:jc w:val="center"/>
      <w:textAlignment w:val="center"/>
    </w:pPr>
    <w:rPr>
      <w:rFonts w:ascii="宋体" w:hAnsi="宋体"/>
      <w:sz w:val="20"/>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华文细黑" w:hAnsi="华文细黑" w:eastAsia="华文细黑"/>
      <w:b/>
      <w:bCs/>
      <w:color w:val="000000"/>
      <w:sz w:val="20"/>
    </w:rPr>
  </w:style>
  <w:style w:type="paragraph" w:customStyle="1" w:styleId="222">
    <w:name w:val="正文3"/>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23">
    <w:name w:val="样式 标题 3头 + 非加宽量 / 紧缩量"/>
    <w:basedOn w:val="5"/>
    <w:qFormat/>
    <w:uiPriority w:val="0"/>
    <w:pPr>
      <w:numPr>
        <w:ilvl w:val="2"/>
        <w:numId w:val="9"/>
      </w:numPr>
      <w:tabs>
        <w:tab w:val="left" w:pos="675"/>
        <w:tab w:val="left" w:pos="2099"/>
      </w:tabs>
      <w:spacing w:before="20" w:after="0" w:line="360" w:lineRule="auto"/>
      <w:ind w:firstLine="87" w:firstLineChars="87"/>
    </w:pPr>
    <w:rPr>
      <w:rFonts w:eastAsia="黑体"/>
      <w:bCs w:val="0"/>
      <w:color w:val="000000"/>
      <w:sz w:val="28"/>
      <w:szCs w:val="20"/>
    </w:rPr>
  </w:style>
  <w:style w:type="paragraph" w:customStyle="1" w:styleId="224">
    <w:name w:val="首缩"/>
    <w:basedOn w:val="1"/>
    <w:qFormat/>
    <w:uiPriority w:val="0"/>
    <w:pPr>
      <w:adjustRightInd w:val="0"/>
      <w:spacing w:line="312" w:lineRule="atLeast"/>
      <w:ind w:firstLine="454"/>
    </w:pPr>
    <w:rPr>
      <w:sz w:val="18"/>
    </w:rPr>
  </w:style>
  <w:style w:type="paragraph" w:customStyle="1" w:styleId="225">
    <w:name w:val="xl101"/>
    <w:basedOn w:val="1"/>
    <w:qFormat/>
    <w:uiPriority w:val="0"/>
    <w:pPr>
      <w:widowControl/>
      <w:pBdr>
        <w:top w:val="single" w:color="auto" w:sz="4" w:space="0"/>
        <w:left w:val="single" w:color="auto" w:sz="4" w:space="0"/>
        <w:right w:val="single" w:color="auto" w:sz="8" w:space="0"/>
      </w:pBdr>
      <w:spacing w:before="100" w:after="100"/>
      <w:jc w:val="left"/>
      <w:textAlignment w:val="center"/>
    </w:pPr>
    <w:rPr>
      <w:sz w:val="20"/>
    </w:rPr>
  </w:style>
  <w:style w:type="paragraph" w:customStyle="1" w:styleId="226">
    <w:name w:val="xl1249"/>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22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28">
    <w:name w:val="xl1253"/>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229">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30">
    <w:name w:val="xl137"/>
    <w:basedOn w:val="1"/>
    <w:qFormat/>
    <w:uiPriority w:val="0"/>
    <w:pPr>
      <w:widowControl/>
      <w:pBdr>
        <w:top w:val="single" w:color="auto" w:sz="8" w:space="0"/>
        <w:left w:val="single" w:color="auto" w:sz="8" w:space="0"/>
        <w:right w:val="single" w:color="auto" w:sz="8" w:space="0"/>
      </w:pBdr>
      <w:spacing w:before="100" w:after="100"/>
      <w:jc w:val="left"/>
      <w:textAlignment w:val="center"/>
    </w:pPr>
    <w:rPr>
      <w:rFonts w:ascii="宋体" w:hAnsi="宋体"/>
      <w:sz w:val="20"/>
    </w:rPr>
  </w:style>
  <w:style w:type="paragraph" w:customStyle="1" w:styleId="231">
    <w:name w:val="xl132"/>
    <w:basedOn w:val="1"/>
    <w:qFormat/>
    <w:uiPriority w:val="0"/>
    <w:pPr>
      <w:widowControl/>
      <w:pBdr>
        <w:top w:val="single" w:color="auto" w:sz="8" w:space="0"/>
        <w:left w:val="single" w:color="auto" w:sz="8" w:space="0"/>
        <w:right w:val="single" w:color="auto" w:sz="8" w:space="0"/>
      </w:pBdr>
      <w:spacing w:before="100" w:after="100"/>
      <w:jc w:val="center"/>
      <w:textAlignment w:val="center"/>
    </w:pPr>
    <w:rPr>
      <w:rFonts w:ascii="宋体" w:hAnsi="宋体"/>
      <w:sz w:val="20"/>
    </w:rPr>
  </w:style>
  <w:style w:type="paragraph" w:customStyle="1" w:styleId="232">
    <w:name w:val="样式1"/>
    <w:basedOn w:val="6"/>
    <w:link w:val="233"/>
    <w:qFormat/>
    <w:uiPriority w:val="0"/>
    <w:pPr>
      <w:adjustRightInd w:val="0"/>
      <w:spacing w:before="120" w:after="0" w:line="360" w:lineRule="auto"/>
      <w:ind w:firstLine="560"/>
      <w:jc w:val="both"/>
    </w:pPr>
    <w:rPr>
      <w:rFonts w:ascii="Times New Roman" w:hAnsi="Times New Roman"/>
      <w:bCs/>
      <w:color w:val="auto"/>
      <w:spacing w:val="0"/>
      <w:kern w:val="2"/>
      <w:sz w:val="28"/>
      <w:szCs w:val="20"/>
    </w:rPr>
  </w:style>
  <w:style w:type="character" w:customStyle="1" w:styleId="233">
    <w:name w:val="样式1 Char"/>
    <w:link w:val="232"/>
    <w:qFormat/>
    <w:uiPriority w:val="0"/>
    <w:rPr>
      <w:b/>
      <w:bCs/>
      <w:kern w:val="2"/>
      <w:sz w:val="28"/>
    </w:rPr>
  </w:style>
  <w:style w:type="paragraph" w:customStyle="1" w:styleId="234">
    <w:name w:val="样式 宋体 行距: 最小值 30 磅"/>
    <w:basedOn w:val="1"/>
    <w:qFormat/>
    <w:uiPriority w:val="0"/>
    <w:pPr>
      <w:numPr>
        <w:ilvl w:val="2"/>
        <w:numId w:val="6"/>
      </w:numPr>
      <w:adjustRightInd w:val="0"/>
      <w:textAlignment w:val="baseline"/>
    </w:pPr>
    <w:rPr>
      <w:rFonts w:ascii="宋体" w:hAnsi="宋体"/>
      <w:sz w:val="24"/>
    </w:rPr>
  </w:style>
  <w:style w:type="paragraph" w:customStyle="1" w:styleId="235">
    <w:name w:val="xl108"/>
    <w:basedOn w:val="1"/>
    <w:qFormat/>
    <w:uiPriority w:val="0"/>
    <w:pPr>
      <w:widowControl/>
      <w:pBdr>
        <w:top w:val="single" w:color="auto" w:sz="4" w:space="0"/>
        <w:left w:val="single" w:color="auto" w:sz="8" w:space="0"/>
        <w:bottom w:val="single" w:color="auto" w:sz="8" w:space="0"/>
      </w:pBdr>
      <w:spacing w:before="100" w:after="100"/>
      <w:jc w:val="left"/>
      <w:textAlignment w:val="center"/>
    </w:pPr>
    <w:rPr>
      <w:rFonts w:ascii="宋体" w:hAnsi="宋体"/>
      <w:sz w:val="20"/>
    </w:rPr>
  </w:style>
  <w:style w:type="paragraph" w:customStyle="1" w:styleId="236">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sz w:val="20"/>
    </w:rPr>
  </w:style>
  <w:style w:type="paragraph" w:customStyle="1" w:styleId="237">
    <w:name w:val="xl4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color w:val="000000"/>
      <w:sz w:val="20"/>
    </w:rPr>
  </w:style>
  <w:style w:type="paragraph" w:customStyle="1" w:styleId="238">
    <w:name w:val="xl107"/>
    <w:basedOn w:val="1"/>
    <w:qFormat/>
    <w:uiPriority w:val="0"/>
    <w:pPr>
      <w:widowControl/>
      <w:pBdr>
        <w:top w:val="single" w:color="auto" w:sz="4" w:space="0"/>
        <w:left w:val="single" w:color="auto" w:sz="8" w:space="0"/>
        <w:bottom w:val="single" w:color="auto" w:sz="4" w:space="0"/>
      </w:pBdr>
      <w:spacing w:before="100" w:after="100"/>
      <w:jc w:val="left"/>
      <w:textAlignment w:val="center"/>
    </w:pPr>
    <w:rPr>
      <w:rFonts w:ascii="宋体" w:hAnsi="宋体"/>
      <w:sz w:val="20"/>
    </w:rPr>
  </w:style>
  <w:style w:type="paragraph" w:customStyle="1" w:styleId="239">
    <w:name w:val="标书标题1"/>
    <w:basedOn w:val="3"/>
    <w:qFormat/>
    <w:uiPriority w:val="0"/>
    <w:pPr>
      <w:keepLines w:val="0"/>
      <w:widowControl/>
      <w:numPr>
        <w:ilvl w:val="0"/>
        <w:numId w:val="10"/>
      </w:numPr>
      <w:tabs>
        <w:tab w:val="left" w:pos="360"/>
        <w:tab w:val="clear" w:pos="836"/>
      </w:tabs>
      <w:snapToGrid w:val="0"/>
      <w:spacing w:before="240" w:after="0" w:line="360" w:lineRule="auto"/>
      <w:jc w:val="left"/>
    </w:pPr>
    <w:rPr>
      <w:rFonts w:ascii="Arial Narrow" w:hAnsi="Arial Narrow" w:eastAsia="黑体"/>
      <w:b w:val="0"/>
      <w:bCs w:val="0"/>
      <w:spacing w:val="20"/>
      <w:kern w:val="0"/>
      <w:szCs w:val="20"/>
    </w:rPr>
  </w:style>
  <w:style w:type="paragraph" w:customStyle="1" w:styleId="240">
    <w:name w:val="样式 标题 1 + (西文) Arial (中文) 黑体 四号 非加粗 居中 段前: 20 磅 段后: 0 磅 行...1"/>
    <w:basedOn w:val="3"/>
    <w:qFormat/>
    <w:uiPriority w:val="0"/>
    <w:pPr>
      <w:adjustRightInd/>
      <w:spacing w:before="400" w:after="0" w:line="360" w:lineRule="auto"/>
    </w:pPr>
    <w:rPr>
      <w:rFonts w:ascii="Arial" w:hAnsi="Arial" w:eastAsia="黑体"/>
      <w:bCs w:val="0"/>
      <w:sz w:val="28"/>
      <w:szCs w:val="20"/>
    </w:rPr>
  </w:style>
  <w:style w:type="paragraph" w:customStyle="1" w:styleId="241">
    <w:name w:val="xl1232"/>
    <w:basedOn w:val="1"/>
    <w:qFormat/>
    <w:uiPriority w:val="0"/>
    <w:pPr>
      <w:widowControl/>
      <w:pBdr>
        <w:left w:val="single" w:color="auto" w:sz="4" w:space="0"/>
      </w:pBdr>
      <w:spacing w:before="100" w:after="100"/>
      <w:jc w:val="center"/>
      <w:textAlignment w:val="center"/>
    </w:pPr>
    <w:rPr>
      <w:rFonts w:hint="eastAsia" w:ascii="宋体" w:hAnsi="宋体"/>
      <w:sz w:val="20"/>
    </w:rPr>
  </w:style>
  <w:style w:type="paragraph" w:customStyle="1" w:styleId="242">
    <w:name w:val="xl75"/>
    <w:basedOn w:val="1"/>
    <w:qFormat/>
    <w:uiPriority w:val="0"/>
    <w:pPr>
      <w:widowControl/>
      <w:pBdr>
        <w:top w:val="single" w:color="auto" w:sz="8" w:space="0"/>
        <w:left w:val="single" w:color="auto" w:sz="4"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243">
    <w:name w:val="日期1"/>
    <w:basedOn w:val="1"/>
    <w:next w:val="1"/>
    <w:qFormat/>
    <w:uiPriority w:val="0"/>
    <w:pPr>
      <w:adjustRightInd w:val="0"/>
      <w:spacing w:line="360" w:lineRule="atLeast"/>
      <w:textAlignment w:val="baseline"/>
    </w:pPr>
    <w:rPr>
      <w:rFonts w:ascii="宋体" w:eastAsia="Wingdings"/>
      <w:sz w:val="24"/>
    </w:rPr>
  </w:style>
  <w:style w:type="paragraph" w:customStyle="1" w:styleId="244">
    <w:name w:val="xl1229"/>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245">
    <w:name w:val="xl1247"/>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246">
    <w:name w:val="d"/>
    <w:basedOn w:val="1"/>
    <w:qFormat/>
    <w:uiPriority w:val="0"/>
    <w:pPr>
      <w:adjustRightInd w:val="0"/>
      <w:snapToGrid w:val="0"/>
    </w:pPr>
    <w:rPr>
      <w:rFonts w:ascii="宋体" w:hAnsi="宋体"/>
      <w:b/>
      <w:snapToGrid w:val="0"/>
      <w:color w:val="000000"/>
    </w:rPr>
  </w:style>
  <w:style w:type="paragraph" w:customStyle="1" w:styleId="247">
    <w:name w:val="说明标题3"/>
    <w:basedOn w:val="1"/>
    <w:qFormat/>
    <w:uiPriority w:val="0"/>
    <w:pPr>
      <w:numPr>
        <w:ilvl w:val="2"/>
        <w:numId w:val="11"/>
      </w:numPr>
      <w:tabs>
        <w:tab w:val="left" w:pos="720"/>
        <w:tab w:val="clear" w:pos="2057"/>
      </w:tabs>
    </w:pPr>
    <w:rPr>
      <w:sz w:val="28"/>
    </w:rPr>
  </w:style>
  <w:style w:type="paragraph" w:customStyle="1" w:styleId="248">
    <w:name w:val="xl100"/>
    <w:basedOn w:val="1"/>
    <w:qFormat/>
    <w:uiPriority w:val="0"/>
    <w:pPr>
      <w:widowControl/>
      <w:pBdr>
        <w:top w:val="single" w:color="auto" w:sz="4" w:space="0"/>
        <w:left w:val="single" w:color="auto" w:sz="4" w:space="0"/>
        <w:right w:val="single" w:color="auto" w:sz="4" w:space="0"/>
      </w:pBdr>
      <w:spacing w:before="100" w:after="100"/>
      <w:jc w:val="left"/>
      <w:textAlignment w:val="center"/>
    </w:pPr>
    <w:rPr>
      <w:sz w:val="20"/>
    </w:rPr>
  </w:style>
  <w:style w:type="paragraph" w:customStyle="1" w:styleId="249">
    <w:name w:val="xl119"/>
    <w:basedOn w:val="1"/>
    <w:qFormat/>
    <w:uiPriority w:val="0"/>
    <w:pPr>
      <w:widowControl/>
      <w:spacing w:before="100" w:after="100"/>
      <w:jc w:val="left"/>
      <w:textAlignment w:val="center"/>
    </w:pPr>
    <w:rPr>
      <w:sz w:val="20"/>
    </w:rPr>
  </w:style>
  <w:style w:type="paragraph" w:customStyle="1" w:styleId="250">
    <w:name w:val="Char Char2 Char"/>
    <w:basedOn w:val="1"/>
    <w:qFormat/>
    <w:uiPriority w:val="0"/>
    <w:pPr>
      <w:keepNext/>
      <w:keepLines/>
      <w:pageBreakBefore/>
      <w:tabs>
        <w:tab w:val="left" w:pos="845"/>
      </w:tabs>
      <w:ind w:left="845" w:hanging="420"/>
    </w:pPr>
    <w:rPr>
      <w:rFonts w:ascii="Tahoma" w:hAnsi="Tahoma"/>
      <w:sz w:val="24"/>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5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53">
    <w:name w:val="xl56"/>
    <w:basedOn w:val="1"/>
    <w:qFormat/>
    <w:uiPriority w:val="0"/>
    <w:pPr>
      <w:widowControl/>
      <w:pBdr>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254">
    <w:name w:val="目录"/>
    <w:basedOn w:val="1"/>
    <w:qFormat/>
    <w:uiPriority w:val="0"/>
    <w:pPr>
      <w:keepNext/>
      <w:adjustRightInd w:val="0"/>
      <w:spacing w:line="360" w:lineRule="atLeast"/>
      <w:jc w:val="left"/>
      <w:textAlignment w:val="baseline"/>
    </w:pPr>
    <w:rPr>
      <w:rFonts w:ascii="À¥ÂØ·ÂËÎ" w:hAnsi="À¥ÂØ·ÂËÎ"/>
      <w:sz w:val="28"/>
    </w:rPr>
  </w:style>
  <w:style w:type="paragraph" w:customStyle="1" w:styleId="255">
    <w:name w:val="_Style 378"/>
    <w:basedOn w:val="27"/>
    <w:next w:val="66"/>
    <w:qFormat/>
    <w:uiPriority w:val="0"/>
    <w:pPr>
      <w:widowControl/>
      <w:tabs>
        <w:tab w:val="left" w:pos="2020"/>
        <w:tab w:val="center" w:pos="4535"/>
      </w:tabs>
      <w:adjustRightInd/>
    </w:pPr>
    <w:rPr>
      <w:rFonts w:ascii="Calibri" w:hAnsi="Calibri"/>
      <w:bCs/>
      <w:color w:val="000000"/>
      <w:szCs w:val="24"/>
    </w:rPr>
  </w:style>
  <w:style w:type="paragraph" w:customStyle="1" w:styleId="256">
    <w:name w:val="_Style 791"/>
    <w:basedOn w:val="1"/>
    <w:qFormat/>
    <w:uiPriority w:val="0"/>
  </w:style>
  <w:style w:type="paragraph" w:customStyle="1" w:styleId="257">
    <w:name w:val="xl77"/>
    <w:basedOn w:val="1"/>
    <w:qFormat/>
    <w:uiPriority w:val="0"/>
    <w:pPr>
      <w:widowControl/>
      <w:pBdr>
        <w:top w:val="single" w:color="auto" w:sz="4" w:space="0"/>
        <w:left w:val="single" w:color="auto" w:sz="4" w:space="0"/>
        <w:bottom w:val="single" w:color="auto" w:sz="8" w:space="0"/>
        <w:right w:val="single" w:color="auto" w:sz="4" w:space="0"/>
      </w:pBdr>
      <w:spacing w:before="100" w:after="100"/>
      <w:jc w:val="left"/>
      <w:textAlignment w:val="center"/>
    </w:pPr>
    <w:rPr>
      <w:rFonts w:ascii="宋体" w:hAnsi="宋体"/>
      <w:sz w:val="20"/>
    </w:rPr>
  </w:style>
  <w:style w:type="paragraph" w:customStyle="1" w:styleId="258">
    <w:name w:val="样式 小四 行距: 1.5 倍行距 首行缩进:  2 字符"/>
    <w:basedOn w:val="1"/>
    <w:qFormat/>
    <w:uiPriority w:val="0"/>
    <w:pPr>
      <w:ind w:firstLine="480"/>
    </w:pPr>
    <w:rPr>
      <w:rFonts w:cs="宋体"/>
      <w:sz w:val="24"/>
    </w:rPr>
  </w:style>
  <w:style w:type="paragraph" w:customStyle="1" w:styleId="259">
    <w:name w:val="样式 标题 1 + (西文) Arial (中文) 黑体 四号 非加粗 居中 段前: 20 磅 段后: 0 磅 行...2"/>
    <w:basedOn w:val="3"/>
    <w:qFormat/>
    <w:uiPriority w:val="0"/>
    <w:pPr>
      <w:adjustRightInd/>
      <w:spacing w:before="400" w:after="0" w:line="360" w:lineRule="auto"/>
    </w:pPr>
    <w:rPr>
      <w:rFonts w:ascii="Arial" w:hAnsi="Arial" w:eastAsia="黑体"/>
      <w:bCs w:val="0"/>
      <w:sz w:val="28"/>
      <w:szCs w:val="20"/>
    </w:rPr>
  </w:style>
  <w:style w:type="paragraph" w:customStyle="1" w:styleId="260">
    <w:name w:val="样式 标题 5五 +"/>
    <w:basedOn w:val="7"/>
    <w:next w:val="1"/>
    <w:qFormat/>
    <w:uiPriority w:val="0"/>
    <w:pPr>
      <w:keepNext/>
      <w:keepLines/>
      <w:widowControl w:val="0"/>
      <w:numPr>
        <w:ilvl w:val="2"/>
        <w:numId w:val="12"/>
      </w:numPr>
      <w:tabs>
        <w:tab w:val="left" w:pos="420"/>
        <w:tab w:val="clear" w:pos="1500"/>
      </w:tabs>
      <w:adjustRightInd w:val="0"/>
      <w:spacing w:before="0" w:after="0"/>
      <w:ind w:left="420"/>
      <w:jc w:val="both"/>
      <w:textAlignment w:val="baseline"/>
    </w:pPr>
    <w:rPr>
      <w:rFonts w:ascii="Times New Roman" w:eastAsia="宋体"/>
      <w:b/>
      <w:bCs/>
      <w:sz w:val="28"/>
      <w:szCs w:val="28"/>
    </w:rPr>
  </w:style>
  <w:style w:type="paragraph" w:customStyle="1" w:styleId="261">
    <w:name w:val="xl104"/>
    <w:basedOn w:val="1"/>
    <w:qFormat/>
    <w:uiPriority w:val="0"/>
    <w:pPr>
      <w:widowControl/>
      <w:pBdr>
        <w:top w:val="single" w:color="auto" w:sz="4" w:space="0"/>
        <w:left w:val="single" w:color="auto" w:sz="4" w:space="0"/>
        <w:bottom w:val="single" w:color="auto" w:sz="8" w:space="0"/>
        <w:right w:val="single" w:color="auto" w:sz="4" w:space="0"/>
      </w:pBdr>
      <w:spacing w:before="100" w:after="100"/>
      <w:jc w:val="left"/>
    </w:pPr>
    <w:rPr>
      <w:rFonts w:ascii="宋体" w:hAnsi="宋体"/>
      <w:sz w:val="24"/>
    </w:rPr>
  </w:style>
  <w:style w:type="paragraph" w:customStyle="1" w:styleId="262">
    <w:name w:val="xl53"/>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263">
    <w:name w:val="xl1264"/>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264">
    <w:name w:val="xl1245"/>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b/>
      <w:sz w:val="20"/>
    </w:rPr>
  </w:style>
  <w:style w:type="paragraph" w:customStyle="1" w:styleId="265">
    <w:name w:val="样式 样式 样式 标题 4 + 段前: 0.5 行 段后: 0.5 行 + 段前: 0.5 行 段后: 0.5 行 + 段前: ..."/>
    <w:basedOn w:val="1"/>
    <w:qFormat/>
    <w:uiPriority w:val="0"/>
    <w:pPr>
      <w:widowControl/>
      <w:numPr>
        <w:ilvl w:val="3"/>
        <w:numId w:val="13"/>
      </w:numPr>
      <w:tabs>
        <w:tab w:val="left" w:pos="1050"/>
        <w:tab w:val="clear" w:pos="1680"/>
      </w:tabs>
      <w:spacing w:before="156" w:after="156"/>
    </w:pPr>
    <w:rPr>
      <w:rFonts w:eastAsia="黑体"/>
      <w:b/>
      <w:sz w:val="28"/>
    </w:rPr>
  </w:style>
  <w:style w:type="paragraph" w:customStyle="1" w:styleId="266">
    <w:name w:val="xl65"/>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b/>
      <w:bCs/>
      <w:sz w:val="24"/>
    </w:rPr>
  </w:style>
  <w:style w:type="paragraph" w:customStyle="1" w:styleId="267">
    <w:name w:val="xl122"/>
    <w:basedOn w:val="1"/>
    <w:qFormat/>
    <w:uiPriority w:val="0"/>
    <w:pPr>
      <w:widowControl/>
      <w:pBdr>
        <w:top w:val="single" w:color="auto" w:sz="4" w:space="0"/>
        <w:right w:val="single" w:color="auto" w:sz="8" w:space="0"/>
      </w:pBdr>
      <w:spacing w:before="100" w:after="100"/>
      <w:jc w:val="left"/>
      <w:textAlignment w:val="center"/>
    </w:pPr>
    <w:rPr>
      <w:rFonts w:ascii="宋体" w:hAnsi="宋体"/>
      <w:sz w:val="20"/>
    </w:rPr>
  </w:style>
  <w:style w:type="paragraph" w:customStyle="1" w:styleId="268">
    <w:name w:val="xl1263"/>
    <w:basedOn w:val="1"/>
    <w:qFormat/>
    <w:uiPriority w:val="0"/>
    <w:pPr>
      <w:widowControl/>
      <w:pBdr>
        <w:left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269">
    <w:name w:val="Char Char Char"/>
    <w:basedOn w:val="1"/>
    <w:qFormat/>
    <w:uiPriority w:val="0"/>
    <w:rPr>
      <w:sz w:val="24"/>
    </w:rPr>
  </w:style>
  <w:style w:type="paragraph" w:customStyle="1" w:styleId="270">
    <w:name w:val="正文-宋4行25"/>
    <w:basedOn w:val="1"/>
    <w:qFormat/>
    <w:uiPriority w:val="0"/>
    <w:pPr>
      <w:adjustRightInd w:val="0"/>
      <w:snapToGrid w:val="0"/>
      <w:spacing w:line="500" w:lineRule="exact"/>
      <w:ind w:firstLine="567"/>
      <w:textAlignment w:val="baseline"/>
    </w:pPr>
    <w:rPr>
      <w:rFonts w:ascii="宋体"/>
      <w:sz w:val="27"/>
    </w:rPr>
  </w:style>
  <w:style w:type="paragraph" w:customStyle="1" w:styleId="271">
    <w:name w:val="xl1237"/>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272">
    <w:name w:val="Char Char Char Char Char Char Char"/>
    <w:basedOn w:val="1"/>
    <w:qFormat/>
    <w:uiPriority w:val="0"/>
    <w:pPr>
      <w:tabs>
        <w:tab w:val="left" w:pos="432"/>
      </w:tabs>
      <w:ind w:left="432" w:hanging="432"/>
    </w:pPr>
    <w:rPr>
      <w:rFonts w:ascii="Tahoma" w:hAnsi="Tahoma"/>
      <w:sz w:val="24"/>
    </w:rPr>
  </w:style>
  <w:style w:type="paragraph" w:customStyle="1" w:styleId="273">
    <w:name w:val="xl1231"/>
    <w:basedOn w:val="1"/>
    <w:qFormat/>
    <w:uiPriority w:val="0"/>
    <w:pPr>
      <w:widowControl/>
      <w:pBdr>
        <w:left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274">
    <w:name w:val="xl1215"/>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275">
    <w:name w:val="xl120"/>
    <w:basedOn w:val="1"/>
    <w:qFormat/>
    <w:uiPriority w:val="0"/>
    <w:pPr>
      <w:widowControl/>
      <w:spacing w:before="100" w:after="100"/>
      <w:jc w:val="left"/>
      <w:textAlignment w:val="center"/>
    </w:pPr>
    <w:rPr>
      <w:rFonts w:ascii="宋体" w:hAnsi="宋体"/>
      <w:sz w:val="20"/>
    </w:rPr>
  </w:style>
  <w:style w:type="paragraph" w:customStyle="1" w:styleId="276">
    <w:name w:val="xl66"/>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77">
    <w:name w:val="xl46"/>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hint="eastAsia" w:ascii="华文细黑" w:hAnsi="华文细黑" w:eastAsia="华文细黑"/>
      <w:b/>
      <w:bCs/>
      <w:sz w:val="20"/>
    </w:rPr>
  </w:style>
  <w:style w:type="paragraph" w:customStyle="1" w:styleId="278">
    <w:name w:val="xl99"/>
    <w:basedOn w:val="1"/>
    <w:qFormat/>
    <w:uiPriority w:val="0"/>
    <w:pPr>
      <w:widowControl/>
      <w:pBdr>
        <w:top w:val="single" w:color="auto" w:sz="4" w:space="0"/>
        <w:left w:val="single" w:color="auto" w:sz="8" w:space="0"/>
        <w:right w:val="single" w:color="auto" w:sz="8" w:space="0"/>
      </w:pBdr>
      <w:spacing w:before="100" w:after="100"/>
      <w:jc w:val="left"/>
      <w:textAlignment w:val="center"/>
    </w:pPr>
    <w:rPr>
      <w:rFonts w:ascii="宋体" w:hAnsi="宋体"/>
      <w:sz w:val="20"/>
    </w:rPr>
  </w:style>
  <w:style w:type="paragraph" w:customStyle="1" w:styleId="27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80">
    <w:name w:val="p0"/>
    <w:basedOn w:val="1"/>
    <w:link w:val="281"/>
    <w:qFormat/>
    <w:uiPriority w:val="0"/>
    <w:pPr>
      <w:widowControl/>
      <w:jc w:val="left"/>
    </w:pPr>
    <w:rPr>
      <w:szCs w:val="21"/>
    </w:rPr>
  </w:style>
  <w:style w:type="character" w:customStyle="1" w:styleId="281">
    <w:name w:val="p0 Char"/>
    <w:link w:val="280"/>
    <w:qFormat/>
    <w:uiPriority w:val="0"/>
    <w:rPr>
      <w:sz w:val="24"/>
      <w:szCs w:val="21"/>
    </w:rPr>
  </w:style>
  <w:style w:type="paragraph" w:customStyle="1" w:styleId="28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83">
    <w:name w:val="xl84"/>
    <w:basedOn w:val="1"/>
    <w:qFormat/>
    <w:uiPriority w:val="0"/>
    <w:pPr>
      <w:widowControl/>
      <w:pBdr>
        <w:top w:val="single" w:color="auto" w:sz="4" w:space="0"/>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284">
    <w:name w:val="表内文字"/>
    <w:basedOn w:val="1"/>
    <w:qFormat/>
    <w:uiPriority w:val="0"/>
    <w:pPr>
      <w:tabs>
        <w:tab w:val="left" w:pos="1418"/>
      </w:tabs>
      <w:jc w:val="center"/>
    </w:pPr>
    <w:rPr>
      <w:rFonts w:hint="eastAsia" w:ascii="仿宋_GB2312" w:eastAsia="仿宋_GB2312"/>
      <w:spacing w:val="-20"/>
      <w:sz w:val="24"/>
    </w:rPr>
  </w:style>
  <w:style w:type="paragraph" w:customStyle="1" w:styleId="285">
    <w:name w:val="默认段落字体 Para Char Char Char Char Char Char Char Char Char1 Char Char Char Char"/>
    <w:basedOn w:val="1"/>
    <w:qFormat/>
    <w:uiPriority w:val="0"/>
    <w:rPr>
      <w:rFonts w:ascii="Tahoma" w:hAnsi="Tahoma"/>
      <w:sz w:val="24"/>
    </w:rPr>
  </w:style>
  <w:style w:type="paragraph" w:customStyle="1" w:styleId="286">
    <w:name w:val="xl5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b/>
      <w:bCs/>
      <w:sz w:val="20"/>
    </w:rPr>
  </w:style>
  <w:style w:type="paragraph" w:customStyle="1" w:styleId="287">
    <w:name w:val="xl59"/>
    <w:basedOn w:val="1"/>
    <w:qFormat/>
    <w:uiPriority w:val="0"/>
    <w:pPr>
      <w:widowControl/>
      <w:pBdr>
        <w:top w:val="single" w:color="auto" w:sz="4" w:space="0"/>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88">
    <w:name w:val="xl128"/>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pPr>
    <w:rPr>
      <w:sz w:val="24"/>
    </w:rPr>
  </w:style>
  <w:style w:type="paragraph" w:customStyle="1" w:styleId="289">
    <w:name w:val="彩色列表 - 强调文字颜色 11"/>
    <w:basedOn w:val="1"/>
    <w:qFormat/>
    <w:uiPriority w:val="34"/>
    <w:pPr>
      <w:ind w:firstLine="420"/>
    </w:pPr>
    <w:rPr>
      <w:rFonts w:ascii="Calibri" w:hAnsi="Calibri" w:eastAsia="宋体"/>
      <w:szCs w:val="22"/>
    </w:rPr>
  </w:style>
  <w:style w:type="paragraph" w:customStyle="1" w:styleId="290">
    <w:name w:val="xl125"/>
    <w:basedOn w:val="1"/>
    <w:qFormat/>
    <w:uiPriority w:val="0"/>
    <w:pPr>
      <w:widowControl/>
      <w:pBdr>
        <w:top w:val="single" w:color="auto" w:sz="4" w:space="0"/>
        <w:left w:val="single" w:color="auto" w:sz="4" w:space="0"/>
        <w:bottom w:val="single" w:color="auto" w:sz="4" w:space="0"/>
        <w:right w:val="single" w:color="auto" w:sz="8" w:space="0"/>
      </w:pBdr>
      <w:spacing w:before="100" w:after="100"/>
      <w:jc w:val="left"/>
    </w:pPr>
    <w:rPr>
      <w:rFonts w:ascii="宋体" w:hAnsi="宋体"/>
      <w:sz w:val="24"/>
    </w:rPr>
  </w:style>
  <w:style w:type="paragraph" w:customStyle="1" w:styleId="291">
    <w:name w:val="F00"/>
    <w:basedOn w:val="1"/>
    <w:qFormat/>
    <w:uiPriority w:val="0"/>
    <w:pPr>
      <w:spacing w:before="50" w:line="0" w:lineRule="atLeast"/>
    </w:pPr>
    <w:rPr>
      <w:rFonts w:eastAsia="仿宋_GB2312"/>
      <w:kern w:val="21"/>
      <w:sz w:val="28"/>
    </w:rPr>
  </w:style>
  <w:style w:type="paragraph" w:customStyle="1" w:styleId="292">
    <w:name w:val="默认段落字体 Para Char"/>
    <w:basedOn w:val="1"/>
    <w:qFormat/>
    <w:uiPriority w:val="0"/>
    <w:rPr>
      <w:rFonts w:ascii="Tahoma" w:hAnsi="Tahoma"/>
      <w:sz w:val="24"/>
    </w:rPr>
  </w:style>
  <w:style w:type="paragraph" w:customStyle="1" w:styleId="293">
    <w:name w:val="xl68"/>
    <w:basedOn w:val="1"/>
    <w:qFormat/>
    <w:uiPriority w:val="0"/>
    <w:pPr>
      <w:widowControl/>
      <w:pBdr>
        <w:top w:val="single" w:color="auto" w:sz="4" w:space="0"/>
        <w:left w:val="single" w:color="auto" w:sz="4" w:space="0"/>
        <w:bottom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294">
    <w:name w:val="xl71"/>
    <w:basedOn w:val="1"/>
    <w:qFormat/>
    <w:uiPriority w:val="0"/>
    <w:pPr>
      <w:widowControl/>
      <w:pBdr>
        <w:top w:val="single" w:color="auto" w:sz="4" w:space="0"/>
        <w:left w:val="single" w:color="auto" w:sz="4" w:space="0"/>
        <w:bottom w:val="single" w:color="auto" w:sz="4" w:space="0"/>
      </w:pBdr>
      <w:spacing w:before="100" w:after="100"/>
      <w:jc w:val="left"/>
      <w:textAlignment w:val="center"/>
    </w:pPr>
    <w:rPr>
      <w:sz w:val="20"/>
    </w:rPr>
  </w:style>
  <w:style w:type="paragraph" w:customStyle="1" w:styleId="295">
    <w:name w:val="font1"/>
    <w:basedOn w:val="1"/>
    <w:qFormat/>
    <w:uiPriority w:val="0"/>
    <w:pPr>
      <w:widowControl/>
      <w:spacing w:before="100" w:beforeAutospacing="1" w:after="100" w:afterAutospacing="1"/>
      <w:jc w:val="left"/>
    </w:pPr>
    <w:rPr>
      <w:rFonts w:ascii="宋体" w:hAnsi="宋体"/>
      <w:sz w:val="24"/>
    </w:rPr>
  </w:style>
  <w:style w:type="paragraph" w:customStyle="1" w:styleId="296">
    <w:name w:val="font0"/>
    <w:basedOn w:val="1"/>
    <w:qFormat/>
    <w:uiPriority w:val="0"/>
    <w:pPr>
      <w:widowControl/>
      <w:spacing w:before="100" w:beforeAutospacing="1" w:after="100" w:afterAutospacing="1"/>
      <w:jc w:val="left"/>
    </w:pPr>
    <w:rPr>
      <w:rFonts w:hint="eastAsia" w:ascii="宋体" w:hAnsi="宋体"/>
      <w:sz w:val="24"/>
    </w:rPr>
  </w:style>
  <w:style w:type="paragraph" w:customStyle="1" w:styleId="297">
    <w:name w:val="xl91"/>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298">
    <w:name w:val="样式 标题 2 + Times New Roman 四号 非加粗 段前: 5 磅 段后: 0 磅 行距: 固定值 20..."/>
    <w:basedOn w:val="4"/>
    <w:qFormat/>
    <w:uiPriority w:val="0"/>
    <w:pPr>
      <w:tabs>
        <w:tab w:val="left" w:pos="1080"/>
      </w:tabs>
      <w:adjustRightInd/>
      <w:snapToGrid/>
      <w:spacing w:before="100" w:line="400" w:lineRule="exact"/>
    </w:pPr>
    <w:rPr>
      <w:rFonts w:ascii="Times New Roman" w:hAnsi="Times New Roman" w:eastAsia="黑体" w:cs="宋体"/>
      <w:b w:val="0"/>
      <w:snapToGrid w:val="0"/>
      <w:color w:val="auto"/>
      <w:kern w:val="44"/>
      <w:sz w:val="28"/>
    </w:rPr>
  </w:style>
  <w:style w:type="paragraph" w:customStyle="1" w:styleId="299">
    <w:name w:val="Char111"/>
    <w:basedOn w:val="1"/>
    <w:qFormat/>
    <w:uiPriority w:val="0"/>
  </w:style>
  <w:style w:type="paragraph" w:customStyle="1" w:styleId="300">
    <w:name w:val="样式 样式 标题 2节 + 四号 段前: 13 磅 段后: 13 磅 行距: 1.5 倍行距 + 段前: 0.6 行"/>
    <w:basedOn w:val="1"/>
    <w:qFormat/>
    <w:uiPriority w:val="0"/>
    <w:pPr>
      <w:keepNext/>
      <w:keepLines/>
      <w:numPr>
        <w:ilvl w:val="3"/>
        <w:numId w:val="9"/>
      </w:numPr>
      <w:tabs>
        <w:tab w:val="left" w:pos="675"/>
        <w:tab w:val="left" w:pos="2519"/>
      </w:tabs>
      <w:spacing w:before="120"/>
    </w:pPr>
    <w:rPr>
      <w:rFonts w:eastAsia="黑体"/>
      <w:b/>
      <w:sz w:val="28"/>
    </w:rPr>
  </w:style>
  <w:style w:type="paragraph" w:customStyle="1" w:styleId="301">
    <w:name w:val="样式 首行缩进:  0.77 厘米 行距: 1.5 倍行距"/>
    <w:basedOn w:val="1"/>
    <w:qFormat/>
    <w:uiPriority w:val="0"/>
    <w:pPr>
      <w:ind w:firstLine="420"/>
    </w:pPr>
    <w:rPr>
      <w:rFonts w:cs="宋体"/>
    </w:rPr>
  </w:style>
  <w:style w:type="paragraph" w:customStyle="1" w:styleId="302">
    <w:name w:val="xl88"/>
    <w:basedOn w:val="1"/>
    <w:qFormat/>
    <w:uiPriority w:val="0"/>
    <w:pPr>
      <w:widowControl/>
      <w:pBdr>
        <w:top w:val="single" w:color="auto" w:sz="4" w:space="0"/>
        <w:left w:val="single" w:color="auto" w:sz="4" w:space="0"/>
      </w:pBdr>
      <w:spacing w:before="100" w:after="100"/>
      <w:jc w:val="left"/>
      <w:textAlignment w:val="center"/>
    </w:pPr>
    <w:rPr>
      <w:rFonts w:ascii="宋体" w:hAnsi="宋体"/>
      <w:sz w:val="20"/>
    </w:rPr>
  </w:style>
  <w:style w:type="paragraph" w:customStyle="1" w:styleId="303">
    <w:name w:val="Style1"/>
    <w:basedOn w:val="1"/>
    <w:qFormat/>
    <w:uiPriority w:val="0"/>
    <w:pPr>
      <w:widowControl/>
      <w:overflowPunct w:val="0"/>
      <w:autoSpaceDE w:val="0"/>
      <w:autoSpaceDN w:val="0"/>
      <w:adjustRightInd w:val="0"/>
      <w:jc w:val="left"/>
      <w:textAlignment w:val="baseline"/>
    </w:pPr>
    <w:rPr>
      <w:rFonts w:ascii="宋体"/>
      <w:spacing w:val="6"/>
      <w:sz w:val="24"/>
    </w:rPr>
  </w:style>
  <w:style w:type="paragraph" w:customStyle="1" w:styleId="304">
    <w:name w:val="+正文 Char Char"/>
    <w:basedOn w:val="1"/>
    <w:qFormat/>
    <w:uiPriority w:val="0"/>
    <w:rPr>
      <w:sz w:val="24"/>
    </w:rPr>
  </w:style>
  <w:style w:type="paragraph" w:customStyle="1" w:styleId="305">
    <w:name w:val="Style2"/>
    <w:basedOn w:val="1"/>
    <w:qFormat/>
    <w:uiPriority w:val="0"/>
    <w:pPr>
      <w:widowControl/>
      <w:overflowPunct w:val="0"/>
      <w:autoSpaceDE w:val="0"/>
      <w:autoSpaceDN w:val="0"/>
      <w:adjustRightInd w:val="0"/>
      <w:jc w:val="left"/>
      <w:textAlignment w:val="baseline"/>
    </w:pPr>
    <w:rPr>
      <w:rFonts w:ascii="宋体"/>
      <w:spacing w:val="10"/>
      <w:sz w:val="28"/>
    </w:rPr>
  </w:style>
  <w:style w:type="paragraph" w:customStyle="1" w:styleId="306">
    <w:name w:val="图表标题"/>
    <w:basedOn w:val="1"/>
    <w:qFormat/>
    <w:uiPriority w:val="0"/>
    <w:pPr>
      <w:autoSpaceDE w:val="0"/>
      <w:autoSpaceDN w:val="0"/>
      <w:adjustRightInd w:val="0"/>
      <w:snapToGrid w:val="0"/>
      <w:spacing w:before="80" w:after="40" w:line="288" w:lineRule="auto"/>
      <w:jc w:val="center"/>
    </w:pPr>
    <w:rPr>
      <w:spacing w:val="10"/>
      <w:sz w:val="24"/>
    </w:rPr>
  </w:style>
  <w:style w:type="paragraph" w:customStyle="1" w:styleId="307">
    <w:name w:val="xl117"/>
    <w:basedOn w:val="1"/>
    <w:qFormat/>
    <w:uiPriority w:val="0"/>
    <w:pPr>
      <w:widowControl/>
      <w:pBdr>
        <w:left w:val="single" w:color="auto" w:sz="4" w:space="0"/>
      </w:pBdr>
      <w:spacing w:before="100" w:after="100"/>
      <w:jc w:val="left"/>
      <w:textAlignment w:val="center"/>
    </w:pPr>
    <w:rPr>
      <w:rFonts w:ascii="宋体" w:hAnsi="宋体"/>
      <w:sz w:val="20"/>
    </w:rPr>
  </w:style>
  <w:style w:type="paragraph" w:customStyle="1" w:styleId="308">
    <w:name w:val="xl142"/>
    <w:basedOn w:val="1"/>
    <w:qFormat/>
    <w:uiPriority w:val="0"/>
    <w:pPr>
      <w:widowControl/>
      <w:pBdr>
        <w:top w:val="single" w:color="auto" w:sz="8" w:space="0"/>
        <w:left w:val="single" w:color="auto" w:sz="8" w:space="0"/>
        <w:bottom w:val="single" w:color="auto" w:sz="4" w:space="0"/>
        <w:right w:val="single" w:color="auto" w:sz="4" w:space="0"/>
      </w:pBdr>
      <w:spacing w:before="100" w:after="100"/>
      <w:jc w:val="center"/>
    </w:pPr>
    <w:rPr>
      <w:rFonts w:ascii="宋体" w:hAnsi="宋体"/>
      <w:sz w:val="20"/>
    </w:rPr>
  </w:style>
  <w:style w:type="paragraph" w:customStyle="1" w:styleId="309">
    <w:name w:val="xl1256"/>
    <w:basedOn w:val="1"/>
    <w:qFormat/>
    <w:uiPriority w:val="0"/>
    <w:pPr>
      <w:widowControl/>
      <w:pBdr>
        <w:left w:val="single" w:color="auto" w:sz="4" w:space="0"/>
        <w:bottom w:val="single" w:color="auto" w:sz="4" w:space="0"/>
      </w:pBdr>
      <w:spacing w:before="100" w:after="100"/>
      <w:jc w:val="left"/>
      <w:textAlignment w:val="center"/>
    </w:pPr>
    <w:rPr>
      <w:rFonts w:hint="eastAsia" w:ascii="宋体" w:hAnsi="宋体"/>
      <w:sz w:val="20"/>
    </w:rPr>
  </w:style>
  <w:style w:type="paragraph" w:customStyle="1" w:styleId="31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11">
    <w:name w:val="+列表1"/>
    <w:basedOn w:val="1"/>
    <w:qFormat/>
    <w:uiPriority w:val="0"/>
    <w:pPr>
      <w:spacing w:line="460" w:lineRule="exact"/>
      <w:jc w:val="center"/>
    </w:pPr>
    <w:rPr>
      <w:spacing w:val="6"/>
    </w:rPr>
  </w:style>
  <w:style w:type="paragraph" w:customStyle="1" w:styleId="312">
    <w:name w:val="_Style 310"/>
    <w:basedOn w:val="3"/>
    <w:next w:val="1"/>
    <w:qFormat/>
    <w:uiPriority w:val="0"/>
    <w:pPr>
      <w:keepNext w:val="0"/>
      <w:keepLines w:val="0"/>
      <w:widowControl/>
      <w:adjustRightInd/>
      <w:spacing w:before="480" w:after="0" w:line="276" w:lineRule="auto"/>
      <w:jc w:val="left"/>
      <w:outlineLvl w:val="9"/>
    </w:pPr>
    <w:rPr>
      <w:rFonts w:ascii="Cambria" w:hAnsi="Cambria"/>
      <w:b w:val="0"/>
      <w:color w:val="365F91"/>
      <w:kern w:val="0"/>
      <w:sz w:val="28"/>
      <w:szCs w:val="28"/>
    </w:rPr>
  </w:style>
  <w:style w:type="paragraph" w:customStyle="1" w:styleId="313">
    <w:name w:val="+标题1"/>
    <w:basedOn w:val="3"/>
    <w:qFormat/>
    <w:uiPriority w:val="0"/>
    <w:pPr>
      <w:keepNext w:val="0"/>
      <w:keepLines w:val="0"/>
      <w:numPr>
        <w:ilvl w:val="0"/>
        <w:numId w:val="6"/>
      </w:numPr>
      <w:tabs>
        <w:tab w:val="left" w:pos="432"/>
        <w:tab w:val="clear" w:pos="714"/>
      </w:tabs>
      <w:snapToGrid w:val="0"/>
      <w:spacing w:before="0" w:after="0" w:line="360" w:lineRule="auto"/>
      <w:jc w:val="left"/>
    </w:pPr>
    <w:rPr>
      <w:rFonts w:ascii="黑体" w:hAnsi="Arial" w:eastAsia="黑体"/>
      <w:bCs w:val="0"/>
      <w:sz w:val="32"/>
      <w:szCs w:val="20"/>
    </w:rPr>
  </w:style>
  <w:style w:type="paragraph" w:customStyle="1" w:styleId="314">
    <w:name w:val="font12"/>
    <w:basedOn w:val="1"/>
    <w:qFormat/>
    <w:uiPriority w:val="0"/>
    <w:pPr>
      <w:widowControl/>
      <w:spacing w:before="100" w:after="100"/>
      <w:jc w:val="left"/>
    </w:pPr>
    <w:rPr>
      <w:rFonts w:hint="eastAsia" w:ascii="宋体" w:hAnsi="宋体"/>
      <w:b/>
      <w:sz w:val="20"/>
    </w:rPr>
  </w:style>
  <w:style w:type="paragraph" w:customStyle="1" w:styleId="315">
    <w:name w:val="xl1235"/>
    <w:basedOn w:val="1"/>
    <w:qFormat/>
    <w:uiPriority w:val="0"/>
    <w:pPr>
      <w:widowControl/>
      <w:pBdr>
        <w:top w:val="single" w:color="auto" w:sz="4" w:space="0"/>
        <w:left w:val="single" w:color="auto" w:sz="4" w:space="0"/>
      </w:pBdr>
      <w:spacing w:before="100" w:after="100"/>
      <w:jc w:val="center"/>
      <w:textAlignment w:val="center"/>
    </w:pPr>
    <w:rPr>
      <w:rFonts w:hint="eastAsia" w:ascii="宋体" w:hAnsi="宋体"/>
      <w:sz w:val="20"/>
    </w:rPr>
  </w:style>
  <w:style w:type="paragraph" w:customStyle="1" w:styleId="316">
    <w:name w:val="xl80"/>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ascii="宋体" w:hAnsi="宋体"/>
      <w:sz w:val="20"/>
    </w:rPr>
  </w:style>
  <w:style w:type="paragraph" w:customStyle="1" w:styleId="317">
    <w:name w:val="Char Char Char Char Char Char Char1"/>
    <w:basedOn w:val="1"/>
    <w:qFormat/>
    <w:uiPriority w:val="0"/>
    <w:pPr>
      <w:tabs>
        <w:tab w:val="left" w:pos="432"/>
      </w:tabs>
      <w:ind w:left="432" w:hanging="432"/>
    </w:pPr>
    <w:rPr>
      <w:rFonts w:ascii="Tahoma" w:hAnsi="Tahoma"/>
      <w:sz w:val="24"/>
    </w:rPr>
  </w:style>
  <w:style w:type="paragraph" w:customStyle="1" w:styleId="318">
    <w:name w:val="xl114"/>
    <w:basedOn w:val="1"/>
    <w:qFormat/>
    <w:uiPriority w:val="0"/>
    <w:pPr>
      <w:widowControl/>
      <w:pBdr>
        <w:top w:val="single" w:color="auto" w:sz="4" w:space="0"/>
        <w:left w:val="single" w:color="auto" w:sz="4" w:space="0"/>
        <w:right w:val="single" w:color="auto" w:sz="4" w:space="0"/>
      </w:pBdr>
      <w:spacing w:before="100" w:after="100"/>
      <w:jc w:val="left"/>
      <w:textAlignment w:val="center"/>
    </w:pPr>
    <w:rPr>
      <w:sz w:val="20"/>
    </w:rPr>
  </w:style>
  <w:style w:type="paragraph" w:customStyle="1" w:styleId="319">
    <w:name w:val="font11"/>
    <w:basedOn w:val="1"/>
    <w:qFormat/>
    <w:uiPriority w:val="0"/>
    <w:pPr>
      <w:widowControl/>
      <w:spacing w:before="100" w:after="100"/>
      <w:jc w:val="left"/>
    </w:pPr>
    <w:rPr>
      <w:rFonts w:hint="eastAsia" w:ascii="宋体" w:hAnsi="宋体"/>
      <w:sz w:val="18"/>
    </w:rPr>
  </w:style>
  <w:style w:type="paragraph" w:customStyle="1" w:styleId="320">
    <w:name w:val="xl1224"/>
    <w:basedOn w:val="1"/>
    <w:qFormat/>
    <w:uiPriority w:val="0"/>
    <w:pPr>
      <w:widowControl/>
      <w:pBdr>
        <w:top w:val="single" w:color="auto" w:sz="4" w:space="0"/>
      </w:pBdr>
      <w:spacing w:before="100" w:after="100"/>
      <w:jc w:val="center"/>
      <w:textAlignment w:val="center"/>
    </w:pPr>
    <w:rPr>
      <w:rFonts w:ascii="Arial Unicode MS" w:hAnsi="Arial Unicode MS" w:eastAsia="Arial Unicode MS"/>
      <w:sz w:val="20"/>
    </w:rPr>
  </w:style>
  <w:style w:type="paragraph" w:customStyle="1" w:styleId="321">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sz w:val="24"/>
    </w:rPr>
  </w:style>
  <w:style w:type="paragraph" w:customStyle="1" w:styleId="322">
    <w:name w:val="font10"/>
    <w:basedOn w:val="1"/>
    <w:qFormat/>
    <w:uiPriority w:val="0"/>
    <w:pPr>
      <w:widowControl/>
      <w:spacing w:before="100" w:after="100"/>
      <w:jc w:val="left"/>
    </w:pPr>
    <w:rPr>
      <w:rFonts w:hint="eastAsia" w:ascii="楷体" w:hAnsi="Arial Unicode MS" w:eastAsia="楷体"/>
      <w:color w:val="FF0000"/>
      <w:sz w:val="20"/>
    </w:rPr>
  </w:style>
  <w:style w:type="paragraph" w:customStyle="1" w:styleId="323">
    <w:name w:val="1.1.1.1"/>
    <w:basedOn w:val="1"/>
    <w:qFormat/>
    <w:uiPriority w:val="0"/>
    <w:pPr>
      <w:tabs>
        <w:tab w:val="left" w:pos="26875"/>
      </w:tabs>
      <w:autoSpaceDE w:val="0"/>
      <w:autoSpaceDN w:val="0"/>
      <w:adjustRightInd w:val="0"/>
      <w:spacing w:before="60" w:after="60" w:line="360" w:lineRule="atLeast"/>
      <w:ind w:left="1134" w:hanging="1134"/>
    </w:pPr>
    <w:rPr>
      <w:rFonts w:ascii="宋体"/>
      <w:sz w:val="24"/>
    </w:rPr>
  </w:style>
  <w:style w:type="paragraph" w:customStyle="1" w:styleId="324">
    <w:name w:val="yydosmargin"/>
    <w:basedOn w:val="1"/>
    <w:qFormat/>
    <w:uiPriority w:val="0"/>
    <w:pPr>
      <w:widowControl/>
      <w:spacing w:before="150" w:after="180"/>
      <w:ind w:left="300" w:right="300"/>
      <w:jc w:val="left"/>
    </w:pPr>
    <w:rPr>
      <w:rFonts w:ascii="宋体" w:hAnsi="宋体"/>
      <w:sz w:val="24"/>
    </w:rPr>
  </w:style>
  <w:style w:type="paragraph" w:customStyle="1" w:styleId="325">
    <w:name w:val="xl1221"/>
    <w:basedOn w:val="1"/>
    <w:qFormat/>
    <w:uiPriority w:val="0"/>
    <w:pPr>
      <w:widowControl/>
      <w:spacing w:before="100" w:after="100"/>
      <w:jc w:val="left"/>
      <w:textAlignment w:val="center"/>
    </w:pPr>
    <w:rPr>
      <w:rFonts w:hint="eastAsia" w:ascii="宋体" w:hAnsi="宋体"/>
      <w:sz w:val="20"/>
    </w:rPr>
  </w:style>
  <w:style w:type="paragraph" w:customStyle="1" w:styleId="326">
    <w:name w:val="xl4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hint="eastAsia" w:ascii="华文细黑" w:hAnsi="华文细黑" w:eastAsia="华文细黑"/>
      <w:b/>
      <w:bCs/>
      <w:sz w:val="20"/>
    </w:rPr>
  </w:style>
  <w:style w:type="paragraph" w:customStyle="1" w:styleId="327">
    <w:name w:val="xl1223"/>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sz w:val="20"/>
    </w:rPr>
  </w:style>
  <w:style w:type="paragraph" w:customStyle="1" w:styleId="328">
    <w:name w:val="xl1240"/>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329">
    <w:name w:val="xl1227"/>
    <w:basedOn w:val="1"/>
    <w:qFormat/>
    <w:uiPriority w:val="0"/>
    <w:pPr>
      <w:widowControl/>
      <w:pBdr>
        <w:top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330">
    <w:name w:val="xl1225"/>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31">
    <w:name w:val="样式 标题 1 + 段前: 0.5 行 段后: 0.5 行"/>
    <w:basedOn w:val="3"/>
    <w:qFormat/>
    <w:uiPriority w:val="0"/>
    <w:pPr>
      <w:keepLines w:val="0"/>
      <w:pageBreakBefore/>
      <w:widowControl/>
      <w:numPr>
        <w:ilvl w:val="0"/>
        <w:numId w:val="13"/>
      </w:numPr>
      <w:tabs>
        <w:tab w:val="left" w:pos="360"/>
        <w:tab w:val="clear" w:pos="420"/>
      </w:tabs>
      <w:adjustRightInd/>
      <w:spacing w:before="156" w:after="156" w:line="480" w:lineRule="auto"/>
    </w:pPr>
    <w:rPr>
      <w:rFonts w:eastAsia="黑体"/>
      <w:bCs w:val="0"/>
      <w:szCs w:val="20"/>
    </w:rPr>
  </w:style>
  <w:style w:type="paragraph" w:customStyle="1" w:styleId="332">
    <w:name w:val="样式 标题 3"/>
    <w:basedOn w:val="5"/>
    <w:qFormat/>
    <w:uiPriority w:val="0"/>
    <w:pPr>
      <w:tabs>
        <w:tab w:val="left" w:pos="1000"/>
      </w:tabs>
      <w:adjustRightInd w:val="0"/>
      <w:snapToGrid w:val="0"/>
      <w:spacing w:before="240" w:after="0" w:line="360" w:lineRule="auto"/>
      <w:ind w:firstLine="209" w:firstLineChars="87"/>
    </w:pPr>
    <w:rPr>
      <w:rFonts w:eastAsia="黑体"/>
      <w:bCs w:val="0"/>
      <w:color w:val="000000"/>
      <w:sz w:val="28"/>
      <w:szCs w:val="20"/>
    </w:rPr>
  </w:style>
  <w:style w:type="paragraph" w:customStyle="1" w:styleId="333">
    <w:name w:val="xl85"/>
    <w:basedOn w:val="1"/>
    <w:qFormat/>
    <w:uiPriority w:val="0"/>
    <w:pPr>
      <w:widowControl/>
      <w:pBdr>
        <w:top w:val="single" w:color="auto" w:sz="4" w:space="0"/>
        <w:left w:val="single" w:color="auto" w:sz="8" w:space="0"/>
        <w:right w:val="single" w:color="auto" w:sz="8" w:space="0"/>
      </w:pBdr>
      <w:spacing w:before="100" w:after="100"/>
      <w:jc w:val="left"/>
      <w:textAlignment w:val="center"/>
    </w:pPr>
    <w:rPr>
      <w:rFonts w:ascii="宋体" w:hAnsi="宋体"/>
      <w:sz w:val="20"/>
    </w:rPr>
  </w:style>
  <w:style w:type="paragraph" w:customStyle="1" w:styleId="33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3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36">
    <w:name w:val="列出段落11"/>
    <w:basedOn w:val="1"/>
    <w:qFormat/>
    <w:uiPriority w:val="34"/>
    <w:pPr>
      <w:ind w:firstLine="420"/>
    </w:pPr>
    <w:rPr>
      <w:rFonts w:ascii="Calibri" w:hAnsi="Calibri" w:eastAsia="宋体"/>
    </w:rPr>
  </w:style>
  <w:style w:type="paragraph" w:customStyle="1" w:styleId="337">
    <w:name w:val="xl1258"/>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338">
    <w:name w:val="xl27"/>
    <w:basedOn w:val="1"/>
    <w:qFormat/>
    <w:uiPriority w:val="0"/>
    <w:pPr>
      <w:widowControl/>
      <w:pBdr>
        <w:bottom w:val="single" w:color="auto" w:sz="4" w:space="0"/>
      </w:pBdr>
      <w:spacing w:before="100" w:beforeAutospacing="1" w:after="100" w:afterAutospacing="1"/>
      <w:jc w:val="center"/>
      <w:textAlignment w:val="center"/>
    </w:pPr>
    <w:rPr>
      <w:rFonts w:ascii="楷体_GB2312" w:hAnsi="宋体" w:eastAsia="楷体_GB2312"/>
      <w:sz w:val="36"/>
    </w:rPr>
  </w:style>
  <w:style w:type="paragraph" w:customStyle="1" w:styleId="339">
    <w:name w:val="xl139"/>
    <w:basedOn w:val="1"/>
    <w:qFormat/>
    <w:uiPriority w:val="0"/>
    <w:pPr>
      <w:widowControl/>
      <w:pBdr>
        <w:top w:val="single" w:color="auto" w:sz="4" w:space="0"/>
        <w:left w:val="single" w:color="auto" w:sz="8" w:space="0"/>
        <w:bottom w:val="single" w:color="auto" w:sz="4" w:space="0"/>
        <w:right w:val="single" w:color="auto" w:sz="4" w:space="0"/>
      </w:pBdr>
      <w:spacing w:before="100" w:after="100"/>
      <w:jc w:val="center"/>
    </w:pPr>
    <w:rPr>
      <w:rFonts w:ascii="宋体" w:hAnsi="宋体"/>
      <w:sz w:val="20"/>
    </w:rPr>
  </w:style>
  <w:style w:type="paragraph" w:customStyle="1" w:styleId="340">
    <w:name w:val="xl1267"/>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341">
    <w:name w:val="正文－恩普"/>
    <w:basedOn w:val="9"/>
    <w:qFormat/>
    <w:uiPriority w:val="0"/>
    <w:pPr>
      <w:widowControl/>
      <w:spacing w:after="156" w:afterLines="50" w:line="360" w:lineRule="auto"/>
      <w:ind w:firstLine="480"/>
      <w:jc w:val="left"/>
    </w:pPr>
    <w:rPr>
      <w:spacing w:val="0"/>
      <w:kern w:val="0"/>
    </w:rPr>
  </w:style>
  <w:style w:type="paragraph" w:customStyle="1" w:styleId="342">
    <w:name w:val="xl1233"/>
    <w:basedOn w:val="1"/>
    <w:qFormat/>
    <w:uiPriority w:val="0"/>
    <w:pPr>
      <w:widowControl/>
      <w:pBdr>
        <w:right w:val="single" w:color="auto" w:sz="4" w:space="0"/>
      </w:pBdr>
      <w:spacing w:before="100" w:after="100"/>
      <w:jc w:val="center"/>
      <w:textAlignment w:val="center"/>
    </w:pPr>
    <w:rPr>
      <w:rFonts w:ascii="Arial Unicode MS" w:hAnsi="Arial Unicode MS" w:eastAsia="Arial Unicode MS"/>
      <w:sz w:val="20"/>
    </w:rPr>
  </w:style>
  <w:style w:type="paragraph" w:customStyle="1" w:styleId="343">
    <w:name w:val="xl1234"/>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344">
    <w:name w:val="默认段落字体 Para Char Char Char Char Char Char Char"/>
    <w:basedOn w:val="1"/>
    <w:qFormat/>
    <w:uiPriority w:val="0"/>
  </w:style>
  <w:style w:type="paragraph" w:customStyle="1" w:styleId="345">
    <w:name w:val="xl1230"/>
    <w:basedOn w:val="1"/>
    <w:qFormat/>
    <w:uiPriority w:val="0"/>
    <w:pPr>
      <w:widowControl/>
      <w:spacing w:before="100" w:after="100"/>
      <w:jc w:val="center"/>
      <w:textAlignment w:val="center"/>
    </w:pPr>
    <w:rPr>
      <w:rFonts w:ascii="Arial Unicode MS" w:hAnsi="Arial Unicode MS" w:eastAsia="Arial Unicode MS"/>
      <w:sz w:val="20"/>
    </w:rPr>
  </w:style>
  <w:style w:type="paragraph" w:customStyle="1" w:styleId="346">
    <w:name w:val="xl102"/>
    <w:basedOn w:val="1"/>
    <w:qFormat/>
    <w:uiPriority w:val="0"/>
    <w:pPr>
      <w:widowControl/>
      <w:pBdr>
        <w:left w:val="single" w:color="auto" w:sz="8" w:space="0"/>
        <w:right w:val="single" w:color="auto" w:sz="4" w:space="0"/>
      </w:pBdr>
      <w:spacing w:before="100" w:after="100"/>
      <w:jc w:val="left"/>
      <w:textAlignment w:val="center"/>
    </w:pPr>
    <w:rPr>
      <w:rFonts w:ascii="宋体" w:hAnsi="宋体"/>
      <w:sz w:val="20"/>
    </w:rPr>
  </w:style>
  <w:style w:type="paragraph" w:customStyle="1" w:styleId="347">
    <w:name w:val="Plain Text1"/>
    <w:basedOn w:val="1"/>
    <w:qFormat/>
    <w:uiPriority w:val="0"/>
    <w:pPr>
      <w:widowControl/>
      <w:jc w:val="left"/>
    </w:pPr>
    <w:rPr>
      <w:rFonts w:hint="eastAsia" w:ascii="宋体" w:hAnsi="Courier New"/>
    </w:rPr>
  </w:style>
  <w:style w:type="paragraph" w:customStyle="1" w:styleId="348">
    <w:name w:val="样式10"/>
    <w:basedOn w:val="1"/>
    <w:qFormat/>
    <w:uiPriority w:val="0"/>
    <w:pPr>
      <w:spacing w:line="480" w:lineRule="exact"/>
      <w:jc w:val="left"/>
    </w:pPr>
    <w:rPr>
      <w:b/>
      <w:spacing w:val="6"/>
      <w:sz w:val="24"/>
    </w:rPr>
  </w:style>
  <w:style w:type="paragraph" w:customStyle="1" w:styleId="349">
    <w:name w:val="xl47"/>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350">
    <w:name w:val="xl12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hint="eastAsia" w:ascii="宋体" w:hAnsi="宋体"/>
      <w:b/>
      <w:sz w:val="24"/>
    </w:rPr>
  </w:style>
  <w:style w:type="paragraph" w:customStyle="1" w:styleId="351">
    <w:name w:val="Char1"/>
    <w:basedOn w:val="1"/>
    <w:qFormat/>
    <w:uiPriority w:val="0"/>
    <w:pPr>
      <w:widowControl/>
      <w:jc w:val="left"/>
    </w:pPr>
    <w:rPr>
      <w:rFonts w:ascii="Tahoma" w:hAnsi="Tahoma" w:cs="宋体"/>
      <w:sz w:val="24"/>
    </w:rPr>
  </w:style>
  <w:style w:type="paragraph" w:customStyle="1" w:styleId="352">
    <w:name w:val="Char Char Char Char Char Char Char Char Char Char Char Char Char Char Char Char"/>
    <w:basedOn w:val="1"/>
    <w:qFormat/>
    <w:uiPriority w:val="0"/>
    <w:pPr>
      <w:tabs>
        <w:tab w:val="left" w:pos="885"/>
      </w:tabs>
      <w:ind w:left="885" w:hanging="360"/>
    </w:pPr>
    <w:rPr>
      <w:sz w:val="24"/>
    </w:rPr>
  </w:style>
  <w:style w:type="paragraph" w:customStyle="1" w:styleId="353">
    <w:name w:val="xl118"/>
    <w:basedOn w:val="1"/>
    <w:qFormat/>
    <w:uiPriority w:val="0"/>
    <w:pPr>
      <w:widowControl/>
      <w:spacing w:before="100" w:after="100"/>
      <w:jc w:val="left"/>
      <w:textAlignment w:val="center"/>
    </w:pPr>
    <w:rPr>
      <w:rFonts w:ascii="宋体" w:hAnsi="宋体"/>
      <w:sz w:val="20"/>
    </w:rPr>
  </w:style>
  <w:style w:type="paragraph" w:customStyle="1" w:styleId="354">
    <w:name w:val="xl1244"/>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b/>
      <w:sz w:val="20"/>
    </w:rPr>
  </w:style>
  <w:style w:type="paragraph" w:customStyle="1" w:styleId="355">
    <w:name w:val="xl1255"/>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56">
    <w:name w:val="xl74"/>
    <w:basedOn w:val="1"/>
    <w:qFormat/>
    <w:uiPriority w:val="0"/>
    <w:pPr>
      <w:widowControl/>
      <w:pBdr>
        <w:top w:val="single" w:color="auto" w:sz="8" w:space="0"/>
        <w:left w:val="single" w:color="auto" w:sz="4" w:space="0"/>
        <w:bottom w:val="single" w:color="auto" w:sz="4" w:space="0"/>
        <w:right w:val="single" w:color="auto" w:sz="4" w:space="0"/>
      </w:pBdr>
      <w:spacing w:before="100" w:after="100"/>
      <w:jc w:val="right"/>
      <w:textAlignment w:val="center"/>
    </w:pPr>
    <w:rPr>
      <w:rFonts w:ascii="宋体" w:hAnsi="宋体"/>
      <w:sz w:val="20"/>
    </w:rPr>
  </w:style>
  <w:style w:type="paragraph" w:customStyle="1" w:styleId="35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58">
    <w:name w:val="F07"/>
    <w:qFormat/>
    <w:uiPriority w:val="0"/>
    <w:pPr>
      <w:widowControl w:val="0"/>
      <w:spacing w:line="0" w:lineRule="atLeast"/>
      <w:jc w:val="both"/>
    </w:pPr>
    <w:rPr>
      <w:rFonts w:ascii="宋体" w:hAnsi="宋体" w:eastAsia="宋体" w:cs="Times New Roman"/>
      <w:kern w:val="28"/>
      <w:sz w:val="28"/>
      <w:lang w:val="en-US" w:eastAsia="zh-CN" w:bidi="ar-SA"/>
    </w:rPr>
  </w:style>
  <w:style w:type="paragraph" w:styleId="359">
    <w:name w:val="List Paragraph"/>
    <w:basedOn w:val="1"/>
    <w:qFormat/>
    <w:uiPriority w:val="34"/>
    <w:pPr>
      <w:ind w:firstLine="420"/>
    </w:pPr>
    <w:rPr>
      <w:rFonts w:ascii="Calibri" w:hAnsi="Calibri"/>
    </w:rPr>
  </w:style>
  <w:style w:type="paragraph" w:customStyle="1" w:styleId="360">
    <w:name w:val="zmargin"/>
    <w:basedOn w:val="1"/>
    <w:qFormat/>
    <w:uiPriority w:val="0"/>
    <w:pPr>
      <w:widowControl/>
      <w:spacing w:before="150"/>
      <w:ind w:left="240" w:right="240"/>
      <w:jc w:val="left"/>
    </w:pPr>
    <w:rPr>
      <w:rFonts w:ascii="宋体" w:hAnsi="宋体"/>
      <w:sz w:val="24"/>
    </w:rPr>
  </w:style>
  <w:style w:type="paragraph" w:customStyle="1" w:styleId="361">
    <w:name w:val="xl58"/>
    <w:basedOn w:val="1"/>
    <w:qFormat/>
    <w:uiPriority w:val="0"/>
    <w:pPr>
      <w:widowControl/>
      <w:pBdr>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362">
    <w:name w:val="Char Char Char Char Char Char Char Char Char Char"/>
    <w:basedOn w:val="1"/>
    <w:qFormat/>
    <w:uiPriority w:val="0"/>
    <w:rPr>
      <w:rFonts w:ascii="宋体" w:hAnsi="宋体" w:cs="宋体"/>
      <w:sz w:val="24"/>
    </w:rPr>
  </w:style>
  <w:style w:type="paragraph" w:customStyle="1" w:styleId="363">
    <w:name w:val="xl70"/>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364">
    <w:name w:val="xl124"/>
    <w:basedOn w:val="1"/>
    <w:qFormat/>
    <w:uiPriority w:val="0"/>
    <w:pPr>
      <w:widowControl/>
      <w:pBdr>
        <w:top w:val="single" w:color="auto" w:sz="4" w:space="0"/>
        <w:left w:val="single" w:color="auto" w:sz="8" w:space="0"/>
        <w:bottom w:val="single" w:color="auto" w:sz="4" w:space="0"/>
        <w:right w:val="single" w:color="auto" w:sz="8" w:space="0"/>
      </w:pBdr>
      <w:spacing w:before="100" w:after="100"/>
      <w:jc w:val="left"/>
    </w:pPr>
    <w:rPr>
      <w:rFonts w:ascii="宋体" w:hAnsi="宋体"/>
      <w:sz w:val="24"/>
    </w:rPr>
  </w:style>
  <w:style w:type="paragraph" w:customStyle="1" w:styleId="3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rPr>
  </w:style>
  <w:style w:type="paragraph" w:customStyle="1" w:styleId="366">
    <w:name w:val="节"/>
    <w:basedOn w:val="4"/>
    <w:qFormat/>
    <w:uiPriority w:val="0"/>
    <w:pPr>
      <w:adjustRightInd/>
      <w:spacing w:before="160" w:after="160" w:line="720" w:lineRule="exact"/>
    </w:pPr>
    <w:rPr>
      <w:b w:val="0"/>
      <w:bCs/>
      <w:spacing w:val="14"/>
      <w:kern w:val="24"/>
    </w:rPr>
  </w:style>
  <w:style w:type="paragraph" w:customStyle="1" w:styleId="367">
    <w:name w:val="+标题2"/>
    <w:basedOn w:val="4"/>
    <w:qFormat/>
    <w:uiPriority w:val="0"/>
    <w:pPr>
      <w:keepNext w:val="0"/>
      <w:keepLines w:val="0"/>
      <w:adjustRightInd/>
      <w:snapToGrid/>
      <w:spacing w:line="240" w:lineRule="auto"/>
    </w:pPr>
    <w:rPr>
      <w:rFonts w:ascii="Arial" w:eastAsia="黑体"/>
      <w:color w:val="auto"/>
      <w:spacing w:val="2"/>
      <w:kern w:val="11"/>
      <w:sz w:val="21"/>
    </w:rPr>
  </w:style>
  <w:style w:type="paragraph" w:customStyle="1" w:styleId="368">
    <w:name w:val="标书标题4"/>
    <w:basedOn w:val="6"/>
    <w:qFormat/>
    <w:uiPriority w:val="0"/>
    <w:pPr>
      <w:adjustRightInd w:val="0"/>
      <w:snapToGrid w:val="0"/>
      <w:spacing w:before="0" w:after="0" w:line="300" w:lineRule="auto"/>
      <w:jc w:val="both"/>
    </w:pPr>
    <w:rPr>
      <w:rFonts w:ascii="Arial Narrow" w:hAnsi="Arial Narrow" w:eastAsia="仿宋_GB2312"/>
      <w:spacing w:val="0"/>
      <w:kern w:val="0"/>
      <w:sz w:val="28"/>
    </w:rPr>
  </w:style>
  <w:style w:type="paragraph" w:customStyle="1" w:styleId="369">
    <w:name w:val="xl112"/>
    <w:basedOn w:val="1"/>
    <w:qFormat/>
    <w:uiPriority w:val="0"/>
    <w:pPr>
      <w:widowControl/>
      <w:pBdr>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370">
    <w:name w:val="xl1236"/>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71">
    <w:name w:val="样式5"/>
    <w:basedOn w:val="6"/>
    <w:qFormat/>
    <w:uiPriority w:val="0"/>
    <w:pPr>
      <w:spacing w:before="280" w:after="290" w:line="372" w:lineRule="auto"/>
      <w:jc w:val="center"/>
    </w:pPr>
    <w:rPr>
      <w:bCs/>
      <w:color w:val="auto"/>
      <w:spacing w:val="0"/>
      <w:kern w:val="2"/>
      <w:sz w:val="32"/>
    </w:rPr>
  </w:style>
  <w:style w:type="paragraph" w:customStyle="1" w:styleId="372">
    <w:name w:val="yyn3"/>
    <w:basedOn w:val="209"/>
    <w:qFormat/>
    <w:uiPriority w:val="0"/>
    <w:pPr>
      <w:keepLines/>
      <w:spacing w:before="156" w:line="240" w:lineRule="auto"/>
      <w:ind w:left="-48"/>
      <w:jc w:val="both"/>
    </w:pPr>
    <w:rPr>
      <w:rFonts w:ascii="宋体" w:hAnsi="宋体" w:eastAsia="宋体"/>
      <w:sz w:val="24"/>
    </w:rPr>
  </w:style>
  <w:style w:type="paragraph" w:customStyle="1" w:styleId="373">
    <w:name w:val="xl1252"/>
    <w:basedOn w:val="1"/>
    <w:qFormat/>
    <w:uiPriority w:val="0"/>
    <w:pPr>
      <w:widowControl/>
      <w:pBdr>
        <w:left w:val="single" w:color="auto" w:sz="4" w:space="0"/>
        <w:bottom w:val="single" w:color="auto" w:sz="4" w:space="0"/>
      </w:pBdr>
      <w:spacing w:before="100" w:after="100"/>
      <w:jc w:val="left"/>
      <w:textAlignment w:val="center"/>
    </w:pPr>
    <w:rPr>
      <w:rFonts w:ascii="Arial Unicode MS" w:hAnsi="Arial Unicode MS" w:eastAsia="Arial Unicode MS"/>
      <w:b/>
      <w:sz w:val="20"/>
    </w:rPr>
  </w:style>
  <w:style w:type="paragraph" w:customStyle="1" w:styleId="374">
    <w:name w:val="xl121"/>
    <w:basedOn w:val="1"/>
    <w:qFormat/>
    <w:uiPriority w:val="0"/>
    <w:pPr>
      <w:widowControl/>
      <w:pBdr>
        <w:top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375">
    <w:name w:val="样式4"/>
    <w:basedOn w:val="1"/>
    <w:qFormat/>
    <w:uiPriority w:val="0"/>
    <w:pPr>
      <w:tabs>
        <w:tab w:val="left" w:pos="420"/>
        <w:tab w:val="left" w:pos="900"/>
      </w:tabs>
      <w:ind w:left="420" w:hanging="420"/>
    </w:pPr>
    <w:rPr>
      <w:sz w:val="24"/>
    </w:rPr>
  </w:style>
  <w:style w:type="paragraph" w:customStyle="1" w:styleId="376">
    <w:name w:val="+正文 Char"/>
    <w:basedOn w:val="1"/>
    <w:qFormat/>
    <w:uiPriority w:val="0"/>
    <w:rPr>
      <w:sz w:val="24"/>
      <w:szCs w:val="28"/>
    </w:rPr>
  </w:style>
  <w:style w:type="paragraph" w:customStyle="1" w:styleId="377">
    <w:name w:val="注"/>
    <w:basedOn w:val="1"/>
    <w:qFormat/>
    <w:uiPriority w:val="0"/>
    <w:pPr>
      <w:adjustRightInd w:val="0"/>
      <w:spacing w:line="360" w:lineRule="atLeast"/>
      <w:ind w:left="840" w:hanging="420"/>
      <w:textAlignment w:val="baseline"/>
    </w:pPr>
  </w:style>
  <w:style w:type="paragraph" w:customStyle="1" w:styleId="378">
    <w:name w:val="Char2"/>
    <w:basedOn w:val="1"/>
    <w:qFormat/>
    <w:uiPriority w:val="0"/>
    <w:rPr>
      <w:rFonts w:ascii="仿宋_GB2312" w:eastAsia="仿宋_GB2312"/>
      <w:b/>
      <w:sz w:val="32"/>
      <w:szCs w:val="32"/>
    </w:rPr>
  </w:style>
  <w:style w:type="paragraph" w:customStyle="1" w:styleId="379">
    <w:name w:val="xl115"/>
    <w:basedOn w:val="1"/>
    <w:qFormat/>
    <w:uiPriority w:val="0"/>
    <w:pPr>
      <w:widowControl/>
      <w:pBdr>
        <w:top w:val="single" w:color="auto" w:sz="4" w:space="0"/>
        <w:left w:val="single" w:color="auto" w:sz="4" w:space="0"/>
        <w:right w:val="single" w:color="auto" w:sz="8" w:space="0"/>
      </w:pBdr>
      <w:spacing w:before="100" w:after="100"/>
      <w:jc w:val="left"/>
      <w:textAlignment w:val="center"/>
    </w:pPr>
    <w:rPr>
      <w:sz w:val="20"/>
    </w:rPr>
  </w:style>
  <w:style w:type="paragraph" w:customStyle="1" w:styleId="380">
    <w:name w:val="正文文本 21"/>
    <w:basedOn w:val="1"/>
    <w:qFormat/>
    <w:uiPriority w:val="0"/>
    <w:pPr>
      <w:adjustRightInd w:val="0"/>
      <w:spacing w:line="300" w:lineRule="auto"/>
      <w:jc w:val="center"/>
    </w:pPr>
    <w:rPr>
      <w:rFonts w:hint="eastAsia" w:ascii="宋体" w:hAnsi="宋体"/>
      <w:sz w:val="24"/>
    </w:rPr>
  </w:style>
  <w:style w:type="paragraph" w:customStyle="1" w:styleId="381">
    <w:name w:val="xl81"/>
    <w:basedOn w:val="1"/>
    <w:qFormat/>
    <w:uiPriority w:val="0"/>
    <w:pPr>
      <w:widowControl/>
      <w:pBdr>
        <w:top w:val="single" w:color="auto" w:sz="4" w:space="0"/>
        <w:left w:val="single" w:color="auto" w:sz="4" w:space="0"/>
        <w:bottom w:val="single" w:color="auto" w:sz="8" w:space="0"/>
      </w:pBdr>
      <w:spacing w:before="100" w:after="100"/>
      <w:jc w:val="left"/>
      <w:textAlignment w:val="center"/>
    </w:pPr>
    <w:rPr>
      <w:rFonts w:ascii="宋体" w:hAnsi="宋体"/>
      <w:sz w:val="20"/>
    </w:rPr>
  </w:style>
  <w:style w:type="paragraph" w:customStyle="1" w:styleId="382">
    <w:name w:val="PP 行"/>
    <w:basedOn w:val="46"/>
    <w:qFormat/>
    <w:uiPriority w:val="0"/>
  </w:style>
  <w:style w:type="paragraph" w:customStyle="1" w:styleId="383">
    <w:name w:val="xl1251"/>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b/>
      <w:sz w:val="20"/>
    </w:rPr>
  </w:style>
  <w:style w:type="paragraph" w:customStyle="1" w:styleId="384">
    <w:name w:val="xl1226"/>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385">
    <w:name w:val="xl93"/>
    <w:basedOn w:val="1"/>
    <w:qFormat/>
    <w:uiPriority w:val="0"/>
    <w:pPr>
      <w:widowControl/>
      <w:pBdr>
        <w:top w:val="single" w:color="auto" w:sz="4" w:space="0"/>
        <w:bottom w:val="single" w:color="auto" w:sz="4" w:space="0"/>
        <w:right w:val="single" w:color="auto" w:sz="4" w:space="0"/>
      </w:pBdr>
      <w:spacing w:before="100" w:after="100"/>
      <w:jc w:val="left"/>
      <w:textAlignment w:val="center"/>
    </w:pPr>
    <w:rPr>
      <w:sz w:val="20"/>
    </w:rPr>
  </w:style>
  <w:style w:type="paragraph" w:customStyle="1" w:styleId="386">
    <w:name w:val="Biao01"/>
    <w:qFormat/>
    <w:uiPriority w:val="0"/>
    <w:pPr>
      <w:widowControl w:val="0"/>
      <w:numPr>
        <w:ilvl w:val="0"/>
        <w:numId w:val="1"/>
      </w:numPr>
      <w:tabs>
        <w:tab w:val="left" w:pos="420"/>
        <w:tab w:val="clear" w:pos="432"/>
      </w:tabs>
      <w:adjustRightInd w:val="0"/>
      <w:snapToGrid w:val="0"/>
      <w:spacing w:line="360" w:lineRule="auto"/>
      <w:jc w:val="both"/>
    </w:pPr>
    <w:rPr>
      <w:rFonts w:ascii="Times New Roman" w:hAnsi="Times New Roman" w:eastAsia="宋体" w:cs="Times New Roman"/>
      <w:kern w:val="2"/>
      <w:sz w:val="21"/>
      <w:lang w:val="en-US" w:eastAsia="zh-CN" w:bidi="ar-SA"/>
    </w:rPr>
  </w:style>
  <w:style w:type="paragraph" w:customStyle="1" w:styleId="387">
    <w:name w:val="xl98"/>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388">
    <w:name w:val="xl55"/>
    <w:basedOn w:val="1"/>
    <w:qFormat/>
    <w:uiPriority w:val="0"/>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3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90">
    <w:name w:val="内文正文"/>
    <w:basedOn w:val="1"/>
    <w:qFormat/>
    <w:uiPriority w:val="0"/>
    <w:pPr>
      <w:adjustRightInd w:val="0"/>
      <w:snapToGrid w:val="0"/>
      <w:spacing w:line="400" w:lineRule="atLeast"/>
      <w:ind w:firstLine="420"/>
    </w:pPr>
    <w:rPr>
      <w:rFonts w:ascii="宋体"/>
    </w:rPr>
  </w:style>
  <w:style w:type="paragraph" w:customStyle="1" w:styleId="391">
    <w:name w:val="xl50"/>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b/>
      <w:bCs/>
      <w:sz w:val="20"/>
    </w:rPr>
  </w:style>
  <w:style w:type="paragraph" w:customStyle="1" w:styleId="392">
    <w:name w:val="表"/>
    <w:basedOn w:val="1"/>
    <w:qFormat/>
    <w:uiPriority w:val="0"/>
    <w:pPr>
      <w:jc w:val="center"/>
    </w:pPr>
    <w:rPr>
      <w:sz w:val="24"/>
    </w:rPr>
  </w:style>
  <w:style w:type="paragraph" w:customStyle="1" w:styleId="393">
    <w:name w:val="Bullets"/>
    <w:basedOn w:val="1"/>
    <w:qFormat/>
    <w:uiPriority w:val="0"/>
    <w:pPr>
      <w:widowControl/>
    </w:pPr>
    <w:rPr>
      <w:rFonts w:ascii="Arial" w:hAnsi="Arial" w:eastAsia="MS Mincho"/>
      <w:sz w:val="24"/>
      <w:lang w:eastAsia="de-DE"/>
    </w:rPr>
  </w:style>
  <w:style w:type="paragraph" w:customStyle="1" w:styleId="394">
    <w:name w:val="xl83"/>
    <w:basedOn w:val="1"/>
    <w:qFormat/>
    <w:uiPriority w:val="0"/>
    <w:pPr>
      <w:widowControl/>
      <w:pBdr>
        <w:top w:val="single" w:color="auto" w:sz="4" w:space="0"/>
        <w:left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395">
    <w:name w:val="xl44"/>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hint="eastAsia" w:ascii="华文细黑" w:hAnsi="华文细黑" w:eastAsia="华文细黑"/>
      <w:b/>
      <w:bCs/>
      <w:sz w:val="20"/>
    </w:rPr>
  </w:style>
  <w:style w:type="paragraph" w:customStyle="1" w:styleId="396">
    <w:name w:val="font5"/>
    <w:basedOn w:val="1"/>
    <w:qFormat/>
    <w:uiPriority w:val="0"/>
    <w:pPr>
      <w:widowControl/>
      <w:spacing w:before="100" w:beforeAutospacing="1" w:after="100" w:afterAutospacing="1"/>
      <w:jc w:val="left"/>
    </w:pPr>
    <w:rPr>
      <w:rFonts w:ascii="宋体" w:hAnsi="宋体"/>
      <w:sz w:val="18"/>
    </w:rPr>
  </w:style>
  <w:style w:type="paragraph" w:customStyle="1" w:styleId="397">
    <w:name w:val="Char Char Char Char"/>
    <w:basedOn w:val="1"/>
    <w:qFormat/>
    <w:uiPriority w:val="0"/>
    <w:pPr>
      <w:widowControl/>
      <w:spacing w:after="160" w:line="240" w:lineRule="exact"/>
      <w:jc w:val="left"/>
    </w:pPr>
  </w:style>
  <w:style w:type="paragraph" w:customStyle="1" w:styleId="398">
    <w:name w:val="列出段落1"/>
    <w:basedOn w:val="1"/>
    <w:qFormat/>
    <w:uiPriority w:val="0"/>
    <w:pPr>
      <w:ind w:firstLine="420"/>
    </w:pPr>
    <w:rPr>
      <w:szCs w:val="24"/>
    </w:rPr>
  </w:style>
  <w:style w:type="paragraph" w:customStyle="1" w:styleId="399">
    <w:name w:val="xl106"/>
    <w:basedOn w:val="1"/>
    <w:qFormat/>
    <w:uiPriority w:val="0"/>
    <w:pPr>
      <w:widowControl/>
      <w:pBdr>
        <w:top w:val="single" w:color="auto" w:sz="8" w:space="0"/>
        <w:left w:val="single" w:color="auto" w:sz="8" w:space="0"/>
        <w:bottom w:val="single" w:color="auto" w:sz="4" w:space="0"/>
      </w:pBdr>
      <w:spacing w:before="100" w:after="100"/>
      <w:jc w:val="left"/>
      <w:textAlignment w:val="center"/>
    </w:pPr>
    <w:rPr>
      <w:rFonts w:ascii="宋体" w:hAnsi="宋体"/>
      <w:sz w:val="20"/>
    </w:rPr>
  </w:style>
  <w:style w:type="paragraph" w:customStyle="1" w:styleId="400">
    <w:name w:val="xl143"/>
    <w:basedOn w:val="1"/>
    <w:qFormat/>
    <w:uiPriority w:val="0"/>
    <w:pPr>
      <w:widowControl/>
      <w:pBdr>
        <w:top w:val="single" w:color="auto" w:sz="8" w:space="0"/>
        <w:left w:val="single" w:color="auto" w:sz="4" w:space="0"/>
        <w:bottom w:val="single" w:color="auto" w:sz="4" w:space="0"/>
        <w:right w:val="single" w:color="auto" w:sz="4" w:space="0"/>
      </w:pBdr>
      <w:spacing w:before="100" w:after="100"/>
      <w:jc w:val="center"/>
    </w:pPr>
    <w:rPr>
      <w:rFonts w:ascii="宋体" w:hAnsi="宋体"/>
      <w:sz w:val="20"/>
    </w:rPr>
  </w:style>
  <w:style w:type="paragraph" w:customStyle="1" w:styleId="401">
    <w:name w:val="xl105"/>
    <w:basedOn w:val="1"/>
    <w:qFormat/>
    <w:uiPriority w:val="0"/>
    <w:pPr>
      <w:widowControl/>
      <w:pBdr>
        <w:top w:val="single" w:color="auto" w:sz="4" w:space="0"/>
        <w:left w:val="single" w:color="auto" w:sz="4" w:space="0"/>
        <w:bottom w:val="single" w:color="auto" w:sz="8" w:space="0"/>
        <w:right w:val="single" w:color="auto" w:sz="8" w:space="0"/>
      </w:pBdr>
      <w:spacing w:before="100" w:after="100"/>
      <w:jc w:val="left"/>
    </w:pPr>
    <w:rPr>
      <w:rFonts w:ascii="宋体" w:hAnsi="宋体"/>
      <w:sz w:val="24"/>
    </w:rPr>
  </w:style>
  <w:style w:type="paragraph" w:customStyle="1" w:styleId="402">
    <w:name w:val="xl1218"/>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03">
    <w:name w:val="+标题4"/>
    <w:basedOn w:val="6"/>
    <w:qFormat/>
    <w:uiPriority w:val="0"/>
    <w:pPr>
      <w:numPr>
        <w:ilvl w:val="3"/>
        <w:numId w:val="6"/>
      </w:numPr>
      <w:tabs>
        <w:tab w:val="left" w:pos="960"/>
        <w:tab w:val="clear" w:pos="2034"/>
      </w:tabs>
      <w:adjustRightInd w:val="0"/>
      <w:snapToGrid w:val="0"/>
      <w:spacing w:before="0" w:after="0" w:line="360" w:lineRule="auto"/>
    </w:pPr>
    <w:rPr>
      <w:rFonts w:ascii="黑体" w:hAnsi="Times New Roman" w:eastAsia="黑体"/>
      <w:color w:val="auto"/>
      <w:spacing w:val="0"/>
      <w:kern w:val="0"/>
      <w:szCs w:val="20"/>
    </w:rPr>
  </w:style>
  <w:style w:type="paragraph" w:customStyle="1" w:styleId="404">
    <w:name w:val="xl64"/>
    <w:basedOn w:val="1"/>
    <w:qFormat/>
    <w:uiPriority w:val="0"/>
    <w:pPr>
      <w:widowControl/>
      <w:pBdr>
        <w:left w:val="single" w:color="auto" w:sz="4" w:space="0"/>
        <w:right w:val="single" w:color="auto" w:sz="12" w:space="0"/>
      </w:pBdr>
      <w:spacing w:before="100" w:beforeAutospacing="1" w:after="100" w:afterAutospacing="1"/>
      <w:jc w:val="center"/>
      <w:textAlignment w:val="center"/>
    </w:pPr>
    <w:rPr>
      <w:b/>
      <w:bCs/>
      <w:sz w:val="24"/>
    </w:rPr>
  </w:style>
  <w:style w:type="paragraph" w:customStyle="1" w:styleId="405">
    <w:name w:val="xl92"/>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styleId="406">
    <w:name w:val="Quote"/>
    <w:basedOn w:val="1"/>
    <w:next w:val="1"/>
    <w:link w:val="407"/>
    <w:qFormat/>
    <w:uiPriority w:val="0"/>
    <w:pPr>
      <w:ind w:firstLine="0" w:firstLineChars="0"/>
      <w:jc w:val="center"/>
    </w:pPr>
    <w:rPr>
      <w:iCs/>
      <w:color w:val="404040"/>
    </w:rPr>
  </w:style>
  <w:style w:type="character" w:customStyle="1" w:styleId="407">
    <w:name w:val="引用 字符"/>
    <w:link w:val="406"/>
    <w:qFormat/>
    <w:uiPriority w:val="0"/>
    <w:rPr>
      <w:iCs/>
      <w:color w:val="404040"/>
      <w:sz w:val="24"/>
    </w:rPr>
  </w:style>
  <w:style w:type="paragraph" w:customStyle="1" w:styleId="408">
    <w:name w:val="简单回函地址"/>
    <w:basedOn w:val="1"/>
    <w:qFormat/>
    <w:uiPriority w:val="0"/>
    <w:rPr>
      <w:rFonts w:eastAsia="仿宋_GB2312"/>
      <w:sz w:val="32"/>
    </w:rPr>
  </w:style>
  <w:style w:type="paragraph" w:customStyle="1" w:styleId="409">
    <w:name w:val="xl5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b/>
      <w:bCs/>
      <w:sz w:val="20"/>
    </w:rPr>
  </w:style>
  <w:style w:type="paragraph" w:customStyle="1" w:styleId="410">
    <w:name w:val="xl133"/>
    <w:basedOn w:val="1"/>
    <w:qFormat/>
    <w:uiPriority w:val="0"/>
    <w:pPr>
      <w:widowControl/>
      <w:pBdr>
        <w:left w:val="single" w:color="auto" w:sz="8" w:space="0"/>
        <w:right w:val="single" w:color="auto" w:sz="8" w:space="0"/>
      </w:pBdr>
      <w:spacing w:before="100" w:after="100"/>
      <w:jc w:val="center"/>
      <w:textAlignment w:val="center"/>
    </w:pPr>
    <w:rPr>
      <w:rFonts w:ascii="宋体" w:hAnsi="宋体"/>
      <w:sz w:val="20"/>
    </w:rPr>
  </w:style>
  <w:style w:type="paragraph" w:customStyle="1" w:styleId="411">
    <w:name w:val="样式 标题 1 + (西文) Arial (中文) 黑体 四号 非加粗 居中 段前: 20 磅 段后: 0 磅 行...3"/>
    <w:basedOn w:val="3"/>
    <w:qFormat/>
    <w:uiPriority w:val="0"/>
    <w:pPr>
      <w:adjustRightInd/>
      <w:spacing w:before="400" w:after="0" w:line="360" w:lineRule="auto"/>
    </w:pPr>
    <w:rPr>
      <w:rFonts w:ascii="Arial" w:hAnsi="Arial" w:eastAsia="黑体"/>
      <w:bCs w:val="0"/>
      <w:sz w:val="28"/>
      <w:szCs w:val="20"/>
    </w:rPr>
  </w:style>
  <w:style w:type="paragraph" w:customStyle="1" w:styleId="41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413">
    <w:name w:val="xl76"/>
    <w:basedOn w:val="1"/>
    <w:qFormat/>
    <w:uiPriority w:val="0"/>
    <w:pPr>
      <w:widowControl/>
      <w:pBdr>
        <w:top w:val="single" w:color="auto" w:sz="4" w:space="0"/>
        <w:left w:val="single" w:color="auto" w:sz="4"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414">
    <w:name w:val="xl96"/>
    <w:basedOn w:val="1"/>
    <w:qFormat/>
    <w:uiPriority w:val="0"/>
    <w:pPr>
      <w:widowControl/>
      <w:pBdr>
        <w:top w:val="single" w:color="auto" w:sz="4" w:space="0"/>
        <w:bottom w:val="single" w:color="auto" w:sz="4" w:space="0"/>
        <w:right w:val="single" w:color="auto" w:sz="8" w:space="0"/>
      </w:pBdr>
      <w:spacing w:before="100" w:after="100"/>
      <w:jc w:val="left"/>
      <w:textAlignment w:val="center"/>
    </w:pPr>
    <w:rPr>
      <w:sz w:val="20"/>
    </w:rPr>
  </w:style>
  <w:style w:type="paragraph" w:customStyle="1" w:styleId="415">
    <w:name w:val="项目符号1"/>
    <w:basedOn w:val="1"/>
    <w:qFormat/>
    <w:uiPriority w:val="0"/>
    <w:pPr>
      <w:numPr>
        <w:ilvl w:val="1"/>
        <w:numId w:val="14"/>
      </w:numPr>
      <w:tabs>
        <w:tab w:val="left" w:pos="845"/>
        <w:tab w:val="clear" w:pos="1470"/>
      </w:tabs>
    </w:pPr>
  </w:style>
  <w:style w:type="paragraph" w:customStyle="1" w:styleId="416">
    <w:name w:val="表格目录"/>
    <w:basedOn w:val="2"/>
    <w:next w:val="9"/>
    <w:qFormat/>
    <w:uiPriority w:val="0"/>
    <w:pPr>
      <w:tabs>
        <w:tab w:val="right" w:leader="dot" w:pos="8296"/>
      </w:tabs>
      <w:spacing w:before="0" w:after="0" w:line="120" w:lineRule="atLeast"/>
      <w:jc w:val="center"/>
      <w:outlineLvl w:val="3"/>
    </w:pPr>
    <w:rPr>
      <w:rFonts w:ascii="宋体" w:hAnsi="宋体"/>
      <w:b w:val="0"/>
      <w:bCs w:val="0"/>
      <w:caps w:val="0"/>
      <w:sz w:val="28"/>
    </w:rPr>
  </w:style>
  <w:style w:type="paragraph" w:customStyle="1" w:styleId="4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8">
    <w:name w:val="xl1243"/>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b/>
      <w:sz w:val="20"/>
    </w:rPr>
  </w:style>
  <w:style w:type="paragraph" w:customStyle="1" w:styleId="419">
    <w:name w:val="xl125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420">
    <w:name w:val="xl78"/>
    <w:basedOn w:val="1"/>
    <w:qFormat/>
    <w:uiPriority w:val="0"/>
    <w:pPr>
      <w:widowControl/>
      <w:pBdr>
        <w:top w:val="single" w:color="auto" w:sz="4" w:space="0"/>
        <w:left w:val="single" w:color="auto" w:sz="4"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421">
    <w:name w:val="xl110"/>
    <w:basedOn w:val="1"/>
    <w:qFormat/>
    <w:uiPriority w:val="0"/>
    <w:pPr>
      <w:widowControl/>
      <w:pBdr>
        <w:left w:val="single" w:color="auto" w:sz="8" w:space="0"/>
        <w:right w:val="single" w:color="auto" w:sz="8" w:space="0"/>
      </w:pBdr>
      <w:spacing w:before="100" w:after="100"/>
      <w:jc w:val="left"/>
      <w:textAlignment w:val="center"/>
    </w:pPr>
    <w:rPr>
      <w:rFonts w:ascii="宋体" w:hAnsi="宋体"/>
      <w:sz w:val="20"/>
    </w:rPr>
  </w:style>
  <w:style w:type="paragraph" w:customStyle="1" w:styleId="422">
    <w:name w:val="标书正文（编号）"/>
    <w:basedOn w:val="27"/>
    <w:qFormat/>
    <w:uiPriority w:val="0"/>
    <w:pPr>
      <w:numPr>
        <w:ilvl w:val="1"/>
        <w:numId w:val="15"/>
      </w:numPr>
      <w:tabs>
        <w:tab w:val="left" w:pos="1342"/>
      </w:tabs>
      <w:snapToGrid w:val="0"/>
      <w:spacing w:line="460" w:lineRule="exact"/>
      <w:jc w:val="both"/>
    </w:pPr>
    <w:rPr>
      <w:rFonts w:eastAsia="仿宋_GB2312"/>
      <w:color w:val="000000"/>
    </w:rPr>
  </w:style>
  <w:style w:type="paragraph" w:customStyle="1" w:styleId="423">
    <w:name w:val="xl123"/>
    <w:basedOn w:val="1"/>
    <w:qFormat/>
    <w:uiPriority w:val="0"/>
    <w:pPr>
      <w:widowControl/>
      <w:pBdr>
        <w:left w:val="single" w:color="auto" w:sz="8" w:space="0"/>
        <w:right w:val="single" w:color="auto" w:sz="8" w:space="0"/>
      </w:pBdr>
      <w:spacing w:before="100" w:after="100"/>
      <w:jc w:val="left"/>
    </w:pPr>
    <w:rPr>
      <w:rFonts w:ascii="宋体" w:hAnsi="宋体"/>
      <w:sz w:val="24"/>
    </w:rPr>
  </w:style>
  <w:style w:type="paragraph" w:customStyle="1" w:styleId="424">
    <w:name w:val="正文文字"/>
    <w:basedOn w:val="1"/>
    <w:qFormat/>
    <w:uiPriority w:val="0"/>
    <w:pPr>
      <w:widowControl/>
      <w:spacing w:line="952" w:lineRule="atLeast"/>
      <w:ind w:firstLine="419"/>
      <w:textAlignment w:val="baseline"/>
    </w:pPr>
    <w:rPr>
      <w:b/>
      <w:color w:val="000000"/>
      <w:sz w:val="44"/>
      <w:u w:color="000000"/>
    </w:rPr>
  </w:style>
  <w:style w:type="paragraph" w:customStyle="1" w:styleId="425">
    <w:name w:val="xl1257"/>
    <w:basedOn w:val="1"/>
    <w:qFormat/>
    <w:uiPriority w:val="0"/>
    <w:pPr>
      <w:widowControl/>
      <w:pBdr>
        <w:top w:val="single" w:color="auto" w:sz="4" w:space="0"/>
        <w:bottom w:val="single" w:color="auto" w:sz="4" w:space="0"/>
      </w:pBdr>
      <w:spacing w:before="100" w:after="100"/>
      <w:jc w:val="right"/>
      <w:textAlignment w:val="center"/>
    </w:pPr>
    <w:rPr>
      <w:rFonts w:ascii="Arial Unicode MS" w:hAnsi="Arial Unicode MS" w:eastAsia="Arial Unicode MS"/>
      <w:sz w:val="20"/>
    </w:rPr>
  </w:style>
  <w:style w:type="paragraph" w:customStyle="1" w:styleId="426">
    <w:name w:val="+标题3"/>
    <w:basedOn w:val="5"/>
    <w:qFormat/>
    <w:uiPriority w:val="0"/>
    <w:pPr>
      <w:keepNext w:val="0"/>
      <w:keepLines w:val="0"/>
      <w:numPr>
        <w:ilvl w:val="2"/>
        <w:numId w:val="16"/>
      </w:numPr>
      <w:tabs>
        <w:tab w:val="left" w:pos="840"/>
        <w:tab w:val="clear" w:pos="1255"/>
      </w:tabs>
      <w:adjustRightInd w:val="0"/>
      <w:snapToGrid w:val="0"/>
      <w:spacing w:before="0" w:after="0" w:line="360" w:lineRule="auto"/>
      <w:jc w:val="left"/>
    </w:pPr>
    <w:rPr>
      <w:rFonts w:ascii="黑体" w:eastAsia="黑体"/>
      <w:bCs w:val="0"/>
      <w:szCs w:val="20"/>
    </w:rPr>
  </w:style>
  <w:style w:type="paragraph" w:customStyle="1" w:styleId="427">
    <w:name w:val="font7"/>
    <w:basedOn w:val="1"/>
    <w:qFormat/>
    <w:uiPriority w:val="0"/>
    <w:pPr>
      <w:widowControl/>
      <w:spacing w:before="100" w:beforeAutospacing="1" w:after="100" w:afterAutospacing="1"/>
      <w:jc w:val="left"/>
    </w:pPr>
    <w:rPr>
      <w:b/>
      <w:bCs/>
      <w:sz w:val="20"/>
    </w:rPr>
  </w:style>
  <w:style w:type="paragraph" w:customStyle="1" w:styleId="428">
    <w:name w:val="xl54"/>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4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sz w:val="20"/>
    </w:rPr>
  </w:style>
  <w:style w:type="paragraph" w:customStyle="1" w:styleId="430">
    <w:name w:val="xl6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31">
    <w:name w:val="xl1228"/>
    <w:basedOn w:val="1"/>
    <w:qFormat/>
    <w:uiPriority w:val="0"/>
    <w:pPr>
      <w:widowControl/>
      <w:pBdr>
        <w:top w:val="single" w:color="auto" w:sz="4" w:space="0"/>
        <w:bottom w:val="single" w:color="auto" w:sz="4" w:space="0"/>
      </w:pBdr>
      <w:spacing w:before="100" w:after="100"/>
      <w:jc w:val="center"/>
      <w:textAlignment w:val="center"/>
    </w:pPr>
    <w:rPr>
      <w:rFonts w:hint="eastAsia" w:ascii="宋体" w:hAnsi="宋体"/>
      <w:sz w:val="20"/>
    </w:rPr>
  </w:style>
  <w:style w:type="paragraph" w:customStyle="1" w:styleId="432">
    <w:name w:val="font6"/>
    <w:basedOn w:val="1"/>
    <w:qFormat/>
    <w:uiPriority w:val="0"/>
    <w:pPr>
      <w:widowControl/>
      <w:spacing w:before="100" w:beforeAutospacing="1" w:after="100" w:afterAutospacing="1"/>
      <w:jc w:val="left"/>
    </w:pPr>
    <w:rPr>
      <w:sz w:val="18"/>
    </w:rPr>
  </w:style>
  <w:style w:type="paragraph" w:customStyle="1" w:styleId="433">
    <w:name w:val="-正文 Char"/>
    <w:basedOn w:val="1"/>
    <w:qFormat/>
    <w:uiPriority w:val="0"/>
    <w:pPr>
      <w:widowControl/>
      <w:overflowPunct w:val="0"/>
      <w:autoSpaceDE w:val="0"/>
      <w:autoSpaceDN w:val="0"/>
      <w:adjustRightInd w:val="0"/>
      <w:jc w:val="left"/>
      <w:textAlignment w:val="baseline"/>
    </w:pPr>
    <w:rPr>
      <w:rFonts w:ascii="Arial" w:hAnsi="Arial"/>
      <w:sz w:val="24"/>
    </w:rPr>
  </w:style>
  <w:style w:type="paragraph" w:customStyle="1" w:styleId="434">
    <w:name w:val="xl1217"/>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35">
    <w:name w:val="xl60"/>
    <w:basedOn w:val="1"/>
    <w:qFormat/>
    <w:uiPriority w:val="0"/>
    <w:pPr>
      <w:widowControl/>
      <w:pBdr>
        <w:top w:val="single" w:color="auto" w:sz="4"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36">
    <w:name w:val="Char3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437">
    <w:name w:val="xl122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438">
    <w:name w:val="xl103"/>
    <w:basedOn w:val="1"/>
    <w:qFormat/>
    <w:uiPriority w:val="0"/>
    <w:pPr>
      <w:widowControl/>
      <w:pBdr>
        <w:top w:val="single" w:color="auto" w:sz="4" w:space="0"/>
        <w:left w:val="single" w:color="auto" w:sz="8" w:space="0"/>
        <w:bottom w:val="single" w:color="auto" w:sz="8" w:space="0"/>
        <w:right w:val="single" w:color="auto" w:sz="4" w:space="0"/>
      </w:pBdr>
      <w:spacing w:before="100" w:after="100"/>
      <w:jc w:val="left"/>
    </w:pPr>
    <w:rPr>
      <w:rFonts w:ascii="宋体" w:hAnsi="宋体"/>
      <w:sz w:val="24"/>
    </w:rPr>
  </w:style>
  <w:style w:type="paragraph" w:customStyle="1" w:styleId="439">
    <w:name w:val="Proposals body"/>
    <w:basedOn w:val="1"/>
    <w:next w:val="1"/>
    <w:qFormat/>
    <w:uiPriority w:val="0"/>
    <w:pPr>
      <w:widowControl/>
      <w:jc w:val="left"/>
    </w:pPr>
    <w:rPr>
      <w:rFonts w:ascii="宋体"/>
      <w:snapToGrid w:val="0"/>
      <w:color w:val="000000"/>
      <w:sz w:val="24"/>
    </w:rPr>
  </w:style>
  <w:style w:type="paragraph" w:customStyle="1" w:styleId="440">
    <w:name w:val="Char1 Char Char Char Char Char Char"/>
    <w:basedOn w:val="1"/>
    <w:qFormat/>
    <w:uiPriority w:val="0"/>
    <w:pPr>
      <w:widowControl/>
      <w:jc w:val="left"/>
    </w:pPr>
    <w:rPr>
      <w:rFonts w:ascii="Tahoma" w:hAnsi="Tahoma" w:cs="宋体"/>
      <w:sz w:val="24"/>
    </w:rPr>
  </w:style>
  <w:style w:type="paragraph" w:customStyle="1" w:styleId="441">
    <w:name w:val="xl94"/>
    <w:basedOn w:val="1"/>
    <w:qFormat/>
    <w:uiPriority w:val="0"/>
    <w:pPr>
      <w:widowControl/>
      <w:pBdr>
        <w:top w:val="single" w:color="auto" w:sz="8" w:space="0"/>
        <w:left w:val="single" w:color="auto" w:sz="8" w:space="0"/>
        <w:right w:val="single" w:color="auto" w:sz="8" w:space="0"/>
      </w:pBdr>
      <w:spacing w:before="100" w:after="100"/>
      <w:jc w:val="center"/>
      <w:textAlignment w:val="center"/>
    </w:pPr>
    <w:rPr>
      <w:rFonts w:ascii="宋体" w:hAnsi="宋体"/>
      <w:sz w:val="20"/>
    </w:rPr>
  </w:style>
  <w:style w:type="paragraph" w:customStyle="1" w:styleId="442">
    <w:name w:val="xl4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sz w:val="20"/>
    </w:rPr>
  </w:style>
  <w:style w:type="paragraph" w:customStyle="1" w:styleId="443">
    <w:name w:val="xl127"/>
    <w:basedOn w:val="1"/>
    <w:qFormat/>
    <w:uiPriority w:val="0"/>
    <w:pPr>
      <w:widowControl/>
      <w:pBdr>
        <w:top w:val="single" w:color="auto" w:sz="8" w:space="0"/>
        <w:left w:val="single" w:color="auto" w:sz="4" w:space="0"/>
        <w:bottom w:val="single" w:color="auto" w:sz="4" w:space="0"/>
        <w:right w:val="single" w:color="auto" w:sz="4" w:space="0"/>
      </w:pBdr>
      <w:spacing w:before="100" w:after="100"/>
      <w:jc w:val="right"/>
      <w:textAlignment w:val="center"/>
    </w:pPr>
    <w:rPr>
      <w:sz w:val="24"/>
    </w:rPr>
  </w:style>
  <w:style w:type="paragraph" w:customStyle="1" w:styleId="444">
    <w:name w:val="xl140"/>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sz w:val="20"/>
    </w:rPr>
  </w:style>
  <w:style w:type="paragraph" w:customStyle="1" w:styleId="445">
    <w:name w:val="font8"/>
    <w:basedOn w:val="1"/>
    <w:qFormat/>
    <w:uiPriority w:val="0"/>
    <w:pPr>
      <w:widowControl/>
      <w:spacing w:before="100" w:beforeAutospacing="1" w:after="100" w:afterAutospacing="1"/>
      <w:jc w:val="left"/>
    </w:pPr>
    <w:rPr>
      <w:rFonts w:hint="eastAsia" w:ascii="宋体" w:hAnsi="宋体"/>
      <w:b/>
      <w:bCs/>
      <w:sz w:val="24"/>
    </w:rPr>
  </w:style>
  <w:style w:type="paragraph" w:customStyle="1" w:styleId="446">
    <w:name w:val="列出段落2"/>
    <w:basedOn w:val="1"/>
    <w:qFormat/>
    <w:uiPriority w:val="0"/>
    <w:pPr>
      <w:ind w:firstLine="420"/>
    </w:pPr>
    <w:rPr>
      <w:rFonts w:ascii="Times New Roman" w:hAnsi="Times New Roman" w:eastAsia="宋体"/>
      <w:szCs w:val="24"/>
      <w:lang w:val="zh-CN"/>
    </w:rPr>
  </w:style>
  <w:style w:type="paragraph" w:customStyle="1" w:styleId="447">
    <w:name w:val="xl1259"/>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448">
    <w:name w:val="xl109"/>
    <w:basedOn w:val="1"/>
    <w:qFormat/>
    <w:uiPriority w:val="0"/>
    <w:pPr>
      <w:widowControl/>
      <w:pBdr>
        <w:top w:val="single" w:color="auto" w:sz="4" w:space="0"/>
        <w:left w:val="single" w:color="auto" w:sz="8" w:space="0"/>
        <w:bottom w:val="single" w:color="auto" w:sz="8" w:space="0"/>
        <w:right w:val="single" w:color="auto" w:sz="4" w:space="0"/>
      </w:pBdr>
      <w:spacing w:before="100" w:after="100"/>
      <w:jc w:val="left"/>
      <w:textAlignment w:val="center"/>
    </w:pPr>
    <w:rPr>
      <w:sz w:val="20"/>
    </w:rPr>
  </w:style>
  <w:style w:type="paragraph" w:customStyle="1" w:styleId="449">
    <w:name w:val="xl1220"/>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5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51">
    <w:name w:val="_Style 16"/>
    <w:basedOn w:val="1"/>
    <w:qFormat/>
    <w:uiPriority w:val="0"/>
    <w:pPr>
      <w:widowControl/>
      <w:spacing w:after="160"/>
      <w:jc w:val="left"/>
    </w:pPr>
  </w:style>
  <w:style w:type="paragraph" w:customStyle="1" w:styleId="452">
    <w:name w:val="xl4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b/>
      <w:bCs/>
      <w:color w:val="FFFFFF"/>
      <w:sz w:val="24"/>
    </w:rPr>
  </w:style>
  <w:style w:type="paragraph" w:customStyle="1" w:styleId="453">
    <w:name w:val="xl134"/>
    <w:basedOn w:val="1"/>
    <w:qFormat/>
    <w:uiPriority w:val="0"/>
    <w:pPr>
      <w:widowControl/>
      <w:pBdr>
        <w:top w:val="single" w:color="auto" w:sz="8" w:space="0"/>
        <w:left w:val="single" w:color="auto" w:sz="8" w:space="0"/>
      </w:pBdr>
      <w:spacing w:before="100" w:after="100"/>
      <w:jc w:val="center"/>
      <w:textAlignment w:val="center"/>
    </w:pPr>
    <w:rPr>
      <w:rFonts w:ascii="宋体" w:hAnsi="宋体"/>
      <w:sz w:val="20"/>
    </w:rPr>
  </w:style>
  <w:style w:type="paragraph" w:customStyle="1" w:styleId="454">
    <w:name w:val="xl87"/>
    <w:basedOn w:val="1"/>
    <w:qFormat/>
    <w:uiPriority w:val="0"/>
    <w:pPr>
      <w:widowControl/>
      <w:pBdr>
        <w:top w:val="single" w:color="auto" w:sz="4" w:space="0"/>
        <w:left w:val="single" w:color="auto" w:sz="4" w:space="0"/>
        <w:right w:val="single" w:color="auto" w:sz="4" w:space="0"/>
      </w:pBdr>
      <w:spacing w:before="100" w:after="100"/>
      <w:jc w:val="right"/>
      <w:textAlignment w:val="center"/>
    </w:pPr>
    <w:rPr>
      <w:rFonts w:ascii="宋体" w:hAnsi="宋体"/>
      <w:sz w:val="20"/>
    </w:rPr>
  </w:style>
  <w:style w:type="paragraph" w:customStyle="1" w:styleId="455">
    <w:name w:val="样式 正文（首行缩进两字） + 首行缩进:  2 字符"/>
    <w:basedOn w:val="9"/>
    <w:qFormat/>
    <w:uiPriority w:val="0"/>
    <w:pPr>
      <w:ind w:firstLine="536"/>
    </w:pPr>
    <w:rPr>
      <w:spacing w:val="6"/>
    </w:rPr>
  </w:style>
  <w:style w:type="paragraph" w:customStyle="1" w:styleId="456">
    <w:name w:val="样式 样式 标题 2 + 段前: 0.5 行 段后: 0.5 行 + 段前: 0.5 行 段后: 0.5 行"/>
    <w:basedOn w:val="1"/>
    <w:qFormat/>
    <w:uiPriority w:val="0"/>
    <w:pPr>
      <w:widowControl/>
      <w:tabs>
        <w:tab w:val="left" w:pos="630"/>
      </w:tabs>
      <w:spacing w:before="156" w:after="156"/>
    </w:pPr>
    <w:rPr>
      <w:rFonts w:eastAsia="黑体"/>
      <w:b/>
      <w:sz w:val="28"/>
    </w:rPr>
  </w:style>
  <w:style w:type="paragraph" w:customStyle="1" w:styleId="457">
    <w:name w:val="xl72"/>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sz w:val="20"/>
    </w:rPr>
  </w:style>
  <w:style w:type="paragraph" w:customStyle="1" w:styleId="458">
    <w:name w:val="样式 标题 1 + 四号 居中 段前: 0 磅 行距: 2 倍行距"/>
    <w:basedOn w:val="3"/>
    <w:qFormat/>
    <w:uiPriority w:val="0"/>
    <w:pPr>
      <w:tabs>
        <w:tab w:val="left" w:pos="360"/>
      </w:tabs>
      <w:adjustRightInd/>
      <w:spacing w:before="0" w:after="0" w:line="480" w:lineRule="auto"/>
      <w:ind w:left="675" w:hanging="240"/>
    </w:pPr>
    <w:rPr>
      <w:rFonts w:eastAsia="黑体"/>
      <w:bCs w:val="0"/>
      <w:sz w:val="28"/>
      <w:szCs w:val="20"/>
    </w:rPr>
  </w:style>
  <w:style w:type="paragraph" w:customStyle="1" w:styleId="459">
    <w:name w:val="xl1246"/>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460">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461">
    <w:name w:val="xl1262"/>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462">
    <w:name w:val="xl61"/>
    <w:basedOn w:val="1"/>
    <w:qFormat/>
    <w:uiPriority w:val="0"/>
    <w:pPr>
      <w:widowControl/>
      <w:pBdr>
        <w:top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63">
    <w:name w:val="xl111"/>
    <w:basedOn w:val="1"/>
    <w:qFormat/>
    <w:uiPriority w:val="0"/>
    <w:pPr>
      <w:widowControl/>
      <w:pBdr>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464">
    <w:name w:val="List Paragraph1"/>
    <w:basedOn w:val="1"/>
    <w:qFormat/>
    <w:uiPriority w:val="0"/>
    <w:pPr>
      <w:ind w:firstLine="420"/>
    </w:pPr>
  </w:style>
  <w:style w:type="paragraph" w:customStyle="1" w:styleId="465">
    <w:name w:val="sm a"/>
    <w:basedOn w:val="1"/>
    <w:qFormat/>
    <w:uiPriority w:val="0"/>
    <w:pPr>
      <w:widowControl/>
      <w:numPr>
        <w:ilvl w:val="7"/>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466">
    <w:name w:val="xl57"/>
    <w:basedOn w:val="1"/>
    <w:qFormat/>
    <w:uiPriority w:val="0"/>
    <w:pPr>
      <w:widowControl/>
      <w:pBdr>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467">
    <w:name w:val="_Style 465"/>
    <w:qFormat/>
    <w:uiPriority w:val="0"/>
    <w:rPr>
      <w:rFonts w:ascii="Times New Roman" w:hAnsi="Times New Roman" w:eastAsia="宋体" w:cs="Times New Roman"/>
      <w:kern w:val="2"/>
      <w:sz w:val="21"/>
      <w:szCs w:val="24"/>
      <w:lang w:val="en-US" w:eastAsia="zh-CN" w:bidi="ar-SA"/>
    </w:rPr>
  </w:style>
  <w:style w:type="paragraph" w:customStyle="1" w:styleId="468">
    <w:name w:val="标准段落"/>
    <w:basedOn w:val="1"/>
    <w:qFormat/>
    <w:uiPriority w:val="0"/>
    <w:pPr>
      <w:topLinePunct/>
      <w:autoSpaceDE w:val="0"/>
      <w:autoSpaceDN w:val="0"/>
      <w:ind w:firstLine="480" w:firstLineChars="150"/>
    </w:pPr>
    <w:rPr>
      <w:rFonts w:ascii="宋体" w:hAnsi="宋体" w:cs="宋体"/>
      <w:sz w:val="32"/>
      <w:szCs w:val="32"/>
      <w:lang w:bidi="th-TH"/>
    </w:rPr>
  </w:style>
  <w:style w:type="paragraph" w:customStyle="1" w:styleId="469">
    <w:name w:val="Char Char Char Char Char Char Char Char Char Char Char Char Char Char Char Char Char Char Char Char Char Char"/>
    <w:basedOn w:val="1"/>
    <w:qFormat/>
    <w:uiPriority w:val="0"/>
    <w:rPr>
      <w:rFonts w:ascii="Tahoma" w:hAnsi="Tahoma"/>
      <w:sz w:val="24"/>
    </w:rPr>
  </w:style>
  <w:style w:type="paragraph" w:customStyle="1" w:styleId="470">
    <w:name w:val="xl130"/>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sz w:val="20"/>
    </w:rPr>
  </w:style>
  <w:style w:type="paragraph" w:customStyle="1" w:styleId="471">
    <w:name w:val="一级标题"/>
    <w:basedOn w:val="38"/>
    <w:qFormat/>
    <w:uiPriority w:val="0"/>
    <w:pPr>
      <w:tabs>
        <w:tab w:val="left" w:pos="1050"/>
      </w:tabs>
      <w:adjustRightInd w:val="0"/>
      <w:snapToGrid w:val="0"/>
      <w:jc w:val="center"/>
    </w:pPr>
    <w:rPr>
      <w:rFonts w:ascii="Arial" w:hAnsi="Arial" w:eastAsia="黑体" w:cs="Arial"/>
      <w:color w:val="000000"/>
      <w:w w:val="80"/>
      <w:sz w:val="48"/>
      <w:szCs w:val="48"/>
    </w:rPr>
  </w:style>
  <w:style w:type="paragraph" w:customStyle="1" w:styleId="472">
    <w:name w:val="样式 标题 2 + (符号) 宋体"/>
    <w:basedOn w:val="4"/>
    <w:qFormat/>
    <w:uiPriority w:val="0"/>
    <w:pPr>
      <w:autoSpaceDE w:val="0"/>
      <w:autoSpaceDN w:val="0"/>
      <w:snapToGrid/>
      <w:spacing w:before="100" w:after="100"/>
      <w:jc w:val="left"/>
      <w:textAlignment w:val="baseline"/>
    </w:pPr>
    <w:rPr>
      <w:color w:val="auto"/>
    </w:rPr>
  </w:style>
  <w:style w:type="paragraph" w:customStyle="1" w:styleId="473">
    <w:name w:val="xl136"/>
    <w:basedOn w:val="1"/>
    <w:qFormat/>
    <w:uiPriority w:val="0"/>
    <w:pPr>
      <w:widowControl/>
      <w:pBdr>
        <w:left w:val="single" w:color="auto" w:sz="8" w:space="0"/>
        <w:bottom w:val="single" w:color="auto" w:sz="8" w:space="0"/>
      </w:pBdr>
      <w:spacing w:before="100" w:after="100"/>
      <w:jc w:val="center"/>
      <w:textAlignment w:val="center"/>
    </w:pPr>
    <w:rPr>
      <w:rFonts w:ascii="宋体" w:hAnsi="宋体"/>
      <w:sz w:val="20"/>
    </w:rPr>
  </w:style>
  <w:style w:type="paragraph" w:customStyle="1" w:styleId="47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75">
    <w:name w:val="+列表编号"/>
    <w:basedOn w:val="1"/>
    <w:qFormat/>
    <w:uiPriority w:val="0"/>
    <w:pPr>
      <w:tabs>
        <w:tab w:val="center" w:pos="4200"/>
        <w:tab w:val="right" w:pos="8400"/>
      </w:tabs>
      <w:spacing w:before="120" w:after="120" w:line="460" w:lineRule="exact"/>
      <w:jc w:val="center"/>
    </w:pPr>
    <w:rPr>
      <w:b/>
      <w:spacing w:val="6"/>
      <w:sz w:val="24"/>
    </w:rPr>
  </w:style>
  <w:style w:type="paragraph" w:customStyle="1" w:styleId="476">
    <w:name w:val="xl116"/>
    <w:basedOn w:val="1"/>
    <w:qFormat/>
    <w:uiPriority w:val="0"/>
    <w:pPr>
      <w:widowControl/>
      <w:pBdr>
        <w:left w:val="single" w:color="auto" w:sz="4" w:space="0"/>
        <w:right w:val="single" w:color="auto" w:sz="4" w:space="0"/>
      </w:pBdr>
      <w:spacing w:before="100" w:after="100"/>
      <w:jc w:val="left"/>
      <w:textAlignment w:val="center"/>
    </w:pPr>
    <w:rPr>
      <w:rFonts w:ascii="宋体" w:hAnsi="宋体"/>
      <w:sz w:val="20"/>
    </w:rPr>
  </w:style>
  <w:style w:type="paragraph" w:customStyle="1" w:styleId="477">
    <w:name w:val="_Style 45"/>
    <w:basedOn w:val="1"/>
    <w:qFormat/>
    <w:uiPriority w:val="0"/>
  </w:style>
  <w:style w:type="paragraph" w:customStyle="1" w:styleId="478">
    <w:name w:val="正文文字格式"/>
    <w:basedOn w:val="1"/>
    <w:qFormat/>
    <w:uiPriority w:val="0"/>
    <w:pPr>
      <w:spacing w:line="460" w:lineRule="exact"/>
      <w:ind w:firstLine="505"/>
      <w:jc w:val="left"/>
    </w:pPr>
    <w:rPr>
      <w:rFonts w:ascii="宋体"/>
      <w:kern w:val="24"/>
      <w:sz w:val="24"/>
    </w:rPr>
  </w:style>
  <w:style w:type="paragraph" w:customStyle="1" w:styleId="479">
    <w:name w:val="表格文字"/>
    <w:next w:val="27"/>
    <w:qFormat/>
    <w:uiPriority w:val="0"/>
    <w:pPr>
      <w:adjustRightInd w:val="0"/>
      <w:snapToGrid w:val="0"/>
      <w:spacing w:line="300" w:lineRule="auto"/>
      <w:jc w:val="center"/>
    </w:pPr>
    <w:rPr>
      <w:rFonts w:ascii="Arial Narrow" w:hAnsi="Arial Narrow" w:eastAsia="仿宋_GB2312" w:cs="Times New Roman"/>
      <w:sz w:val="24"/>
      <w:lang w:val="en-US" w:eastAsia="zh-CN" w:bidi="ar-SA"/>
    </w:rPr>
  </w:style>
  <w:style w:type="paragraph" w:customStyle="1" w:styleId="480">
    <w:name w:val="样式 标题 4heading 4 + Indent: Left 0.5 in + 黑色"/>
    <w:basedOn w:val="6"/>
    <w:qFormat/>
    <w:uiPriority w:val="0"/>
    <w:pPr>
      <w:spacing w:before="240" w:after="240"/>
    </w:pPr>
    <w:rPr>
      <w:rFonts w:ascii="Arial" w:hAnsi="Arial"/>
      <w:szCs w:val="24"/>
    </w:rPr>
  </w:style>
  <w:style w:type="paragraph" w:customStyle="1" w:styleId="481">
    <w:name w:val="+●"/>
    <w:qFormat/>
    <w:uiPriority w:val="0"/>
    <w:pPr>
      <w:numPr>
        <w:ilvl w:val="0"/>
        <w:numId w:val="17"/>
      </w:numPr>
      <w:tabs>
        <w:tab w:val="left" w:pos="958"/>
        <w:tab w:val="clear" w:pos="420"/>
      </w:tabs>
    </w:pPr>
    <w:rPr>
      <w:rFonts w:ascii="Times New Roman" w:hAnsi="Times New Roman" w:eastAsia="宋体" w:cs="Times New Roman"/>
      <w:lang w:val="en-US" w:eastAsia="zh-CN" w:bidi="ar-SA"/>
    </w:rPr>
  </w:style>
  <w:style w:type="paragraph" w:customStyle="1" w:styleId="48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83">
    <w:name w:val="标书标题2"/>
    <w:basedOn w:val="4"/>
    <w:qFormat/>
    <w:uiPriority w:val="0"/>
    <w:pPr>
      <w:keepLines w:val="0"/>
      <w:widowControl/>
      <w:numPr>
        <w:ilvl w:val="1"/>
        <w:numId w:val="13"/>
      </w:numPr>
      <w:spacing w:before="156" w:beforeLines="50" w:after="60" w:line="300" w:lineRule="auto"/>
    </w:pPr>
    <w:rPr>
      <w:rFonts w:ascii="Arial Narrow" w:hAnsi="Arial Narrow" w:eastAsia="仿宋_GB2312"/>
      <w:bCs/>
    </w:rPr>
  </w:style>
  <w:style w:type="paragraph" w:customStyle="1" w:styleId="484">
    <w:name w:val="xl73"/>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宋体" w:hAnsi="宋体"/>
      <w:sz w:val="20"/>
    </w:rPr>
  </w:style>
  <w:style w:type="paragraph" w:customStyle="1" w:styleId="485">
    <w:name w:val="xl144"/>
    <w:basedOn w:val="1"/>
    <w:qFormat/>
    <w:uiPriority w:val="0"/>
    <w:pPr>
      <w:widowControl/>
      <w:pBdr>
        <w:top w:val="single" w:color="auto" w:sz="8" w:space="0"/>
        <w:left w:val="single" w:color="auto" w:sz="4" w:space="0"/>
        <w:bottom w:val="single" w:color="auto" w:sz="4" w:space="0"/>
        <w:right w:val="single" w:color="auto" w:sz="8" w:space="0"/>
      </w:pBdr>
      <w:spacing w:before="100" w:after="100"/>
      <w:jc w:val="center"/>
    </w:pPr>
    <w:rPr>
      <w:rFonts w:ascii="宋体" w:hAnsi="宋体"/>
      <w:sz w:val="20"/>
    </w:rPr>
  </w:style>
  <w:style w:type="paragraph" w:customStyle="1" w:styleId="486">
    <w:name w:val="标书标题3"/>
    <w:basedOn w:val="5"/>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487">
    <w:name w:val="xl1261"/>
    <w:basedOn w:val="1"/>
    <w:qFormat/>
    <w:uiPriority w:val="0"/>
    <w:pPr>
      <w:widowControl/>
      <w:pBdr>
        <w:top w:val="single" w:color="auto" w:sz="4" w:space="0"/>
        <w:bottom w:val="single" w:color="auto" w:sz="4" w:space="0"/>
      </w:pBdr>
      <w:spacing w:before="100" w:after="100"/>
      <w:jc w:val="right"/>
      <w:textAlignment w:val="center"/>
    </w:pPr>
    <w:rPr>
      <w:rFonts w:ascii="Arial Unicode MS" w:hAnsi="Arial Unicode MS" w:eastAsia="Arial Unicode MS"/>
      <w:sz w:val="20"/>
    </w:rPr>
  </w:style>
  <w:style w:type="paragraph" w:customStyle="1" w:styleId="488">
    <w:name w:val="w2"/>
    <w:basedOn w:val="1"/>
    <w:qFormat/>
    <w:uiPriority w:val="0"/>
    <w:pPr>
      <w:keepNext/>
      <w:keepLines/>
      <w:numPr>
        <w:ilvl w:val="1"/>
        <w:numId w:val="9"/>
      </w:numPr>
      <w:tabs>
        <w:tab w:val="left" w:pos="675"/>
        <w:tab w:val="left" w:pos="1679"/>
      </w:tabs>
      <w:spacing w:before="96"/>
    </w:pPr>
    <w:rPr>
      <w:rFonts w:eastAsia="黑体"/>
      <w:b/>
      <w:sz w:val="28"/>
    </w:rPr>
  </w:style>
  <w:style w:type="paragraph" w:customStyle="1" w:styleId="489">
    <w:name w:val="xl1254"/>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490">
    <w:name w:val="样式 样式 标题 3 + 段前: 0.5 行 段后: 0.5 行 + 段前: 0.5 行 段后: 0.5 行"/>
    <w:basedOn w:val="1"/>
    <w:qFormat/>
    <w:uiPriority w:val="0"/>
    <w:pPr>
      <w:widowControl/>
      <w:numPr>
        <w:ilvl w:val="2"/>
        <w:numId w:val="13"/>
      </w:numPr>
      <w:tabs>
        <w:tab w:val="left" w:pos="840"/>
        <w:tab w:val="clear" w:pos="1260"/>
      </w:tabs>
      <w:spacing w:before="156" w:after="156"/>
    </w:pPr>
    <w:rPr>
      <w:rFonts w:eastAsia="黑体"/>
      <w:b/>
      <w:sz w:val="28"/>
    </w:rPr>
  </w:style>
  <w:style w:type="paragraph" w:customStyle="1" w:styleId="4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92">
    <w:name w:val="i"/>
    <w:basedOn w:val="1"/>
    <w:qFormat/>
    <w:uiPriority w:val="0"/>
    <w:pPr>
      <w:widowControl/>
      <w:numPr>
        <w:ilvl w:val="8"/>
        <w:numId w:val="7"/>
      </w:numPr>
      <w:tabs>
        <w:tab w:val="left" w:pos="2268"/>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493">
    <w:name w:val="xl135"/>
    <w:basedOn w:val="1"/>
    <w:qFormat/>
    <w:uiPriority w:val="0"/>
    <w:pPr>
      <w:widowControl/>
      <w:pBdr>
        <w:left w:val="single" w:color="auto" w:sz="8" w:space="0"/>
      </w:pBdr>
      <w:spacing w:before="100" w:after="100"/>
      <w:jc w:val="center"/>
      <w:textAlignment w:val="center"/>
    </w:pPr>
    <w:rPr>
      <w:rFonts w:ascii="宋体" w:hAnsi="宋体"/>
      <w:sz w:val="20"/>
    </w:rPr>
  </w:style>
  <w:style w:type="paragraph" w:customStyle="1" w:styleId="494">
    <w:name w:val="Blockquote"/>
    <w:basedOn w:val="1"/>
    <w:qFormat/>
    <w:uiPriority w:val="0"/>
    <w:pPr>
      <w:autoSpaceDE w:val="0"/>
      <w:autoSpaceDN w:val="0"/>
      <w:adjustRightInd w:val="0"/>
      <w:spacing w:before="100" w:after="100"/>
      <w:ind w:left="360" w:right="360"/>
      <w:jc w:val="left"/>
    </w:pPr>
    <w:rPr>
      <w:sz w:val="24"/>
    </w:rPr>
  </w:style>
  <w:style w:type="paragraph" w:customStyle="1" w:styleId="495">
    <w:name w:val="样式 标题 1 + (西文) Arial (中文) 黑体 四号 非加粗 居中 段前: 20 磅 段后: 0 磅 行..."/>
    <w:basedOn w:val="3"/>
    <w:qFormat/>
    <w:uiPriority w:val="0"/>
    <w:pPr>
      <w:adjustRightInd/>
      <w:spacing w:before="400" w:after="0" w:line="360" w:lineRule="auto"/>
    </w:pPr>
    <w:rPr>
      <w:rFonts w:ascii="Arial" w:hAnsi="Arial" w:eastAsia="黑体"/>
      <w:bCs w:val="0"/>
      <w:sz w:val="28"/>
      <w:szCs w:val="20"/>
    </w:rPr>
  </w:style>
  <w:style w:type="paragraph" w:customStyle="1" w:styleId="496">
    <w:name w:val="xl22"/>
    <w:basedOn w:val="1"/>
    <w:qFormat/>
    <w:uiPriority w:val="0"/>
    <w:pPr>
      <w:widowControl/>
      <w:pBdr>
        <w:top w:val="single" w:color="auto" w:sz="4" w:space="0"/>
        <w:left w:val="single" w:color="auto" w:sz="4" w:space="0"/>
        <w:bottom w:val="single" w:color="auto" w:sz="4" w:space="0"/>
        <w:right w:val="double" w:color="auto" w:sz="6" w:space="0"/>
      </w:pBdr>
      <w:spacing w:before="100" w:after="100"/>
      <w:jc w:val="left"/>
    </w:pPr>
    <w:rPr>
      <w:rFonts w:ascii="Arial Unicode MS" w:hAnsi="Arial Unicode MS" w:eastAsia="Arial Unicode MS"/>
      <w:sz w:val="24"/>
    </w:rPr>
  </w:style>
  <w:style w:type="paragraph" w:customStyle="1" w:styleId="497">
    <w:name w:val="表格正文 五号"/>
    <w:basedOn w:val="1"/>
    <w:qFormat/>
    <w:uiPriority w:val="0"/>
    <w:pPr>
      <w:snapToGrid w:val="0"/>
      <w:spacing w:line="240" w:lineRule="auto"/>
      <w:ind w:firstLine="0" w:firstLineChars="0"/>
      <w:jc w:val="left"/>
    </w:pPr>
    <w:rPr>
      <w:rFonts w:ascii="宋体" w:hAnsi="宋体"/>
      <w:szCs w:val="21"/>
    </w:rPr>
  </w:style>
  <w:style w:type="paragraph" w:customStyle="1" w:styleId="498">
    <w:name w:val="xl1266"/>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499">
    <w:name w:val="xl141"/>
    <w:basedOn w:val="1"/>
    <w:qFormat/>
    <w:uiPriority w:val="0"/>
    <w:pPr>
      <w:widowControl/>
      <w:pBdr>
        <w:top w:val="single" w:color="auto" w:sz="4" w:space="0"/>
        <w:left w:val="single" w:color="auto" w:sz="4" w:space="0"/>
        <w:bottom w:val="single" w:color="auto" w:sz="4" w:space="0"/>
        <w:right w:val="single" w:color="auto" w:sz="8" w:space="0"/>
      </w:pBdr>
      <w:spacing w:before="100" w:after="100"/>
      <w:jc w:val="center"/>
    </w:pPr>
    <w:rPr>
      <w:rFonts w:ascii="宋体" w:hAnsi="宋体"/>
      <w:sz w:val="20"/>
    </w:rPr>
  </w:style>
  <w:style w:type="paragraph" w:customStyle="1" w:styleId="500">
    <w:name w:val="Char Char1 Char Char Char Char Char Char"/>
    <w:basedOn w:val="1"/>
    <w:qFormat/>
    <w:uiPriority w:val="0"/>
    <w:pPr>
      <w:widowControl/>
      <w:spacing w:after="160" w:line="240" w:lineRule="exact"/>
      <w:jc w:val="left"/>
    </w:pPr>
    <w:rPr>
      <w:snapToGrid w:val="0"/>
    </w:rPr>
  </w:style>
  <w:style w:type="paragraph" w:customStyle="1" w:styleId="501">
    <w:name w:val="xl97"/>
    <w:basedOn w:val="1"/>
    <w:qFormat/>
    <w:uiPriority w:val="0"/>
    <w:pPr>
      <w:widowControl/>
      <w:pBdr>
        <w:top w:val="single" w:color="auto" w:sz="4" w:space="0"/>
        <w:bottom w:val="single" w:color="auto" w:sz="8" w:space="0"/>
        <w:right w:val="single" w:color="auto" w:sz="4" w:space="0"/>
      </w:pBdr>
      <w:spacing w:before="100" w:after="100"/>
      <w:jc w:val="left"/>
      <w:textAlignment w:val="center"/>
    </w:pPr>
    <w:rPr>
      <w:sz w:val="20"/>
    </w:rPr>
  </w:style>
  <w:style w:type="paragraph" w:customStyle="1" w:styleId="502">
    <w:name w:val="xl38"/>
    <w:basedOn w:val="1"/>
    <w:qFormat/>
    <w:uiPriority w:val="0"/>
    <w:pPr>
      <w:widowControl/>
      <w:spacing w:before="100" w:beforeAutospacing="1" w:after="100" w:afterAutospacing="1"/>
      <w:jc w:val="left"/>
    </w:pPr>
    <w:rPr>
      <w:rFonts w:ascii="宋体" w:hAnsi="宋体"/>
      <w:sz w:val="18"/>
    </w:rPr>
  </w:style>
  <w:style w:type="paragraph" w:customStyle="1" w:styleId="503">
    <w:name w:val="xl1260"/>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sz w:val="20"/>
    </w:rPr>
  </w:style>
  <w:style w:type="paragraph" w:customStyle="1" w:styleId="504">
    <w:name w:val="xl4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hint="eastAsia" w:ascii="华文细黑" w:hAnsi="华文细黑" w:eastAsia="华文细黑"/>
      <w:b/>
      <w:bCs/>
      <w:color w:val="333399"/>
      <w:sz w:val="20"/>
    </w:rPr>
  </w:style>
  <w:style w:type="paragraph" w:customStyle="1" w:styleId="505">
    <w:name w:val="Char3 Char Char Char"/>
    <w:basedOn w:val="1"/>
    <w:qFormat/>
    <w:uiPriority w:val="0"/>
    <w:pPr>
      <w:widowControl/>
      <w:spacing w:after="160" w:line="240" w:lineRule="exact"/>
      <w:jc w:val="left"/>
    </w:pPr>
    <w:rPr>
      <w:rFonts w:ascii="Verdana" w:hAnsi="Verdana"/>
      <w:sz w:val="20"/>
      <w:lang w:eastAsia="en-US"/>
    </w:rPr>
  </w:style>
  <w:style w:type="paragraph" w:customStyle="1" w:styleId="506">
    <w:name w:val="xl129"/>
    <w:basedOn w:val="1"/>
    <w:qFormat/>
    <w:uiPriority w:val="0"/>
    <w:pPr>
      <w:widowControl/>
      <w:pBdr>
        <w:left w:val="single" w:color="auto" w:sz="8" w:space="0"/>
        <w:right w:val="single" w:color="auto" w:sz="4" w:space="0"/>
      </w:pBdr>
      <w:spacing w:before="100" w:after="100"/>
      <w:jc w:val="left"/>
      <w:textAlignment w:val="center"/>
    </w:pPr>
    <w:rPr>
      <w:rFonts w:ascii="宋体" w:hAnsi="宋体"/>
      <w:sz w:val="20"/>
    </w:rPr>
  </w:style>
  <w:style w:type="paragraph" w:customStyle="1" w:styleId="507">
    <w:name w:val="xl131"/>
    <w:basedOn w:val="1"/>
    <w:qFormat/>
    <w:uiPriority w:val="0"/>
    <w:pPr>
      <w:widowControl/>
      <w:pBdr>
        <w:top w:val="single" w:color="auto" w:sz="8" w:space="0"/>
        <w:left w:val="single" w:color="auto" w:sz="4" w:space="0"/>
        <w:bottom w:val="single" w:color="auto" w:sz="4" w:space="0"/>
        <w:right w:val="single" w:color="auto" w:sz="4" w:space="0"/>
      </w:pBdr>
      <w:spacing w:before="100" w:after="100"/>
      <w:jc w:val="left"/>
      <w:textAlignment w:val="center"/>
    </w:pPr>
    <w:rPr>
      <w:sz w:val="20"/>
    </w:rPr>
  </w:style>
  <w:style w:type="paragraph" w:customStyle="1" w:styleId="508">
    <w:name w:val="正文首缩"/>
    <w:basedOn w:val="1"/>
    <w:next w:val="6"/>
    <w:qFormat/>
    <w:uiPriority w:val="0"/>
    <w:pPr>
      <w:adjustRightInd w:val="0"/>
      <w:spacing w:line="324" w:lineRule="auto"/>
      <w:ind w:firstLine="425"/>
      <w:textAlignment w:val="baseline"/>
    </w:pPr>
    <w:rPr>
      <w:sz w:val="28"/>
    </w:rPr>
  </w:style>
  <w:style w:type="paragraph" w:customStyle="1" w:styleId="509">
    <w:name w:val="xl1216"/>
    <w:basedOn w:val="1"/>
    <w:qFormat/>
    <w:uiPriority w:val="0"/>
    <w:pPr>
      <w:widowControl/>
      <w:spacing w:before="100" w:after="100"/>
      <w:jc w:val="left"/>
      <w:textAlignment w:val="center"/>
    </w:pPr>
    <w:rPr>
      <w:rFonts w:hint="eastAsia" w:ascii="宋体" w:hAnsi="宋体"/>
      <w:b/>
      <w:sz w:val="28"/>
    </w:rPr>
  </w:style>
  <w:style w:type="paragraph" w:customStyle="1" w:styleId="51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sz w:val="24"/>
    </w:rPr>
  </w:style>
  <w:style w:type="paragraph" w:customStyle="1" w:styleId="511">
    <w:name w:val="+▲"/>
    <w:basedOn w:val="154"/>
    <w:qFormat/>
    <w:uiPriority w:val="0"/>
    <w:pPr>
      <w:numPr>
        <w:ilvl w:val="0"/>
        <w:numId w:val="18"/>
      </w:numPr>
      <w:tabs>
        <w:tab w:val="left" w:pos="900"/>
        <w:tab w:val="clear" w:pos="360"/>
      </w:tabs>
    </w:pPr>
  </w:style>
  <w:style w:type="paragraph" w:customStyle="1" w:styleId="512">
    <w:name w:val="xl138"/>
    <w:basedOn w:val="1"/>
    <w:qFormat/>
    <w:uiPriority w:val="0"/>
    <w:pPr>
      <w:widowControl/>
      <w:pBdr>
        <w:left w:val="single" w:color="auto" w:sz="8" w:space="0"/>
        <w:bottom w:val="single" w:color="auto" w:sz="8" w:space="0"/>
        <w:right w:val="single" w:color="auto" w:sz="8" w:space="0"/>
      </w:pBdr>
      <w:spacing w:before="100" w:after="100"/>
      <w:jc w:val="center"/>
      <w:textAlignment w:val="center"/>
    </w:pPr>
    <w:rPr>
      <w:rFonts w:ascii="宋体" w:hAnsi="宋体"/>
      <w:sz w:val="20"/>
    </w:rPr>
  </w:style>
  <w:style w:type="paragraph" w:customStyle="1" w:styleId="513">
    <w:name w:val="xl1241"/>
    <w:basedOn w:val="1"/>
    <w:qFormat/>
    <w:uiPriority w:val="0"/>
    <w:pPr>
      <w:widowControl/>
      <w:pBdr>
        <w:left w:val="single" w:color="auto" w:sz="4" w:space="0"/>
        <w:bottom w:val="single" w:color="auto" w:sz="4" w:space="0"/>
      </w:pBdr>
      <w:spacing w:before="100" w:after="100"/>
      <w:jc w:val="center"/>
      <w:textAlignment w:val="center"/>
    </w:pPr>
    <w:rPr>
      <w:rFonts w:hint="eastAsia" w:ascii="宋体" w:hAnsi="宋体"/>
      <w:sz w:val="20"/>
    </w:rPr>
  </w:style>
  <w:style w:type="paragraph" w:customStyle="1" w:styleId="514">
    <w:name w:val="xl90"/>
    <w:basedOn w:val="1"/>
    <w:qFormat/>
    <w:uiPriority w:val="0"/>
    <w:pPr>
      <w:widowControl/>
      <w:pBdr>
        <w:top w:val="single" w:color="auto" w:sz="8" w:space="0"/>
        <w:bottom w:val="single" w:color="auto" w:sz="4" w:space="0"/>
        <w:right w:val="single" w:color="auto" w:sz="4" w:space="0"/>
      </w:pBdr>
      <w:spacing w:before="100" w:after="100"/>
      <w:jc w:val="left"/>
      <w:textAlignment w:val="center"/>
    </w:pPr>
    <w:rPr>
      <w:sz w:val="20"/>
    </w:rPr>
  </w:style>
  <w:style w:type="paragraph" w:customStyle="1" w:styleId="515">
    <w:name w:val="默认段落字体 Para Char Char Char Char Char"/>
    <w:basedOn w:val="1"/>
    <w:qFormat/>
    <w:uiPriority w:val="0"/>
  </w:style>
  <w:style w:type="paragraph" w:customStyle="1" w:styleId="51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517">
    <w:name w:val="标题 1 Char2"/>
    <w:qFormat/>
    <w:uiPriority w:val="0"/>
    <w:rPr>
      <w:rFonts w:ascii="Calibri" w:hAnsi="Calibri"/>
      <w:b/>
      <w:bCs/>
      <w:kern w:val="44"/>
      <w:sz w:val="28"/>
      <w:szCs w:val="44"/>
    </w:rPr>
  </w:style>
  <w:style w:type="paragraph" w:customStyle="1" w:styleId="518">
    <w:name w:val="绿盟科技--正文首行缩进"/>
    <w:basedOn w:val="1"/>
    <w:qFormat/>
    <w:uiPriority w:val="0"/>
    <w:pPr>
      <w:widowControl/>
      <w:spacing w:after="50" w:line="300" w:lineRule="auto"/>
      <w:jc w:val="left"/>
    </w:pPr>
    <w:rPr>
      <w:rFonts w:ascii="Arial" w:hAnsi="Arial"/>
      <w:szCs w:val="21"/>
    </w:rPr>
  </w:style>
  <w:style w:type="paragraph" w:customStyle="1" w:styleId="519">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520">
    <w:name w:val="烽火正文"/>
    <w:basedOn w:val="1"/>
    <w:qFormat/>
    <w:uiPriority w:val="0"/>
    <w:pPr>
      <w:jc w:val="left"/>
    </w:pPr>
    <w:rPr>
      <w:sz w:val="24"/>
      <w:szCs w:val="21"/>
    </w:rPr>
  </w:style>
  <w:style w:type="paragraph" w:customStyle="1" w:styleId="521">
    <w:name w:val="自定义表格文字"/>
    <w:basedOn w:val="1"/>
    <w:qFormat/>
    <w:uiPriority w:val="0"/>
    <w:pPr>
      <w:spacing w:before="60" w:after="60" w:line="320" w:lineRule="exact"/>
      <w:jc w:val="left"/>
    </w:pPr>
    <w:rPr>
      <w:rFonts w:ascii="宋体" w:eastAsia="楷体_GB2312"/>
    </w:rPr>
  </w:style>
  <w:style w:type="paragraph" w:customStyle="1" w:styleId="522">
    <w:name w:val="_正文段落"/>
    <w:basedOn w:val="1"/>
    <w:qFormat/>
    <w:uiPriority w:val="0"/>
    <w:pPr>
      <w:spacing w:beforeLines="15" w:afterLines="15"/>
    </w:pPr>
    <w:rPr>
      <w:sz w:val="20"/>
    </w:rPr>
  </w:style>
  <w:style w:type="paragraph" w:customStyle="1" w:styleId="523">
    <w:name w:val="表格字体"/>
    <w:basedOn w:val="1"/>
    <w:link w:val="524"/>
    <w:qFormat/>
    <w:uiPriority w:val="0"/>
    <w:pPr>
      <w:ind w:firstLine="0" w:firstLineChars="0"/>
      <w:jc w:val="center"/>
    </w:pPr>
    <w:rPr>
      <w:kern w:val="2"/>
      <w:szCs w:val="22"/>
    </w:rPr>
  </w:style>
  <w:style w:type="character" w:customStyle="1" w:styleId="524">
    <w:name w:val="表格字体 字符"/>
    <w:link w:val="523"/>
    <w:qFormat/>
    <w:uiPriority w:val="0"/>
    <w:rPr>
      <w:rFonts w:ascii="仿宋" w:hAnsi="仿宋" w:eastAsia="仿宋"/>
      <w:kern w:val="2"/>
      <w:sz w:val="21"/>
      <w:szCs w:val="22"/>
    </w:rPr>
  </w:style>
  <w:style w:type="paragraph" w:customStyle="1" w:styleId="525">
    <w:name w:val="首行缩进"/>
    <w:basedOn w:val="1"/>
    <w:qFormat/>
    <w:uiPriority w:val="0"/>
    <w:pPr>
      <w:ind w:firstLine="480"/>
    </w:pPr>
    <w:rPr>
      <w:rFonts w:ascii="Calibri" w:hAnsi="宋体" w:cs="宋体"/>
      <w:kern w:val="2"/>
      <w:szCs w:val="22"/>
    </w:rPr>
  </w:style>
  <w:style w:type="character" w:customStyle="1" w:styleId="526">
    <w:name w:val="样式1 Char Char"/>
    <w:qFormat/>
    <w:uiPriority w:val="0"/>
    <w:rPr>
      <w:rFonts w:ascii="Arial" w:hAnsi="Arial" w:eastAsia="宋体"/>
      <w:kern w:val="2"/>
      <w:sz w:val="21"/>
      <w:szCs w:val="24"/>
      <w:lang w:val="en-US" w:eastAsia="zh-CN" w:bidi="ar-SA"/>
    </w:rPr>
  </w:style>
  <w:style w:type="character" w:customStyle="1" w:styleId="527">
    <w:name w:val="NormalCharacter"/>
    <w:semiHidden/>
    <w:qFormat/>
    <w:uiPriority w:val="0"/>
  </w:style>
  <w:style w:type="paragraph" w:customStyle="1" w:styleId="528">
    <w:name w:val="List Paragraph2"/>
    <w:basedOn w:val="1"/>
    <w:qFormat/>
    <w:uiPriority w:val="0"/>
    <w:pPr>
      <w:spacing w:line="240" w:lineRule="auto"/>
      <w:ind w:firstLine="420"/>
    </w:pPr>
    <w:rPr>
      <w:rFonts w:ascii="Calibri" w:hAnsi="Calibri"/>
      <w:kern w:val="2"/>
      <w:szCs w:val="22"/>
    </w:rPr>
  </w:style>
  <w:style w:type="paragraph" w:customStyle="1" w:styleId="529">
    <w:name w:val="普通 (Web)"/>
    <w:basedOn w:val="1"/>
    <w:qFormat/>
    <w:uiPriority w:val="0"/>
    <w:pPr>
      <w:widowControl/>
      <w:spacing w:before="100" w:after="100" w:line="240" w:lineRule="auto"/>
      <w:ind w:firstLine="0" w:firstLineChars="0"/>
    </w:pPr>
    <w:rPr>
      <w:rFonts w:ascii="宋体" w:hAnsi="宋体"/>
    </w:rPr>
  </w:style>
  <w:style w:type="paragraph" w:customStyle="1" w:styleId="530">
    <w:name w:val="Char Char Char Char Char Char Char Char Char Char Char Char1 Char"/>
    <w:basedOn w:val="21"/>
    <w:qFormat/>
    <w:uiPriority w:val="0"/>
    <w:pPr>
      <w:shd w:val="clear" w:color="auto" w:fill="auto"/>
      <w:spacing w:line="240" w:lineRule="auto"/>
      <w:ind w:firstLine="0" w:firstLineChars="0"/>
    </w:pPr>
    <w:rPr>
      <w:rFonts w:ascii="宋体" w:hAnsi="Arial"/>
      <w:sz w:val="18"/>
      <w:szCs w:val="18"/>
    </w:rPr>
  </w:style>
  <w:style w:type="paragraph" w:customStyle="1" w:styleId="531">
    <w:name w:val="CM24"/>
    <w:basedOn w:val="227"/>
    <w:next w:val="227"/>
    <w:qFormat/>
    <w:uiPriority w:val="0"/>
    <w:pPr>
      <w:spacing w:line="440" w:lineRule="atLeast"/>
    </w:pPr>
    <w:rPr>
      <w:rFonts w:ascii="宋体" w:hAnsi="Calibri" w:eastAsia="宋体"/>
      <w:color w:val="auto"/>
    </w:rPr>
  </w:style>
  <w:style w:type="paragraph" w:customStyle="1" w:styleId="532">
    <w:name w:val="1"/>
    <w:basedOn w:val="1"/>
    <w:next w:val="55"/>
    <w:qFormat/>
    <w:uiPriority w:val="0"/>
    <w:pPr>
      <w:widowControl/>
      <w:snapToGrid w:val="0"/>
      <w:spacing w:line="440" w:lineRule="atLeast"/>
      <w:ind w:firstLine="480" w:firstLineChars="0"/>
    </w:pPr>
    <w:rPr>
      <w:rFonts w:ascii="Arial" w:hAnsi="Arial"/>
    </w:rPr>
  </w:style>
  <w:style w:type="paragraph" w:customStyle="1" w:styleId="533">
    <w:name w:val="Char12"/>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34">
    <w:name w:val="_Style 245"/>
    <w:basedOn w:val="3"/>
    <w:next w:val="1"/>
    <w:qFormat/>
    <w:uiPriority w:val="0"/>
    <w:pPr>
      <w:pBdr>
        <w:top w:val="none" w:color="auto" w:sz="0" w:space="1"/>
        <w:left w:val="none" w:color="auto" w:sz="0" w:space="2"/>
        <w:right w:val="none" w:color="auto" w:sz="0" w:space="2"/>
      </w:pBdr>
      <w:adjustRightInd/>
      <w:snapToGrid w:val="0"/>
      <w:spacing w:beforeLines="50" w:line="276" w:lineRule="auto"/>
      <w:jc w:val="both"/>
      <w:outlineLvl w:val="9"/>
    </w:pPr>
    <w:rPr>
      <w:rFonts w:ascii="Cambria" w:hAnsi="Cambria"/>
      <w:color w:val="365F91"/>
      <w:kern w:val="2"/>
      <w:sz w:val="28"/>
      <w:szCs w:val="28"/>
    </w:rPr>
  </w:style>
  <w:style w:type="paragraph" w:customStyle="1" w:styleId="53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pPr>
    <w:rPr>
      <w:rFonts w:ascii="Verdana" w:hAnsi="Verdana" w:eastAsia="仿宋_GB2312"/>
      <w:lang w:eastAsia="en-US"/>
    </w:rPr>
  </w:style>
  <w:style w:type="paragraph" w:customStyle="1" w:styleId="536">
    <w:name w:val="Normal Indent1"/>
    <w:basedOn w:val="1"/>
    <w:qFormat/>
    <w:uiPriority w:val="0"/>
    <w:pPr>
      <w:spacing w:line="240" w:lineRule="auto"/>
      <w:ind w:firstLine="420"/>
    </w:pPr>
    <w:rPr>
      <w:rFonts w:ascii="Arial" w:hAnsi="Arial"/>
      <w:kern w:val="2"/>
      <w:szCs w:val="24"/>
    </w:rPr>
  </w:style>
  <w:style w:type="paragraph" w:customStyle="1" w:styleId="537">
    <w:name w:val="中国航油-标题"/>
    <w:basedOn w:val="1"/>
    <w:qFormat/>
    <w:uiPriority w:val="0"/>
    <w:pPr>
      <w:spacing w:line="240" w:lineRule="auto"/>
      <w:ind w:firstLine="0" w:firstLineChars="0"/>
      <w:jc w:val="center"/>
    </w:pPr>
    <w:rPr>
      <w:rFonts w:ascii="Arial" w:hAnsi="Arial"/>
      <w:b/>
      <w:kern w:val="2"/>
      <w:szCs w:val="21"/>
    </w:rPr>
  </w:style>
  <w:style w:type="paragraph" w:customStyle="1" w:styleId="538">
    <w:name w:val="Char1 Char Char Char Char Char Char Char Char Char"/>
    <w:basedOn w:val="1"/>
    <w:qFormat/>
    <w:uiPriority w:val="0"/>
    <w:pPr>
      <w:spacing w:line="240" w:lineRule="auto"/>
      <w:ind w:firstLine="360" w:firstLineChars="150"/>
    </w:pPr>
    <w:rPr>
      <w:rFonts w:ascii="Tahoma" w:hAnsi="Tahoma"/>
      <w:kern w:val="2"/>
    </w:rPr>
  </w:style>
  <w:style w:type="paragraph" w:customStyle="1" w:styleId="539">
    <w:name w:val="样式 正文文本 + 首行缩进:  2 字符"/>
    <w:basedOn w:val="27"/>
    <w:qFormat/>
    <w:uiPriority w:val="0"/>
    <w:pPr>
      <w:snapToGrid w:val="0"/>
      <w:spacing w:line="400" w:lineRule="exact"/>
      <w:jc w:val="both"/>
    </w:pPr>
    <w:rPr>
      <w:rFonts w:ascii="Arial" w:hAnsi="Arial" w:cs="宋体"/>
    </w:rPr>
  </w:style>
  <w:style w:type="paragraph" w:customStyle="1" w:styleId="540">
    <w:name w:val="Char2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41">
    <w:name w:val="正文文本缩进 21"/>
    <w:basedOn w:val="1"/>
    <w:qFormat/>
    <w:uiPriority w:val="0"/>
    <w:pPr>
      <w:tabs>
        <w:tab w:val="left" w:pos="0"/>
      </w:tabs>
      <w:adjustRightInd w:val="0"/>
      <w:ind w:left="180" w:firstLine="540" w:firstLineChars="0"/>
      <w:textAlignment w:val="baseline"/>
    </w:pPr>
    <w:rPr>
      <w:rFonts w:ascii="宋体" w:hAnsi="宋体"/>
      <w:sz w:val="28"/>
    </w:rPr>
  </w:style>
  <w:style w:type="paragraph" w:customStyle="1" w:styleId="542">
    <w:name w:val="普通(网站)11"/>
    <w:basedOn w:val="1"/>
    <w:qFormat/>
    <w:uiPriority w:val="0"/>
    <w:pPr>
      <w:widowControl/>
      <w:spacing w:line="240" w:lineRule="auto"/>
      <w:ind w:firstLine="0" w:firstLineChars="0"/>
    </w:pPr>
    <w:rPr>
      <w:rFonts w:ascii="ˎ̥" w:hAnsi="ˎ̥" w:cs="宋体"/>
      <w:color w:val="000000"/>
      <w:sz w:val="13"/>
      <w:szCs w:val="13"/>
    </w:rPr>
  </w:style>
  <w:style w:type="paragraph" w:customStyle="1" w:styleId="543">
    <w:name w:val="标题5"/>
    <w:basedOn w:val="5"/>
    <w:link w:val="544"/>
    <w:qFormat/>
    <w:uiPriority w:val="0"/>
    <w:pPr>
      <w:pBdr>
        <w:left w:val="none" w:color="auto" w:sz="0" w:space="4"/>
        <w:right w:val="none" w:color="auto" w:sz="0" w:space="4"/>
      </w:pBdr>
      <w:snapToGrid w:val="0"/>
      <w:spacing w:before="0" w:beforeLines="50" w:line="413" w:lineRule="auto"/>
      <w:ind w:firstLine="422"/>
    </w:pPr>
    <w:rPr>
      <w:rFonts w:ascii="Arial" w:hAnsi="Arial"/>
      <w:b w:val="0"/>
      <w:sz w:val="21"/>
    </w:rPr>
  </w:style>
  <w:style w:type="character" w:customStyle="1" w:styleId="544">
    <w:name w:val="标题5 Char Char"/>
    <w:link w:val="543"/>
    <w:qFormat/>
    <w:uiPriority w:val="0"/>
    <w:rPr>
      <w:rFonts w:ascii="Arial" w:hAnsi="Arial"/>
      <w:bCs/>
      <w:sz w:val="21"/>
      <w:szCs w:val="32"/>
    </w:rPr>
  </w:style>
  <w:style w:type="paragraph" w:customStyle="1" w:styleId="545">
    <w:name w:val="table_lines"/>
    <w:basedOn w:val="1"/>
    <w:qFormat/>
    <w:uiPriority w:val="0"/>
    <w:pPr>
      <w:widowControl/>
      <w:spacing w:line="240" w:lineRule="auto"/>
      <w:ind w:firstLine="0" w:firstLineChars="0"/>
    </w:pPr>
    <w:rPr>
      <w:rFonts w:ascii="Arial" w:hAnsi="Arial"/>
      <w:sz w:val="20"/>
      <w:lang w:val="de-DE" w:eastAsia="de-DE"/>
    </w:rPr>
  </w:style>
  <w:style w:type="paragraph" w:customStyle="1" w:styleId="546">
    <w:name w:val="样式 标题 1 + 黑体 三号 非加粗 居中 段前: 6 磅 段后: 6 磅 行距: 固定值 20 磅"/>
    <w:basedOn w:val="3"/>
    <w:qFormat/>
    <w:uiPriority w:val="0"/>
    <w:pPr>
      <w:pBdr>
        <w:top w:val="none" w:color="auto" w:sz="0" w:space="1"/>
        <w:left w:val="none" w:color="auto" w:sz="0" w:space="2"/>
        <w:right w:val="none" w:color="auto" w:sz="0" w:space="2"/>
      </w:pBdr>
      <w:adjustRightInd/>
      <w:snapToGrid w:val="0"/>
      <w:spacing w:beforeLines="50" w:after="120" w:line="400" w:lineRule="exact"/>
    </w:pPr>
    <w:rPr>
      <w:rFonts w:ascii="黑体" w:hAnsi="黑体" w:eastAsia="黑体" w:cs="宋体"/>
      <w:b w:val="0"/>
      <w:bCs w:val="0"/>
      <w:kern w:val="2"/>
      <w:sz w:val="32"/>
      <w:szCs w:val="20"/>
    </w:rPr>
  </w:style>
  <w:style w:type="paragraph" w:customStyle="1" w:styleId="547">
    <w:name w:val="样式 正文文本 + 首行缩进:  2 字符1"/>
    <w:basedOn w:val="27"/>
    <w:qFormat/>
    <w:uiPriority w:val="0"/>
    <w:pPr>
      <w:snapToGrid w:val="0"/>
      <w:spacing w:line="400" w:lineRule="exact"/>
      <w:jc w:val="both"/>
    </w:pPr>
    <w:rPr>
      <w:rFonts w:ascii="Arial" w:hAnsi="Arial" w:cs="宋体"/>
    </w:rPr>
  </w:style>
  <w:style w:type="paragraph" w:customStyle="1" w:styleId="548">
    <w:name w:val="zbggmain"/>
    <w:basedOn w:val="1"/>
    <w:qFormat/>
    <w:uiPriority w:val="0"/>
    <w:pPr>
      <w:widowControl/>
      <w:spacing w:before="100" w:beforeAutospacing="1" w:after="100" w:afterAutospacing="1" w:line="240" w:lineRule="auto"/>
      <w:ind w:firstLine="0" w:firstLineChars="0"/>
    </w:pPr>
    <w:rPr>
      <w:rFonts w:ascii="宋体" w:hAnsi="宋体" w:cs="宋体"/>
      <w:szCs w:val="24"/>
    </w:rPr>
  </w:style>
  <w:style w:type="paragraph" w:customStyle="1" w:styleId="549">
    <w:name w:val="样式"/>
    <w:qFormat/>
    <w:uiPriority w:val="0"/>
    <w:pPr>
      <w:widowControl w:val="0"/>
      <w:adjustRightInd w:val="0"/>
      <w:spacing w:line="360" w:lineRule="auto"/>
      <w:ind w:firstLine="482"/>
      <w:jc w:val="both"/>
      <w:textAlignment w:val="baseline"/>
    </w:pPr>
    <w:rPr>
      <w:rFonts w:ascii="Calibri" w:hAnsi="Calibri" w:eastAsia="宋体" w:cs="Times New Roman"/>
      <w:sz w:val="24"/>
      <w:lang w:val="en-US" w:eastAsia="zh-CN" w:bidi="ar-SA"/>
    </w:rPr>
  </w:style>
  <w:style w:type="paragraph" w:customStyle="1" w:styleId="550">
    <w:name w:val="正文文字缩进 2"/>
    <w:basedOn w:val="1"/>
    <w:qFormat/>
    <w:uiPriority w:val="0"/>
    <w:pPr>
      <w:widowControl/>
      <w:spacing w:line="351" w:lineRule="atLeast"/>
      <w:ind w:firstLine="481" w:firstLineChars="0"/>
      <w:textAlignment w:val="baseline"/>
    </w:pPr>
    <w:rPr>
      <w:rFonts w:ascii="仿宋_GB2312" w:hAnsi="Arial" w:eastAsia="仿宋_GB2312"/>
      <w:color w:val="000000"/>
      <w:u w:color="000000"/>
    </w:rPr>
  </w:style>
  <w:style w:type="paragraph" w:customStyle="1" w:styleId="551">
    <w:name w:val="正文文本缩进 22"/>
    <w:basedOn w:val="1"/>
    <w:qFormat/>
    <w:uiPriority w:val="0"/>
    <w:pPr>
      <w:tabs>
        <w:tab w:val="left" w:pos="0"/>
      </w:tabs>
      <w:adjustRightInd w:val="0"/>
      <w:ind w:left="180" w:firstLine="540" w:firstLineChars="0"/>
      <w:textAlignment w:val="baseline"/>
    </w:pPr>
    <w:rPr>
      <w:rFonts w:ascii="宋体" w:hAnsi="宋体"/>
      <w:sz w:val="28"/>
    </w:rPr>
  </w:style>
  <w:style w:type="paragraph" w:customStyle="1" w:styleId="552">
    <w:name w:val="Default Paragraph Font Para Char"/>
    <w:basedOn w:val="1"/>
    <w:qFormat/>
    <w:uiPriority w:val="0"/>
    <w:pPr>
      <w:widowControl/>
      <w:spacing w:after="160" w:line="240" w:lineRule="exact"/>
      <w:ind w:firstLine="0" w:firstLineChars="0"/>
    </w:pPr>
    <w:rPr>
      <w:rFonts w:ascii="Verdana" w:hAnsi="Verdana"/>
      <w:sz w:val="20"/>
      <w:lang w:eastAsia="en-US"/>
    </w:rPr>
  </w:style>
  <w:style w:type="paragraph" w:customStyle="1" w:styleId="553">
    <w:name w:val="样式 样式 样式 样式1 + 首行缩进:  2 字符 + 左侧:  0.74 厘米 + 首行缩进:  2 字符"/>
    <w:basedOn w:val="1"/>
    <w:qFormat/>
    <w:uiPriority w:val="0"/>
    <w:pPr>
      <w:spacing w:line="360" w:lineRule="exact"/>
      <w:ind w:firstLine="480"/>
    </w:pPr>
    <w:rPr>
      <w:rFonts w:ascii="Arial" w:hAnsi="Arial"/>
    </w:rPr>
  </w:style>
  <w:style w:type="paragraph" w:customStyle="1" w:styleId="554">
    <w:name w:val="Char1 Char Char Char Char Char Char1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55">
    <w:name w:val="纯文本111"/>
    <w:basedOn w:val="1"/>
    <w:qFormat/>
    <w:uiPriority w:val="0"/>
    <w:pPr>
      <w:spacing w:line="240" w:lineRule="auto"/>
      <w:ind w:firstLine="0" w:firstLineChars="0"/>
    </w:pPr>
    <w:rPr>
      <w:rFonts w:ascii="宋体" w:hAnsi="Courier New"/>
      <w:kern w:val="2"/>
      <w:szCs w:val="22"/>
    </w:rPr>
  </w:style>
  <w:style w:type="paragraph" w:customStyle="1" w:styleId="556">
    <w:name w:val="正文 New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57">
    <w:name w:val="Char1 Char Char Char Char Char Char1"/>
    <w:basedOn w:val="1"/>
    <w:qFormat/>
    <w:uiPriority w:val="0"/>
    <w:pPr>
      <w:widowControl/>
      <w:spacing w:after="160" w:line="240" w:lineRule="exact"/>
      <w:ind w:firstLine="0" w:firstLineChars="0"/>
    </w:pPr>
    <w:rPr>
      <w:rFonts w:ascii="Verdana" w:hAnsi="Verdana"/>
      <w:lang w:eastAsia="en-US"/>
    </w:rPr>
  </w:style>
  <w:style w:type="paragraph" w:customStyle="1" w:styleId="558">
    <w:name w:val="纯文本11"/>
    <w:basedOn w:val="1"/>
    <w:qFormat/>
    <w:uiPriority w:val="0"/>
    <w:pPr>
      <w:adjustRightInd w:val="0"/>
      <w:spacing w:line="240" w:lineRule="auto"/>
      <w:ind w:firstLine="0" w:firstLineChars="0"/>
      <w:textAlignment w:val="baseline"/>
    </w:pPr>
    <w:rPr>
      <w:rFonts w:ascii="宋体" w:hAnsi="Courier New"/>
      <w:kern w:val="2"/>
    </w:rPr>
  </w:style>
  <w:style w:type="paragraph" w:customStyle="1" w:styleId="559">
    <w:name w:val="正文文本 211"/>
    <w:basedOn w:val="1"/>
    <w:qFormat/>
    <w:uiPriority w:val="0"/>
    <w:pPr>
      <w:adjustRightInd w:val="0"/>
      <w:spacing w:line="300" w:lineRule="auto"/>
      <w:ind w:firstLine="0" w:firstLineChars="0"/>
      <w:jc w:val="center"/>
    </w:pPr>
    <w:rPr>
      <w:rFonts w:ascii="宋体" w:hAnsi="宋体"/>
      <w:kern w:val="2"/>
    </w:rPr>
  </w:style>
  <w:style w:type="paragraph" w:customStyle="1" w:styleId="560">
    <w:name w:val="招标文件－表格用正文"/>
    <w:basedOn w:val="1"/>
    <w:qFormat/>
    <w:uiPriority w:val="0"/>
    <w:pPr>
      <w:spacing w:before="100" w:beforeAutospacing="1" w:after="100" w:afterAutospacing="1" w:line="240" w:lineRule="auto"/>
      <w:ind w:firstLine="0" w:firstLineChars="0"/>
    </w:pPr>
    <w:rPr>
      <w:rFonts w:ascii="Arial" w:hAnsi="Arial" w:cs="宋体"/>
      <w:kern w:val="2"/>
    </w:rPr>
  </w:style>
  <w:style w:type="paragraph" w:customStyle="1" w:styleId="561">
    <w:name w:val="表格内文"/>
    <w:basedOn w:val="1"/>
    <w:qFormat/>
    <w:uiPriority w:val="0"/>
    <w:pPr>
      <w:widowControl/>
      <w:adjustRightInd w:val="0"/>
      <w:snapToGrid w:val="0"/>
      <w:spacing w:line="240" w:lineRule="auto"/>
      <w:ind w:firstLine="0" w:firstLineChars="0"/>
    </w:pPr>
    <w:rPr>
      <w:rFonts w:ascii="Arial" w:hAnsi="Arial"/>
    </w:rPr>
  </w:style>
  <w:style w:type="paragraph" w:customStyle="1" w:styleId="562">
    <w:name w:val="Char Char4"/>
    <w:basedOn w:val="9"/>
    <w:qFormat/>
    <w:uiPriority w:val="0"/>
    <w:pPr>
      <w:widowControl/>
      <w:spacing w:line="360" w:lineRule="auto"/>
      <w:ind w:firstLine="480"/>
    </w:pPr>
    <w:rPr>
      <w:rFonts w:ascii="Arial" w:hAnsi="Arial"/>
      <w:spacing w:val="0"/>
      <w:kern w:val="2"/>
      <w:szCs w:val="24"/>
    </w:rPr>
  </w:style>
  <w:style w:type="paragraph" w:customStyle="1" w:styleId="563">
    <w:name w:val="Char Char Char Char Char Char Char Char1"/>
    <w:basedOn w:val="1"/>
    <w:qFormat/>
    <w:uiPriority w:val="0"/>
    <w:pPr>
      <w:spacing w:line="240" w:lineRule="auto"/>
      <w:ind w:firstLine="0" w:firstLineChars="0"/>
    </w:pPr>
    <w:rPr>
      <w:rFonts w:ascii="Arial" w:hAnsi="Arial"/>
      <w:kern w:val="2"/>
    </w:rPr>
  </w:style>
  <w:style w:type="paragraph" w:customStyle="1" w:styleId="564">
    <w:name w:val="标题4－连尉平"/>
    <w:basedOn w:val="1"/>
    <w:qFormat/>
    <w:uiPriority w:val="0"/>
    <w:pPr>
      <w:tabs>
        <w:tab w:val="left" w:pos="1380"/>
        <w:tab w:val="left" w:pos="2100"/>
      </w:tabs>
      <w:spacing w:line="240" w:lineRule="auto"/>
      <w:ind w:left="1380" w:hanging="420" w:firstLineChars="0"/>
    </w:pPr>
    <w:rPr>
      <w:rFonts w:ascii="Arial" w:hAnsi="Arial"/>
      <w:kern w:val="2"/>
    </w:rPr>
  </w:style>
  <w:style w:type="paragraph" w:customStyle="1" w:styleId="565">
    <w:name w:val="样式 标题 1 + 首行缩进:  2 字符 段前: 1 行 段后: 1 行"/>
    <w:basedOn w:val="3"/>
    <w:qFormat/>
    <w:uiPriority w:val="0"/>
    <w:pPr>
      <w:pBdr>
        <w:top w:val="none" w:color="auto" w:sz="0" w:space="1"/>
        <w:left w:val="none" w:color="auto" w:sz="0" w:space="2"/>
        <w:right w:val="none" w:color="auto" w:sz="0" w:space="2"/>
      </w:pBdr>
      <w:adjustRightInd/>
      <w:snapToGrid w:val="0"/>
      <w:spacing w:beforeLines="100" w:afterLines="100" w:line="300" w:lineRule="auto"/>
      <w:jc w:val="both"/>
    </w:pPr>
    <w:rPr>
      <w:rFonts w:eastAsia="黑体" w:cs="宋体"/>
      <w:b w:val="0"/>
      <w:bCs w:val="0"/>
      <w:sz w:val="28"/>
      <w:szCs w:val="20"/>
    </w:rPr>
  </w:style>
  <w:style w:type="paragraph" w:customStyle="1" w:styleId="566">
    <w:name w:val="表内正文"/>
    <w:basedOn w:val="1"/>
    <w:qFormat/>
    <w:uiPriority w:val="0"/>
    <w:pPr>
      <w:spacing w:line="240" w:lineRule="auto"/>
      <w:ind w:firstLine="0" w:firstLineChars="0"/>
    </w:pPr>
    <w:rPr>
      <w:rFonts w:ascii="宋体" w:hAnsi="Arial"/>
      <w:kern w:val="2"/>
      <w:sz w:val="20"/>
    </w:rPr>
  </w:style>
  <w:style w:type="paragraph" w:customStyle="1" w:styleId="567">
    <w:name w:val="Char Char Char Char1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68">
    <w:name w:val="样式 样式 样式1 + 首行缩进:  2 字符 + 左侧:  0.74 厘米"/>
    <w:basedOn w:val="1"/>
    <w:qFormat/>
    <w:uiPriority w:val="0"/>
    <w:pPr>
      <w:spacing w:line="360" w:lineRule="exact"/>
    </w:pPr>
    <w:rPr>
      <w:rFonts w:ascii="Arial" w:hAnsi="Arial" w:cs="宋体"/>
      <w:kern w:val="2"/>
    </w:rPr>
  </w:style>
  <w:style w:type="paragraph" w:customStyle="1" w:styleId="569">
    <w:name w:val="普通文字"/>
    <w:basedOn w:val="1"/>
    <w:qFormat/>
    <w:uiPriority w:val="0"/>
    <w:pPr>
      <w:widowControl/>
      <w:spacing w:line="351" w:lineRule="atLeast"/>
      <w:ind w:firstLine="419" w:firstLineChars="0"/>
      <w:textAlignment w:val="baseline"/>
    </w:pPr>
    <w:rPr>
      <w:rFonts w:ascii="宋体" w:hAnsi="Arial"/>
      <w:color w:val="000000"/>
      <w:u w:color="000000"/>
    </w:rPr>
  </w:style>
  <w:style w:type="paragraph" w:customStyle="1" w:styleId="570">
    <w:name w:val="Legal 5"/>
    <w:basedOn w:val="227"/>
    <w:next w:val="227"/>
    <w:qFormat/>
    <w:uiPriority w:val="0"/>
    <w:pPr>
      <w:spacing w:after="120"/>
    </w:pPr>
    <w:rPr>
      <w:rFonts w:ascii="宋体" w:hAnsi="Calibri" w:eastAsia="宋体"/>
      <w:color w:val="auto"/>
      <w:szCs w:val="20"/>
    </w:rPr>
  </w:style>
  <w:style w:type="paragraph" w:customStyle="1" w:styleId="571">
    <w:name w:val="样式 表内正文 + 五号 行距: 单倍行距"/>
    <w:basedOn w:val="566"/>
    <w:qFormat/>
    <w:uiPriority w:val="0"/>
    <w:pPr>
      <w:adjustRightInd w:val="0"/>
      <w:snapToGrid w:val="0"/>
    </w:pPr>
    <w:rPr>
      <w:rFonts w:ascii="Arial" w:cs="宋体"/>
      <w:sz w:val="21"/>
    </w:rPr>
  </w:style>
  <w:style w:type="paragraph" w:customStyle="1" w:styleId="572">
    <w:name w:val="Char Char Char1 Char"/>
    <w:basedOn w:val="1"/>
    <w:qFormat/>
    <w:uiPriority w:val="0"/>
    <w:pPr>
      <w:widowControl/>
      <w:spacing w:after="160" w:line="240" w:lineRule="exact"/>
      <w:ind w:firstLine="0" w:firstLineChars="0"/>
    </w:pPr>
    <w:rPr>
      <w:rFonts w:ascii="Arial" w:hAnsi="Arial" w:cs="Verdana"/>
      <w:b/>
      <w:lang w:eastAsia="en-US"/>
    </w:rPr>
  </w:style>
  <w:style w:type="paragraph" w:customStyle="1" w:styleId="573">
    <w:name w:val="样式 标题 1 + 加粗"/>
    <w:basedOn w:val="3"/>
    <w:qFormat/>
    <w:uiPriority w:val="0"/>
    <w:pPr>
      <w:pBdr>
        <w:top w:val="none" w:color="auto" w:sz="0" w:space="1"/>
        <w:left w:val="none" w:color="auto" w:sz="0" w:space="2"/>
        <w:right w:val="none" w:color="auto" w:sz="0" w:space="2"/>
      </w:pBdr>
      <w:adjustRightInd/>
      <w:snapToGrid w:val="0"/>
      <w:spacing w:beforeLines="100" w:afterLines="100" w:line="300" w:lineRule="auto"/>
      <w:jc w:val="both"/>
    </w:pPr>
    <w:rPr>
      <w:rFonts w:eastAsia="黑体"/>
      <w:sz w:val="28"/>
      <w:szCs w:val="28"/>
    </w:rPr>
  </w:style>
  <w:style w:type="paragraph" w:customStyle="1" w:styleId="574">
    <w:name w:val="样式 样式 标题 3 + (符号) 宋体 四号 加粗 黑色 段前: 0 磅 段后: 0 磅 行距: 固定值 22 磅 + 段前:..."/>
    <w:basedOn w:val="1"/>
    <w:qFormat/>
    <w:uiPriority w:val="0"/>
    <w:pPr>
      <w:keepNext/>
      <w:keepLines/>
      <w:spacing w:beforeLines="50" w:afterLines="50" w:line="580" w:lineRule="exact"/>
      <w:ind w:firstLine="0" w:firstLineChars="0"/>
      <w:outlineLvl w:val="2"/>
    </w:pPr>
    <w:rPr>
      <w:rFonts w:ascii="宋体" w:hAnsi="宋体"/>
      <w:b/>
      <w:bCs/>
      <w:color w:val="000000"/>
      <w:kern w:val="24"/>
      <w:sz w:val="28"/>
    </w:rPr>
  </w:style>
  <w:style w:type="paragraph" w:customStyle="1" w:styleId="575">
    <w:name w:val="正文文字缩进 3"/>
    <w:basedOn w:val="1"/>
    <w:qFormat/>
    <w:uiPriority w:val="0"/>
    <w:pPr>
      <w:widowControl/>
      <w:spacing w:before="119" w:line="272" w:lineRule="atLeast"/>
      <w:ind w:left="719" w:firstLine="481" w:firstLineChars="0"/>
      <w:textAlignment w:val="baseline"/>
    </w:pPr>
    <w:rPr>
      <w:rFonts w:ascii="宋体" w:hAnsi="Arial"/>
      <w:color w:val="000000"/>
      <w:u w:color="000000"/>
    </w:rPr>
  </w:style>
  <w:style w:type="paragraph" w:customStyle="1" w:styleId="576">
    <w:name w:val="Legal 3"/>
    <w:basedOn w:val="227"/>
    <w:next w:val="227"/>
    <w:qFormat/>
    <w:uiPriority w:val="0"/>
    <w:pPr>
      <w:spacing w:after="120"/>
    </w:pPr>
    <w:rPr>
      <w:rFonts w:ascii="宋体" w:hAnsi="Calibri" w:eastAsia="宋体"/>
      <w:color w:val="auto"/>
      <w:szCs w:val="20"/>
    </w:rPr>
  </w:style>
  <w:style w:type="paragraph" w:customStyle="1" w:styleId="577">
    <w:name w:val="标题2"/>
    <w:basedOn w:val="1"/>
    <w:qFormat/>
    <w:uiPriority w:val="0"/>
    <w:pPr>
      <w:tabs>
        <w:tab w:val="left" w:pos="0"/>
      </w:tabs>
      <w:ind w:left="567" w:hanging="567" w:firstLineChars="0"/>
    </w:pPr>
    <w:rPr>
      <w:rFonts w:ascii="Arial" w:hAnsi="Arial"/>
      <w:b/>
      <w:kern w:val="2"/>
      <w:szCs w:val="24"/>
    </w:rPr>
  </w:style>
  <w:style w:type="paragraph" w:customStyle="1" w:styleId="578">
    <w:name w:val="样式 样式1 + 首行缩进:  2 字符"/>
    <w:basedOn w:val="232"/>
    <w:qFormat/>
    <w:uiPriority w:val="0"/>
    <w:pPr>
      <w:adjustRightInd/>
      <w:spacing w:before="0" w:line="360" w:lineRule="exact"/>
      <w:ind w:firstLine="420"/>
      <w:outlineLvl w:val="9"/>
    </w:pPr>
    <w:rPr>
      <w:rFonts w:ascii="Arial" w:hAnsi="Arial" w:cs="宋体"/>
      <w:b w:val="0"/>
      <w:bCs w:val="0"/>
      <w:sz w:val="21"/>
    </w:rPr>
  </w:style>
  <w:style w:type="paragraph" w:customStyle="1" w:styleId="579">
    <w:name w:val="纯文本2"/>
    <w:basedOn w:val="1"/>
    <w:qFormat/>
    <w:uiPriority w:val="0"/>
    <w:pPr>
      <w:adjustRightInd w:val="0"/>
      <w:spacing w:line="240" w:lineRule="auto"/>
      <w:ind w:firstLine="0" w:firstLineChars="0"/>
      <w:textAlignment w:val="baseline"/>
    </w:pPr>
    <w:rPr>
      <w:rFonts w:ascii="宋体" w:hAnsi="Courier New"/>
      <w:kern w:val="2"/>
    </w:rPr>
  </w:style>
  <w:style w:type="paragraph" w:customStyle="1" w:styleId="580">
    <w:name w:val="6'"/>
    <w:basedOn w:val="1"/>
    <w:qFormat/>
    <w:uiPriority w:val="0"/>
    <w:pPr>
      <w:autoSpaceDE w:val="0"/>
      <w:autoSpaceDN w:val="0"/>
      <w:adjustRightInd w:val="0"/>
      <w:snapToGrid w:val="0"/>
      <w:spacing w:line="320" w:lineRule="exact"/>
      <w:ind w:firstLine="0" w:firstLineChars="0"/>
      <w:jc w:val="center"/>
      <w:textAlignment w:val="baseline"/>
    </w:pPr>
    <w:rPr>
      <w:rFonts w:ascii="Arial" w:hAnsi="Arial"/>
      <w:spacing w:val="20"/>
      <w:kern w:val="28"/>
    </w:rPr>
  </w:style>
  <w:style w:type="paragraph" w:customStyle="1" w:styleId="581">
    <w:name w:val="纯文本3"/>
    <w:basedOn w:val="1"/>
    <w:qFormat/>
    <w:uiPriority w:val="0"/>
    <w:pPr>
      <w:spacing w:line="240" w:lineRule="auto"/>
      <w:ind w:firstLine="0" w:firstLineChars="0"/>
    </w:pPr>
    <w:rPr>
      <w:rFonts w:ascii="宋体" w:hAnsi="Courier New"/>
      <w:kern w:val="2"/>
      <w:szCs w:val="24"/>
    </w:rPr>
  </w:style>
  <w:style w:type="paragraph" w:customStyle="1" w:styleId="582">
    <w:name w:val="Char Char2"/>
    <w:basedOn w:val="1"/>
    <w:qFormat/>
    <w:uiPriority w:val="0"/>
    <w:pPr>
      <w:widowControl/>
      <w:spacing w:after="160" w:line="240" w:lineRule="exact"/>
      <w:ind w:firstLine="0" w:firstLineChars="0"/>
    </w:pPr>
    <w:rPr>
      <w:rFonts w:ascii="Arial" w:hAnsi="Arial"/>
      <w:kern w:val="2"/>
      <w:szCs w:val="24"/>
    </w:rPr>
  </w:style>
  <w:style w:type="paragraph" w:customStyle="1" w:styleId="583">
    <w:name w:val="Char1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84">
    <w:name w:val="Char Char Char Char1 Char Char"/>
    <w:basedOn w:val="1"/>
    <w:qFormat/>
    <w:uiPriority w:val="0"/>
    <w:pPr>
      <w:spacing w:line="240" w:lineRule="auto"/>
      <w:ind w:firstLine="0" w:firstLineChars="0"/>
    </w:pPr>
    <w:rPr>
      <w:rFonts w:ascii="Arial" w:hAnsi="Arial"/>
      <w:kern w:val="2"/>
      <w:szCs w:val="24"/>
    </w:rPr>
  </w:style>
  <w:style w:type="paragraph" w:customStyle="1" w:styleId="585">
    <w:name w:val="Char22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86">
    <w:name w:val="样式 正文文本"/>
    <w:basedOn w:val="1"/>
    <w:qFormat/>
    <w:uiPriority w:val="0"/>
    <w:pPr>
      <w:adjustRightInd w:val="0"/>
      <w:snapToGrid w:val="0"/>
      <w:spacing w:line="400" w:lineRule="exact"/>
    </w:pPr>
    <w:rPr>
      <w:rFonts w:ascii="Arial" w:hAnsi="Arial" w:cs="宋体"/>
      <w:color w:val="000000"/>
      <w:kern w:val="2"/>
    </w:rPr>
  </w:style>
  <w:style w:type="paragraph" w:customStyle="1" w:styleId="587">
    <w:name w:val="样式2"/>
    <w:basedOn w:val="5"/>
    <w:qFormat/>
    <w:uiPriority w:val="0"/>
    <w:pPr>
      <w:pBdr>
        <w:left w:val="none" w:color="auto" w:sz="0" w:space="4"/>
        <w:right w:val="none" w:color="auto" w:sz="0" w:space="4"/>
      </w:pBdr>
      <w:tabs>
        <w:tab w:val="left" w:pos="720"/>
      </w:tabs>
      <w:snapToGrid w:val="0"/>
      <w:spacing w:before="0" w:beforeLines="50" w:after="0" w:line="300" w:lineRule="auto"/>
      <w:ind w:left="720" w:hanging="720"/>
    </w:pPr>
    <w:rPr>
      <w:rFonts w:ascii="华文细黑" w:hAnsi="华文细黑" w:eastAsia="华文细黑"/>
      <w:kern w:val="2"/>
      <w:sz w:val="28"/>
    </w:rPr>
  </w:style>
  <w:style w:type="paragraph" w:customStyle="1" w:styleId="588">
    <w:name w:val="Char3"/>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89">
    <w:name w:val="CM25"/>
    <w:basedOn w:val="227"/>
    <w:next w:val="227"/>
    <w:qFormat/>
    <w:uiPriority w:val="0"/>
    <w:pPr>
      <w:spacing w:line="440" w:lineRule="atLeast"/>
    </w:pPr>
    <w:rPr>
      <w:rFonts w:ascii="宋体" w:hAnsi="Calibri" w:eastAsia="宋体"/>
      <w:color w:val="auto"/>
    </w:rPr>
  </w:style>
  <w:style w:type="paragraph" w:customStyle="1" w:styleId="590">
    <w:name w:val="Body text 1"/>
    <w:basedOn w:val="1"/>
    <w:qFormat/>
    <w:uiPriority w:val="0"/>
    <w:pPr>
      <w:tabs>
        <w:tab w:val="left" w:pos="1134"/>
      </w:tabs>
      <w:autoSpaceDE w:val="0"/>
      <w:autoSpaceDN w:val="0"/>
      <w:adjustRightInd w:val="0"/>
      <w:spacing w:before="170" w:line="300" w:lineRule="atLeast"/>
      <w:ind w:left="1134" w:hanging="1134" w:firstLineChars="0"/>
    </w:pPr>
    <w:rPr>
      <w:rFonts w:ascii="Arial" w:hAnsi="Arial"/>
      <w:color w:val="000000"/>
      <w:kern w:val="2"/>
    </w:rPr>
  </w:style>
  <w:style w:type="paragraph" w:customStyle="1" w:styleId="591">
    <w:name w:val="CM99"/>
    <w:basedOn w:val="227"/>
    <w:next w:val="227"/>
    <w:qFormat/>
    <w:uiPriority w:val="0"/>
    <w:pPr>
      <w:spacing w:after="443"/>
    </w:pPr>
    <w:rPr>
      <w:rFonts w:ascii="宋体" w:hAnsi="Calibri" w:eastAsia="宋体"/>
      <w:color w:val="auto"/>
    </w:rPr>
  </w:style>
  <w:style w:type="paragraph" w:customStyle="1" w:styleId="592">
    <w:name w:val="正文文本缩进 31"/>
    <w:basedOn w:val="1"/>
    <w:qFormat/>
    <w:uiPriority w:val="0"/>
    <w:pPr>
      <w:tabs>
        <w:tab w:val="left" w:pos="0"/>
      </w:tabs>
      <w:adjustRightInd w:val="0"/>
      <w:ind w:firstLine="734" w:firstLineChars="0"/>
      <w:textAlignment w:val="baseline"/>
    </w:pPr>
    <w:rPr>
      <w:rFonts w:ascii="宋体" w:hAnsi="宋体"/>
      <w:sz w:val="28"/>
    </w:rPr>
  </w:style>
  <w:style w:type="paragraph" w:customStyle="1" w:styleId="593">
    <w:name w:val="_Style 185"/>
    <w:basedOn w:val="3"/>
    <w:next w:val="1"/>
    <w:unhideWhenUsed/>
    <w:qFormat/>
    <w:uiPriority w:val="39"/>
    <w:pPr>
      <w:keepNext w:val="0"/>
      <w:keepLines w:val="0"/>
      <w:pBdr>
        <w:top w:val="none" w:color="auto" w:sz="0" w:space="1"/>
        <w:left w:val="none" w:color="auto" w:sz="0" w:space="2"/>
        <w:bottom w:val="single" w:color="365F91" w:sz="12" w:space="1"/>
        <w:right w:val="none" w:color="auto" w:sz="0" w:space="2"/>
      </w:pBdr>
      <w:adjustRightInd/>
      <w:snapToGrid w:val="0"/>
      <w:spacing w:line="300" w:lineRule="auto"/>
      <w:jc w:val="both"/>
      <w:outlineLvl w:val="9"/>
    </w:pPr>
    <w:rPr>
      <w:rFonts w:ascii="Calibri" w:hAnsi="Calibri"/>
      <w:color w:val="365F91"/>
      <w:kern w:val="2"/>
      <w:sz w:val="24"/>
      <w:szCs w:val="24"/>
    </w:rPr>
  </w:style>
  <w:style w:type="paragraph" w:customStyle="1" w:styleId="594">
    <w:name w:val="正文31"/>
    <w:basedOn w:val="1"/>
    <w:qFormat/>
    <w:uiPriority w:val="0"/>
    <w:pPr>
      <w:tabs>
        <w:tab w:val="left" w:pos="960"/>
        <w:tab w:val="left" w:pos="4800"/>
      </w:tabs>
      <w:ind w:left="960" w:hanging="420" w:firstLineChars="0"/>
    </w:pPr>
    <w:rPr>
      <w:rFonts w:ascii="Arial" w:hAnsi="Arial"/>
    </w:rPr>
  </w:style>
  <w:style w:type="paragraph" w:customStyle="1" w:styleId="595">
    <w:name w:val="Char41"/>
    <w:basedOn w:val="9"/>
    <w:qFormat/>
    <w:uiPriority w:val="0"/>
    <w:pPr>
      <w:widowControl/>
      <w:spacing w:afterLines="50" w:line="360" w:lineRule="auto"/>
      <w:ind w:firstLine="480"/>
    </w:pPr>
    <w:rPr>
      <w:rFonts w:ascii="Arial" w:hAnsi="Arial"/>
      <w:spacing w:val="0"/>
      <w:kern w:val="2"/>
      <w:szCs w:val="24"/>
    </w:rPr>
  </w:style>
  <w:style w:type="paragraph" w:styleId="596">
    <w:name w:val="Intense Quote"/>
    <w:basedOn w:val="1"/>
    <w:next w:val="1"/>
    <w:link w:val="59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0" w:firstLineChars="0"/>
    </w:pPr>
    <w:rPr>
      <w:rFonts w:ascii="Cambria" w:hAnsi="Cambria"/>
      <w:i/>
      <w:iCs/>
      <w:color w:val="FFFFFF"/>
      <w:kern w:val="2"/>
      <w:szCs w:val="24"/>
    </w:rPr>
  </w:style>
  <w:style w:type="character" w:customStyle="1" w:styleId="597">
    <w:name w:val="明显引用 字符"/>
    <w:link w:val="596"/>
    <w:qFormat/>
    <w:uiPriority w:val="0"/>
    <w:rPr>
      <w:rFonts w:ascii="Cambria" w:hAnsi="Cambria"/>
      <w:i/>
      <w:iCs/>
      <w:color w:val="FFFFFF"/>
      <w:kern w:val="2"/>
      <w:sz w:val="24"/>
      <w:szCs w:val="24"/>
      <w:shd w:val="clear" w:color="auto" w:fill="4F81BD"/>
    </w:rPr>
  </w:style>
  <w:style w:type="paragraph" w:customStyle="1" w:styleId="598">
    <w:name w:val="标准正文"/>
    <w:basedOn w:val="1"/>
    <w:qFormat/>
    <w:uiPriority w:val="0"/>
    <w:pPr>
      <w:spacing w:afterLines="50" w:line="240" w:lineRule="auto"/>
    </w:pPr>
    <w:rPr>
      <w:rFonts w:ascii="宋体" w:hAnsi="Courier New" w:cs="Courier New"/>
      <w:kern w:val="2"/>
      <w:szCs w:val="21"/>
    </w:rPr>
  </w:style>
  <w:style w:type="paragraph" w:customStyle="1" w:styleId="599">
    <w:name w:val="Body Text(ch)"/>
    <w:basedOn w:val="1"/>
    <w:next w:val="27"/>
    <w:qFormat/>
    <w:uiPriority w:val="0"/>
    <w:pPr>
      <w:spacing w:line="500" w:lineRule="exact"/>
      <w:ind w:firstLine="0" w:firstLineChars="0"/>
      <w:jc w:val="center"/>
    </w:pPr>
    <w:rPr>
      <w:rFonts w:ascii="Arial" w:hAnsi="Arial"/>
      <w:kern w:val="2"/>
      <w:szCs w:val="24"/>
    </w:rPr>
  </w:style>
  <w:style w:type="paragraph" w:customStyle="1" w:styleId="600">
    <w:name w:val="Char Char Char1"/>
    <w:basedOn w:val="1"/>
    <w:qFormat/>
    <w:uiPriority w:val="0"/>
    <w:pPr>
      <w:spacing w:line="240" w:lineRule="auto"/>
      <w:ind w:firstLine="0" w:firstLineChars="0"/>
    </w:pPr>
    <w:rPr>
      <w:rFonts w:ascii="仿宋_GB2312" w:hAnsi="Arial" w:eastAsia="仿宋_GB2312"/>
      <w:b/>
      <w:kern w:val="2"/>
      <w:sz w:val="32"/>
    </w:rPr>
  </w:style>
  <w:style w:type="paragraph" w:customStyle="1" w:styleId="601">
    <w:name w:val="_Style 173"/>
    <w:basedOn w:val="1"/>
    <w:next w:val="1"/>
    <w:qFormat/>
    <w:uiPriority w:val="0"/>
    <w:pPr>
      <w:spacing w:line="240" w:lineRule="auto"/>
      <w:ind w:firstLine="0" w:firstLineChars="0"/>
    </w:pPr>
    <w:rPr>
      <w:rFonts w:ascii="Calibri" w:hAnsi="Calibri"/>
      <w:i/>
      <w:iCs/>
      <w:color w:val="000000"/>
      <w:kern w:val="2"/>
      <w:szCs w:val="22"/>
    </w:rPr>
  </w:style>
  <w:style w:type="paragraph" w:customStyle="1" w:styleId="602">
    <w:name w:val="Char1 Char Char Char"/>
    <w:basedOn w:val="1"/>
    <w:qFormat/>
    <w:uiPriority w:val="0"/>
    <w:pPr>
      <w:spacing w:line="240" w:lineRule="auto"/>
      <w:ind w:firstLine="0" w:firstLineChars="0"/>
    </w:pPr>
    <w:rPr>
      <w:rFonts w:ascii="Arial" w:hAnsi="Arial"/>
      <w:kern w:val="2"/>
    </w:rPr>
  </w:style>
  <w:style w:type="paragraph" w:customStyle="1" w:styleId="603">
    <w:name w:val="1名"/>
    <w:basedOn w:val="1"/>
    <w:qFormat/>
    <w:uiPriority w:val="0"/>
    <w:pPr>
      <w:tabs>
        <w:tab w:val="left" w:pos="780"/>
        <w:tab w:val="left" w:pos="960"/>
      </w:tabs>
      <w:spacing w:before="120" w:line="240" w:lineRule="auto"/>
      <w:ind w:left="960" w:hanging="420" w:firstLineChars="0"/>
    </w:pPr>
    <w:rPr>
      <w:rFonts w:ascii="宋体" w:hAnsi="Arial"/>
      <w:kern w:val="2"/>
      <w:sz w:val="28"/>
    </w:rPr>
  </w:style>
  <w:style w:type="paragraph" w:customStyle="1" w:styleId="604">
    <w:name w:val="样式 宋体 小四 首行缩进:  0.93 厘米 段前: 11.15 磅 段后: 11.15 磅1"/>
    <w:basedOn w:val="1"/>
    <w:qFormat/>
    <w:uiPriority w:val="0"/>
    <w:pPr>
      <w:adjustRightInd w:val="0"/>
      <w:snapToGrid w:val="0"/>
      <w:spacing w:line="240" w:lineRule="auto"/>
      <w:ind w:left="200" w:leftChars="200" w:firstLine="0" w:firstLineChars="0"/>
    </w:pPr>
    <w:rPr>
      <w:rFonts w:ascii="宋体" w:hAnsi="Arial" w:cs="宋体"/>
      <w:kern w:val="2"/>
      <w:szCs w:val="24"/>
    </w:rPr>
  </w:style>
  <w:style w:type="paragraph" w:customStyle="1" w:styleId="605">
    <w:name w:val="样式 标题 3 + 段前: 7.8 磅"/>
    <w:basedOn w:val="5"/>
    <w:qFormat/>
    <w:uiPriority w:val="0"/>
    <w:pPr>
      <w:keepNext w:val="0"/>
      <w:keepLines w:val="0"/>
      <w:pBdr>
        <w:left w:val="none" w:color="auto" w:sz="0" w:space="4"/>
        <w:right w:val="none" w:color="auto" w:sz="0" w:space="4"/>
      </w:pBdr>
      <w:tabs>
        <w:tab w:val="left" w:pos="1140"/>
      </w:tabs>
      <w:snapToGrid w:val="0"/>
      <w:spacing w:before="0" w:beforeLines="50" w:after="0" w:line="300" w:lineRule="auto"/>
      <w:ind w:left="1140" w:firstLine="422"/>
    </w:pPr>
    <w:rPr>
      <w:rFonts w:cs="宋体"/>
      <w:bCs w:val="0"/>
      <w:kern w:val="2"/>
      <w:sz w:val="21"/>
      <w:szCs w:val="20"/>
    </w:rPr>
  </w:style>
  <w:style w:type="paragraph" w:customStyle="1" w:styleId="606">
    <w:name w:val="gf正文1"/>
    <w:basedOn w:val="1"/>
    <w:link w:val="607"/>
    <w:qFormat/>
    <w:uiPriority w:val="0"/>
    <w:pPr>
      <w:tabs>
        <w:tab w:val="left" w:pos="3240"/>
        <w:tab w:val="left" w:pos="3960"/>
      </w:tabs>
      <w:adjustRightInd w:val="0"/>
      <w:snapToGrid w:val="0"/>
      <w:ind w:firstLine="480"/>
    </w:pPr>
    <w:rPr>
      <w:rFonts w:ascii="宋体" w:hAnsi="宋体"/>
      <w:kern w:val="2"/>
    </w:rPr>
  </w:style>
  <w:style w:type="character" w:customStyle="1" w:styleId="607">
    <w:name w:val="gf正文1 Char"/>
    <w:link w:val="606"/>
    <w:qFormat/>
    <w:uiPriority w:val="0"/>
    <w:rPr>
      <w:rFonts w:ascii="宋体" w:hAnsi="宋体"/>
      <w:kern w:val="2"/>
      <w:sz w:val="24"/>
    </w:rPr>
  </w:style>
  <w:style w:type="paragraph" w:customStyle="1" w:styleId="608">
    <w:name w:val="legal 2"/>
    <w:basedOn w:val="227"/>
    <w:next w:val="227"/>
    <w:qFormat/>
    <w:uiPriority w:val="0"/>
    <w:pPr>
      <w:spacing w:after="120"/>
    </w:pPr>
    <w:rPr>
      <w:rFonts w:ascii="宋体" w:hAnsi="Calibri" w:eastAsia="宋体"/>
      <w:color w:val="auto"/>
      <w:szCs w:val="20"/>
    </w:rPr>
  </w:style>
  <w:style w:type="paragraph" w:customStyle="1" w:styleId="609">
    <w:name w:val="CM89"/>
    <w:basedOn w:val="227"/>
    <w:next w:val="227"/>
    <w:qFormat/>
    <w:uiPriority w:val="0"/>
    <w:pPr>
      <w:spacing w:line="440" w:lineRule="atLeast"/>
    </w:pPr>
    <w:rPr>
      <w:rFonts w:ascii="宋体" w:hAnsi="Calibri" w:eastAsia="宋体"/>
      <w:color w:val="auto"/>
    </w:rPr>
  </w:style>
  <w:style w:type="paragraph" w:customStyle="1" w:styleId="610">
    <w:name w:val="样式 列表编号 + 段后: 0.5 行"/>
    <w:basedOn w:val="17"/>
    <w:qFormat/>
    <w:uiPriority w:val="0"/>
    <w:pPr>
      <w:tabs>
        <w:tab w:val="left" w:pos="360"/>
        <w:tab w:val="clear" w:pos="420"/>
        <w:tab w:val="clear" w:pos="454"/>
      </w:tabs>
      <w:spacing w:after="0" w:line="240" w:lineRule="auto"/>
      <w:ind w:left="360" w:hanging="200" w:hangingChars="200"/>
    </w:pPr>
    <w:rPr>
      <w:rFonts w:ascii="宋体" w:hAnsi="Courier New" w:cs="Courier New"/>
    </w:rPr>
  </w:style>
  <w:style w:type="paragraph" w:customStyle="1" w:styleId="611">
    <w:name w:val="Char22"/>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12">
    <w:name w:val="条文1"/>
    <w:basedOn w:val="1"/>
    <w:qFormat/>
    <w:uiPriority w:val="0"/>
    <w:pPr>
      <w:tabs>
        <w:tab w:val="left" w:pos="720"/>
      </w:tabs>
      <w:ind w:firstLine="0" w:firstLineChars="0"/>
    </w:pPr>
    <w:rPr>
      <w:rFonts w:ascii="MS UI Gothic" w:hAnsi="MS UI Gothic"/>
      <w:kern w:val="44"/>
    </w:rPr>
  </w:style>
  <w:style w:type="paragraph" w:customStyle="1" w:styleId="613">
    <w:name w:val="中航油-标题"/>
    <w:basedOn w:val="1"/>
    <w:qFormat/>
    <w:uiPriority w:val="0"/>
    <w:pPr>
      <w:spacing w:line="240" w:lineRule="auto"/>
      <w:ind w:firstLine="0" w:firstLineChars="0"/>
      <w:jc w:val="center"/>
    </w:pPr>
    <w:rPr>
      <w:rFonts w:ascii="Arial" w:hAnsi="Arial"/>
      <w:b/>
      <w:kern w:val="2"/>
      <w:szCs w:val="21"/>
    </w:rPr>
  </w:style>
  <w:style w:type="paragraph" w:customStyle="1" w:styleId="614">
    <w:name w:val="ST20_17"/>
    <w:basedOn w:val="6"/>
    <w:qFormat/>
    <w:uiPriority w:val="0"/>
    <w:pPr>
      <w:keepNext/>
      <w:keepLines/>
      <w:autoSpaceDE w:val="0"/>
      <w:autoSpaceDN w:val="0"/>
      <w:adjustRightInd w:val="0"/>
      <w:spacing w:before="0" w:after="0" w:line="240" w:lineRule="atLeast"/>
      <w:ind w:firstLine="0" w:firstLineChars="0"/>
      <w:jc w:val="both"/>
      <w:textAlignment w:val="baseline"/>
      <w:outlineLvl w:val="9"/>
    </w:pPr>
    <w:rPr>
      <w:rFonts w:hAnsi="Tms Rmn"/>
      <w:b w:val="0"/>
      <w:bCs/>
      <w:color w:val="auto"/>
      <w:spacing w:val="0"/>
      <w:kern w:val="2"/>
    </w:rPr>
  </w:style>
  <w:style w:type="paragraph" w:customStyle="1" w:styleId="615">
    <w:name w:val="Char Char Char Char Char Char"/>
    <w:basedOn w:val="1"/>
    <w:qFormat/>
    <w:uiPriority w:val="0"/>
    <w:pPr>
      <w:spacing w:line="240" w:lineRule="auto"/>
      <w:ind w:firstLine="0" w:firstLineChars="0"/>
    </w:pPr>
    <w:rPr>
      <w:rFonts w:ascii="Arial" w:hAnsi="Arial"/>
      <w:kern w:val="2"/>
    </w:rPr>
  </w:style>
  <w:style w:type="paragraph" w:customStyle="1" w:styleId="616">
    <w:name w:val="文档正文"/>
    <w:basedOn w:val="1"/>
    <w:qFormat/>
    <w:uiPriority w:val="0"/>
    <w:pPr>
      <w:adjustRightInd w:val="0"/>
      <w:spacing w:line="480" w:lineRule="atLeast"/>
      <w:ind w:firstLine="567" w:firstLineChars="0"/>
      <w:textAlignment w:val="baseline"/>
    </w:pPr>
    <w:rPr>
      <w:rFonts w:ascii="长城仿宋" w:hAnsi="Arial"/>
    </w:rPr>
  </w:style>
  <w:style w:type="paragraph" w:customStyle="1" w:styleId="617">
    <w:name w:val="样式 标题 2 + 首行缩进:  2 字符"/>
    <w:basedOn w:val="4"/>
    <w:qFormat/>
    <w:uiPriority w:val="0"/>
    <w:pPr>
      <w:spacing w:beforeLines="50" w:line="300" w:lineRule="auto"/>
      <w:ind w:firstLine="482" w:firstLineChars="200"/>
    </w:pPr>
    <w:rPr>
      <w:rFonts w:ascii="Arial" w:hAnsi="Arial" w:cs="宋体"/>
      <w:b w:val="0"/>
      <w:bCs/>
      <w:color w:val="auto"/>
      <w:kern w:val="2"/>
      <w:sz w:val="21"/>
    </w:rPr>
  </w:style>
  <w:style w:type="paragraph" w:customStyle="1" w:styleId="618">
    <w:name w:val="Char1 Char Char Char1"/>
    <w:basedOn w:val="1"/>
    <w:qFormat/>
    <w:uiPriority w:val="0"/>
    <w:pPr>
      <w:spacing w:line="240" w:lineRule="auto"/>
      <w:ind w:firstLine="0" w:firstLineChars="0"/>
    </w:pPr>
    <w:rPr>
      <w:rFonts w:ascii="Arial" w:hAnsi="Arial"/>
      <w:kern w:val="2"/>
    </w:rPr>
  </w:style>
  <w:style w:type="paragraph" w:customStyle="1" w:styleId="619">
    <w:name w:val="Char4"/>
    <w:basedOn w:val="9"/>
    <w:qFormat/>
    <w:uiPriority w:val="0"/>
    <w:pPr>
      <w:widowControl/>
      <w:spacing w:afterLines="50" w:line="360" w:lineRule="auto"/>
      <w:ind w:firstLine="480"/>
    </w:pPr>
    <w:rPr>
      <w:rFonts w:ascii="Arial" w:hAnsi="Arial"/>
      <w:spacing w:val="0"/>
      <w:kern w:val="2"/>
      <w:szCs w:val="24"/>
    </w:rPr>
  </w:style>
  <w:style w:type="paragraph" w:customStyle="1" w:styleId="620">
    <w:name w:val="自定义正文"/>
    <w:basedOn w:val="1"/>
    <w:link w:val="621"/>
    <w:qFormat/>
    <w:uiPriority w:val="0"/>
    <w:pPr>
      <w:spacing w:afterLines="50"/>
    </w:pPr>
    <w:rPr>
      <w:rFonts w:ascii="Arial" w:hAnsi="Arial"/>
      <w:szCs w:val="24"/>
    </w:rPr>
  </w:style>
  <w:style w:type="character" w:customStyle="1" w:styleId="621">
    <w:name w:val="自定义正文 Char Char"/>
    <w:link w:val="620"/>
    <w:qFormat/>
    <w:uiPriority w:val="0"/>
    <w:rPr>
      <w:rFonts w:ascii="Arial" w:hAnsi="Arial"/>
      <w:sz w:val="24"/>
      <w:szCs w:val="24"/>
    </w:rPr>
  </w:style>
  <w:style w:type="paragraph" w:customStyle="1" w:styleId="622">
    <w:name w:val="样式 标题 1 + Arial"/>
    <w:basedOn w:val="3"/>
    <w:link w:val="623"/>
    <w:qFormat/>
    <w:uiPriority w:val="0"/>
    <w:pPr>
      <w:pBdr>
        <w:top w:val="none" w:color="auto" w:sz="0" w:space="1"/>
        <w:left w:val="none" w:color="auto" w:sz="0" w:space="2"/>
        <w:right w:val="none" w:color="auto" w:sz="0" w:space="2"/>
      </w:pBdr>
      <w:adjustRightInd/>
      <w:snapToGrid w:val="0"/>
      <w:spacing w:beforeLines="50" w:line="300" w:lineRule="auto"/>
    </w:pPr>
    <w:rPr>
      <w:rFonts w:ascii="Arial" w:hAnsi="Arial" w:eastAsia="新宋体"/>
      <w:kern w:val="2"/>
      <w:sz w:val="32"/>
    </w:rPr>
  </w:style>
  <w:style w:type="character" w:customStyle="1" w:styleId="623">
    <w:name w:val="样式 标题 1 + Arial Char"/>
    <w:link w:val="622"/>
    <w:qFormat/>
    <w:uiPriority w:val="0"/>
    <w:rPr>
      <w:rFonts w:ascii="Arial" w:hAnsi="Arial" w:eastAsia="新宋体"/>
      <w:b/>
      <w:bCs/>
      <w:kern w:val="2"/>
      <w:sz w:val="32"/>
      <w:szCs w:val="44"/>
    </w:rPr>
  </w:style>
  <w:style w:type="paragraph" w:customStyle="1" w:styleId="624">
    <w:name w:val="Char Char1 Char"/>
    <w:basedOn w:val="1"/>
    <w:qFormat/>
    <w:uiPriority w:val="0"/>
    <w:pPr>
      <w:spacing w:line="240" w:lineRule="auto"/>
      <w:ind w:firstLine="0" w:firstLineChars="0"/>
    </w:pPr>
    <w:rPr>
      <w:rFonts w:ascii="Arial" w:hAnsi="Arial"/>
      <w:kern w:val="2"/>
      <w:szCs w:val="24"/>
    </w:rPr>
  </w:style>
  <w:style w:type="paragraph" w:customStyle="1" w:styleId="625">
    <w:name w:val="样式 标题 1 + 居中"/>
    <w:basedOn w:val="3"/>
    <w:qFormat/>
    <w:uiPriority w:val="0"/>
    <w:pPr>
      <w:pBdr>
        <w:top w:val="none" w:color="auto" w:sz="0" w:space="1"/>
        <w:left w:val="none" w:color="auto" w:sz="0" w:space="2"/>
        <w:right w:val="none" w:color="auto" w:sz="0" w:space="2"/>
      </w:pBdr>
      <w:adjustRightInd/>
      <w:snapToGrid w:val="0"/>
      <w:spacing w:beforeLines="50" w:beforeAutospacing="1" w:after="100" w:afterAutospacing="1" w:line="300" w:lineRule="auto"/>
    </w:pPr>
    <w:rPr>
      <w:rFonts w:eastAsia="黑体" w:cs="宋体"/>
      <w:sz w:val="44"/>
      <w:szCs w:val="20"/>
    </w:rPr>
  </w:style>
  <w:style w:type="paragraph" w:customStyle="1" w:styleId="626">
    <w:name w:val="Char Char Char Char12"/>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627">
    <w:name w:val="Char1 Char Char"/>
    <w:basedOn w:val="1"/>
    <w:qFormat/>
    <w:uiPriority w:val="0"/>
    <w:pPr>
      <w:spacing w:line="240" w:lineRule="auto"/>
      <w:ind w:firstLine="0" w:firstLineChars="0"/>
    </w:pPr>
    <w:rPr>
      <w:rFonts w:ascii="仿宋_GB2312" w:hAnsi="Arial" w:eastAsia="仿宋_GB2312"/>
      <w:b/>
      <w:kern w:val="2"/>
      <w:sz w:val="32"/>
    </w:rPr>
  </w:style>
  <w:style w:type="paragraph" w:customStyle="1" w:styleId="628">
    <w:name w:val="_Style 172"/>
    <w:basedOn w:val="1"/>
    <w:next w:val="1"/>
    <w:qFormat/>
    <w:uiPriority w:val="0"/>
    <w:pPr>
      <w:pBdr>
        <w:bottom w:val="single" w:color="4F81BD" w:sz="4" w:space="4"/>
      </w:pBdr>
      <w:spacing w:before="200" w:after="280" w:line="240" w:lineRule="auto"/>
      <w:ind w:left="936" w:right="936" w:firstLine="0" w:firstLineChars="0"/>
    </w:pPr>
    <w:rPr>
      <w:rFonts w:ascii="Arial" w:hAnsi="Arial"/>
      <w:b/>
      <w:bCs/>
      <w:i/>
      <w:iCs/>
      <w:color w:val="4F81BD"/>
      <w:sz w:val="20"/>
    </w:rPr>
  </w:style>
  <w:style w:type="paragraph" w:customStyle="1" w:styleId="629">
    <w:name w:val="图"/>
    <w:basedOn w:val="1"/>
    <w:qFormat/>
    <w:uiPriority w:val="0"/>
    <w:pPr>
      <w:keepNext/>
      <w:adjustRightInd w:val="0"/>
      <w:spacing w:before="60" w:after="60" w:line="300" w:lineRule="auto"/>
      <w:ind w:firstLine="0" w:firstLineChars="0"/>
      <w:jc w:val="center"/>
      <w:textAlignment w:val="center"/>
    </w:pPr>
    <w:rPr>
      <w:rFonts w:ascii="Arial" w:hAnsi="Arial"/>
      <w:spacing w:val="20"/>
    </w:rPr>
  </w:style>
  <w:style w:type="paragraph" w:customStyle="1" w:styleId="630">
    <w:name w:val="正文文本缩进 32"/>
    <w:basedOn w:val="1"/>
    <w:qFormat/>
    <w:uiPriority w:val="0"/>
    <w:pPr>
      <w:tabs>
        <w:tab w:val="left" w:pos="0"/>
      </w:tabs>
      <w:adjustRightInd w:val="0"/>
      <w:ind w:firstLine="734" w:firstLineChars="0"/>
      <w:textAlignment w:val="baseline"/>
    </w:pPr>
    <w:rPr>
      <w:rFonts w:ascii="宋体" w:hAnsi="宋体"/>
      <w:sz w:val="28"/>
    </w:rPr>
  </w:style>
  <w:style w:type="paragraph" w:customStyle="1" w:styleId="631">
    <w:name w:val="Char Char Char Char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632">
    <w:name w:val="样式 标题 1 + Arial 黑色"/>
    <w:basedOn w:val="3"/>
    <w:qFormat/>
    <w:uiPriority w:val="0"/>
    <w:pPr>
      <w:pBdr>
        <w:top w:val="none" w:color="auto" w:sz="0" w:space="1"/>
        <w:left w:val="none" w:color="auto" w:sz="0" w:space="2"/>
        <w:right w:val="none" w:color="auto" w:sz="0" w:space="2"/>
      </w:pBdr>
      <w:snapToGrid w:val="0"/>
      <w:spacing w:beforeLines="50"/>
    </w:pPr>
    <w:rPr>
      <w:rFonts w:ascii="Arial" w:hAnsi="Arial"/>
      <w:color w:val="000000"/>
      <w:kern w:val="2"/>
      <w:sz w:val="36"/>
    </w:rPr>
  </w:style>
  <w:style w:type="paragraph" w:customStyle="1" w:styleId="633">
    <w:name w:val="样式 标题 3 + (中文) 黑体 小四 非加粗 段前: 7.8 磅 段后: 0 磅 行距: 固定值 20 磅"/>
    <w:basedOn w:val="5"/>
    <w:qFormat/>
    <w:uiPriority w:val="0"/>
    <w:pPr>
      <w:pBdr>
        <w:left w:val="none" w:color="auto" w:sz="0" w:space="4"/>
        <w:right w:val="none" w:color="auto" w:sz="0" w:space="4"/>
      </w:pBdr>
      <w:snapToGrid w:val="0"/>
      <w:spacing w:before="0" w:beforeLines="50" w:after="0" w:line="400" w:lineRule="exact"/>
      <w:ind w:firstLine="422"/>
    </w:pPr>
    <w:rPr>
      <w:rFonts w:ascii="Arial" w:hAnsi="Arial" w:eastAsia="黑体" w:cs="宋体"/>
      <w:bCs w:val="0"/>
      <w:kern w:val="2"/>
      <w:sz w:val="21"/>
      <w:szCs w:val="20"/>
    </w:rPr>
  </w:style>
  <w:style w:type="paragraph" w:customStyle="1" w:styleId="634">
    <w:name w:val="样式 样式 标题 2 + 段前: 0.5 行 段后: 0.5 行 + 首行缩进:  2 字符 段前: 0.5 行 段后: 0..."/>
    <w:basedOn w:val="635"/>
    <w:qFormat/>
    <w:uiPriority w:val="0"/>
  </w:style>
  <w:style w:type="paragraph" w:customStyle="1" w:styleId="635">
    <w:name w:val="样式 标题 2 + 段前: 0.5 行 段后: 0.5 行"/>
    <w:basedOn w:val="4"/>
    <w:qFormat/>
    <w:uiPriority w:val="0"/>
    <w:pPr>
      <w:snapToGrid/>
      <w:spacing w:beforeLines="50" w:afterLines="50" w:line="300" w:lineRule="auto"/>
      <w:ind w:firstLine="200" w:firstLineChars="200"/>
      <w:textAlignment w:val="baseline"/>
    </w:pPr>
    <w:rPr>
      <w:rFonts w:eastAsia="黑体" w:cs="宋体"/>
      <w:bCs/>
      <w:color w:val="auto"/>
      <w:kern w:val="2"/>
      <w:sz w:val="21"/>
      <w:szCs w:val="21"/>
    </w:rPr>
  </w:style>
  <w:style w:type="paragraph" w:customStyle="1" w:styleId="636">
    <w:name w:val="Body Text 21"/>
    <w:basedOn w:val="1"/>
    <w:qFormat/>
    <w:uiPriority w:val="0"/>
    <w:pPr>
      <w:adjustRightInd w:val="0"/>
      <w:spacing w:line="300" w:lineRule="auto"/>
      <w:ind w:firstLine="0" w:firstLineChars="0"/>
      <w:jc w:val="center"/>
    </w:pPr>
    <w:rPr>
      <w:rFonts w:ascii="宋体" w:hAnsi="宋体"/>
      <w:kern w:val="2"/>
    </w:rPr>
  </w:style>
  <w:style w:type="paragraph" w:customStyle="1" w:styleId="637">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638">
    <w:name w:val="Char Char Char2"/>
    <w:basedOn w:val="1"/>
    <w:qFormat/>
    <w:uiPriority w:val="0"/>
    <w:pPr>
      <w:spacing w:line="240" w:lineRule="auto"/>
      <w:ind w:firstLine="0" w:firstLineChars="0"/>
    </w:pPr>
    <w:rPr>
      <w:rFonts w:ascii="Arial" w:hAnsi="Arial" w:eastAsia="Times New Roman"/>
      <w:sz w:val="20"/>
    </w:rPr>
  </w:style>
  <w:style w:type="paragraph" w:customStyle="1" w:styleId="639">
    <w:name w:val="1 Char Char Char Char"/>
    <w:basedOn w:val="1"/>
    <w:qFormat/>
    <w:uiPriority w:val="0"/>
    <w:pPr>
      <w:spacing w:line="240" w:lineRule="auto"/>
      <w:ind w:firstLine="0" w:firstLineChars="0"/>
    </w:pPr>
    <w:rPr>
      <w:rFonts w:ascii="Arial" w:hAnsi="Arial"/>
      <w:kern w:val="2"/>
      <w:szCs w:val="24"/>
    </w:rPr>
  </w:style>
  <w:style w:type="paragraph" w:customStyle="1" w:styleId="640">
    <w:name w:val="Char1 Char Char Char Char Char Char2"/>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41">
    <w:name w:val="样式 标题 1 + 加粗1"/>
    <w:basedOn w:val="3"/>
    <w:qFormat/>
    <w:uiPriority w:val="0"/>
    <w:pPr>
      <w:pBdr>
        <w:top w:val="none" w:color="auto" w:sz="0" w:space="1"/>
        <w:left w:val="none" w:color="auto" w:sz="0" w:space="2"/>
        <w:right w:val="none" w:color="auto" w:sz="0" w:space="2"/>
      </w:pBdr>
      <w:snapToGrid w:val="0"/>
      <w:spacing w:beforeLines="100" w:afterLines="100" w:line="300" w:lineRule="auto"/>
      <w:jc w:val="both"/>
    </w:pPr>
    <w:rPr>
      <w:rFonts w:eastAsia="黑体"/>
      <w:b w:val="0"/>
      <w:sz w:val="28"/>
      <w:szCs w:val="28"/>
    </w:rPr>
  </w:style>
  <w:style w:type="paragraph" w:customStyle="1" w:styleId="642">
    <w:name w:val="Char4 Char Char Char"/>
    <w:basedOn w:val="21"/>
    <w:qFormat/>
    <w:uiPriority w:val="0"/>
    <w:pPr>
      <w:spacing w:line="240" w:lineRule="auto"/>
      <w:ind w:firstLine="0" w:firstLineChars="0"/>
    </w:pPr>
    <w:rPr>
      <w:rFonts w:ascii="Tahoma" w:hAnsi="Tahoma"/>
    </w:rPr>
  </w:style>
  <w:style w:type="paragraph" w:styleId="643">
    <w:name w:val="No Spacing"/>
    <w:basedOn w:val="1"/>
    <w:link w:val="644"/>
    <w:qFormat/>
    <w:uiPriority w:val="0"/>
    <w:pPr>
      <w:spacing w:line="240" w:lineRule="auto"/>
      <w:ind w:firstLine="0" w:firstLineChars="0"/>
    </w:pPr>
    <w:rPr>
      <w:rFonts w:ascii="Calibri" w:hAnsi="Calibri"/>
      <w:kern w:val="2"/>
      <w:szCs w:val="22"/>
    </w:rPr>
  </w:style>
  <w:style w:type="character" w:customStyle="1" w:styleId="644">
    <w:name w:val="无间隔 字符"/>
    <w:link w:val="643"/>
    <w:qFormat/>
    <w:uiPriority w:val="0"/>
    <w:rPr>
      <w:rFonts w:ascii="Calibri" w:hAnsi="Calibri"/>
      <w:kern w:val="2"/>
      <w:sz w:val="21"/>
      <w:szCs w:val="22"/>
    </w:rPr>
  </w:style>
  <w:style w:type="paragraph" w:customStyle="1" w:styleId="645">
    <w:name w:val="g11"/>
    <w:basedOn w:val="1"/>
    <w:qFormat/>
    <w:uiPriority w:val="0"/>
    <w:pPr>
      <w:widowControl/>
      <w:spacing w:before="100" w:beforeAutospacing="1" w:after="100" w:afterAutospacing="1" w:line="900" w:lineRule="atLeast"/>
      <w:ind w:firstLine="0" w:firstLineChars="0"/>
    </w:pPr>
    <w:rPr>
      <w:rFonts w:hint="eastAsia" w:ascii="华文中宋" w:hAnsi="华文中宋" w:eastAsia="华文中宋"/>
      <w:b/>
      <w:bCs/>
      <w:color w:val="FF0000"/>
      <w:sz w:val="60"/>
      <w:szCs w:val="60"/>
    </w:rPr>
  </w:style>
  <w:style w:type="paragraph" w:customStyle="1" w:styleId="646">
    <w:name w:val="样式3"/>
    <w:basedOn w:val="38"/>
    <w:qFormat/>
    <w:uiPriority w:val="0"/>
    <w:pPr>
      <w:spacing w:line="0" w:lineRule="atLeast"/>
      <w:ind w:firstLine="0" w:firstLineChars="0"/>
      <w:outlineLvl w:val="0"/>
    </w:pPr>
    <w:rPr>
      <w:rFonts w:cs="Times New Roman"/>
      <w:sz w:val="28"/>
      <w:szCs w:val="20"/>
    </w:rPr>
  </w:style>
  <w:style w:type="paragraph" w:customStyle="1" w:styleId="647">
    <w:name w:val="CM44"/>
    <w:basedOn w:val="227"/>
    <w:next w:val="227"/>
    <w:qFormat/>
    <w:uiPriority w:val="0"/>
    <w:pPr>
      <w:spacing w:line="440" w:lineRule="atLeast"/>
    </w:pPr>
    <w:rPr>
      <w:rFonts w:ascii="宋体" w:hAnsi="Calibri" w:eastAsia="宋体"/>
      <w:color w:val="auto"/>
    </w:rPr>
  </w:style>
  <w:style w:type="paragraph" w:customStyle="1" w:styleId="648">
    <w:name w:val="2册标题1"/>
    <w:basedOn w:val="1"/>
    <w:next w:val="1"/>
    <w:qFormat/>
    <w:uiPriority w:val="0"/>
    <w:pPr>
      <w:spacing w:beforeLines="50" w:afterLines="50" w:line="240" w:lineRule="auto"/>
      <w:ind w:firstLine="0" w:firstLineChars="0"/>
      <w:jc w:val="center"/>
      <w:outlineLvl w:val="0"/>
    </w:pPr>
    <w:rPr>
      <w:rFonts w:ascii="Arial" w:hAnsi="Arial" w:eastAsia="黑体" w:cs="Courier New"/>
      <w:kern w:val="2"/>
      <w:sz w:val="32"/>
      <w:szCs w:val="32"/>
    </w:rPr>
  </w:style>
  <w:style w:type="paragraph" w:customStyle="1" w:styleId="649">
    <w:name w:val="_Style 87"/>
    <w:basedOn w:val="3"/>
    <w:next w:val="1"/>
    <w:qFormat/>
    <w:uiPriority w:val="0"/>
    <w:pPr>
      <w:pBdr>
        <w:top w:val="none" w:color="auto" w:sz="0" w:space="1"/>
        <w:left w:val="none" w:color="auto" w:sz="0" w:space="2"/>
        <w:right w:val="none" w:color="auto" w:sz="0" w:space="2"/>
      </w:pBdr>
      <w:snapToGrid w:val="0"/>
      <w:spacing w:beforeLines="50" w:line="276" w:lineRule="auto"/>
      <w:jc w:val="both"/>
      <w:outlineLvl w:val="9"/>
    </w:pPr>
    <w:rPr>
      <w:rFonts w:ascii="Cambria" w:hAnsi="Cambria"/>
      <w:b w:val="0"/>
      <w:color w:val="365F91"/>
      <w:kern w:val="2"/>
      <w:sz w:val="28"/>
      <w:szCs w:val="28"/>
    </w:rPr>
  </w:style>
  <w:style w:type="paragraph" w:customStyle="1" w:styleId="650">
    <w:name w:val="blockquote"/>
    <w:basedOn w:val="1"/>
    <w:qFormat/>
    <w:uiPriority w:val="0"/>
    <w:pPr>
      <w:widowControl/>
      <w:spacing w:before="100" w:beforeAutospacing="1" w:after="100" w:afterAutospacing="1" w:line="240" w:lineRule="auto"/>
      <w:ind w:firstLine="0" w:firstLineChars="0"/>
    </w:pPr>
    <w:rPr>
      <w:rFonts w:ascii="宋体" w:hAnsi="宋体"/>
      <w:szCs w:val="24"/>
    </w:rPr>
  </w:style>
  <w:style w:type="paragraph" w:customStyle="1" w:styleId="651">
    <w:name w:val="样式 标题 3 + Arial"/>
    <w:basedOn w:val="5"/>
    <w:qFormat/>
    <w:uiPriority w:val="0"/>
    <w:pPr>
      <w:pBdr>
        <w:left w:val="none" w:color="auto" w:sz="0" w:space="4"/>
        <w:right w:val="none" w:color="auto" w:sz="0" w:space="4"/>
      </w:pBdr>
      <w:snapToGrid w:val="0"/>
      <w:spacing w:before="0" w:beforeLines="100" w:after="0" w:line="300" w:lineRule="auto"/>
      <w:ind w:firstLine="422"/>
    </w:pPr>
    <w:rPr>
      <w:rFonts w:ascii="Arial" w:hAnsi="Arial"/>
      <w:b w:val="0"/>
      <w:kern w:val="2"/>
      <w:sz w:val="21"/>
      <w:szCs w:val="21"/>
    </w:rPr>
  </w:style>
  <w:style w:type="paragraph" w:customStyle="1" w:styleId="652">
    <w:name w:val="普通(网站)1"/>
    <w:basedOn w:val="1"/>
    <w:qFormat/>
    <w:uiPriority w:val="0"/>
    <w:pPr>
      <w:widowControl/>
      <w:spacing w:line="240" w:lineRule="auto"/>
      <w:ind w:firstLine="0" w:firstLineChars="0"/>
    </w:pPr>
    <w:rPr>
      <w:rFonts w:ascii="ˎ̥" w:hAnsi="ˎ̥" w:cs="宋体"/>
      <w:color w:val="000000"/>
      <w:sz w:val="13"/>
      <w:szCs w:val="13"/>
    </w:rPr>
  </w:style>
  <w:style w:type="paragraph" w:customStyle="1" w:styleId="653">
    <w:name w:val="表头文本"/>
    <w:basedOn w:val="1"/>
    <w:qFormat/>
    <w:uiPriority w:val="0"/>
    <w:pPr>
      <w:autoSpaceDE w:val="0"/>
      <w:autoSpaceDN w:val="0"/>
      <w:adjustRightInd w:val="0"/>
      <w:spacing w:line="240" w:lineRule="auto"/>
      <w:ind w:firstLine="0" w:firstLineChars="0"/>
      <w:jc w:val="center"/>
    </w:pPr>
    <w:rPr>
      <w:rFonts w:ascii="Arial" w:hAnsi="Arial"/>
      <w:b/>
    </w:rPr>
  </w:style>
  <w:style w:type="paragraph" w:customStyle="1" w:styleId="654">
    <w:name w:val="_Style 124"/>
    <w:qFormat/>
    <w:uiPriority w:val="0"/>
    <w:rPr>
      <w:rFonts w:ascii="Calibri" w:hAnsi="Calibri" w:eastAsia="宋体" w:cs="Times New Roman"/>
      <w:sz w:val="22"/>
      <w:szCs w:val="22"/>
      <w:lang w:val="en-US" w:eastAsia="zh-CN" w:bidi="ar-SA"/>
    </w:rPr>
  </w:style>
  <w:style w:type="paragraph" w:customStyle="1" w:styleId="655">
    <w:name w:val="_Style 261"/>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56">
    <w:name w:val="Char21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57">
    <w:name w:val="Legal 4"/>
    <w:basedOn w:val="227"/>
    <w:next w:val="227"/>
    <w:qFormat/>
    <w:uiPriority w:val="0"/>
    <w:rPr>
      <w:rFonts w:ascii="宋体" w:hAnsi="Calibri" w:eastAsia="宋体" w:cs="宋体"/>
    </w:rPr>
  </w:style>
  <w:style w:type="character" w:customStyle="1" w:styleId="658">
    <w:name w:val="正文文字4 Char Char"/>
    <w:qFormat/>
    <w:uiPriority w:val="0"/>
    <w:rPr>
      <w:rFonts w:eastAsia="黑体"/>
      <w:spacing w:val="20"/>
      <w:kern w:val="2"/>
      <w:sz w:val="28"/>
    </w:rPr>
  </w:style>
  <w:style w:type="character" w:customStyle="1" w:styleId="659">
    <w:name w:val="页眉 Char1"/>
    <w:semiHidden/>
    <w:qFormat/>
    <w:uiPriority w:val="99"/>
    <w:rPr>
      <w:sz w:val="18"/>
      <w:szCs w:val="18"/>
    </w:rPr>
  </w:style>
  <w:style w:type="character" w:customStyle="1" w:styleId="660">
    <w:name w:val="style9"/>
    <w:qFormat/>
    <w:uiPriority w:val="0"/>
  </w:style>
  <w:style w:type="character" w:customStyle="1" w:styleId="661">
    <w:name w:val="标题 2 Char Char"/>
    <w:qFormat/>
    <w:uiPriority w:val="0"/>
    <w:rPr>
      <w:rFonts w:ascii="Arial" w:hAnsi="Arial" w:eastAsia="宋体"/>
      <w:b/>
      <w:bCs/>
      <w:w w:val="99"/>
      <w:sz w:val="24"/>
      <w:szCs w:val="24"/>
      <w:lang w:val="en-US" w:eastAsia="zh-CN" w:bidi="ar-SA"/>
    </w:rPr>
  </w:style>
  <w:style w:type="character" w:customStyle="1" w:styleId="662">
    <w:name w:val="h Char"/>
    <w:qFormat/>
    <w:uiPriority w:val="0"/>
    <w:rPr>
      <w:kern w:val="2"/>
      <w:sz w:val="18"/>
      <w:szCs w:val="18"/>
    </w:rPr>
  </w:style>
  <w:style w:type="character" w:customStyle="1" w:styleId="663">
    <w:name w:val="Char Char"/>
    <w:qFormat/>
    <w:uiPriority w:val="0"/>
    <w:rPr>
      <w:rFonts w:eastAsia="宋体"/>
      <w:kern w:val="2"/>
      <w:sz w:val="18"/>
      <w:szCs w:val="18"/>
      <w:lang w:val="en-US" w:eastAsia="zh-CN" w:bidi="ar-SA"/>
    </w:rPr>
  </w:style>
  <w:style w:type="character" w:customStyle="1" w:styleId="664">
    <w:name w:val="正文文本 2 Char1"/>
    <w:semiHidden/>
    <w:qFormat/>
    <w:uiPriority w:val="99"/>
    <w:rPr>
      <w:szCs w:val="21"/>
    </w:rPr>
  </w:style>
  <w:style w:type="character" w:customStyle="1" w:styleId="665">
    <w:name w:val="style91"/>
    <w:qFormat/>
    <w:uiPriority w:val="0"/>
    <w:rPr>
      <w:sz w:val="24"/>
      <w:szCs w:val="24"/>
    </w:rPr>
  </w:style>
  <w:style w:type="character" w:customStyle="1" w:styleId="666">
    <w:name w:val="s"/>
    <w:qFormat/>
    <w:uiPriority w:val="0"/>
  </w:style>
  <w:style w:type="character" w:customStyle="1" w:styleId="667">
    <w:name w:val="_Style 301"/>
    <w:qFormat/>
    <w:uiPriority w:val="32"/>
    <w:rPr>
      <w:b/>
      <w:bCs/>
      <w:color w:val="76923C"/>
      <w:u w:val="single" w:color="9BBB59"/>
    </w:rPr>
  </w:style>
  <w:style w:type="character" w:customStyle="1" w:styleId="668">
    <w:name w:val="Char Char211"/>
    <w:qFormat/>
    <w:uiPriority w:val="0"/>
    <w:rPr>
      <w:rFonts w:ascii="宋体" w:hAnsi="Courier New" w:eastAsia="宋体" w:cs="Courier New"/>
      <w:kern w:val="2"/>
      <w:sz w:val="21"/>
      <w:szCs w:val="21"/>
      <w:lang w:val="en-US" w:eastAsia="zh-CN" w:bidi="ar-SA"/>
    </w:rPr>
  </w:style>
  <w:style w:type="character" w:customStyle="1" w:styleId="669">
    <w:name w:val="srt131"/>
    <w:qFormat/>
    <w:uiPriority w:val="0"/>
    <w:rPr>
      <w:rFonts w:ascii="srt" w:eastAsia="宋体"/>
      <w:color w:val="000000"/>
      <w:spacing w:val="0"/>
      <w:w w:val="100"/>
      <w:sz w:val="21"/>
      <w:u w:val="none" w:color="000000"/>
      <w:vertAlign w:val="baseline"/>
      <w:lang w:val="en-US" w:eastAsia="zh-CN"/>
    </w:rPr>
  </w:style>
  <w:style w:type="character" w:customStyle="1" w:styleId="670">
    <w:name w:val="批注主题 Char1"/>
    <w:semiHidden/>
    <w:qFormat/>
    <w:uiPriority w:val="99"/>
    <w:rPr>
      <w:b/>
      <w:bCs/>
      <w:szCs w:val="21"/>
    </w:rPr>
  </w:style>
  <w:style w:type="character" w:customStyle="1" w:styleId="671">
    <w:name w:val="_Style 306"/>
    <w:qFormat/>
    <w:uiPriority w:val="21"/>
    <w:rPr>
      <w:b/>
      <w:bCs/>
      <w:i/>
      <w:iCs/>
      <w:color w:val="4F81BD"/>
      <w:sz w:val="22"/>
      <w:szCs w:val="22"/>
    </w:rPr>
  </w:style>
  <w:style w:type="character" w:customStyle="1" w:styleId="672">
    <w:name w:val="引用 Char1"/>
    <w:qFormat/>
    <w:uiPriority w:val="29"/>
    <w:rPr>
      <w:rFonts w:ascii="Arial" w:hAnsi="Arial"/>
      <w:i/>
      <w:iCs/>
      <w:color w:val="000000"/>
      <w:kern w:val="2"/>
      <w:sz w:val="21"/>
      <w:szCs w:val="24"/>
    </w:rPr>
  </w:style>
  <w:style w:type="character" w:customStyle="1" w:styleId="673">
    <w:name w:val="普通文字 Char Char2"/>
    <w:qFormat/>
    <w:uiPriority w:val="0"/>
    <w:rPr>
      <w:rFonts w:ascii="宋体" w:hAnsi="Courier New" w:eastAsia="宋体"/>
      <w:kern w:val="2"/>
      <w:sz w:val="21"/>
      <w:lang w:val="en-US" w:eastAsia="zh-CN" w:bidi="ar-SA"/>
    </w:rPr>
  </w:style>
  <w:style w:type="character" w:customStyle="1" w:styleId="674">
    <w:name w:val="Footnote Text Char"/>
    <w:qFormat/>
    <w:locked/>
    <w:uiPriority w:val="0"/>
    <w:rPr>
      <w:sz w:val="18"/>
    </w:rPr>
  </w:style>
  <w:style w:type="character" w:customStyle="1" w:styleId="675">
    <w:name w:val="unnamed51"/>
    <w:qFormat/>
    <w:uiPriority w:val="0"/>
    <w:rPr>
      <w:sz w:val="22"/>
      <w:szCs w:val="22"/>
    </w:rPr>
  </w:style>
  <w:style w:type="character" w:customStyle="1" w:styleId="676">
    <w:name w:val="页脚 Char1"/>
    <w:qFormat/>
    <w:uiPriority w:val="0"/>
    <w:rPr>
      <w:kern w:val="2"/>
      <w:sz w:val="18"/>
      <w:szCs w:val="18"/>
    </w:rPr>
  </w:style>
  <w:style w:type="character" w:customStyle="1" w:styleId="677">
    <w:name w:val="p141"/>
    <w:qFormat/>
    <w:uiPriority w:val="0"/>
    <w:rPr>
      <w:sz w:val="21"/>
    </w:rPr>
  </w:style>
  <w:style w:type="character" w:customStyle="1" w:styleId="678">
    <w:name w:val="ca-131"/>
    <w:qFormat/>
    <w:uiPriority w:val="0"/>
    <w:rPr>
      <w:rFonts w:ascii="宋体" w:hAnsi="宋体" w:eastAsia="宋体"/>
      <w:i/>
      <w:sz w:val="24"/>
    </w:rPr>
  </w:style>
  <w:style w:type="character" w:customStyle="1" w:styleId="679">
    <w:name w:val="文档结构图 Char1"/>
    <w:semiHidden/>
    <w:qFormat/>
    <w:uiPriority w:val="99"/>
    <w:rPr>
      <w:rFonts w:ascii="宋体" w:eastAsia="宋体"/>
      <w:sz w:val="18"/>
      <w:szCs w:val="18"/>
    </w:rPr>
  </w:style>
  <w:style w:type="character" w:customStyle="1" w:styleId="680">
    <w:name w:val="样式 标题 1 + 加粗 Char"/>
    <w:qFormat/>
    <w:uiPriority w:val="0"/>
    <w:rPr>
      <w:rFonts w:ascii="宋体" w:hAnsi="Courier New" w:eastAsia="黑体"/>
      <w:kern w:val="44"/>
      <w:sz w:val="28"/>
    </w:rPr>
  </w:style>
  <w:style w:type="character" w:customStyle="1" w:styleId="681">
    <w:name w:val="正文文本 Char1"/>
    <w:semiHidden/>
    <w:qFormat/>
    <w:uiPriority w:val="99"/>
    <w:rPr>
      <w:szCs w:val="21"/>
    </w:rPr>
  </w:style>
  <w:style w:type="character" w:customStyle="1" w:styleId="682">
    <w:name w:val="_Style 329"/>
    <w:qFormat/>
    <w:uiPriority w:val="19"/>
    <w:rPr>
      <w:i/>
      <w:iCs/>
      <w:color w:val="5A5A5A"/>
    </w:rPr>
  </w:style>
  <w:style w:type="character" w:customStyle="1" w:styleId="683">
    <w:name w:val="_Style 330"/>
    <w:qFormat/>
    <w:uiPriority w:val="33"/>
    <w:rPr>
      <w:rFonts w:ascii="Cambria" w:hAnsi="Cambria" w:eastAsia="宋体" w:cs="Times New Roman"/>
      <w:b/>
      <w:bCs/>
      <w:i/>
      <w:iCs/>
      <w:color w:val="auto"/>
    </w:rPr>
  </w:style>
  <w:style w:type="character" w:customStyle="1" w:styleId="684">
    <w:name w:val="样式1 Char Char Char"/>
    <w:qFormat/>
    <w:uiPriority w:val="0"/>
    <w:rPr>
      <w:rFonts w:ascii="Arial" w:hAnsi="Arial" w:eastAsia="宋体"/>
      <w:kern w:val="2"/>
      <w:sz w:val="21"/>
      <w:szCs w:val="24"/>
      <w:lang w:val="en-US" w:eastAsia="zh-CN" w:bidi="ar-SA"/>
    </w:rPr>
  </w:style>
  <w:style w:type="character" w:customStyle="1" w:styleId="685">
    <w:name w:val="标题 3 Char Char"/>
    <w:qFormat/>
    <w:uiPriority w:val="0"/>
    <w:rPr>
      <w:rFonts w:ascii="Arial" w:hAnsi="Arial" w:eastAsia="宋体"/>
      <w:b/>
      <w:bCs/>
      <w:sz w:val="21"/>
      <w:szCs w:val="21"/>
      <w:lang w:val="en-US" w:eastAsia="zh-CN" w:bidi="ar-SA"/>
    </w:rPr>
  </w:style>
  <w:style w:type="character" w:customStyle="1" w:styleId="686">
    <w:name w:val="正文文本缩进 3 Char"/>
    <w:qFormat/>
    <w:uiPriority w:val="99"/>
    <w:rPr>
      <w:rFonts w:ascii="Calibri" w:hAnsi="Calibri" w:eastAsia="宋体" w:cs="Times New Roman"/>
      <w:kern w:val="2"/>
      <w:sz w:val="16"/>
      <w:szCs w:val="16"/>
      <w:lang w:eastAsia="zh-CN" w:bidi="ar-SA"/>
    </w:rPr>
  </w:style>
  <w:style w:type="character" w:customStyle="1" w:styleId="687">
    <w:name w:val="标题4 Char Char"/>
    <w:qFormat/>
    <w:uiPriority w:val="0"/>
    <w:rPr>
      <w:rFonts w:ascii="Arial" w:hAnsi="Arial" w:eastAsia="仿宋_GB2312" w:cs="Times New Roman"/>
      <w:kern w:val="2"/>
      <w:sz w:val="32"/>
      <w:szCs w:val="20"/>
      <w:lang w:bidi="ar-SA"/>
    </w:rPr>
  </w:style>
  <w:style w:type="character" w:customStyle="1" w:styleId="688">
    <w:name w:val="px1233"/>
    <w:qFormat/>
    <w:uiPriority w:val="0"/>
  </w:style>
  <w:style w:type="character" w:customStyle="1" w:styleId="689">
    <w:name w:val="Char Char Char21"/>
    <w:qFormat/>
    <w:uiPriority w:val="0"/>
    <w:rPr>
      <w:rFonts w:ascii="仿宋_GB2312" w:hAnsi="Arial" w:eastAsia="仿宋_GB2312" w:cs="Times New Roman"/>
      <w:b/>
      <w:kern w:val="2"/>
      <w:sz w:val="32"/>
      <w:szCs w:val="32"/>
      <w:lang w:bidi="ar-SA"/>
    </w:rPr>
  </w:style>
  <w:style w:type="character" w:customStyle="1" w:styleId="690">
    <w:name w:val="批注框文本 Char1"/>
    <w:semiHidden/>
    <w:qFormat/>
    <w:uiPriority w:val="99"/>
    <w:rPr>
      <w:sz w:val="18"/>
      <w:szCs w:val="18"/>
    </w:rPr>
  </w:style>
  <w:style w:type="character" w:customStyle="1" w:styleId="691">
    <w:name w:val="正文文本缩进 Char1"/>
    <w:semiHidden/>
    <w:qFormat/>
    <w:uiPriority w:val="99"/>
    <w:rPr>
      <w:szCs w:val="21"/>
    </w:rPr>
  </w:style>
  <w:style w:type="character" w:customStyle="1" w:styleId="692">
    <w:name w:val="样式 正文文本 Char"/>
    <w:qFormat/>
    <w:uiPriority w:val="0"/>
    <w:rPr>
      <w:rFonts w:ascii="Arial" w:hAnsi="Arial" w:eastAsia="宋体" w:cs="宋体"/>
      <w:color w:val="000000"/>
      <w:spacing w:val="20"/>
      <w:kern w:val="2"/>
      <w:sz w:val="21"/>
      <w:lang w:val="en-US" w:eastAsia="zh-CN" w:bidi="ar-SA"/>
    </w:rPr>
  </w:style>
  <w:style w:type="character" w:customStyle="1" w:styleId="693">
    <w:name w:val="脚注文本 Char2"/>
    <w:qFormat/>
    <w:uiPriority w:val="0"/>
    <w:rPr>
      <w:kern w:val="2"/>
      <w:sz w:val="18"/>
      <w:szCs w:val="18"/>
    </w:rPr>
  </w:style>
  <w:style w:type="character" w:customStyle="1" w:styleId="694">
    <w:name w:val="副标题 Char1"/>
    <w:qFormat/>
    <w:uiPriority w:val="11"/>
    <w:rPr>
      <w:rFonts w:ascii="Cambria" w:hAnsi="Cambria" w:eastAsia="宋体" w:cs="Times New Roman"/>
      <w:b/>
      <w:bCs/>
      <w:kern w:val="28"/>
      <w:sz w:val="32"/>
      <w:szCs w:val="32"/>
    </w:rPr>
  </w:style>
  <w:style w:type="character" w:customStyle="1" w:styleId="695">
    <w:name w:val="明显引用 Char1"/>
    <w:qFormat/>
    <w:uiPriority w:val="30"/>
    <w:rPr>
      <w:b/>
      <w:bCs/>
      <w:i/>
      <w:iCs/>
      <w:color w:val="4F81BD"/>
      <w:kern w:val="2"/>
      <w:sz w:val="21"/>
      <w:szCs w:val="24"/>
    </w:rPr>
  </w:style>
  <w:style w:type="character" w:customStyle="1" w:styleId="696">
    <w:name w:val="Char Char3"/>
    <w:qFormat/>
    <w:uiPriority w:val="0"/>
    <w:rPr>
      <w:rFonts w:ascii="Arial" w:hAnsi="Arial" w:eastAsia="宋体"/>
      <w:b/>
      <w:bCs/>
      <w:kern w:val="2"/>
      <w:sz w:val="21"/>
      <w:szCs w:val="32"/>
      <w:lang w:val="en-US" w:eastAsia="zh-CN" w:bidi="ar-SA"/>
    </w:rPr>
  </w:style>
  <w:style w:type="character" w:customStyle="1" w:styleId="697">
    <w:name w:val="f21"/>
    <w:qFormat/>
    <w:uiPriority w:val="0"/>
    <w:rPr>
      <w:rFonts w:hint="default" w:ascii="ˎ̥" w:hAnsi="ˎ̥"/>
      <w:sz w:val="21"/>
      <w:szCs w:val="21"/>
    </w:rPr>
  </w:style>
  <w:style w:type="character" w:customStyle="1" w:styleId="698">
    <w:name w:val="脚注文本 Char1"/>
    <w:qFormat/>
    <w:uiPriority w:val="0"/>
    <w:rPr>
      <w:rFonts w:ascii="Times New Roman" w:hAnsi="Times New Roman" w:eastAsia="宋体" w:cs="Times New Roman"/>
      <w:sz w:val="18"/>
      <w:szCs w:val="18"/>
    </w:rPr>
  </w:style>
  <w:style w:type="character" w:customStyle="1" w:styleId="699">
    <w:name w:val="手改 Char Char"/>
    <w:qFormat/>
    <w:uiPriority w:val="0"/>
    <w:rPr>
      <w:rFonts w:ascii="宋体"/>
      <w:spacing w:val="20"/>
      <w:kern w:val="2"/>
      <w:sz w:val="21"/>
    </w:rPr>
  </w:style>
  <w:style w:type="character" w:customStyle="1" w:styleId="700">
    <w:name w:val="_Style 362"/>
    <w:qFormat/>
    <w:uiPriority w:val="31"/>
    <w:rPr>
      <w:color w:val="auto"/>
      <w:u w:val="single" w:color="9BBB59"/>
    </w:rPr>
  </w:style>
  <w:style w:type="character" w:customStyle="1" w:styleId="701">
    <w:name w:val="样式 正文文本 + 首行缩进:  2 字符 Char"/>
    <w:qFormat/>
    <w:uiPriority w:val="0"/>
    <w:rPr>
      <w:rFonts w:ascii="Arial" w:hAnsi="Arial" w:eastAsia="宋体" w:cs="宋体"/>
      <w:spacing w:val="20"/>
      <w:kern w:val="2"/>
      <w:sz w:val="21"/>
      <w:lang w:val="en-US" w:eastAsia="zh-CN" w:bidi="ar-SA"/>
    </w:rPr>
  </w:style>
  <w:style w:type="character" w:customStyle="1" w:styleId="702">
    <w:name w:val="Char Char31"/>
    <w:qFormat/>
    <w:uiPriority w:val="0"/>
    <w:rPr>
      <w:rFonts w:ascii="Arial" w:hAnsi="Arial" w:eastAsia="宋体"/>
      <w:b/>
      <w:bCs/>
      <w:kern w:val="2"/>
      <w:sz w:val="21"/>
      <w:szCs w:val="32"/>
      <w:lang w:val="en-US" w:eastAsia="zh-CN" w:bidi="ar-SA"/>
    </w:rPr>
  </w:style>
  <w:style w:type="character" w:customStyle="1" w:styleId="703">
    <w:name w:val="样式 标题 1 + 加粗1 Char"/>
    <w:qFormat/>
    <w:uiPriority w:val="0"/>
    <w:rPr>
      <w:rFonts w:ascii="宋体" w:hAnsi="Courier New" w:eastAsia="黑体"/>
      <w:kern w:val="44"/>
      <w:sz w:val="28"/>
    </w:rPr>
  </w:style>
  <w:style w:type="character" w:customStyle="1" w:styleId="704">
    <w:name w:val="明显引用 Char2"/>
    <w:qFormat/>
    <w:uiPriority w:val="60"/>
    <w:rPr>
      <w:b/>
      <w:bCs/>
      <w:i/>
      <w:iCs/>
      <w:color w:val="4F81BD"/>
      <w:kern w:val="2"/>
      <w:sz w:val="21"/>
      <w:szCs w:val="24"/>
    </w:rPr>
  </w:style>
  <w:style w:type="character" w:customStyle="1" w:styleId="705">
    <w:name w:val="批注文字 Char1"/>
    <w:qFormat/>
    <w:uiPriority w:val="99"/>
    <w:rPr>
      <w:szCs w:val="21"/>
    </w:rPr>
  </w:style>
  <w:style w:type="character" w:customStyle="1" w:styleId="706">
    <w:name w:val="font161"/>
    <w:qFormat/>
    <w:uiPriority w:val="0"/>
    <w:rPr>
      <w:b/>
      <w:bCs/>
      <w:sz w:val="32"/>
      <w:szCs w:val="32"/>
    </w:rPr>
  </w:style>
  <w:style w:type="character" w:customStyle="1" w:styleId="707">
    <w:name w:val="Footnote Text Char1"/>
    <w:semiHidden/>
    <w:qFormat/>
    <w:uiPriority w:val="99"/>
    <w:rPr>
      <w:kern w:val="2"/>
      <w:sz w:val="18"/>
      <w:szCs w:val="18"/>
    </w:rPr>
  </w:style>
  <w:style w:type="character" w:customStyle="1" w:styleId="708">
    <w:name w:val="Char Char11"/>
    <w:qFormat/>
    <w:uiPriority w:val="0"/>
    <w:rPr>
      <w:rFonts w:ascii="宋体" w:hAnsi="Courier New" w:eastAsia="宋体"/>
      <w:kern w:val="2"/>
      <w:sz w:val="21"/>
      <w:lang w:val="en-US" w:eastAsia="zh-CN"/>
    </w:rPr>
  </w:style>
  <w:style w:type="character" w:customStyle="1" w:styleId="709">
    <w:name w:val="Char Char14"/>
    <w:qFormat/>
    <w:uiPriority w:val="0"/>
    <w:rPr>
      <w:rFonts w:eastAsia="宋体"/>
      <w:kern w:val="2"/>
      <w:sz w:val="18"/>
      <w:lang w:val="en-US" w:eastAsia="zh-CN"/>
    </w:rPr>
  </w:style>
  <w:style w:type="character" w:customStyle="1" w:styleId="710">
    <w:name w:val="个人答复风格"/>
    <w:qFormat/>
    <w:uiPriority w:val="0"/>
    <w:rPr>
      <w:rFonts w:ascii="Arial" w:hAnsi="Arial" w:eastAsia="宋体"/>
      <w:color w:val="auto"/>
      <w:sz w:val="20"/>
    </w:rPr>
  </w:style>
  <w:style w:type="character" w:customStyle="1" w:styleId="711">
    <w:name w:val="h Char Char"/>
    <w:qFormat/>
    <w:uiPriority w:val="0"/>
    <w:rPr>
      <w:rFonts w:eastAsia="宋体"/>
      <w:kern w:val="2"/>
      <w:sz w:val="18"/>
      <w:lang w:val="en-US" w:eastAsia="zh-CN"/>
    </w:rPr>
  </w:style>
  <w:style w:type="character" w:customStyle="1" w:styleId="712">
    <w:name w:val="ca-310"/>
    <w:qFormat/>
    <w:uiPriority w:val="0"/>
    <w:rPr>
      <w:rFonts w:ascii="宋体" w:hAnsi="宋体" w:eastAsia="宋体"/>
      <w:color w:val="000000"/>
      <w:sz w:val="24"/>
    </w:rPr>
  </w:style>
  <w:style w:type="character" w:customStyle="1" w:styleId="713">
    <w:name w:val="引用 Char2"/>
    <w:qFormat/>
    <w:uiPriority w:val="73"/>
    <w:rPr>
      <w:i/>
      <w:iCs/>
      <w:color w:val="000000"/>
      <w:kern w:val="2"/>
      <w:sz w:val="21"/>
      <w:szCs w:val="24"/>
    </w:rPr>
  </w:style>
  <w:style w:type="character" w:customStyle="1" w:styleId="714">
    <w:name w:val="日期 Char1"/>
    <w:semiHidden/>
    <w:qFormat/>
    <w:uiPriority w:val="99"/>
    <w:rPr>
      <w:szCs w:val="21"/>
    </w:rPr>
  </w:style>
  <w:style w:type="character" w:customStyle="1" w:styleId="715">
    <w:name w:val="1page sec3 Char Char"/>
    <w:qFormat/>
    <w:uiPriority w:val="0"/>
    <w:rPr>
      <w:rFonts w:eastAsia="宋体"/>
      <w:kern w:val="2"/>
      <w:sz w:val="18"/>
      <w:szCs w:val="18"/>
      <w:lang w:val="en-US" w:eastAsia="zh-CN" w:bidi="ar-SA"/>
    </w:rPr>
  </w:style>
  <w:style w:type="character" w:customStyle="1" w:styleId="716">
    <w:name w:val="个人撰写风格"/>
    <w:qFormat/>
    <w:uiPriority w:val="0"/>
    <w:rPr>
      <w:rFonts w:ascii="Arial" w:hAnsi="Arial" w:eastAsia="宋体"/>
      <w:color w:val="auto"/>
      <w:sz w:val="20"/>
    </w:rPr>
  </w:style>
  <w:style w:type="character" w:customStyle="1" w:styleId="717">
    <w:name w:val="标题1"/>
    <w:qFormat/>
    <w:uiPriority w:val="0"/>
    <w:rPr>
      <w:rFonts w:cs="Times New Roman"/>
    </w:rPr>
  </w:style>
  <w:style w:type="character" w:customStyle="1" w:styleId="718">
    <w:name w:val="H2 Char"/>
    <w:qFormat/>
    <w:uiPriority w:val="0"/>
    <w:rPr>
      <w:rFonts w:ascii="Cambria" w:hAnsi="Cambria" w:eastAsia="宋体" w:cs="Times New Roman"/>
      <w:b/>
      <w:bCs/>
      <w:kern w:val="2"/>
      <w:sz w:val="32"/>
      <w:szCs w:val="32"/>
    </w:rPr>
  </w:style>
  <w:style w:type="character" w:customStyle="1" w:styleId="719">
    <w:name w:val="正文文本缩进 2 Char1"/>
    <w:semiHidden/>
    <w:qFormat/>
    <w:uiPriority w:val="99"/>
    <w:rPr>
      <w:szCs w:val="21"/>
    </w:rPr>
  </w:style>
  <w:style w:type="paragraph" w:customStyle="1" w:styleId="720">
    <w:name w:val="标题3"/>
    <w:basedOn w:val="1"/>
    <w:next w:val="1"/>
    <w:qFormat/>
    <w:uiPriority w:val="0"/>
    <w:pPr>
      <w:spacing w:before="140" w:after="140" w:line="240" w:lineRule="auto"/>
      <w:ind w:firstLine="0" w:firstLineChars="0"/>
      <w:outlineLvl w:val="2"/>
    </w:pPr>
    <w:rPr>
      <w:b/>
    </w:rPr>
  </w:style>
  <w:style w:type="paragraph" w:customStyle="1" w:styleId="721">
    <w:name w:val="表格字体1"/>
    <w:basedOn w:val="1"/>
    <w:next w:val="1"/>
    <w:qFormat/>
    <w:uiPriority w:val="0"/>
    <w:pPr>
      <w:keepNext/>
      <w:keepLines/>
      <w:adjustRightInd w:val="0"/>
      <w:snapToGrid w:val="0"/>
      <w:spacing w:line="312" w:lineRule="auto"/>
      <w:ind w:firstLine="0" w:firstLineChars="0"/>
      <w:jc w:val="left"/>
      <w:outlineLvl w:val="1"/>
    </w:pPr>
    <w:rPr>
      <w:rFonts w:hint="eastAsia"/>
      <w:color w:val="000000"/>
    </w:rPr>
  </w:style>
  <w:style w:type="paragraph" w:customStyle="1" w:styleId="722">
    <w:name w:val="Table Text"/>
    <w:basedOn w:val="1"/>
    <w:semiHidden/>
    <w:qFormat/>
    <w:uiPriority w:val="0"/>
    <w:rPr>
      <w:rFonts w:ascii="微软雅黑" w:hAnsi="微软雅黑" w:eastAsia="微软雅黑" w:cs="微软雅黑"/>
      <w:sz w:val="19"/>
      <w:szCs w:val="19"/>
      <w:lang w:eastAsia="en-US"/>
    </w:rPr>
  </w:style>
  <w:style w:type="table" w:customStyle="1" w:styleId="723">
    <w:name w:val="Table Normal"/>
    <w:unhideWhenUsed/>
    <w:qFormat/>
    <w:uiPriority w:val="0"/>
    <w:tblPr>
      <w:tblCellMar>
        <w:top w:w="0" w:type="dxa"/>
        <w:left w:w="0" w:type="dxa"/>
        <w:bottom w:w="0" w:type="dxa"/>
        <w:right w:w="0" w:type="dxa"/>
      </w:tblCellMar>
    </w:tblPr>
  </w:style>
  <w:style w:type="paragraph" w:customStyle="1" w:styleId="724">
    <w:name w:val="纯文本_0_0"/>
    <w:basedOn w:val="725"/>
    <w:qFormat/>
    <w:uiPriority w:val="0"/>
    <w:rPr>
      <w:rFonts w:ascii="宋体" w:hAnsi="Courier New"/>
      <w:szCs w:val="21"/>
    </w:rPr>
  </w:style>
  <w:style w:type="paragraph" w:customStyle="1" w:styleId="7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6">
    <w:name w:val="正文_0 Char"/>
    <w:link w:val="727"/>
    <w:qFormat/>
    <w:uiPriority w:val="0"/>
    <w:rPr>
      <w:rFonts w:ascii="仿宋" w:hAnsi="仿宋" w:eastAsia="仿宋" w:cs="Times New Roman"/>
      <w:kern w:val="2"/>
      <w:sz w:val="21"/>
      <w:szCs w:val="22"/>
      <w:lang w:val="en-US" w:eastAsia="zh-CN" w:bidi="ar-SA"/>
    </w:rPr>
  </w:style>
  <w:style w:type="paragraph" w:customStyle="1" w:styleId="727">
    <w:name w:val="正文_0"/>
    <w:link w:val="726"/>
    <w:qFormat/>
    <w:uiPriority w:val="0"/>
    <w:pPr>
      <w:widowControl w:val="0"/>
      <w:jc w:val="both"/>
    </w:pPr>
    <w:rPr>
      <w:rFonts w:ascii="仿宋" w:hAnsi="仿宋"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115</Pages>
  <Words>10018</Words>
  <Characters>57107</Characters>
  <Lines>475</Lines>
  <Paragraphs>133</Paragraphs>
  <TotalTime>1</TotalTime>
  <ScaleCrop>false</ScaleCrop>
  <LinksUpToDate>false</LinksUpToDate>
  <CharactersWithSpaces>66992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2025-06-06T06:09:00Z</dcterms:created>
  <dc:creator>Administrator</dc:creator>
  <cp:lastModifiedBy>SL20250107A</cp:lastModifiedBy>
  <cp:lastPrinted>2025-06-06T00:41:00Z</cp:lastPrinted>
  <dcterms:modified xsi:type="dcterms:W3CDTF">2025-06-20T11:40:12Z</dcterms:modified>
  <dc:title>杭州经济技术开发区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63C7DB4BD1D44B108CA7D17F5FDC5B98</vt:lpwstr>
  </property>
  <property fmtid="{D5CDD505-2E9C-101B-9397-08002B2CF9AE}" pid="4" name="KSOTemplateDocerSaveRecord">
    <vt:lpwstr>eyJoZGlkIjoiZTE2OTBhMzRkNTU3NmM0ZDExNWRlM2QzZWU2OWRhNmEiLCJ1c2VySWQiOiI2NDU1NDY4NTcifQ==</vt:lpwstr>
  </property>
</Properties>
</file>